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7819" w14:textId="77777777" w:rsidR="00A77B3E" w:rsidRDefault="0052492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75D193E" w14:textId="77777777" w:rsidR="00A77B3E" w:rsidRDefault="0052492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67984</w:t>
      </w:r>
    </w:p>
    <w:p w14:paraId="599E4846" w14:textId="77777777" w:rsidR="00A77B3E" w:rsidRDefault="0052492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8477CB9" w14:textId="77777777" w:rsidR="00A77B3E" w:rsidRDefault="00A77B3E">
      <w:pPr>
        <w:spacing w:line="360" w:lineRule="auto"/>
        <w:jc w:val="both"/>
      </w:pPr>
    </w:p>
    <w:p w14:paraId="59889022" w14:textId="77777777" w:rsidR="00A77B3E" w:rsidRDefault="0052492E">
      <w:pPr>
        <w:spacing w:line="360" w:lineRule="auto"/>
        <w:jc w:val="both"/>
      </w:pPr>
      <w:r>
        <w:rPr>
          <w:rFonts w:ascii="Book Antiqua" w:eastAsia="Book Antiqua" w:hAnsi="Book Antiqua" w:cs="Book Antiqua"/>
          <w:b/>
          <w:bCs/>
          <w:color w:val="000000"/>
        </w:rPr>
        <w:t>Drug-induced liver injury and COVID-19: A review for clinical practice</w:t>
      </w:r>
    </w:p>
    <w:p w14:paraId="670E5AC4" w14:textId="77777777" w:rsidR="00A77B3E" w:rsidRDefault="00A77B3E">
      <w:pPr>
        <w:spacing w:line="360" w:lineRule="auto"/>
        <w:jc w:val="both"/>
      </w:pPr>
    </w:p>
    <w:p w14:paraId="2CBCF90E" w14:textId="77777777" w:rsidR="00A77B3E" w:rsidRDefault="00966E87">
      <w:pPr>
        <w:spacing w:line="360" w:lineRule="auto"/>
        <w:jc w:val="both"/>
      </w:pPr>
      <w:r>
        <w:rPr>
          <w:rFonts w:ascii="Book Antiqua" w:eastAsia="Book Antiqua" w:hAnsi="Book Antiqua" w:cs="Book Antiqua"/>
          <w:color w:val="000000"/>
        </w:rPr>
        <w:t xml:space="preserve">Ortiz </w:t>
      </w:r>
      <w:r>
        <w:rPr>
          <w:rFonts w:ascii="Book Antiqua" w:hAnsi="Book Antiqua" w:cs="Book Antiqua" w:hint="eastAsia"/>
          <w:color w:val="000000"/>
          <w:lang w:eastAsia="zh-CN"/>
        </w:rPr>
        <w:t xml:space="preserve">GX </w:t>
      </w:r>
      <w:r w:rsidRPr="00966E8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2492E">
        <w:rPr>
          <w:rFonts w:ascii="Book Antiqua" w:eastAsia="Book Antiqua" w:hAnsi="Book Antiqua" w:cs="Book Antiqua"/>
          <w:color w:val="000000"/>
        </w:rPr>
        <w:t>Drug-</w:t>
      </w:r>
      <w:r>
        <w:rPr>
          <w:rFonts w:ascii="Book Antiqua" w:eastAsia="Book Antiqua" w:hAnsi="Book Antiqua" w:cs="Book Antiqua"/>
          <w:color w:val="000000"/>
        </w:rPr>
        <w:t>induced liver in</w:t>
      </w:r>
      <w:r w:rsidR="0052492E">
        <w:rPr>
          <w:rFonts w:ascii="Book Antiqua" w:eastAsia="Book Antiqua" w:hAnsi="Book Antiqua" w:cs="Book Antiqua"/>
          <w:color w:val="000000"/>
        </w:rPr>
        <w:t>jury and COVID-19</w:t>
      </w:r>
    </w:p>
    <w:p w14:paraId="68AB5E7B" w14:textId="77777777" w:rsidR="00A77B3E" w:rsidRDefault="00A77B3E">
      <w:pPr>
        <w:spacing w:line="360" w:lineRule="auto"/>
        <w:jc w:val="both"/>
      </w:pPr>
    </w:p>
    <w:p w14:paraId="11549111" w14:textId="77777777" w:rsidR="00A77B3E" w:rsidRDefault="0052492E">
      <w:pPr>
        <w:spacing w:line="360" w:lineRule="auto"/>
        <w:jc w:val="both"/>
      </w:pPr>
      <w:r>
        <w:rPr>
          <w:rFonts w:ascii="Book Antiqua" w:eastAsia="Book Antiqua" w:hAnsi="Book Antiqua" w:cs="Book Antiqua"/>
          <w:color w:val="000000"/>
        </w:rPr>
        <w:t>Gabriela Xavier Ortiz, Gabriele Lenhart, Matheus William Becker, Karin Hepp Schwambach, Cristiane Valle Tovo, Carine Raquel Blatt</w:t>
      </w:r>
    </w:p>
    <w:p w14:paraId="744E00BB" w14:textId="77777777" w:rsidR="00A77B3E" w:rsidRDefault="00A77B3E">
      <w:pPr>
        <w:spacing w:line="360" w:lineRule="auto"/>
        <w:jc w:val="both"/>
      </w:pPr>
    </w:p>
    <w:p w14:paraId="6F7EF1AE" w14:textId="610C3ECF" w:rsidR="00A77B3E" w:rsidRDefault="0052492E">
      <w:pPr>
        <w:spacing w:line="360" w:lineRule="auto"/>
        <w:jc w:val="both"/>
      </w:pPr>
      <w:r>
        <w:rPr>
          <w:rFonts w:ascii="Book Antiqua" w:eastAsia="Book Antiqua" w:hAnsi="Book Antiqua" w:cs="Book Antiqua"/>
          <w:b/>
          <w:bCs/>
          <w:color w:val="000000"/>
        </w:rPr>
        <w:t xml:space="preserve">Gabriela Xavier Ortiz, </w:t>
      </w:r>
      <w:r w:rsidR="00C22687">
        <w:rPr>
          <w:rFonts w:ascii="Book Antiqua" w:eastAsia="Book Antiqua" w:hAnsi="Book Antiqua" w:cs="Book Antiqua"/>
          <w:b/>
          <w:bCs/>
          <w:color w:val="000000"/>
        </w:rPr>
        <w:t xml:space="preserve">Matheus William Becker, Karin </w:t>
      </w:r>
      <w:proofErr w:type="spellStart"/>
      <w:r w:rsidR="00C22687">
        <w:rPr>
          <w:rFonts w:ascii="Book Antiqua" w:eastAsia="Book Antiqua" w:hAnsi="Book Antiqua" w:cs="Book Antiqua"/>
          <w:b/>
          <w:bCs/>
          <w:color w:val="000000"/>
        </w:rPr>
        <w:t>Hepp</w:t>
      </w:r>
      <w:proofErr w:type="spellEnd"/>
      <w:r w:rsidR="00C22687">
        <w:rPr>
          <w:rFonts w:ascii="Book Antiqua" w:eastAsia="Book Antiqua" w:hAnsi="Book Antiqua" w:cs="Book Antiqua"/>
          <w:b/>
          <w:bCs/>
          <w:color w:val="000000"/>
        </w:rPr>
        <w:t xml:space="preserve"> </w:t>
      </w:r>
      <w:proofErr w:type="spellStart"/>
      <w:r w:rsidR="00C22687">
        <w:rPr>
          <w:rFonts w:ascii="Book Antiqua" w:eastAsia="Book Antiqua" w:hAnsi="Book Antiqua" w:cs="Book Antiqua"/>
          <w:b/>
          <w:bCs/>
          <w:color w:val="000000"/>
        </w:rPr>
        <w:t>Schwambach</w:t>
      </w:r>
      <w:proofErr w:type="spellEnd"/>
      <w:r w:rsidR="00C22687">
        <w:rPr>
          <w:rFonts w:ascii="Book Antiqua" w:eastAsia="Book Antiqua" w:hAnsi="Book Antiqua" w:cs="Book Antiqua"/>
          <w:b/>
          <w:bCs/>
          <w:color w:val="000000"/>
        </w:rPr>
        <w:t>,</w:t>
      </w:r>
      <w:r w:rsidR="00C22687">
        <w:rPr>
          <w:rFonts w:ascii="Book Antiqua" w:hAnsi="Book Antiqua" w:cs="Book Antiqua" w:hint="eastAsia"/>
          <w:b/>
          <w:bCs/>
          <w:color w:val="000000"/>
          <w:lang w:eastAsia="zh-CN"/>
        </w:rPr>
        <w:t xml:space="preserve"> </w:t>
      </w:r>
      <w:r>
        <w:rPr>
          <w:rFonts w:ascii="Book Antiqua" w:eastAsia="Book Antiqua" w:hAnsi="Book Antiqua" w:cs="Book Antiqua"/>
          <w:color w:val="000000"/>
        </w:rPr>
        <w:t>Graduate Program in Medicine Hepatology, Federal University of Health Sciences of Porto Alegre, Porto Alegre 90050-</w:t>
      </w:r>
      <w:r w:rsidR="005A5863">
        <w:rPr>
          <w:rFonts w:ascii="Book Antiqua" w:eastAsia="Book Antiqua" w:hAnsi="Book Antiqua" w:cs="Book Antiqua"/>
          <w:color w:val="000000"/>
        </w:rPr>
        <w:t>170,</w:t>
      </w:r>
      <w:r>
        <w:rPr>
          <w:rFonts w:ascii="Book Antiqua" w:eastAsia="Book Antiqua" w:hAnsi="Book Antiqua" w:cs="Book Antiqua"/>
          <w:color w:val="000000"/>
        </w:rPr>
        <w:t xml:space="preserve"> Rio Grande do Sul, Brazil</w:t>
      </w:r>
    </w:p>
    <w:p w14:paraId="740A81D7" w14:textId="77777777" w:rsidR="00A77B3E" w:rsidRDefault="00A77B3E">
      <w:pPr>
        <w:spacing w:line="360" w:lineRule="auto"/>
        <w:jc w:val="both"/>
      </w:pPr>
    </w:p>
    <w:p w14:paraId="52240905" w14:textId="77777777" w:rsidR="00A77B3E" w:rsidRDefault="0052492E">
      <w:pPr>
        <w:spacing w:line="360" w:lineRule="auto"/>
        <w:jc w:val="both"/>
      </w:pPr>
      <w:r>
        <w:rPr>
          <w:rFonts w:ascii="Book Antiqua" w:eastAsia="Book Antiqua" w:hAnsi="Book Antiqua" w:cs="Book Antiqua"/>
          <w:b/>
          <w:bCs/>
          <w:color w:val="000000"/>
        </w:rPr>
        <w:t xml:space="preserve">Gabriele Lenhart, </w:t>
      </w:r>
      <w:proofErr w:type="spellStart"/>
      <w:r>
        <w:rPr>
          <w:rFonts w:ascii="Book Antiqua" w:eastAsia="Book Antiqua" w:hAnsi="Book Antiqua" w:cs="Book Antiqua"/>
          <w:color w:val="000000"/>
        </w:rPr>
        <w:t>Multiprofessional</w:t>
      </w:r>
      <w:proofErr w:type="spellEnd"/>
      <w:r>
        <w:rPr>
          <w:rFonts w:ascii="Book Antiqua" w:eastAsia="Book Antiqua" w:hAnsi="Book Antiqua" w:cs="Book Antiqua"/>
          <w:color w:val="000000"/>
        </w:rPr>
        <w:t xml:space="preserve"> Residency Integrated in Health, Federal University of Health Sciences of Porto Alegre, Porto Alegre 90050-170, Rio Grande do Sul, Brazil</w:t>
      </w:r>
    </w:p>
    <w:p w14:paraId="4B7ADEA8" w14:textId="77777777" w:rsidR="00A77B3E" w:rsidRDefault="00A77B3E">
      <w:pPr>
        <w:spacing w:line="360" w:lineRule="auto"/>
        <w:jc w:val="both"/>
      </w:pPr>
    </w:p>
    <w:p w14:paraId="31FED4E2" w14:textId="77777777" w:rsidR="00A77B3E" w:rsidRDefault="0052492E">
      <w:pPr>
        <w:spacing w:line="360" w:lineRule="auto"/>
        <w:jc w:val="both"/>
      </w:pPr>
      <w:r>
        <w:rPr>
          <w:rFonts w:ascii="Book Antiqua" w:eastAsia="Book Antiqua" w:hAnsi="Book Antiqua" w:cs="Book Antiqua"/>
          <w:b/>
          <w:bCs/>
          <w:color w:val="000000"/>
        </w:rPr>
        <w:t xml:space="preserve">Cristiane Valle </w:t>
      </w:r>
      <w:proofErr w:type="spellStart"/>
      <w:r>
        <w:rPr>
          <w:rFonts w:ascii="Book Antiqua" w:eastAsia="Book Antiqua" w:hAnsi="Book Antiqua" w:cs="Book Antiqua"/>
          <w:b/>
          <w:bCs/>
          <w:color w:val="000000"/>
        </w:rPr>
        <w:t>Tovo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Internal Medicine Department, Graduate Program in Medicine-Hepatology, Federal University of Health Sciences of Porto Alegre, Porto Alegre 90050-170, Rio Grande do Sul, Brazil</w:t>
      </w:r>
    </w:p>
    <w:p w14:paraId="1839ADDB" w14:textId="77777777" w:rsidR="00A77B3E" w:rsidRDefault="00A77B3E">
      <w:pPr>
        <w:spacing w:line="360" w:lineRule="auto"/>
        <w:jc w:val="both"/>
      </w:pPr>
    </w:p>
    <w:p w14:paraId="77CF7688" w14:textId="77777777" w:rsidR="00A77B3E" w:rsidRDefault="0052492E">
      <w:pPr>
        <w:spacing w:line="360" w:lineRule="auto"/>
        <w:jc w:val="both"/>
      </w:pPr>
      <w:r>
        <w:rPr>
          <w:rFonts w:ascii="Book Antiqua" w:eastAsia="Book Antiqua" w:hAnsi="Book Antiqua" w:cs="Book Antiqua"/>
          <w:b/>
          <w:bCs/>
          <w:color w:val="000000"/>
        </w:rPr>
        <w:t xml:space="preserve">Carine Raquel Blatt, </w:t>
      </w:r>
      <w:proofErr w:type="spellStart"/>
      <w:r>
        <w:rPr>
          <w:rFonts w:ascii="Book Antiqua" w:eastAsia="Book Antiqua" w:hAnsi="Book Antiqua" w:cs="Book Antiqua"/>
          <w:color w:val="000000"/>
        </w:rPr>
        <w:t>Pharmacoscience</w:t>
      </w:r>
      <w:proofErr w:type="spellEnd"/>
      <w:r>
        <w:rPr>
          <w:rFonts w:ascii="Book Antiqua" w:eastAsia="Book Antiqua" w:hAnsi="Book Antiqua" w:cs="Book Antiqua"/>
          <w:color w:val="000000"/>
        </w:rPr>
        <w:t xml:space="preserve"> Department, Graduate Program in Medicine-Hepatology, Federal University of Health Sciences of Porto Alegre, Porto Alegre 90050-170, Rio Grande do Sul, Brazil</w:t>
      </w:r>
    </w:p>
    <w:p w14:paraId="6D0346A6" w14:textId="77777777" w:rsidR="00A77B3E" w:rsidRDefault="00A77B3E">
      <w:pPr>
        <w:spacing w:line="360" w:lineRule="auto"/>
        <w:jc w:val="both"/>
      </w:pPr>
    </w:p>
    <w:p w14:paraId="31BA4943" w14:textId="77777777" w:rsidR="00A77B3E" w:rsidRPr="00966E87" w:rsidRDefault="0052492E">
      <w:pPr>
        <w:spacing w:line="360" w:lineRule="auto"/>
        <w:jc w:val="both"/>
        <w:rPr>
          <w:lang w:eastAsia="zh-CN"/>
        </w:rPr>
      </w:pPr>
      <w:r>
        <w:rPr>
          <w:rFonts w:ascii="Book Antiqua" w:eastAsia="Book Antiqua" w:hAnsi="Book Antiqua" w:cs="Book Antiqua"/>
          <w:b/>
          <w:bCs/>
          <w:color w:val="000000"/>
        </w:rPr>
        <w:t xml:space="preserve">Author contributions: </w:t>
      </w:r>
      <w:r w:rsidR="00966E87">
        <w:rPr>
          <w:rFonts w:ascii="Book Antiqua" w:eastAsia="Book Antiqua" w:hAnsi="Book Antiqua" w:cs="Book Antiqua"/>
          <w:color w:val="000000"/>
        </w:rPr>
        <w:t xml:space="preserve">Ortiz </w:t>
      </w:r>
      <w:r w:rsidR="00966E87">
        <w:rPr>
          <w:rFonts w:ascii="Book Antiqua" w:hAnsi="Book Antiqua" w:cs="Book Antiqua" w:hint="eastAsia"/>
          <w:color w:val="000000"/>
          <w:lang w:eastAsia="zh-CN"/>
        </w:rPr>
        <w:t>GX</w:t>
      </w:r>
      <w:r>
        <w:rPr>
          <w:rFonts w:ascii="Book Antiqua" w:eastAsia="Book Antiqua" w:hAnsi="Book Antiqua" w:cs="Book Antiqua"/>
          <w:color w:val="000000"/>
        </w:rPr>
        <w:t>, Lenhart</w:t>
      </w:r>
      <w:r w:rsidR="00966E87">
        <w:rPr>
          <w:rFonts w:ascii="Book Antiqua" w:hAnsi="Book Antiqua" w:cs="Book Antiqua" w:hint="eastAsia"/>
          <w:color w:val="000000"/>
          <w:lang w:eastAsia="zh-CN"/>
        </w:rPr>
        <w:t xml:space="preserve"> G</w:t>
      </w:r>
      <w:r>
        <w:rPr>
          <w:rFonts w:ascii="Book Antiqua" w:eastAsia="Book Antiqua" w:hAnsi="Book Antiqua" w:cs="Book Antiqua"/>
          <w:color w:val="000000"/>
        </w:rPr>
        <w:t xml:space="preserve">, Becker </w:t>
      </w:r>
      <w:r w:rsidR="00966E87">
        <w:rPr>
          <w:rFonts w:ascii="Book Antiqua" w:hAnsi="Book Antiqua" w:cs="Book Antiqua" w:hint="eastAsia"/>
          <w:color w:val="000000"/>
          <w:lang w:eastAsia="zh-CN"/>
        </w:rPr>
        <w:t xml:space="preserve">MW </w:t>
      </w:r>
      <w:r>
        <w:rPr>
          <w:rFonts w:ascii="Book Antiqua" w:eastAsia="Book Antiqua" w:hAnsi="Book Antiqua" w:cs="Book Antiqua"/>
          <w:color w:val="000000"/>
        </w:rPr>
        <w:t xml:space="preserve">and Schwambach </w:t>
      </w:r>
      <w:r w:rsidR="00966E87">
        <w:rPr>
          <w:rFonts w:ascii="Book Antiqua" w:hAnsi="Book Antiqua" w:cs="Book Antiqua" w:hint="eastAsia"/>
          <w:color w:val="000000"/>
          <w:lang w:eastAsia="zh-CN"/>
        </w:rPr>
        <w:t xml:space="preserve">KH </w:t>
      </w:r>
      <w:r>
        <w:rPr>
          <w:rFonts w:ascii="Book Antiqua" w:eastAsia="Book Antiqua" w:hAnsi="Book Antiqua" w:cs="Book Antiqua"/>
          <w:color w:val="000000"/>
        </w:rPr>
        <w:t xml:space="preserve">collected the data and wrote the paper; Blatt </w:t>
      </w:r>
      <w:r w:rsidR="00966E87">
        <w:rPr>
          <w:rFonts w:ascii="Book Antiqua" w:hAnsi="Book Antiqua" w:cs="Book Antiqua" w:hint="eastAsia"/>
          <w:color w:val="000000"/>
          <w:lang w:eastAsia="zh-CN"/>
        </w:rPr>
        <w:t xml:space="preserve">CR </w:t>
      </w:r>
      <w:r>
        <w:rPr>
          <w:rFonts w:ascii="Book Antiqua" w:eastAsia="Book Antiqua" w:hAnsi="Book Antiqua" w:cs="Book Antiqua"/>
          <w:color w:val="000000"/>
        </w:rPr>
        <w:t xml:space="preserve">wrote and revised the paper; Tovo </w:t>
      </w:r>
      <w:r w:rsidR="00966E87">
        <w:rPr>
          <w:rFonts w:ascii="Book Antiqua" w:hAnsi="Book Antiqua" w:cs="Book Antiqua" w:hint="eastAsia"/>
          <w:color w:val="000000"/>
          <w:lang w:eastAsia="zh-CN"/>
        </w:rPr>
        <w:t xml:space="preserve">CV </w:t>
      </w:r>
      <w:r>
        <w:rPr>
          <w:rFonts w:ascii="Book Antiqua" w:eastAsia="Book Antiqua" w:hAnsi="Book Antiqua" w:cs="Book Antiqua"/>
          <w:color w:val="000000"/>
        </w:rPr>
        <w:lastRenderedPageBreak/>
        <w:t>performed the final review of the manuscript with significant contributions; all authors approved the final version of the manuscript.</w:t>
      </w:r>
    </w:p>
    <w:p w14:paraId="52996C06" w14:textId="77777777" w:rsidR="00A77B3E" w:rsidRDefault="00A77B3E">
      <w:pPr>
        <w:spacing w:line="360" w:lineRule="auto"/>
        <w:jc w:val="both"/>
      </w:pPr>
    </w:p>
    <w:p w14:paraId="62D21677" w14:textId="77777777" w:rsidR="00A77B3E" w:rsidRDefault="0052492E">
      <w:pPr>
        <w:spacing w:line="360" w:lineRule="auto"/>
        <w:jc w:val="both"/>
      </w:pPr>
      <w:r>
        <w:rPr>
          <w:rFonts w:ascii="Book Antiqua" w:eastAsia="Book Antiqua" w:hAnsi="Book Antiqua" w:cs="Book Antiqua"/>
          <w:b/>
          <w:bCs/>
          <w:color w:val="000000"/>
        </w:rPr>
        <w:t xml:space="preserve">Corresponding author: Matheus William Becker, MSc, Pharmacist, Research Scientist, </w:t>
      </w:r>
      <w:r>
        <w:rPr>
          <w:rFonts w:ascii="Book Antiqua" w:eastAsia="Book Antiqua" w:hAnsi="Book Antiqua" w:cs="Book Antiqua"/>
          <w:color w:val="000000"/>
        </w:rPr>
        <w:t>Graduate Program in Medicine Hepatology, Federal University of Health Sciences of Porto Alegre, Sarmento Leite, 245 Street, Porto Alegre 90050-170, Rio Grande do Sul, Brazil. matheuswbecker@gmail.com</w:t>
      </w:r>
    </w:p>
    <w:p w14:paraId="30B4CFD6" w14:textId="77777777" w:rsidR="00A77B3E" w:rsidRDefault="00A77B3E">
      <w:pPr>
        <w:spacing w:line="360" w:lineRule="auto"/>
        <w:jc w:val="both"/>
      </w:pPr>
    </w:p>
    <w:p w14:paraId="23962135" w14:textId="77777777" w:rsidR="00A77B3E" w:rsidRDefault="0052492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8, 2021</w:t>
      </w:r>
    </w:p>
    <w:p w14:paraId="5184A746" w14:textId="77777777" w:rsidR="00A77B3E" w:rsidRDefault="0052492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18, 2021</w:t>
      </w:r>
    </w:p>
    <w:p w14:paraId="69120B08" w14:textId="363B1060" w:rsidR="00A77B3E" w:rsidRPr="00813616" w:rsidRDefault="0052492E">
      <w:pPr>
        <w:spacing w:line="360" w:lineRule="auto"/>
        <w:jc w:val="both"/>
      </w:pPr>
      <w:r>
        <w:rPr>
          <w:rFonts w:ascii="Book Antiqua" w:eastAsia="Book Antiqua" w:hAnsi="Book Antiqua" w:cs="Book Antiqua"/>
          <w:b/>
          <w:bCs/>
          <w:color w:val="000000"/>
        </w:rPr>
        <w:t xml:space="preserve">Accepted: </w:t>
      </w:r>
      <w:r w:rsidR="00813616" w:rsidRPr="00813616">
        <w:rPr>
          <w:rFonts w:ascii="Book Antiqua" w:eastAsia="Book Antiqua" w:hAnsi="Book Antiqua" w:cs="Book Antiqua"/>
          <w:color w:val="000000"/>
        </w:rPr>
        <w:t>August 18, 2021</w:t>
      </w:r>
    </w:p>
    <w:p w14:paraId="743E339B" w14:textId="77777777" w:rsidR="00A77B3E" w:rsidRDefault="0052492E">
      <w:pPr>
        <w:spacing w:line="360" w:lineRule="auto"/>
        <w:jc w:val="both"/>
      </w:pPr>
      <w:r>
        <w:rPr>
          <w:rFonts w:ascii="Book Antiqua" w:eastAsia="Book Antiqua" w:hAnsi="Book Antiqua" w:cs="Book Antiqua"/>
          <w:b/>
          <w:bCs/>
          <w:color w:val="000000"/>
        </w:rPr>
        <w:t xml:space="preserve">Published online: </w:t>
      </w:r>
    </w:p>
    <w:p w14:paraId="114EAB4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20CD6D3" w14:textId="77777777" w:rsidR="00A77B3E" w:rsidRDefault="0052492E">
      <w:pPr>
        <w:spacing w:line="360" w:lineRule="auto"/>
        <w:jc w:val="both"/>
      </w:pPr>
      <w:r>
        <w:rPr>
          <w:rFonts w:ascii="Book Antiqua" w:eastAsia="Book Antiqua" w:hAnsi="Book Antiqua" w:cs="Book Antiqua"/>
          <w:b/>
          <w:color w:val="000000"/>
        </w:rPr>
        <w:t>Abstract</w:t>
      </w:r>
    </w:p>
    <w:p w14:paraId="119A19F2" w14:textId="1B3FFAE1" w:rsidR="00A77B3E" w:rsidRDefault="00966E87">
      <w:pPr>
        <w:spacing w:line="360" w:lineRule="auto"/>
        <w:jc w:val="both"/>
      </w:pPr>
      <w:bookmarkStart w:id="0" w:name="_Hlk62119122"/>
      <w:r>
        <w:rPr>
          <w:rFonts w:ascii="Book Antiqua" w:hAnsi="Book Antiqua" w:cs="Book Antiqua" w:hint="eastAsia"/>
          <w:color w:val="000000"/>
          <w:lang w:eastAsia="zh-CN"/>
        </w:rPr>
        <w:t>C</w:t>
      </w:r>
      <w:r w:rsidRPr="00B66013">
        <w:rPr>
          <w:rFonts w:ascii="Book Antiqua" w:eastAsia="Book Antiqua" w:hAnsi="Book Antiqua" w:cs="Book Antiqua"/>
          <w:color w:val="000000"/>
        </w:rPr>
        <w:t>oronavirus disease 2019</w:t>
      </w:r>
      <w:bookmarkEnd w:id="0"/>
      <w:r>
        <w:rPr>
          <w:rFonts w:ascii="Book Antiqua" w:hAnsi="Book Antiqua" w:cs="Book Antiqua" w:hint="eastAsia"/>
          <w:color w:val="000000"/>
          <w:lang w:eastAsia="zh-CN"/>
        </w:rPr>
        <w:t xml:space="preserve"> (</w:t>
      </w:r>
      <w:r w:rsidR="0052492E">
        <w:rPr>
          <w:rFonts w:ascii="Book Antiqua" w:eastAsia="Book Antiqua" w:hAnsi="Book Antiqua" w:cs="Book Antiqua"/>
          <w:color w:val="000000"/>
          <w:shd w:val="clear" w:color="auto" w:fill="FFFFFF"/>
        </w:rPr>
        <w:t>COVID-19</w:t>
      </w:r>
      <w:r>
        <w:rPr>
          <w:rFonts w:ascii="Book Antiqua" w:hAnsi="Book Antiqua" w:cs="Book Antiqua" w:hint="eastAsia"/>
          <w:color w:val="000000"/>
          <w:lang w:eastAsia="zh-CN"/>
        </w:rPr>
        <w:t>)</w:t>
      </w:r>
      <w:r w:rsidR="0052492E">
        <w:rPr>
          <w:rFonts w:ascii="Book Antiqua" w:eastAsia="Book Antiqua" w:hAnsi="Book Antiqua" w:cs="Book Antiqua"/>
          <w:color w:val="000000"/>
          <w:shd w:val="clear" w:color="auto" w:fill="FFFFFF"/>
        </w:rPr>
        <w:t xml:space="preserve"> consists of a systemic disease that can present many complications. The infection presents broad clinical symptoms and a high rate of transmissibility. In addition to severe acute respiratory syndrome, the patients manifest complications beyond the respiratory system. The frequency of liver damage in COVID-19 patients ranges from 14.8% to 53% of patients.</w:t>
      </w:r>
      <w:r>
        <w:rPr>
          <w:rFonts w:ascii="Book Antiqua" w:hAnsi="Book Antiqua" w:cs="Book Antiqua" w:hint="eastAsia"/>
          <w:color w:val="000000"/>
          <w:shd w:val="clear" w:color="auto" w:fill="FFFFFF"/>
          <w:lang w:eastAsia="zh-CN"/>
        </w:rPr>
        <w:t xml:space="preserve"> </w:t>
      </w:r>
      <w:r w:rsidR="0052492E">
        <w:rPr>
          <w:rFonts w:ascii="Book Antiqua" w:eastAsia="Book Antiqua" w:hAnsi="Book Antiqua" w:cs="Book Antiqua"/>
          <w:color w:val="000000"/>
        </w:rPr>
        <w:t xml:space="preserve">One should pay attention to drug-induced liver injury (DILI) in patients with COVID-19, especially considering the off-label use of drugs in prophylactic and therapeutic regimens applied on large scales. </w:t>
      </w:r>
      <w:r w:rsidR="0052492E">
        <w:rPr>
          <w:rFonts w:ascii="Book Antiqua" w:eastAsia="Book Antiqua" w:hAnsi="Book Antiqua" w:cs="Book Antiqua"/>
          <w:color w:val="000000"/>
          <w:shd w:val="clear" w:color="auto" w:fill="FFFFFF"/>
        </w:rPr>
        <w:t xml:space="preserve">This review aims to present relevant information on the medication used so far in COVID-19 patients and its possible hepatotoxicity. We </w:t>
      </w:r>
      <w:r w:rsidR="0052492E">
        <w:rPr>
          <w:rFonts w:ascii="Book Antiqua" w:eastAsia="Book Antiqua" w:hAnsi="Book Antiqua" w:cs="Book Antiqua"/>
          <w:color w:val="000000"/>
        </w:rPr>
        <w:t xml:space="preserve">reviewed liver damage in patients with COVID-19 on PubMed and Virtual Health Library to investigate DILI cases. </w:t>
      </w:r>
      <w:r w:rsidR="0052492E">
        <w:rPr>
          <w:rFonts w:ascii="Book Antiqua" w:eastAsia="Book Antiqua" w:hAnsi="Book Antiqua" w:cs="Book Antiqua"/>
          <w:color w:val="000000"/>
          <w:shd w:val="clear" w:color="auto" w:fill="FFFFFF"/>
        </w:rPr>
        <w:t>Four studies were selected, involving the medicines remdesivir, tocilizumab and a pharmacovigilance analysis study</w:t>
      </w:r>
      <w:r w:rsidR="0052492E">
        <w:rPr>
          <w:rFonts w:ascii="Book Antiqua" w:eastAsia="Book Antiqua" w:hAnsi="Book Antiqua" w:cs="Book Antiqua"/>
          <w:color w:val="000000"/>
        </w:rPr>
        <w:t xml:space="preserve">. The hepatotoxicity profile of drugs presented in the literature considers use in accordance to usual posology standards for treatment. However, drugs currently used in the management of COVID-19 follow different dosages and posology than those tested by the pharmaceutical industry. The deficiency of uniformity and standardization in the assessment of hepatotoxicity cases hinders the publication of information and the possibility of comparing information among healthcare professionals. It is suggested that severe liver injury in COVID-19 patients should be reported in pharmacovigilance institutions, and physicians should pay attention to any considerable abnormal liver test elevation as it can demonstrate unknown drug hepatotoxicity. Liver disorders in COVID-19 patients and the use of several concomitant off-label medications — with a potential risk of further damaging the liver </w:t>
      </w:r>
      <w:r w:rsidR="0020406F">
        <w:rPr>
          <w:rFonts w:ascii="Book Antiqua" w:eastAsia="Book Antiqua" w:hAnsi="Book Antiqua" w:cs="Book Antiqua"/>
          <w:color w:val="000000"/>
        </w:rPr>
        <w:t>-</w:t>
      </w:r>
      <w:r w:rsidR="0052492E">
        <w:rPr>
          <w:rFonts w:ascii="Book Antiqua" w:eastAsia="Book Antiqua" w:hAnsi="Book Antiqua" w:cs="Book Antiqua"/>
          <w:color w:val="000000"/>
        </w:rPr>
        <w:t xml:space="preserve"> should at least be a warning sign for rapid identification and early intervention, thus preventing liver damage from contributing to severe impairment in patients.</w:t>
      </w:r>
    </w:p>
    <w:p w14:paraId="5FE222B8" w14:textId="77777777" w:rsidR="00A77B3E" w:rsidRDefault="00A77B3E">
      <w:pPr>
        <w:spacing w:line="360" w:lineRule="auto"/>
        <w:jc w:val="both"/>
      </w:pPr>
    </w:p>
    <w:p w14:paraId="015AC377" w14:textId="77777777" w:rsidR="00A77B3E" w:rsidRDefault="0052492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injury; Chemical and drug-induced liver injury; COVID-19; SARS-CoV-2; Pharmacovigilance</w:t>
      </w:r>
    </w:p>
    <w:p w14:paraId="12095ECF" w14:textId="77777777" w:rsidR="00A77B3E" w:rsidRDefault="00A77B3E">
      <w:pPr>
        <w:spacing w:line="360" w:lineRule="auto"/>
        <w:jc w:val="both"/>
      </w:pPr>
    </w:p>
    <w:p w14:paraId="0C86F5FB" w14:textId="77777777" w:rsidR="00A77B3E" w:rsidRDefault="0052492E">
      <w:pPr>
        <w:spacing w:line="360" w:lineRule="auto"/>
        <w:jc w:val="both"/>
      </w:pPr>
      <w:r>
        <w:rPr>
          <w:rFonts w:ascii="Book Antiqua" w:eastAsia="Book Antiqua" w:hAnsi="Book Antiqua" w:cs="Book Antiqua"/>
          <w:color w:val="000000"/>
        </w:rPr>
        <w:t xml:space="preserve">Ortiz GX, Lenhart G, Becker MW, Schwambach KH, Tovo CV, Blatt CR. Drug-induced liver injury and COVID-19: A review for clinical practice.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309767CD" w14:textId="77777777" w:rsidR="00A77B3E" w:rsidRDefault="00A77B3E">
      <w:pPr>
        <w:spacing w:line="360" w:lineRule="auto"/>
        <w:jc w:val="both"/>
      </w:pPr>
    </w:p>
    <w:p w14:paraId="3B75FBDA" w14:textId="6F9156C6" w:rsidR="00A77B3E" w:rsidRDefault="0052492E">
      <w:pPr>
        <w:spacing w:line="360" w:lineRule="auto"/>
        <w:jc w:val="both"/>
      </w:pPr>
      <w:r>
        <w:rPr>
          <w:rFonts w:ascii="Book Antiqua" w:eastAsia="Book Antiqua" w:hAnsi="Book Antiqua" w:cs="Book Antiqua"/>
          <w:b/>
          <w:bCs/>
          <w:color w:val="000000"/>
        </w:rPr>
        <w:t xml:space="preserve">Core Tip: </w:t>
      </w:r>
      <w:r w:rsidR="00966E87">
        <w:rPr>
          <w:rFonts w:ascii="Book Antiqua" w:hAnsi="Book Antiqua" w:cs="Book Antiqua" w:hint="eastAsia"/>
          <w:color w:val="000000"/>
          <w:lang w:eastAsia="zh-CN"/>
        </w:rPr>
        <w:t>C</w:t>
      </w:r>
      <w:r w:rsidR="00966E87" w:rsidRPr="00B66013">
        <w:rPr>
          <w:rFonts w:ascii="Book Antiqua" w:eastAsia="Book Antiqua" w:hAnsi="Book Antiqua" w:cs="Book Antiqua"/>
          <w:color w:val="000000"/>
        </w:rPr>
        <w:t>oronavirus disease 2019</w:t>
      </w:r>
      <w:r w:rsidR="00966E87">
        <w:rPr>
          <w:rFonts w:ascii="Book Antiqua" w:hAnsi="Book Antiqua" w:cs="Book Antiqua" w:hint="eastAsia"/>
          <w:color w:val="000000"/>
          <w:lang w:eastAsia="zh-CN"/>
        </w:rPr>
        <w:t xml:space="preserve"> (</w:t>
      </w:r>
      <w:r w:rsidR="00966E87">
        <w:rPr>
          <w:rFonts w:ascii="Book Antiqua" w:eastAsia="Book Antiqua" w:hAnsi="Book Antiqua" w:cs="Book Antiqua"/>
          <w:color w:val="000000"/>
          <w:shd w:val="clear" w:color="auto" w:fill="FFFFFF"/>
        </w:rPr>
        <w:t>COVID-19</w:t>
      </w:r>
      <w:r w:rsidR="00966E87">
        <w:rPr>
          <w:rFonts w:ascii="Book Antiqua" w:hAnsi="Book Antiqua" w:cs="Book Antiqua" w:hint="eastAsia"/>
          <w:color w:val="000000"/>
          <w:lang w:eastAsia="zh-CN"/>
        </w:rPr>
        <w:t>)</w:t>
      </w:r>
      <w:r>
        <w:rPr>
          <w:rFonts w:ascii="Book Antiqua" w:eastAsia="Book Antiqua" w:hAnsi="Book Antiqua" w:cs="Book Antiqua"/>
          <w:color w:val="000000"/>
        </w:rPr>
        <w:t xml:space="preserve"> is a multisystemic disease, and liver manifestations are an important aspect to be considered. One should pay attention to drug-induced liver injury, especially considering the off-label use of drugs in prophylactic and therapeutic regimens applied on large scales. A review of liver damage in patients with COVID-19 returned three studies involving remdesivir, tocilizumab, and a pharmacovigilance study. Liver disorders in COVID-19 patients and the use of several concomitant off-label drugs </w:t>
      </w:r>
      <w:r w:rsidR="002379A6">
        <w:rPr>
          <w:rFonts w:ascii="Book Antiqua" w:eastAsia="Book Antiqua" w:hAnsi="Book Antiqua" w:cs="Book Antiqua"/>
          <w:color w:val="000000"/>
        </w:rPr>
        <w:t xml:space="preserve">- </w:t>
      </w:r>
      <w:r>
        <w:rPr>
          <w:rFonts w:ascii="Book Antiqua" w:eastAsia="Book Antiqua" w:hAnsi="Book Antiqua" w:cs="Book Antiqua"/>
          <w:color w:val="000000"/>
        </w:rPr>
        <w:t xml:space="preserve">potentially causing further liver damage </w:t>
      </w:r>
      <w:r w:rsidR="002379A6">
        <w:rPr>
          <w:rFonts w:ascii="Book Antiqua" w:eastAsia="Book Antiqua" w:hAnsi="Book Antiqua" w:cs="Book Antiqua"/>
          <w:color w:val="000000"/>
        </w:rPr>
        <w:t>-</w:t>
      </w:r>
      <w:r>
        <w:rPr>
          <w:rFonts w:ascii="Book Antiqua" w:eastAsia="Book Antiqua" w:hAnsi="Book Antiqua" w:cs="Book Antiqua"/>
          <w:color w:val="000000"/>
        </w:rPr>
        <w:t xml:space="preserve"> should be a warning sign for rapid identification and early intervention, thus preventing severe impairment in patients.</w:t>
      </w:r>
    </w:p>
    <w:p w14:paraId="384BAA42" w14:textId="77777777" w:rsidR="00A77B3E" w:rsidRDefault="00966E87">
      <w:pPr>
        <w:spacing w:line="360" w:lineRule="auto"/>
        <w:jc w:val="both"/>
      </w:pPr>
      <w:r>
        <w:br w:type="page"/>
      </w:r>
      <w:r w:rsidR="0052492E">
        <w:rPr>
          <w:rFonts w:ascii="Book Antiqua" w:eastAsia="Book Antiqua" w:hAnsi="Book Antiqua" w:cs="Book Antiqua"/>
          <w:b/>
          <w:caps/>
          <w:color w:val="000000"/>
          <w:u w:val="single"/>
        </w:rPr>
        <w:t>INTRODUCTION</w:t>
      </w:r>
    </w:p>
    <w:p w14:paraId="49CF6FDB" w14:textId="77777777" w:rsidR="00A77B3E" w:rsidRDefault="0052492E" w:rsidP="00966E87">
      <w:pPr>
        <w:spacing w:line="360" w:lineRule="auto"/>
        <w:jc w:val="both"/>
      </w:pPr>
      <w:r>
        <w:rPr>
          <w:rFonts w:ascii="Book Antiqua" w:eastAsia="Book Antiqua" w:hAnsi="Book Antiqua" w:cs="Book Antiqua"/>
          <w:color w:val="000000"/>
          <w:shd w:val="clear" w:color="auto" w:fill="FFFFFF"/>
        </w:rPr>
        <w:t xml:space="preserve">In December 2019, the world watched severe acute respiratory syndrome (SARS) spread from an epidemic in China to a pandemic with global catastrophic </w:t>
      </w:r>
      <w:proofErr w:type="gramStart"/>
      <w:r>
        <w:rPr>
          <w:rFonts w:ascii="Book Antiqua" w:eastAsia="Book Antiqua" w:hAnsi="Book Antiqua" w:cs="Book Antiqua"/>
          <w:color w:val="000000"/>
          <w:shd w:val="clear" w:color="auto" w:fill="FFFFFF"/>
        </w:rPr>
        <w:t>effects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w:t>
      </w:r>
      <w:r>
        <w:rPr>
          <w:rFonts w:ascii="Book Antiqua" w:eastAsia="Book Antiqua" w:hAnsi="Book Antiqua" w:cs="Book Antiqua"/>
          <w:color w:val="000000"/>
          <w:shd w:val="clear" w:color="auto" w:fill="FFFFFF"/>
        </w:rPr>
        <w:t xml:space="preserve">. The virus causing the syndrome has been identified as </w:t>
      </w:r>
      <w:r w:rsidR="00966E87" w:rsidRPr="005865F1">
        <w:rPr>
          <w:rFonts w:ascii="Book Antiqua" w:eastAsia="Book Antiqua" w:hAnsi="Book Antiqua" w:cs="Book Antiqua"/>
          <w:color w:val="000000"/>
        </w:rPr>
        <w:t>severe acute respiratory syndrome coronavirus 2</w:t>
      </w:r>
      <w:r w:rsidR="00966E87">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SARS-CoV-2</w:t>
      </w:r>
      <w:r w:rsidR="00966E8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 new pathogen in the coronavirus family, and the disease is called </w:t>
      </w:r>
      <w:r w:rsidR="00966E87">
        <w:rPr>
          <w:rFonts w:ascii="Book Antiqua" w:hAnsi="Book Antiqua" w:cs="Book Antiqua" w:hint="eastAsia"/>
          <w:color w:val="000000"/>
          <w:lang w:eastAsia="zh-CN"/>
        </w:rPr>
        <w:t>c</w:t>
      </w:r>
      <w:r w:rsidR="00966E87" w:rsidRPr="00B66013">
        <w:rPr>
          <w:rFonts w:ascii="Book Antiqua" w:eastAsia="Book Antiqua" w:hAnsi="Book Antiqua" w:cs="Book Antiqua"/>
          <w:color w:val="000000"/>
        </w:rPr>
        <w:t>oronavirus disease 2019</w:t>
      </w:r>
      <w:r w:rsidR="00966E87">
        <w:rPr>
          <w:rFonts w:ascii="Book Antiqua" w:hAnsi="Book Antiqua" w:cs="Book Antiqua" w:hint="eastAsia"/>
          <w:color w:val="000000"/>
          <w:lang w:eastAsia="zh-CN"/>
        </w:rPr>
        <w:t xml:space="preserve"> (</w:t>
      </w:r>
      <w:r w:rsidR="00966E87">
        <w:rPr>
          <w:rFonts w:ascii="Book Antiqua" w:eastAsia="Book Antiqua" w:hAnsi="Book Antiqua" w:cs="Book Antiqua"/>
          <w:color w:val="000000"/>
          <w:shd w:val="clear" w:color="auto" w:fill="FFFFFF"/>
        </w:rPr>
        <w:t>COVID-</w:t>
      </w:r>
      <w:proofErr w:type="gramStart"/>
      <w:r w:rsidR="00966E87">
        <w:rPr>
          <w:rFonts w:ascii="Book Antiqua" w:eastAsia="Book Antiqua" w:hAnsi="Book Antiqua" w:cs="Book Antiqua"/>
          <w:color w:val="000000"/>
          <w:shd w:val="clear" w:color="auto" w:fill="FFFFFF"/>
        </w:rPr>
        <w:t>19</w:t>
      </w:r>
      <w:r w:rsidR="00966E87">
        <w:rPr>
          <w:rFonts w:ascii="Book Antiqua" w:hAnsi="Book Antiqua" w:cs="Book Antiqua" w:hint="eastAsia"/>
          <w:color w:val="000000"/>
          <w:lang w:eastAsia="zh-CN"/>
        </w:rPr>
        <w: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 xml:space="preserve">. On January 31, 2021, COVID-19 was already present in 223 countries/territories, with over one hundred million confirmed cases and two million deaths. The United States presents more than 40% of confirmed cases worldwide, followed by India and </w:t>
      </w:r>
      <w:proofErr w:type="gramStart"/>
      <w:r>
        <w:rPr>
          <w:rFonts w:ascii="Book Antiqua" w:eastAsia="Book Antiqua" w:hAnsi="Book Antiqua" w:cs="Book Antiqua"/>
          <w:color w:val="000000"/>
          <w:shd w:val="clear" w:color="auto" w:fill="FFFFFF"/>
        </w:rPr>
        <w:t>Brazil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w:t>
      </w:r>
    </w:p>
    <w:p w14:paraId="36030225" w14:textId="77777777" w:rsidR="00A77B3E" w:rsidRPr="00966E87" w:rsidRDefault="0052492E" w:rsidP="00966E87">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The infection presents broad clinical symptoms and a high rate of transmissibility. The overall signs can vary from fever, cough, shortness of breath, body pain, and diarrhea to severe </w:t>
      </w:r>
      <w:proofErr w:type="gramStart"/>
      <w:r>
        <w:rPr>
          <w:rFonts w:ascii="Book Antiqua" w:eastAsia="Book Antiqua" w:hAnsi="Book Antiqua" w:cs="Book Antiqua"/>
          <w:color w:val="000000"/>
          <w:shd w:val="clear" w:color="auto" w:fill="FFFFFF"/>
        </w:rPr>
        <w:t>pneumonia</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shd w:val="clear" w:color="auto" w:fill="FFFFFF"/>
        </w:rPr>
        <w:t xml:space="preserve">. COVID-19 is a multifactorial systemic disease with rapid progression, leading a patient to the intensive care unit (ICU) in a matter of </w:t>
      </w:r>
      <w:proofErr w:type="gramStart"/>
      <w:r>
        <w:rPr>
          <w:rFonts w:ascii="Book Antiqua" w:eastAsia="Book Antiqua" w:hAnsi="Book Antiqua" w:cs="Book Antiqua"/>
          <w:color w:val="000000"/>
          <w:shd w:val="clear" w:color="auto" w:fill="FFFFFF"/>
        </w:rPr>
        <w:t>days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 xml:space="preserve">. In mild cases of the disease, symptomatic treatment is indicated. In moderate to severe cases, support measures and the use of experimental/off-label treatments should be </w:t>
      </w:r>
      <w:proofErr w:type="gramStart"/>
      <w:r>
        <w:rPr>
          <w:rFonts w:ascii="Book Antiqua" w:eastAsia="Book Antiqua" w:hAnsi="Book Antiqua" w:cs="Book Antiqua"/>
          <w:color w:val="000000"/>
          <w:shd w:val="clear" w:color="auto" w:fill="FFFFFF"/>
        </w:rPr>
        <w:t>performed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w:t>
      </w:r>
      <w:r>
        <w:rPr>
          <w:rFonts w:ascii="Book Antiqua" w:eastAsia="Book Antiqua" w:hAnsi="Book Antiqua" w:cs="Book Antiqua"/>
          <w:color w:val="000000"/>
          <w:shd w:val="clear" w:color="auto" w:fill="FFFFFF"/>
        </w:rPr>
        <w:t>.</w:t>
      </w:r>
    </w:p>
    <w:p w14:paraId="2C761A43" w14:textId="77777777" w:rsidR="00A77B3E" w:rsidRDefault="0052492E" w:rsidP="00966E87">
      <w:pPr>
        <w:spacing w:line="360" w:lineRule="auto"/>
        <w:ind w:firstLineChars="100" w:firstLine="240"/>
        <w:jc w:val="both"/>
      </w:pPr>
      <w:r>
        <w:rPr>
          <w:rFonts w:ascii="Book Antiqua" w:eastAsia="Book Antiqua" w:hAnsi="Book Antiqua" w:cs="Book Antiqua"/>
          <w:color w:val="000000"/>
          <w:shd w:val="clear" w:color="auto" w:fill="FFFFFF"/>
        </w:rPr>
        <w:t xml:space="preserve">In addition to </w:t>
      </w:r>
      <w:r w:rsidR="00966E87">
        <w:rPr>
          <w:rFonts w:ascii="Book Antiqua" w:eastAsia="Book Antiqua" w:hAnsi="Book Antiqua" w:cs="Book Antiqua"/>
          <w:color w:val="000000"/>
          <w:shd w:val="clear" w:color="auto" w:fill="FFFFFF"/>
        </w:rPr>
        <w:t>SARS</w:t>
      </w:r>
      <w:r>
        <w:rPr>
          <w:rFonts w:ascii="Book Antiqua" w:eastAsia="Book Antiqua" w:hAnsi="Book Antiqua" w:cs="Book Antiqua"/>
          <w:color w:val="000000"/>
          <w:shd w:val="clear" w:color="auto" w:fill="FFFFFF"/>
        </w:rPr>
        <w:t xml:space="preserve">, patients with COVID-19 manifest complications beyond the respiratory </w:t>
      </w:r>
      <w:proofErr w:type="gramStart"/>
      <w:r>
        <w:rPr>
          <w:rFonts w:ascii="Book Antiqua" w:eastAsia="Book Antiqua" w:hAnsi="Book Antiqua" w:cs="Book Antiqua"/>
          <w:color w:val="000000"/>
          <w:shd w:val="clear" w:color="auto" w:fill="FFFFFF"/>
        </w:rPr>
        <w:t>system</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w:t>
      </w:r>
      <w:r>
        <w:rPr>
          <w:rFonts w:ascii="Book Antiqua" w:eastAsia="Book Antiqua" w:hAnsi="Book Antiqua" w:cs="Book Antiqua"/>
          <w:color w:val="000000"/>
          <w:shd w:val="clear" w:color="auto" w:fill="FFFFFF"/>
        </w:rPr>
        <w:t>. The virus hosts the angiotensin-converting enzyme receptor 2 (ACE-2), which despite being expressed in 80% of lung cells, it is also located in tissues such as vascular endothelium, gastrointestinal tract, squamous epithelium of the nasal, oral mucosa, and nasopharynx</w:t>
      </w:r>
      <w:r>
        <w:rPr>
          <w:rFonts w:ascii="Book Antiqua" w:eastAsia="Book Antiqua" w:hAnsi="Book Antiqua" w:cs="Book Antiqua"/>
          <w:color w:val="000000"/>
          <w:szCs w:val="20"/>
          <w:shd w:val="clear" w:color="auto" w:fill="FFFFFF"/>
          <w:vertAlign w:val="superscript"/>
        </w:rPr>
        <w:t>[7,8]</w:t>
      </w:r>
      <w:r>
        <w:rPr>
          <w:rFonts w:ascii="Book Antiqua" w:eastAsia="Book Antiqua" w:hAnsi="Book Antiqua" w:cs="Book Antiqua"/>
          <w:color w:val="000000"/>
          <w:shd w:val="clear" w:color="auto" w:fill="FFFFFF"/>
        </w:rPr>
        <w:t xml:space="preserve">. Therefore, COVID-19 consists of a systemic disease that can present complications such as thromboembolic episodes, arrhythmias, and myocardial dysfunction, prolongation of the QT interval, acute coronary syndrome, kidney injury, hepatocellular damage, hyperglycemia, and ketoacidosis, neurological symptoms, sepsis and, in more severe cases, multiple organ </w:t>
      </w:r>
      <w:proofErr w:type="gramStart"/>
      <w:r>
        <w:rPr>
          <w:rFonts w:ascii="Book Antiqua" w:eastAsia="Book Antiqua" w:hAnsi="Book Antiqua" w:cs="Book Antiqua"/>
          <w:color w:val="000000"/>
          <w:shd w:val="clear" w:color="auto" w:fill="FFFFFF"/>
        </w:rPr>
        <w:t>failure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w:t>
      </w:r>
      <w:r>
        <w:rPr>
          <w:rFonts w:ascii="Book Antiqua" w:eastAsia="Book Antiqua" w:hAnsi="Book Antiqua" w:cs="Book Antiqua"/>
          <w:color w:val="000000"/>
          <w:shd w:val="clear" w:color="auto" w:fill="FFFFFF"/>
        </w:rPr>
        <w:t>.</w:t>
      </w:r>
    </w:p>
    <w:p w14:paraId="49DA477E" w14:textId="77777777" w:rsidR="00A77B3E" w:rsidRDefault="0052492E" w:rsidP="00966E87">
      <w:pPr>
        <w:spacing w:line="360" w:lineRule="auto"/>
        <w:ind w:firstLineChars="100" w:firstLine="240"/>
        <w:jc w:val="both"/>
      </w:pPr>
      <w:r>
        <w:rPr>
          <w:rFonts w:ascii="Book Antiqua" w:eastAsia="Book Antiqua" w:hAnsi="Book Antiqua" w:cs="Book Antiqua"/>
          <w:color w:val="000000"/>
          <w:shd w:val="clear" w:color="auto" w:fill="FFFFFF"/>
        </w:rPr>
        <w:t xml:space="preserve">The frequency of liver damage in COVID-19 patients ranges from 14.8% to 53% of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w:t>
      </w:r>
      <w:r>
        <w:rPr>
          <w:rFonts w:ascii="Book Antiqua" w:eastAsia="Book Antiqua" w:hAnsi="Book Antiqua" w:cs="Book Antiqua"/>
          <w:color w:val="000000"/>
          <w:shd w:val="clear" w:color="auto" w:fill="FFFFFF"/>
        </w:rPr>
        <w:t>. In a</w:t>
      </w:r>
      <w:r w:rsidR="00966E87">
        <w:rPr>
          <w:rFonts w:ascii="Book Antiqua" w:eastAsia="Book Antiqua" w:hAnsi="Book Antiqua" w:cs="Book Antiqua"/>
          <w:color w:val="000000"/>
          <w:shd w:val="clear" w:color="auto" w:fill="FFFFFF"/>
        </w:rPr>
        <w:t xml:space="preserve"> systematic review analyzing 12</w:t>
      </w:r>
      <w:r>
        <w:rPr>
          <w:rFonts w:ascii="Book Antiqua" w:eastAsia="Book Antiqua" w:hAnsi="Book Antiqua" w:cs="Book Antiqua"/>
          <w:color w:val="000000"/>
          <w:shd w:val="clear" w:color="auto" w:fill="FFFFFF"/>
        </w:rPr>
        <w:t xml:space="preserve">882 hospitalized patients, 41.1% had elevated aspartate aminotransferase (AST), and 29.1% increased alanine aminotransferase (ALT). Elevation of AST and ALT three times above the normal upper limit is significantly associated with greater chances of unfavorable clinical outcomes </w:t>
      </w:r>
      <w:r>
        <w:rPr>
          <w:rFonts w:ascii="Book Antiqua" w:eastAsia="Book Antiqua" w:hAnsi="Book Antiqua" w:cs="Book Antiqua"/>
          <w:color w:val="000000"/>
          <w:szCs w:val="20"/>
          <w:shd w:val="clear" w:color="auto" w:fill="FFFFFF"/>
          <w:vertAlign w:val="superscript"/>
        </w:rPr>
        <w:t>[11]</w:t>
      </w:r>
      <w:r>
        <w:rPr>
          <w:rFonts w:ascii="Book Antiqua" w:eastAsia="Book Antiqua" w:hAnsi="Book Antiqua" w:cs="Book Antiqua"/>
          <w:color w:val="000000"/>
          <w:shd w:val="clear" w:color="auto" w:fill="FFFFFF"/>
        </w:rPr>
        <w:t>. Other publications d</w:t>
      </w:r>
      <w:r w:rsidR="00966E87">
        <w:rPr>
          <w:rFonts w:ascii="Book Antiqua" w:eastAsia="Book Antiqua" w:hAnsi="Book Antiqua" w:cs="Book Antiqua"/>
          <w:color w:val="000000"/>
          <w:shd w:val="clear" w:color="auto" w:fill="FFFFFF"/>
        </w:rPr>
        <w:t>emonstrate the increase in ALT/</w:t>
      </w:r>
      <w:r>
        <w:rPr>
          <w:rFonts w:ascii="Book Antiqua" w:eastAsia="Book Antiqua" w:hAnsi="Book Antiqua" w:cs="Book Antiqua"/>
          <w:color w:val="000000"/>
          <w:shd w:val="clear" w:color="auto" w:fill="FFFFFF"/>
        </w:rPr>
        <w:t>AST ratio in 16</w:t>
      </w:r>
      <w:r w:rsidR="00966E8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to 62% of cases and</w:t>
      </w:r>
      <w:r>
        <w:rPr>
          <w:rFonts w:ascii="Book Antiqua" w:eastAsia="Book Antiqua" w:hAnsi="Book Antiqua" w:cs="Book Antiqua"/>
          <w:color w:val="000000"/>
        </w:rPr>
        <w:t xml:space="preserve"> elevated total bilirubin by</w:t>
      </w:r>
      <w:r>
        <w:rPr>
          <w:rFonts w:ascii="Book Antiqua" w:eastAsia="Book Antiqua" w:hAnsi="Book Antiqua" w:cs="Book Antiqua"/>
          <w:color w:val="000000"/>
          <w:shd w:val="clear" w:color="auto" w:fill="FFFFFF"/>
        </w:rPr>
        <w:t xml:space="preserve"> 5</w:t>
      </w:r>
      <w:r w:rsidR="00966E8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to 21% of the patients. Elevation of AST and ALT presented is about two times above the normal upper </w:t>
      </w:r>
      <w:proofErr w:type="gramStart"/>
      <w:r>
        <w:rPr>
          <w:rFonts w:ascii="Book Antiqua" w:eastAsia="Book Antiqua" w:hAnsi="Book Antiqua" w:cs="Book Antiqua"/>
          <w:color w:val="000000"/>
          <w:shd w:val="clear" w:color="auto" w:fill="FFFFFF"/>
        </w:rPr>
        <w:t>limit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12]</w:t>
      </w:r>
      <w:r>
        <w:rPr>
          <w:rFonts w:ascii="Book Antiqua" w:eastAsia="Book Antiqua" w:hAnsi="Book Antiqua" w:cs="Book Antiqua"/>
          <w:color w:val="000000"/>
          <w:shd w:val="clear" w:color="auto" w:fill="FFFFFF"/>
        </w:rPr>
        <w:t xml:space="preserve">. Studies suggest that aminotransferase elevations occur more frequently in severe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w:t>
      </w:r>
      <w:r>
        <w:rPr>
          <w:rFonts w:ascii="Book Antiqua" w:eastAsia="Book Antiqua" w:hAnsi="Book Antiqua" w:cs="Book Antiqua"/>
          <w:color w:val="000000"/>
          <w:shd w:val="clear" w:color="auto" w:fill="FFFFFF"/>
        </w:rPr>
        <w:t>.</w:t>
      </w:r>
    </w:p>
    <w:p w14:paraId="55F58DBB" w14:textId="77777777" w:rsidR="00A77B3E" w:rsidRDefault="0052492E" w:rsidP="00966E87">
      <w:pPr>
        <w:spacing w:line="360" w:lineRule="auto"/>
        <w:ind w:firstLineChars="100" w:firstLine="240"/>
        <w:jc w:val="both"/>
      </w:pPr>
      <w:r>
        <w:rPr>
          <w:rFonts w:ascii="Book Antiqua" w:eastAsia="Book Antiqua" w:hAnsi="Book Antiqua" w:cs="Book Antiqua"/>
          <w:color w:val="000000"/>
          <w:shd w:val="clear" w:color="auto" w:fill="FFFFFF"/>
        </w:rPr>
        <w:t>The liver injury pattern consists of increased AST/ALT and less frequently decreased serum albumin, increase total bilirubin, gamma-</w:t>
      </w:r>
      <w:proofErr w:type="spellStart"/>
      <w:r>
        <w:rPr>
          <w:rFonts w:ascii="Book Antiqua" w:eastAsia="Book Antiqua" w:hAnsi="Book Antiqua" w:cs="Book Antiqua"/>
          <w:color w:val="000000"/>
          <w:shd w:val="clear" w:color="auto" w:fill="FFFFFF"/>
        </w:rPr>
        <w:t>glutamyltransferase</w:t>
      </w:r>
      <w:proofErr w:type="spellEnd"/>
      <w:r>
        <w:rPr>
          <w:rFonts w:ascii="Book Antiqua" w:eastAsia="Book Antiqua" w:hAnsi="Book Antiqua" w:cs="Book Antiqua"/>
          <w:color w:val="000000"/>
          <w:shd w:val="clear" w:color="auto" w:fill="FFFFFF"/>
        </w:rPr>
        <w:t xml:space="preserve"> (GT range), and alkaline phosphatase</w:t>
      </w:r>
      <w:r>
        <w:rPr>
          <w:rFonts w:ascii="Book Antiqua" w:eastAsia="Book Antiqua" w:hAnsi="Book Antiqua" w:cs="Book Antiqua"/>
          <w:color w:val="000000"/>
          <w:szCs w:val="20"/>
          <w:shd w:val="clear" w:color="auto" w:fill="FFFFFF"/>
          <w:vertAlign w:val="superscript"/>
        </w:rPr>
        <w:t>[13,14]</w:t>
      </w:r>
      <w:r>
        <w:rPr>
          <w:rFonts w:ascii="Book Antiqua" w:eastAsia="Book Antiqua" w:hAnsi="Book Antiqua" w:cs="Book Antiqua"/>
          <w:color w:val="000000"/>
          <w:shd w:val="clear" w:color="auto" w:fill="FFFFFF"/>
        </w:rPr>
        <w:t xml:space="preserve">. Liver histopathological alterations demonstrated </w:t>
      </w:r>
      <w:proofErr w:type="spellStart"/>
      <w:r>
        <w:rPr>
          <w:rFonts w:ascii="Book Antiqua" w:eastAsia="Book Antiqua" w:hAnsi="Book Antiqua" w:cs="Book Antiqua"/>
          <w:color w:val="000000"/>
          <w:shd w:val="clear" w:color="auto" w:fill="FFFFFF"/>
        </w:rPr>
        <w:t>microvesicular</w:t>
      </w:r>
      <w:proofErr w:type="spellEnd"/>
      <w:r>
        <w:rPr>
          <w:rFonts w:ascii="Book Antiqua" w:eastAsia="Book Antiqua" w:hAnsi="Book Antiqua" w:cs="Book Antiqua"/>
          <w:color w:val="000000"/>
          <w:shd w:val="clear" w:color="auto" w:fill="FFFFFF"/>
        </w:rPr>
        <w:t xml:space="preserve"> steatosis, portal fibrosis, inflammatory infiltration in the hepatic and ductular lobe, and multifactorial acute liver </w:t>
      </w:r>
      <w:proofErr w:type="gramStart"/>
      <w:r>
        <w:rPr>
          <w:rFonts w:ascii="Book Antiqua" w:eastAsia="Book Antiqua" w:hAnsi="Book Antiqua" w:cs="Book Antiqua"/>
          <w:color w:val="000000"/>
          <w:shd w:val="clear" w:color="auto" w:fill="FFFFFF"/>
        </w:rPr>
        <w:t>necrosis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w:t>
      </w:r>
      <w:r>
        <w:rPr>
          <w:rFonts w:ascii="Book Antiqua" w:eastAsia="Book Antiqua" w:hAnsi="Book Antiqua" w:cs="Book Antiqua"/>
          <w:color w:val="000000"/>
          <w:shd w:val="clear" w:color="auto" w:fill="FFFFFF"/>
        </w:rPr>
        <w:t xml:space="preserve">. The high transmissibility of the virus and the absence of protocols for the protection of health professionals at the beginning of the pandemic made it difficult to perform autopsies and liver biopsies of patients with COVID-19 </w:t>
      </w:r>
      <w:bookmarkStart w:id="1" w:name="_Hlk61967700"/>
      <w:r w:rsidR="00966E87" w:rsidRPr="008D1AA7">
        <w:rPr>
          <w:rFonts w:ascii="Book Antiqua" w:eastAsia="Book Antiqua" w:hAnsi="Book Antiqua" w:cs="Book Antiqua"/>
          <w:bCs/>
          <w:color w:val="000000"/>
        </w:rPr>
        <w:t>—</w:t>
      </w:r>
      <w:bookmarkEnd w:id="1"/>
      <w:r>
        <w:rPr>
          <w:rFonts w:ascii="Book Antiqua" w:eastAsia="Book Antiqua" w:hAnsi="Book Antiqua" w:cs="Book Antiqua"/>
          <w:color w:val="000000"/>
          <w:shd w:val="clear" w:color="auto" w:fill="FFFFFF"/>
        </w:rPr>
        <w:t xml:space="preserve"> leading to scarce histopathological data in the </w:t>
      </w:r>
      <w:proofErr w:type="gramStart"/>
      <w:r>
        <w:rPr>
          <w:rFonts w:ascii="Book Antiqua" w:eastAsia="Book Antiqua" w:hAnsi="Book Antiqua" w:cs="Book Antiqua"/>
          <w:color w:val="000000"/>
          <w:shd w:val="clear" w:color="auto" w:fill="FFFFFF"/>
        </w:rPr>
        <w:t>literature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15]</w:t>
      </w:r>
      <w:r>
        <w:rPr>
          <w:rFonts w:ascii="Book Antiqua" w:eastAsia="Book Antiqua" w:hAnsi="Book Antiqua" w:cs="Book Antiqua"/>
          <w:color w:val="000000"/>
          <w:shd w:val="clear" w:color="auto" w:fill="FFFFFF"/>
        </w:rPr>
        <w:t>. Another difficulty in establishing a liver injury pattern is the scarcity of publications reporting liver signs and symptoms in addition to laboratory findings such as jaundice, hepatomegaly, and ascites.</w:t>
      </w:r>
    </w:p>
    <w:p w14:paraId="484B1A6C" w14:textId="77777777" w:rsidR="00A77B3E" w:rsidRDefault="0052492E" w:rsidP="00966E87">
      <w:pPr>
        <w:spacing w:line="360" w:lineRule="auto"/>
        <w:ind w:firstLineChars="100" w:firstLine="240"/>
        <w:jc w:val="both"/>
      </w:pPr>
      <w:r>
        <w:rPr>
          <w:rFonts w:ascii="Book Antiqua" w:eastAsia="Book Antiqua" w:hAnsi="Book Antiqua" w:cs="Book Antiqua"/>
          <w:color w:val="000000"/>
          <w:shd w:val="clear" w:color="auto" w:fill="FFFFFF"/>
        </w:rPr>
        <w:t xml:space="preserve">Liver involvement in patients with COVID-19 is currently limited to moderate to severe cases, and its damage may be transient, with liver tests returning to normal without the need for specific </w:t>
      </w:r>
      <w:proofErr w:type="gramStart"/>
      <w:r>
        <w:rPr>
          <w:rFonts w:ascii="Book Antiqua" w:eastAsia="Book Antiqua" w:hAnsi="Book Antiqua" w:cs="Book Antiqua"/>
          <w:color w:val="000000"/>
          <w:shd w:val="clear" w:color="auto" w:fill="FFFFFF"/>
        </w:rPr>
        <w:t>treatment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9,15]</w:t>
      </w:r>
      <w:r>
        <w:rPr>
          <w:rFonts w:ascii="Book Antiqua" w:eastAsia="Book Antiqua" w:hAnsi="Book Antiqua" w:cs="Book Antiqua"/>
          <w:color w:val="000000"/>
          <w:shd w:val="clear" w:color="auto" w:fill="FFFFFF"/>
        </w:rPr>
        <w:t xml:space="preserve">. The occurrence of acute or chronic liver failure is yet to be investigated. Nevertheless, the higher the serum level of AST/ALT and total bilirubin, the severer the disease, the higher the risk of a patient requiring admission to the ICU or prolonged hospital </w:t>
      </w:r>
      <w:proofErr w:type="gramStart"/>
      <w:r>
        <w:rPr>
          <w:rFonts w:ascii="Book Antiqua" w:eastAsia="Book Antiqua" w:hAnsi="Book Antiqua" w:cs="Book Antiqua"/>
          <w:color w:val="000000"/>
          <w:shd w:val="clear" w:color="auto" w:fill="FFFFFF"/>
        </w:rPr>
        <w:t>stay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16]</w:t>
      </w:r>
      <w:r>
        <w:rPr>
          <w:rFonts w:ascii="Book Antiqua" w:eastAsia="Book Antiqua" w:hAnsi="Book Antiqua" w:cs="Book Antiqua"/>
          <w:color w:val="000000"/>
          <w:shd w:val="clear" w:color="auto" w:fill="FFFFFF"/>
        </w:rPr>
        <w:t>, and the greater the mortality risk</w:t>
      </w:r>
      <w:r>
        <w:rPr>
          <w:rFonts w:ascii="Book Antiqua" w:eastAsia="Book Antiqua" w:hAnsi="Book Antiqua" w:cs="Book Antiqua"/>
          <w:color w:val="000000"/>
          <w:szCs w:val="20"/>
          <w:shd w:val="clear" w:color="auto" w:fill="FFFFFF"/>
          <w:vertAlign w:val="superscript"/>
        </w:rPr>
        <w:t>[14]</w:t>
      </w:r>
      <w:r>
        <w:rPr>
          <w:rFonts w:ascii="Book Antiqua" w:eastAsia="Book Antiqua" w:hAnsi="Book Antiqua" w:cs="Book Antiqua"/>
          <w:color w:val="000000"/>
        </w:rPr>
        <w:t>.</w:t>
      </w:r>
    </w:p>
    <w:p w14:paraId="044172C3" w14:textId="77777777" w:rsidR="00A77B3E" w:rsidRDefault="0052492E" w:rsidP="00966E87">
      <w:pPr>
        <w:spacing w:line="360" w:lineRule="auto"/>
        <w:ind w:firstLineChars="100" w:firstLine="240"/>
        <w:jc w:val="both"/>
      </w:pPr>
      <w:r>
        <w:rPr>
          <w:rFonts w:ascii="Book Antiqua" w:eastAsia="Book Antiqua" w:hAnsi="Book Antiqua" w:cs="Book Antiqua"/>
          <w:color w:val="000000"/>
          <w:shd w:val="clear" w:color="auto" w:fill="FFFFFF"/>
        </w:rPr>
        <w:t xml:space="preserve">Reasons for the occurrence of liver damage in COVID-19 patients are </w:t>
      </w:r>
      <w:proofErr w:type="gramStart"/>
      <w:r>
        <w:rPr>
          <w:rFonts w:ascii="Book Antiqua" w:eastAsia="Book Antiqua" w:hAnsi="Book Antiqua" w:cs="Book Antiqua"/>
          <w:color w:val="000000"/>
          <w:shd w:val="clear" w:color="auto" w:fill="FFFFFF"/>
        </w:rPr>
        <w:t>multifactorial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w:t>
      </w:r>
      <w:r>
        <w:rPr>
          <w:rFonts w:ascii="Book Antiqua" w:eastAsia="Book Antiqua" w:hAnsi="Book Antiqua" w:cs="Book Antiqua"/>
          <w:color w:val="000000"/>
          <w:shd w:val="clear" w:color="auto" w:fill="FFFFFF"/>
        </w:rPr>
        <w:t xml:space="preserve">. The first hypothesis was the cytopathic injury caused directly by the </w:t>
      </w:r>
      <w:proofErr w:type="gramStart"/>
      <w:r>
        <w:rPr>
          <w:rFonts w:ascii="Book Antiqua" w:eastAsia="Book Antiqua" w:hAnsi="Book Antiqua" w:cs="Book Antiqua"/>
          <w:color w:val="000000"/>
          <w:shd w:val="clear" w:color="auto" w:fill="FFFFFF"/>
        </w:rPr>
        <w:t>virus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w:t>
      </w:r>
      <w:r>
        <w:rPr>
          <w:rFonts w:ascii="Book Antiqua" w:eastAsia="Book Antiqua" w:hAnsi="Book Antiqua" w:cs="Book Antiqua"/>
          <w:color w:val="000000"/>
          <w:shd w:val="clear" w:color="auto" w:fill="FFFFFF"/>
        </w:rPr>
        <w:t xml:space="preserve">. Although the liver damage pattern found in COVID-19 patients suggests hepatocellular damage, ACE-2 is expressed in only 2.6% of hepatocytes, in contrast to the relevant expression in </w:t>
      </w:r>
      <w:proofErr w:type="spellStart"/>
      <w:r>
        <w:rPr>
          <w:rFonts w:ascii="Book Antiqua" w:eastAsia="Book Antiqua" w:hAnsi="Book Antiqua" w:cs="Book Antiqua"/>
          <w:color w:val="000000"/>
          <w:shd w:val="clear" w:color="auto" w:fill="FFFFFF"/>
        </w:rPr>
        <w:t>cholangiocytes</w:t>
      </w:r>
      <w:proofErr w:type="spellEnd"/>
      <w:r>
        <w:rPr>
          <w:rFonts w:ascii="Book Antiqua" w:eastAsia="Book Antiqua" w:hAnsi="Book Antiqua" w:cs="Book Antiqua"/>
          <w:color w:val="000000"/>
          <w:shd w:val="clear" w:color="auto" w:fill="FFFFFF"/>
        </w:rPr>
        <w:t xml:space="preserve"> (59%), which would suggest cholestatic </w:t>
      </w:r>
      <w:proofErr w:type="gramStart"/>
      <w:r>
        <w:rPr>
          <w:rFonts w:ascii="Book Antiqua" w:eastAsia="Book Antiqua" w:hAnsi="Book Antiqua" w:cs="Book Antiqua"/>
          <w:color w:val="000000"/>
          <w:shd w:val="clear" w:color="auto" w:fill="FFFFFF"/>
        </w:rPr>
        <w:t>damage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13]</w:t>
      </w:r>
      <w:r>
        <w:rPr>
          <w:rFonts w:ascii="Book Antiqua" w:eastAsia="Book Antiqua" w:hAnsi="Book Antiqua" w:cs="Book Antiqua"/>
          <w:color w:val="000000"/>
          <w:shd w:val="clear" w:color="auto" w:fill="FFFFFF"/>
        </w:rPr>
        <w:t xml:space="preserve">. However, the bile duct has a role in liver regeneration and immune response, and direct damage to </w:t>
      </w:r>
      <w:proofErr w:type="spellStart"/>
      <w:r>
        <w:rPr>
          <w:rFonts w:ascii="Book Antiqua" w:eastAsia="Book Antiqua" w:hAnsi="Book Antiqua" w:cs="Book Antiqua"/>
          <w:color w:val="000000"/>
          <w:shd w:val="clear" w:color="auto" w:fill="FFFFFF"/>
        </w:rPr>
        <w:t>cholangiocytes</w:t>
      </w:r>
      <w:proofErr w:type="spellEnd"/>
      <w:r>
        <w:rPr>
          <w:rFonts w:ascii="Book Antiqua" w:eastAsia="Book Antiqua" w:hAnsi="Book Antiqua" w:cs="Book Antiqua"/>
          <w:color w:val="000000"/>
          <w:shd w:val="clear" w:color="auto" w:fill="FFFFFF"/>
        </w:rPr>
        <w:t xml:space="preserve"> can impair this function. </w:t>
      </w:r>
      <w:r>
        <w:rPr>
          <w:rFonts w:ascii="Book Antiqua" w:eastAsia="Book Antiqua" w:hAnsi="Book Antiqua" w:cs="Book Antiqua"/>
          <w:color w:val="000000"/>
        </w:rPr>
        <w:t xml:space="preserve">The presence of the virus in the vascular endothelium causes a state of hypercoagulation; thus, there is the possibility of liver damage caused by thrombosis in the porta-hepatic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w:t>
      </w:r>
    </w:p>
    <w:p w14:paraId="5DDC47EE" w14:textId="77777777" w:rsidR="00A77B3E" w:rsidRDefault="0052492E" w:rsidP="00966E87">
      <w:pPr>
        <w:spacing w:line="360" w:lineRule="auto"/>
        <w:ind w:firstLineChars="100" w:firstLine="240"/>
        <w:jc w:val="both"/>
      </w:pPr>
      <w:r>
        <w:rPr>
          <w:rFonts w:ascii="Book Antiqua" w:eastAsia="Book Antiqua" w:hAnsi="Book Antiqua" w:cs="Book Antiqua"/>
          <w:color w:val="000000"/>
          <w:shd w:val="clear" w:color="auto" w:fill="FFFFFF"/>
        </w:rPr>
        <w:t>The manifestation of hypoxemia due to pneumonia may cause liver damage due to hypoxia-</w:t>
      </w:r>
      <w:proofErr w:type="gramStart"/>
      <w:r>
        <w:rPr>
          <w:rFonts w:ascii="Book Antiqua" w:eastAsia="Book Antiqua" w:hAnsi="Book Antiqua" w:cs="Book Antiqua"/>
          <w:color w:val="000000"/>
          <w:shd w:val="clear" w:color="auto" w:fill="FFFFFF"/>
        </w:rPr>
        <w:t>reoxygenation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13]</w:t>
      </w:r>
      <w:r>
        <w:rPr>
          <w:rFonts w:ascii="Book Antiqua" w:eastAsia="Book Antiqua" w:hAnsi="Book Antiqua" w:cs="Book Antiqua"/>
          <w:color w:val="000000"/>
          <w:shd w:val="clear" w:color="auto" w:fill="FFFFFF"/>
        </w:rPr>
        <w:t xml:space="preserve">. In cardiac, circulatory or respiratory distress passive congestion and decreased blood flow to the liver may occur. Theoretically, hypoxia rescue and reperfusion of organs cause the availability of a large amount of oxygen suddenly increases the presence of reactive oxygen species, causing the release of pro-inflammatory factors and thus facilitating the occurrence of blood </w:t>
      </w:r>
      <w:proofErr w:type="spellStart"/>
      <w:r>
        <w:rPr>
          <w:rFonts w:ascii="Book Antiqua" w:eastAsia="Book Antiqua" w:hAnsi="Book Antiqua" w:cs="Book Antiqua"/>
          <w:color w:val="000000"/>
          <w:shd w:val="clear" w:color="auto" w:fill="FFFFFF"/>
        </w:rPr>
        <w:t>hyperviscosity</w:t>
      </w:r>
      <w:proofErr w:type="spellEnd"/>
      <w:r>
        <w:rPr>
          <w:rFonts w:ascii="Book Antiqua" w:eastAsia="Book Antiqua" w:hAnsi="Book Antiqua" w:cs="Book Antiqua"/>
          <w:color w:val="000000"/>
          <w:shd w:val="clear" w:color="auto" w:fill="FFFFFF"/>
        </w:rPr>
        <w:t xml:space="preserve">, which aggravates microvascular lesions in the </w:t>
      </w:r>
      <w:proofErr w:type="gramStart"/>
      <w:r>
        <w:rPr>
          <w:rFonts w:ascii="Book Antiqua" w:eastAsia="Book Antiqua" w:hAnsi="Book Antiqua" w:cs="Book Antiqua"/>
          <w:color w:val="000000"/>
          <w:shd w:val="clear" w:color="auto" w:fill="FFFFFF"/>
        </w:rPr>
        <w:t>liver</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13]</w:t>
      </w:r>
      <w:r>
        <w:rPr>
          <w:rFonts w:ascii="Book Antiqua" w:eastAsia="Book Antiqua" w:hAnsi="Book Antiqua" w:cs="Book Antiqua"/>
          <w:color w:val="000000"/>
          <w:shd w:val="clear" w:color="auto" w:fill="FFFFFF"/>
        </w:rPr>
        <w:t xml:space="preserve">. Septic shock is a common complication in severe COVID-19 patients and functional imbalance may be responsible for liver </w:t>
      </w:r>
      <w:proofErr w:type="gramStart"/>
      <w:r>
        <w:rPr>
          <w:rFonts w:ascii="Book Antiqua" w:eastAsia="Book Antiqua" w:hAnsi="Book Antiqua" w:cs="Book Antiqua"/>
          <w:color w:val="000000"/>
          <w:shd w:val="clear" w:color="auto" w:fill="FFFFFF"/>
        </w:rPr>
        <w:t>damage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17]</w:t>
      </w:r>
      <w:r>
        <w:rPr>
          <w:rFonts w:ascii="Book Antiqua" w:eastAsia="Book Antiqua" w:hAnsi="Book Antiqua" w:cs="Book Antiqua"/>
          <w:color w:val="000000"/>
          <w:shd w:val="clear" w:color="auto" w:fill="FFFFFF"/>
        </w:rPr>
        <w:t>.</w:t>
      </w:r>
    </w:p>
    <w:p w14:paraId="66C04BED" w14:textId="77777777" w:rsidR="00A77B3E" w:rsidRDefault="0052492E" w:rsidP="00966E87">
      <w:pPr>
        <w:spacing w:line="360" w:lineRule="auto"/>
        <w:ind w:firstLineChars="100" w:firstLine="240"/>
        <w:jc w:val="both"/>
      </w:pPr>
      <w:r>
        <w:rPr>
          <w:rFonts w:ascii="Book Antiqua" w:eastAsia="Book Antiqua" w:hAnsi="Book Antiqua" w:cs="Book Antiqua"/>
          <w:color w:val="000000"/>
          <w:shd w:val="clear" w:color="auto" w:fill="FFFFFF"/>
        </w:rPr>
        <w:t xml:space="preserve">It is a consensus among experts that functional changes caused by SARS-CoV-2 in patients with moderate to severe disease may be related to systemic inflammatory response </w:t>
      </w:r>
      <w:proofErr w:type="gramStart"/>
      <w:r>
        <w:rPr>
          <w:rFonts w:ascii="Book Antiqua" w:eastAsia="Book Antiqua" w:hAnsi="Book Antiqua" w:cs="Book Antiqua"/>
          <w:color w:val="000000"/>
          <w:shd w:val="clear" w:color="auto" w:fill="FFFFFF"/>
        </w:rPr>
        <w:t>syndrome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w:t>
      </w:r>
      <w:r>
        <w:rPr>
          <w:rFonts w:ascii="Book Antiqua" w:eastAsia="Book Antiqua" w:hAnsi="Book Antiqua" w:cs="Book Antiqua"/>
          <w:color w:val="000000"/>
          <w:shd w:val="clear" w:color="auto" w:fill="FFFFFF"/>
        </w:rPr>
        <w:t xml:space="preserve">. The development of an uncontrolled immune-mediated inflammatory reaction occurs by the increase in plasma cytokines and other inflammatory reagents </w:t>
      </w:r>
      <w:bookmarkStart w:id="2" w:name="_Hlk58003126"/>
      <w:r w:rsidR="00966E87">
        <w:rPr>
          <w:rFonts w:ascii="Book Antiqua" w:hAnsi="Book Antiqua" w:cs="Book Antiqua" w:hint="eastAsia"/>
          <w:color w:val="000000"/>
          <w:shd w:val="clear" w:color="auto" w:fill="FFFFFF"/>
          <w:lang w:eastAsia="zh-CN"/>
        </w:rPr>
        <w:t>[</w:t>
      </w:r>
      <w:r w:rsidR="00966E87" w:rsidRPr="003F43AD">
        <w:rPr>
          <w:rFonts w:ascii="Book Antiqua" w:eastAsia="Book Antiqua" w:hAnsi="Book Antiqua" w:cs="Book Antiqua"/>
          <w:color w:val="000000"/>
        </w:rPr>
        <w:t>interleukin</w:t>
      </w:r>
      <w:bookmarkEnd w:id="2"/>
      <w:r w:rsidR="00966E87">
        <w:rPr>
          <w:rFonts w:ascii="Book Antiqua" w:eastAsia="Book Antiqua" w:hAnsi="Book Antiqua" w:cs="Book Antiqua"/>
          <w:color w:val="000000"/>
          <w:shd w:val="clear" w:color="auto" w:fill="FFFFFF"/>
        </w:rPr>
        <w:t xml:space="preserve"> </w:t>
      </w:r>
      <w:r w:rsidR="00966E8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IL</w:t>
      </w:r>
      <w:r w:rsidR="00966E8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 IL-6, IL-10, and tumor necrosis factor</w:t>
      </w:r>
      <w:r w:rsidR="00966E8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This mechanism affects several organs and has supported the clinical use of anti-inflammatory </w:t>
      </w:r>
      <w:proofErr w:type="gramStart"/>
      <w:r>
        <w:rPr>
          <w:rFonts w:ascii="Book Antiqua" w:eastAsia="Book Antiqua" w:hAnsi="Book Antiqua" w:cs="Book Antiqua"/>
          <w:color w:val="000000"/>
          <w:shd w:val="clear" w:color="auto" w:fill="FFFFFF"/>
        </w:rPr>
        <w:t>corticosteroids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w:t>
      </w:r>
      <w:r>
        <w:rPr>
          <w:rFonts w:ascii="Book Antiqua" w:eastAsia="Book Antiqua" w:hAnsi="Book Antiqua" w:cs="Book Antiqua"/>
          <w:color w:val="000000"/>
          <w:shd w:val="clear" w:color="auto" w:fill="FFFFFF"/>
        </w:rPr>
        <w:t>.</w:t>
      </w:r>
    </w:p>
    <w:p w14:paraId="7A2DB476" w14:textId="77777777" w:rsidR="00A77B3E" w:rsidRDefault="0052492E" w:rsidP="005A0FE3">
      <w:pPr>
        <w:spacing w:line="360" w:lineRule="auto"/>
        <w:ind w:firstLineChars="100" w:firstLine="240"/>
        <w:jc w:val="both"/>
      </w:pPr>
      <w:r>
        <w:rPr>
          <w:rFonts w:ascii="Book Antiqua" w:eastAsia="Book Antiqua" w:hAnsi="Book Antiqua" w:cs="Book Antiqua"/>
          <w:color w:val="000000"/>
          <w:shd w:val="clear" w:color="auto" w:fill="FFFFFF"/>
        </w:rPr>
        <w:t xml:space="preserve">The role of chronic liver disease (CLD) in COVID-19 patients is still controversial. Cirrhosis is a risk factor for mortality in general, with clinical complications such as sepsis and respiratory </w:t>
      </w:r>
      <w:proofErr w:type="gramStart"/>
      <w:r>
        <w:rPr>
          <w:rFonts w:ascii="Book Antiqua" w:eastAsia="Book Antiqua" w:hAnsi="Book Antiqua" w:cs="Book Antiqua"/>
          <w:color w:val="000000"/>
          <w:shd w:val="clear" w:color="auto" w:fill="FFFFFF"/>
        </w:rPr>
        <w:t>stress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18]</w:t>
      </w:r>
      <w:r>
        <w:rPr>
          <w:rFonts w:ascii="Book Antiqua" w:eastAsia="Book Antiqua" w:hAnsi="Book Antiqua" w:cs="Book Antiqua"/>
          <w:color w:val="000000"/>
          <w:shd w:val="clear" w:color="auto" w:fill="FFFFFF"/>
        </w:rPr>
        <w:t xml:space="preserve">. The prevalence of non-alcoholic fatty liver disease is increasing worldwide, and the patient’s profile is similar to the SARS-CoV-2 risk group: advanced age and presence of comorbidities such as hypertension, diabetes, obesity, and cardiovascular </w:t>
      </w:r>
      <w:proofErr w:type="gramStart"/>
      <w:r>
        <w:rPr>
          <w:rFonts w:ascii="Book Antiqua" w:eastAsia="Book Antiqua" w:hAnsi="Book Antiqua" w:cs="Book Antiqua"/>
          <w:color w:val="000000"/>
          <w:shd w:val="clear" w:color="auto" w:fill="FFFFFF"/>
        </w:rPr>
        <w:t>distress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19]</w:t>
      </w:r>
      <w:r>
        <w:rPr>
          <w:rFonts w:ascii="Book Antiqua" w:eastAsia="Book Antiqua" w:hAnsi="Book Antiqua" w:cs="Book Antiqua"/>
          <w:color w:val="000000"/>
          <w:shd w:val="clear" w:color="auto" w:fill="FFFFFF"/>
        </w:rPr>
        <w:t xml:space="preserve">. CLD may interfere with the findings of liver enzyme alterations to some extent in COVID-19 — if not directly responsible, acting together with the virus to worsen liver function. Despite this scenario, liver damage might occur regardless of liver disease’s previous </w:t>
      </w:r>
      <w:proofErr w:type="gramStart"/>
      <w:r>
        <w:rPr>
          <w:rFonts w:ascii="Book Antiqua" w:eastAsia="Book Antiqua" w:hAnsi="Book Antiqua" w:cs="Book Antiqua"/>
          <w:color w:val="000000"/>
          <w:shd w:val="clear" w:color="auto" w:fill="FFFFFF"/>
        </w:rPr>
        <w:t>existence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18]</w:t>
      </w:r>
      <w:r>
        <w:rPr>
          <w:rFonts w:ascii="Book Antiqua" w:eastAsia="Book Antiqua" w:hAnsi="Book Antiqua" w:cs="Book Antiqua"/>
          <w:color w:val="000000"/>
          <w:shd w:val="clear" w:color="auto" w:fill="FFFFFF"/>
        </w:rPr>
        <w:t>.</w:t>
      </w:r>
    </w:p>
    <w:p w14:paraId="46710C40" w14:textId="5102FF07" w:rsidR="00A77B3E" w:rsidRDefault="0052492E" w:rsidP="005A0FE3">
      <w:pPr>
        <w:spacing w:line="360" w:lineRule="auto"/>
        <w:ind w:firstLineChars="100" w:firstLine="240"/>
        <w:jc w:val="both"/>
      </w:pPr>
      <w:r>
        <w:rPr>
          <w:rFonts w:ascii="Book Antiqua" w:eastAsia="Book Antiqua" w:hAnsi="Book Antiqua" w:cs="Book Antiqua"/>
          <w:color w:val="000000"/>
        </w:rPr>
        <w:t xml:space="preserve">One should pay attention to drug-induced liver injury (DILI) in patients with COVID-19, especially considering the off-label use of drugs in prophylactic and therapeutic regimens applied on large scales. DILI is an adverse reaction to medications, and patients using five or more drugs </w:t>
      </w:r>
      <w:r w:rsidR="00FB6DF2">
        <w:rPr>
          <w:rFonts w:ascii="Book Antiqua" w:eastAsia="Book Antiqua" w:hAnsi="Book Antiqua" w:cs="Book Antiqua"/>
          <w:color w:val="000000"/>
        </w:rPr>
        <w:t>-</w:t>
      </w:r>
      <w:r>
        <w:rPr>
          <w:rFonts w:ascii="Book Antiqua" w:eastAsia="Book Antiqua" w:hAnsi="Book Antiqua" w:cs="Book Antiqua"/>
          <w:color w:val="000000"/>
        </w:rPr>
        <w:t xml:space="preserve"> for example, critically ill ICU patients with COVID-19 </w:t>
      </w:r>
      <w:r w:rsidR="00FB6DF2">
        <w:rPr>
          <w:rFonts w:ascii="Book Antiqua" w:eastAsia="Book Antiqua" w:hAnsi="Book Antiqua" w:cs="Book Antiqua"/>
          <w:color w:val="000000"/>
        </w:rPr>
        <w:t>-</w:t>
      </w:r>
      <w:r>
        <w:rPr>
          <w:rFonts w:ascii="Book Antiqua" w:eastAsia="Book Antiqua" w:hAnsi="Book Antiqua" w:cs="Book Antiqua"/>
          <w:color w:val="000000"/>
        </w:rPr>
        <w:t xml:space="preserve"> are more likely to experience this type of </w:t>
      </w:r>
      <w:proofErr w:type="gramStart"/>
      <w:r>
        <w:rPr>
          <w:rFonts w:ascii="Book Antiqua" w:eastAsia="Book Antiqua" w:hAnsi="Book Antiqua" w:cs="Book Antiqua"/>
          <w:color w:val="000000"/>
        </w:rPr>
        <w:t>reaction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Although rare, </w:t>
      </w:r>
      <w:r w:rsidR="005A0FE3">
        <w:rPr>
          <w:rFonts w:ascii="Book Antiqua" w:eastAsia="Book Antiqua" w:hAnsi="Book Antiqua" w:cs="Book Antiqua"/>
          <w:color w:val="000000"/>
        </w:rPr>
        <w:t>often ranging from 1 case in 10000-100</w:t>
      </w:r>
      <w:r>
        <w:rPr>
          <w:rFonts w:ascii="Book Antiqua" w:eastAsia="Book Antiqua" w:hAnsi="Book Antiqua" w:cs="Book Antiqua"/>
          <w:color w:val="000000"/>
        </w:rPr>
        <w:t>000</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physicians and pharmacists should monitor the occurrence of this event in COVID-19 patients since the side-effect prolongs hospital stay, a critical situation in a hospital bed shortage </w:t>
      </w:r>
      <w:proofErr w:type="gramStart"/>
      <w:r>
        <w:rPr>
          <w:rFonts w:ascii="Book Antiqua" w:eastAsia="Book Antiqua" w:hAnsi="Book Antiqua" w:cs="Book Antiqua"/>
          <w:color w:val="000000"/>
        </w:rPr>
        <w:t>moment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79EFD6FA" w14:textId="77777777" w:rsidR="00A77B3E" w:rsidRDefault="0052492E" w:rsidP="005A0FE3">
      <w:pPr>
        <w:spacing w:line="360" w:lineRule="auto"/>
        <w:ind w:firstLineChars="100" w:firstLine="240"/>
        <w:jc w:val="both"/>
      </w:pPr>
      <w:r>
        <w:rPr>
          <w:rFonts w:ascii="Book Antiqua" w:eastAsia="Book Antiqua" w:hAnsi="Book Antiqua" w:cs="Book Antiqua"/>
          <w:color w:val="000000"/>
          <w:shd w:val="clear" w:color="auto" w:fill="FFFFFF"/>
        </w:rPr>
        <w:t>Finally, the DILI adverse event can play a crucial role in COVID-19 patients. This review aims to present relevant information on the medication used so far in COVID-19 patients and its possible hepatotoxicity. We intend to condense information that supports decision-making and patient management in clinical practice in the hospital environment and make remarks on liver manifestations in light of the DILI subject.</w:t>
      </w:r>
    </w:p>
    <w:p w14:paraId="01172BF6" w14:textId="77777777" w:rsidR="00A77B3E" w:rsidRDefault="00A77B3E">
      <w:pPr>
        <w:spacing w:line="360" w:lineRule="auto"/>
        <w:jc w:val="both"/>
      </w:pPr>
    </w:p>
    <w:p w14:paraId="2AD7C4BA" w14:textId="77777777" w:rsidR="00FD2C9F" w:rsidRDefault="00FD2C9F">
      <w:pPr>
        <w:spacing w:line="360" w:lineRule="auto"/>
        <w:jc w:val="both"/>
        <w:rPr>
          <w:rFonts w:ascii="Book Antiqua" w:eastAsia="Book Antiqua" w:hAnsi="Book Antiqua" w:cs="Book Antiqua"/>
          <w:b/>
          <w:bCs/>
          <w:caps/>
          <w:color w:val="000000"/>
          <w:u w:val="single"/>
          <w:shd w:val="clear" w:color="auto" w:fill="FFFFFF"/>
        </w:rPr>
      </w:pPr>
      <w:r w:rsidRPr="00FD2C9F">
        <w:rPr>
          <w:rFonts w:ascii="Book Antiqua" w:eastAsia="Book Antiqua" w:hAnsi="Book Antiqua" w:cs="Book Antiqua"/>
          <w:b/>
          <w:bCs/>
          <w:caps/>
          <w:color w:val="000000"/>
          <w:u w:val="single"/>
          <w:shd w:val="clear" w:color="auto" w:fill="FFFFFF"/>
        </w:rPr>
        <w:t>literature</w:t>
      </w:r>
      <w:r>
        <w:rPr>
          <w:rFonts w:ascii="Book Antiqua" w:eastAsia="Book Antiqua" w:hAnsi="Book Antiqua" w:cs="Book Antiqua"/>
          <w:b/>
          <w:bCs/>
          <w:caps/>
          <w:color w:val="000000"/>
          <w:u w:val="single"/>
          <w:shd w:val="clear" w:color="auto" w:fill="FFFFFF"/>
        </w:rPr>
        <w:t xml:space="preserve"> review</w:t>
      </w:r>
    </w:p>
    <w:p w14:paraId="616A4F8E" w14:textId="1DB4596F" w:rsidR="00A77B3E" w:rsidRPr="005A0FE3" w:rsidRDefault="0052492E">
      <w:pPr>
        <w:spacing w:line="360" w:lineRule="auto"/>
        <w:jc w:val="both"/>
        <w:rPr>
          <w:lang w:eastAsia="zh-CN"/>
        </w:rPr>
      </w:pPr>
      <w:r>
        <w:rPr>
          <w:rFonts w:ascii="Book Antiqua" w:eastAsia="Book Antiqua" w:hAnsi="Book Antiqua" w:cs="Book Antiqua"/>
          <w:b/>
          <w:bCs/>
          <w:i/>
          <w:iCs/>
          <w:color w:val="000000"/>
        </w:rPr>
        <w:t>Review of liver damage in patients with COVID-19</w:t>
      </w:r>
    </w:p>
    <w:p w14:paraId="467AEB81" w14:textId="77777777" w:rsidR="00A77B3E" w:rsidRDefault="0052492E">
      <w:pPr>
        <w:spacing w:line="360" w:lineRule="auto"/>
        <w:jc w:val="both"/>
      </w:pPr>
      <w:r>
        <w:rPr>
          <w:rFonts w:ascii="Book Antiqua" w:eastAsia="Book Antiqua" w:hAnsi="Book Antiqua" w:cs="Book Antiqua"/>
          <w:color w:val="000000"/>
        </w:rPr>
        <w:t>A review of liver damage in patients with COVID-19 on PubMed for general information on hepatic manifestations in SARS-CoV-2 was performed using the terms (“Liver Diseases”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AND (“</w:t>
      </w:r>
      <w:proofErr w:type="spellStart"/>
      <w:r>
        <w:rPr>
          <w:rFonts w:ascii="Book Antiqua" w:eastAsia="Book Antiqua" w:hAnsi="Book Antiqua" w:cs="Book Antiqua"/>
          <w:color w:val="000000"/>
        </w:rPr>
        <w:t>sars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2”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Secondly, PubMed and VHL (Virtual Health Library) were used to explore DILI cases in COVID-19. VHL was used to expand the search for Latin American cases. The search strategy for PubMed combined the descriptors as follows (“Chemical and Drug Induced Liver </w:t>
      </w:r>
      <w:proofErr w:type="gramStart"/>
      <w:r>
        <w:rPr>
          <w:rFonts w:ascii="Book Antiqua" w:eastAsia="Book Antiqua" w:hAnsi="Book Antiqua" w:cs="Book Antiqua"/>
          <w:color w:val="000000"/>
        </w:rPr>
        <w:t>Injury”[</w:t>
      </w:r>
      <w:proofErr w:type="spellStart"/>
      <w:proofErr w:type="gramEnd"/>
      <w:r>
        <w:rPr>
          <w:rFonts w:ascii="Book Antiqua" w:eastAsia="Book Antiqua" w:hAnsi="Book Antiqua" w:cs="Book Antiqua"/>
          <w:color w:val="000000"/>
        </w:rPr>
        <w:t>MeSH</w:t>
      </w:r>
      <w:proofErr w:type="spellEnd"/>
      <w:r>
        <w:rPr>
          <w:rFonts w:ascii="Book Antiqua" w:eastAsia="Book Antiqua" w:hAnsi="Book Antiqua" w:cs="Book Antiqua"/>
          <w:color w:val="000000"/>
        </w:rPr>
        <w:t>]) AND (“sars-cov-2”[</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AND (“covid-19”[</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There was no limitation by language, year of publication, or study design. The search strategy for VHL combined the descriptors as “Chemical and Drug Induced Liver Injury” AND “coronavirus infections”. The first search was performed on January 6</w:t>
      </w:r>
      <w:r>
        <w:rPr>
          <w:rFonts w:ascii="Book Antiqua" w:eastAsia="Book Antiqua" w:hAnsi="Book Antiqua" w:cs="Book Antiqua"/>
          <w:color w:val="000000"/>
          <w:szCs w:val="20"/>
          <w:vertAlign w:val="superscript"/>
        </w:rPr>
        <w:t>th</w:t>
      </w:r>
      <w:r>
        <w:rPr>
          <w:rFonts w:ascii="Book Antiqua" w:eastAsia="Book Antiqua" w:hAnsi="Book Antiqua" w:cs="Book Antiqua"/>
          <w:color w:val="000000"/>
        </w:rPr>
        <w:t>, 2021, and was then updated on April 17,</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2021.</w:t>
      </w:r>
    </w:p>
    <w:p w14:paraId="74A9836F" w14:textId="4D2FC279" w:rsidR="00A77B3E" w:rsidRPr="005A0FE3" w:rsidRDefault="0052492E" w:rsidP="005A0FE3">
      <w:pPr>
        <w:spacing w:line="360" w:lineRule="auto"/>
        <w:ind w:firstLineChars="100" w:firstLine="240"/>
        <w:jc w:val="both"/>
        <w:rPr>
          <w:lang w:eastAsia="zh-CN"/>
        </w:rPr>
      </w:pPr>
      <w:r>
        <w:rPr>
          <w:rFonts w:ascii="Book Antiqua" w:eastAsia="Book Antiqua" w:hAnsi="Book Antiqua" w:cs="Book Antiqua"/>
          <w:color w:val="000000"/>
        </w:rPr>
        <w:t xml:space="preserve">The studies’ eligibility was defined by identifying DILI cases due to medications used to treat patients with COVID-19. The studies’ selection was performed by two independent reviewers, MWB and KHS, and in three sequential stages — title, abstract, and full-text readings. A third reviewer, CRB, resolved the disagreements. The following variables were analyzed: </w:t>
      </w:r>
      <w:r w:rsidR="00C22687">
        <w:rPr>
          <w:rFonts w:ascii="Book Antiqua" w:hAnsi="Book Antiqua" w:cs="Book Antiqua" w:hint="eastAsia"/>
          <w:color w:val="000000"/>
          <w:lang w:eastAsia="zh-CN"/>
        </w:rPr>
        <w:t>D</w:t>
      </w:r>
      <w:r w:rsidR="003269C6">
        <w:rPr>
          <w:rFonts w:ascii="Book Antiqua" w:eastAsia="Book Antiqua" w:hAnsi="Book Antiqua" w:cs="Book Antiqua"/>
          <w:color w:val="000000"/>
        </w:rPr>
        <w:t>rug</w:t>
      </w:r>
      <w:r>
        <w:rPr>
          <w:rFonts w:ascii="Book Antiqua" w:eastAsia="Book Antiqua" w:hAnsi="Book Antiqua" w:cs="Book Antiqua"/>
          <w:color w:val="000000"/>
        </w:rPr>
        <w:t xml:space="preserve">, patient characteristics, assessment of liver enzymes, </w:t>
      </w:r>
      <w:r w:rsidR="003269C6">
        <w:rPr>
          <w:rFonts w:ascii="Book Antiqua" w:eastAsia="Book Antiqua" w:hAnsi="Book Antiqua" w:cs="Book Antiqua"/>
          <w:color w:val="000000"/>
        </w:rPr>
        <w:t xml:space="preserve">DILI </w:t>
      </w:r>
      <w:r>
        <w:rPr>
          <w:rFonts w:ascii="Book Antiqua" w:eastAsia="Book Antiqua" w:hAnsi="Book Antiqua" w:cs="Book Antiqua"/>
          <w:color w:val="000000"/>
        </w:rPr>
        <w:t xml:space="preserve">diagnosis </w:t>
      </w:r>
      <w:r w:rsidR="003269C6">
        <w:rPr>
          <w:rFonts w:ascii="Book Antiqua" w:eastAsia="Book Antiqua" w:hAnsi="Book Antiqua" w:cs="Book Antiqua"/>
          <w:color w:val="000000"/>
        </w:rPr>
        <w:t>criteria</w:t>
      </w:r>
      <w:r>
        <w:rPr>
          <w:rFonts w:ascii="Book Antiqua" w:eastAsia="Book Antiqua" w:hAnsi="Book Antiqua" w:cs="Book Antiqua"/>
          <w:color w:val="000000"/>
        </w:rPr>
        <w:t>.</w:t>
      </w:r>
    </w:p>
    <w:p w14:paraId="262435C8" w14:textId="77777777" w:rsidR="00A77B3E" w:rsidRDefault="0052492E" w:rsidP="005A0FE3">
      <w:pPr>
        <w:spacing w:line="360" w:lineRule="auto"/>
        <w:ind w:firstLineChars="100" w:firstLine="240"/>
        <w:jc w:val="both"/>
      </w:pPr>
      <w:r>
        <w:rPr>
          <w:rFonts w:ascii="Book Antiqua" w:eastAsia="Book Antiqua" w:hAnsi="Book Antiqua" w:cs="Book Antiqua"/>
          <w:color w:val="000000"/>
          <w:shd w:val="clear" w:color="auto" w:fill="FFFFFF"/>
        </w:rPr>
        <w:t xml:space="preserve">The search returned 53 articles — 22 articles from the VHL and 31 articles from the PubMed database. After excluding duplicate articles and review articles, 10 available abstracts and full texts were assessed. One excluded article assessed adverse drug reactions but did not mention DILI. Another two excluded articles assessed liver injury but no mention to the medication used; a retrospective study analyzing antiviral treatment was excluded since no causality was assessed. Six studies were selected — five case reports and a pharmacovigilance analysis study of </w:t>
      </w:r>
      <w:proofErr w:type="spellStart"/>
      <w:r>
        <w:rPr>
          <w:rFonts w:ascii="Book Antiqua" w:eastAsia="Book Antiqua" w:hAnsi="Book Antiqua" w:cs="Book Antiqua"/>
          <w:color w:val="000000"/>
          <w:shd w:val="clear" w:color="auto" w:fill="FFFFFF"/>
        </w:rPr>
        <w:t>VigiBase</w:t>
      </w:r>
      <w:proofErr w:type="spellEnd"/>
      <w:r>
        <w:rPr>
          <w:rFonts w:ascii="Book Antiqua" w:eastAsia="Book Antiqua" w:hAnsi="Book Antiqua" w:cs="Book Antiqua"/>
          <w:color w:val="000000"/>
          <w:shd w:val="clear" w:color="auto" w:fill="FFFFFF"/>
        </w:rPr>
        <w:t>, the World Health Organization’s individual case safety reports database, as summarized in Table 1.</w:t>
      </w:r>
    </w:p>
    <w:p w14:paraId="56300841" w14:textId="77777777" w:rsidR="00A77B3E" w:rsidRPr="005A0FE3" w:rsidRDefault="0052492E" w:rsidP="005A0FE3">
      <w:pPr>
        <w:spacing w:line="360" w:lineRule="auto"/>
        <w:ind w:firstLineChars="100" w:firstLine="240"/>
        <w:jc w:val="both"/>
        <w:rPr>
          <w:lang w:eastAsia="zh-CN"/>
        </w:rPr>
      </w:pPr>
      <w:r>
        <w:rPr>
          <w:rFonts w:ascii="Book Antiqua" w:eastAsia="Book Antiqua" w:hAnsi="Book Antiqua" w:cs="Book Antiqua"/>
          <w:color w:val="000000"/>
        </w:rPr>
        <w:t xml:space="preserve">The results found are related to the attempt to treat critically ill patients, either by eliminating the virus or by decreasing the inflammatory manifestations developed. </w:t>
      </w:r>
      <w:r>
        <w:rPr>
          <w:rFonts w:ascii="Book Antiqua" w:eastAsia="Book Antiqua" w:hAnsi="Book Antiqua" w:cs="Book Antiqua"/>
          <w:color w:val="000000"/>
          <w:shd w:val="clear" w:color="auto" w:fill="FFFFFF"/>
        </w:rPr>
        <w:t xml:space="preserve">Tocilizumab is an </w:t>
      </w:r>
      <w:r w:rsidR="00966E87">
        <w:rPr>
          <w:rFonts w:ascii="Book Antiqua" w:hAnsi="Book Antiqua" w:cs="Book Antiqua" w:hint="eastAsia"/>
          <w:color w:val="000000"/>
          <w:shd w:val="clear" w:color="auto" w:fill="FFFFFF"/>
          <w:lang w:eastAsia="zh-CN"/>
        </w:rPr>
        <w:t>IL</w:t>
      </w:r>
      <w:r>
        <w:rPr>
          <w:rFonts w:ascii="Book Antiqua" w:eastAsia="Book Antiqua" w:hAnsi="Book Antiqua" w:cs="Book Antiqua"/>
          <w:color w:val="000000"/>
          <w:shd w:val="clear" w:color="auto" w:fill="FFFFFF"/>
        </w:rPr>
        <w:t>-6 receptor antagonist and has been proposed to treat severe forms of COVID-19. I</w:t>
      </w:r>
      <w:r w:rsidR="00966E87">
        <w:rPr>
          <w:rFonts w:ascii="Book Antiqua"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 xml:space="preserve">-6 plays an important role in COVID-19-induced cytokine </w:t>
      </w:r>
      <w:proofErr w:type="gramStart"/>
      <w:r>
        <w:rPr>
          <w:rFonts w:ascii="Book Antiqua" w:eastAsia="Book Antiqua" w:hAnsi="Book Antiqua" w:cs="Book Antiqua"/>
          <w:color w:val="000000"/>
          <w:shd w:val="clear" w:color="auto" w:fill="FFFFFF"/>
        </w:rPr>
        <w:t>storm</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23]</w:t>
      </w:r>
      <w:r>
        <w:rPr>
          <w:rFonts w:ascii="Book Antiqua" w:eastAsia="Book Antiqua" w:hAnsi="Book Antiqua" w:cs="Book Antiqua"/>
          <w:color w:val="000000"/>
          <w:shd w:val="clear" w:color="auto" w:fill="FFFFFF"/>
        </w:rPr>
        <w:t>. Remdesivir is a nucleotide analogue RNA polymerase inhibitor, originally developed and tested for Ebola virus disease.</w:t>
      </w:r>
      <w:r w:rsidR="005A0FE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drug showed antiviral activity against a broad spectrum of human coronaviruses in cell cultures and mouse models, including </w:t>
      </w:r>
      <w:r w:rsidR="00966E87">
        <w:rPr>
          <w:rFonts w:ascii="Book Antiqua" w:eastAsia="Book Antiqua" w:hAnsi="Book Antiqua" w:cs="Book Antiqua"/>
          <w:color w:val="000000"/>
          <w:shd w:val="clear" w:color="auto" w:fill="FFFFFF"/>
        </w:rPr>
        <w:t>SARS</w:t>
      </w:r>
      <w:r>
        <w:rPr>
          <w:rFonts w:ascii="Book Antiqua" w:eastAsia="Book Antiqua" w:hAnsi="Book Antiqua" w:cs="Book Antiqua"/>
          <w:color w:val="000000"/>
          <w:shd w:val="clear" w:color="auto" w:fill="FFFFFF"/>
        </w:rPr>
        <w:t>.</w:t>
      </w:r>
      <w:r w:rsidR="005A0FE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Recently, the Fo</w:t>
      </w:r>
      <w:r w:rsidR="003269C6">
        <w:rPr>
          <w:rFonts w:ascii="Book Antiqua" w:eastAsia="Book Antiqua" w:hAnsi="Book Antiqua" w:cs="Book Antiqua"/>
          <w:color w:val="000000"/>
          <w:shd w:val="clear" w:color="auto" w:fill="FFFFFF"/>
        </w:rPr>
        <w:t>od and Drug Agency recommended R</w:t>
      </w:r>
      <w:r>
        <w:rPr>
          <w:rFonts w:ascii="Book Antiqua" w:eastAsia="Book Antiqua" w:hAnsi="Book Antiqua" w:cs="Book Antiqua"/>
          <w:color w:val="000000"/>
          <w:shd w:val="clear" w:color="auto" w:fill="FFFFFF"/>
        </w:rPr>
        <w:t xml:space="preserve">emdesivir for the treatment of patients hospitalized with severe coronavirus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24,26,28]</w:t>
      </w:r>
      <w:r>
        <w:rPr>
          <w:rFonts w:ascii="Book Antiqua" w:eastAsia="Book Antiqua" w:hAnsi="Book Antiqua" w:cs="Book Antiqua"/>
          <w:color w:val="000000"/>
          <w:shd w:val="clear" w:color="auto" w:fill="FFFFFF"/>
        </w:rPr>
        <w:t>.</w:t>
      </w:r>
    </w:p>
    <w:p w14:paraId="0BB99436" w14:textId="77777777" w:rsidR="00A77B3E" w:rsidRDefault="00A77B3E">
      <w:pPr>
        <w:spacing w:line="360" w:lineRule="auto"/>
        <w:jc w:val="both"/>
      </w:pPr>
    </w:p>
    <w:p w14:paraId="697792FD" w14:textId="77777777" w:rsidR="00A77B3E" w:rsidRPr="005A0FE3" w:rsidRDefault="0052492E">
      <w:pPr>
        <w:spacing w:line="360" w:lineRule="auto"/>
        <w:jc w:val="both"/>
        <w:rPr>
          <w:lang w:eastAsia="zh-CN"/>
        </w:rPr>
      </w:pPr>
      <w:r>
        <w:rPr>
          <w:rFonts w:ascii="Book Antiqua" w:eastAsia="Book Antiqua" w:hAnsi="Book Antiqua" w:cs="Book Antiqua"/>
          <w:b/>
          <w:bCs/>
          <w:i/>
          <w:iCs/>
          <w:color w:val="000000"/>
        </w:rPr>
        <w:t>Risk of hepatotoxicity of medicines on COVID-19 patients</w:t>
      </w:r>
    </w:p>
    <w:p w14:paraId="2B4ED6AB" w14:textId="77777777" w:rsidR="00A77B3E" w:rsidRPr="005A0FE3" w:rsidRDefault="0052492E" w:rsidP="005A0FE3">
      <w:pPr>
        <w:spacing w:line="360" w:lineRule="auto"/>
        <w:jc w:val="both"/>
        <w:rPr>
          <w:lang w:eastAsia="zh-CN"/>
        </w:rPr>
      </w:pPr>
      <w:r>
        <w:rPr>
          <w:rFonts w:ascii="Book Antiqua" w:eastAsia="Book Antiqua" w:hAnsi="Book Antiqua" w:cs="Book Antiqua"/>
          <w:color w:val="000000"/>
        </w:rPr>
        <w:t xml:space="preserve">It is challenging to find data on hepatotoxicity. This data includes clinical trials, observational studies, </w:t>
      </w:r>
      <w:proofErr w:type="gramStart"/>
      <w:r>
        <w:rPr>
          <w:rFonts w:ascii="Book Antiqua" w:eastAsia="Book Antiqua" w:hAnsi="Book Antiqua" w:cs="Book Antiqua"/>
          <w:color w:val="000000"/>
        </w:rPr>
        <w:t>series</w:t>
      </w:r>
      <w:proofErr w:type="gramEnd"/>
      <w:r>
        <w:rPr>
          <w:rFonts w:ascii="Book Antiqua" w:eastAsia="Book Antiqua" w:hAnsi="Book Antiqua" w:cs="Book Antiqua"/>
          <w:color w:val="000000"/>
        </w:rPr>
        <w:t xml:space="preserve"> and case reports. In the case of DILI, clinical trials do not focus on assessing causality, so it is not accurate in this identification, even because it is not the objective of this study design. Retrospective observational studies have a known bias regarding data collection. However, prospective observational studies and case series are essential for the detection and understanding of DILI. In this context, the analysis of the evidence synthesis is a difficult task to perform. In terms of access, the LiverTox</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database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website is a valuable reference for a quick consultation</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It classifies medicines according to the following scale: Category A (over 50 published reports), B (over 12 but less than 50), C (over four but less than 12), and D (one to three cases).</w:t>
      </w:r>
    </w:p>
    <w:p w14:paraId="0A8E2109" w14:textId="77777777" w:rsidR="00A77B3E" w:rsidRDefault="0052492E" w:rsidP="005A0FE3">
      <w:pPr>
        <w:spacing w:line="360" w:lineRule="auto"/>
        <w:ind w:firstLineChars="100" w:firstLine="240"/>
        <w:jc w:val="both"/>
      </w:pPr>
      <w:r>
        <w:rPr>
          <w:rFonts w:ascii="Book Antiqua" w:eastAsia="Book Antiqua" w:hAnsi="Book Antiqua" w:cs="Book Antiqua"/>
          <w:color w:val="000000"/>
        </w:rPr>
        <w:t>Some reservations emerged concerning the frequencies of risk of hepatotoxicity when confronted with a large series of prospective cases — mainly related to drugs presenting a risk of hepatotoxicity when it was impossible to rule out other hypotheses. Publication bias and lack of updating can also affect the assessment of the LiverTox</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database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when considering a drug as low risk</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New drugs may also go unnoticed, as the data is generally related to internal reports by regulatory agencies. Despite this bias, the LiverTox</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database is still the most practical way of obtaining information on hepatotoxicity. The expansion of its use and knowledge can improve the quality of publications and more accurate detection and assessment of DILI’s causality.</w:t>
      </w:r>
    </w:p>
    <w:p w14:paraId="0996119E" w14:textId="77777777" w:rsidR="00A77B3E" w:rsidRDefault="0052492E" w:rsidP="005A0FE3">
      <w:pPr>
        <w:spacing w:line="360" w:lineRule="auto"/>
        <w:ind w:firstLineChars="100" w:firstLine="240"/>
        <w:jc w:val="both"/>
      </w:pPr>
      <w:r>
        <w:rPr>
          <w:rFonts w:ascii="Book Antiqua" w:eastAsia="Book Antiqua" w:hAnsi="Book Antiqua" w:cs="Book Antiqua"/>
          <w:color w:val="000000"/>
        </w:rPr>
        <w:t>The evidence of hepatotoxicity available in the LiverTox</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database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was organized considering drugs for COVID-19 treatment. Table 2 presents some of the most studied drugs for the COVID-19 treatment according to hepatotoxicity informa</w:t>
      </w:r>
      <w:r w:rsidR="005A0FE3">
        <w:rPr>
          <w:rFonts w:ascii="Book Antiqua" w:eastAsia="Book Antiqua" w:hAnsi="Book Antiqua" w:cs="Book Antiqua"/>
          <w:color w:val="000000"/>
        </w:rPr>
        <w:t>tion and DILI case probability.</w:t>
      </w:r>
      <w:r w:rsidR="005A0FE3">
        <w:rPr>
          <w:rFonts w:ascii="Book Antiqua" w:hAnsi="Book Antiqua" w:cs="Book Antiqua" w:hint="eastAsia"/>
          <w:color w:val="000000"/>
          <w:lang w:eastAsia="zh-CN"/>
        </w:rPr>
        <w:t xml:space="preserve"> </w:t>
      </w:r>
      <w:r>
        <w:rPr>
          <w:rFonts w:ascii="Book Antiqua" w:eastAsia="Book Antiqua" w:hAnsi="Book Antiqua" w:cs="Book Antiqua"/>
          <w:color w:val="000000"/>
        </w:rPr>
        <w:t>Table 3 presents drugs that enhance the effectiveness of medical treatment.</w:t>
      </w:r>
    </w:p>
    <w:p w14:paraId="5D2E887A" w14:textId="77777777" w:rsidR="00A77B3E" w:rsidRDefault="00A77B3E">
      <w:pPr>
        <w:spacing w:line="360" w:lineRule="auto"/>
        <w:jc w:val="both"/>
      </w:pPr>
    </w:p>
    <w:p w14:paraId="5D36A55B" w14:textId="77777777" w:rsidR="00A77B3E" w:rsidRDefault="0052492E">
      <w:pPr>
        <w:spacing w:line="360" w:lineRule="auto"/>
        <w:jc w:val="both"/>
      </w:pPr>
      <w:r>
        <w:rPr>
          <w:rFonts w:ascii="Book Antiqua" w:eastAsia="Book Antiqua" w:hAnsi="Book Antiqua" w:cs="Book Antiqua"/>
          <w:b/>
          <w:bCs/>
          <w:caps/>
          <w:color w:val="000000"/>
          <w:u w:val="single"/>
        </w:rPr>
        <w:t>DISCUSSION</w:t>
      </w:r>
    </w:p>
    <w:p w14:paraId="147289A0" w14:textId="77777777" w:rsidR="00A77B3E" w:rsidRDefault="0052492E" w:rsidP="005A0FE3">
      <w:pPr>
        <w:spacing w:line="360" w:lineRule="auto"/>
        <w:jc w:val="both"/>
      </w:pPr>
      <w:r>
        <w:rPr>
          <w:rFonts w:ascii="Book Antiqua" w:eastAsia="Book Antiqua" w:hAnsi="Book Antiqua" w:cs="Book Antiqua"/>
          <w:color w:val="000000"/>
        </w:rPr>
        <w:t xml:space="preserve">Healthcare professionals must consider DILI in COVID-19 patients when: </w:t>
      </w:r>
      <w:r w:rsidR="00F67399">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F67399">
        <w:rPr>
          <w:rFonts w:ascii="Book Antiqua" w:hAnsi="Book Antiqua" w:cs="Book Antiqua" w:hint="eastAsia"/>
          <w:color w:val="000000"/>
          <w:lang w:eastAsia="zh-CN"/>
        </w:rPr>
        <w:t>T</w:t>
      </w:r>
      <w:r>
        <w:rPr>
          <w:rFonts w:ascii="Book Antiqua" w:eastAsia="Book Antiqua" w:hAnsi="Book Antiqua" w:cs="Book Antiqua"/>
          <w:color w:val="000000"/>
        </w:rPr>
        <w:t xml:space="preserve">here is an elevation of ALT five times above the upper limit of normal (ULN); </w:t>
      </w:r>
      <w:r w:rsidR="00F67399">
        <w:rPr>
          <w:rFonts w:ascii="Book Antiqua" w:hAnsi="Book Antiqua" w:cs="Book Antiqua" w:hint="eastAsia"/>
          <w:color w:val="000000"/>
          <w:lang w:eastAsia="zh-CN"/>
        </w:rPr>
        <w:t>and (2</w:t>
      </w:r>
      <w:r>
        <w:rPr>
          <w:rFonts w:ascii="Book Antiqua" w:eastAsia="Book Antiqua" w:hAnsi="Book Antiqua" w:cs="Book Antiqua"/>
          <w:color w:val="000000"/>
        </w:rPr>
        <w:t xml:space="preserve">) </w:t>
      </w:r>
      <w:r w:rsidR="00F67399">
        <w:rPr>
          <w:rFonts w:ascii="Book Antiqua" w:hAnsi="Book Antiqua" w:cs="Book Antiqua" w:hint="eastAsia"/>
          <w:color w:val="000000"/>
          <w:lang w:eastAsia="zh-CN"/>
        </w:rPr>
        <w:t>I</w:t>
      </w:r>
      <w:r>
        <w:rPr>
          <w:rFonts w:ascii="Book Antiqua" w:eastAsia="Book Antiqua" w:hAnsi="Book Antiqua" w:cs="Book Antiqua"/>
          <w:color w:val="000000"/>
        </w:rPr>
        <w:t>ncrease in ALT &gt; 3</w:t>
      </w:r>
      <w:r w:rsidR="00F67399">
        <w:rPr>
          <w:rFonts w:ascii="Book Antiqua" w:hAnsi="Book Antiqua" w:cs="Book Antiqua" w:hint="eastAsia"/>
          <w:color w:val="000000"/>
          <w:lang w:eastAsia="zh-CN"/>
        </w:rPr>
        <w:t xml:space="preserve"> </w:t>
      </w:r>
      <w:r w:rsidR="00F67399" w:rsidRPr="00D3219D">
        <w:rPr>
          <w:rFonts w:ascii="Book Antiqua" w:hAnsi="Book Antiqua" w:cs="Book Antiqua"/>
          <w:color w:val="000000"/>
        </w:rPr>
        <w:t>×</w:t>
      </w:r>
      <w:r>
        <w:rPr>
          <w:rFonts w:ascii="Book Antiqua" w:eastAsia="Book Antiqua" w:hAnsi="Book Antiqua" w:cs="Book Antiqua"/>
          <w:color w:val="000000"/>
        </w:rPr>
        <w:t xml:space="preserve"> ULN with an increase in bilirubin &gt; 2</w:t>
      </w:r>
      <w:r w:rsidR="00F67399">
        <w:rPr>
          <w:rFonts w:ascii="Book Antiqua" w:hAnsi="Book Antiqua" w:cs="Book Antiqua" w:hint="eastAsia"/>
          <w:color w:val="000000"/>
          <w:lang w:eastAsia="zh-CN"/>
        </w:rPr>
        <w:t xml:space="preserve"> </w:t>
      </w:r>
      <w:r w:rsidR="00F67399" w:rsidRPr="00D3219D">
        <w:rPr>
          <w:rFonts w:ascii="Book Antiqua" w:hAnsi="Book Antiqua" w:cs="Book Antiqua"/>
          <w:color w:val="000000"/>
        </w:rPr>
        <w:t>×</w:t>
      </w:r>
      <w:r>
        <w:rPr>
          <w:rFonts w:ascii="Book Antiqua" w:eastAsia="Book Antiqua" w:hAnsi="Book Antiqua" w:cs="Book Antiqua"/>
          <w:color w:val="000000"/>
        </w:rPr>
        <w:t xml:space="preserve"> ULN with or without alteration of alkaline phosphatase levels or with hepatic </w:t>
      </w:r>
      <w:proofErr w:type="gramStart"/>
      <w:r>
        <w:rPr>
          <w:rFonts w:ascii="Book Antiqua" w:eastAsia="Book Antiqua" w:hAnsi="Book Antiqua" w:cs="Book Antiqua"/>
          <w:color w:val="000000"/>
        </w:rPr>
        <w:t>signs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DILI may be present when total bilirubin is &gt; 2.5</w:t>
      </w:r>
      <w:r w:rsidR="00F673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in the presence of AST and ALT elevation or when </w:t>
      </w:r>
      <w:r w:rsidR="00F67399" w:rsidRPr="00E751BC">
        <w:rPr>
          <w:rFonts w:ascii="Book Antiqua" w:eastAsia="Book Antiqua" w:hAnsi="Book Antiqua" w:cs="Book Antiqua"/>
          <w:color w:val="000000"/>
        </w:rPr>
        <w:t>international normalized ratio</w:t>
      </w:r>
      <w:r>
        <w:rPr>
          <w:rFonts w:ascii="Book Antiqua" w:eastAsia="Book Antiqua" w:hAnsi="Book Antiqua" w:cs="Book Antiqua"/>
          <w:color w:val="000000"/>
        </w:rPr>
        <w:t xml:space="preserve"> &gt; 1.5 with a concomitant increase in AST and </w:t>
      </w:r>
      <w:proofErr w:type="gramStart"/>
      <w:r>
        <w:rPr>
          <w:rFonts w:ascii="Book Antiqua" w:eastAsia="Book Antiqua" w:hAnsi="Book Antiqua" w:cs="Book Antiqua"/>
          <w:color w:val="000000"/>
        </w:rPr>
        <w:t>ALT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DILI can be classified as hepatocellular, cholestatic or mixed, as indicated by ALT and the alkaline phosphatase </w:t>
      </w:r>
      <w:proofErr w:type="gramStart"/>
      <w:r>
        <w:rPr>
          <w:rFonts w:ascii="Book Antiqua" w:eastAsia="Book Antiqua" w:hAnsi="Book Antiqua" w:cs="Book Antiqua"/>
          <w:color w:val="000000"/>
        </w:rPr>
        <w:t>test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Moreover, DILI can be mild, moderate, severe, or fatal; the worst outcomes are </w:t>
      </w:r>
      <w:r w:rsidR="003269C6">
        <w:rPr>
          <w:rFonts w:ascii="Book Antiqua" w:eastAsia="Book Antiqua" w:hAnsi="Book Antiqua" w:cs="Book Antiqua"/>
          <w:color w:val="000000"/>
        </w:rPr>
        <w:t>liver</w:t>
      </w:r>
      <w:r>
        <w:rPr>
          <w:rFonts w:ascii="Book Antiqua" w:eastAsia="Book Antiqua" w:hAnsi="Book Antiqua" w:cs="Book Antiqua"/>
          <w:color w:val="000000"/>
        </w:rPr>
        <w:t xml:space="preserve"> transplant or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Although there are three known types of DILI, there is no consensus of what type is the most common in COVID-19 patients.</w:t>
      </w:r>
    </w:p>
    <w:p w14:paraId="09167261" w14:textId="77777777" w:rsidR="00A77B3E" w:rsidRPr="00F67399" w:rsidRDefault="0052492E" w:rsidP="00F67399">
      <w:pPr>
        <w:spacing w:line="360" w:lineRule="auto"/>
        <w:ind w:firstLineChars="100" w:firstLine="240"/>
        <w:jc w:val="both"/>
        <w:rPr>
          <w:lang w:eastAsia="zh-CN"/>
        </w:rPr>
      </w:pPr>
      <w:r>
        <w:rPr>
          <w:rFonts w:ascii="Book Antiqua" w:eastAsia="Book Antiqua" w:hAnsi="Book Antiqua" w:cs="Book Antiqua"/>
          <w:color w:val="000000"/>
        </w:rPr>
        <w:t xml:space="preserve">Abnormal levels for aminotransferase in DILI without other signs and symptoms should only be monitored. If the patient presents ALT 5 </w:t>
      </w:r>
      <w:r w:rsidR="00F67399" w:rsidRPr="00D3219D">
        <w:rPr>
          <w:rFonts w:ascii="Book Antiqua" w:hAnsi="Book Antiqua" w:cs="Book Antiqua"/>
          <w:color w:val="000000"/>
        </w:rPr>
        <w:t>×</w:t>
      </w:r>
      <w:r>
        <w:rPr>
          <w:rFonts w:ascii="Book Antiqua" w:eastAsia="Book Antiqua" w:hAnsi="Book Antiqua" w:cs="Book Antiqua"/>
          <w:color w:val="000000"/>
        </w:rPr>
        <w:t xml:space="preserve"> &gt; ULN with jaundice, hepatomegaly, hyperbilirubinemia, or right-upper-quadrant pain, consider further clinical investigation and interruption of suspected DILI </w:t>
      </w:r>
      <w:proofErr w:type="gramStart"/>
      <w:r w:rsidR="003269C6">
        <w:rPr>
          <w:rFonts w:ascii="Book Antiqua" w:eastAsia="Book Antiqua" w:hAnsi="Book Antiqua" w:cs="Book Antiqua"/>
          <w:color w:val="000000"/>
        </w:rPr>
        <w:t>drug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Patients under off-label </w:t>
      </w:r>
      <w:r w:rsidR="003269C6">
        <w:rPr>
          <w:rFonts w:ascii="Book Antiqua" w:eastAsia="Book Antiqua" w:hAnsi="Book Antiqua" w:cs="Book Antiqua"/>
          <w:color w:val="000000"/>
        </w:rPr>
        <w:t>drugs</w:t>
      </w:r>
      <w:r>
        <w:rPr>
          <w:rFonts w:ascii="Book Antiqua" w:eastAsia="Book Antiqua" w:hAnsi="Book Antiqua" w:cs="Book Antiqua"/>
          <w:color w:val="000000"/>
        </w:rPr>
        <w:t xml:space="preserve"> use and investigational treatments should be longitudinally monitored for liver tests. If resources are available, monitor liver tests of patients discharged from ICU to ensure no secondary damage will occur, and liver function will be fully restored</w:t>
      </w:r>
      <w:r>
        <w:rPr>
          <w:rFonts w:ascii="Book Antiqua" w:eastAsia="Book Antiqua" w:hAnsi="Book Antiqua" w:cs="Book Antiqua"/>
          <w:color w:val="000000"/>
          <w:szCs w:val="20"/>
          <w:vertAlign w:val="superscript"/>
        </w:rPr>
        <w:t>[9,13]</w:t>
      </w:r>
      <w:r>
        <w:rPr>
          <w:rFonts w:ascii="Book Antiqua" w:eastAsia="Book Antiqua" w:hAnsi="Book Antiqua" w:cs="Book Antiqua"/>
          <w:color w:val="000000"/>
        </w:rPr>
        <w:t xml:space="preserve">. Most DILI cases do not need drug therapy, and patients recover after </w:t>
      </w:r>
      <w:r w:rsidR="003269C6">
        <w:rPr>
          <w:rFonts w:ascii="Book Antiqua" w:eastAsia="Book Antiqua" w:hAnsi="Book Antiqua" w:cs="Book Antiqua"/>
          <w:color w:val="000000"/>
        </w:rPr>
        <w:t>drug</w:t>
      </w:r>
      <w:r>
        <w:rPr>
          <w:rFonts w:ascii="Book Antiqua" w:eastAsia="Book Antiqua" w:hAnsi="Book Antiqua" w:cs="Book Antiqua"/>
          <w:color w:val="000000"/>
        </w:rPr>
        <w:t xml:space="preserve"> discontinuance. Ursodeoxycholic acid 500 mg daily use is described in the literature for hepatic protection for elevated transaminases and serum total bilirubin in </w:t>
      </w:r>
      <w:r w:rsidR="00F67399">
        <w:rPr>
          <w:rFonts w:ascii="Book Antiqua" w:eastAsia="Book Antiqua" w:hAnsi="Book Antiqua" w:cs="Book Antiqua"/>
          <w:color w:val="000000"/>
        </w:rPr>
        <w:t>non-alcoholic liver dis</w:t>
      </w:r>
      <w:r>
        <w:rPr>
          <w:rFonts w:ascii="Book Antiqua" w:eastAsia="Book Antiqua" w:hAnsi="Book Antiqua" w:cs="Book Antiqua"/>
          <w:color w:val="000000"/>
        </w:rPr>
        <w:t>ease, however its mechanism of action remain unclear</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3D2EB001" w14:textId="77777777" w:rsidR="00A77B3E" w:rsidRDefault="0052492E" w:rsidP="00F67399">
      <w:pPr>
        <w:spacing w:line="360" w:lineRule="auto"/>
        <w:ind w:firstLineChars="100" w:firstLine="240"/>
        <w:jc w:val="both"/>
      </w:pPr>
      <w:r>
        <w:rPr>
          <w:rFonts w:ascii="Book Antiqua" w:eastAsia="Book Antiqua" w:hAnsi="Book Antiqua" w:cs="Book Antiqua"/>
          <w:color w:val="000000"/>
        </w:rPr>
        <w:t xml:space="preserve">Causality algorithms should be used in the assessment of adverse drug reactions. For DILI related to COVID-19 treatment, we strongly encourage using the </w:t>
      </w:r>
      <w:r>
        <w:rPr>
          <w:rFonts w:ascii="Book Antiqua" w:eastAsia="Book Antiqua" w:hAnsi="Book Antiqua" w:cs="Book Antiqua"/>
          <w:color w:val="000000"/>
          <w:shd w:val="clear" w:color="auto" w:fill="FFFFFF"/>
        </w:rPr>
        <w:t>Roussel Uclaf Causality Assessment Method (RUCAM)</w:t>
      </w:r>
      <w:r>
        <w:rPr>
          <w:rFonts w:ascii="Book Antiqua" w:eastAsia="Book Antiqua" w:hAnsi="Book Antiqua" w:cs="Book Antiqua"/>
          <w:color w:val="000000"/>
        </w:rPr>
        <w:t xml:space="preserve"> due to its specificity for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Briefly, the RUCAM scale assigns points to seven domains, including temporal evolution of the liver injury, risk factors (age, alcohol use, and pregnancy), concomitant use of drugs that may be hepatotoxic, and the development of repeated liver damage after the new drug is </w:t>
      </w:r>
      <w:proofErr w:type="gramStart"/>
      <w:r>
        <w:rPr>
          <w:rFonts w:ascii="Book Antiqua" w:eastAsia="Book Antiqua" w:hAnsi="Book Antiqua" w:cs="Book Antiqua"/>
          <w:color w:val="000000"/>
        </w:rPr>
        <w:t>administered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RUCAM may also help in the differential diagnosis of other COVID-19 related etiologies that cause AST/ALT elevation, such as myositis, ischemia, cytokine-release syndrome, and previous </w:t>
      </w:r>
      <w:proofErr w:type="gramStart"/>
      <w:r>
        <w:rPr>
          <w:rFonts w:ascii="Book Antiqua" w:eastAsia="Book Antiqua" w:hAnsi="Book Antiqua" w:cs="Book Antiqua"/>
          <w:color w:val="000000"/>
        </w:rPr>
        <w:t>CLD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4322FC1E" w14:textId="77777777" w:rsidR="00A77B3E" w:rsidRDefault="0052492E" w:rsidP="00F67399">
      <w:pPr>
        <w:spacing w:line="360" w:lineRule="auto"/>
        <w:ind w:firstLineChars="100" w:firstLine="240"/>
        <w:jc w:val="both"/>
      </w:pPr>
      <w:r>
        <w:rPr>
          <w:rFonts w:ascii="Book Antiqua" w:eastAsia="Book Antiqua" w:hAnsi="Book Antiqua" w:cs="Book Antiqua"/>
          <w:color w:val="000000"/>
          <w:shd w:val="clear" w:color="auto" w:fill="FFFFFF"/>
        </w:rPr>
        <w:t xml:space="preserve">The mortality of COVID-19 relates to </w:t>
      </w:r>
      <w:r w:rsidR="00966E87">
        <w:rPr>
          <w:rFonts w:ascii="Book Antiqua" w:eastAsia="Book Antiqua" w:hAnsi="Book Antiqua" w:cs="Book Antiqua"/>
          <w:color w:val="000000"/>
          <w:shd w:val="clear" w:color="auto" w:fill="FFFFFF"/>
        </w:rPr>
        <w:t>SARS</w:t>
      </w:r>
      <w:r>
        <w:rPr>
          <w:rFonts w:ascii="Book Antiqua" w:eastAsia="Book Antiqua" w:hAnsi="Book Antiqua" w:cs="Book Antiqua"/>
          <w:color w:val="000000"/>
          <w:shd w:val="clear" w:color="auto" w:fill="FFFFFF"/>
        </w:rPr>
        <w:t>. Nevertheless, extrapulmonary manifestations such as liver injury may contribute to a negative clinical prognosis. There is no sufficient data to consider liver injury caused by DILI as a risk factor for mortality, but it is a safety concern since it is related to severe cases of COVID-19</w:t>
      </w:r>
      <w:r>
        <w:rPr>
          <w:rFonts w:ascii="Book Antiqua" w:eastAsia="Book Antiqua" w:hAnsi="Book Antiqua" w:cs="Book Antiqua"/>
          <w:color w:val="000000"/>
          <w:szCs w:val="20"/>
          <w:shd w:val="clear" w:color="auto" w:fill="FFFFFF"/>
          <w:vertAlign w:val="superscript"/>
        </w:rPr>
        <w:t>[9,36]</w:t>
      </w:r>
      <w:r>
        <w:rPr>
          <w:rFonts w:ascii="Book Antiqua" w:eastAsia="Book Antiqua" w:hAnsi="Book Antiqua" w:cs="Book Antiqua"/>
          <w:color w:val="000000"/>
          <w:shd w:val="clear" w:color="auto" w:fill="FFFFFF"/>
        </w:rPr>
        <w:t xml:space="preserve">, and it may increase hospital length of stay and expose patients to other comorbidities such as nosocomial infection. From a social and economic perspective, it also </w:t>
      </w:r>
      <w:r>
        <w:rPr>
          <w:rFonts w:ascii="Book Antiqua" w:eastAsia="Book Antiqua" w:hAnsi="Book Antiqua" w:cs="Book Antiqua"/>
          <w:color w:val="000000"/>
        </w:rPr>
        <w:t>pressures the health system, as hospital bed shortages are a major concern in the pandemic, since resources are scarce worldwide.</w:t>
      </w:r>
    </w:p>
    <w:p w14:paraId="302ED800" w14:textId="77777777" w:rsidR="00A77B3E" w:rsidRDefault="0052492E" w:rsidP="00F67399">
      <w:pPr>
        <w:spacing w:line="360" w:lineRule="auto"/>
        <w:ind w:firstLineChars="100" w:firstLine="240"/>
        <w:jc w:val="both"/>
      </w:pPr>
      <w:r>
        <w:rPr>
          <w:rFonts w:ascii="Book Antiqua" w:eastAsia="Book Antiqua" w:hAnsi="Book Antiqua" w:cs="Book Antiqua"/>
          <w:color w:val="000000"/>
        </w:rPr>
        <w:t xml:space="preserve">The hepatotoxicity profile of drugs available in the literature considers approved therapeutic schemes applied in the medical routine. However, drugs currently used in the management of COVID-19 do not follow previously established therapies and posology when considering those tested by the pharmaceutical </w:t>
      </w:r>
      <w:proofErr w:type="gramStart"/>
      <w:r>
        <w:rPr>
          <w:rFonts w:ascii="Book Antiqua" w:eastAsia="Book Antiqua" w:hAnsi="Book Antiqua" w:cs="Book Antiqua"/>
          <w:color w:val="000000"/>
        </w:rPr>
        <w:t>industry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For example, in Brazil, reports of hepatotoxicity caused by ivermectin use 18</w:t>
      </w:r>
      <w:r w:rsidR="00F67399">
        <w:rPr>
          <w:rFonts w:ascii="Book Antiqua" w:hAnsi="Book Antiqua" w:cs="Book Antiqua" w:hint="eastAsia"/>
          <w:color w:val="000000"/>
          <w:lang w:eastAsia="zh-CN"/>
        </w:rPr>
        <w:t xml:space="preserve"> </w:t>
      </w:r>
      <w:r>
        <w:rPr>
          <w:rFonts w:ascii="Book Antiqua" w:eastAsia="Book Antiqua" w:hAnsi="Book Antiqua" w:cs="Book Antiqua"/>
          <w:color w:val="000000"/>
        </w:rPr>
        <w:t>mg/d for a week as prophylaxis for COVID-19 are published in non-scientific media. Despite the small number of published cases according to Table 2, overdose — in the case of administration of non-studied dosage — may, over time, modify the risk of ivermectin hepatotoxicity. A similar situation may occur with several other drugs, leading to the need to review the frequency of adverse reactions described in the package leaflet. This scenario can be confusing in identifying DILI even when using well-established causality algorithms, leading to sub notification, as drugs are used in non-previous indications.</w:t>
      </w:r>
    </w:p>
    <w:p w14:paraId="10214E52" w14:textId="77777777" w:rsidR="00A77B3E" w:rsidRPr="00F67399" w:rsidRDefault="0052492E" w:rsidP="00F67399">
      <w:pPr>
        <w:spacing w:line="360" w:lineRule="auto"/>
        <w:ind w:firstLineChars="100" w:firstLine="240"/>
        <w:jc w:val="both"/>
        <w:rPr>
          <w:lang w:eastAsia="zh-CN"/>
        </w:rPr>
      </w:pPr>
      <w:r>
        <w:rPr>
          <w:rFonts w:ascii="Book Antiqua" w:eastAsia="Book Antiqua" w:hAnsi="Book Antiqua" w:cs="Book Antiqua"/>
          <w:color w:val="000000"/>
        </w:rPr>
        <w:t xml:space="preserve">When we analyzed Azithromycin and Hydroxychloroquine, we found that Azithromycin has a greater potential for hepatotoxicity, according to table 2. Nevertheless, the Brazilian clinical trial ‘Coalition’ found a curious fact: Hydroxychloroquine alone or in addition with Azithromycin increased the levels of aminotransferases. Azithromycin was therefore not a confounder, but its interaction further increased the frequency of liver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p>
    <w:p w14:paraId="68C65CDA" w14:textId="77777777" w:rsidR="00A77B3E" w:rsidRDefault="0052492E" w:rsidP="00F67399">
      <w:pPr>
        <w:spacing w:line="360" w:lineRule="auto"/>
        <w:ind w:firstLineChars="100" w:firstLine="240"/>
        <w:jc w:val="both"/>
      </w:pPr>
      <w:r>
        <w:rPr>
          <w:rFonts w:ascii="Book Antiqua" w:eastAsia="Book Antiqua" w:hAnsi="Book Antiqua" w:cs="Book Antiqua"/>
          <w:color w:val="000000"/>
        </w:rPr>
        <w:t xml:space="preserve">Besides azithromycin, many antimicrobial agents applied in the treatment of respiratory infections may cause hepatotoxicity. Fluoroquinolones, especially ciprofloxacin and levofloxacin, are responsible for frequent causes of clinically apparent liver injury and bile duct </w:t>
      </w:r>
      <w:proofErr w:type="gramStart"/>
      <w:r>
        <w:rPr>
          <w:rFonts w:ascii="Book Antiqua" w:eastAsia="Book Antiqua" w:hAnsi="Book Antiqua" w:cs="Book Antiqua"/>
          <w:color w:val="000000"/>
        </w:rPr>
        <w:t>paucity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Amoxicillin-clavulanate is LiverTox</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 category and the most common documented cause of non-acetaminophen idiosyncratic DILI in the United States and </w:t>
      </w:r>
      <w:proofErr w:type="gramStart"/>
      <w:r>
        <w:rPr>
          <w:rFonts w:ascii="Book Antiqua" w:eastAsia="Book Antiqua" w:hAnsi="Book Antiqua" w:cs="Book Antiqua"/>
          <w:color w:val="000000"/>
        </w:rPr>
        <w:t>Spain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The drug causes cholestasis or mixed pattern of liver injury with significant increased alkaline phosphatase and gamma glutamyl transpeptidase </w:t>
      </w:r>
      <w:proofErr w:type="gramStart"/>
      <w:r>
        <w:rPr>
          <w:rFonts w:ascii="Book Antiqua" w:eastAsia="Book Antiqua" w:hAnsi="Book Antiqua" w:cs="Book Antiqua"/>
          <w:color w:val="000000"/>
        </w:rPr>
        <w:t>markers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40-42]</w:t>
      </w:r>
      <w:r>
        <w:rPr>
          <w:rFonts w:ascii="Book Antiqua" w:eastAsia="Book Antiqua" w:hAnsi="Book Antiqua" w:cs="Book Antiqua"/>
          <w:color w:val="000000"/>
        </w:rPr>
        <w:t xml:space="preserve">. Antituberculosis agents such as isoniazid are well known for their </w:t>
      </w:r>
      <w:proofErr w:type="gramStart"/>
      <w:r>
        <w:rPr>
          <w:rFonts w:ascii="Book Antiqua" w:eastAsia="Book Antiqua" w:hAnsi="Book Antiqua" w:cs="Book Antiqua"/>
          <w:color w:val="000000"/>
        </w:rPr>
        <w:t>hepatotoxicity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in developing countries, patients with COVID-19 and tuberculosis might be at increased risk of poor respiratory outcomes and DILI occurrence. Physicians should be aware of the available date on general antimicrobial hepatotoxicity to evaluate risk-benefit of adjuvant drug therapy.</w:t>
      </w:r>
    </w:p>
    <w:p w14:paraId="1CE518D3" w14:textId="77777777" w:rsidR="00A77B3E" w:rsidRDefault="0052492E" w:rsidP="00F67399">
      <w:pPr>
        <w:spacing w:line="360" w:lineRule="auto"/>
        <w:ind w:firstLineChars="100" w:firstLine="240"/>
        <w:jc w:val="both"/>
      </w:pPr>
      <w:r>
        <w:rPr>
          <w:rFonts w:ascii="Book Antiqua" w:eastAsia="Book Antiqua" w:hAnsi="Book Antiqua" w:cs="Book Antiqua"/>
          <w:color w:val="000000"/>
        </w:rPr>
        <w:t xml:space="preserve">COVID-19 is a condition yet to be duly clarified as to its extent and consequences. Despite the evidence showing the benefits of dexamethasone for the treatment, its use also made conditions such as aspergillosis pneumonia more frequent. This increase has been associated with the increased use of corticosteroids. Therefore, the treatment protocol of some antifungal </w:t>
      </w:r>
      <w:r w:rsidR="00046CF8">
        <w:rPr>
          <w:rFonts w:ascii="Book Antiqua" w:eastAsia="Book Antiqua" w:hAnsi="Book Antiqua" w:cs="Book Antiqua"/>
          <w:color w:val="000000"/>
        </w:rPr>
        <w:t>drugs</w:t>
      </w:r>
      <w:r>
        <w:rPr>
          <w:rFonts w:ascii="Book Antiqua" w:eastAsia="Book Antiqua" w:hAnsi="Book Antiqua" w:cs="Book Antiqua"/>
          <w:color w:val="000000"/>
        </w:rPr>
        <w:t xml:space="preserve"> is associated with respiratory conditions. With the increase in the use of antifungals, known to affect the liver, it is necessary to be aware of the increased frequency of DILI associated with these drugs that were not so often used </w:t>
      </w:r>
      <w:proofErr w:type="gramStart"/>
      <w:r>
        <w:rPr>
          <w:rFonts w:ascii="Book Antiqua" w:eastAsia="Book Antiqua" w:hAnsi="Book Antiqua" w:cs="Book Antiqua"/>
          <w:color w:val="000000"/>
        </w:rPr>
        <w:t>before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w:t>
      </w:r>
    </w:p>
    <w:p w14:paraId="1BF61346" w14:textId="77777777" w:rsidR="00A77B3E" w:rsidRDefault="0052492E" w:rsidP="00F67399">
      <w:pPr>
        <w:spacing w:line="360" w:lineRule="auto"/>
        <w:ind w:firstLineChars="100" w:firstLine="240"/>
        <w:jc w:val="both"/>
      </w:pPr>
      <w:r>
        <w:rPr>
          <w:rFonts w:ascii="Book Antiqua" w:eastAsia="Book Antiqua" w:hAnsi="Book Antiqua" w:cs="Book Antiqua"/>
          <w:color w:val="000000"/>
        </w:rPr>
        <w:t>After Ivermectin, Nevirapine, and Hydroxychloroquine, now Colchicine is under study for the treatment of COVID-19</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Pre-pandemic, the concept of hepatotoxicity was reported as an unlikely or even non-existent cause. Nevertheless, COVID-19 has taught us that we need to be aware of possible new adverse effects when treating new pathologies — especially those stemming from new and dosage regimens.</w:t>
      </w:r>
    </w:p>
    <w:p w14:paraId="4A4E15E2" w14:textId="77777777" w:rsidR="00A77B3E" w:rsidRPr="00F67399" w:rsidRDefault="0052492E" w:rsidP="00F67399">
      <w:pPr>
        <w:spacing w:line="360" w:lineRule="auto"/>
        <w:ind w:firstLineChars="100" w:firstLine="240"/>
        <w:jc w:val="both"/>
        <w:rPr>
          <w:lang w:eastAsia="zh-CN"/>
        </w:rPr>
      </w:pPr>
      <w:r>
        <w:rPr>
          <w:rFonts w:ascii="Book Antiqua" w:eastAsia="Book Antiqua" w:hAnsi="Book Antiqua" w:cs="Book Antiqua"/>
          <w:color w:val="000000"/>
        </w:rPr>
        <w:t xml:space="preserve">Most DILI reports are concentrated in a hospital environment due to the availability of diagnostic </w:t>
      </w:r>
      <w:proofErr w:type="gramStart"/>
      <w:r>
        <w:rPr>
          <w:rFonts w:ascii="Book Antiqua" w:eastAsia="Book Antiqua" w:hAnsi="Book Antiqua" w:cs="Book Antiqua"/>
          <w:color w:val="000000"/>
        </w:rPr>
        <w:t>resources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In a non-pandemic context when most cases are identified in a hospital environment, 50% of DILI cases are poorly </w:t>
      </w:r>
      <w:proofErr w:type="gramStart"/>
      <w:r>
        <w:rPr>
          <w:rFonts w:ascii="Book Antiqua" w:eastAsia="Book Antiqua" w:hAnsi="Book Antiqua" w:cs="Book Antiqua"/>
          <w:color w:val="000000"/>
        </w:rPr>
        <w:t>diagnosed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In patients with COVID-19, this situation may be even more precarious since the off-label drug use in outpatient settings — drugs such as azithromycin, hydroxychloroquine, and ivermectin — will only alert to hepatotoxicity in severe cases when a patient already requires hospitalization.</w:t>
      </w:r>
    </w:p>
    <w:p w14:paraId="30AA5472" w14:textId="77777777" w:rsidR="00A77B3E" w:rsidRPr="00F67399" w:rsidRDefault="0052492E" w:rsidP="00F67399">
      <w:pPr>
        <w:spacing w:line="360" w:lineRule="auto"/>
        <w:ind w:firstLineChars="100" w:firstLine="240"/>
        <w:jc w:val="both"/>
        <w:rPr>
          <w:lang w:eastAsia="zh-CN"/>
        </w:rPr>
      </w:pPr>
      <w:r>
        <w:rPr>
          <w:rFonts w:ascii="Book Antiqua" w:eastAsia="Book Antiqua" w:hAnsi="Book Antiqua" w:cs="Book Antiqua"/>
          <w:color w:val="000000"/>
        </w:rPr>
        <w:t xml:space="preserve">Healthcare professionals must be aware of self-medication practices with over-the-counter medicines in the treatment of COVID-19 fever and pain, such as </w:t>
      </w:r>
      <w:r w:rsidR="00F67399">
        <w:rPr>
          <w:rFonts w:ascii="Book Antiqua" w:eastAsia="Book Antiqua" w:hAnsi="Book Antiqua" w:cs="Book Antiqua"/>
          <w:color w:val="000000"/>
        </w:rPr>
        <w:t xml:space="preserve">nonsteroidal anti-inflammatory </w:t>
      </w:r>
      <w:proofErr w:type="gramStart"/>
      <w:r w:rsidR="00F67399">
        <w:rPr>
          <w:rFonts w:ascii="Book Antiqua" w:eastAsia="Book Antiqua" w:hAnsi="Book Antiqua" w:cs="Book Antiqua"/>
          <w:color w:val="000000"/>
        </w:rPr>
        <w:t>dru</w:t>
      </w:r>
      <w:r>
        <w:rPr>
          <w:rFonts w:ascii="Book Antiqua" w:eastAsia="Book Antiqua" w:hAnsi="Book Antiqua" w:cs="Book Antiqua"/>
          <w:color w:val="000000"/>
        </w:rPr>
        <w:t>gs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Acetaminophen overdoses cause harmful acute hepatocellular injury and even in adequate doses it can slightly elevate serum </w:t>
      </w:r>
      <w:proofErr w:type="gramStart"/>
      <w:r>
        <w:rPr>
          <w:rFonts w:ascii="Book Antiqua" w:eastAsia="Book Antiqua" w:hAnsi="Book Antiqua" w:cs="Book Antiqua"/>
          <w:color w:val="000000"/>
        </w:rPr>
        <w:t>aminotransferases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Liver injury can occur when acetaminophen is taken for several days in supratherapeutic </w:t>
      </w:r>
      <w:proofErr w:type="gramStart"/>
      <w:r>
        <w:rPr>
          <w:rFonts w:ascii="Book Antiqua" w:eastAsia="Book Antiqua" w:hAnsi="Book Antiqua" w:cs="Book Antiqua"/>
          <w:color w:val="000000"/>
        </w:rPr>
        <w:t>doses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Hepatotoxicity is worsened if the patient is critically ill, presents alcoholism, malnutrition or preexisting </w:t>
      </w:r>
      <w:proofErr w:type="gramStart"/>
      <w:r w:rsidR="005A0FE3">
        <w:rPr>
          <w:rFonts w:ascii="Book Antiqua" w:eastAsia="Book Antiqua" w:hAnsi="Book Antiqua" w:cs="Book Antiqua"/>
          <w:color w:val="000000"/>
          <w:shd w:val="clear" w:color="auto" w:fill="FFFFFF"/>
        </w:rPr>
        <w:t>CLD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Moreover, chronic use of diclofenac can increase ALT levels; </w:t>
      </w:r>
      <w:proofErr w:type="spellStart"/>
      <w:r>
        <w:rPr>
          <w:rFonts w:ascii="Book Antiqua" w:eastAsia="Book Antiqua" w:hAnsi="Book Antiqua" w:cs="Book Antiqua"/>
          <w:color w:val="000000"/>
        </w:rPr>
        <w:t>nimesulide</w:t>
      </w:r>
      <w:proofErr w:type="spellEnd"/>
      <w:r>
        <w:rPr>
          <w:rFonts w:ascii="Book Antiqua" w:eastAsia="Book Antiqua" w:hAnsi="Book Antiqua" w:cs="Book Antiqua"/>
          <w:color w:val="000000"/>
        </w:rPr>
        <w:t xml:space="preserve"> has been described in acute liver failure and ibuprofen is associated with cholestatic </w:t>
      </w:r>
      <w:proofErr w:type="gramStart"/>
      <w:r>
        <w:rPr>
          <w:rFonts w:ascii="Book Antiqua" w:eastAsia="Book Antiqua" w:hAnsi="Book Antiqua" w:cs="Book Antiqua"/>
          <w:color w:val="000000"/>
        </w:rPr>
        <w:t>DILI</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w:t>
      </w:r>
    </w:p>
    <w:p w14:paraId="11766EFC" w14:textId="77777777" w:rsidR="00A77B3E" w:rsidRDefault="0052492E" w:rsidP="00F67399">
      <w:pPr>
        <w:spacing w:line="360" w:lineRule="auto"/>
        <w:ind w:firstLineChars="100" w:firstLine="240"/>
        <w:jc w:val="both"/>
      </w:pPr>
      <w:r>
        <w:rPr>
          <w:rFonts w:ascii="Book Antiqua" w:eastAsia="Book Antiqua" w:hAnsi="Book Antiqua" w:cs="Book Antiqua"/>
          <w:color w:val="000000"/>
        </w:rPr>
        <w:t xml:space="preserve">Studies describe the increase in AST/ALT as a synonym for liver damage and hepatotoxicity in patients with COVID-19. However, for a relevant outcome in clinical practice, it is necessary to clarify the presence of signs and symptoms in those cases. The deficiency of uniformity and standardization in the assessment of hepatotoxicity cases hinders the publication of information and the possibility of comparing information among healthcare </w:t>
      </w:r>
      <w:proofErr w:type="gramStart"/>
      <w:r>
        <w:rPr>
          <w:rFonts w:ascii="Book Antiqua" w:eastAsia="Book Antiqua" w:hAnsi="Book Antiqua" w:cs="Book Antiqua"/>
          <w:color w:val="000000"/>
        </w:rPr>
        <w:t>professionals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In that scenario, RUCAM may help to guide more consistent and complete data on </w:t>
      </w:r>
      <w:r w:rsidR="00966E87">
        <w:rPr>
          <w:rFonts w:ascii="Book Antiqua" w:eastAsia="Book Antiqua" w:hAnsi="Book Antiqua" w:cs="Book Antiqua"/>
          <w:color w:val="000000"/>
        </w:rPr>
        <w:t>DILI</w:t>
      </w:r>
      <w:r>
        <w:rPr>
          <w:rFonts w:ascii="Book Antiqua" w:eastAsia="Book Antiqua" w:hAnsi="Book Antiqua" w:cs="Book Antiqua"/>
          <w:color w:val="000000"/>
        </w:rPr>
        <w:t xml:space="preserve">, including COVID-19 cases, undergoing clinical features, treatments used, and current diseases. The World Health Organization strengthened the report of any drug adverse event and so, DILI should also be monitored and reported to local pharmacovigilance institutions to compose the </w:t>
      </w:r>
      <w:proofErr w:type="spellStart"/>
      <w:r>
        <w:rPr>
          <w:rFonts w:ascii="Book Antiqua" w:eastAsia="Book Antiqua" w:hAnsi="Book Antiqua" w:cs="Book Antiqua"/>
          <w:color w:val="000000"/>
        </w:rPr>
        <w:t>VigiBase</w:t>
      </w:r>
      <w:proofErr w:type="spellEnd"/>
      <w:r>
        <w:rPr>
          <w:rFonts w:ascii="Book Antiqua" w:eastAsia="Book Antiqua" w:hAnsi="Book Antiqua" w:cs="Book Antiqua"/>
          <w:color w:val="000000"/>
        </w:rPr>
        <w:t xml:space="preserve"> dataset. Physicians should pay attention to any considerable abnormal liver test elevation as it can demonstrate unknown drug hepatotoxicity. The only certainty that we have is that after COVID-19, knowledge about drug use and abuse will be updated. For that, we should pay attention to increasing DILI reports.</w:t>
      </w:r>
    </w:p>
    <w:p w14:paraId="078C7DA9" w14:textId="77777777" w:rsidR="00A77B3E" w:rsidRDefault="00A77B3E">
      <w:pPr>
        <w:spacing w:line="360" w:lineRule="auto"/>
        <w:jc w:val="both"/>
      </w:pPr>
    </w:p>
    <w:p w14:paraId="33BD7424" w14:textId="77777777" w:rsidR="00A77B3E" w:rsidRDefault="0052492E">
      <w:pPr>
        <w:spacing w:line="360" w:lineRule="auto"/>
        <w:jc w:val="both"/>
      </w:pPr>
      <w:r>
        <w:rPr>
          <w:rFonts w:ascii="Book Antiqua" w:eastAsia="Book Antiqua" w:hAnsi="Book Antiqua" w:cs="Book Antiqua"/>
          <w:b/>
          <w:caps/>
          <w:color w:val="000000"/>
          <w:u w:val="single"/>
        </w:rPr>
        <w:t>CONCLUSION</w:t>
      </w:r>
    </w:p>
    <w:p w14:paraId="061D6851" w14:textId="77777777" w:rsidR="00A77B3E" w:rsidRDefault="0052492E" w:rsidP="00F67399">
      <w:pPr>
        <w:spacing w:line="360" w:lineRule="auto"/>
        <w:jc w:val="both"/>
      </w:pPr>
      <w:r>
        <w:rPr>
          <w:rFonts w:ascii="Book Antiqua" w:eastAsia="Book Antiqua" w:hAnsi="Book Antiqua" w:cs="Book Antiqua"/>
          <w:color w:val="000000"/>
        </w:rPr>
        <w:t>COVID-19 is a multisystemic disease, and liver manifestations are a crucial aspect to be considered. The pandemic moment experienced presents new clinical situations that need different perspectives and approaches. It is important to verify the occurrence of hepatic manifestation in different populations, as there may be a relationship with the different therapeutic schemes used to treat the disease.</w:t>
      </w:r>
    </w:p>
    <w:p w14:paraId="313799BC" w14:textId="77777777" w:rsidR="00A77B3E" w:rsidRDefault="0052492E" w:rsidP="00F67399">
      <w:pPr>
        <w:spacing w:line="360" w:lineRule="auto"/>
        <w:ind w:firstLineChars="100" w:firstLine="240"/>
        <w:jc w:val="both"/>
      </w:pPr>
      <w:r>
        <w:rPr>
          <w:rFonts w:ascii="Book Antiqua" w:eastAsia="Book Antiqua" w:hAnsi="Book Antiqua" w:cs="Book Antiqua"/>
          <w:color w:val="000000"/>
        </w:rPr>
        <w:t xml:space="preserve">Pharmacovigilance actions using validated tools such as the RUCAM algorithm can establish a causal relationship between drugs and DILI and disseminate relevant information for clinical decision-making. The set of liver disorders in COVID-19 patients and the use of several concomitant off-label </w:t>
      </w:r>
      <w:r w:rsidR="00046CF8">
        <w:rPr>
          <w:rFonts w:ascii="Book Antiqua" w:eastAsia="Book Antiqua" w:hAnsi="Book Antiqua" w:cs="Book Antiqua"/>
          <w:color w:val="000000"/>
        </w:rPr>
        <w:t>drugs</w:t>
      </w:r>
      <w:r>
        <w:rPr>
          <w:rFonts w:ascii="Book Antiqua" w:eastAsia="Book Antiqua" w:hAnsi="Book Antiqua" w:cs="Book Antiqua"/>
          <w:color w:val="000000"/>
        </w:rPr>
        <w:t xml:space="preserve"> should be at least a warning sign of potential further liver damage. Rapid identification and early intervention can prevent liver damage contributing to severe impairment in patients.</w:t>
      </w:r>
    </w:p>
    <w:p w14:paraId="3D117E84" w14:textId="77777777" w:rsidR="00A77B3E" w:rsidRDefault="00A77B3E" w:rsidP="00FE6B5D">
      <w:pPr>
        <w:spacing w:line="360" w:lineRule="auto"/>
        <w:jc w:val="both"/>
        <w:rPr>
          <w:lang w:eastAsia="zh-CN"/>
        </w:rPr>
      </w:pPr>
    </w:p>
    <w:p w14:paraId="632F50CA" w14:textId="77777777" w:rsidR="00A77B3E" w:rsidRDefault="0052492E" w:rsidP="00FE6B5D">
      <w:pPr>
        <w:spacing w:line="360" w:lineRule="auto"/>
        <w:jc w:val="both"/>
      </w:pPr>
      <w:r>
        <w:rPr>
          <w:rFonts w:ascii="Book Antiqua" w:eastAsia="Book Antiqua" w:hAnsi="Book Antiqua" w:cs="Book Antiqua"/>
          <w:b/>
          <w:color w:val="000000"/>
        </w:rPr>
        <w:t>REFERENCES</w:t>
      </w:r>
    </w:p>
    <w:p w14:paraId="293B301F" w14:textId="77777777" w:rsidR="00A77B3E" w:rsidRPr="005A5863" w:rsidRDefault="0052492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w:t>
      </w:r>
      <w:r w:rsidRPr="005A5863">
        <w:rPr>
          <w:rFonts w:ascii="Book Antiqua" w:eastAsia="Book Antiqua" w:hAnsi="Book Antiqua" w:cs="Book Antiqua"/>
          <w:color w:val="000000"/>
        </w:rPr>
        <w:t xml:space="preserve">pneumonia outbreak associated with a new coronavirus of probable bat origin. </w:t>
      </w:r>
      <w:r w:rsidRPr="005A5863">
        <w:rPr>
          <w:rFonts w:ascii="Book Antiqua" w:eastAsia="Book Antiqua" w:hAnsi="Book Antiqua" w:cs="Book Antiqua"/>
          <w:i/>
          <w:iCs/>
          <w:color w:val="000000"/>
        </w:rPr>
        <w:t>Nature</w:t>
      </w:r>
      <w:r w:rsidRPr="005A5863">
        <w:rPr>
          <w:rFonts w:ascii="Book Antiqua" w:eastAsia="Book Antiqua" w:hAnsi="Book Antiqua" w:cs="Book Antiqua"/>
          <w:color w:val="000000"/>
        </w:rPr>
        <w:t xml:space="preserve"> 2020; </w:t>
      </w:r>
      <w:r w:rsidRPr="005A5863">
        <w:rPr>
          <w:rFonts w:ascii="Book Antiqua" w:eastAsia="Book Antiqua" w:hAnsi="Book Antiqua" w:cs="Book Antiqua"/>
          <w:b/>
          <w:bCs/>
          <w:color w:val="000000"/>
        </w:rPr>
        <w:t>579</w:t>
      </w:r>
      <w:r w:rsidRPr="005A5863">
        <w:rPr>
          <w:rFonts w:ascii="Book Antiqua" w:eastAsia="Book Antiqua" w:hAnsi="Book Antiqua" w:cs="Book Antiqua"/>
          <w:color w:val="000000"/>
        </w:rPr>
        <w:t>: 270-273 [PMID: 32015507 DOI: 10.1038/s41586-020-2012-7]</w:t>
      </w:r>
    </w:p>
    <w:p w14:paraId="5EB1EDD3" w14:textId="77777777" w:rsidR="00A77B3E" w:rsidRDefault="00FE6B5D">
      <w:pPr>
        <w:spacing w:line="360" w:lineRule="auto"/>
        <w:jc w:val="both"/>
      </w:pPr>
      <w:r w:rsidRPr="00C22687">
        <w:rPr>
          <w:rFonts w:ascii="Book Antiqua" w:eastAsia="Book Antiqua" w:hAnsi="Book Antiqua" w:cs="Book Antiqua"/>
          <w:color w:val="000000"/>
          <w:highlight w:val="yellow"/>
        </w:rPr>
        <w:t xml:space="preserve">2 </w:t>
      </w:r>
      <w:r w:rsidR="0052492E" w:rsidRPr="00C22687">
        <w:rPr>
          <w:rFonts w:ascii="Book Antiqua" w:eastAsia="Book Antiqua" w:hAnsi="Book Antiqua" w:cs="Book Antiqua"/>
          <w:b/>
          <w:color w:val="000000"/>
          <w:highlight w:val="yellow"/>
        </w:rPr>
        <w:t>World Health Organization</w:t>
      </w:r>
      <w:r w:rsidR="0052492E" w:rsidRPr="00C22687">
        <w:rPr>
          <w:rFonts w:ascii="Book Antiqua" w:eastAsia="Book Antiqua" w:hAnsi="Book Antiqua" w:cs="Book Antiqua"/>
          <w:color w:val="000000"/>
          <w:highlight w:val="yellow"/>
        </w:rPr>
        <w:t>. WHO Coronavirus Disease (COVID-19) Dashboard 2021</w:t>
      </w:r>
      <w:r w:rsidRPr="00C22687">
        <w:rPr>
          <w:rFonts w:ascii="Book Antiqua" w:hAnsi="Book Antiqua" w:cs="Book Antiqua" w:hint="eastAsia"/>
          <w:color w:val="000000"/>
          <w:highlight w:val="yellow"/>
          <w:lang w:eastAsia="zh-CN"/>
        </w:rPr>
        <w:t>.</w:t>
      </w:r>
      <w:r w:rsidR="0052492E" w:rsidRPr="00C22687">
        <w:rPr>
          <w:rFonts w:ascii="Book Antiqua" w:eastAsia="Book Antiqua" w:hAnsi="Book Antiqua" w:cs="Book Antiqua"/>
          <w:color w:val="000000"/>
          <w:highlight w:val="yellow"/>
        </w:rPr>
        <w:t xml:space="preserve"> [cited </w:t>
      </w:r>
      <w:r w:rsidRPr="00C22687">
        <w:rPr>
          <w:rFonts w:ascii="Book Antiqua" w:eastAsia="Book Antiqua" w:hAnsi="Book Antiqua" w:cs="Book Antiqua"/>
          <w:color w:val="000000"/>
          <w:highlight w:val="yellow"/>
        </w:rPr>
        <w:t>31</w:t>
      </w:r>
      <w:r w:rsidR="0052492E" w:rsidRPr="00C22687">
        <w:rPr>
          <w:rFonts w:ascii="Book Antiqua" w:eastAsia="Book Antiqua" w:hAnsi="Book Antiqua" w:cs="Book Antiqua"/>
          <w:color w:val="000000"/>
          <w:highlight w:val="yellow"/>
        </w:rPr>
        <w:t xml:space="preserve"> Jan</w:t>
      </w:r>
      <w:r w:rsidRPr="00C22687">
        <w:rPr>
          <w:rFonts w:ascii="Book Antiqua" w:hAnsi="Book Antiqua" w:cs="Book Antiqua" w:hint="eastAsia"/>
          <w:color w:val="000000"/>
          <w:highlight w:val="yellow"/>
          <w:lang w:eastAsia="zh-CN"/>
        </w:rPr>
        <w:t xml:space="preserve"> </w:t>
      </w:r>
      <w:r w:rsidRPr="00C22687">
        <w:rPr>
          <w:rFonts w:ascii="Book Antiqua" w:eastAsia="Book Antiqua" w:hAnsi="Book Antiqua" w:cs="Book Antiqua"/>
          <w:color w:val="000000"/>
          <w:highlight w:val="yellow"/>
        </w:rPr>
        <w:t>2021</w:t>
      </w:r>
      <w:r w:rsidR="0052492E" w:rsidRPr="00C22687">
        <w:rPr>
          <w:rFonts w:ascii="Book Antiqua" w:eastAsia="Book Antiqua" w:hAnsi="Book Antiqua" w:cs="Book Antiqua"/>
          <w:color w:val="000000"/>
          <w:highlight w:val="yellow"/>
        </w:rPr>
        <w:t xml:space="preserve">]. </w:t>
      </w:r>
      <w:r w:rsidRPr="00C22687">
        <w:rPr>
          <w:rFonts w:ascii="Book Antiqua" w:hAnsi="Book Antiqua" w:cs="Book Antiqua" w:hint="eastAsia"/>
          <w:color w:val="000000"/>
          <w:highlight w:val="yellow"/>
          <w:lang w:eastAsia="zh-CN"/>
        </w:rPr>
        <w:t xml:space="preserve">In: </w:t>
      </w:r>
      <w:r w:rsidRPr="00C22687">
        <w:rPr>
          <w:rFonts w:ascii="Book Antiqua" w:eastAsia="Book Antiqua" w:hAnsi="Book Antiqua" w:cs="Book Antiqua"/>
          <w:color w:val="000000"/>
          <w:highlight w:val="yellow"/>
        </w:rPr>
        <w:t xml:space="preserve">World Health Organization </w:t>
      </w:r>
      <w:r w:rsidRPr="00C22687">
        <w:rPr>
          <w:rFonts w:ascii="Book Antiqua" w:hAnsi="Book Antiqua" w:cs="Book Antiqua" w:hint="eastAsia"/>
          <w:color w:val="000000"/>
          <w:highlight w:val="yellow"/>
          <w:lang w:eastAsia="zh-CN"/>
        </w:rPr>
        <w:t xml:space="preserve">[Internet]. </w:t>
      </w:r>
      <w:r w:rsidR="0052492E" w:rsidRPr="00C22687">
        <w:rPr>
          <w:rFonts w:ascii="Book Antiqua" w:eastAsia="Book Antiqua" w:hAnsi="Book Antiqua" w:cs="Book Antiqua"/>
          <w:color w:val="000000"/>
          <w:highlight w:val="yellow"/>
        </w:rPr>
        <w:t>Available from: https://covid19.who.int/</w:t>
      </w:r>
    </w:p>
    <w:p w14:paraId="6AFDAC50" w14:textId="77777777" w:rsidR="00A77B3E" w:rsidRDefault="0052492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20C87226" w14:textId="7ADAC34E" w:rsidR="00A77B3E" w:rsidRPr="005A5863" w:rsidRDefault="0052492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CDC COVID-19 Response Team</w:t>
      </w:r>
      <w:r>
        <w:rPr>
          <w:rFonts w:ascii="Book Antiqua" w:eastAsia="Book Antiqua" w:hAnsi="Book Antiqua" w:cs="Book Antiqua"/>
          <w:color w:val="000000"/>
        </w:rPr>
        <w:t xml:space="preserve">. Severe Outcomes Among Patients with Coronavirus Disease 2019 (COVID-19) - United States, February 12-March 16, 2020.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w:t>
      </w:r>
      <w:r w:rsidRPr="005A5863">
        <w:rPr>
          <w:rFonts w:ascii="Book Antiqua" w:eastAsia="Book Antiqua" w:hAnsi="Book Antiqua" w:cs="Book Antiqua"/>
          <w:i/>
          <w:iCs/>
          <w:color w:val="000000"/>
        </w:rPr>
        <w:t xml:space="preserve">Mortal </w:t>
      </w:r>
      <w:proofErr w:type="spellStart"/>
      <w:r w:rsidRPr="005A5863">
        <w:rPr>
          <w:rFonts w:ascii="Book Antiqua" w:eastAsia="Book Antiqua" w:hAnsi="Book Antiqua" w:cs="Book Antiqua"/>
          <w:i/>
          <w:iCs/>
          <w:color w:val="000000"/>
        </w:rPr>
        <w:t>Wkly</w:t>
      </w:r>
      <w:proofErr w:type="spellEnd"/>
      <w:r w:rsidRPr="005A5863">
        <w:rPr>
          <w:rFonts w:ascii="Book Antiqua" w:eastAsia="Book Antiqua" w:hAnsi="Book Antiqua" w:cs="Book Antiqua"/>
          <w:i/>
          <w:iCs/>
          <w:color w:val="000000"/>
        </w:rPr>
        <w:t xml:space="preserve"> Rep</w:t>
      </w:r>
      <w:r w:rsidRPr="005A5863">
        <w:rPr>
          <w:rFonts w:ascii="Book Antiqua" w:eastAsia="Book Antiqua" w:hAnsi="Book Antiqua" w:cs="Book Antiqua"/>
          <w:color w:val="000000"/>
        </w:rPr>
        <w:t xml:space="preserve"> 2020; </w:t>
      </w:r>
      <w:r w:rsidRPr="005A5863">
        <w:rPr>
          <w:rFonts w:ascii="Book Antiqua" w:eastAsia="Book Antiqua" w:hAnsi="Book Antiqua" w:cs="Book Antiqua"/>
          <w:b/>
          <w:bCs/>
          <w:color w:val="000000"/>
        </w:rPr>
        <w:t>69</w:t>
      </w:r>
      <w:r w:rsidRPr="005A5863">
        <w:rPr>
          <w:rFonts w:ascii="Book Antiqua" w:eastAsia="Book Antiqua" w:hAnsi="Book Antiqua" w:cs="Book Antiqua"/>
          <w:color w:val="000000"/>
        </w:rPr>
        <w:t>: 343-346 [PMID: 32214079 DOI: 10.15585/mmwr.mm6912e2]</w:t>
      </w:r>
    </w:p>
    <w:p w14:paraId="44CFE3A9" w14:textId="77777777" w:rsidR="00A77B3E" w:rsidRPr="005A5863" w:rsidRDefault="0052492E">
      <w:pPr>
        <w:spacing w:line="360" w:lineRule="auto"/>
        <w:jc w:val="both"/>
      </w:pPr>
      <w:r w:rsidRPr="00C22687">
        <w:rPr>
          <w:rFonts w:ascii="Book Antiqua" w:eastAsia="Book Antiqua" w:hAnsi="Book Antiqua" w:cs="Book Antiqua"/>
          <w:color w:val="000000"/>
          <w:highlight w:val="yellow"/>
        </w:rPr>
        <w:t xml:space="preserve">5 </w:t>
      </w:r>
      <w:r w:rsidRPr="00C22687">
        <w:rPr>
          <w:rFonts w:ascii="Book Antiqua" w:eastAsia="Book Antiqua" w:hAnsi="Book Antiqua" w:cs="Book Antiqua"/>
          <w:b/>
          <w:bCs/>
          <w:color w:val="000000"/>
          <w:highlight w:val="yellow"/>
        </w:rPr>
        <w:t>World Health Organization</w:t>
      </w:r>
      <w:r w:rsidRPr="00C22687">
        <w:rPr>
          <w:rFonts w:ascii="Book Antiqua" w:eastAsia="Book Antiqua" w:hAnsi="Book Antiqua" w:cs="Book Antiqua"/>
          <w:bCs/>
          <w:color w:val="000000"/>
          <w:highlight w:val="yellow"/>
        </w:rPr>
        <w:t>. Clinical management of Covid-19: interim guidance,</w:t>
      </w:r>
      <w:r w:rsidRPr="00C22687">
        <w:rPr>
          <w:rFonts w:ascii="Book Antiqua" w:eastAsia="Book Antiqua" w:hAnsi="Book Antiqua" w:cs="Book Antiqua"/>
          <w:color w:val="000000"/>
          <w:highlight w:val="yellow"/>
        </w:rPr>
        <w:t xml:space="preserve"> 27 May 2020. </w:t>
      </w:r>
      <w:r w:rsidR="00FE6B5D" w:rsidRPr="00C22687">
        <w:rPr>
          <w:rFonts w:ascii="Book Antiqua" w:eastAsia="Book Antiqua" w:hAnsi="Book Antiqua" w:cs="Book Antiqua"/>
          <w:color w:val="000000"/>
          <w:highlight w:val="yellow"/>
        </w:rPr>
        <w:t>[cited 31 Jan</w:t>
      </w:r>
      <w:r w:rsidR="00FE6B5D" w:rsidRPr="00C22687">
        <w:rPr>
          <w:rFonts w:ascii="Book Antiqua" w:hAnsi="Book Antiqua" w:cs="Book Antiqua" w:hint="eastAsia"/>
          <w:color w:val="000000"/>
          <w:highlight w:val="yellow"/>
          <w:lang w:eastAsia="zh-CN"/>
        </w:rPr>
        <w:t xml:space="preserve"> </w:t>
      </w:r>
      <w:r w:rsidR="00FE6B5D" w:rsidRPr="00C22687">
        <w:rPr>
          <w:rFonts w:ascii="Book Antiqua" w:eastAsia="Book Antiqua" w:hAnsi="Book Antiqua" w:cs="Book Antiqua"/>
          <w:color w:val="000000"/>
          <w:highlight w:val="yellow"/>
        </w:rPr>
        <w:t xml:space="preserve">2021]. </w:t>
      </w:r>
      <w:r w:rsidR="00FE6B5D" w:rsidRPr="00C22687">
        <w:rPr>
          <w:rFonts w:ascii="Book Antiqua" w:hAnsi="Book Antiqua" w:cs="Book Antiqua" w:hint="eastAsia"/>
          <w:color w:val="000000"/>
          <w:highlight w:val="yellow"/>
          <w:lang w:eastAsia="zh-CN"/>
        </w:rPr>
        <w:t xml:space="preserve">In: </w:t>
      </w:r>
      <w:r w:rsidR="00FE6B5D" w:rsidRPr="00C22687">
        <w:rPr>
          <w:rFonts w:ascii="Book Antiqua" w:eastAsia="Book Antiqua" w:hAnsi="Book Antiqua" w:cs="Book Antiqua"/>
          <w:color w:val="000000"/>
          <w:highlight w:val="yellow"/>
        </w:rPr>
        <w:t xml:space="preserve">World Health Organization </w:t>
      </w:r>
      <w:r w:rsidR="00FE6B5D" w:rsidRPr="00C22687">
        <w:rPr>
          <w:rFonts w:ascii="Book Antiqua" w:hAnsi="Book Antiqua" w:cs="Book Antiqua" w:hint="eastAsia"/>
          <w:color w:val="000000"/>
          <w:highlight w:val="yellow"/>
          <w:lang w:eastAsia="zh-CN"/>
        </w:rPr>
        <w:t>[Internet].</w:t>
      </w:r>
      <w:r w:rsidRPr="00C22687">
        <w:rPr>
          <w:rFonts w:ascii="Book Antiqua" w:eastAsia="Book Antiqua" w:hAnsi="Book Antiqua" w:cs="Book Antiqua"/>
          <w:color w:val="000000"/>
          <w:highlight w:val="yellow"/>
        </w:rPr>
        <w:t xml:space="preserve"> Available from https://apps.who.int/iris/handle/10665/332196</w:t>
      </w:r>
    </w:p>
    <w:p w14:paraId="765DABA6" w14:textId="77777777" w:rsidR="00A77B3E" w:rsidRPr="005A5863" w:rsidRDefault="0052492E">
      <w:pPr>
        <w:spacing w:line="360" w:lineRule="auto"/>
        <w:jc w:val="both"/>
      </w:pPr>
      <w:r w:rsidRPr="005A5863">
        <w:rPr>
          <w:rFonts w:ascii="Book Antiqua" w:eastAsia="Book Antiqua" w:hAnsi="Book Antiqua" w:cs="Book Antiqua"/>
          <w:color w:val="000000"/>
        </w:rPr>
        <w:t xml:space="preserve">6 </w:t>
      </w:r>
      <w:r w:rsidRPr="005A5863">
        <w:rPr>
          <w:rFonts w:ascii="Book Antiqua" w:eastAsia="Book Antiqua" w:hAnsi="Book Antiqua" w:cs="Book Antiqua"/>
          <w:b/>
          <w:bCs/>
          <w:color w:val="000000"/>
        </w:rPr>
        <w:t>Thakur V</w:t>
      </w:r>
      <w:r w:rsidRPr="005A5863">
        <w:rPr>
          <w:rFonts w:ascii="Book Antiqua" w:eastAsia="Book Antiqua" w:hAnsi="Book Antiqua" w:cs="Book Antiqua"/>
          <w:color w:val="000000"/>
        </w:rPr>
        <w:t xml:space="preserve">, </w:t>
      </w:r>
      <w:proofErr w:type="spellStart"/>
      <w:r w:rsidRPr="005A5863">
        <w:rPr>
          <w:rFonts w:ascii="Book Antiqua" w:eastAsia="Book Antiqua" w:hAnsi="Book Antiqua" w:cs="Book Antiqua"/>
          <w:color w:val="000000"/>
        </w:rPr>
        <w:t>Ratho</w:t>
      </w:r>
      <w:proofErr w:type="spellEnd"/>
      <w:r w:rsidRPr="005A5863">
        <w:rPr>
          <w:rFonts w:ascii="Book Antiqua" w:eastAsia="Book Antiqua" w:hAnsi="Book Antiqua" w:cs="Book Antiqua"/>
          <w:color w:val="000000"/>
        </w:rPr>
        <w:t xml:space="preserve"> RK, Kumar P, Bhatia SK, Bora I, </w:t>
      </w:r>
      <w:proofErr w:type="spellStart"/>
      <w:r w:rsidRPr="005A5863">
        <w:rPr>
          <w:rFonts w:ascii="Book Antiqua" w:eastAsia="Book Antiqua" w:hAnsi="Book Antiqua" w:cs="Book Antiqua"/>
          <w:color w:val="000000"/>
        </w:rPr>
        <w:t>Mohi</w:t>
      </w:r>
      <w:proofErr w:type="spellEnd"/>
      <w:r w:rsidRPr="005A5863">
        <w:rPr>
          <w:rFonts w:ascii="Book Antiqua" w:eastAsia="Book Antiqua" w:hAnsi="Book Antiqua" w:cs="Book Antiqua"/>
          <w:color w:val="000000"/>
        </w:rPr>
        <w:t xml:space="preserve"> GK, Saxena SK, Devi M, Yadav D, </w:t>
      </w:r>
      <w:proofErr w:type="spellStart"/>
      <w:r w:rsidRPr="005A5863">
        <w:rPr>
          <w:rFonts w:ascii="Book Antiqua" w:eastAsia="Book Antiqua" w:hAnsi="Book Antiqua" w:cs="Book Antiqua"/>
          <w:color w:val="000000"/>
        </w:rPr>
        <w:t>Mehariya</w:t>
      </w:r>
      <w:proofErr w:type="spellEnd"/>
      <w:r w:rsidRPr="005A5863">
        <w:rPr>
          <w:rFonts w:ascii="Book Antiqua" w:eastAsia="Book Antiqua" w:hAnsi="Book Antiqua" w:cs="Book Antiqua"/>
          <w:color w:val="000000"/>
        </w:rPr>
        <w:t xml:space="preserve"> S. Multi-Organ Involvement in COVID-19: Beyond Pulmonary Manifestations. </w:t>
      </w:r>
      <w:r w:rsidRPr="005A5863">
        <w:rPr>
          <w:rFonts w:ascii="Book Antiqua" w:eastAsia="Book Antiqua" w:hAnsi="Book Antiqua" w:cs="Book Antiqua"/>
          <w:i/>
          <w:iCs/>
          <w:color w:val="000000"/>
        </w:rPr>
        <w:t>J Clin Med</w:t>
      </w:r>
      <w:r w:rsidRPr="005A5863">
        <w:rPr>
          <w:rFonts w:ascii="Book Antiqua" w:eastAsia="Book Antiqua" w:hAnsi="Book Antiqua" w:cs="Book Antiqua"/>
          <w:color w:val="000000"/>
        </w:rPr>
        <w:t xml:space="preserve"> 2021; </w:t>
      </w:r>
      <w:r w:rsidRPr="005A5863">
        <w:rPr>
          <w:rFonts w:ascii="Book Antiqua" w:eastAsia="Book Antiqua" w:hAnsi="Book Antiqua" w:cs="Book Antiqua"/>
          <w:b/>
          <w:bCs/>
          <w:color w:val="000000"/>
        </w:rPr>
        <w:t>10</w:t>
      </w:r>
      <w:r w:rsidRPr="005A5863">
        <w:rPr>
          <w:rFonts w:ascii="Book Antiqua" w:eastAsia="Book Antiqua" w:hAnsi="Book Antiqua" w:cs="Book Antiqua"/>
          <w:color w:val="000000"/>
        </w:rPr>
        <w:t xml:space="preserve"> [PMID: 33498861 DOI: 10.3390/jcm10030446]</w:t>
      </w:r>
    </w:p>
    <w:p w14:paraId="028EF6AB" w14:textId="77777777" w:rsidR="00A77B3E" w:rsidRPr="005A5863" w:rsidRDefault="0052492E">
      <w:pPr>
        <w:spacing w:line="360" w:lineRule="auto"/>
        <w:jc w:val="both"/>
      </w:pPr>
      <w:r w:rsidRPr="00C22687">
        <w:rPr>
          <w:rFonts w:ascii="Book Antiqua" w:eastAsia="Book Antiqua" w:hAnsi="Book Antiqua" w:cs="Book Antiqua"/>
          <w:color w:val="000000"/>
          <w:highlight w:val="yellow"/>
        </w:rPr>
        <w:t xml:space="preserve">7 </w:t>
      </w:r>
      <w:r w:rsidRPr="00C22687">
        <w:rPr>
          <w:rFonts w:ascii="Book Antiqua" w:eastAsia="Book Antiqua" w:hAnsi="Book Antiqua" w:cs="Book Antiqua"/>
          <w:b/>
          <w:bCs/>
          <w:color w:val="000000"/>
          <w:highlight w:val="yellow"/>
        </w:rPr>
        <w:t>Chai X</w:t>
      </w:r>
      <w:r w:rsidRPr="00C22687">
        <w:rPr>
          <w:rFonts w:ascii="Book Antiqua" w:eastAsia="Book Antiqua" w:hAnsi="Book Antiqua" w:cs="Book Antiqua"/>
          <w:bCs/>
          <w:color w:val="000000"/>
          <w:highlight w:val="yellow"/>
        </w:rPr>
        <w:t>,</w:t>
      </w:r>
      <w:r w:rsidRPr="00C22687">
        <w:rPr>
          <w:rFonts w:ascii="Book Antiqua" w:eastAsia="Book Antiqua" w:hAnsi="Book Antiqua" w:cs="Book Antiqua"/>
          <w:color w:val="000000"/>
          <w:highlight w:val="yellow"/>
        </w:rPr>
        <w:t xml:space="preserve"> Hu L, Zhang Y, Han W, Lu Z, </w:t>
      </w:r>
      <w:proofErr w:type="spellStart"/>
      <w:r w:rsidRPr="00C22687">
        <w:rPr>
          <w:rFonts w:ascii="Book Antiqua" w:eastAsia="Book Antiqua" w:hAnsi="Book Antiqua" w:cs="Book Antiqua"/>
          <w:color w:val="000000"/>
          <w:highlight w:val="yellow"/>
        </w:rPr>
        <w:t>Ke</w:t>
      </w:r>
      <w:proofErr w:type="spellEnd"/>
      <w:r w:rsidRPr="00C22687">
        <w:rPr>
          <w:rFonts w:ascii="Book Antiqua" w:eastAsia="Book Antiqua" w:hAnsi="Book Antiqua" w:cs="Book Antiqua"/>
          <w:color w:val="000000"/>
          <w:highlight w:val="yellow"/>
        </w:rPr>
        <w:t xml:space="preserve"> A. Specific ACE2 expression in </w:t>
      </w:r>
      <w:proofErr w:type="spellStart"/>
      <w:r w:rsidRPr="00C22687">
        <w:rPr>
          <w:rFonts w:ascii="Book Antiqua" w:eastAsia="Book Antiqua" w:hAnsi="Book Antiqua" w:cs="Book Antiqua"/>
          <w:color w:val="000000"/>
          <w:highlight w:val="yellow"/>
        </w:rPr>
        <w:t>cholangiocytes</w:t>
      </w:r>
      <w:proofErr w:type="spellEnd"/>
      <w:r w:rsidRPr="00C22687">
        <w:rPr>
          <w:rFonts w:ascii="Book Antiqua" w:eastAsia="Book Antiqua" w:hAnsi="Book Antiqua" w:cs="Book Antiqua"/>
          <w:color w:val="000000"/>
          <w:highlight w:val="yellow"/>
        </w:rPr>
        <w:t xml:space="preserve"> may cause liver damage after 2019-nCoV infection. </w:t>
      </w:r>
      <w:r w:rsidR="00FE6B5D" w:rsidRPr="00C22687">
        <w:rPr>
          <w:rFonts w:ascii="Book Antiqua" w:hAnsi="Book Antiqua" w:cs="Segoe UI"/>
          <w:color w:val="000000"/>
          <w:highlight w:val="yellow"/>
        </w:rPr>
        <w:t>20</w:t>
      </w:r>
      <w:r w:rsidR="00FE6B5D" w:rsidRPr="00C22687">
        <w:rPr>
          <w:rFonts w:ascii="Book Antiqua" w:hAnsi="Book Antiqua" w:cs="Segoe UI" w:hint="eastAsia"/>
          <w:color w:val="000000"/>
          <w:highlight w:val="yellow"/>
          <w:lang w:eastAsia="zh-CN"/>
        </w:rPr>
        <w:t>20</w:t>
      </w:r>
      <w:r w:rsidR="00FE6B5D" w:rsidRPr="00C22687">
        <w:rPr>
          <w:rFonts w:ascii="Book Antiqua" w:hAnsi="Book Antiqua" w:cs="Segoe UI"/>
          <w:color w:val="000000"/>
          <w:highlight w:val="yellow"/>
        </w:rPr>
        <w:t xml:space="preserve"> Preprint. Available from:</w:t>
      </w:r>
      <w:r w:rsidR="00FE6B5D" w:rsidRPr="00C22687">
        <w:rPr>
          <w:rFonts w:ascii="Book Antiqua" w:hAnsi="Book Antiqua" w:cs="Segoe UI" w:hint="eastAsia"/>
          <w:color w:val="000000"/>
          <w:highlight w:val="yellow"/>
          <w:lang w:eastAsia="zh-CN"/>
        </w:rPr>
        <w:t xml:space="preserve"> </w:t>
      </w:r>
      <w:r w:rsidR="00FE6B5D" w:rsidRPr="00C22687">
        <w:rPr>
          <w:rFonts w:ascii="Book Antiqua" w:hAnsi="Book Antiqua" w:cs="Book Antiqua" w:hint="eastAsia"/>
          <w:color w:val="000000"/>
          <w:highlight w:val="yellow"/>
          <w:lang w:eastAsia="zh-CN"/>
        </w:rPr>
        <w:t>b</w:t>
      </w:r>
      <w:r w:rsidRPr="00C22687">
        <w:rPr>
          <w:rFonts w:ascii="Book Antiqua" w:eastAsia="Book Antiqua" w:hAnsi="Book Antiqua" w:cs="Book Antiqua"/>
          <w:color w:val="000000"/>
          <w:highlight w:val="yellow"/>
        </w:rPr>
        <w:t>ioRxiv</w:t>
      </w:r>
      <w:r w:rsidR="00FE6B5D" w:rsidRPr="00C22687">
        <w:rPr>
          <w:rFonts w:ascii="Book Antiqua" w:hAnsi="Book Antiqua" w:cs="Book Antiqua" w:hint="eastAsia"/>
          <w:color w:val="000000"/>
          <w:highlight w:val="yellow"/>
          <w:lang w:eastAsia="zh-CN"/>
        </w:rPr>
        <w:t>:</w:t>
      </w:r>
      <w:r w:rsidR="00FE6B5D" w:rsidRPr="00C22687">
        <w:rPr>
          <w:rFonts w:ascii="Book Antiqua" w:eastAsia="Book Antiqua" w:hAnsi="Book Antiqua" w:cs="Book Antiqua"/>
          <w:color w:val="000000"/>
          <w:highlight w:val="yellow"/>
        </w:rPr>
        <w:t>2020.02.03.931766</w:t>
      </w:r>
      <w:r w:rsidRPr="00C22687">
        <w:rPr>
          <w:rFonts w:ascii="Book Antiqua" w:eastAsia="Book Antiqua" w:hAnsi="Book Antiqua" w:cs="Book Antiqua"/>
          <w:color w:val="000000"/>
          <w:highlight w:val="yellow"/>
        </w:rPr>
        <w:t xml:space="preserve"> [DOI 10.1101/2020.02.03.931766]</w:t>
      </w:r>
    </w:p>
    <w:p w14:paraId="4199BF3C" w14:textId="77777777" w:rsidR="00A77B3E" w:rsidRDefault="0052492E">
      <w:pPr>
        <w:spacing w:line="360" w:lineRule="auto"/>
        <w:jc w:val="both"/>
      </w:pPr>
      <w:r w:rsidRPr="005A5863">
        <w:rPr>
          <w:rFonts w:ascii="Book Antiqua" w:eastAsia="Book Antiqua" w:hAnsi="Book Antiqua" w:cs="Book Antiqua"/>
          <w:color w:val="000000"/>
        </w:rPr>
        <w:t xml:space="preserve">8 </w:t>
      </w:r>
      <w:proofErr w:type="spellStart"/>
      <w:r w:rsidRPr="005A5863">
        <w:rPr>
          <w:rFonts w:ascii="Book Antiqua" w:eastAsia="Book Antiqua" w:hAnsi="Book Antiqua" w:cs="Book Antiqua"/>
          <w:b/>
          <w:bCs/>
          <w:color w:val="000000"/>
        </w:rPr>
        <w:t>Metawea</w:t>
      </w:r>
      <w:proofErr w:type="spellEnd"/>
      <w:r w:rsidRPr="005A5863">
        <w:rPr>
          <w:rFonts w:ascii="Book Antiqua" w:eastAsia="Book Antiqua" w:hAnsi="Book Antiqua" w:cs="Book Antiqua"/>
          <w:b/>
          <w:bCs/>
          <w:color w:val="000000"/>
        </w:rPr>
        <w:t xml:space="preserve"> MI</w:t>
      </w:r>
      <w:r w:rsidRPr="005A5863">
        <w:rPr>
          <w:rFonts w:ascii="Book Antiqua" w:eastAsia="Book Antiqua" w:hAnsi="Book Antiqua" w:cs="Book Antiqua"/>
          <w:color w:val="000000"/>
        </w:rPr>
        <w:t>, Yousif WI, Moheb I. COVID 19 and liver</w:t>
      </w:r>
      <w:r>
        <w:rPr>
          <w:rFonts w:ascii="Book Antiqua" w:eastAsia="Book Antiqua" w:hAnsi="Book Antiqua" w:cs="Book Antiqua"/>
          <w:color w:val="000000"/>
        </w:rPr>
        <w:t xml:space="preserve">: An A-Z literature review.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146-152 [PMID: 32988758 DOI: 10.1016/j.dld.2020.09.010]</w:t>
      </w:r>
    </w:p>
    <w:p w14:paraId="424A34B8" w14:textId="77777777" w:rsidR="00A77B3E" w:rsidRDefault="0052492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Gupta A</w:t>
      </w:r>
      <w:r>
        <w:rPr>
          <w:rFonts w:ascii="Book Antiqua" w:eastAsia="Book Antiqua" w:hAnsi="Book Antiqua" w:cs="Book Antiqua"/>
          <w:color w:val="000000"/>
        </w:rPr>
        <w:t xml:space="preserve">, Madhavan MV, Sehgal K, Nair N, Mahajan S, </w:t>
      </w:r>
      <w:proofErr w:type="spellStart"/>
      <w:r>
        <w:rPr>
          <w:rFonts w:ascii="Book Antiqua" w:eastAsia="Book Antiqua" w:hAnsi="Book Antiqua" w:cs="Book Antiqua"/>
          <w:color w:val="000000"/>
        </w:rPr>
        <w:t>Sehrawat</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Bikdeli</w:t>
      </w:r>
      <w:proofErr w:type="spellEnd"/>
      <w:r>
        <w:rPr>
          <w:rFonts w:ascii="Book Antiqua" w:eastAsia="Book Antiqua" w:hAnsi="Book Antiqua" w:cs="Book Antiqua"/>
          <w:color w:val="000000"/>
        </w:rPr>
        <w:t xml:space="preserve"> B, Ahluwalia N, Ausiello JC, Wan EY, </w:t>
      </w:r>
      <w:proofErr w:type="spellStart"/>
      <w:r>
        <w:rPr>
          <w:rFonts w:ascii="Book Antiqua" w:eastAsia="Book Antiqua" w:hAnsi="Book Antiqua" w:cs="Book Antiqua"/>
          <w:color w:val="000000"/>
        </w:rPr>
        <w:t>Freedberg</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Parikh SA, Maurer MS, </w:t>
      </w:r>
      <w:proofErr w:type="spellStart"/>
      <w:r>
        <w:rPr>
          <w:rFonts w:ascii="Book Antiqua" w:eastAsia="Book Antiqua" w:hAnsi="Book Antiqua" w:cs="Book Antiqua"/>
          <w:color w:val="000000"/>
        </w:rPr>
        <w:t>Nordvig</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Accili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Bathon</w:t>
      </w:r>
      <w:proofErr w:type="spellEnd"/>
      <w:r>
        <w:rPr>
          <w:rFonts w:ascii="Book Antiqua" w:eastAsia="Book Antiqua" w:hAnsi="Book Antiqua" w:cs="Book Antiqua"/>
          <w:color w:val="000000"/>
        </w:rPr>
        <w:t xml:space="preserve"> JM, Mohan S, Bauer KA, Leon MB, Krumholz HM, Uriel N, Mehra MR, Elkind MSV, Stone GW, Schwartz A, Ho DD, </w:t>
      </w:r>
      <w:proofErr w:type="spellStart"/>
      <w:r>
        <w:rPr>
          <w:rFonts w:ascii="Book Antiqua" w:eastAsia="Book Antiqua" w:hAnsi="Book Antiqua" w:cs="Book Antiqua"/>
          <w:color w:val="000000"/>
        </w:rPr>
        <w:t>Bilezikian</w:t>
      </w:r>
      <w:proofErr w:type="spellEnd"/>
      <w:r>
        <w:rPr>
          <w:rFonts w:ascii="Book Antiqua" w:eastAsia="Book Antiqua" w:hAnsi="Book Antiqua" w:cs="Book Antiqua"/>
          <w:color w:val="000000"/>
        </w:rPr>
        <w:t xml:space="preserve"> JP, Landry DW. Extrapulmonary manifestations of COVID-19.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1017-1032 [PMID: 32651579 DOI: 10.1038/s41591-020-0968-3]</w:t>
      </w:r>
    </w:p>
    <w:p w14:paraId="33D5521C" w14:textId="77777777" w:rsidR="00A77B3E" w:rsidRDefault="0052492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19BBB8CB" w14:textId="77777777" w:rsidR="00A77B3E" w:rsidRPr="003269C6" w:rsidRDefault="0052492E">
      <w:pPr>
        <w:spacing w:line="360" w:lineRule="auto"/>
        <w:jc w:val="both"/>
        <w:rPr>
          <w:lang w:val="pt-BR"/>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Sharma A</w:t>
      </w:r>
      <w:r>
        <w:rPr>
          <w:rFonts w:ascii="Book Antiqua" w:eastAsia="Book Antiqua" w:hAnsi="Book Antiqua" w:cs="Book Antiqua"/>
          <w:color w:val="000000"/>
        </w:rPr>
        <w:t xml:space="preserve">, Jaiswal P, </w:t>
      </w:r>
      <w:proofErr w:type="spellStart"/>
      <w:r>
        <w:rPr>
          <w:rFonts w:ascii="Book Antiqua" w:eastAsia="Book Antiqua" w:hAnsi="Book Antiqua" w:cs="Book Antiqua"/>
          <w:color w:val="000000"/>
        </w:rPr>
        <w:t>Kerakhan</w:t>
      </w:r>
      <w:proofErr w:type="spellEnd"/>
      <w:r>
        <w:rPr>
          <w:rFonts w:ascii="Book Antiqua" w:eastAsia="Book Antiqua" w:hAnsi="Book Antiqua" w:cs="Book Antiqua"/>
          <w:color w:val="000000"/>
        </w:rPr>
        <w:t xml:space="preserve"> Y, Saravanan L, Murtaza Z, </w:t>
      </w:r>
      <w:proofErr w:type="spellStart"/>
      <w:r>
        <w:rPr>
          <w:rFonts w:ascii="Book Antiqua" w:eastAsia="Book Antiqua" w:hAnsi="Book Antiqua" w:cs="Book Antiqua"/>
          <w:color w:val="000000"/>
        </w:rPr>
        <w:t>Zergham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Honganur</w:t>
      </w:r>
      <w:proofErr w:type="spellEnd"/>
      <w:r>
        <w:rPr>
          <w:rFonts w:ascii="Book Antiqua" w:eastAsia="Book Antiqua" w:hAnsi="Book Antiqua" w:cs="Book Antiqua"/>
          <w:color w:val="000000"/>
        </w:rPr>
        <w:t xml:space="preserve"> NS, Akbar A, Deol A, Francis B, Patel S, Mehta D, Jaiswal R, Singh J, Patel U, Malik P. Liver disease and outcomes among COVID-19 hospitalized patients - A systematic review and meta-analysis. </w:t>
      </w:r>
      <w:r w:rsidRPr="003269C6">
        <w:rPr>
          <w:rFonts w:ascii="Book Antiqua" w:eastAsia="Book Antiqua" w:hAnsi="Book Antiqua" w:cs="Book Antiqua"/>
          <w:i/>
          <w:iCs/>
          <w:color w:val="000000"/>
          <w:lang w:val="pt-BR"/>
        </w:rPr>
        <w:t>Ann Hepatol</w:t>
      </w:r>
      <w:r w:rsidRPr="003269C6">
        <w:rPr>
          <w:rFonts w:ascii="Book Antiqua" w:eastAsia="Book Antiqua" w:hAnsi="Book Antiqua" w:cs="Book Antiqua"/>
          <w:color w:val="000000"/>
          <w:lang w:val="pt-BR"/>
        </w:rPr>
        <w:t xml:space="preserve"> 2021; </w:t>
      </w:r>
      <w:r w:rsidRPr="003269C6">
        <w:rPr>
          <w:rFonts w:ascii="Book Antiqua" w:eastAsia="Book Antiqua" w:hAnsi="Book Antiqua" w:cs="Book Antiqua"/>
          <w:b/>
          <w:bCs/>
          <w:color w:val="000000"/>
          <w:lang w:val="pt-BR"/>
        </w:rPr>
        <w:t>21</w:t>
      </w:r>
      <w:r w:rsidRPr="003269C6">
        <w:rPr>
          <w:rFonts w:ascii="Book Antiqua" w:eastAsia="Book Antiqua" w:hAnsi="Book Antiqua" w:cs="Book Antiqua"/>
          <w:color w:val="000000"/>
          <w:lang w:val="pt-BR"/>
        </w:rPr>
        <w:t>: 100273 [PMID: 33075578 DOI: 10.1016/j.aohep.2020.10.001]</w:t>
      </w:r>
    </w:p>
    <w:p w14:paraId="51ACF533" w14:textId="77777777" w:rsidR="00A77B3E" w:rsidRDefault="0052492E">
      <w:pPr>
        <w:spacing w:line="360" w:lineRule="auto"/>
        <w:jc w:val="both"/>
      </w:pPr>
      <w:r w:rsidRPr="003269C6">
        <w:rPr>
          <w:rFonts w:ascii="Book Antiqua" w:eastAsia="Book Antiqua" w:hAnsi="Book Antiqua" w:cs="Book Antiqua"/>
          <w:color w:val="000000"/>
          <w:lang w:val="pt-BR"/>
        </w:rPr>
        <w:t xml:space="preserve">12 </w:t>
      </w:r>
      <w:r w:rsidRPr="003269C6">
        <w:rPr>
          <w:rFonts w:ascii="Book Antiqua" w:eastAsia="Book Antiqua" w:hAnsi="Book Antiqua" w:cs="Book Antiqua"/>
          <w:b/>
          <w:bCs/>
          <w:color w:val="000000"/>
          <w:lang w:val="pt-BR"/>
        </w:rPr>
        <w:t>Brito CA</w:t>
      </w:r>
      <w:r w:rsidRPr="003269C6">
        <w:rPr>
          <w:rFonts w:ascii="Book Antiqua" w:eastAsia="Book Antiqua" w:hAnsi="Book Antiqua" w:cs="Book Antiqua"/>
          <w:color w:val="000000"/>
          <w:lang w:val="pt-BR"/>
        </w:rPr>
        <w:t xml:space="preserve">, Barros FM, Lopes EP. </w:t>
      </w:r>
      <w:r>
        <w:rPr>
          <w:rFonts w:ascii="Book Antiqua" w:eastAsia="Book Antiqua" w:hAnsi="Book Antiqua" w:cs="Book Antiqua"/>
          <w:color w:val="000000"/>
        </w:rPr>
        <w:t xml:space="preserve">Mechanisms and consequences of COVID-19 associated liver injury: What can we affirm?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413-422 [PMID: 32952870 DOI: 10.4254/wjh.v12.i8.413]</w:t>
      </w:r>
    </w:p>
    <w:p w14:paraId="73477ADE" w14:textId="77777777" w:rsidR="00A77B3E" w:rsidRDefault="0052492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Yang RX</w:t>
      </w:r>
      <w:r>
        <w:rPr>
          <w:rFonts w:ascii="Book Antiqua" w:eastAsia="Book Antiqua" w:hAnsi="Book Antiqua" w:cs="Book Antiqua"/>
          <w:color w:val="000000"/>
        </w:rPr>
        <w:t xml:space="preserve">, Zheng RD, Fan JG. </w:t>
      </w:r>
      <w:proofErr w:type="gramStart"/>
      <w:r>
        <w:rPr>
          <w:rFonts w:ascii="Book Antiqua" w:eastAsia="Book Antiqua" w:hAnsi="Book Antiqua" w:cs="Book Antiqua"/>
          <w:color w:val="000000"/>
        </w:rPr>
        <w:t>Etiology</w:t>
      </w:r>
      <w:proofErr w:type="gramEnd"/>
      <w:r>
        <w:rPr>
          <w:rFonts w:ascii="Book Antiqua" w:eastAsia="Book Antiqua" w:hAnsi="Book Antiqua" w:cs="Book Antiqua"/>
          <w:color w:val="000000"/>
        </w:rPr>
        <w:t xml:space="preserve"> and management of liver injury in patients with COVID-19.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4753-4762 [PMID: 32921955 DOI: 10.3748/</w:t>
      </w:r>
      <w:proofErr w:type="gramStart"/>
      <w:r>
        <w:rPr>
          <w:rFonts w:ascii="Book Antiqua" w:eastAsia="Book Antiqua" w:hAnsi="Book Antiqua" w:cs="Book Antiqua"/>
          <w:color w:val="000000"/>
        </w:rPr>
        <w:t>wjg.v26.i</w:t>
      </w:r>
      <w:proofErr w:type="gramEnd"/>
      <w:r>
        <w:rPr>
          <w:rFonts w:ascii="Book Antiqua" w:eastAsia="Book Antiqua" w:hAnsi="Book Antiqua" w:cs="Book Antiqua"/>
          <w:color w:val="000000"/>
        </w:rPr>
        <w:t>32.4753]</w:t>
      </w:r>
    </w:p>
    <w:p w14:paraId="18419295" w14:textId="77777777" w:rsidR="00A77B3E" w:rsidRDefault="0052492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Wu Y</w:t>
      </w:r>
      <w:r>
        <w:rPr>
          <w:rFonts w:ascii="Book Antiqua" w:eastAsia="Book Antiqua" w:hAnsi="Book Antiqua" w:cs="Book Antiqua"/>
          <w:color w:val="000000"/>
        </w:rPr>
        <w:t xml:space="preserve">, Li H, Guo X, Yoshida EM, Mendez-Sanchez N, Levi Sandri GB, Teschke R, Romeiro FG, Shukla A, Qi X. Incidence, risk factors, and prognosis of abnormal liver biochemical tests in COVID-19 patients: a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621-637 [PMID: 32710250 DOI: 10.1007/s12072-020-10074-6]</w:t>
      </w:r>
    </w:p>
    <w:p w14:paraId="26A12264" w14:textId="51F76085" w:rsidR="00A77B3E" w:rsidRDefault="0052492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w:t>
      </w:r>
      <w:r w:rsidR="00507801">
        <w:rPr>
          <w:rFonts w:ascii="Book Antiqua" w:hAnsi="Book Antiqua" w:cs="Book Antiqua" w:hint="eastAsia"/>
          <w:color w:val="000000"/>
          <w:lang w:eastAsia="zh-CN"/>
        </w:rPr>
        <w:t>l</w:t>
      </w:r>
      <w:r>
        <w:rPr>
          <w:rFonts w:ascii="Book Antiqua" w:eastAsia="Book Antiqua" w:hAnsi="Book Antiqua" w:cs="Book Antiqua"/>
          <w:color w:val="000000"/>
        </w:rPr>
        <w:t>iv.14435]</w:t>
      </w:r>
    </w:p>
    <w:p w14:paraId="0EB11C04" w14:textId="77777777" w:rsidR="00A77B3E" w:rsidRDefault="0052492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Portincasa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Krawczyk M, </w:t>
      </w:r>
      <w:proofErr w:type="spellStart"/>
      <w:r>
        <w:rPr>
          <w:rFonts w:ascii="Book Antiqua" w:eastAsia="Book Antiqua" w:hAnsi="Book Antiqua" w:cs="Book Antiqua"/>
          <w:color w:val="000000"/>
        </w:rPr>
        <w:t>Machill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Di </w:t>
      </w:r>
      <w:proofErr w:type="spellStart"/>
      <w:r>
        <w:rPr>
          <w:rFonts w:ascii="Book Antiqua" w:eastAsia="Book Antiqua" w:hAnsi="Book Antiqua" w:cs="Book Antiqua"/>
          <w:color w:val="000000"/>
        </w:rPr>
        <w:t>Ciaula</w:t>
      </w:r>
      <w:proofErr w:type="spellEnd"/>
      <w:r>
        <w:rPr>
          <w:rFonts w:ascii="Book Antiqua" w:eastAsia="Book Antiqua" w:hAnsi="Book Antiqua" w:cs="Book Antiqua"/>
          <w:color w:val="000000"/>
        </w:rPr>
        <w:t xml:space="preserve"> A. Hepatic consequences of COVID-19 infection. Lapping or biting?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18-24 [PMID: 32507608 DOI: 10.1016/j.ejim.2020.05.035]</w:t>
      </w:r>
    </w:p>
    <w:p w14:paraId="3B8C7615" w14:textId="77777777" w:rsidR="00A77B3E" w:rsidRDefault="0052492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J</w:t>
      </w:r>
      <w:r>
        <w:rPr>
          <w:rFonts w:ascii="Book Antiqua" w:eastAsia="Book Antiqua" w:hAnsi="Book Antiqua" w:cs="Book Antiqua"/>
          <w:color w:val="000000"/>
        </w:rPr>
        <w:t xml:space="preserve">, Fan JG. Characteristics and Mechanism of Liver Injury in 2019 Coronavirus Disease.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13-17 [PMID: 32274341 DOI: 10.14218/JCTH.2020.00019]</w:t>
      </w:r>
    </w:p>
    <w:p w14:paraId="169AD90D" w14:textId="77777777" w:rsidR="00A77B3E" w:rsidRDefault="0052492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Hanafy AS</w:t>
      </w:r>
      <w:r>
        <w:rPr>
          <w:rFonts w:ascii="Book Antiqua" w:eastAsia="Book Antiqua" w:hAnsi="Book Antiqua" w:cs="Book Antiqua"/>
          <w:color w:val="000000"/>
        </w:rPr>
        <w:t>,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Challenges in COVID-19 drug treatment in patients with advanced liver diseases: A hepatology perspective.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7272-7286 [PMID: 33362383 DOI: 10.3748/wjg.v26.i46.7272]</w:t>
      </w:r>
    </w:p>
    <w:p w14:paraId="4D857DE5" w14:textId="77777777" w:rsidR="00A77B3E" w:rsidRPr="005A5863" w:rsidRDefault="0052492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Leoni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Tovoli</w:t>
      </w:r>
      <w:proofErr w:type="spellEnd"/>
      <w:r>
        <w:rPr>
          <w:rFonts w:ascii="Book Antiqua" w:eastAsia="Book Antiqua" w:hAnsi="Book Antiqua" w:cs="Book Antiqua"/>
          <w:color w:val="000000"/>
        </w:rPr>
        <w:t xml:space="preserve"> F, Napoli L, Serio I,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Current guidelines for the </w:t>
      </w:r>
      <w:r w:rsidRPr="005A5863">
        <w:rPr>
          <w:rFonts w:ascii="Book Antiqua" w:eastAsia="Book Antiqua" w:hAnsi="Book Antiqua" w:cs="Book Antiqua"/>
          <w:color w:val="000000"/>
        </w:rPr>
        <w:t xml:space="preserve">management of non-alcoholic fatty liver disease: A systematic review with comparative analysis. </w:t>
      </w:r>
      <w:r w:rsidRPr="005A5863">
        <w:rPr>
          <w:rFonts w:ascii="Book Antiqua" w:eastAsia="Book Antiqua" w:hAnsi="Book Antiqua" w:cs="Book Antiqua"/>
          <w:i/>
          <w:iCs/>
          <w:color w:val="000000"/>
        </w:rPr>
        <w:t>World J Gastroenterol</w:t>
      </w:r>
      <w:r w:rsidRPr="005A5863">
        <w:rPr>
          <w:rFonts w:ascii="Book Antiqua" w:eastAsia="Book Antiqua" w:hAnsi="Book Antiqua" w:cs="Book Antiqua"/>
          <w:color w:val="000000"/>
        </w:rPr>
        <w:t xml:space="preserve"> 2018; </w:t>
      </w:r>
      <w:r w:rsidRPr="005A5863">
        <w:rPr>
          <w:rFonts w:ascii="Book Antiqua" w:eastAsia="Book Antiqua" w:hAnsi="Book Antiqua" w:cs="Book Antiqua"/>
          <w:b/>
          <w:bCs/>
          <w:color w:val="000000"/>
        </w:rPr>
        <w:t>24</w:t>
      </w:r>
      <w:r w:rsidRPr="005A5863">
        <w:rPr>
          <w:rFonts w:ascii="Book Antiqua" w:eastAsia="Book Antiqua" w:hAnsi="Book Antiqua" w:cs="Book Antiqua"/>
          <w:color w:val="000000"/>
        </w:rPr>
        <w:t>: 3361-3373 [PMID: 30122876 DOI: 10.3748/wjg.v24.i30.3361]</w:t>
      </w:r>
    </w:p>
    <w:p w14:paraId="153BA08C" w14:textId="77777777" w:rsidR="00A77B3E" w:rsidRPr="005A5863" w:rsidRDefault="0052492E">
      <w:pPr>
        <w:spacing w:line="360" w:lineRule="auto"/>
        <w:jc w:val="both"/>
        <w:rPr>
          <w:lang w:eastAsia="zh-CN"/>
        </w:rPr>
      </w:pPr>
      <w:r w:rsidRPr="00C22687">
        <w:rPr>
          <w:rFonts w:ascii="Book Antiqua" w:eastAsia="Book Antiqua" w:hAnsi="Book Antiqua" w:cs="Book Antiqua"/>
          <w:color w:val="000000"/>
          <w:highlight w:val="yellow"/>
        </w:rPr>
        <w:t xml:space="preserve">20 </w:t>
      </w:r>
      <w:r w:rsidRPr="00C22687">
        <w:rPr>
          <w:rFonts w:ascii="Book Antiqua" w:eastAsia="Book Antiqua" w:hAnsi="Book Antiqua" w:cs="Book Antiqua"/>
          <w:b/>
          <w:bCs/>
          <w:color w:val="000000"/>
          <w:highlight w:val="yellow"/>
        </w:rPr>
        <w:t>Council for International Organizations of Medical Sciences</w:t>
      </w:r>
      <w:r w:rsidRPr="00C22687">
        <w:rPr>
          <w:rFonts w:ascii="Book Antiqua" w:eastAsia="Book Antiqua" w:hAnsi="Book Antiqua" w:cs="Book Antiqua"/>
          <w:bCs/>
          <w:color w:val="000000"/>
          <w:highlight w:val="yellow"/>
        </w:rPr>
        <w:t>. Drug-induced liver injury (DILI): Current status and future directions for drug development and the post-market setting. A consensus by a CIOMS Working Group. Geneva,</w:t>
      </w:r>
      <w:r w:rsidRPr="00C22687">
        <w:rPr>
          <w:rFonts w:ascii="Book Antiqua" w:eastAsia="Book Antiqua" w:hAnsi="Book Antiqua" w:cs="Book Antiqua"/>
          <w:color w:val="000000"/>
          <w:highlight w:val="yellow"/>
        </w:rPr>
        <w:t xml:space="preserve"> Switzerland: Council for International Organizations of Medical Sciences (CIOMS)</w:t>
      </w:r>
      <w:r w:rsidR="00FE6B5D" w:rsidRPr="00C22687">
        <w:rPr>
          <w:rFonts w:ascii="Book Antiqua" w:hAnsi="Book Antiqua" w:cs="Book Antiqua" w:hint="eastAsia"/>
          <w:color w:val="000000"/>
          <w:highlight w:val="yellow"/>
          <w:lang w:eastAsia="zh-CN"/>
        </w:rPr>
        <w:t>,</w:t>
      </w:r>
      <w:r w:rsidRPr="00C22687">
        <w:rPr>
          <w:rFonts w:ascii="Book Antiqua" w:eastAsia="Book Antiqua" w:hAnsi="Book Antiqua" w:cs="Book Antiqua"/>
          <w:color w:val="000000"/>
          <w:highlight w:val="yellow"/>
        </w:rPr>
        <w:t xml:space="preserve"> 2020</w:t>
      </w:r>
    </w:p>
    <w:p w14:paraId="2B8AD2FB" w14:textId="77777777" w:rsidR="00A77B3E" w:rsidRPr="003269C6" w:rsidRDefault="0052492E">
      <w:pPr>
        <w:spacing w:line="360" w:lineRule="auto"/>
        <w:jc w:val="both"/>
        <w:rPr>
          <w:lang w:val="pt-BR"/>
        </w:rPr>
      </w:pPr>
      <w:r w:rsidRPr="005A5863">
        <w:rPr>
          <w:rFonts w:ascii="Book Antiqua" w:eastAsia="Book Antiqua" w:hAnsi="Book Antiqua" w:cs="Book Antiqua"/>
          <w:color w:val="000000"/>
        </w:rPr>
        <w:t xml:space="preserve">21 </w:t>
      </w:r>
      <w:r w:rsidRPr="005A5863">
        <w:rPr>
          <w:rFonts w:ascii="Book Antiqua" w:eastAsia="Book Antiqua" w:hAnsi="Book Antiqua" w:cs="Book Antiqua"/>
          <w:b/>
          <w:bCs/>
          <w:color w:val="000000"/>
        </w:rPr>
        <w:t>Björnsson ES</w:t>
      </w:r>
      <w:r w:rsidRPr="005A5863">
        <w:rPr>
          <w:rFonts w:ascii="Book Antiqua" w:eastAsia="Book Antiqua" w:hAnsi="Book Antiqua" w:cs="Book Antiqua"/>
          <w:color w:val="000000"/>
        </w:rPr>
        <w:t>, Bergmann OM, Björnsson HK, Kvaran RB, Olafsson S. Incidence, presentation, and outcomes in patients with drug-induced</w:t>
      </w:r>
      <w:r>
        <w:rPr>
          <w:rFonts w:ascii="Book Antiqua" w:eastAsia="Book Antiqua" w:hAnsi="Book Antiqua" w:cs="Book Antiqua"/>
          <w:color w:val="000000"/>
        </w:rPr>
        <w:t xml:space="preserve"> liver injury in the general population of Iceland. </w:t>
      </w:r>
      <w:r w:rsidRPr="003269C6">
        <w:rPr>
          <w:rFonts w:ascii="Book Antiqua" w:eastAsia="Book Antiqua" w:hAnsi="Book Antiqua" w:cs="Book Antiqua"/>
          <w:i/>
          <w:iCs/>
          <w:color w:val="000000"/>
          <w:lang w:val="pt-BR"/>
        </w:rPr>
        <w:t>Gastroenterology</w:t>
      </w:r>
      <w:r w:rsidRPr="003269C6">
        <w:rPr>
          <w:rFonts w:ascii="Book Antiqua" w:eastAsia="Book Antiqua" w:hAnsi="Book Antiqua" w:cs="Book Antiqua"/>
          <w:color w:val="000000"/>
          <w:lang w:val="pt-BR"/>
        </w:rPr>
        <w:t xml:space="preserve"> 2013; </w:t>
      </w:r>
      <w:r w:rsidRPr="003269C6">
        <w:rPr>
          <w:rFonts w:ascii="Book Antiqua" w:eastAsia="Book Antiqua" w:hAnsi="Book Antiqua" w:cs="Book Antiqua"/>
          <w:b/>
          <w:bCs/>
          <w:color w:val="000000"/>
          <w:lang w:val="pt-BR"/>
        </w:rPr>
        <w:t>144</w:t>
      </w:r>
      <w:r w:rsidRPr="003269C6">
        <w:rPr>
          <w:rFonts w:ascii="Book Antiqua" w:eastAsia="Book Antiqua" w:hAnsi="Book Antiqua" w:cs="Book Antiqua"/>
          <w:color w:val="000000"/>
          <w:lang w:val="pt-BR"/>
        </w:rPr>
        <w:t>: 1419-1425, 1425.e1-3; quiz e19-20 [PMID: 23419359 DOI: 10.1053/j.gastro.2013.02.006]</w:t>
      </w:r>
    </w:p>
    <w:p w14:paraId="07CCC2E6" w14:textId="77777777" w:rsidR="00A77B3E" w:rsidRDefault="0052492E">
      <w:pPr>
        <w:spacing w:line="360" w:lineRule="auto"/>
        <w:jc w:val="both"/>
      </w:pPr>
      <w:r w:rsidRPr="003269C6">
        <w:rPr>
          <w:rFonts w:ascii="Book Antiqua" w:eastAsia="Book Antiqua" w:hAnsi="Book Antiqua" w:cs="Book Antiqua"/>
          <w:color w:val="000000"/>
          <w:lang w:val="pt-BR"/>
        </w:rPr>
        <w:t xml:space="preserve">22 </w:t>
      </w:r>
      <w:r w:rsidRPr="003269C6">
        <w:rPr>
          <w:rFonts w:ascii="Book Antiqua" w:eastAsia="Book Antiqua" w:hAnsi="Book Antiqua" w:cs="Book Antiqua"/>
          <w:b/>
          <w:bCs/>
          <w:color w:val="000000"/>
          <w:lang w:val="pt-BR"/>
        </w:rPr>
        <w:t>Ranzani OT</w:t>
      </w:r>
      <w:r w:rsidRPr="003269C6">
        <w:rPr>
          <w:rFonts w:ascii="Book Antiqua" w:eastAsia="Book Antiqua" w:hAnsi="Book Antiqua" w:cs="Book Antiqua"/>
          <w:color w:val="000000"/>
          <w:lang w:val="pt-BR"/>
        </w:rPr>
        <w:t xml:space="preserve">, Bastos LSL, Gelli JGM, Marchesi JF, Baião F, Hamacher S, Bozza FA.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the first 250,000 hospital admissions for COVID-19 in Brazil: a retrospective analysis of nationwide data.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407-418 [PMID: 33460571 DOI: 10.1016/S2213-2600(20)30560-9]</w:t>
      </w:r>
    </w:p>
    <w:p w14:paraId="555DB19E" w14:textId="71F3AA9F" w:rsidR="00A77B3E" w:rsidRDefault="0052492E">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Muhović</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Bojović</w:t>
      </w:r>
      <w:proofErr w:type="spellEnd"/>
      <w:r>
        <w:rPr>
          <w:rFonts w:ascii="Book Antiqua" w:eastAsia="Book Antiqua" w:hAnsi="Book Antiqua" w:cs="Book Antiqua"/>
          <w:color w:val="000000"/>
        </w:rPr>
        <w:t xml:space="preserve"> J, Bulatović A, Vukčević B, </w:t>
      </w:r>
      <w:proofErr w:type="spellStart"/>
      <w:r>
        <w:rPr>
          <w:rFonts w:ascii="Book Antiqua" w:eastAsia="Book Antiqua" w:hAnsi="Book Antiqua" w:cs="Book Antiqua"/>
          <w:color w:val="000000"/>
        </w:rPr>
        <w:t>Ratković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Lazović</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Smolović</w:t>
      </w:r>
      <w:proofErr w:type="spellEnd"/>
      <w:r>
        <w:rPr>
          <w:rFonts w:ascii="Book Antiqua" w:eastAsia="Book Antiqua" w:hAnsi="Book Antiqua" w:cs="Book Antiqua"/>
          <w:color w:val="000000"/>
        </w:rPr>
        <w:t xml:space="preserve"> B. First case of drug-induced liver injury associated with the use of tocilizumab in a patient with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1901-1905 [PMID: 32478465 DOI: 10.1111/</w:t>
      </w:r>
      <w:r w:rsidR="00507801">
        <w:rPr>
          <w:rFonts w:ascii="Book Antiqua" w:hAnsi="Book Antiqua" w:cs="Book Antiqua" w:hint="eastAsia"/>
          <w:color w:val="000000"/>
          <w:lang w:eastAsia="zh-CN"/>
        </w:rPr>
        <w:t>l</w:t>
      </w:r>
      <w:r>
        <w:rPr>
          <w:rFonts w:ascii="Book Antiqua" w:eastAsia="Book Antiqua" w:hAnsi="Book Antiqua" w:cs="Book Antiqua"/>
          <w:color w:val="000000"/>
        </w:rPr>
        <w:t>iv.14516]</w:t>
      </w:r>
    </w:p>
    <w:p w14:paraId="0673DFDB" w14:textId="77777777" w:rsidR="00A77B3E" w:rsidRDefault="0052492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Zampino R</w:t>
      </w:r>
      <w:r>
        <w:rPr>
          <w:rFonts w:ascii="Book Antiqua" w:eastAsia="Book Antiqua" w:hAnsi="Book Antiqua" w:cs="Book Antiqua"/>
          <w:color w:val="000000"/>
        </w:rPr>
        <w:t xml:space="preserve">, Mele F, Florio LL, Bertolino L, Andini R, Galdo M, De Rosa R,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A, Durante-</w:t>
      </w:r>
      <w:proofErr w:type="spellStart"/>
      <w:r>
        <w:rPr>
          <w:rFonts w:ascii="Book Antiqua" w:eastAsia="Book Antiqua" w:hAnsi="Book Antiqua" w:cs="Book Antiqua"/>
          <w:color w:val="000000"/>
        </w:rPr>
        <w:t>Mangoni</w:t>
      </w:r>
      <w:proofErr w:type="spellEnd"/>
      <w:r>
        <w:rPr>
          <w:rFonts w:ascii="Book Antiqua" w:eastAsia="Book Antiqua" w:hAnsi="Book Antiqua" w:cs="Book Antiqua"/>
          <w:color w:val="000000"/>
        </w:rPr>
        <w:t xml:space="preserve"> E. Liver injury in remdesivir-treated COVID-19 patients.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881-883 [PMID: 32725454 DOI: 10.1007/s12072-020-10077-3]</w:t>
      </w:r>
    </w:p>
    <w:p w14:paraId="265F85CA" w14:textId="77777777" w:rsidR="00A77B3E" w:rsidRDefault="0052492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Durante-</w:t>
      </w:r>
      <w:proofErr w:type="spellStart"/>
      <w:r>
        <w:rPr>
          <w:rFonts w:ascii="Book Antiqua" w:eastAsia="Book Antiqua" w:hAnsi="Book Antiqua" w:cs="Book Antiqua"/>
          <w:b/>
          <w:bCs/>
          <w:color w:val="000000"/>
        </w:rPr>
        <w:t>Mangoni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Andini</w:t>
      </w:r>
      <w:proofErr w:type="spellEnd"/>
      <w:r>
        <w:rPr>
          <w:rFonts w:ascii="Book Antiqua" w:eastAsia="Book Antiqua" w:hAnsi="Book Antiqua" w:cs="Book Antiqua"/>
          <w:color w:val="000000"/>
        </w:rPr>
        <w:t xml:space="preserve"> R, Bertolino L, Mele F, Florio LL, Murino P, Corcione A, Zampino R. Early experience with remdesivir in SARS-CoV-2 pneumonia. </w:t>
      </w:r>
      <w:r>
        <w:rPr>
          <w:rFonts w:ascii="Book Antiqua" w:eastAsia="Book Antiqua" w:hAnsi="Book Antiqua" w:cs="Book Antiqua"/>
          <w:i/>
          <w:iCs/>
          <w:color w:val="000000"/>
        </w:rPr>
        <w:t>Infection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779-782 [PMID: 32418190 DOI: 10.1007/s15010-020-01448-x]</w:t>
      </w:r>
    </w:p>
    <w:p w14:paraId="399C56D2" w14:textId="77777777" w:rsidR="00A77B3E" w:rsidRDefault="0052492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Montastruc</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Thuriot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Durrieu</w:t>
      </w:r>
      <w:proofErr w:type="spellEnd"/>
      <w:r>
        <w:rPr>
          <w:rFonts w:ascii="Book Antiqua" w:eastAsia="Book Antiqua" w:hAnsi="Book Antiqua" w:cs="Book Antiqua"/>
          <w:color w:val="000000"/>
        </w:rPr>
        <w:t xml:space="preserve"> G. Hepatic Disorders With the Use of Remdesivir for Coronavirus 2019.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2835-2836 [PMID: 32721580 DOI: 10.1016/j.cgh.2020.07.050]</w:t>
      </w:r>
    </w:p>
    <w:p w14:paraId="3DBB9839" w14:textId="77777777" w:rsidR="00A77B3E" w:rsidRDefault="0052492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Yamazaki S</w:t>
      </w:r>
      <w:r>
        <w:rPr>
          <w:rFonts w:ascii="Book Antiqua" w:eastAsia="Book Antiqua" w:hAnsi="Book Antiqua" w:cs="Book Antiqua"/>
          <w:color w:val="000000"/>
        </w:rPr>
        <w:t xml:space="preserve">, Suzuki T, Sayama M, Nakada TA, Igari H, Ishii I. Suspected cholestatic liver injury induced by favipiravir in a patient with COVID-19. </w:t>
      </w:r>
      <w:r>
        <w:rPr>
          <w:rFonts w:ascii="Book Antiqua" w:eastAsia="Book Antiqua" w:hAnsi="Book Antiqua" w:cs="Book Antiqua"/>
          <w:i/>
          <w:iCs/>
          <w:color w:val="000000"/>
        </w:rPr>
        <w:t>J Infect Chemother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390-392 [PMID: 33402301 DOI: 10.1016/j.jiac.2020.12.021]</w:t>
      </w:r>
    </w:p>
    <w:p w14:paraId="60CB85B1" w14:textId="77777777" w:rsidR="00A77B3E" w:rsidRDefault="0052492E">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Leegwater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Strik</w:t>
      </w:r>
      <w:proofErr w:type="spellEnd"/>
      <w:r>
        <w:rPr>
          <w:rFonts w:ascii="Book Antiqua" w:eastAsia="Book Antiqua" w:hAnsi="Book Antiqua" w:cs="Book Antiqua"/>
          <w:color w:val="000000"/>
        </w:rPr>
        <w:t xml:space="preserve"> A, Wilms EB, </w:t>
      </w:r>
      <w:proofErr w:type="spellStart"/>
      <w:r>
        <w:rPr>
          <w:rFonts w:ascii="Book Antiqua" w:eastAsia="Book Antiqua" w:hAnsi="Book Antiqua" w:cs="Book Antiqua"/>
          <w:color w:val="000000"/>
        </w:rPr>
        <w:t>Bosma</w:t>
      </w:r>
      <w:proofErr w:type="spellEnd"/>
      <w:r>
        <w:rPr>
          <w:rFonts w:ascii="Book Antiqua" w:eastAsia="Book Antiqua" w:hAnsi="Book Antiqua" w:cs="Book Antiqua"/>
          <w:color w:val="000000"/>
        </w:rPr>
        <w:t xml:space="preserve"> LBE, Burger DM, </w:t>
      </w:r>
      <w:proofErr w:type="spellStart"/>
      <w:r>
        <w:rPr>
          <w:rFonts w:ascii="Book Antiqua" w:eastAsia="Book Antiqua" w:hAnsi="Book Antiqua" w:cs="Book Antiqua"/>
          <w:color w:val="000000"/>
        </w:rPr>
        <w:t>Ottens</w:t>
      </w:r>
      <w:proofErr w:type="spellEnd"/>
      <w:r>
        <w:rPr>
          <w:rFonts w:ascii="Book Antiqua" w:eastAsia="Book Antiqua" w:hAnsi="Book Antiqua" w:cs="Book Antiqua"/>
          <w:color w:val="000000"/>
        </w:rPr>
        <w:t xml:space="preserve"> TH, van </w:t>
      </w:r>
      <w:proofErr w:type="spellStart"/>
      <w:r>
        <w:rPr>
          <w:rFonts w:ascii="Book Antiqua" w:eastAsia="Book Antiqua" w:hAnsi="Book Antiqua" w:cs="Book Antiqua"/>
          <w:color w:val="000000"/>
        </w:rPr>
        <w:t>Nieuwkoop</w:t>
      </w:r>
      <w:proofErr w:type="spellEnd"/>
      <w:r>
        <w:rPr>
          <w:rFonts w:ascii="Book Antiqua" w:eastAsia="Book Antiqua" w:hAnsi="Book Antiqua" w:cs="Book Antiqua"/>
          <w:color w:val="000000"/>
        </w:rPr>
        <w:t xml:space="preserve"> C. Drug-induced Liver Injury in a Patient With Coronavirus Disease 2019: Potential Interaction of Remdesivir With P-Glycoprotein Inhibitors.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72</w:t>
      </w:r>
      <w:r>
        <w:rPr>
          <w:rFonts w:ascii="Book Antiqua" w:eastAsia="Book Antiqua" w:hAnsi="Book Antiqua" w:cs="Book Antiqua"/>
          <w:color w:val="000000"/>
        </w:rPr>
        <w:t>: 1256-1258 [PMID: 32594120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/ciaa883]</w:t>
      </w:r>
    </w:p>
    <w:p w14:paraId="7AD4BFF9" w14:textId="77777777" w:rsidR="00A77B3E" w:rsidRDefault="0052492E">
      <w:pPr>
        <w:spacing w:line="360" w:lineRule="auto"/>
        <w:jc w:val="both"/>
      </w:pPr>
      <w:r>
        <w:rPr>
          <w:rFonts w:ascii="Book Antiqua" w:eastAsia="Book Antiqua" w:hAnsi="Book Antiqua" w:cs="Book Antiqua"/>
          <w:color w:val="000000"/>
        </w:rPr>
        <w:t xml:space="preserve">29 </w:t>
      </w:r>
      <w:r w:rsidR="00FE6B5D" w:rsidRPr="00FE6B5D">
        <w:rPr>
          <w:rFonts w:ascii="Book Antiqua" w:eastAsia="Book Antiqua" w:hAnsi="Book Antiqua" w:cs="Book Antiqua"/>
          <w:color w:val="000000"/>
        </w:rPr>
        <w:t>LiverTox: Clinical and Research Information on Drug-Induced Liver Injury [Internet]</w:t>
      </w:r>
      <w:r>
        <w:rPr>
          <w:rFonts w:ascii="Book Antiqua" w:eastAsia="Book Antiqua" w:hAnsi="Book Antiqua" w:cs="Book Antiqua"/>
          <w:color w:val="000000"/>
        </w:rPr>
        <w:t>. 2012 [PMID: 31643176]</w:t>
      </w:r>
    </w:p>
    <w:p w14:paraId="4ED5AA25" w14:textId="77777777" w:rsidR="00A77B3E" w:rsidRDefault="0052492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Hoofnagle JH</w:t>
      </w:r>
      <w:r>
        <w:rPr>
          <w:rFonts w:ascii="Book Antiqua" w:eastAsia="Book Antiqua" w:hAnsi="Book Antiqua" w:cs="Book Antiqua"/>
          <w:color w:val="000000"/>
        </w:rPr>
        <w:t xml:space="preserve">, Serrano J, </w:t>
      </w:r>
      <w:proofErr w:type="spellStart"/>
      <w:r>
        <w:rPr>
          <w:rFonts w:ascii="Book Antiqua" w:eastAsia="Book Antiqua" w:hAnsi="Book Antiqua" w:cs="Book Antiqua"/>
          <w:color w:val="000000"/>
        </w:rPr>
        <w:t>Knoben</w:t>
      </w:r>
      <w:proofErr w:type="spellEnd"/>
      <w:r>
        <w:rPr>
          <w:rFonts w:ascii="Book Antiqua" w:eastAsia="Book Antiqua" w:hAnsi="Book Antiqua" w:cs="Book Antiqua"/>
          <w:color w:val="000000"/>
        </w:rPr>
        <w:t xml:space="preserve"> JE, Navarro VJ. LiverTox: a website on drug-induced liver injury.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873-874 [PMID: 23456678 DOI: 10.1002/hep.26175]</w:t>
      </w:r>
    </w:p>
    <w:p w14:paraId="75ED1C7D" w14:textId="77777777" w:rsidR="00A77B3E" w:rsidRDefault="0052492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Real M</w:t>
      </w:r>
      <w:r>
        <w:rPr>
          <w:rFonts w:ascii="Book Antiqua" w:eastAsia="Book Antiqua" w:hAnsi="Book Antiqua" w:cs="Book Antiqua"/>
          <w:color w:val="000000"/>
        </w:rPr>
        <w:t xml:space="preserve">, Barnhill MS, Higley C, Rosenberg J, Lewis JH. Drug-Induced Liver Injury: Highlights of the Recent Literature.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365-387 [PMID: 30343418 DOI: 10.1007/s40264-018-0743-2]</w:t>
      </w:r>
    </w:p>
    <w:p w14:paraId="246AD974" w14:textId="77777777" w:rsidR="00A77B3E" w:rsidRDefault="0052492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Hunt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Papay</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Stanulovic</w:t>
      </w:r>
      <w:proofErr w:type="spellEnd"/>
      <w:r>
        <w:rPr>
          <w:rFonts w:ascii="Book Antiqua" w:eastAsia="Book Antiqua" w:hAnsi="Book Antiqua" w:cs="Book Antiqua"/>
          <w:color w:val="000000"/>
        </w:rPr>
        <w:t xml:space="preserve"> V, Regev A. Drug rechallenge following drug-induced liver injury.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646-654 [PMID: 28295448 DOI: 10.1002/hep.29152]</w:t>
      </w:r>
    </w:p>
    <w:p w14:paraId="3224FC4D" w14:textId="77777777" w:rsidR="00A77B3E" w:rsidRDefault="0052492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Danan G</w:t>
      </w:r>
      <w:r>
        <w:rPr>
          <w:rFonts w:ascii="Book Antiqua" w:eastAsia="Book Antiqua" w:hAnsi="Book Antiqua" w:cs="Book Antiqua"/>
          <w:color w:val="000000"/>
        </w:rPr>
        <w:t xml:space="preserve">, Teschke R. RUCAM in Drug and Herb Induced Liver Injury: The Update.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26712744 DOI: 10.3390/ijms17010014]</w:t>
      </w:r>
    </w:p>
    <w:p w14:paraId="4FEFE28C" w14:textId="77777777" w:rsidR="00A77B3E" w:rsidRDefault="0052492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Teschke R</w:t>
      </w:r>
      <w:r>
        <w:rPr>
          <w:rFonts w:ascii="Book Antiqua" w:eastAsia="Book Antiqua" w:hAnsi="Book Antiqua" w:cs="Book Antiqua"/>
          <w:color w:val="000000"/>
        </w:rPr>
        <w:t xml:space="preserve">, Frenzel C. Drug induced liver injury: do we still need a routine liver biopsy for diagnosis today?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121-126 [PMID: 24378275]</w:t>
      </w:r>
    </w:p>
    <w:p w14:paraId="40D30720" w14:textId="77777777" w:rsidR="00A77B3E" w:rsidRDefault="0052492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Teschke R</w:t>
      </w:r>
      <w:r>
        <w:rPr>
          <w:rFonts w:ascii="Book Antiqua" w:eastAsia="Book Antiqua" w:hAnsi="Book Antiqua" w:cs="Book Antiqua"/>
          <w:color w:val="000000"/>
        </w:rPr>
        <w:t xml:space="preserve">, Danan G. Prospective Indian Study of DILI with Confirmed Causality Using the Roussel Uclaf Causality Assessment Method (RUCAM): A report of Excellence.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324-325 [PMID: 28425398 DOI: 10.5604/16652681.1235471]</w:t>
      </w:r>
    </w:p>
    <w:p w14:paraId="7AC53089" w14:textId="77777777" w:rsidR="00A77B3E" w:rsidRDefault="0052492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Wong YJ</w:t>
      </w:r>
      <w:r>
        <w:rPr>
          <w:rFonts w:ascii="Book Antiqua" w:eastAsia="Book Antiqua" w:hAnsi="Book Antiqua" w:cs="Book Antiqua"/>
          <w:color w:val="000000"/>
        </w:rPr>
        <w:t xml:space="preserve">, Tan M, Zheng Q, Li JW, Kumar R, Fock KM, Teo EK, Ang TL. A systematic review and meta-analysis of the COVID-19 associated liver injury.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627-634 [PMID: 32882393 DOI: 10.1016/j.aohep.2020.08.064]</w:t>
      </w:r>
    </w:p>
    <w:p w14:paraId="79E3F6C5" w14:textId="77777777" w:rsidR="00A77B3E" w:rsidRPr="003269C6" w:rsidRDefault="0052492E">
      <w:pPr>
        <w:spacing w:line="360" w:lineRule="auto"/>
        <w:jc w:val="both"/>
        <w:rPr>
          <w:lang w:val="pt-BR"/>
        </w:rPr>
      </w:pPr>
      <w:r>
        <w:rPr>
          <w:rFonts w:ascii="Book Antiqua" w:eastAsia="Book Antiqua" w:hAnsi="Book Antiqua" w:cs="Book Antiqua"/>
          <w:color w:val="000000"/>
        </w:rPr>
        <w:t xml:space="preserve">37 </w:t>
      </w:r>
      <w:r>
        <w:rPr>
          <w:rFonts w:ascii="Book Antiqua" w:eastAsia="Book Antiqua" w:hAnsi="Book Antiqua" w:cs="Book Antiqua"/>
          <w:b/>
          <w:bCs/>
          <w:color w:val="000000"/>
        </w:rPr>
        <w:t>Peng Y</w:t>
      </w:r>
      <w:r>
        <w:rPr>
          <w:rFonts w:ascii="Book Antiqua" w:eastAsia="Book Antiqua" w:hAnsi="Book Antiqua" w:cs="Book Antiqua"/>
          <w:color w:val="000000"/>
        </w:rPr>
        <w:t xml:space="preserve">, Tao H, </w:t>
      </w:r>
      <w:proofErr w:type="spellStart"/>
      <w:r>
        <w:rPr>
          <w:rFonts w:ascii="Book Antiqua" w:eastAsia="Book Antiqua" w:hAnsi="Book Antiqua" w:cs="Book Antiqua"/>
          <w:color w:val="000000"/>
        </w:rPr>
        <w:t>Satyanarayanan</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K, Su H. A Comprehensive Summary of the Knowledge on COVID-19 Treatment. </w:t>
      </w:r>
      <w:r w:rsidRPr="003269C6">
        <w:rPr>
          <w:rFonts w:ascii="Book Antiqua" w:eastAsia="Book Antiqua" w:hAnsi="Book Antiqua" w:cs="Book Antiqua"/>
          <w:i/>
          <w:iCs/>
          <w:color w:val="000000"/>
          <w:lang w:val="pt-BR"/>
        </w:rPr>
        <w:t>Aging Dis</w:t>
      </w:r>
      <w:r w:rsidRPr="003269C6">
        <w:rPr>
          <w:rFonts w:ascii="Book Antiqua" w:eastAsia="Book Antiqua" w:hAnsi="Book Antiqua" w:cs="Book Antiqua"/>
          <w:color w:val="000000"/>
          <w:lang w:val="pt-BR"/>
        </w:rPr>
        <w:t xml:space="preserve"> 2021; </w:t>
      </w:r>
      <w:r w:rsidRPr="003269C6">
        <w:rPr>
          <w:rFonts w:ascii="Book Antiqua" w:eastAsia="Book Antiqua" w:hAnsi="Book Antiqua" w:cs="Book Antiqua"/>
          <w:b/>
          <w:bCs/>
          <w:color w:val="000000"/>
          <w:lang w:val="pt-BR"/>
        </w:rPr>
        <w:t>12</w:t>
      </w:r>
      <w:r w:rsidRPr="003269C6">
        <w:rPr>
          <w:rFonts w:ascii="Book Antiqua" w:eastAsia="Book Antiqua" w:hAnsi="Book Antiqua" w:cs="Book Antiqua"/>
          <w:color w:val="000000"/>
          <w:lang w:val="pt-BR"/>
        </w:rPr>
        <w:t>: 155-191 [PMID: 33532135 DOI: 10.14336/AD.2020.1124]</w:t>
      </w:r>
    </w:p>
    <w:p w14:paraId="397EDF46" w14:textId="77777777" w:rsidR="00A77B3E" w:rsidRDefault="0052492E">
      <w:pPr>
        <w:spacing w:line="360" w:lineRule="auto"/>
        <w:jc w:val="both"/>
      </w:pPr>
      <w:r w:rsidRPr="003269C6">
        <w:rPr>
          <w:rFonts w:ascii="Book Antiqua" w:eastAsia="Book Antiqua" w:hAnsi="Book Antiqua" w:cs="Book Antiqua"/>
          <w:color w:val="000000"/>
          <w:lang w:val="pt-BR"/>
        </w:rPr>
        <w:t xml:space="preserve">38 </w:t>
      </w:r>
      <w:r w:rsidRPr="003269C6">
        <w:rPr>
          <w:rFonts w:ascii="Book Antiqua" w:eastAsia="Book Antiqua" w:hAnsi="Book Antiqua" w:cs="Book Antiqua"/>
          <w:b/>
          <w:bCs/>
          <w:color w:val="000000"/>
          <w:lang w:val="pt-BR"/>
        </w:rPr>
        <w:t>Cavalcanti AB</w:t>
      </w:r>
      <w:r w:rsidRPr="003269C6">
        <w:rPr>
          <w:rFonts w:ascii="Book Antiqua" w:eastAsia="Book Antiqua" w:hAnsi="Book Antiqua" w:cs="Book Antiqua"/>
          <w:color w:val="000000"/>
          <w:lang w:val="pt-BR"/>
        </w:rPr>
        <w:t xml:space="preserve">, Zampieri FG, Rosa RG, Azevedo LCP, Veiga VC, Avezum A, Damiani LP, Marcadenti A, Kawano-Dourado L, Lisboa T, Junqueira DLM, de Barros E Silva PGM, Tramujas L, Abreu-Silva EO, Laranjeira LN, Soares AT, Echenique LS, Pereira AJ, Freitas FGR, Gebara OCE, Dantas VCS, Furtado RHM, Milan EP, Golin NA, Cardoso FF, Maia IS, Hoffmann Filho CR, Kormann APM, Amazonas RB, Bocchi de Oliveira MF, Serpa-Neto A, Falavigna M, Lopes RD, Machado FR, Berwanger O; Coalition Covid-19 Brazil I Investigators. </w:t>
      </w:r>
      <w:r>
        <w:rPr>
          <w:rFonts w:ascii="Book Antiqua" w:eastAsia="Book Antiqua" w:hAnsi="Book Antiqua" w:cs="Book Antiqua"/>
          <w:color w:val="000000"/>
        </w:rPr>
        <w:t xml:space="preserve">Hydroxychloroquine with or without Azithromycin in Mild-to-Moderate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2041-2052 [PMID: 32706953 DOI: 10.1056/NEJMoa2019014]</w:t>
      </w:r>
    </w:p>
    <w:p w14:paraId="53485612" w14:textId="77777777" w:rsidR="00A77B3E" w:rsidRDefault="0052492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Björnsson ES</w:t>
      </w:r>
      <w:r>
        <w:rPr>
          <w:rFonts w:ascii="Book Antiqua" w:eastAsia="Book Antiqua" w:hAnsi="Book Antiqua" w:cs="Book Antiqua"/>
          <w:color w:val="000000"/>
        </w:rPr>
        <w:t xml:space="preserve">. Hepatotoxicity by Drugs: The Most Common Implicated Agents.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224 [PMID: 26861310 DOI: 10.3390/ijms17020224]</w:t>
      </w:r>
    </w:p>
    <w:p w14:paraId="191AE1FC" w14:textId="77777777" w:rsidR="00A77B3E" w:rsidRDefault="0052492E">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Bunchorntavakul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Reddy KR. Drug Hepatotoxicity: Newer Agents.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115-134 [PMID: 27842767 DOI: 10.1016/j.cld.2016.08.009]</w:t>
      </w:r>
    </w:p>
    <w:p w14:paraId="375C342C" w14:textId="77777777" w:rsidR="00A77B3E" w:rsidRDefault="0052492E">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David S</w:t>
      </w:r>
      <w:r>
        <w:rPr>
          <w:rFonts w:ascii="Book Antiqua" w:eastAsia="Book Antiqua" w:hAnsi="Book Antiqua" w:cs="Book Antiqua"/>
          <w:color w:val="000000"/>
        </w:rPr>
        <w:t xml:space="preserve">, Hamilton JP. Drug-induced Liver Injury. </w:t>
      </w:r>
      <w:r>
        <w:rPr>
          <w:rFonts w:ascii="Book Antiqua" w:eastAsia="Book Antiqua" w:hAnsi="Book Antiqua" w:cs="Book Antiqua"/>
          <w:i/>
          <w:iCs/>
          <w:color w:val="000000"/>
        </w:rPr>
        <w:t>US Gastroenterol Hepatol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73-80 [PMID: 21874146]</w:t>
      </w:r>
    </w:p>
    <w:p w14:paraId="674A5B97" w14:textId="77777777" w:rsidR="00A77B3E" w:rsidRDefault="0052492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Lee WM</w:t>
      </w:r>
      <w:r>
        <w:rPr>
          <w:rFonts w:ascii="Book Antiqua" w:eastAsia="Book Antiqua" w:hAnsi="Book Antiqua" w:cs="Book Antiqua"/>
          <w:color w:val="000000"/>
        </w:rPr>
        <w:t xml:space="preserve">. Drug-induced hepatotoxicity.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349</w:t>
      </w:r>
      <w:r>
        <w:rPr>
          <w:rFonts w:ascii="Book Antiqua" w:eastAsia="Book Antiqua" w:hAnsi="Book Antiqua" w:cs="Book Antiqua"/>
          <w:color w:val="000000"/>
        </w:rPr>
        <w:t>: 474-485 [PMID: 12890847 DOI: 10.1056/NEJMra021844]</w:t>
      </w:r>
    </w:p>
    <w:p w14:paraId="2AA8A75E" w14:textId="77777777" w:rsidR="00A77B3E" w:rsidRDefault="0052492E">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Metushi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Uetrecht</w:t>
      </w:r>
      <w:proofErr w:type="spellEnd"/>
      <w:r>
        <w:rPr>
          <w:rFonts w:ascii="Book Antiqua" w:eastAsia="Book Antiqua" w:hAnsi="Book Antiqua" w:cs="Book Antiqua"/>
          <w:color w:val="000000"/>
        </w:rPr>
        <w:t xml:space="preserve"> J, Phillips E. Mechanism of isoniazid-induced hepatotoxicity: then and now. </w:t>
      </w:r>
      <w:r>
        <w:rPr>
          <w:rFonts w:ascii="Book Antiqua" w:eastAsia="Book Antiqua" w:hAnsi="Book Antiqua" w:cs="Book Antiqua"/>
          <w:i/>
          <w:iCs/>
          <w:color w:val="000000"/>
        </w:rPr>
        <w:t xml:space="preserve">Br 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81</w:t>
      </w:r>
      <w:r>
        <w:rPr>
          <w:rFonts w:ascii="Book Antiqua" w:eastAsia="Book Antiqua" w:hAnsi="Book Antiqua" w:cs="Book Antiqua"/>
          <w:color w:val="000000"/>
        </w:rPr>
        <w:t>: 1030-1036 [PMID: 26773235 DOI: 10.1111/bcp.12885]</w:t>
      </w:r>
    </w:p>
    <w:p w14:paraId="23299020" w14:textId="77777777" w:rsidR="00A77B3E" w:rsidRDefault="0052492E">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Warris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Schwartz I. Editorial MMCR special issue 'Covid-19 associated pulmonary aspergillosis'. </w:t>
      </w:r>
      <w:r>
        <w:rPr>
          <w:rFonts w:ascii="Book Antiqua" w:eastAsia="Book Antiqua" w:hAnsi="Book Antiqua" w:cs="Book Antiqua"/>
          <w:i/>
          <w:iCs/>
          <w:color w:val="000000"/>
        </w:rPr>
        <w:t>Med Mycol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1 [PMID: 33589872 DOI: 10.1016/j.mmcr.2021.02.003]</w:t>
      </w:r>
    </w:p>
    <w:p w14:paraId="0C8AE056" w14:textId="77777777" w:rsidR="00A77B3E" w:rsidRDefault="0052492E">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Lopes MI</w:t>
      </w:r>
      <w:r>
        <w:rPr>
          <w:rFonts w:ascii="Book Antiqua" w:eastAsia="Book Antiqua" w:hAnsi="Book Antiqua" w:cs="Book Antiqua"/>
          <w:color w:val="000000"/>
        </w:rPr>
        <w:t xml:space="preserve">, Bonjorno LP, Giannini MC, Amaral NB, Menezes PI, Dib SM, Gigante SL, Benatti MN, Rezek UC, Emrich-Filho LL, Sousa BAA, Almeida SCL, Luppino Assad R, Veras FP, Schneider A, Rodrigues TS, Leiria LOS, Cunha LD, Alves-Filho JC, Cunha TM, Arruda E, Miranda CH, Pazin-Filho A, Auxiliadora-Martins M, Borges MC, Fonseca BAL, </w:t>
      </w:r>
      <w:proofErr w:type="spellStart"/>
      <w:r>
        <w:rPr>
          <w:rFonts w:ascii="Book Antiqua" w:eastAsia="Book Antiqua" w:hAnsi="Book Antiqua" w:cs="Book Antiqua"/>
          <w:color w:val="000000"/>
        </w:rPr>
        <w:t>Bollela</w:t>
      </w:r>
      <w:proofErr w:type="spellEnd"/>
      <w:r>
        <w:rPr>
          <w:rFonts w:ascii="Book Antiqua" w:eastAsia="Book Antiqua" w:hAnsi="Book Antiqua" w:cs="Book Antiqua"/>
          <w:color w:val="000000"/>
        </w:rPr>
        <w:t xml:space="preserve"> VR, Del-Ben CM, Cunha FQ, Zamboni DS, Santana RC, Vilar FC, Louzada-Junior P, Oliveira RDR. Beneficial effects of colchicine for moderate to severe COVID-19: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double-blinded, placebo-controlled clinical trial. </w:t>
      </w:r>
      <w:r>
        <w:rPr>
          <w:rFonts w:ascii="Book Antiqua" w:eastAsia="Book Antiqua" w:hAnsi="Book Antiqua" w:cs="Book Antiqua"/>
          <w:i/>
          <w:iCs/>
          <w:color w:val="000000"/>
        </w:rPr>
        <w:t>RMD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33542047 DOI: 10.1136/rmdopen-2020-001455]</w:t>
      </w:r>
    </w:p>
    <w:p w14:paraId="46CD0C5F" w14:textId="77777777" w:rsidR="00A77B3E" w:rsidRDefault="0052492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Becker MW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Lunardelli</w:t>
      </w:r>
      <w:proofErr w:type="spellEnd"/>
      <w:r>
        <w:rPr>
          <w:rFonts w:ascii="Book Antiqua" w:eastAsia="Book Antiqua" w:hAnsi="Book Antiqua" w:cs="Book Antiqua"/>
          <w:color w:val="000000"/>
        </w:rPr>
        <w:t xml:space="preserve"> MJM, </w:t>
      </w:r>
      <w:proofErr w:type="spellStart"/>
      <w:r>
        <w:rPr>
          <w:rFonts w:ascii="Book Antiqua" w:eastAsia="Book Antiqua" w:hAnsi="Book Antiqua" w:cs="Book Antiqua"/>
          <w:color w:val="000000"/>
        </w:rPr>
        <w:t>Tovo</w:t>
      </w:r>
      <w:proofErr w:type="spellEnd"/>
      <w:r>
        <w:rPr>
          <w:rFonts w:ascii="Book Antiqua" w:eastAsia="Book Antiqua" w:hAnsi="Book Antiqua" w:cs="Book Antiqua"/>
          <w:color w:val="000000"/>
        </w:rPr>
        <w:t xml:space="preserve"> CV, Blatt CR. Drug and herb-induced liver injury: A critical review of Brazilian cases with proposals for the improvement of causality assessment using RUCAM.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742-750 [PMID: 31130470 DOI: 10.1016/j.aohep.2019.03.010]</w:t>
      </w:r>
    </w:p>
    <w:p w14:paraId="43607D24" w14:textId="77777777" w:rsidR="00A77B3E" w:rsidRDefault="0052492E">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Meier Y</w:t>
      </w:r>
      <w:r>
        <w:rPr>
          <w:rFonts w:ascii="Book Antiqua" w:eastAsia="Book Antiqua" w:hAnsi="Book Antiqua" w:cs="Book Antiqua"/>
          <w:color w:val="000000"/>
        </w:rPr>
        <w:t xml:space="preserve">, Cavallaro M, </w:t>
      </w:r>
      <w:proofErr w:type="spellStart"/>
      <w:r>
        <w:rPr>
          <w:rFonts w:ascii="Book Antiqua" w:eastAsia="Book Antiqua" w:hAnsi="Book Antiqua" w:cs="Book Antiqua"/>
          <w:color w:val="000000"/>
        </w:rPr>
        <w:t>Roos</w:t>
      </w:r>
      <w:proofErr w:type="spellEnd"/>
      <w:r>
        <w:rPr>
          <w:rFonts w:ascii="Book Antiqua" w:eastAsia="Book Antiqua" w:hAnsi="Book Antiqua" w:cs="Book Antiqua"/>
          <w:color w:val="000000"/>
        </w:rPr>
        <w:t xml:space="preserve"> M, Pauli-Magnus C, Folkers G, Meier PJ, </w:t>
      </w:r>
      <w:proofErr w:type="spellStart"/>
      <w:r>
        <w:rPr>
          <w:rFonts w:ascii="Book Antiqua" w:eastAsia="Book Antiqua" w:hAnsi="Book Antiqua" w:cs="Book Antiqua"/>
          <w:color w:val="000000"/>
        </w:rPr>
        <w:t>Fattinger</w:t>
      </w:r>
      <w:proofErr w:type="spellEnd"/>
      <w:r>
        <w:rPr>
          <w:rFonts w:ascii="Book Antiqua" w:eastAsia="Book Antiqua" w:hAnsi="Book Antiqua" w:cs="Book Antiqua"/>
          <w:color w:val="000000"/>
        </w:rPr>
        <w:t xml:space="preserve"> K. Incidence of drug-induced liver injury in medical inpatients.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135-143 [PMID: 15726344 DOI: 10.1007/s00228-004-0888-z]</w:t>
      </w:r>
    </w:p>
    <w:p w14:paraId="67ADA5BE" w14:textId="77777777" w:rsidR="00A77B3E" w:rsidRPr="005A5863" w:rsidRDefault="0052492E">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Quispe-Cañari</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Fidel-Rosales E, Manrique D, </w:t>
      </w:r>
      <w:proofErr w:type="spellStart"/>
      <w:r>
        <w:rPr>
          <w:rFonts w:ascii="Book Antiqua" w:eastAsia="Book Antiqua" w:hAnsi="Book Antiqua" w:cs="Book Antiqua"/>
          <w:color w:val="000000"/>
        </w:rPr>
        <w:t>Mascaró</w:t>
      </w:r>
      <w:proofErr w:type="spellEnd"/>
      <w:r>
        <w:rPr>
          <w:rFonts w:ascii="Book Antiqua" w:eastAsia="Book Antiqua" w:hAnsi="Book Antiqua" w:cs="Book Antiqua"/>
          <w:color w:val="000000"/>
        </w:rPr>
        <w:t xml:space="preserve">-Zan J, </w:t>
      </w:r>
      <w:proofErr w:type="spellStart"/>
      <w:r>
        <w:rPr>
          <w:rFonts w:ascii="Book Antiqua" w:eastAsia="Book Antiqua" w:hAnsi="Book Antiqua" w:cs="Book Antiqua"/>
          <w:color w:val="000000"/>
        </w:rPr>
        <w:t>Huamán-Castillón</w:t>
      </w:r>
      <w:proofErr w:type="spellEnd"/>
      <w:r>
        <w:rPr>
          <w:rFonts w:ascii="Book Antiqua" w:eastAsia="Book Antiqua" w:hAnsi="Book Antiqua" w:cs="Book Antiqua"/>
          <w:color w:val="000000"/>
        </w:rPr>
        <w:t xml:space="preserve"> KM, Chamorro-Espinoza SE, </w:t>
      </w:r>
      <w:proofErr w:type="spellStart"/>
      <w:r>
        <w:rPr>
          <w:rFonts w:ascii="Book Antiqua" w:eastAsia="Book Antiqua" w:hAnsi="Book Antiqua" w:cs="Book Antiqua"/>
          <w:color w:val="000000"/>
        </w:rPr>
        <w:t>Garayar-Peceros</w:t>
      </w:r>
      <w:proofErr w:type="spellEnd"/>
      <w:r>
        <w:rPr>
          <w:rFonts w:ascii="Book Antiqua" w:eastAsia="Book Antiqua" w:hAnsi="Book Antiqua" w:cs="Book Antiqua"/>
          <w:color w:val="000000"/>
        </w:rPr>
        <w:t xml:space="preserve"> H, Ponce-López VL, Sifuentes-Rosales J, </w:t>
      </w:r>
      <w:r w:rsidRPr="005A5863">
        <w:rPr>
          <w:rFonts w:ascii="Book Antiqua" w:eastAsia="Book Antiqua" w:hAnsi="Book Antiqua" w:cs="Book Antiqua"/>
          <w:color w:val="000000"/>
        </w:rPr>
        <w:t xml:space="preserve">Alvarez-Risco A, Yáñez JA, Mejia CR. Self-medication practices during the COVID-19 pandemic among the adult population in Peru: A cross-sectional survey. </w:t>
      </w:r>
      <w:r w:rsidRPr="005A5863">
        <w:rPr>
          <w:rFonts w:ascii="Book Antiqua" w:eastAsia="Book Antiqua" w:hAnsi="Book Antiqua" w:cs="Book Antiqua"/>
          <w:i/>
          <w:iCs/>
          <w:color w:val="000000"/>
        </w:rPr>
        <w:t>Saudi Pharm J</w:t>
      </w:r>
      <w:r w:rsidRPr="005A5863">
        <w:rPr>
          <w:rFonts w:ascii="Book Antiqua" w:eastAsia="Book Antiqua" w:hAnsi="Book Antiqua" w:cs="Book Antiqua"/>
          <w:color w:val="000000"/>
        </w:rPr>
        <w:t xml:space="preserve"> 2021; </w:t>
      </w:r>
      <w:r w:rsidRPr="005A5863">
        <w:rPr>
          <w:rFonts w:ascii="Book Antiqua" w:eastAsia="Book Antiqua" w:hAnsi="Book Antiqua" w:cs="Book Antiqua"/>
          <w:b/>
          <w:bCs/>
          <w:color w:val="000000"/>
        </w:rPr>
        <w:t>29</w:t>
      </w:r>
      <w:r w:rsidRPr="005A5863">
        <w:rPr>
          <w:rFonts w:ascii="Book Antiqua" w:eastAsia="Book Antiqua" w:hAnsi="Book Antiqua" w:cs="Book Antiqua"/>
          <w:color w:val="000000"/>
        </w:rPr>
        <w:t>: 1-11 [PMID: 33519270 DOI: 10.1016/j.jsps.2020.12.001]</w:t>
      </w:r>
    </w:p>
    <w:p w14:paraId="0BBC57CC" w14:textId="77777777" w:rsidR="00A77B3E" w:rsidRPr="00FE6B5D" w:rsidRDefault="0052492E">
      <w:pPr>
        <w:spacing w:line="360" w:lineRule="auto"/>
        <w:jc w:val="both"/>
        <w:rPr>
          <w:lang w:eastAsia="zh-CN"/>
        </w:rPr>
      </w:pPr>
      <w:r w:rsidRPr="00C22687">
        <w:rPr>
          <w:rFonts w:ascii="Book Antiqua" w:eastAsia="Book Antiqua" w:hAnsi="Book Antiqua" w:cs="Book Antiqua"/>
          <w:color w:val="000000"/>
          <w:highlight w:val="yellow"/>
        </w:rPr>
        <w:t xml:space="preserve">49 </w:t>
      </w:r>
      <w:r w:rsidR="00EA76AE" w:rsidRPr="00C22687">
        <w:rPr>
          <w:rFonts w:ascii="Book Antiqua" w:eastAsia="Book Antiqua" w:hAnsi="Book Antiqua" w:cs="Book Antiqua"/>
          <w:b/>
          <w:color w:val="000000"/>
          <w:highlight w:val="yellow"/>
        </w:rPr>
        <w:t>National Institute of Diabetes and Digestive and Kidney Diseases</w:t>
      </w:r>
      <w:r w:rsidR="00EA76AE" w:rsidRPr="00C22687">
        <w:rPr>
          <w:rFonts w:ascii="Book Antiqua" w:hAnsi="Book Antiqua" w:cs="Book Antiqua" w:hint="eastAsia"/>
          <w:color w:val="000000"/>
          <w:highlight w:val="yellow"/>
          <w:lang w:eastAsia="zh-CN"/>
        </w:rPr>
        <w:t>.</w:t>
      </w:r>
      <w:r w:rsidR="00EA76AE" w:rsidRPr="00C22687">
        <w:rPr>
          <w:rFonts w:ascii="Book Antiqua" w:eastAsia="Book Antiqua" w:hAnsi="Book Antiqua" w:cs="Book Antiqua"/>
          <w:color w:val="000000"/>
          <w:highlight w:val="yellow"/>
        </w:rPr>
        <w:t xml:space="preserve"> </w:t>
      </w:r>
      <w:r w:rsidRPr="00C22687">
        <w:rPr>
          <w:rFonts w:ascii="Book Antiqua" w:eastAsia="Book Antiqua" w:hAnsi="Book Antiqua" w:cs="Book Antiqua"/>
          <w:color w:val="000000"/>
          <w:highlight w:val="yellow"/>
        </w:rPr>
        <w:t>LiverTox: Clinical and Research Information on Drug-Induced Liver Injury [Intern</w:t>
      </w:r>
      <w:r w:rsidR="00FE6B5D" w:rsidRPr="00C22687">
        <w:rPr>
          <w:rFonts w:ascii="Book Antiqua" w:eastAsia="Book Antiqua" w:hAnsi="Book Antiqua" w:cs="Book Antiqua"/>
          <w:color w:val="000000"/>
          <w:highlight w:val="yellow"/>
        </w:rPr>
        <w:t>et]</w:t>
      </w:r>
      <w:r w:rsidRPr="00C22687">
        <w:rPr>
          <w:rFonts w:ascii="Book Antiqua" w:eastAsia="Book Antiqua" w:hAnsi="Book Antiqua" w:cs="Book Antiqua"/>
          <w:color w:val="000000"/>
          <w:highlight w:val="yellow"/>
        </w:rPr>
        <w:t>. Acetaminophen.</w:t>
      </w:r>
      <w:r w:rsidR="00FE6B5D" w:rsidRPr="00C22687">
        <w:rPr>
          <w:rFonts w:ascii="Book Antiqua" w:hAnsi="Book Antiqua" w:cs="Book Antiqua"/>
          <w:color w:val="000000"/>
          <w:highlight w:val="yellow"/>
          <w:lang w:eastAsia="zh-CN"/>
        </w:rPr>
        <w:t xml:space="preserve"> [Updated 2016 Jan 28]</w:t>
      </w:r>
      <w:r w:rsidR="00FE6B5D" w:rsidRPr="00C22687">
        <w:rPr>
          <w:rFonts w:ascii="Book Antiqua" w:hAnsi="Book Antiqua" w:cs="Book Antiqua" w:hint="eastAsia"/>
          <w:color w:val="000000"/>
          <w:highlight w:val="yellow"/>
          <w:lang w:eastAsia="zh-CN"/>
        </w:rPr>
        <w:t>.</w:t>
      </w:r>
      <w:r w:rsidRPr="00C22687">
        <w:rPr>
          <w:rFonts w:ascii="Book Antiqua" w:eastAsia="Book Antiqua" w:hAnsi="Book Antiqua" w:cs="Book Antiqua"/>
          <w:color w:val="000000"/>
          <w:highlight w:val="yellow"/>
        </w:rPr>
        <w:t xml:space="preserve"> </w:t>
      </w:r>
      <w:r w:rsidR="00FE6B5D" w:rsidRPr="00C22687">
        <w:rPr>
          <w:rFonts w:ascii="Book Antiqua" w:eastAsia="Book Antiqua" w:hAnsi="Book Antiqua" w:cs="Book Antiqua"/>
          <w:color w:val="000000"/>
          <w:highlight w:val="yellow"/>
        </w:rPr>
        <w:t>Bethesda (MD): National Institute of Diabetes and Digestive and Kidney Diseases</w:t>
      </w:r>
      <w:r w:rsidR="00FE6B5D" w:rsidRPr="00C22687">
        <w:rPr>
          <w:rFonts w:ascii="Book Antiqua" w:hAnsi="Book Antiqua" w:cs="Book Antiqua" w:hint="eastAsia"/>
          <w:color w:val="000000"/>
          <w:highlight w:val="yellow"/>
          <w:lang w:eastAsia="zh-CN"/>
        </w:rPr>
        <w:t>, 2016</w:t>
      </w:r>
      <w:r w:rsidR="00FE6B5D" w:rsidRPr="00C22687">
        <w:rPr>
          <w:rFonts w:ascii="Book Antiqua" w:hAnsi="Book Antiqua" w:cs="Book Antiqua"/>
          <w:color w:val="000000"/>
          <w:highlight w:val="yellow"/>
          <w:lang w:eastAsia="zh-CN"/>
        </w:rPr>
        <w:t>. Available from: https://www.ncbi.nlm.nih.gov/books/NBK548162/</w:t>
      </w:r>
    </w:p>
    <w:p w14:paraId="5380E48E" w14:textId="77777777" w:rsidR="00A77B3E" w:rsidRDefault="0052492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Andrade RJ</w:t>
      </w:r>
      <w:r>
        <w:rPr>
          <w:rFonts w:ascii="Book Antiqua" w:eastAsia="Book Antiqua" w:hAnsi="Book Antiqua" w:cs="Book Antiqua"/>
          <w:color w:val="000000"/>
        </w:rPr>
        <w:t xml:space="preserve">, Chalasani N, Björnsson ES, Suzuki A, </w:t>
      </w:r>
      <w:proofErr w:type="spellStart"/>
      <w:r>
        <w:rPr>
          <w:rFonts w:ascii="Book Antiqua" w:eastAsia="Book Antiqua" w:hAnsi="Book Antiqua" w:cs="Book Antiqua"/>
          <w:color w:val="000000"/>
        </w:rPr>
        <w:t>Kullak-Ublick</w:t>
      </w:r>
      <w:proofErr w:type="spellEnd"/>
      <w:r>
        <w:rPr>
          <w:rFonts w:ascii="Book Antiqua" w:eastAsia="Book Antiqua" w:hAnsi="Book Antiqua" w:cs="Book Antiqua"/>
          <w:color w:val="000000"/>
        </w:rPr>
        <w:t xml:space="preserve"> GA, Watkins PB, </w:t>
      </w:r>
      <w:proofErr w:type="spellStart"/>
      <w:r>
        <w:rPr>
          <w:rFonts w:ascii="Book Antiqua" w:eastAsia="Book Antiqua" w:hAnsi="Book Antiqua" w:cs="Book Antiqua"/>
          <w:color w:val="000000"/>
        </w:rPr>
        <w:t>Devarbhavi</w:t>
      </w:r>
      <w:proofErr w:type="spellEnd"/>
      <w:r>
        <w:rPr>
          <w:rFonts w:ascii="Book Antiqua" w:eastAsia="Book Antiqua" w:hAnsi="Book Antiqua" w:cs="Book Antiqua"/>
          <w:color w:val="000000"/>
        </w:rPr>
        <w:t xml:space="preserve"> H, Merz M, Lucena MI, Kaplowitz N, Aithal GP. Drug-induced liver injury.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58 [PMID: 31439850 DOI: 10.1038/s41572-019-0105-0]</w:t>
      </w:r>
    </w:p>
    <w:p w14:paraId="12CD055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E518CDA" w14:textId="77777777" w:rsidR="00A77B3E" w:rsidRDefault="0052492E">
      <w:pPr>
        <w:spacing w:line="360" w:lineRule="auto"/>
        <w:jc w:val="both"/>
      </w:pPr>
      <w:r>
        <w:rPr>
          <w:rFonts w:ascii="Book Antiqua" w:eastAsia="Book Antiqua" w:hAnsi="Book Antiqua" w:cs="Book Antiqua"/>
          <w:b/>
          <w:color w:val="000000"/>
        </w:rPr>
        <w:t>Footnotes</w:t>
      </w:r>
    </w:p>
    <w:p w14:paraId="79956946" w14:textId="77777777" w:rsidR="00A77B3E" w:rsidRPr="00F67399" w:rsidRDefault="0052492E">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73F499B6" w14:textId="77777777" w:rsidR="00A77B3E" w:rsidRDefault="00A77B3E">
      <w:pPr>
        <w:spacing w:line="360" w:lineRule="auto"/>
        <w:jc w:val="both"/>
      </w:pPr>
    </w:p>
    <w:p w14:paraId="09B9E1EB" w14:textId="77777777" w:rsidR="00A77B3E" w:rsidRDefault="0052492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1C9F28" w14:textId="77777777" w:rsidR="00A77B3E" w:rsidRDefault="00A77B3E">
      <w:pPr>
        <w:spacing w:line="360" w:lineRule="auto"/>
        <w:jc w:val="both"/>
      </w:pPr>
    </w:p>
    <w:p w14:paraId="54129081" w14:textId="77777777" w:rsidR="00A77B3E" w:rsidRDefault="0052492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E6B5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73E8FEF" w14:textId="77777777" w:rsidR="00A77B3E" w:rsidRDefault="00A77B3E">
      <w:pPr>
        <w:spacing w:line="360" w:lineRule="auto"/>
        <w:jc w:val="both"/>
      </w:pPr>
    </w:p>
    <w:p w14:paraId="6624B351" w14:textId="77777777" w:rsidR="00A77B3E" w:rsidRDefault="0052492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8, 2021</w:t>
      </w:r>
    </w:p>
    <w:p w14:paraId="29000F0E" w14:textId="77777777" w:rsidR="00A77B3E" w:rsidRDefault="0052492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024E63C2" w14:textId="77777777" w:rsidR="00A77B3E" w:rsidRDefault="0052492E">
      <w:pPr>
        <w:spacing w:line="360" w:lineRule="auto"/>
        <w:jc w:val="both"/>
      </w:pPr>
      <w:r>
        <w:rPr>
          <w:rFonts w:ascii="Book Antiqua" w:eastAsia="Book Antiqua" w:hAnsi="Book Antiqua" w:cs="Book Antiqua"/>
          <w:b/>
          <w:color w:val="000000"/>
        </w:rPr>
        <w:t xml:space="preserve">Article in press: </w:t>
      </w:r>
    </w:p>
    <w:p w14:paraId="1455AA86" w14:textId="77777777" w:rsidR="00A77B3E" w:rsidRDefault="00A77B3E">
      <w:pPr>
        <w:spacing w:line="360" w:lineRule="auto"/>
        <w:jc w:val="both"/>
      </w:pPr>
    </w:p>
    <w:p w14:paraId="357B8E21" w14:textId="77777777" w:rsidR="00A77B3E" w:rsidRDefault="0052492E">
      <w:pPr>
        <w:spacing w:line="360" w:lineRule="auto"/>
        <w:jc w:val="both"/>
      </w:pPr>
      <w:r>
        <w:rPr>
          <w:rFonts w:ascii="Book Antiqua" w:eastAsia="Book Antiqua" w:hAnsi="Book Antiqua" w:cs="Book Antiqua"/>
          <w:b/>
          <w:color w:val="000000"/>
        </w:rPr>
        <w:t xml:space="preserve">Specialty type: </w:t>
      </w:r>
      <w:r w:rsidR="00FE6B5D" w:rsidRPr="00E700C2">
        <w:rPr>
          <w:rFonts w:ascii="Book Antiqua" w:eastAsia="微软雅黑" w:hAnsi="Book Antiqua" w:cs="宋体"/>
        </w:rPr>
        <w:t>Gastroenterology and hepatology</w:t>
      </w:r>
    </w:p>
    <w:p w14:paraId="6008625A" w14:textId="77777777" w:rsidR="00A77B3E" w:rsidRDefault="0052492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3CB1F2C8" w14:textId="77777777" w:rsidR="00A77B3E" w:rsidRDefault="0052492E">
      <w:pPr>
        <w:spacing w:line="360" w:lineRule="auto"/>
        <w:jc w:val="both"/>
      </w:pPr>
      <w:r>
        <w:rPr>
          <w:rFonts w:ascii="Book Antiqua" w:eastAsia="Book Antiqua" w:hAnsi="Book Antiqua" w:cs="Book Antiqua"/>
          <w:b/>
          <w:color w:val="000000"/>
        </w:rPr>
        <w:t>Peer-review report’s scientific quality classification</w:t>
      </w:r>
    </w:p>
    <w:p w14:paraId="11BBC591" w14:textId="77777777" w:rsidR="00A77B3E" w:rsidRDefault="0052492E">
      <w:pPr>
        <w:spacing w:line="360" w:lineRule="auto"/>
        <w:jc w:val="both"/>
      </w:pPr>
      <w:r>
        <w:rPr>
          <w:rFonts w:ascii="Book Antiqua" w:eastAsia="Book Antiqua" w:hAnsi="Book Antiqua" w:cs="Book Antiqua"/>
          <w:color w:val="000000"/>
        </w:rPr>
        <w:t>Grade A (Excellent): 0</w:t>
      </w:r>
    </w:p>
    <w:p w14:paraId="6B96F628" w14:textId="77777777" w:rsidR="00A77B3E" w:rsidRDefault="0052492E">
      <w:pPr>
        <w:spacing w:line="360" w:lineRule="auto"/>
        <w:jc w:val="both"/>
      </w:pPr>
      <w:r>
        <w:rPr>
          <w:rFonts w:ascii="Book Antiqua" w:eastAsia="Book Antiqua" w:hAnsi="Book Antiqua" w:cs="Book Antiqua"/>
          <w:color w:val="000000"/>
        </w:rPr>
        <w:t>Grade B (Very good): B</w:t>
      </w:r>
    </w:p>
    <w:p w14:paraId="196E5C5D" w14:textId="77777777" w:rsidR="00A77B3E" w:rsidRDefault="0052492E">
      <w:pPr>
        <w:spacing w:line="360" w:lineRule="auto"/>
        <w:jc w:val="both"/>
      </w:pPr>
      <w:r>
        <w:rPr>
          <w:rFonts w:ascii="Book Antiqua" w:eastAsia="Book Antiqua" w:hAnsi="Book Antiqua" w:cs="Book Antiqua"/>
          <w:color w:val="000000"/>
        </w:rPr>
        <w:t>Grade C (Good): 0</w:t>
      </w:r>
    </w:p>
    <w:p w14:paraId="39DA0AC4" w14:textId="77777777" w:rsidR="00A77B3E" w:rsidRDefault="0052492E">
      <w:pPr>
        <w:spacing w:line="360" w:lineRule="auto"/>
        <w:jc w:val="both"/>
      </w:pPr>
      <w:r>
        <w:rPr>
          <w:rFonts w:ascii="Book Antiqua" w:eastAsia="Book Antiqua" w:hAnsi="Book Antiqua" w:cs="Book Antiqua"/>
          <w:color w:val="000000"/>
        </w:rPr>
        <w:t>Grade D (Fair): 0</w:t>
      </w:r>
    </w:p>
    <w:p w14:paraId="7CDBD6C5" w14:textId="77777777" w:rsidR="00A77B3E" w:rsidRDefault="0052492E">
      <w:pPr>
        <w:spacing w:line="360" w:lineRule="auto"/>
        <w:jc w:val="both"/>
      </w:pPr>
      <w:r>
        <w:rPr>
          <w:rFonts w:ascii="Book Antiqua" w:eastAsia="Book Antiqua" w:hAnsi="Book Antiqua" w:cs="Book Antiqua"/>
          <w:color w:val="000000"/>
        </w:rPr>
        <w:t>Grade E (Poor): 0</w:t>
      </w:r>
    </w:p>
    <w:p w14:paraId="18CB2E0B" w14:textId="77777777" w:rsidR="00A77B3E" w:rsidRDefault="00A77B3E">
      <w:pPr>
        <w:spacing w:line="360" w:lineRule="auto"/>
        <w:jc w:val="both"/>
      </w:pPr>
    </w:p>
    <w:p w14:paraId="45B213D1" w14:textId="66B47B85" w:rsidR="00F67399" w:rsidRDefault="0052492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Kurniawan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BAF1F20" w14:textId="77777777" w:rsidR="00A77B3E" w:rsidRDefault="00F6739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F67399">
        <w:rPr>
          <w:rFonts w:ascii="Book Antiqua" w:eastAsia="Book Antiqua" w:hAnsi="Book Antiqua" w:cs="Book Antiqua"/>
          <w:b/>
          <w:color w:val="000000"/>
        </w:rPr>
        <w:t>Table 1 Reports of drug-induced liver injury in patients with coronavirus disease 2019</w:t>
      </w:r>
      <w:r>
        <w:rPr>
          <w:rFonts w:ascii="Book Antiqua" w:eastAsia="Book Antiqua" w:hAnsi="Book Antiqua" w:cs="Book Antiqua"/>
          <w:b/>
          <w:color w:val="000000"/>
        </w:rPr>
        <w:t xml:space="preserve"> (PubMed/</w:t>
      </w:r>
      <w:r w:rsidRPr="00F67399">
        <w:rPr>
          <w:rFonts w:ascii="Book Antiqua" w:eastAsia="Book Antiqua" w:hAnsi="Book Antiqua" w:cs="Book Antiqua"/>
          <w:b/>
          <w:color w:val="000000"/>
        </w:rPr>
        <w:t>Virtual Health Library)</w:t>
      </w:r>
    </w:p>
    <w:tbl>
      <w:tblPr>
        <w:tblW w:w="5000" w:type="pct"/>
        <w:tblLayout w:type="fixed"/>
        <w:tblLook w:val="0400" w:firstRow="0" w:lastRow="0" w:firstColumn="0" w:lastColumn="0" w:noHBand="0" w:noVBand="1"/>
      </w:tblPr>
      <w:tblGrid>
        <w:gridCol w:w="1515"/>
        <w:gridCol w:w="1677"/>
        <w:gridCol w:w="1677"/>
        <w:gridCol w:w="1773"/>
        <w:gridCol w:w="1584"/>
        <w:gridCol w:w="1350"/>
      </w:tblGrid>
      <w:tr w:rsidR="00112F26" w:rsidRPr="00F67399" w14:paraId="107DF814" w14:textId="77777777" w:rsidTr="0074462B">
        <w:tc>
          <w:tcPr>
            <w:tcW w:w="1515" w:type="dxa"/>
            <w:tcBorders>
              <w:top w:val="single" w:sz="4" w:space="0" w:color="auto"/>
              <w:bottom w:val="single" w:sz="4" w:space="0" w:color="auto"/>
            </w:tcBorders>
            <w:shd w:val="clear" w:color="auto" w:fill="auto"/>
          </w:tcPr>
          <w:p w14:paraId="684A0589" w14:textId="77777777" w:rsidR="00112F26" w:rsidRPr="00F67399" w:rsidRDefault="00112F26" w:rsidP="00F67399">
            <w:pPr>
              <w:widowControl w:val="0"/>
              <w:spacing w:line="360" w:lineRule="auto"/>
              <w:jc w:val="both"/>
              <w:rPr>
                <w:rFonts w:ascii="Book Antiqua" w:hAnsi="Book Antiqua" w:cs="Book Antiqua"/>
                <w:b/>
                <w:color w:val="202124"/>
                <w:highlight w:val="white"/>
                <w:lang w:eastAsia="zh-CN"/>
              </w:rPr>
            </w:pPr>
            <w:r>
              <w:rPr>
                <w:rFonts w:ascii="Book Antiqua" w:hAnsi="Book Antiqua" w:cs="Book Antiqua" w:hint="eastAsia"/>
                <w:b/>
                <w:color w:val="202124"/>
                <w:highlight w:val="white"/>
                <w:lang w:eastAsia="zh-CN"/>
              </w:rPr>
              <w:t>Ref.</w:t>
            </w:r>
          </w:p>
        </w:tc>
        <w:tc>
          <w:tcPr>
            <w:tcW w:w="1677" w:type="dxa"/>
            <w:tcBorders>
              <w:top w:val="single" w:sz="4" w:space="0" w:color="auto"/>
              <w:bottom w:val="single" w:sz="4" w:space="0" w:color="auto"/>
            </w:tcBorders>
          </w:tcPr>
          <w:p w14:paraId="7AC33CB8" w14:textId="77777777" w:rsidR="00112F26" w:rsidRPr="00F67399" w:rsidRDefault="00112F26" w:rsidP="00AF32F2">
            <w:pPr>
              <w:widowControl w:val="0"/>
              <w:spacing w:line="360" w:lineRule="auto"/>
              <w:jc w:val="both"/>
              <w:rPr>
                <w:rFonts w:ascii="Book Antiqua" w:eastAsia="Book Antiqua" w:hAnsi="Book Antiqua" w:cs="Book Antiqua"/>
                <w:b/>
                <w:color w:val="202124"/>
                <w:highlight w:val="white"/>
              </w:rPr>
            </w:pPr>
            <w:r>
              <w:rPr>
                <w:rFonts w:ascii="Book Antiqua" w:hAnsi="Book Antiqua" w:cs="Book Antiqua" w:hint="eastAsia"/>
                <w:b/>
                <w:color w:val="202124"/>
                <w:highlight w:val="white"/>
                <w:lang w:eastAsia="zh-CN"/>
              </w:rPr>
              <w:t>S</w:t>
            </w:r>
            <w:r w:rsidRPr="00F67399">
              <w:rPr>
                <w:rFonts w:ascii="Book Antiqua" w:eastAsia="Book Antiqua" w:hAnsi="Book Antiqua" w:cs="Book Antiqua"/>
                <w:b/>
                <w:color w:val="202124"/>
                <w:highlight w:val="white"/>
              </w:rPr>
              <w:t>tudy/site</w:t>
            </w:r>
          </w:p>
        </w:tc>
        <w:tc>
          <w:tcPr>
            <w:tcW w:w="1677" w:type="dxa"/>
            <w:tcBorders>
              <w:top w:val="single" w:sz="4" w:space="0" w:color="auto"/>
              <w:bottom w:val="single" w:sz="4" w:space="0" w:color="auto"/>
            </w:tcBorders>
            <w:shd w:val="clear" w:color="auto" w:fill="auto"/>
          </w:tcPr>
          <w:p w14:paraId="2EFD6AE3" w14:textId="77777777" w:rsidR="00112F26" w:rsidRPr="00F67399" w:rsidRDefault="00112F26" w:rsidP="00F67399">
            <w:pPr>
              <w:widowControl w:val="0"/>
              <w:spacing w:line="360" w:lineRule="auto"/>
              <w:jc w:val="both"/>
              <w:rPr>
                <w:rFonts w:ascii="Book Antiqua" w:eastAsia="Book Antiqua" w:hAnsi="Book Antiqua" w:cs="Book Antiqua"/>
                <w:b/>
                <w:color w:val="202124"/>
                <w:highlight w:val="white"/>
              </w:rPr>
            </w:pPr>
            <w:r w:rsidRPr="00F67399">
              <w:rPr>
                <w:rFonts w:ascii="Book Antiqua" w:eastAsia="Book Antiqua" w:hAnsi="Book Antiqua" w:cs="Book Antiqua"/>
                <w:b/>
                <w:color w:val="202124"/>
                <w:highlight w:val="white"/>
              </w:rPr>
              <w:t>Patient profile</w:t>
            </w:r>
          </w:p>
        </w:tc>
        <w:tc>
          <w:tcPr>
            <w:tcW w:w="1773" w:type="dxa"/>
            <w:tcBorders>
              <w:top w:val="single" w:sz="4" w:space="0" w:color="auto"/>
              <w:bottom w:val="single" w:sz="4" w:space="0" w:color="auto"/>
            </w:tcBorders>
            <w:shd w:val="clear" w:color="auto" w:fill="auto"/>
          </w:tcPr>
          <w:p w14:paraId="4AFA4CAC" w14:textId="77777777" w:rsidR="00112F26" w:rsidRPr="00F67399" w:rsidRDefault="00112F26" w:rsidP="00F67399">
            <w:pPr>
              <w:widowControl w:val="0"/>
              <w:spacing w:line="360" w:lineRule="auto"/>
              <w:jc w:val="both"/>
              <w:rPr>
                <w:rFonts w:ascii="Book Antiqua" w:eastAsia="Book Antiqua" w:hAnsi="Book Antiqua" w:cs="Book Antiqua"/>
                <w:b/>
                <w:color w:val="202124"/>
                <w:highlight w:val="white"/>
              </w:rPr>
            </w:pPr>
            <w:r w:rsidRPr="00F67399">
              <w:rPr>
                <w:rFonts w:ascii="Book Antiqua" w:eastAsia="Book Antiqua" w:hAnsi="Book Antiqua" w:cs="Book Antiqua"/>
                <w:b/>
                <w:color w:val="202124"/>
                <w:highlight w:val="white"/>
              </w:rPr>
              <w:t>Medication</w:t>
            </w:r>
          </w:p>
        </w:tc>
        <w:tc>
          <w:tcPr>
            <w:tcW w:w="1584" w:type="dxa"/>
            <w:tcBorders>
              <w:top w:val="single" w:sz="4" w:space="0" w:color="auto"/>
              <w:bottom w:val="single" w:sz="4" w:space="0" w:color="auto"/>
            </w:tcBorders>
            <w:shd w:val="clear" w:color="auto" w:fill="auto"/>
          </w:tcPr>
          <w:p w14:paraId="7F5C43E3" w14:textId="77777777" w:rsidR="00112F26" w:rsidRPr="00F67399" w:rsidRDefault="00112F26" w:rsidP="00F67399">
            <w:pPr>
              <w:widowControl w:val="0"/>
              <w:spacing w:line="360" w:lineRule="auto"/>
              <w:jc w:val="both"/>
              <w:rPr>
                <w:rFonts w:ascii="Book Antiqua" w:eastAsia="Book Antiqua" w:hAnsi="Book Antiqua" w:cs="Book Antiqua"/>
                <w:b/>
                <w:color w:val="202124"/>
                <w:highlight w:val="white"/>
              </w:rPr>
            </w:pPr>
            <w:r w:rsidRPr="00F67399">
              <w:rPr>
                <w:rFonts w:ascii="Book Antiqua" w:eastAsia="Book Antiqua" w:hAnsi="Book Antiqua" w:cs="Book Antiqua"/>
                <w:b/>
                <w:color w:val="202124"/>
                <w:highlight w:val="white"/>
              </w:rPr>
              <w:t>DILI</w:t>
            </w:r>
          </w:p>
        </w:tc>
        <w:tc>
          <w:tcPr>
            <w:tcW w:w="1350" w:type="dxa"/>
            <w:tcBorders>
              <w:top w:val="single" w:sz="4" w:space="0" w:color="auto"/>
              <w:bottom w:val="single" w:sz="4" w:space="0" w:color="auto"/>
            </w:tcBorders>
            <w:shd w:val="clear" w:color="auto" w:fill="auto"/>
          </w:tcPr>
          <w:p w14:paraId="11A560C4" w14:textId="77777777" w:rsidR="00112F26" w:rsidRPr="00F67399" w:rsidRDefault="00112F26" w:rsidP="00F67399">
            <w:pPr>
              <w:widowControl w:val="0"/>
              <w:spacing w:line="360" w:lineRule="auto"/>
              <w:jc w:val="both"/>
              <w:rPr>
                <w:rFonts w:ascii="Book Antiqua" w:eastAsia="Book Antiqua" w:hAnsi="Book Antiqua" w:cs="Book Antiqua"/>
                <w:b/>
                <w:color w:val="202124"/>
                <w:highlight w:val="white"/>
              </w:rPr>
            </w:pPr>
            <w:r w:rsidRPr="00F67399">
              <w:rPr>
                <w:rFonts w:ascii="Book Antiqua" w:eastAsia="Book Antiqua" w:hAnsi="Book Antiqua" w:cs="Book Antiqua"/>
                <w:b/>
                <w:color w:val="202124"/>
                <w:highlight w:val="white"/>
              </w:rPr>
              <w:t>Outcome</w:t>
            </w:r>
          </w:p>
        </w:tc>
      </w:tr>
      <w:tr w:rsidR="00112F26" w:rsidRPr="00F67399" w14:paraId="63916A24" w14:textId="77777777" w:rsidTr="0074462B">
        <w:tc>
          <w:tcPr>
            <w:tcW w:w="1515" w:type="dxa"/>
            <w:tcBorders>
              <w:top w:val="single" w:sz="4" w:space="0" w:color="auto"/>
            </w:tcBorders>
            <w:shd w:val="clear" w:color="auto" w:fill="auto"/>
          </w:tcPr>
          <w:p w14:paraId="4BA2C592" w14:textId="77777777" w:rsidR="00112F26" w:rsidRPr="00F67399" w:rsidRDefault="00112F26" w:rsidP="00F67399">
            <w:pPr>
              <w:widowControl w:val="0"/>
              <w:spacing w:line="360" w:lineRule="auto"/>
              <w:jc w:val="both"/>
              <w:rPr>
                <w:rFonts w:ascii="Book Antiqua" w:eastAsia="Book Antiqua" w:hAnsi="Book Antiqua" w:cs="Book Antiqua"/>
                <w:color w:val="202124"/>
                <w:highlight w:val="white"/>
              </w:rPr>
            </w:pPr>
            <w:proofErr w:type="spellStart"/>
            <w:r w:rsidRPr="00F67399">
              <w:rPr>
                <w:rFonts w:ascii="Book Antiqua" w:eastAsia="Book Antiqua" w:hAnsi="Book Antiqua" w:cs="Book Antiqua"/>
                <w:color w:val="202124"/>
                <w:highlight w:val="white"/>
              </w:rPr>
              <w:t>Muhović</w:t>
            </w:r>
            <w:proofErr w:type="spellEnd"/>
            <w:r w:rsidRPr="00F67399">
              <w:rPr>
                <w:rFonts w:ascii="Book Antiqua" w:eastAsia="Book Antiqua" w:hAnsi="Book Antiqua" w:cs="Book Antiqua"/>
                <w:color w:val="202124"/>
                <w:highlight w:val="white"/>
              </w:rPr>
              <w:t xml:space="preserve"> </w:t>
            </w:r>
            <w:r w:rsidRPr="00F67399">
              <w:rPr>
                <w:rFonts w:ascii="Book Antiqua" w:hAnsi="Book Antiqua" w:cs="Book Antiqua" w:hint="eastAsia"/>
                <w:i/>
                <w:color w:val="202124"/>
                <w:highlight w:val="white"/>
                <w:lang w:eastAsia="zh-CN"/>
              </w:rPr>
              <w:t>et al</w:t>
            </w:r>
            <w:r w:rsidRPr="00F67399">
              <w:rPr>
                <w:rFonts w:ascii="Book Antiqua" w:eastAsia="Book Antiqua" w:hAnsi="Book Antiqua" w:cs="Book Antiqua"/>
                <w:color w:val="202124"/>
                <w:highlight w:val="white"/>
                <w:vertAlign w:val="superscript"/>
              </w:rPr>
              <w:t>[23]</w:t>
            </w:r>
          </w:p>
        </w:tc>
        <w:tc>
          <w:tcPr>
            <w:tcW w:w="1677" w:type="dxa"/>
            <w:tcBorders>
              <w:top w:val="single" w:sz="4" w:space="0" w:color="auto"/>
            </w:tcBorders>
          </w:tcPr>
          <w:p w14:paraId="3E82559F" w14:textId="77777777" w:rsidR="00112F26" w:rsidRPr="00F67399" w:rsidRDefault="00112F26" w:rsidP="00112F26">
            <w:pPr>
              <w:widowControl w:val="0"/>
              <w:spacing w:line="360" w:lineRule="auto"/>
              <w:jc w:val="both"/>
              <w:rPr>
                <w:rFonts w:ascii="Book Antiqua" w:eastAsia="Book Antiqua" w:hAnsi="Book Antiqua" w:cs="Book Antiqua"/>
                <w:color w:val="202124"/>
                <w:highlight w:val="white"/>
              </w:rPr>
            </w:pPr>
            <w:r w:rsidRPr="00F67399">
              <w:rPr>
                <w:rFonts w:ascii="Book Antiqua" w:eastAsia="Book Antiqua" w:hAnsi="Book Antiqua" w:cs="Book Antiqua"/>
                <w:color w:val="202124"/>
                <w:highlight w:val="white"/>
              </w:rPr>
              <w:t>Case report</w:t>
            </w:r>
            <w:r>
              <w:rPr>
                <w:rFonts w:ascii="Book Antiqua" w:hAnsi="Book Antiqua" w:cs="Book Antiqua" w:hint="eastAsia"/>
                <w:color w:val="202124"/>
                <w:highlight w:val="white"/>
                <w:lang w:eastAsia="zh-CN"/>
              </w:rPr>
              <w:t xml:space="preserve">; </w:t>
            </w:r>
            <w:r w:rsidRPr="00F67399">
              <w:rPr>
                <w:rFonts w:ascii="Book Antiqua" w:eastAsia="Book Antiqua" w:hAnsi="Book Antiqua" w:cs="Book Antiqua"/>
                <w:color w:val="202124"/>
                <w:highlight w:val="white"/>
              </w:rPr>
              <w:t>Montenegro</w:t>
            </w:r>
          </w:p>
        </w:tc>
        <w:tc>
          <w:tcPr>
            <w:tcW w:w="1677" w:type="dxa"/>
            <w:tcBorders>
              <w:top w:val="single" w:sz="4" w:space="0" w:color="auto"/>
            </w:tcBorders>
            <w:shd w:val="clear" w:color="auto" w:fill="auto"/>
          </w:tcPr>
          <w:p w14:paraId="291B7799" w14:textId="77777777" w:rsidR="00112F26" w:rsidRPr="00F67399" w:rsidRDefault="00112F26" w:rsidP="00112F26">
            <w:pPr>
              <w:widowControl w:val="0"/>
              <w:spacing w:line="360" w:lineRule="auto"/>
              <w:jc w:val="both"/>
              <w:rPr>
                <w:rFonts w:ascii="Book Antiqua" w:eastAsia="Book Antiqua" w:hAnsi="Book Antiqua" w:cs="Book Antiqua"/>
                <w:color w:val="202124"/>
                <w:highlight w:val="white"/>
              </w:rPr>
            </w:pPr>
            <w:r w:rsidRPr="00F67399">
              <w:rPr>
                <w:rFonts w:ascii="Book Antiqua" w:eastAsia="Book Antiqua" w:hAnsi="Book Antiqua" w:cs="Book Antiqua"/>
                <w:color w:val="202124"/>
                <w:highlight w:val="white"/>
              </w:rPr>
              <w:t>Man, 52</w:t>
            </w:r>
            <w:r w:rsidRPr="00F67399">
              <w:rPr>
                <w:rFonts w:ascii="Book Antiqua" w:eastAsia="Book Antiqua" w:hAnsi="Book Antiqua" w:cs="Book Antiqua"/>
                <w:highlight w:val="white"/>
              </w:rPr>
              <w:t>-yr-old</w:t>
            </w:r>
          </w:p>
        </w:tc>
        <w:tc>
          <w:tcPr>
            <w:tcW w:w="1773" w:type="dxa"/>
            <w:tcBorders>
              <w:top w:val="single" w:sz="4" w:space="0" w:color="auto"/>
            </w:tcBorders>
            <w:shd w:val="clear" w:color="auto" w:fill="auto"/>
          </w:tcPr>
          <w:p w14:paraId="1DC80353" w14:textId="77777777" w:rsidR="00112F26" w:rsidRPr="00112F26" w:rsidRDefault="00112F26" w:rsidP="00112F26">
            <w:pPr>
              <w:widowControl w:val="0"/>
              <w:spacing w:line="360" w:lineRule="auto"/>
              <w:jc w:val="both"/>
              <w:rPr>
                <w:rFonts w:ascii="Book Antiqua" w:hAnsi="Book Antiqua" w:cs="Book Antiqua"/>
                <w:color w:val="202124"/>
                <w:highlight w:val="white"/>
                <w:lang w:eastAsia="zh-CN"/>
              </w:rPr>
            </w:pPr>
            <w:r w:rsidRPr="00F67399">
              <w:rPr>
                <w:rFonts w:ascii="Book Antiqua" w:eastAsia="Book Antiqua" w:hAnsi="Book Antiqua" w:cs="Book Antiqua"/>
                <w:color w:val="202124"/>
                <w:highlight w:val="white"/>
              </w:rPr>
              <w:t>Chloroquine, lopinavir/ritonavir, methylprednisolone, ceftriaxone and azithromycin. After 6 d: methylprednisolone, ceftriaxone, azithromycin</w:t>
            </w:r>
          </w:p>
        </w:tc>
        <w:tc>
          <w:tcPr>
            <w:tcW w:w="1584" w:type="dxa"/>
            <w:tcBorders>
              <w:top w:val="single" w:sz="4" w:space="0" w:color="auto"/>
            </w:tcBorders>
            <w:shd w:val="clear" w:color="auto" w:fill="auto"/>
          </w:tcPr>
          <w:p w14:paraId="1D34395B" w14:textId="77777777" w:rsidR="00112F26" w:rsidRPr="00112F26" w:rsidRDefault="00112F26" w:rsidP="00F67399">
            <w:pPr>
              <w:widowControl w:val="0"/>
              <w:spacing w:line="360" w:lineRule="auto"/>
              <w:jc w:val="both"/>
              <w:rPr>
                <w:rFonts w:ascii="Book Antiqua" w:hAnsi="Book Antiqua" w:cs="Book Antiqua"/>
                <w:color w:val="202124"/>
                <w:lang w:eastAsia="zh-CN"/>
              </w:rPr>
            </w:pPr>
            <w:r w:rsidRPr="00F67399">
              <w:rPr>
                <w:rFonts w:ascii="Book Antiqua" w:eastAsia="Book Antiqua" w:hAnsi="Book Antiqua" w:cs="Book Antiqua"/>
                <w:color w:val="202124"/>
              </w:rPr>
              <w:t>CIOMS/RUCAM</w:t>
            </w:r>
            <w:r w:rsidRPr="00F67399">
              <w:rPr>
                <w:rFonts w:ascii="Book Antiqua" w:eastAsia="Book Antiqua" w:hAnsi="Book Antiqua" w:cs="Book Antiqua"/>
                <w:color w:val="202124"/>
                <w:highlight w:val="white"/>
              </w:rPr>
              <w:t>: scored 8 points for a ‘probable’ cause of DILI by TCZ. Hepatocellular form of DILI diagnosed using the EASL guidelines</w:t>
            </w:r>
          </w:p>
        </w:tc>
        <w:tc>
          <w:tcPr>
            <w:tcW w:w="1350" w:type="dxa"/>
            <w:tcBorders>
              <w:top w:val="single" w:sz="4" w:space="0" w:color="auto"/>
            </w:tcBorders>
            <w:shd w:val="clear" w:color="auto" w:fill="auto"/>
          </w:tcPr>
          <w:p w14:paraId="7789265B" w14:textId="77777777" w:rsidR="00112F26" w:rsidRPr="00F67399" w:rsidRDefault="00112F26" w:rsidP="00112F26">
            <w:pPr>
              <w:widowControl w:val="0"/>
              <w:spacing w:line="360" w:lineRule="auto"/>
              <w:jc w:val="both"/>
              <w:rPr>
                <w:rFonts w:ascii="Book Antiqua" w:eastAsia="Book Antiqua" w:hAnsi="Book Antiqua" w:cs="Book Antiqua"/>
              </w:rPr>
            </w:pPr>
            <w:r w:rsidRPr="00F67399">
              <w:rPr>
                <w:rFonts w:ascii="Book Antiqua" w:eastAsia="Book Antiqua" w:hAnsi="Book Antiqua" w:cs="Book Antiqua"/>
              </w:rPr>
              <w:t>TCZ had a positive effect on clinical and laboratory parameters, with transaminases values normalizing in 10 d</w:t>
            </w:r>
          </w:p>
        </w:tc>
      </w:tr>
      <w:tr w:rsidR="00112F26" w:rsidRPr="00F67399" w14:paraId="707F5D01" w14:textId="77777777" w:rsidTr="0074462B">
        <w:tc>
          <w:tcPr>
            <w:tcW w:w="1515" w:type="dxa"/>
            <w:shd w:val="clear" w:color="auto" w:fill="auto"/>
          </w:tcPr>
          <w:p w14:paraId="5CA1D54C" w14:textId="77777777" w:rsidR="00112F26" w:rsidRPr="00F67399" w:rsidRDefault="00112F26" w:rsidP="00112F26">
            <w:pPr>
              <w:widowControl w:val="0"/>
              <w:spacing w:line="360" w:lineRule="auto"/>
              <w:jc w:val="both"/>
              <w:rPr>
                <w:rFonts w:ascii="Book Antiqua" w:eastAsia="Book Antiqua" w:hAnsi="Book Antiqua" w:cs="Book Antiqua"/>
                <w:color w:val="202124"/>
              </w:rPr>
            </w:pPr>
            <w:r w:rsidRPr="00F67399">
              <w:rPr>
                <w:rFonts w:ascii="Book Antiqua" w:eastAsia="Book Antiqua" w:hAnsi="Book Antiqua" w:cs="Book Antiqua"/>
                <w:color w:val="202124"/>
              </w:rPr>
              <w:t xml:space="preserve">Zampino </w:t>
            </w:r>
            <w:r w:rsidRPr="00F67399">
              <w:rPr>
                <w:rFonts w:ascii="Book Antiqua" w:hAnsi="Book Antiqua" w:cs="Book Antiqua" w:hint="eastAsia"/>
                <w:i/>
                <w:color w:val="202124"/>
                <w:highlight w:val="white"/>
                <w:lang w:eastAsia="zh-CN"/>
              </w:rPr>
              <w:t>et al</w:t>
            </w:r>
            <w:r w:rsidRPr="00F67399">
              <w:rPr>
                <w:rFonts w:ascii="Book Antiqua" w:eastAsia="Book Antiqua" w:hAnsi="Book Antiqua" w:cs="Book Antiqua"/>
                <w:color w:val="202124"/>
                <w:vertAlign w:val="superscript"/>
              </w:rPr>
              <w:t>[24]</w:t>
            </w:r>
          </w:p>
        </w:tc>
        <w:tc>
          <w:tcPr>
            <w:tcW w:w="1677" w:type="dxa"/>
          </w:tcPr>
          <w:p w14:paraId="4780A5DE" w14:textId="77777777" w:rsidR="00112F26" w:rsidRPr="00F67399" w:rsidRDefault="00112F26" w:rsidP="00112F26">
            <w:pPr>
              <w:widowControl w:val="0"/>
              <w:spacing w:line="360" w:lineRule="auto"/>
              <w:jc w:val="both"/>
              <w:rPr>
                <w:rFonts w:ascii="Book Antiqua" w:eastAsia="Book Antiqua" w:hAnsi="Book Antiqua" w:cs="Book Antiqua"/>
                <w:color w:val="202124"/>
              </w:rPr>
            </w:pPr>
            <w:r w:rsidRPr="00F67399">
              <w:rPr>
                <w:rFonts w:ascii="Book Antiqua" w:eastAsia="Book Antiqua" w:hAnsi="Book Antiqua" w:cs="Book Antiqua"/>
                <w:color w:val="202124"/>
                <w:highlight w:val="white"/>
              </w:rPr>
              <w:t>Case series</w:t>
            </w:r>
            <w:r>
              <w:rPr>
                <w:rFonts w:ascii="Book Antiqua" w:hAnsi="Book Antiqua" w:cs="Book Antiqua" w:hint="eastAsia"/>
                <w:color w:val="202124"/>
                <w:lang w:eastAsia="zh-CN"/>
              </w:rPr>
              <w:t xml:space="preserve">; </w:t>
            </w:r>
            <w:r w:rsidRPr="00F67399">
              <w:rPr>
                <w:rFonts w:ascii="Book Antiqua" w:eastAsia="Book Antiqua" w:hAnsi="Book Antiqua" w:cs="Book Antiqua"/>
                <w:color w:val="202124"/>
                <w:highlight w:val="white"/>
              </w:rPr>
              <w:t>Naples, Italy</w:t>
            </w:r>
          </w:p>
        </w:tc>
        <w:tc>
          <w:tcPr>
            <w:tcW w:w="1677" w:type="dxa"/>
            <w:shd w:val="clear" w:color="auto" w:fill="auto"/>
          </w:tcPr>
          <w:p w14:paraId="2D6806A6" w14:textId="24F234A7" w:rsidR="00112F26" w:rsidRPr="00F67399" w:rsidRDefault="00112F26" w:rsidP="00112F26">
            <w:pPr>
              <w:widowControl w:val="0"/>
              <w:spacing w:line="360" w:lineRule="auto"/>
              <w:jc w:val="both"/>
              <w:rPr>
                <w:rFonts w:ascii="Book Antiqua" w:hAnsi="Book Antiqua"/>
                <w:color w:val="202124"/>
                <w:highlight w:val="white"/>
              </w:rPr>
            </w:pPr>
            <w:r w:rsidRPr="00F67399">
              <w:rPr>
                <w:rFonts w:ascii="Book Antiqua" w:eastAsia="Book Antiqua" w:hAnsi="Book Antiqua" w:cs="Book Antiqua"/>
              </w:rPr>
              <w:t>None of the 5 treated patients had</w:t>
            </w:r>
            <w:r w:rsidR="00320211">
              <w:rPr>
                <w:rFonts w:ascii="Book Antiqua" w:eastAsia="Book Antiqua" w:hAnsi="Book Antiqua" w:cs="Book Antiqua"/>
              </w:rPr>
              <w:t xml:space="preserve"> </w:t>
            </w:r>
            <w:r w:rsidRPr="00F67399">
              <w:rPr>
                <w:rFonts w:ascii="Book Antiqua" w:eastAsia="Book Antiqua" w:hAnsi="Book Antiqua" w:cs="Book Antiqua"/>
              </w:rPr>
              <w:t>history of liver disease, visceral obesity,</w:t>
            </w:r>
            <w:r>
              <w:rPr>
                <w:rFonts w:ascii="Book Antiqua" w:hAnsi="Book Antiqua" w:cs="Book Antiqua" w:hint="eastAsia"/>
                <w:lang w:eastAsia="zh-CN"/>
              </w:rPr>
              <w:t xml:space="preserve"> </w:t>
            </w:r>
            <w:r w:rsidRPr="00F67399">
              <w:rPr>
                <w:rFonts w:ascii="Book Antiqua" w:eastAsia="Book Antiqua" w:hAnsi="Book Antiqua" w:cs="Book Antiqua"/>
              </w:rPr>
              <w:t>viral hepatitis, or prior hepatotoxic medication or alcohol</w:t>
            </w:r>
            <w:r>
              <w:rPr>
                <w:rFonts w:ascii="Book Antiqua" w:hAnsi="Book Antiqua" w:cs="Book Antiqua" w:hint="eastAsia"/>
                <w:lang w:eastAsia="zh-CN"/>
              </w:rPr>
              <w:t xml:space="preserve"> </w:t>
            </w:r>
            <w:r w:rsidRPr="00F67399">
              <w:rPr>
                <w:rFonts w:ascii="Book Antiqua" w:eastAsia="Book Antiqua" w:hAnsi="Book Antiqua" w:cs="Book Antiqua"/>
              </w:rPr>
              <w:t>intake. Liver ultrasound did not show signs of advanced</w:t>
            </w:r>
            <w:r>
              <w:rPr>
                <w:rFonts w:ascii="Book Antiqua" w:hAnsi="Book Antiqua" w:cs="Book Antiqua" w:hint="eastAsia"/>
                <w:lang w:eastAsia="zh-CN"/>
              </w:rPr>
              <w:t xml:space="preserve"> </w:t>
            </w:r>
            <w:r w:rsidRPr="00F67399">
              <w:rPr>
                <w:rFonts w:ascii="Book Antiqua" w:eastAsia="Book Antiqua" w:hAnsi="Book Antiqua" w:cs="Book Antiqua"/>
              </w:rPr>
              <w:t>liver disease. Patient 1 and 2 had history of hypertension and asthma</w:t>
            </w:r>
          </w:p>
        </w:tc>
        <w:tc>
          <w:tcPr>
            <w:tcW w:w="1773" w:type="dxa"/>
            <w:shd w:val="clear" w:color="auto" w:fill="auto"/>
          </w:tcPr>
          <w:p w14:paraId="0AD3CF59" w14:textId="77777777" w:rsidR="00112F26" w:rsidRPr="00F67399" w:rsidRDefault="00112F26" w:rsidP="00F67399">
            <w:pPr>
              <w:widowControl w:val="0"/>
              <w:spacing w:line="360" w:lineRule="auto"/>
              <w:jc w:val="both"/>
              <w:rPr>
                <w:rFonts w:ascii="Book Antiqua" w:eastAsia="Book Antiqua" w:hAnsi="Book Antiqua" w:cs="Book Antiqua"/>
              </w:rPr>
            </w:pPr>
            <w:r w:rsidRPr="00F67399">
              <w:rPr>
                <w:rFonts w:ascii="Book Antiqua" w:eastAsia="Book Antiqua" w:hAnsi="Book Antiqua" w:cs="Book Antiqua"/>
              </w:rPr>
              <w:t>Before and during RDV treatment, 4 of 5 patients also</w:t>
            </w:r>
          </w:p>
          <w:p w14:paraId="7AC62FEB" w14:textId="77777777" w:rsidR="00112F26" w:rsidRPr="00112F26" w:rsidRDefault="00112F26" w:rsidP="00112F26">
            <w:pPr>
              <w:widowControl w:val="0"/>
              <w:spacing w:line="360" w:lineRule="auto"/>
              <w:jc w:val="both"/>
              <w:rPr>
                <w:rFonts w:ascii="Book Antiqua" w:hAnsi="Book Antiqua" w:cs="Book Antiqua"/>
                <w:lang w:eastAsia="zh-CN"/>
              </w:rPr>
            </w:pPr>
            <w:r w:rsidRPr="00F67399">
              <w:rPr>
                <w:rFonts w:ascii="Book Antiqua" w:eastAsia="Book Antiqua" w:hAnsi="Book Antiqua" w:cs="Book Antiqua"/>
              </w:rPr>
              <w:t>received hydroxychloroquine patient 2</w:t>
            </w:r>
            <w:r>
              <w:rPr>
                <w:rFonts w:ascii="Book Antiqua" w:hAnsi="Book Antiqua" w:cs="Book Antiqua" w:hint="eastAsia"/>
                <w:lang w:eastAsia="zh-CN"/>
              </w:rPr>
              <w:t xml:space="preserve"> </w:t>
            </w:r>
            <w:r w:rsidRPr="00F67399">
              <w:rPr>
                <w:rFonts w:ascii="Book Antiqua" w:eastAsia="Book Antiqua" w:hAnsi="Book Antiqua" w:cs="Book Antiqua"/>
              </w:rPr>
              <w:t>and 4 received ceftazidime–avibactam plus daptomycin and</w:t>
            </w:r>
            <w:r>
              <w:rPr>
                <w:rFonts w:ascii="Book Antiqua" w:hAnsi="Book Antiqua" w:cs="Book Antiqua" w:hint="eastAsia"/>
                <w:lang w:eastAsia="zh-CN"/>
              </w:rPr>
              <w:t xml:space="preserve"> </w:t>
            </w:r>
            <w:r w:rsidRPr="00F67399">
              <w:rPr>
                <w:rFonts w:ascii="Book Antiqua" w:eastAsia="Book Antiqua" w:hAnsi="Book Antiqua" w:cs="Book Antiqua"/>
              </w:rPr>
              <w:t>patient 3 meropenem and linezolid</w:t>
            </w:r>
          </w:p>
        </w:tc>
        <w:tc>
          <w:tcPr>
            <w:tcW w:w="1584" w:type="dxa"/>
            <w:shd w:val="clear" w:color="auto" w:fill="auto"/>
          </w:tcPr>
          <w:p w14:paraId="2029391E" w14:textId="77777777" w:rsidR="00112F26" w:rsidRPr="00F67399" w:rsidRDefault="00112F26" w:rsidP="00112F26">
            <w:pPr>
              <w:widowControl w:val="0"/>
              <w:spacing w:line="360" w:lineRule="auto"/>
              <w:jc w:val="both"/>
              <w:rPr>
                <w:rFonts w:ascii="Book Antiqua" w:eastAsia="Book Antiqua" w:hAnsi="Book Antiqua" w:cs="Book Antiqua"/>
              </w:rPr>
            </w:pPr>
            <w:r w:rsidRPr="00F67399">
              <w:rPr>
                <w:rFonts w:ascii="Book Antiqua" w:eastAsia="Book Antiqua" w:hAnsi="Book Antiqua" w:cs="Book Antiqua"/>
              </w:rPr>
              <w:t>Significant increase in</w:t>
            </w:r>
            <w:r>
              <w:rPr>
                <w:rFonts w:ascii="Book Antiqua" w:hAnsi="Book Antiqua" w:cs="Book Antiqua" w:hint="eastAsia"/>
                <w:lang w:eastAsia="zh-CN"/>
              </w:rPr>
              <w:t xml:space="preserve"> </w:t>
            </w:r>
            <w:r w:rsidRPr="00F67399">
              <w:rPr>
                <w:rFonts w:ascii="Book Antiqua" w:eastAsia="Book Antiqua" w:hAnsi="Book Antiqua" w:cs="Book Antiqua"/>
              </w:rPr>
              <w:t>AST/ALT</w:t>
            </w:r>
          </w:p>
        </w:tc>
        <w:tc>
          <w:tcPr>
            <w:tcW w:w="1350" w:type="dxa"/>
            <w:shd w:val="clear" w:color="auto" w:fill="auto"/>
          </w:tcPr>
          <w:p w14:paraId="6880F95B" w14:textId="77777777" w:rsidR="00112F26" w:rsidRPr="00F67399" w:rsidRDefault="00112F26" w:rsidP="00F67399">
            <w:pPr>
              <w:widowControl w:val="0"/>
              <w:spacing w:line="360" w:lineRule="auto"/>
              <w:jc w:val="both"/>
              <w:rPr>
                <w:rFonts w:ascii="Book Antiqua" w:eastAsia="Book Antiqua" w:hAnsi="Book Antiqua" w:cs="Book Antiqua"/>
              </w:rPr>
            </w:pPr>
            <w:r w:rsidRPr="00F67399">
              <w:rPr>
                <w:rFonts w:ascii="Book Antiqua" w:eastAsia="Book Antiqua" w:hAnsi="Book Antiqua" w:cs="Book Antiqua"/>
              </w:rPr>
              <w:t>Adverse effect neither progressed to severe liver damage</w:t>
            </w:r>
          </w:p>
          <w:p w14:paraId="36EB0082" w14:textId="77777777" w:rsidR="00112F26" w:rsidRPr="00112F26" w:rsidRDefault="00112F26" w:rsidP="00112F26">
            <w:pPr>
              <w:widowControl w:val="0"/>
              <w:spacing w:line="360" w:lineRule="auto"/>
              <w:jc w:val="both"/>
              <w:rPr>
                <w:rFonts w:ascii="Book Antiqua" w:hAnsi="Book Antiqua" w:cs="Book Antiqua"/>
                <w:lang w:eastAsia="zh-CN"/>
              </w:rPr>
            </w:pPr>
            <w:r w:rsidRPr="00F67399">
              <w:rPr>
                <w:rFonts w:ascii="Book Antiqua" w:eastAsia="Book Antiqua" w:hAnsi="Book Antiqua" w:cs="Book Antiqua"/>
              </w:rPr>
              <w:t>nor induced liver failure. In no cases, RDV</w:t>
            </w:r>
            <w:r>
              <w:rPr>
                <w:rFonts w:ascii="Book Antiqua" w:hAnsi="Book Antiqua" w:cs="Book Antiqua" w:hint="eastAsia"/>
                <w:lang w:eastAsia="zh-CN"/>
              </w:rPr>
              <w:t xml:space="preserve"> </w:t>
            </w:r>
            <w:r w:rsidRPr="00F67399">
              <w:rPr>
                <w:rFonts w:ascii="Book Antiqua" w:eastAsia="Book Antiqua" w:hAnsi="Book Antiqua" w:cs="Book Antiqua"/>
              </w:rPr>
              <w:t>was discontinued because of liver injury</w:t>
            </w:r>
          </w:p>
        </w:tc>
      </w:tr>
      <w:tr w:rsidR="00112F26" w:rsidRPr="00F67399" w14:paraId="5645C2AF" w14:textId="77777777" w:rsidTr="0074462B">
        <w:tc>
          <w:tcPr>
            <w:tcW w:w="1515" w:type="dxa"/>
            <w:shd w:val="clear" w:color="auto" w:fill="auto"/>
          </w:tcPr>
          <w:p w14:paraId="611FF123" w14:textId="77777777" w:rsidR="00112F26" w:rsidRPr="00F67399" w:rsidRDefault="00112F26" w:rsidP="00112F26">
            <w:pPr>
              <w:widowControl w:val="0"/>
              <w:spacing w:line="360" w:lineRule="auto"/>
              <w:jc w:val="both"/>
              <w:rPr>
                <w:rFonts w:ascii="Book Antiqua" w:eastAsia="Book Antiqua" w:hAnsi="Book Antiqua" w:cs="Book Antiqua"/>
                <w:color w:val="202124"/>
              </w:rPr>
            </w:pPr>
            <w:r w:rsidRPr="00F67399">
              <w:rPr>
                <w:rFonts w:ascii="Book Antiqua" w:eastAsia="Book Antiqua" w:hAnsi="Book Antiqua" w:cs="Book Antiqua"/>
                <w:color w:val="202124"/>
              </w:rPr>
              <w:t>Durante-</w:t>
            </w:r>
            <w:proofErr w:type="spellStart"/>
            <w:r w:rsidRPr="00F67399">
              <w:rPr>
                <w:rFonts w:ascii="Book Antiqua" w:eastAsia="Book Antiqua" w:hAnsi="Book Antiqua" w:cs="Book Antiqua"/>
                <w:color w:val="202124"/>
              </w:rPr>
              <w:t>Mangoni</w:t>
            </w:r>
            <w:proofErr w:type="spellEnd"/>
            <w:r w:rsidRPr="00F67399">
              <w:rPr>
                <w:rFonts w:ascii="Book Antiqua" w:eastAsia="Book Antiqua" w:hAnsi="Book Antiqua" w:cs="Book Antiqua"/>
                <w:color w:val="202124"/>
              </w:rPr>
              <w:t xml:space="preserve"> </w:t>
            </w:r>
            <w:r w:rsidRPr="00F67399">
              <w:rPr>
                <w:rFonts w:ascii="Book Antiqua" w:hAnsi="Book Antiqua" w:cs="Book Antiqua" w:hint="eastAsia"/>
                <w:i/>
                <w:color w:val="202124"/>
                <w:highlight w:val="white"/>
                <w:lang w:eastAsia="zh-CN"/>
              </w:rPr>
              <w:t>et al</w:t>
            </w:r>
            <w:r w:rsidRPr="00F67399">
              <w:rPr>
                <w:rFonts w:ascii="Book Antiqua" w:eastAsia="Book Antiqua" w:hAnsi="Book Antiqua" w:cs="Book Antiqua"/>
                <w:color w:val="202124"/>
                <w:vertAlign w:val="superscript"/>
              </w:rPr>
              <w:t>[25]</w:t>
            </w:r>
          </w:p>
        </w:tc>
        <w:tc>
          <w:tcPr>
            <w:tcW w:w="1677" w:type="dxa"/>
          </w:tcPr>
          <w:p w14:paraId="2172BCA2" w14:textId="77777777" w:rsidR="00112F26" w:rsidRPr="00F67399" w:rsidRDefault="00112F26" w:rsidP="00112F26">
            <w:pPr>
              <w:widowControl w:val="0"/>
              <w:spacing w:line="360" w:lineRule="auto"/>
              <w:jc w:val="both"/>
              <w:rPr>
                <w:rFonts w:ascii="Book Antiqua" w:eastAsia="Book Antiqua" w:hAnsi="Book Antiqua" w:cs="Book Antiqua"/>
                <w:color w:val="202124"/>
              </w:rPr>
            </w:pPr>
            <w:r w:rsidRPr="00F67399">
              <w:rPr>
                <w:rFonts w:ascii="Book Antiqua" w:eastAsia="Book Antiqua" w:hAnsi="Book Antiqua" w:cs="Book Antiqua"/>
                <w:color w:val="202124"/>
                <w:highlight w:val="white"/>
              </w:rPr>
              <w:t>Case series</w:t>
            </w:r>
            <w:r>
              <w:rPr>
                <w:rFonts w:ascii="Book Antiqua" w:hAnsi="Book Antiqua" w:cs="Book Antiqua" w:hint="eastAsia"/>
                <w:color w:val="202124"/>
                <w:lang w:eastAsia="zh-CN"/>
              </w:rPr>
              <w:t xml:space="preserve">; </w:t>
            </w:r>
            <w:r w:rsidRPr="00F67399">
              <w:rPr>
                <w:rFonts w:ascii="Book Antiqua" w:eastAsia="Book Antiqua" w:hAnsi="Book Antiqua" w:cs="Book Antiqua"/>
                <w:color w:val="202124"/>
                <w:highlight w:val="white"/>
              </w:rPr>
              <w:t>Naples, Italy</w:t>
            </w:r>
          </w:p>
        </w:tc>
        <w:tc>
          <w:tcPr>
            <w:tcW w:w="1677" w:type="dxa"/>
            <w:shd w:val="clear" w:color="auto" w:fill="auto"/>
          </w:tcPr>
          <w:p w14:paraId="49BB626D" w14:textId="77777777" w:rsidR="00112F26" w:rsidRPr="00112F26" w:rsidRDefault="00112F26" w:rsidP="00F67399">
            <w:pPr>
              <w:widowControl w:val="0"/>
              <w:spacing w:line="360" w:lineRule="auto"/>
              <w:jc w:val="both"/>
              <w:rPr>
                <w:rFonts w:ascii="Book Antiqua" w:hAnsi="Book Antiqua" w:cs="Book Antiqua"/>
                <w:color w:val="202124"/>
                <w:highlight w:val="white"/>
                <w:lang w:eastAsia="zh-CN"/>
              </w:rPr>
            </w:pPr>
            <w:r w:rsidRPr="00F67399">
              <w:rPr>
                <w:rFonts w:ascii="Book Antiqua" w:eastAsia="Book Antiqua" w:hAnsi="Book Antiqua" w:cs="Book Antiqua"/>
                <w:color w:val="202124"/>
                <w:highlight w:val="white"/>
              </w:rPr>
              <w:t>Four patients</w:t>
            </w:r>
          </w:p>
        </w:tc>
        <w:tc>
          <w:tcPr>
            <w:tcW w:w="1773" w:type="dxa"/>
            <w:shd w:val="clear" w:color="auto" w:fill="auto"/>
          </w:tcPr>
          <w:p w14:paraId="34BBC5B1" w14:textId="77777777" w:rsidR="00112F26" w:rsidRPr="00F67399" w:rsidRDefault="00112F26" w:rsidP="00F67399">
            <w:pPr>
              <w:widowControl w:val="0"/>
              <w:spacing w:line="360" w:lineRule="auto"/>
              <w:jc w:val="both"/>
              <w:rPr>
                <w:rFonts w:ascii="Book Antiqua" w:eastAsia="Book Antiqua" w:hAnsi="Book Antiqua" w:cs="Book Antiqua"/>
              </w:rPr>
            </w:pPr>
            <w:r w:rsidRPr="00F67399">
              <w:rPr>
                <w:rFonts w:ascii="Book Antiqua" w:eastAsia="Book Antiqua" w:hAnsi="Book Antiqua" w:cs="Book Antiqua"/>
              </w:rPr>
              <w:t>All patients had been previously treated with LPV/r or darunavir/cobicistat (DRV/c) and also received hydroxychloroquine</w:t>
            </w:r>
          </w:p>
        </w:tc>
        <w:tc>
          <w:tcPr>
            <w:tcW w:w="1584" w:type="dxa"/>
            <w:shd w:val="clear" w:color="auto" w:fill="auto"/>
          </w:tcPr>
          <w:p w14:paraId="229BE5D4" w14:textId="77777777" w:rsidR="00112F26" w:rsidRPr="00F67399" w:rsidRDefault="00112F26" w:rsidP="00112F26">
            <w:pPr>
              <w:widowControl w:val="0"/>
              <w:spacing w:line="360" w:lineRule="auto"/>
              <w:jc w:val="both"/>
              <w:rPr>
                <w:rFonts w:ascii="Book Antiqua" w:eastAsia="Book Antiqua" w:hAnsi="Book Antiqua" w:cs="Book Antiqua"/>
              </w:rPr>
            </w:pPr>
            <w:r w:rsidRPr="00F67399">
              <w:rPr>
                <w:rFonts w:ascii="Book Antiqua" w:eastAsia="Book Antiqua" w:hAnsi="Book Antiqua" w:cs="Book Antiqua"/>
              </w:rPr>
              <w:t>3 patients</w:t>
            </w:r>
            <w:r>
              <w:rPr>
                <w:rFonts w:ascii="Book Antiqua" w:hAnsi="Book Antiqua" w:cs="Book Antiqua" w:hint="eastAsia"/>
                <w:lang w:eastAsia="zh-CN"/>
              </w:rPr>
              <w:t xml:space="preserve"> </w:t>
            </w:r>
            <w:r w:rsidRPr="00F67399">
              <w:rPr>
                <w:rFonts w:ascii="Book Antiqua" w:eastAsia="Book Antiqua" w:hAnsi="Book Antiqua" w:cs="Book Antiqua"/>
              </w:rPr>
              <w:t>experienced ALT and AST increase (5 times to</w:t>
            </w:r>
            <w:r>
              <w:rPr>
                <w:rFonts w:ascii="Book Antiqua" w:hAnsi="Book Antiqua" w:cs="Book Antiqua" w:hint="eastAsia"/>
                <w:lang w:eastAsia="zh-CN"/>
              </w:rPr>
              <w:t xml:space="preserve"> </w:t>
            </w:r>
            <w:r w:rsidRPr="00F67399">
              <w:rPr>
                <w:rFonts w:ascii="Book Antiqua" w:eastAsia="Book Antiqua" w:hAnsi="Book Antiqua" w:cs="Book Antiqua"/>
              </w:rPr>
              <w:t>8 times the upper normal limit)</w:t>
            </w:r>
          </w:p>
        </w:tc>
        <w:tc>
          <w:tcPr>
            <w:tcW w:w="1350" w:type="dxa"/>
            <w:shd w:val="clear" w:color="auto" w:fill="auto"/>
          </w:tcPr>
          <w:p w14:paraId="51CCB747" w14:textId="77777777" w:rsidR="00112F26" w:rsidRPr="00F67399" w:rsidRDefault="00112F26" w:rsidP="00F67399">
            <w:pPr>
              <w:widowControl w:val="0"/>
              <w:spacing w:line="360" w:lineRule="auto"/>
              <w:jc w:val="both"/>
              <w:rPr>
                <w:rFonts w:ascii="Book Antiqua" w:eastAsia="Book Antiqua" w:hAnsi="Book Antiqua" w:cs="Book Antiqua"/>
              </w:rPr>
            </w:pPr>
            <w:r w:rsidRPr="00F67399">
              <w:rPr>
                <w:rFonts w:ascii="Book Antiqua" w:eastAsia="Book Antiqua" w:hAnsi="Book Antiqua" w:cs="Book Antiqua"/>
              </w:rPr>
              <w:t>RDV was prematurely discontinued in patient 1 because</w:t>
            </w:r>
          </w:p>
          <w:p w14:paraId="35A000A6" w14:textId="77777777" w:rsidR="00112F26" w:rsidRPr="00112F26" w:rsidRDefault="00112F26" w:rsidP="00F67399">
            <w:pPr>
              <w:widowControl w:val="0"/>
              <w:spacing w:line="360" w:lineRule="auto"/>
              <w:jc w:val="both"/>
              <w:rPr>
                <w:rFonts w:ascii="Book Antiqua" w:hAnsi="Book Antiqua"/>
                <w:lang w:eastAsia="zh-CN"/>
              </w:rPr>
            </w:pPr>
            <w:r w:rsidRPr="00F67399">
              <w:rPr>
                <w:rFonts w:ascii="Book Antiqua" w:eastAsia="Book Antiqua" w:hAnsi="Book Antiqua" w:cs="Book Antiqua"/>
              </w:rPr>
              <w:t xml:space="preserve">of a </w:t>
            </w:r>
            <w:r w:rsidRPr="00F67399">
              <w:rPr>
                <w:rFonts w:ascii="Book Antiqua" w:eastAsia="Book Antiqua" w:hAnsi="Book Antiqua" w:cs="Book Antiqua"/>
                <w:i/>
              </w:rPr>
              <w:t xml:space="preserve">torsade de pointes </w:t>
            </w:r>
            <w:r w:rsidRPr="00F67399">
              <w:rPr>
                <w:rFonts w:ascii="Book Antiqua" w:eastAsia="Book Antiqua" w:hAnsi="Book Antiqua" w:cs="Book Antiqua"/>
              </w:rPr>
              <w:t>requiring cardiac resuscitation and in patient 3 because of death due to multiple organ failure.</w:t>
            </w:r>
            <w:r>
              <w:rPr>
                <w:rFonts w:ascii="Book Antiqua" w:hAnsi="Book Antiqua" w:cs="Book Antiqua" w:hint="eastAsia"/>
                <w:lang w:eastAsia="zh-CN"/>
              </w:rPr>
              <w:t xml:space="preserve"> </w:t>
            </w:r>
            <w:r w:rsidRPr="00F67399">
              <w:rPr>
                <w:rFonts w:ascii="Book Antiqua" w:eastAsia="Book Antiqua" w:hAnsi="Book Antiqua" w:cs="Book Antiqua"/>
              </w:rPr>
              <w:t>The study suggests a significant burden of adverse events</w:t>
            </w:r>
          </w:p>
        </w:tc>
      </w:tr>
      <w:tr w:rsidR="00112F26" w:rsidRPr="00F67399" w14:paraId="5E94DEAC" w14:textId="77777777" w:rsidTr="0074462B">
        <w:tc>
          <w:tcPr>
            <w:tcW w:w="1515" w:type="dxa"/>
            <w:shd w:val="clear" w:color="auto" w:fill="auto"/>
          </w:tcPr>
          <w:p w14:paraId="4D4AA05F" w14:textId="77777777" w:rsidR="00112F26" w:rsidRPr="00F67399" w:rsidRDefault="00112F26" w:rsidP="00112F26">
            <w:pPr>
              <w:widowControl w:val="0"/>
              <w:spacing w:line="360" w:lineRule="auto"/>
              <w:jc w:val="both"/>
              <w:rPr>
                <w:rFonts w:ascii="Book Antiqua" w:eastAsia="Book Antiqua" w:hAnsi="Book Antiqua" w:cs="Book Antiqua"/>
                <w:color w:val="202124"/>
                <w:highlight w:val="white"/>
              </w:rPr>
            </w:pPr>
            <w:proofErr w:type="spellStart"/>
            <w:r w:rsidRPr="00F67399">
              <w:rPr>
                <w:rFonts w:ascii="Book Antiqua" w:eastAsia="Book Antiqua" w:hAnsi="Book Antiqua" w:cs="Book Antiqua"/>
                <w:color w:val="202124"/>
              </w:rPr>
              <w:t>Montastruc</w:t>
            </w:r>
            <w:proofErr w:type="spellEnd"/>
            <w:r w:rsidRPr="00F67399">
              <w:rPr>
                <w:rFonts w:ascii="Book Antiqua" w:eastAsia="Book Antiqua" w:hAnsi="Book Antiqua" w:cs="Book Antiqua"/>
                <w:color w:val="202124"/>
              </w:rPr>
              <w:t xml:space="preserve"> </w:t>
            </w:r>
            <w:r w:rsidRPr="00F67399">
              <w:rPr>
                <w:rFonts w:ascii="Book Antiqua" w:hAnsi="Book Antiqua" w:cs="Book Antiqua" w:hint="eastAsia"/>
                <w:i/>
                <w:color w:val="202124"/>
                <w:highlight w:val="white"/>
                <w:lang w:eastAsia="zh-CN"/>
              </w:rPr>
              <w:t>et al</w:t>
            </w:r>
            <w:r w:rsidRPr="00F67399">
              <w:rPr>
                <w:rFonts w:ascii="Book Antiqua" w:eastAsia="Book Antiqua" w:hAnsi="Book Antiqua" w:cs="Book Antiqua"/>
                <w:color w:val="202124"/>
                <w:vertAlign w:val="superscript"/>
              </w:rPr>
              <w:t>[26]</w:t>
            </w:r>
          </w:p>
        </w:tc>
        <w:tc>
          <w:tcPr>
            <w:tcW w:w="1677" w:type="dxa"/>
          </w:tcPr>
          <w:p w14:paraId="42F72C76" w14:textId="77777777" w:rsidR="00112F26" w:rsidRPr="00F67399" w:rsidRDefault="00112F26" w:rsidP="00112F26">
            <w:pPr>
              <w:widowControl w:val="0"/>
              <w:spacing w:line="360" w:lineRule="auto"/>
              <w:jc w:val="both"/>
              <w:rPr>
                <w:rFonts w:ascii="Book Antiqua" w:eastAsia="Book Antiqua" w:hAnsi="Book Antiqua" w:cs="Book Antiqua"/>
                <w:color w:val="202124"/>
                <w:highlight w:val="white"/>
              </w:rPr>
            </w:pPr>
            <w:r w:rsidRPr="00F67399">
              <w:rPr>
                <w:rFonts w:ascii="Book Antiqua" w:eastAsia="Book Antiqua" w:hAnsi="Book Antiqua" w:cs="Book Antiqua"/>
                <w:color w:val="202124"/>
                <w:highlight w:val="white"/>
              </w:rPr>
              <w:t>Cross-sectional study</w:t>
            </w:r>
            <w:r>
              <w:rPr>
                <w:rFonts w:ascii="Book Antiqua" w:hAnsi="Book Antiqua" w:cs="Book Antiqua" w:hint="eastAsia"/>
                <w:color w:val="202124"/>
                <w:highlight w:val="white"/>
                <w:lang w:eastAsia="zh-CN"/>
              </w:rPr>
              <w:t xml:space="preserve">; </w:t>
            </w:r>
            <w:r w:rsidRPr="00F67399">
              <w:rPr>
                <w:rFonts w:ascii="Book Antiqua" w:eastAsia="Book Antiqua" w:hAnsi="Book Antiqua" w:cs="Book Antiqua"/>
                <w:color w:val="202124"/>
                <w:highlight w:val="white"/>
              </w:rPr>
              <w:t>U</w:t>
            </w:r>
            <w:r>
              <w:rPr>
                <w:rFonts w:ascii="Book Antiqua" w:hAnsi="Book Antiqua" w:cs="Book Antiqua" w:hint="eastAsia"/>
                <w:color w:val="202124"/>
                <w:highlight w:val="white"/>
                <w:lang w:eastAsia="zh-CN"/>
              </w:rPr>
              <w:t xml:space="preserve">nited States, </w:t>
            </w:r>
            <w:r w:rsidRPr="00F67399">
              <w:rPr>
                <w:rFonts w:ascii="Book Antiqua" w:eastAsia="Book Antiqua" w:hAnsi="Book Antiqua" w:cs="Book Antiqua"/>
                <w:color w:val="202124"/>
                <w:highlight w:val="white"/>
              </w:rPr>
              <w:t>Europe</w:t>
            </w:r>
          </w:p>
        </w:tc>
        <w:tc>
          <w:tcPr>
            <w:tcW w:w="1677" w:type="dxa"/>
            <w:shd w:val="clear" w:color="auto" w:fill="auto"/>
          </w:tcPr>
          <w:p w14:paraId="1F717D71" w14:textId="77777777" w:rsidR="00112F26" w:rsidRPr="00112F26" w:rsidRDefault="00112F26" w:rsidP="00112F26">
            <w:pPr>
              <w:widowControl w:val="0"/>
              <w:spacing w:line="360" w:lineRule="auto"/>
              <w:jc w:val="both"/>
              <w:rPr>
                <w:rFonts w:ascii="Book Antiqua" w:hAnsi="Book Antiqua" w:cs="Book Antiqua"/>
                <w:color w:val="202124"/>
                <w:highlight w:val="white"/>
                <w:lang w:eastAsia="zh-CN"/>
              </w:rPr>
            </w:pPr>
            <w:r w:rsidRPr="00F67399">
              <w:rPr>
                <w:rFonts w:ascii="Book Antiqua" w:eastAsia="Book Antiqua" w:hAnsi="Book Antiqua" w:cs="Book Antiqua"/>
                <w:color w:val="202124"/>
                <w:highlight w:val="white"/>
              </w:rPr>
              <w:t xml:space="preserve">387 reports with RDV side effects in </w:t>
            </w:r>
            <w:proofErr w:type="spellStart"/>
            <w:r w:rsidRPr="00F67399">
              <w:rPr>
                <w:rFonts w:ascii="Book Antiqua" w:eastAsia="Book Antiqua" w:hAnsi="Book Antiqua" w:cs="Book Antiqua"/>
                <w:color w:val="202124"/>
                <w:highlight w:val="white"/>
              </w:rPr>
              <w:t>VigiBase</w:t>
            </w:r>
            <w:proofErr w:type="spellEnd"/>
            <w:r w:rsidRPr="00F67399">
              <w:rPr>
                <w:rFonts w:ascii="Book Antiqua" w:eastAsia="Book Antiqua" w:hAnsi="Book Antiqua" w:cs="Book Antiqua"/>
                <w:color w:val="202124"/>
                <w:highlight w:val="white"/>
              </w:rPr>
              <w:t>; 130 hepatic adverse effects, 87 from the U</w:t>
            </w:r>
            <w:r>
              <w:rPr>
                <w:rFonts w:ascii="Book Antiqua" w:hAnsi="Book Antiqua" w:cs="Book Antiqua" w:hint="eastAsia"/>
                <w:color w:val="202124"/>
                <w:highlight w:val="white"/>
                <w:lang w:eastAsia="zh-CN"/>
              </w:rPr>
              <w:t>nited States</w:t>
            </w:r>
            <w:r w:rsidRPr="00F67399">
              <w:rPr>
                <w:rFonts w:ascii="Book Antiqua" w:eastAsia="Book Antiqua" w:hAnsi="Book Antiqua" w:cs="Book Antiqua"/>
                <w:color w:val="202124"/>
                <w:highlight w:val="white"/>
              </w:rPr>
              <w:t xml:space="preserve">; 43 from Europe; mostly men (81, 62%), mean age of 54.9 </w:t>
            </w:r>
            <w:proofErr w:type="spellStart"/>
            <w:r w:rsidRPr="00F67399">
              <w:rPr>
                <w:rFonts w:ascii="Book Antiqua" w:eastAsia="Book Antiqua" w:hAnsi="Book Antiqua" w:cs="Book Antiqua"/>
                <w:color w:val="202124"/>
                <w:highlight w:val="white"/>
              </w:rPr>
              <w:t>y</w:t>
            </w:r>
            <w:r>
              <w:rPr>
                <w:rFonts w:ascii="Book Antiqua" w:hAnsi="Book Antiqua" w:cs="Book Antiqua" w:hint="eastAsia"/>
                <w:color w:val="202124"/>
                <w:highlight w:val="white"/>
                <w:lang w:eastAsia="zh-CN"/>
              </w:rPr>
              <w:t>r</w:t>
            </w:r>
            <w:proofErr w:type="spellEnd"/>
          </w:p>
        </w:tc>
        <w:tc>
          <w:tcPr>
            <w:tcW w:w="1773" w:type="dxa"/>
            <w:shd w:val="clear" w:color="auto" w:fill="auto"/>
          </w:tcPr>
          <w:p w14:paraId="5FE611F8" w14:textId="77777777" w:rsidR="00112F26" w:rsidRPr="00F67399" w:rsidRDefault="00112F26" w:rsidP="00F67399">
            <w:pPr>
              <w:widowControl w:val="0"/>
              <w:spacing w:line="360" w:lineRule="auto"/>
              <w:jc w:val="both"/>
              <w:rPr>
                <w:rFonts w:ascii="Book Antiqua" w:eastAsia="Book Antiqua" w:hAnsi="Book Antiqua" w:cs="Book Antiqua"/>
                <w:color w:val="202124"/>
                <w:highlight w:val="white"/>
              </w:rPr>
            </w:pPr>
            <w:r w:rsidRPr="00F67399">
              <w:rPr>
                <w:rFonts w:ascii="Book Antiqua" w:eastAsia="Book Antiqua" w:hAnsi="Book Antiqua" w:cs="Book Antiqua"/>
                <w:color w:val="202124"/>
                <w:highlight w:val="white"/>
              </w:rPr>
              <w:t>In the majority of cases (122, 94%), RDV was the sole suspected drug</w:t>
            </w:r>
          </w:p>
        </w:tc>
        <w:tc>
          <w:tcPr>
            <w:tcW w:w="1584" w:type="dxa"/>
            <w:shd w:val="clear" w:color="auto" w:fill="auto"/>
          </w:tcPr>
          <w:p w14:paraId="184C4098" w14:textId="77777777" w:rsidR="00112F26" w:rsidRPr="00F67399" w:rsidRDefault="00112F26" w:rsidP="00F67399">
            <w:pPr>
              <w:widowControl w:val="0"/>
              <w:spacing w:line="360" w:lineRule="auto"/>
              <w:jc w:val="both"/>
              <w:rPr>
                <w:rFonts w:ascii="Book Antiqua" w:eastAsia="Book Antiqua" w:hAnsi="Book Antiqua" w:cs="Book Antiqua"/>
                <w:color w:val="202124"/>
                <w:highlight w:val="white"/>
              </w:rPr>
            </w:pPr>
            <w:r w:rsidRPr="00F67399">
              <w:rPr>
                <w:rFonts w:ascii="Book Antiqua" w:eastAsia="Book Antiqua" w:hAnsi="Book Antiqua" w:cs="Book Antiqua"/>
                <w:color w:val="202124"/>
                <w:highlight w:val="white"/>
              </w:rPr>
              <w:t>Increased hepatic enzymes (114, 88%), involving AST and ALT in 79 cases (61%) and bilirubin in 4 cases (3%). Other cases were reported as hepatic failure or hepatitis</w:t>
            </w:r>
          </w:p>
        </w:tc>
        <w:tc>
          <w:tcPr>
            <w:tcW w:w="1350" w:type="dxa"/>
            <w:shd w:val="clear" w:color="auto" w:fill="auto"/>
          </w:tcPr>
          <w:p w14:paraId="4056D778" w14:textId="77777777" w:rsidR="00112F26" w:rsidRPr="00F67399" w:rsidRDefault="00112F26" w:rsidP="00F67399">
            <w:pPr>
              <w:widowControl w:val="0"/>
              <w:spacing w:line="360" w:lineRule="auto"/>
              <w:jc w:val="both"/>
              <w:rPr>
                <w:rFonts w:ascii="Book Antiqua" w:eastAsia="Book Antiqua" w:hAnsi="Book Antiqua" w:cs="Book Antiqua"/>
                <w:color w:val="202124"/>
                <w:highlight w:val="white"/>
              </w:rPr>
            </w:pPr>
            <w:r w:rsidRPr="00F67399">
              <w:rPr>
                <w:rFonts w:ascii="Book Antiqua" w:eastAsia="Book Antiqua" w:hAnsi="Book Antiqua" w:cs="Book Antiqua"/>
                <w:color w:val="202124"/>
                <w:highlight w:val="white"/>
              </w:rPr>
              <w:t>Most cases were serious (94, 72%), resulting in hospitalization or prolongation of hospital stay. The use of RDV was associated with an increased risk of reporting hepatic disorders</w:t>
            </w:r>
          </w:p>
        </w:tc>
      </w:tr>
      <w:tr w:rsidR="00112F26" w:rsidRPr="00F67399" w14:paraId="135710BD" w14:textId="77777777" w:rsidTr="0074462B">
        <w:tc>
          <w:tcPr>
            <w:tcW w:w="1515" w:type="dxa"/>
            <w:shd w:val="clear" w:color="auto" w:fill="auto"/>
          </w:tcPr>
          <w:p w14:paraId="102F62A6" w14:textId="77777777" w:rsidR="00112F26" w:rsidRPr="00112F26" w:rsidRDefault="00112F26" w:rsidP="00112F26">
            <w:pPr>
              <w:widowControl w:val="0"/>
              <w:spacing w:line="360" w:lineRule="auto"/>
              <w:jc w:val="both"/>
              <w:rPr>
                <w:rFonts w:ascii="Book Antiqua" w:hAnsi="Book Antiqua" w:cs="Book Antiqua"/>
                <w:color w:val="202124"/>
                <w:lang w:eastAsia="zh-CN"/>
              </w:rPr>
            </w:pPr>
            <w:r w:rsidRPr="00F67399">
              <w:rPr>
                <w:rFonts w:ascii="Book Antiqua" w:eastAsia="Book Antiqua" w:hAnsi="Book Antiqua" w:cs="Book Antiqua"/>
                <w:color w:val="202124"/>
              </w:rPr>
              <w:t>Yamazaki</w:t>
            </w:r>
            <w:r w:rsidRPr="00F67399">
              <w:rPr>
                <w:rFonts w:ascii="Book Antiqua" w:hAnsi="Book Antiqua" w:cs="Book Antiqua" w:hint="eastAsia"/>
                <w:i/>
                <w:color w:val="202124"/>
                <w:highlight w:val="white"/>
                <w:lang w:eastAsia="zh-CN"/>
              </w:rPr>
              <w:t xml:space="preserve"> et al</w:t>
            </w:r>
            <w:r w:rsidRPr="00F67399">
              <w:rPr>
                <w:rFonts w:ascii="Book Antiqua" w:eastAsia="Book Antiqua" w:hAnsi="Book Antiqua" w:cs="Book Antiqua"/>
                <w:color w:val="202124"/>
                <w:vertAlign w:val="superscript"/>
              </w:rPr>
              <w:t>[27]</w:t>
            </w:r>
          </w:p>
        </w:tc>
        <w:tc>
          <w:tcPr>
            <w:tcW w:w="1677" w:type="dxa"/>
          </w:tcPr>
          <w:p w14:paraId="04E83EF1" w14:textId="77777777" w:rsidR="00112F26" w:rsidRPr="00112F26" w:rsidRDefault="00112F26" w:rsidP="00112F26">
            <w:pPr>
              <w:widowControl w:val="0"/>
              <w:spacing w:line="360" w:lineRule="auto"/>
              <w:jc w:val="both"/>
              <w:rPr>
                <w:rFonts w:ascii="Book Antiqua" w:hAnsi="Book Antiqua" w:cs="Book Antiqua"/>
                <w:color w:val="202124"/>
                <w:lang w:eastAsia="zh-CN"/>
              </w:rPr>
            </w:pPr>
            <w:r w:rsidRPr="00F67399">
              <w:rPr>
                <w:rFonts w:ascii="Book Antiqua" w:eastAsia="Book Antiqua" w:hAnsi="Book Antiqua" w:cs="Book Antiqua"/>
                <w:color w:val="202124"/>
              </w:rPr>
              <w:t>Case reported</w:t>
            </w:r>
            <w:r>
              <w:rPr>
                <w:rFonts w:ascii="Book Antiqua" w:hAnsi="Book Antiqua" w:cs="Book Antiqua" w:hint="eastAsia"/>
                <w:color w:val="202124"/>
                <w:lang w:eastAsia="zh-CN"/>
              </w:rPr>
              <w:t xml:space="preserve">; </w:t>
            </w:r>
            <w:r w:rsidRPr="00F67399">
              <w:rPr>
                <w:rFonts w:ascii="Book Antiqua" w:eastAsia="Book Antiqua" w:hAnsi="Book Antiqua" w:cs="Book Antiqua"/>
                <w:color w:val="202124"/>
              </w:rPr>
              <w:t>Japan</w:t>
            </w:r>
          </w:p>
        </w:tc>
        <w:tc>
          <w:tcPr>
            <w:tcW w:w="1677" w:type="dxa"/>
            <w:shd w:val="clear" w:color="auto" w:fill="auto"/>
          </w:tcPr>
          <w:p w14:paraId="5CC365B6" w14:textId="77777777" w:rsidR="00112F26" w:rsidRPr="00F67399" w:rsidRDefault="00112F26" w:rsidP="00112F26">
            <w:pPr>
              <w:widowControl w:val="0"/>
              <w:spacing w:line="360" w:lineRule="auto"/>
              <w:jc w:val="both"/>
              <w:rPr>
                <w:rFonts w:ascii="Book Antiqua" w:eastAsia="Book Antiqua" w:hAnsi="Book Antiqua" w:cs="Book Antiqua"/>
                <w:color w:val="202124"/>
                <w:highlight w:val="white"/>
              </w:rPr>
            </w:pPr>
            <w:r w:rsidRPr="00F67399">
              <w:rPr>
                <w:rFonts w:ascii="Book Antiqua" w:eastAsia="Book Antiqua" w:hAnsi="Book Antiqua" w:cs="Book Antiqua"/>
                <w:highlight w:val="white"/>
              </w:rPr>
              <w:t>73-yr-old man</w:t>
            </w:r>
            <w:r>
              <w:rPr>
                <w:rFonts w:ascii="Book Antiqua" w:hAnsi="Book Antiqua" w:cs="Book Antiqua" w:hint="eastAsia"/>
                <w:highlight w:val="white"/>
                <w:lang w:eastAsia="zh-CN"/>
              </w:rPr>
              <w:t xml:space="preserve">. </w:t>
            </w:r>
            <w:r w:rsidRPr="00F67399">
              <w:rPr>
                <w:rFonts w:ascii="Book Antiqua" w:eastAsia="Book Antiqua" w:hAnsi="Book Antiqua" w:cs="Book Antiqua"/>
                <w:highlight w:val="white"/>
              </w:rPr>
              <w:t>History of hypertension, hyperlipidemia, gastric ulcer, benign prostatic hyperplasia, and alcoholic hepatitis</w:t>
            </w:r>
          </w:p>
        </w:tc>
        <w:tc>
          <w:tcPr>
            <w:tcW w:w="1773" w:type="dxa"/>
            <w:shd w:val="clear" w:color="auto" w:fill="auto"/>
          </w:tcPr>
          <w:p w14:paraId="4F21DFDE" w14:textId="77777777" w:rsidR="00112F26" w:rsidRPr="00F67399" w:rsidRDefault="00112F26" w:rsidP="00112F26">
            <w:pPr>
              <w:widowControl w:val="0"/>
              <w:spacing w:line="360" w:lineRule="auto"/>
              <w:jc w:val="both"/>
              <w:rPr>
                <w:rFonts w:ascii="Book Antiqua" w:eastAsia="Book Antiqua" w:hAnsi="Book Antiqua" w:cs="Book Antiqua"/>
                <w:color w:val="202124"/>
                <w:highlight w:val="white"/>
              </w:rPr>
            </w:pPr>
            <w:r w:rsidRPr="00F67399">
              <w:rPr>
                <w:rFonts w:ascii="Book Antiqua" w:eastAsia="Book Antiqua" w:hAnsi="Book Antiqua" w:cs="Book Antiqua"/>
                <w:highlight w:val="white"/>
              </w:rPr>
              <w:t>Favipiravir was the suspected drug. Dosage was 6000 mg on day 1 and 2400 mg/d from day 2 onward, for a total of 14 d</w:t>
            </w:r>
            <w:r>
              <w:rPr>
                <w:rFonts w:ascii="Book Antiqua" w:hAnsi="Book Antiqua" w:cs="Book Antiqua" w:hint="eastAsia"/>
                <w:highlight w:val="white"/>
                <w:lang w:eastAsia="zh-CN"/>
              </w:rPr>
              <w:t xml:space="preserve">. </w:t>
            </w:r>
            <w:r w:rsidRPr="00F67399">
              <w:rPr>
                <w:rFonts w:ascii="Book Antiqua" w:eastAsia="Book Antiqua" w:hAnsi="Book Antiqua" w:cs="Book Antiqua"/>
                <w:highlight w:val="white"/>
              </w:rPr>
              <w:t>Patient was using previously lopinavir/ritonavir combined with interferon β-1b, vancomycin and antithrombin III.</w:t>
            </w:r>
            <w:r>
              <w:rPr>
                <w:rFonts w:ascii="Book Antiqua" w:hAnsi="Book Antiqua" w:cs="Book Antiqua" w:hint="eastAsia"/>
                <w:highlight w:val="white"/>
                <w:lang w:eastAsia="zh-CN"/>
              </w:rPr>
              <w:t xml:space="preserve"> </w:t>
            </w:r>
            <w:r w:rsidRPr="00F67399">
              <w:rPr>
                <w:rFonts w:ascii="Book Antiqua" w:eastAsia="Book Antiqua" w:hAnsi="Book Antiqua" w:cs="Book Antiqua"/>
                <w:highlight w:val="white"/>
              </w:rPr>
              <w:t xml:space="preserve">After started </w:t>
            </w:r>
            <w:proofErr w:type="spellStart"/>
            <w:r w:rsidRPr="00F67399">
              <w:rPr>
                <w:rFonts w:ascii="Book Antiqua" w:eastAsia="Book Antiqua" w:hAnsi="Book Antiqua" w:cs="Book Antiqua"/>
                <w:highlight w:val="white"/>
              </w:rPr>
              <w:t>fapinavir</w:t>
            </w:r>
            <w:proofErr w:type="spellEnd"/>
            <w:r w:rsidRPr="00F67399">
              <w:rPr>
                <w:rFonts w:ascii="Book Antiqua" w:eastAsia="Book Antiqua" w:hAnsi="Book Antiqua" w:cs="Book Antiqua"/>
                <w:highlight w:val="white"/>
              </w:rPr>
              <w:t xml:space="preserve"> two more drugs were added Trimethoprim-s</w:t>
            </w:r>
            <w:r>
              <w:rPr>
                <w:rFonts w:ascii="Book Antiqua" w:eastAsia="Book Antiqua" w:hAnsi="Book Antiqua" w:cs="Book Antiqua"/>
                <w:highlight w:val="white"/>
              </w:rPr>
              <w:t>ulfamethoxazole and micafungin</w:t>
            </w:r>
          </w:p>
        </w:tc>
        <w:tc>
          <w:tcPr>
            <w:tcW w:w="1584" w:type="dxa"/>
            <w:shd w:val="clear" w:color="auto" w:fill="auto"/>
          </w:tcPr>
          <w:p w14:paraId="61961EF0" w14:textId="77777777" w:rsidR="00112F26" w:rsidRPr="00F67399" w:rsidRDefault="00112F26" w:rsidP="00112F26">
            <w:pPr>
              <w:widowControl w:val="0"/>
              <w:spacing w:line="360" w:lineRule="auto"/>
              <w:jc w:val="both"/>
              <w:rPr>
                <w:rFonts w:ascii="Book Antiqua" w:eastAsia="Book Antiqua" w:hAnsi="Book Antiqua" w:cs="Book Antiqua"/>
                <w:color w:val="202124"/>
                <w:highlight w:val="white"/>
              </w:rPr>
            </w:pPr>
            <w:r w:rsidRPr="00F67399">
              <w:rPr>
                <w:rFonts w:ascii="Book Antiqua" w:eastAsia="Book Antiqua" w:hAnsi="Book Antiqua" w:cs="Book Antiqua"/>
                <w:highlight w:val="white"/>
              </w:rPr>
              <w:t xml:space="preserve">Transaminases were elevated until day 4: </w:t>
            </w:r>
            <w:r>
              <w:rPr>
                <w:rFonts w:ascii="Book Antiqua" w:hAnsi="Book Antiqua" w:cs="Book Antiqua" w:hint="eastAsia"/>
                <w:highlight w:val="white"/>
                <w:lang w:eastAsia="zh-CN"/>
              </w:rPr>
              <w:t>A</w:t>
            </w:r>
            <w:r w:rsidRPr="00F67399">
              <w:rPr>
                <w:rFonts w:ascii="Book Antiqua" w:eastAsia="Book Antiqua" w:hAnsi="Book Antiqua" w:cs="Book Antiqua"/>
                <w:highlight w:val="white"/>
              </w:rPr>
              <w:t>spartate aminotransferase (AST) from 70 U/L (day 0) to 112 U/L (day 4) and alanine aminotransferase (ALT) from 37 U/L to 59 U/L, respectively. Total bilirubin (T-BiL) increased until day 3 from 5.2 mg/dL to 12.6 mg/dL. On day 11, however, transaminases peaked again (AST, 268 U/L; ALT, 115 U/L) and total bilirubin was also rising</w:t>
            </w:r>
          </w:p>
        </w:tc>
        <w:tc>
          <w:tcPr>
            <w:tcW w:w="1350" w:type="dxa"/>
            <w:shd w:val="clear" w:color="auto" w:fill="auto"/>
          </w:tcPr>
          <w:p w14:paraId="572DCE7A" w14:textId="77777777" w:rsidR="00112F26" w:rsidRPr="00F67399" w:rsidRDefault="00112F26" w:rsidP="00112F26">
            <w:pPr>
              <w:widowControl w:val="0"/>
              <w:spacing w:line="360" w:lineRule="auto"/>
              <w:jc w:val="both"/>
              <w:rPr>
                <w:rFonts w:ascii="Book Antiqua" w:eastAsia="Book Antiqua" w:hAnsi="Book Antiqua" w:cs="Book Antiqua"/>
                <w:color w:val="202124"/>
                <w:highlight w:val="white"/>
              </w:rPr>
            </w:pPr>
            <w:r>
              <w:rPr>
                <w:rFonts w:ascii="Book Antiqua" w:hAnsi="Book Antiqua" w:cs="Book Antiqua" w:hint="eastAsia"/>
                <w:highlight w:val="white"/>
                <w:lang w:eastAsia="zh-CN"/>
              </w:rPr>
              <w:t>A</w:t>
            </w:r>
            <w:r w:rsidRPr="00F67399">
              <w:rPr>
                <w:rFonts w:ascii="Book Antiqua" w:eastAsia="Book Antiqua" w:hAnsi="Book Antiqua" w:cs="Book Antiqua"/>
                <w:highlight w:val="white"/>
              </w:rPr>
              <w:t xml:space="preserve"> case of cholestatic liver injury in the early stages of favipiravir treatment for COVID-19.</w:t>
            </w:r>
            <w:r>
              <w:rPr>
                <w:rFonts w:ascii="Book Antiqua" w:hAnsi="Book Antiqua" w:cs="Book Antiqua" w:hint="eastAsia"/>
                <w:highlight w:val="white"/>
                <w:lang w:eastAsia="zh-CN"/>
              </w:rPr>
              <w:t xml:space="preserve"> </w:t>
            </w:r>
            <w:r w:rsidRPr="00F67399">
              <w:rPr>
                <w:rFonts w:ascii="Book Antiqua" w:eastAsia="Book Antiqua" w:hAnsi="Book Antiqua" w:cs="Book Antiqua"/>
                <w:highlight w:val="white"/>
              </w:rPr>
              <w:t>Based on the CIMOS/RUCAM scoring system, it was classified as a cholestatic liver injury, with a score of 6 (possible)</w:t>
            </w:r>
          </w:p>
        </w:tc>
      </w:tr>
      <w:tr w:rsidR="00112F26" w:rsidRPr="00F67399" w14:paraId="183CBEA0" w14:textId="77777777" w:rsidTr="0074462B">
        <w:tc>
          <w:tcPr>
            <w:tcW w:w="1515" w:type="dxa"/>
            <w:tcBorders>
              <w:bottom w:val="single" w:sz="4" w:space="0" w:color="auto"/>
            </w:tcBorders>
            <w:shd w:val="clear" w:color="auto" w:fill="auto"/>
          </w:tcPr>
          <w:p w14:paraId="0E29E427" w14:textId="77777777" w:rsidR="00112F26" w:rsidRPr="00F67399" w:rsidRDefault="00112F26" w:rsidP="0074462B">
            <w:pPr>
              <w:widowControl w:val="0"/>
              <w:spacing w:line="360" w:lineRule="auto"/>
              <w:jc w:val="both"/>
              <w:rPr>
                <w:rFonts w:ascii="Book Antiqua" w:eastAsia="Book Antiqua" w:hAnsi="Book Antiqua" w:cs="Book Antiqua"/>
                <w:color w:val="202124"/>
              </w:rPr>
            </w:pPr>
            <w:r w:rsidRPr="00F67399">
              <w:rPr>
                <w:rFonts w:ascii="Book Antiqua" w:eastAsia="Book Antiqua" w:hAnsi="Book Antiqua" w:cs="Book Antiqua"/>
                <w:color w:val="202124"/>
              </w:rPr>
              <w:t>Leegwater</w:t>
            </w:r>
            <w:r w:rsidR="0074462B" w:rsidRPr="00F67399">
              <w:rPr>
                <w:rFonts w:ascii="Book Antiqua" w:hAnsi="Book Antiqua" w:cs="Book Antiqua" w:hint="eastAsia"/>
                <w:i/>
                <w:color w:val="202124"/>
                <w:highlight w:val="white"/>
                <w:lang w:eastAsia="zh-CN"/>
              </w:rPr>
              <w:t xml:space="preserve"> et al</w:t>
            </w:r>
            <w:r w:rsidRPr="00F67399">
              <w:rPr>
                <w:rFonts w:ascii="Book Antiqua" w:eastAsia="Book Antiqua" w:hAnsi="Book Antiqua" w:cs="Book Antiqua"/>
                <w:color w:val="202124"/>
                <w:vertAlign w:val="superscript"/>
              </w:rPr>
              <w:t>[28]</w:t>
            </w:r>
          </w:p>
        </w:tc>
        <w:tc>
          <w:tcPr>
            <w:tcW w:w="1677" w:type="dxa"/>
            <w:tcBorders>
              <w:bottom w:val="single" w:sz="4" w:space="0" w:color="auto"/>
            </w:tcBorders>
          </w:tcPr>
          <w:p w14:paraId="78225633" w14:textId="77777777" w:rsidR="00112F26" w:rsidRPr="00F67399" w:rsidRDefault="00112F26" w:rsidP="0074462B">
            <w:pPr>
              <w:widowControl w:val="0"/>
              <w:spacing w:line="360" w:lineRule="auto"/>
              <w:jc w:val="both"/>
              <w:rPr>
                <w:rFonts w:ascii="Book Antiqua" w:eastAsia="Book Antiqua" w:hAnsi="Book Antiqua" w:cs="Book Antiqua"/>
                <w:color w:val="202124"/>
              </w:rPr>
            </w:pPr>
            <w:r w:rsidRPr="00F67399">
              <w:rPr>
                <w:rFonts w:ascii="Book Antiqua" w:eastAsia="Book Antiqua" w:hAnsi="Book Antiqua" w:cs="Book Antiqua"/>
                <w:color w:val="202124"/>
              </w:rPr>
              <w:t>Case report</w:t>
            </w:r>
            <w:r w:rsidR="0074462B">
              <w:rPr>
                <w:rFonts w:ascii="Book Antiqua" w:hAnsi="Book Antiqua" w:cs="Book Antiqua" w:hint="eastAsia"/>
                <w:color w:val="202124"/>
                <w:lang w:eastAsia="zh-CN"/>
              </w:rPr>
              <w:t xml:space="preserve">; The </w:t>
            </w:r>
            <w:r w:rsidRPr="00F67399">
              <w:rPr>
                <w:rFonts w:ascii="Book Antiqua" w:eastAsia="Book Antiqua" w:hAnsi="Book Antiqua" w:cs="Book Antiqua"/>
                <w:color w:val="202124"/>
              </w:rPr>
              <w:t>Netherlands</w:t>
            </w:r>
          </w:p>
        </w:tc>
        <w:tc>
          <w:tcPr>
            <w:tcW w:w="1677" w:type="dxa"/>
            <w:tcBorders>
              <w:bottom w:val="single" w:sz="4" w:space="0" w:color="auto"/>
            </w:tcBorders>
            <w:shd w:val="clear" w:color="auto" w:fill="auto"/>
          </w:tcPr>
          <w:p w14:paraId="5851DEE8" w14:textId="77777777" w:rsidR="00112F26" w:rsidRPr="00F67399" w:rsidRDefault="00112F26" w:rsidP="0074462B">
            <w:pPr>
              <w:widowControl w:val="0"/>
              <w:spacing w:line="360" w:lineRule="auto"/>
              <w:jc w:val="both"/>
              <w:rPr>
                <w:rFonts w:ascii="Book Antiqua" w:eastAsia="Book Antiqua" w:hAnsi="Book Antiqua" w:cs="Book Antiqua"/>
                <w:color w:val="202124"/>
                <w:highlight w:val="white"/>
              </w:rPr>
            </w:pPr>
            <w:r w:rsidRPr="00F67399">
              <w:rPr>
                <w:rFonts w:ascii="Book Antiqua" w:eastAsia="Book Antiqua" w:hAnsi="Book Antiqua" w:cs="Book Antiqua"/>
                <w:color w:val="202124"/>
                <w:highlight w:val="white"/>
              </w:rPr>
              <w:t xml:space="preserve"> A 64-yr-old male patient.</w:t>
            </w:r>
            <w:r w:rsidR="0074462B">
              <w:rPr>
                <w:rFonts w:ascii="Book Antiqua" w:hAnsi="Book Antiqua" w:cs="Book Antiqua" w:hint="eastAsia"/>
                <w:color w:val="202124"/>
                <w:highlight w:val="white"/>
                <w:lang w:eastAsia="zh-CN"/>
              </w:rPr>
              <w:t xml:space="preserve"> </w:t>
            </w:r>
            <w:r w:rsidRPr="00F67399">
              <w:rPr>
                <w:rFonts w:ascii="Book Antiqua" w:eastAsia="Book Antiqua" w:hAnsi="Book Antiqua" w:cs="Book Antiqua"/>
                <w:color w:val="202124"/>
                <w:highlight w:val="white"/>
              </w:rPr>
              <w:t>History of hyperten</w:t>
            </w:r>
            <w:r w:rsidR="0074462B">
              <w:rPr>
                <w:rFonts w:ascii="Book Antiqua" w:eastAsia="Book Antiqua" w:hAnsi="Book Antiqua" w:cs="Book Antiqua"/>
                <w:color w:val="202124"/>
                <w:highlight w:val="white"/>
              </w:rPr>
              <w:t>sion and hypercholesterolemia</w:t>
            </w:r>
          </w:p>
        </w:tc>
        <w:tc>
          <w:tcPr>
            <w:tcW w:w="1773" w:type="dxa"/>
            <w:tcBorders>
              <w:bottom w:val="single" w:sz="4" w:space="0" w:color="auto"/>
            </w:tcBorders>
            <w:shd w:val="clear" w:color="auto" w:fill="auto"/>
          </w:tcPr>
          <w:p w14:paraId="57E15833" w14:textId="77777777" w:rsidR="00112F26" w:rsidRPr="00F67399" w:rsidRDefault="00112F26" w:rsidP="0074462B">
            <w:pPr>
              <w:widowControl w:val="0"/>
              <w:spacing w:line="360" w:lineRule="auto"/>
              <w:jc w:val="both"/>
              <w:rPr>
                <w:rFonts w:ascii="Book Antiqua" w:eastAsia="Book Antiqua" w:hAnsi="Book Antiqua" w:cs="Book Antiqua"/>
                <w:color w:val="202124"/>
                <w:highlight w:val="white"/>
              </w:rPr>
            </w:pPr>
            <w:r w:rsidRPr="00F67399">
              <w:rPr>
                <w:rFonts w:ascii="Book Antiqua" w:eastAsia="Book Antiqua" w:hAnsi="Book Antiqua" w:cs="Book Antiqua"/>
                <w:color w:val="202124"/>
                <w:highlight w:val="white"/>
              </w:rPr>
              <w:t>Remdesivir</w:t>
            </w:r>
          </w:p>
        </w:tc>
        <w:tc>
          <w:tcPr>
            <w:tcW w:w="1584" w:type="dxa"/>
            <w:tcBorders>
              <w:bottom w:val="single" w:sz="4" w:space="0" w:color="auto"/>
            </w:tcBorders>
            <w:shd w:val="clear" w:color="auto" w:fill="auto"/>
          </w:tcPr>
          <w:p w14:paraId="7B018845" w14:textId="77777777" w:rsidR="00112F26" w:rsidRPr="00F67399" w:rsidRDefault="0074462B" w:rsidP="0074462B">
            <w:pPr>
              <w:widowControl w:val="0"/>
              <w:spacing w:line="360" w:lineRule="auto"/>
              <w:jc w:val="both"/>
              <w:rPr>
                <w:rFonts w:ascii="Book Antiqua" w:eastAsia="Book Antiqua" w:hAnsi="Book Antiqua" w:cs="Book Antiqua"/>
                <w:color w:val="202124"/>
                <w:highlight w:val="white"/>
              </w:rPr>
            </w:pPr>
            <w:r>
              <w:rPr>
                <w:rFonts w:ascii="Book Antiqua" w:hAnsi="Book Antiqua" w:cs="Book Antiqua" w:hint="eastAsia"/>
                <w:color w:val="202124"/>
                <w:highlight w:val="white"/>
                <w:lang w:eastAsia="zh-CN"/>
              </w:rPr>
              <w:t>5</w:t>
            </w:r>
            <w:r w:rsidR="00112F26" w:rsidRPr="00F67399">
              <w:rPr>
                <w:rFonts w:ascii="Book Antiqua" w:eastAsia="Book Antiqua" w:hAnsi="Book Antiqua" w:cs="Book Antiqua"/>
                <w:color w:val="202124"/>
                <w:highlight w:val="white"/>
              </w:rPr>
              <w:t xml:space="preserve"> d after start of remdesivir ALT was 1305 IU/L, AST 1461 U/L, alkaline phosphatase 269 U/L, total bilirubin 8 µmol/L, </w:t>
            </w:r>
            <w:proofErr w:type="spellStart"/>
            <w:r w:rsidR="00112F26" w:rsidRPr="00F67399">
              <w:rPr>
                <w:rFonts w:ascii="Book Antiqua" w:eastAsia="Book Antiqua" w:hAnsi="Book Antiqua" w:cs="Book Antiqua"/>
                <w:color w:val="202124"/>
                <w:highlight w:val="white"/>
              </w:rPr>
              <w:t>gammaglutamyltransferase</w:t>
            </w:r>
            <w:proofErr w:type="spellEnd"/>
            <w:r w:rsidR="00112F26" w:rsidRPr="00F67399">
              <w:rPr>
                <w:rFonts w:ascii="Book Antiqua" w:eastAsia="Book Antiqua" w:hAnsi="Book Antiqua" w:cs="Book Antiqua"/>
                <w:color w:val="202124"/>
                <w:highlight w:val="white"/>
              </w:rPr>
              <w:t xml:space="preserve"> 227 U/L and creatine kinase 103 U/L</w:t>
            </w:r>
          </w:p>
        </w:tc>
        <w:tc>
          <w:tcPr>
            <w:tcW w:w="1350" w:type="dxa"/>
            <w:tcBorders>
              <w:bottom w:val="single" w:sz="4" w:space="0" w:color="auto"/>
            </w:tcBorders>
            <w:shd w:val="clear" w:color="auto" w:fill="auto"/>
          </w:tcPr>
          <w:p w14:paraId="04D5C6EA" w14:textId="77777777" w:rsidR="00112F26" w:rsidRPr="00F67399" w:rsidRDefault="00112F26" w:rsidP="0074462B">
            <w:pPr>
              <w:widowControl w:val="0"/>
              <w:spacing w:line="360" w:lineRule="auto"/>
              <w:jc w:val="both"/>
              <w:rPr>
                <w:rFonts w:ascii="Book Antiqua" w:eastAsia="Book Antiqua" w:hAnsi="Book Antiqua" w:cs="Book Antiqua"/>
                <w:color w:val="202124"/>
                <w:highlight w:val="white"/>
              </w:rPr>
            </w:pPr>
            <w:r w:rsidRPr="00F67399">
              <w:rPr>
                <w:rFonts w:ascii="Book Antiqua" w:eastAsia="Book Antiqua" w:hAnsi="Book Antiqua" w:cs="Book Antiqua"/>
                <w:color w:val="202124"/>
                <w:highlight w:val="white"/>
              </w:rPr>
              <w:t xml:space="preserve">Remdesivir toxicity was suspected based on the time-relation, the positive </w:t>
            </w:r>
            <w:proofErr w:type="spellStart"/>
            <w:r w:rsidRPr="00F67399">
              <w:rPr>
                <w:rFonts w:ascii="Book Antiqua" w:eastAsia="Book Antiqua" w:hAnsi="Book Antiqua" w:cs="Book Antiqua"/>
                <w:color w:val="202124"/>
                <w:highlight w:val="white"/>
              </w:rPr>
              <w:t>dechallenge</w:t>
            </w:r>
            <w:proofErr w:type="spellEnd"/>
            <w:r w:rsidRPr="00F67399">
              <w:rPr>
                <w:rFonts w:ascii="Book Antiqua" w:eastAsia="Book Antiqua" w:hAnsi="Book Antiqua" w:cs="Book Antiqua"/>
                <w:color w:val="202124"/>
                <w:highlight w:val="white"/>
              </w:rPr>
              <w:t xml:space="preserve">, the known </w:t>
            </w:r>
            <w:r w:rsidRPr="0074462B">
              <w:rPr>
                <w:rFonts w:ascii="Book Antiqua" w:eastAsia="Book Antiqua" w:hAnsi="Book Antiqua" w:cs="Book Antiqua"/>
                <w:i/>
                <w:color w:val="202124"/>
                <w:highlight w:val="white"/>
              </w:rPr>
              <w:t xml:space="preserve">in vitro </w:t>
            </w:r>
            <w:r w:rsidRPr="00F67399">
              <w:rPr>
                <w:rFonts w:ascii="Book Antiqua" w:eastAsia="Book Antiqua" w:hAnsi="Book Antiqua" w:cs="Book Antiqua"/>
                <w:color w:val="202124"/>
                <w:highlight w:val="white"/>
              </w:rPr>
              <w:t>toxicity of remdesivir and the absence of alternative causes of hepatotoxicity. After stop of remdesivir the ALT/AST ratio reached normal values</w:t>
            </w:r>
          </w:p>
        </w:tc>
      </w:tr>
    </w:tbl>
    <w:p w14:paraId="6D69BBC4" w14:textId="77777777" w:rsidR="00F74E48" w:rsidRDefault="0074462B">
      <w:pPr>
        <w:spacing w:line="360" w:lineRule="auto"/>
        <w:jc w:val="both"/>
        <w:rPr>
          <w:rFonts w:ascii="Book Antiqua" w:hAnsi="Book Antiqua"/>
          <w:lang w:eastAsia="zh-CN"/>
        </w:rPr>
      </w:pPr>
      <w:r w:rsidRPr="0074462B">
        <w:rPr>
          <w:rFonts w:ascii="Book Antiqua" w:hAnsi="Book Antiqua"/>
          <w:lang w:eastAsia="zh-CN"/>
        </w:rPr>
        <w:t>CIOMS/RUCAM: Council for International Organizations of Medical Sciences/Roussel Uclaf Causality Assessment Method</w:t>
      </w:r>
      <w:r>
        <w:rPr>
          <w:rFonts w:ascii="Book Antiqua" w:hAnsi="Book Antiqua" w:hint="eastAsia"/>
          <w:lang w:eastAsia="zh-CN"/>
        </w:rPr>
        <w:t xml:space="preserve">; </w:t>
      </w:r>
      <w:r w:rsidRPr="0074462B">
        <w:rPr>
          <w:rFonts w:ascii="Book Antiqua" w:hAnsi="Book Antiqua"/>
          <w:lang w:eastAsia="zh-CN"/>
        </w:rPr>
        <w:t>DILI: Drug induce liver injury</w:t>
      </w:r>
      <w:r>
        <w:rPr>
          <w:rFonts w:ascii="Book Antiqua" w:hAnsi="Book Antiqua" w:hint="eastAsia"/>
          <w:lang w:eastAsia="zh-CN"/>
        </w:rPr>
        <w:t xml:space="preserve">; </w:t>
      </w:r>
      <w:r w:rsidRPr="0074462B">
        <w:rPr>
          <w:rFonts w:ascii="Book Antiqua" w:hAnsi="Book Antiqua"/>
          <w:lang w:eastAsia="zh-CN"/>
        </w:rPr>
        <w:t>EASL: European Association for the Study of the Liver</w:t>
      </w:r>
      <w:r w:rsidR="00611957">
        <w:rPr>
          <w:rFonts w:ascii="Book Antiqua" w:hAnsi="Book Antiqua" w:hint="eastAsia"/>
          <w:lang w:eastAsia="zh-CN"/>
        </w:rPr>
        <w:t xml:space="preserve">; </w:t>
      </w:r>
      <w:r w:rsidRPr="0074462B">
        <w:rPr>
          <w:rFonts w:ascii="Book Antiqua" w:hAnsi="Book Antiqua"/>
          <w:lang w:eastAsia="zh-CN"/>
        </w:rPr>
        <w:t xml:space="preserve">TCZ: </w:t>
      </w:r>
      <w:r w:rsidR="00611957">
        <w:rPr>
          <w:rFonts w:ascii="Book Antiqua" w:hAnsi="Book Antiqua" w:hint="eastAsia"/>
          <w:lang w:eastAsia="zh-CN"/>
        </w:rPr>
        <w:t>T</w:t>
      </w:r>
      <w:r w:rsidRPr="0074462B">
        <w:rPr>
          <w:rFonts w:ascii="Book Antiqua" w:hAnsi="Book Antiqua"/>
          <w:lang w:eastAsia="zh-CN"/>
        </w:rPr>
        <w:t>ocilizumab</w:t>
      </w:r>
      <w:r w:rsidR="00611957">
        <w:rPr>
          <w:rFonts w:ascii="Book Antiqua" w:hAnsi="Book Antiqua" w:hint="eastAsia"/>
          <w:lang w:eastAsia="zh-CN"/>
        </w:rPr>
        <w:t xml:space="preserve">; </w:t>
      </w:r>
      <w:r w:rsidRPr="0074462B">
        <w:rPr>
          <w:rFonts w:ascii="Book Antiqua" w:hAnsi="Book Antiqua"/>
          <w:lang w:eastAsia="zh-CN"/>
        </w:rPr>
        <w:t xml:space="preserve">RDV: </w:t>
      </w:r>
      <w:r w:rsidR="00611957">
        <w:rPr>
          <w:rFonts w:ascii="Book Antiqua" w:hAnsi="Book Antiqua" w:hint="eastAsia"/>
          <w:lang w:eastAsia="zh-CN"/>
        </w:rPr>
        <w:t>R</w:t>
      </w:r>
      <w:r w:rsidRPr="0074462B">
        <w:rPr>
          <w:rFonts w:ascii="Book Antiqua" w:hAnsi="Book Antiqua"/>
          <w:lang w:eastAsia="zh-CN"/>
        </w:rPr>
        <w:t>emdesivir</w:t>
      </w:r>
      <w:r w:rsidR="00611957">
        <w:rPr>
          <w:rFonts w:ascii="Book Antiqua" w:hAnsi="Book Antiqua" w:hint="eastAsia"/>
          <w:lang w:eastAsia="zh-CN"/>
        </w:rPr>
        <w:t>.</w:t>
      </w:r>
    </w:p>
    <w:p w14:paraId="0C553E86" w14:textId="77777777" w:rsidR="00F67399" w:rsidRDefault="00F74E48">
      <w:pPr>
        <w:spacing w:line="360" w:lineRule="auto"/>
        <w:jc w:val="both"/>
        <w:rPr>
          <w:rFonts w:ascii="Book Antiqua" w:hAnsi="Book Antiqua" w:cs="Book Antiqua"/>
          <w:b/>
          <w:color w:val="000000"/>
          <w:lang w:eastAsia="zh-CN"/>
        </w:rPr>
      </w:pPr>
      <w:r>
        <w:rPr>
          <w:rFonts w:ascii="Book Antiqua" w:hAnsi="Book Antiqua"/>
          <w:lang w:eastAsia="zh-CN"/>
        </w:rPr>
        <w:br w:type="page"/>
      </w:r>
      <w:r w:rsidRPr="00F74E48">
        <w:rPr>
          <w:rFonts w:ascii="Book Antiqua" w:hAnsi="Book Antiqua"/>
          <w:b/>
          <w:lang w:eastAsia="zh-CN"/>
        </w:rPr>
        <w:t xml:space="preserve">Table 2 Hepatotoxicity of the most common drugs used to treat </w:t>
      </w:r>
      <w:r w:rsidRPr="00F74E48">
        <w:rPr>
          <w:rFonts w:ascii="Book Antiqua" w:eastAsia="Book Antiqua" w:hAnsi="Book Antiqua" w:cs="Book Antiqua"/>
          <w:b/>
          <w:color w:val="000000"/>
        </w:rPr>
        <w:t>coronavirus disease 2019</w:t>
      </w:r>
    </w:p>
    <w:tbl>
      <w:tblPr>
        <w:tblW w:w="5000" w:type="pct"/>
        <w:tblLayout w:type="fixed"/>
        <w:tblLook w:val="04A0" w:firstRow="1" w:lastRow="0" w:firstColumn="1" w:lastColumn="0" w:noHBand="0" w:noVBand="1"/>
      </w:tblPr>
      <w:tblGrid>
        <w:gridCol w:w="1725"/>
        <w:gridCol w:w="6175"/>
        <w:gridCol w:w="1676"/>
      </w:tblGrid>
      <w:tr w:rsidR="00F74E48" w:rsidRPr="00F74E48" w14:paraId="4B9F1F94" w14:textId="77777777" w:rsidTr="005279CB">
        <w:trPr>
          <w:trHeight w:val="425"/>
        </w:trPr>
        <w:tc>
          <w:tcPr>
            <w:tcW w:w="1725" w:type="dxa"/>
            <w:tcBorders>
              <w:top w:val="single" w:sz="4" w:space="0" w:color="auto"/>
              <w:bottom w:val="single" w:sz="4" w:space="0" w:color="auto"/>
            </w:tcBorders>
            <w:shd w:val="clear" w:color="auto" w:fill="auto"/>
          </w:tcPr>
          <w:p w14:paraId="3D4C58F2" w14:textId="77777777" w:rsidR="00F74E48" w:rsidRPr="00F74E48" w:rsidRDefault="00F74E48" w:rsidP="00F74E48">
            <w:pPr>
              <w:widowControl w:val="0"/>
              <w:spacing w:line="360" w:lineRule="auto"/>
              <w:jc w:val="both"/>
              <w:rPr>
                <w:rFonts w:ascii="Book Antiqua" w:eastAsia="Book Antiqua" w:hAnsi="Book Antiqua" w:cs="Book Antiqua"/>
                <w:b/>
                <w:color w:val="000000"/>
              </w:rPr>
            </w:pPr>
            <w:r w:rsidRPr="00F74E48">
              <w:rPr>
                <w:rFonts w:ascii="Book Antiqua" w:eastAsia="Book Antiqua" w:hAnsi="Book Antiqua" w:cs="Book Antiqua"/>
                <w:b/>
                <w:color w:val="000000"/>
              </w:rPr>
              <w:t>Drug</w:t>
            </w:r>
          </w:p>
        </w:tc>
        <w:tc>
          <w:tcPr>
            <w:tcW w:w="6175" w:type="dxa"/>
            <w:tcBorders>
              <w:top w:val="single" w:sz="4" w:space="0" w:color="auto"/>
              <w:bottom w:val="single" w:sz="4" w:space="0" w:color="auto"/>
            </w:tcBorders>
            <w:shd w:val="clear" w:color="auto" w:fill="auto"/>
          </w:tcPr>
          <w:p w14:paraId="34FD1395" w14:textId="77777777" w:rsidR="00F74E48" w:rsidRPr="00F74E48" w:rsidRDefault="00F74E48" w:rsidP="00F74E48">
            <w:pPr>
              <w:widowControl w:val="0"/>
              <w:spacing w:line="360" w:lineRule="auto"/>
              <w:jc w:val="both"/>
              <w:rPr>
                <w:rFonts w:ascii="Book Antiqua" w:eastAsia="Book Antiqua" w:hAnsi="Book Antiqua" w:cs="Book Antiqua"/>
                <w:b/>
                <w:color w:val="000000"/>
              </w:rPr>
            </w:pPr>
            <w:r w:rsidRPr="00F74E48">
              <w:rPr>
                <w:rFonts w:ascii="Book Antiqua" w:eastAsia="Book Antiqua" w:hAnsi="Book Antiqua" w:cs="Book Antiqua"/>
                <w:b/>
                <w:color w:val="000000"/>
              </w:rPr>
              <w:t>Evidence of hepatotoxicity</w:t>
            </w:r>
          </w:p>
        </w:tc>
        <w:tc>
          <w:tcPr>
            <w:tcW w:w="1676" w:type="dxa"/>
            <w:tcBorders>
              <w:top w:val="single" w:sz="4" w:space="0" w:color="auto"/>
              <w:bottom w:val="single" w:sz="4" w:space="0" w:color="auto"/>
            </w:tcBorders>
            <w:shd w:val="clear" w:color="auto" w:fill="auto"/>
          </w:tcPr>
          <w:p w14:paraId="6BE50289" w14:textId="77777777" w:rsidR="00F74E48" w:rsidRPr="00F74E48" w:rsidRDefault="00F74E48" w:rsidP="00F74E48">
            <w:pPr>
              <w:widowControl w:val="0"/>
              <w:spacing w:line="360" w:lineRule="auto"/>
              <w:jc w:val="both"/>
              <w:rPr>
                <w:rFonts w:ascii="Book Antiqua" w:eastAsia="Book Antiqua" w:hAnsi="Book Antiqua" w:cs="Book Antiqua"/>
                <w:b/>
                <w:color w:val="000000"/>
              </w:rPr>
            </w:pPr>
            <w:r w:rsidRPr="00F74E48">
              <w:rPr>
                <w:rFonts w:ascii="Book Antiqua" w:eastAsia="Book Antiqua" w:hAnsi="Book Antiqua" w:cs="Book Antiqua"/>
                <w:b/>
                <w:color w:val="000000"/>
              </w:rPr>
              <w:t>Probability</w:t>
            </w:r>
          </w:p>
        </w:tc>
      </w:tr>
      <w:tr w:rsidR="00F74E48" w:rsidRPr="00F74E48" w14:paraId="2222339E" w14:textId="77777777" w:rsidTr="005279CB">
        <w:trPr>
          <w:trHeight w:val="1976"/>
        </w:trPr>
        <w:tc>
          <w:tcPr>
            <w:tcW w:w="1725" w:type="dxa"/>
            <w:tcBorders>
              <w:top w:val="single" w:sz="4" w:space="0" w:color="auto"/>
            </w:tcBorders>
            <w:shd w:val="clear" w:color="auto" w:fill="auto"/>
          </w:tcPr>
          <w:p w14:paraId="328B5A7E" w14:textId="77777777" w:rsidR="00F74E48" w:rsidRPr="00F74E48" w:rsidRDefault="00F74E48" w:rsidP="00F74E48">
            <w:pPr>
              <w:widowControl w:val="0"/>
              <w:spacing w:line="360" w:lineRule="auto"/>
              <w:jc w:val="both"/>
              <w:rPr>
                <w:rFonts w:ascii="Book Antiqua" w:eastAsia="Book Antiqua" w:hAnsi="Book Antiqua" w:cs="Book Antiqua"/>
                <w:color w:val="000000"/>
              </w:rPr>
            </w:pPr>
            <w:r w:rsidRPr="00F74E48">
              <w:rPr>
                <w:rFonts w:ascii="Book Antiqua" w:eastAsia="Book Antiqua" w:hAnsi="Book Antiqua" w:cs="Book Antiqua"/>
                <w:color w:val="000000"/>
              </w:rPr>
              <w:t>Azithromycin</w:t>
            </w:r>
          </w:p>
        </w:tc>
        <w:tc>
          <w:tcPr>
            <w:tcW w:w="6175" w:type="dxa"/>
            <w:tcBorders>
              <w:top w:val="single" w:sz="4" w:space="0" w:color="auto"/>
            </w:tcBorders>
            <w:shd w:val="clear" w:color="auto" w:fill="auto"/>
          </w:tcPr>
          <w:p w14:paraId="271B5291" w14:textId="2954AB61" w:rsidR="00F74E48" w:rsidRPr="00F74E48" w:rsidRDefault="00F74E48" w:rsidP="00F74E48">
            <w:pPr>
              <w:widowControl w:val="0"/>
              <w:spacing w:line="360" w:lineRule="auto"/>
              <w:jc w:val="both"/>
              <w:rPr>
                <w:rFonts w:ascii="Book Antiqua" w:hAnsi="Book Antiqua" w:cs="Book Antiqua"/>
                <w:color w:val="000000"/>
                <w:lang w:eastAsia="zh-CN"/>
              </w:rPr>
            </w:pPr>
            <w:r w:rsidRPr="00F74E48">
              <w:rPr>
                <w:rFonts w:ascii="Book Antiqua" w:eastAsia="Book Antiqua" w:hAnsi="Book Antiqua" w:cs="Book Antiqua"/>
                <w:color w:val="000000"/>
              </w:rPr>
              <w:t xml:space="preserve">Liver damage is usually self-limited cholestatic hepatitis, which appears 1 </w:t>
            </w:r>
            <w:proofErr w:type="spellStart"/>
            <w:r>
              <w:rPr>
                <w:rFonts w:ascii="Book Antiqua" w:hAnsi="Book Antiqua" w:cs="Book Antiqua" w:hint="eastAsia"/>
                <w:color w:val="000000"/>
                <w:lang w:eastAsia="zh-CN"/>
              </w:rPr>
              <w:t>wk</w:t>
            </w:r>
            <w:proofErr w:type="spellEnd"/>
            <w:r>
              <w:rPr>
                <w:rFonts w:ascii="Book Antiqua" w:hAnsi="Book Antiqua" w:cs="Book Antiqua" w:hint="eastAsia"/>
                <w:color w:val="000000"/>
                <w:lang w:eastAsia="zh-CN"/>
              </w:rPr>
              <w:t xml:space="preserve"> </w:t>
            </w:r>
            <w:r w:rsidRPr="00F74E48">
              <w:rPr>
                <w:rFonts w:ascii="Book Antiqua" w:eastAsia="Book Antiqua" w:hAnsi="Book Antiqua" w:cs="Book Antiqua"/>
                <w:color w:val="000000"/>
              </w:rPr>
              <w:t xml:space="preserve">to 3 </w:t>
            </w:r>
            <w:proofErr w:type="spellStart"/>
            <w:r w:rsidRPr="00F74E48">
              <w:rPr>
                <w:rFonts w:ascii="Book Antiqua" w:eastAsia="Book Antiqua" w:hAnsi="Book Antiqua" w:cs="Book Antiqua"/>
                <w:color w:val="000000"/>
              </w:rPr>
              <w:t>wk</w:t>
            </w:r>
            <w:proofErr w:type="spellEnd"/>
            <w:r w:rsidRPr="00F74E48">
              <w:rPr>
                <w:rFonts w:ascii="Book Antiqua" w:eastAsia="Book Antiqua" w:hAnsi="Book Antiqua" w:cs="Book Antiqua"/>
                <w:color w:val="000000"/>
              </w:rPr>
              <w:t xml:space="preserve"> after starting treatment. It may also appear after some time following medicine discontinuance. Cholestasis and elevated transaminases can persist for up to 6 mo. Despite presenting the hepatocellular and cholestatic forms of injury, cholestatic </w:t>
            </w:r>
            <w:r w:rsidR="005A5863" w:rsidRPr="00F74E48">
              <w:rPr>
                <w:rFonts w:ascii="Book Antiqua" w:eastAsia="Book Antiqua" w:hAnsi="Book Antiqua" w:cs="Book Antiqua"/>
                <w:color w:val="000000"/>
              </w:rPr>
              <w:t>is more</w:t>
            </w:r>
            <w:r w:rsidRPr="00F74E48">
              <w:rPr>
                <w:rFonts w:ascii="Book Antiqua" w:eastAsia="Book Antiqua" w:hAnsi="Book Antiqua" w:cs="Book Antiqua"/>
                <w:color w:val="000000"/>
              </w:rPr>
              <w:t xml:space="preserve"> often related to acute liver failure, death, or liver transplantation</w:t>
            </w:r>
          </w:p>
        </w:tc>
        <w:tc>
          <w:tcPr>
            <w:tcW w:w="1676" w:type="dxa"/>
            <w:tcBorders>
              <w:top w:val="single" w:sz="4" w:space="0" w:color="auto"/>
            </w:tcBorders>
            <w:shd w:val="clear" w:color="auto" w:fill="auto"/>
          </w:tcPr>
          <w:p w14:paraId="5E3B4064" w14:textId="77777777" w:rsidR="00F74E48" w:rsidRPr="00F74E48" w:rsidRDefault="00F74E48" w:rsidP="00F74E48">
            <w:pPr>
              <w:widowControl w:val="0"/>
              <w:spacing w:line="360" w:lineRule="auto"/>
              <w:jc w:val="both"/>
              <w:rPr>
                <w:rFonts w:ascii="Book Antiqua" w:eastAsia="Book Antiqua" w:hAnsi="Book Antiqua" w:cs="Book Antiqua"/>
              </w:rPr>
            </w:pPr>
            <w:r w:rsidRPr="00F74E48">
              <w:rPr>
                <w:rFonts w:ascii="Book Antiqua" w:eastAsia="Book Antiqua" w:hAnsi="Book Antiqua" w:cs="Book Antiqua"/>
                <w:color w:val="000000"/>
              </w:rPr>
              <w:t>A</w:t>
            </w:r>
          </w:p>
        </w:tc>
      </w:tr>
      <w:tr w:rsidR="00F74E48" w:rsidRPr="00F74E48" w14:paraId="44DE54E5" w14:textId="77777777" w:rsidTr="005279CB">
        <w:trPr>
          <w:trHeight w:val="1711"/>
        </w:trPr>
        <w:tc>
          <w:tcPr>
            <w:tcW w:w="1725" w:type="dxa"/>
            <w:shd w:val="clear" w:color="auto" w:fill="auto"/>
          </w:tcPr>
          <w:p w14:paraId="1522EE79" w14:textId="77777777" w:rsidR="00F74E48" w:rsidRPr="00F74E48" w:rsidRDefault="00F74E48" w:rsidP="00F74E48">
            <w:pPr>
              <w:widowControl w:val="0"/>
              <w:spacing w:line="360" w:lineRule="auto"/>
              <w:jc w:val="both"/>
              <w:rPr>
                <w:rFonts w:ascii="Book Antiqua" w:eastAsia="Book Antiqua" w:hAnsi="Book Antiqua" w:cs="Book Antiqua"/>
                <w:color w:val="000000"/>
              </w:rPr>
            </w:pPr>
            <w:r w:rsidRPr="00F74E48">
              <w:rPr>
                <w:rFonts w:ascii="Book Antiqua" w:eastAsia="Book Antiqua" w:hAnsi="Book Antiqua" w:cs="Book Antiqua"/>
                <w:color w:val="000000"/>
              </w:rPr>
              <w:t>Lopinavir/</w:t>
            </w:r>
            <w:r>
              <w:rPr>
                <w:rFonts w:ascii="Book Antiqua" w:hAnsi="Book Antiqua" w:cs="Book Antiqua" w:hint="eastAsia"/>
                <w:color w:val="000000"/>
                <w:lang w:eastAsia="zh-CN"/>
              </w:rPr>
              <w:t>r</w:t>
            </w:r>
            <w:r w:rsidRPr="00F74E48">
              <w:rPr>
                <w:rFonts w:ascii="Book Antiqua" w:eastAsia="Book Antiqua" w:hAnsi="Book Antiqua" w:cs="Book Antiqua"/>
                <w:color w:val="000000"/>
              </w:rPr>
              <w:t>itonavir</w:t>
            </w:r>
          </w:p>
        </w:tc>
        <w:tc>
          <w:tcPr>
            <w:tcW w:w="6175" w:type="dxa"/>
            <w:shd w:val="clear" w:color="auto" w:fill="auto"/>
          </w:tcPr>
          <w:p w14:paraId="782342AA" w14:textId="77777777" w:rsidR="00F74E48" w:rsidRPr="00F74E48" w:rsidRDefault="00F74E48" w:rsidP="00F74E48">
            <w:pPr>
              <w:widowControl w:val="0"/>
              <w:spacing w:line="360" w:lineRule="auto"/>
              <w:jc w:val="both"/>
              <w:rPr>
                <w:rFonts w:ascii="Book Antiqua" w:hAnsi="Book Antiqua" w:cs="Book Antiqua"/>
                <w:color w:val="000000"/>
                <w:lang w:eastAsia="zh-CN"/>
              </w:rPr>
            </w:pPr>
            <w:r w:rsidRPr="00F74E48">
              <w:rPr>
                <w:rFonts w:ascii="Book Antiqua" w:eastAsia="Book Antiqua" w:hAnsi="Book Antiqua" w:cs="Book Antiqua"/>
                <w:color w:val="000000"/>
              </w:rPr>
              <w:t xml:space="preserve">Clinically apparent liver disease occurs in 3% to 10% of patients. The onset of symptoms or jaundice is usually 1 </w:t>
            </w:r>
            <w:proofErr w:type="spellStart"/>
            <w:r>
              <w:rPr>
                <w:rFonts w:ascii="Book Antiqua" w:hAnsi="Book Antiqua" w:cs="Book Antiqua" w:hint="eastAsia"/>
                <w:color w:val="000000"/>
                <w:lang w:eastAsia="zh-CN"/>
              </w:rPr>
              <w:t>wk</w:t>
            </w:r>
            <w:proofErr w:type="spellEnd"/>
            <w:r>
              <w:rPr>
                <w:rFonts w:ascii="Book Antiqua" w:hAnsi="Book Antiqua" w:cs="Book Antiqua" w:hint="eastAsia"/>
                <w:color w:val="000000"/>
                <w:lang w:eastAsia="zh-CN"/>
              </w:rPr>
              <w:t xml:space="preserve"> </w:t>
            </w:r>
            <w:r w:rsidRPr="00F74E48">
              <w:rPr>
                <w:rFonts w:ascii="Book Antiqua" w:eastAsia="Book Antiqua" w:hAnsi="Book Antiqua" w:cs="Book Antiqua"/>
                <w:color w:val="000000"/>
              </w:rPr>
              <w:t xml:space="preserve">to 8 </w:t>
            </w:r>
            <w:proofErr w:type="spellStart"/>
            <w:r w:rsidRPr="00F74E48">
              <w:rPr>
                <w:rFonts w:ascii="Book Antiqua" w:eastAsia="Book Antiqua" w:hAnsi="Book Antiqua" w:cs="Book Antiqua"/>
                <w:color w:val="000000"/>
              </w:rPr>
              <w:t>w</w:t>
            </w:r>
            <w:r>
              <w:rPr>
                <w:rFonts w:ascii="Book Antiqua" w:hAnsi="Book Antiqua" w:cs="Book Antiqua" w:hint="eastAsia"/>
                <w:color w:val="000000"/>
                <w:lang w:eastAsia="zh-CN"/>
              </w:rPr>
              <w:t>k</w:t>
            </w:r>
            <w:proofErr w:type="spellEnd"/>
            <w:r w:rsidRPr="00F74E48">
              <w:rPr>
                <w:rFonts w:ascii="Book Antiqua" w:eastAsia="Book Antiqua" w:hAnsi="Book Antiqua" w:cs="Book Antiqua"/>
                <w:color w:val="000000"/>
              </w:rPr>
              <w:t>, and the pattern of elevations in serum enzymes varies from hepatocellular to cholestatic or mixed. The injury is usually self-limiting; however, fatal cases have been reported</w:t>
            </w:r>
          </w:p>
        </w:tc>
        <w:tc>
          <w:tcPr>
            <w:tcW w:w="1676" w:type="dxa"/>
            <w:shd w:val="clear" w:color="auto" w:fill="auto"/>
          </w:tcPr>
          <w:p w14:paraId="7BC16220" w14:textId="77777777" w:rsidR="00F74E48" w:rsidRPr="00F74E48" w:rsidRDefault="00F74E48" w:rsidP="00F74E48">
            <w:pPr>
              <w:widowControl w:val="0"/>
              <w:spacing w:line="360" w:lineRule="auto"/>
              <w:jc w:val="both"/>
              <w:rPr>
                <w:rFonts w:ascii="Book Antiqua" w:eastAsia="Book Antiqua" w:hAnsi="Book Antiqua" w:cs="Book Antiqua"/>
                <w:color w:val="000000"/>
              </w:rPr>
            </w:pPr>
            <w:r w:rsidRPr="00F74E48">
              <w:rPr>
                <w:rFonts w:ascii="Book Antiqua" w:eastAsia="Book Antiqua" w:hAnsi="Book Antiqua" w:cs="Book Antiqua"/>
                <w:color w:val="000000"/>
              </w:rPr>
              <w:t>D</w:t>
            </w:r>
          </w:p>
        </w:tc>
      </w:tr>
      <w:tr w:rsidR="00F74E48" w:rsidRPr="00F74E48" w14:paraId="02ABEB97" w14:textId="77777777" w:rsidTr="005279CB">
        <w:trPr>
          <w:trHeight w:val="70"/>
        </w:trPr>
        <w:tc>
          <w:tcPr>
            <w:tcW w:w="1725" w:type="dxa"/>
            <w:shd w:val="clear" w:color="auto" w:fill="auto"/>
          </w:tcPr>
          <w:p w14:paraId="206BA4FE" w14:textId="77777777" w:rsidR="00F74E48" w:rsidRPr="00F74E48" w:rsidRDefault="00F74E48" w:rsidP="00F74E48">
            <w:pPr>
              <w:widowControl w:val="0"/>
              <w:spacing w:line="360" w:lineRule="auto"/>
              <w:jc w:val="both"/>
              <w:rPr>
                <w:rFonts w:ascii="Book Antiqua" w:eastAsia="Book Antiqua" w:hAnsi="Book Antiqua" w:cs="Book Antiqua"/>
                <w:color w:val="000000"/>
              </w:rPr>
            </w:pPr>
            <w:r w:rsidRPr="00F74E48">
              <w:rPr>
                <w:rFonts w:ascii="Book Antiqua" w:eastAsia="Book Antiqua" w:hAnsi="Book Antiqua" w:cs="Book Antiqua"/>
                <w:color w:val="000000"/>
              </w:rPr>
              <w:t>Hydroxy-chloroquine</w:t>
            </w:r>
          </w:p>
        </w:tc>
        <w:tc>
          <w:tcPr>
            <w:tcW w:w="6175" w:type="dxa"/>
            <w:shd w:val="clear" w:color="auto" w:fill="auto"/>
          </w:tcPr>
          <w:p w14:paraId="5CA568E8" w14:textId="77777777" w:rsidR="00F74E48" w:rsidRPr="00F74E48" w:rsidRDefault="00F74E48" w:rsidP="00F74E48">
            <w:pPr>
              <w:widowControl w:val="0"/>
              <w:spacing w:line="360" w:lineRule="auto"/>
              <w:jc w:val="both"/>
              <w:rPr>
                <w:rFonts w:ascii="Book Antiqua" w:hAnsi="Book Antiqua" w:cs="Book Antiqua"/>
                <w:color w:val="000000"/>
                <w:lang w:eastAsia="zh-CN"/>
              </w:rPr>
            </w:pPr>
            <w:r w:rsidRPr="00F74E48">
              <w:rPr>
                <w:rFonts w:ascii="Book Antiqua" w:eastAsia="Book Antiqua" w:hAnsi="Book Antiqua" w:cs="Book Antiqua"/>
                <w:color w:val="000000"/>
              </w:rPr>
              <w:t>It has not been associated with significant elevations in serum enzymes during therapy for rheumatic diseases. When used in relatively high doses, it can trigger an acute liver injury with a sudden onset of fever and marked elevation of serum enzymes. Post COVID-19 data have not been assessed</w:t>
            </w:r>
          </w:p>
        </w:tc>
        <w:tc>
          <w:tcPr>
            <w:tcW w:w="1676" w:type="dxa"/>
            <w:shd w:val="clear" w:color="auto" w:fill="auto"/>
          </w:tcPr>
          <w:p w14:paraId="50B674CE" w14:textId="77777777" w:rsidR="00F74E48" w:rsidRPr="00F74E48" w:rsidRDefault="00F74E48" w:rsidP="00F74E48">
            <w:pPr>
              <w:widowControl w:val="0"/>
              <w:spacing w:line="360" w:lineRule="auto"/>
              <w:jc w:val="both"/>
              <w:rPr>
                <w:rFonts w:ascii="Book Antiqua" w:eastAsia="Book Antiqua" w:hAnsi="Book Antiqua" w:cs="Book Antiqua"/>
                <w:color w:val="000000"/>
              </w:rPr>
            </w:pPr>
            <w:r w:rsidRPr="00F74E48">
              <w:rPr>
                <w:rFonts w:ascii="Book Antiqua" w:eastAsia="Book Antiqua" w:hAnsi="Book Antiqua" w:cs="Book Antiqua"/>
                <w:color w:val="000000"/>
              </w:rPr>
              <w:t>C</w:t>
            </w:r>
          </w:p>
        </w:tc>
      </w:tr>
      <w:tr w:rsidR="00F74E48" w:rsidRPr="00F74E48" w14:paraId="4306F5AA" w14:textId="77777777" w:rsidTr="005279CB">
        <w:trPr>
          <w:trHeight w:val="70"/>
        </w:trPr>
        <w:tc>
          <w:tcPr>
            <w:tcW w:w="1725" w:type="dxa"/>
            <w:shd w:val="clear" w:color="auto" w:fill="auto"/>
          </w:tcPr>
          <w:p w14:paraId="1879B0C9" w14:textId="77777777" w:rsidR="00F74E48" w:rsidRPr="00F74E48" w:rsidRDefault="00F74E48" w:rsidP="00F74E48">
            <w:pPr>
              <w:widowControl w:val="0"/>
              <w:spacing w:line="360" w:lineRule="auto"/>
              <w:jc w:val="both"/>
              <w:rPr>
                <w:rFonts w:ascii="Book Antiqua" w:eastAsia="Book Antiqua" w:hAnsi="Book Antiqua" w:cs="Book Antiqua"/>
                <w:color w:val="000000"/>
              </w:rPr>
            </w:pPr>
            <w:r w:rsidRPr="00F74E48">
              <w:rPr>
                <w:rFonts w:ascii="Book Antiqua" w:eastAsia="Book Antiqua" w:hAnsi="Book Antiqua" w:cs="Book Antiqua"/>
                <w:color w:val="000000"/>
              </w:rPr>
              <w:t>Tocilizumab</w:t>
            </w:r>
          </w:p>
        </w:tc>
        <w:tc>
          <w:tcPr>
            <w:tcW w:w="6175" w:type="dxa"/>
            <w:shd w:val="clear" w:color="auto" w:fill="auto"/>
          </w:tcPr>
          <w:p w14:paraId="0F7FD9F4" w14:textId="77777777" w:rsidR="00F74E48" w:rsidRPr="00F74E48" w:rsidRDefault="00F74E48" w:rsidP="00F74E48">
            <w:pPr>
              <w:widowControl w:val="0"/>
              <w:spacing w:line="360" w:lineRule="auto"/>
              <w:jc w:val="both"/>
              <w:rPr>
                <w:rFonts w:ascii="Book Antiqua" w:hAnsi="Book Antiqua" w:cs="Book Antiqua"/>
                <w:color w:val="000000"/>
                <w:lang w:eastAsia="zh-CN"/>
              </w:rPr>
            </w:pPr>
            <w:r w:rsidRPr="00F74E48">
              <w:rPr>
                <w:rFonts w:ascii="Book Antiqua" w:eastAsia="Book Antiqua" w:hAnsi="Book Antiqua" w:cs="Book Antiqua"/>
                <w:color w:val="000000"/>
              </w:rPr>
              <w:t xml:space="preserve">It has been associated with several cases of clinically apparent liver injury with jaundice. Although the liver injury was severe, it was usually self-limiting, with complete recovery within 2 </w:t>
            </w:r>
            <w:proofErr w:type="spellStart"/>
            <w:r>
              <w:rPr>
                <w:rFonts w:ascii="Book Antiqua" w:hAnsi="Book Antiqua" w:cs="Book Antiqua" w:hint="eastAsia"/>
                <w:color w:val="000000"/>
                <w:lang w:eastAsia="zh-CN"/>
              </w:rPr>
              <w:t>mo</w:t>
            </w:r>
            <w:proofErr w:type="spellEnd"/>
            <w:r>
              <w:rPr>
                <w:rFonts w:ascii="Book Antiqua" w:hAnsi="Book Antiqua" w:cs="Book Antiqua" w:hint="eastAsia"/>
                <w:color w:val="000000"/>
                <w:lang w:eastAsia="zh-CN"/>
              </w:rPr>
              <w:t xml:space="preserve"> </w:t>
            </w:r>
            <w:r w:rsidRPr="00F74E48">
              <w:rPr>
                <w:rFonts w:ascii="Book Antiqua" w:eastAsia="Book Antiqua" w:hAnsi="Book Antiqua" w:cs="Book Antiqua"/>
                <w:color w:val="000000"/>
              </w:rPr>
              <w:t>to 3 mo. In at least one case, however, the affected patient died of liver failure. Current recommendations are patient monitoring by routine liver tests before medication. In registration trials, serum aminotransferase elevations occurred in a high proportion (10% to 50%) of patients</w:t>
            </w:r>
          </w:p>
        </w:tc>
        <w:tc>
          <w:tcPr>
            <w:tcW w:w="1676" w:type="dxa"/>
            <w:shd w:val="clear" w:color="auto" w:fill="auto"/>
          </w:tcPr>
          <w:p w14:paraId="36D92255" w14:textId="77777777" w:rsidR="00F74E48" w:rsidRPr="00F74E48" w:rsidRDefault="00F74E48" w:rsidP="00F74E48">
            <w:pPr>
              <w:widowControl w:val="0"/>
              <w:spacing w:line="360" w:lineRule="auto"/>
              <w:jc w:val="both"/>
              <w:rPr>
                <w:rFonts w:ascii="Book Antiqua" w:eastAsia="Book Antiqua" w:hAnsi="Book Antiqua" w:cs="Book Antiqua"/>
                <w:color w:val="000000"/>
              </w:rPr>
            </w:pPr>
            <w:r w:rsidRPr="00F74E48">
              <w:rPr>
                <w:rFonts w:ascii="Book Antiqua" w:eastAsia="Book Antiqua" w:hAnsi="Book Antiqua" w:cs="Book Antiqua"/>
                <w:color w:val="000000"/>
              </w:rPr>
              <w:t>C</w:t>
            </w:r>
          </w:p>
        </w:tc>
      </w:tr>
      <w:tr w:rsidR="00F74E48" w:rsidRPr="00F74E48" w14:paraId="0C534325" w14:textId="77777777" w:rsidTr="005279CB">
        <w:trPr>
          <w:trHeight w:val="2355"/>
        </w:trPr>
        <w:tc>
          <w:tcPr>
            <w:tcW w:w="1725" w:type="dxa"/>
            <w:shd w:val="clear" w:color="auto" w:fill="auto"/>
          </w:tcPr>
          <w:p w14:paraId="7D0B4BFA" w14:textId="77777777" w:rsidR="00F74E48" w:rsidRPr="00F74E48" w:rsidRDefault="00F74E48" w:rsidP="00F74E48">
            <w:pPr>
              <w:widowControl w:val="0"/>
              <w:spacing w:line="360" w:lineRule="auto"/>
              <w:jc w:val="both"/>
              <w:rPr>
                <w:rFonts w:ascii="Book Antiqua" w:eastAsia="Book Antiqua" w:hAnsi="Book Antiqua" w:cs="Book Antiqua"/>
                <w:color w:val="000000"/>
              </w:rPr>
            </w:pPr>
            <w:r w:rsidRPr="00F74E48">
              <w:rPr>
                <w:rFonts w:ascii="Book Antiqua" w:eastAsia="Book Antiqua" w:hAnsi="Book Antiqua" w:cs="Book Antiqua"/>
                <w:color w:val="000000"/>
              </w:rPr>
              <w:t>Remdesivir</w:t>
            </w:r>
          </w:p>
        </w:tc>
        <w:tc>
          <w:tcPr>
            <w:tcW w:w="6175" w:type="dxa"/>
            <w:shd w:val="clear" w:color="auto" w:fill="auto"/>
          </w:tcPr>
          <w:p w14:paraId="356EB221" w14:textId="77777777" w:rsidR="00F74E48" w:rsidRPr="00F74E48" w:rsidRDefault="00F74E48" w:rsidP="00F74E48">
            <w:pPr>
              <w:widowControl w:val="0"/>
              <w:spacing w:line="360" w:lineRule="auto"/>
              <w:jc w:val="both"/>
              <w:rPr>
                <w:rFonts w:ascii="Book Antiqua" w:hAnsi="Book Antiqua"/>
                <w:lang w:eastAsia="zh-CN"/>
              </w:rPr>
            </w:pPr>
            <w:r w:rsidRPr="00F74E48">
              <w:rPr>
                <w:rFonts w:ascii="Book Antiqua" w:eastAsia="Book Antiqua" w:hAnsi="Book Antiqua" w:cs="Book Antiqua"/>
                <w:color w:val="000000"/>
                <w:highlight w:val="white"/>
              </w:rPr>
              <w:t xml:space="preserve">Between 10% and 50% of patients treated developed transient, mild-to-moderate serum ALT </w:t>
            </w:r>
            <w:r w:rsidRPr="00F74E48">
              <w:rPr>
                <w:rFonts w:ascii="Book Antiqua" w:eastAsia="Book Antiqua" w:hAnsi="Book Antiqua" w:cs="Book Antiqua"/>
                <w:highlight w:val="white"/>
              </w:rPr>
              <w:t xml:space="preserve">and </w:t>
            </w:r>
            <w:hyperlink r:id="rId7">
              <w:r w:rsidRPr="00F74E48">
                <w:rPr>
                  <w:rFonts w:ascii="Book Antiqua" w:eastAsia="Book Antiqua" w:hAnsi="Book Antiqua" w:cs="Book Antiqua"/>
                  <w:color w:val="000000"/>
                  <w:highlight w:val="white"/>
                </w:rPr>
                <w:t>AST</w:t>
              </w:r>
            </w:hyperlink>
            <w:r w:rsidRPr="00F74E48">
              <w:rPr>
                <w:rFonts w:ascii="Book Antiqua" w:hAnsi="Book Antiqua"/>
              </w:rPr>
              <w:t xml:space="preserve"> </w:t>
            </w:r>
            <w:r w:rsidRPr="00F74E48">
              <w:rPr>
                <w:rFonts w:ascii="Book Antiqua" w:eastAsia="Book Antiqua" w:hAnsi="Book Antiqua" w:cs="Book Antiqua"/>
                <w:highlight w:val="white"/>
              </w:rPr>
              <w:t xml:space="preserve">elevations </w:t>
            </w:r>
            <w:r w:rsidRPr="00F74E48">
              <w:rPr>
                <w:rFonts w:ascii="Book Antiqua" w:eastAsia="Book Antiqua" w:hAnsi="Book Antiqua" w:cs="Book Antiqua"/>
                <w:color w:val="000000"/>
                <w:highlight w:val="white"/>
              </w:rPr>
              <w:t xml:space="preserve">within 1 </w:t>
            </w:r>
            <w:r>
              <w:rPr>
                <w:rFonts w:ascii="Book Antiqua" w:hAnsi="Book Antiqua" w:cs="Book Antiqua" w:hint="eastAsia"/>
                <w:color w:val="000000"/>
                <w:highlight w:val="white"/>
                <w:lang w:eastAsia="zh-CN"/>
              </w:rPr>
              <w:t xml:space="preserve">d </w:t>
            </w:r>
            <w:r w:rsidRPr="00F74E48">
              <w:rPr>
                <w:rFonts w:ascii="Book Antiqua" w:eastAsia="Book Antiqua" w:hAnsi="Book Antiqua" w:cs="Book Antiqua"/>
                <w:color w:val="000000"/>
                <w:highlight w:val="white"/>
              </w:rPr>
              <w:t>to 5 d of starting therapy without changes in serum bilirubin or alkaline phosphatase levels. Elevations above 5 times ULN were reported in up to 9% of patients in several clinical trials, but the abnormalities resolved with discontinuance and were not associated with a clinically apparent injury</w:t>
            </w:r>
          </w:p>
        </w:tc>
        <w:tc>
          <w:tcPr>
            <w:tcW w:w="1676" w:type="dxa"/>
            <w:shd w:val="clear" w:color="auto" w:fill="auto"/>
          </w:tcPr>
          <w:p w14:paraId="72B45CA6" w14:textId="77777777" w:rsidR="00F74E48" w:rsidRPr="00F74E48" w:rsidRDefault="00F74E48" w:rsidP="00F74E48">
            <w:pPr>
              <w:widowControl w:val="0"/>
              <w:spacing w:line="360" w:lineRule="auto"/>
              <w:jc w:val="both"/>
              <w:rPr>
                <w:rFonts w:ascii="Book Antiqua" w:eastAsia="Book Antiqua" w:hAnsi="Book Antiqua" w:cs="Book Antiqua"/>
                <w:color w:val="000000"/>
              </w:rPr>
            </w:pPr>
            <w:r w:rsidRPr="00F74E48">
              <w:rPr>
                <w:rFonts w:ascii="Book Antiqua" w:eastAsia="Book Antiqua" w:hAnsi="Book Antiqua" w:cs="Book Antiqua"/>
                <w:color w:val="000000"/>
              </w:rPr>
              <w:t>D</w:t>
            </w:r>
          </w:p>
        </w:tc>
      </w:tr>
      <w:tr w:rsidR="00F74E48" w:rsidRPr="00F74E48" w14:paraId="7F7349D9" w14:textId="77777777" w:rsidTr="005279CB">
        <w:trPr>
          <w:trHeight w:val="1057"/>
        </w:trPr>
        <w:tc>
          <w:tcPr>
            <w:tcW w:w="1725" w:type="dxa"/>
            <w:shd w:val="clear" w:color="auto" w:fill="auto"/>
          </w:tcPr>
          <w:p w14:paraId="71439936" w14:textId="77777777" w:rsidR="00F74E48" w:rsidRPr="00F74E48" w:rsidRDefault="00F74E48" w:rsidP="00F74E48">
            <w:pPr>
              <w:widowControl w:val="0"/>
              <w:spacing w:line="360" w:lineRule="auto"/>
              <w:jc w:val="both"/>
              <w:rPr>
                <w:rFonts w:ascii="Book Antiqua" w:eastAsia="Book Antiqua" w:hAnsi="Book Antiqua" w:cs="Book Antiqua"/>
                <w:color w:val="000000"/>
              </w:rPr>
            </w:pPr>
            <w:r w:rsidRPr="00F74E48">
              <w:rPr>
                <w:rFonts w:ascii="Book Antiqua" w:eastAsia="Book Antiqua" w:hAnsi="Book Antiqua" w:cs="Book Antiqua"/>
                <w:color w:val="000000"/>
              </w:rPr>
              <w:t>Nevirapine</w:t>
            </w:r>
          </w:p>
        </w:tc>
        <w:tc>
          <w:tcPr>
            <w:tcW w:w="6175" w:type="dxa"/>
            <w:shd w:val="clear" w:color="auto" w:fill="auto"/>
          </w:tcPr>
          <w:p w14:paraId="4959A45A" w14:textId="77777777" w:rsidR="00F74E48" w:rsidRPr="00F74E48" w:rsidRDefault="00F74E48" w:rsidP="005279CB">
            <w:pPr>
              <w:widowControl w:val="0"/>
              <w:spacing w:line="360" w:lineRule="auto"/>
              <w:jc w:val="both"/>
              <w:rPr>
                <w:rFonts w:ascii="Book Antiqua" w:hAnsi="Book Antiqua" w:cs="Book Antiqua"/>
                <w:color w:val="000000"/>
                <w:lang w:eastAsia="zh-CN"/>
              </w:rPr>
            </w:pPr>
            <w:r w:rsidRPr="00F74E48">
              <w:rPr>
                <w:rFonts w:ascii="Book Antiqua" w:eastAsia="Book Antiqua" w:hAnsi="Book Antiqua" w:cs="Book Antiqua"/>
                <w:color w:val="000000"/>
              </w:rPr>
              <w:t xml:space="preserve">Associated with significant elevations in ALT (above 5 times the </w:t>
            </w:r>
            <w:r w:rsidR="005279CB">
              <w:rPr>
                <w:rFonts w:ascii="Book Antiqua" w:hAnsi="Book Antiqua" w:cs="Book Antiqua" w:hint="eastAsia"/>
                <w:color w:val="000000"/>
                <w:lang w:eastAsia="zh-CN"/>
              </w:rPr>
              <w:t>ULN</w:t>
            </w:r>
            <w:r w:rsidRPr="00F74E48">
              <w:rPr>
                <w:rFonts w:ascii="Book Antiqua" w:eastAsia="Book Antiqua" w:hAnsi="Book Antiqua" w:cs="Book Antiqua"/>
                <w:color w:val="000000"/>
              </w:rPr>
              <w:t>) in 4% to 20% of patients and symptomatic elevations in 1% to 5%</w:t>
            </w:r>
          </w:p>
        </w:tc>
        <w:tc>
          <w:tcPr>
            <w:tcW w:w="1676" w:type="dxa"/>
            <w:shd w:val="clear" w:color="auto" w:fill="auto"/>
          </w:tcPr>
          <w:p w14:paraId="0F02F4BA" w14:textId="77777777" w:rsidR="00F74E48" w:rsidRPr="00F74E48" w:rsidRDefault="00F74E48" w:rsidP="00F74E48">
            <w:pPr>
              <w:widowControl w:val="0"/>
              <w:spacing w:line="360" w:lineRule="auto"/>
              <w:jc w:val="both"/>
              <w:rPr>
                <w:rFonts w:ascii="Book Antiqua" w:eastAsia="Book Antiqua" w:hAnsi="Book Antiqua" w:cs="Book Antiqua"/>
                <w:color w:val="000000"/>
              </w:rPr>
            </w:pPr>
            <w:r w:rsidRPr="00F74E48">
              <w:rPr>
                <w:rFonts w:ascii="Book Antiqua" w:eastAsia="Book Antiqua" w:hAnsi="Book Antiqua" w:cs="Book Antiqua"/>
                <w:color w:val="000000"/>
              </w:rPr>
              <w:t>A</w:t>
            </w:r>
          </w:p>
        </w:tc>
      </w:tr>
      <w:tr w:rsidR="00F74E48" w:rsidRPr="00F74E48" w14:paraId="7E03A700" w14:textId="77777777" w:rsidTr="005279CB">
        <w:trPr>
          <w:trHeight w:val="992"/>
        </w:trPr>
        <w:tc>
          <w:tcPr>
            <w:tcW w:w="1725" w:type="dxa"/>
            <w:tcBorders>
              <w:bottom w:val="single" w:sz="4" w:space="0" w:color="auto"/>
            </w:tcBorders>
            <w:shd w:val="clear" w:color="auto" w:fill="auto"/>
          </w:tcPr>
          <w:p w14:paraId="04E51893" w14:textId="77777777" w:rsidR="00F74E48" w:rsidRPr="00F74E48" w:rsidRDefault="00F74E48" w:rsidP="00F74E48">
            <w:pPr>
              <w:widowControl w:val="0"/>
              <w:spacing w:line="360" w:lineRule="auto"/>
              <w:jc w:val="both"/>
              <w:rPr>
                <w:rFonts w:ascii="Book Antiqua" w:eastAsia="Book Antiqua" w:hAnsi="Book Antiqua" w:cs="Book Antiqua"/>
                <w:color w:val="000000"/>
              </w:rPr>
            </w:pPr>
            <w:r w:rsidRPr="00F74E48">
              <w:rPr>
                <w:rFonts w:ascii="Book Antiqua" w:eastAsia="Book Antiqua" w:hAnsi="Book Antiqua" w:cs="Book Antiqua"/>
                <w:color w:val="000000"/>
              </w:rPr>
              <w:t>Ivermectin</w:t>
            </w:r>
          </w:p>
        </w:tc>
        <w:tc>
          <w:tcPr>
            <w:tcW w:w="6175" w:type="dxa"/>
            <w:tcBorders>
              <w:bottom w:val="single" w:sz="4" w:space="0" w:color="auto"/>
            </w:tcBorders>
            <w:shd w:val="clear" w:color="auto" w:fill="auto"/>
          </w:tcPr>
          <w:p w14:paraId="63EC73ED" w14:textId="77777777" w:rsidR="00F74E48" w:rsidRPr="00F74E48" w:rsidRDefault="00F74E48" w:rsidP="00F74E48">
            <w:pPr>
              <w:widowControl w:val="0"/>
              <w:spacing w:line="360" w:lineRule="auto"/>
              <w:jc w:val="both"/>
              <w:rPr>
                <w:rFonts w:ascii="Book Antiqua" w:hAnsi="Book Antiqua" w:cs="Book Antiqua"/>
                <w:color w:val="000000"/>
                <w:lang w:eastAsia="zh-CN"/>
              </w:rPr>
            </w:pPr>
            <w:r w:rsidRPr="00F74E48">
              <w:rPr>
                <w:rFonts w:ascii="Book Antiqua" w:eastAsia="Book Antiqua" w:hAnsi="Book Antiqua" w:cs="Book Antiqua"/>
                <w:color w:val="000000"/>
              </w:rPr>
              <w:t>Associated with minor, self-limiting elevations in serum aminotransferase and sporadic cases of clinically apparent liver damage. Post COVID-19 data have not been assessed</w:t>
            </w:r>
          </w:p>
        </w:tc>
        <w:tc>
          <w:tcPr>
            <w:tcW w:w="1676" w:type="dxa"/>
            <w:tcBorders>
              <w:bottom w:val="single" w:sz="4" w:space="0" w:color="auto"/>
            </w:tcBorders>
            <w:shd w:val="clear" w:color="auto" w:fill="auto"/>
          </w:tcPr>
          <w:p w14:paraId="0128319B" w14:textId="77777777" w:rsidR="00F74E48" w:rsidRPr="00F74E48" w:rsidRDefault="00F74E48" w:rsidP="00F74E48">
            <w:pPr>
              <w:widowControl w:val="0"/>
              <w:spacing w:line="360" w:lineRule="auto"/>
              <w:jc w:val="both"/>
              <w:rPr>
                <w:rFonts w:ascii="Book Antiqua" w:eastAsia="Book Antiqua" w:hAnsi="Book Antiqua" w:cs="Book Antiqua"/>
                <w:color w:val="000000"/>
              </w:rPr>
            </w:pPr>
            <w:r w:rsidRPr="00F74E48">
              <w:rPr>
                <w:rFonts w:ascii="Book Antiqua" w:eastAsia="Book Antiqua" w:hAnsi="Book Antiqua" w:cs="Book Antiqua"/>
                <w:color w:val="000000"/>
              </w:rPr>
              <w:t>D</w:t>
            </w:r>
          </w:p>
        </w:tc>
      </w:tr>
    </w:tbl>
    <w:p w14:paraId="6D2AA4D5" w14:textId="77777777" w:rsidR="005279CB" w:rsidRDefault="00F74E48">
      <w:pPr>
        <w:spacing w:line="360" w:lineRule="auto"/>
        <w:jc w:val="both"/>
        <w:rPr>
          <w:rFonts w:ascii="Book Antiqua" w:hAnsi="Book Antiqua" w:cs="Book Antiqua"/>
          <w:color w:val="000000"/>
          <w:lang w:eastAsia="zh-CN"/>
        </w:rPr>
      </w:pPr>
      <w:r w:rsidRPr="00F74E48">
        <w:rPr>
          <w:rFonts w:ascii="Book Antiqua" w:hAnsi="Book Antiqua"/>
          <w:lang w:eastAsia="zh-CN"/>
        </w:rPr>
        <w:t xml:space="preserve">Adapted from LiverTox© </w:t>
      </w:r>
      <w:proofErr w:type="gramStart"/>
      <w:r w:rsidRPr="00F74E48">
        <w:rPr>
          <w:rFonts w:ascii="Book Antiqua" w:hAnsi="Book Antiqua"/>
          <w:lang w:eastAsia="zh-CN"/>
        </w:rPr>
        <w:t>database</w:t>
      </w:r>
      <w:r w:rsidRPr="00F74E48">
        <w:rPr>
          <w:rFonts w:ascii="Book Antiqua" w:hAnsi="Book Antiqua"/>
          <w:vertAlign w:val="superscript"/>
          <w:lang w:eastAsia="zh-CN"/>
        </w:rPr>
        <w:t>[</w:t>
      </w:r>
      <w:proofErr w:type="gramEnd"/>
      <w:r w:rsidRPr="00F74E48">
        <w:rPr>
          <w:rFonts w:ascii="Book Antiqua" w:hAnsi="Book Antiqua"/>
          <w:vertAlign w:val="superscript"/>
          <w:lang w:eastAsia="zh-CN"/>
        </w:rPr>
        <w:t>27]</w:t>
      </w:r>
      <w:r>
        <w:rPr>
          <w:rFonts w:ascii="Book Antiqua" w:hAnsi="Book Antiqua" w:hint="eastAsia"/>
          <w:lang w:eastAsia="zh-CN"/>
        </w:rPr>
        <w:t xml:space="preserve">. </w:t>
      </w:r>
      <w:r w:rsidRPr="00F74E48">
        <w:rPr>
          <w:rFonts w:ascii="Book Antiqua" w:hAnsi="Book Antiqua"/>
          <w:lang w:eastAsia="zh-CN"/>
        </w:rPr>
        <w:t xml:space="preserve">A: </w:t>
      </w:r>
      <w:r>
        <w:rPr>
          <w:rFonts w:ascii="Book Antiqua" w:hAnsi="Book Antiqua" w:hint="eastAsia"/>
          <w:lang w:eastAsia="zh-CN"/>
        </w:rPr>
        <w:t>W</w:t>
      </w:r>
      <w:r w:rsidRPr="00F74E48">
        <w:rPr>
          <w:rFonts w:ascii="Book Antiqua" w:hAnsi="Book Antiqua"/>
          <w:lang w:eastAsia="zh-CN"/>
        </w:rPr>
        <w:t xml:space="preserve">ell know hepatotoxicity; B: </w:t>
      </w:r>
      <w:r>
        <w:rPr>
          <w:rFonts w:ascii="Book Antiqua" w:hAnsi="Book Antiqua" w:hint="eastAsia"/>
          <w:lang w:eastAsia="zh-CN"/>
        </w:rPr>
        <w:t>H</w:t>
      </w:r>
      <w:r w:rsidRPr="00F74E48">
        <w:rPr>
          <w:rFonts w:ascii="Book Antiqua" w:hAnsi="Book Antiqua"/>
          <w:lang w:eastAsia="zh-CN"/>
        </w:rPr>
        <w:t xml:space="preserve">ighly likely hepatotoxicity; C: </w:t>
      </w:r>
      <w:r>
        <w:rPr>
          <w:rFonts w:ascii="Book Antiqua" w:hAnsi="Book Antiqua" w:hint="eastAsia"/>
          <w:lang w:eastAsia="zh-CN"/>
        </w:rPr>
        <w:t>P</w:t>
      </w:r>
      <w:r w:rsidRPr="00F74E48">
        <w:rPr>
          <w:rFonts w:ascii="Book Antiqua" w:hAnsi="Book Antiqua"/>
          <w:lang w:eastAsia="zh-CN"/>
        </w:rPr>
        <w:t xml:space="preserve">robably hepatotoxicity; D: </w:t>
      </w:r>
      <w:r>
        <w:rPr>
          <w:rFonts w:ascii="Book Antiqua" w:hAnsi="Book Antiqua" w:hint="eastAsia"/>
          <w:lang w:eastAsia="zh-CN"/>
        </w:rPr>
        <w:t>P</w:t>
      </w:r>
      <w:r w:rsidRPr="00F74E48">
        <w:rPr>
          <w:rFonts w:ascii="Book Antiqua" w:hAnsi="Book Antiqua"/>
          <w:lang w:eastAsia="zh-CN"/>
        </w:rPr>
        <w:t>ossible hepatotoxicity</w:t>
      </w:r>
      <w:r>
        <w:rPr>
          <w:rFonts w:ascii="Book Antiqua" w:hAnsi="Book Antiqua" w:hint="eastAsia"/>
          <w:lang w:eastAsia="zh-CN"/>
        </w:rPr>
        <w:t xml:space="preserve">; </w:t>
      </w:r>
      <w:r w:rsidRPr="00B66013">
        <w:rPr>
          <w:rFonts w:ascii="Book Antiqua" w:eastAsia="Book Antiqua" w:hAnsi="Book Antiqua" w:cs="Book Antiqua"/>
          <w:color w:val="000000"/>
        </w:rPr>
        <w:t xml:space="preserve">COVID-19: </w:t>
      </w:r>
      <w:r>
        <w:rPr>
          <w:rFonts w:ascii="Book Antiqua" w:hAnsi="Book Antiqua" w:cs="Book Antiqua" w:hint="eastAsia"/>
          <w:color w:val="000000"/>
          <w:lang w:eastAsia="zh-CN"/>
        </w:rPr>
        <w:t>C</w:t>
      </w:r>
      <w:r w:rsidRPr="00B66013">
        <w:rPr>
          <w:rFonts w:ascii="Book Antiqua" w:eastAsia="Book Antiqua" w:hAnsi="Book Antiqua" w:cs="Book Antiqua"/>
          <w:color w:val="000000"/>
        </w:rPr>
        <w:t>oronavirus disease 2019;</w:t>
      </w:r>
      <w:r>
        <w:rPr>
          <w:rFonts w:ascii="Book Antiqua" w:hAnsi="Book Antiqua" w:cs="Book Antiqua" w:hint="eastAsia"/>
          <w:color w:val="000000"/>
          <w:lang w:eastAsia="zh-CN"/>
        </w:rPr>
        <w:t xml:space="preserve"> </w:t>
      </w:r>
      <w:r w:rsidRPr="00313B45">
        <w:rPr>
          <w:rFonts w:ascii="Book Antiqua" w:eastAsia="Book Antiqua" w:hAnsi="Book Antiqua" w:cs="Book Antiqua"/>
          <w:color w:val="000000"/>
        </w:rPr>
        <w:t xml:space="preserve">ALT: </w:t>
      </w:r>
      <w:bookmarkStart w:id="3" w:name="_Hlk57819308"/>
      <w:r>
        <w:rPr>
          <w:rFonts w:ascii="Book Antiqua" w:hAnsi="Book Antiqua" w:cs="Book Antiqua" w:hint="eastAsia"/>
          <w:color w:val="000000"/>
          <w:lang w:eastAsia="zh-CN"/>
        </w:rPr>
        <w:t>A</w:t>
      </w:r>
      <w:r w:rsidRPr="00313B45">
        <w:rPr>
          <w:rFonts w:ascii="Book Antiqua" w:eastAsia="Book Antiqua" w:hAnsi="Book Antiqua" w:cs="Book Antiqua"/>
          <w:color w:val="000000"/>
        </w:rPr>
        <w:t>lanine aminotransferase</w:t>
      </w:r>
      <w:bookmarkEnd w:id="3"/>
      <w:r w:rsidRPr="00313B45">
        <w:rPr>
          <w:rFonts w:ascii="Book Antiqua" w:eastAsia="Book Antiqua" w:hAnsi="Book Antiqua" w:cs="Book Antiqua"/>
          <w:color w:val="000000"/>
        </w:rPr>
        <w:t xml:space="preserve">; </w:t>
      </w:r>
      <w:r w:rsidRPr="007B27E7">
        <w:rPr>
          <w:rFonts w:ascii="Book Antiqua" w:eastAsia="Book Antiqua" w:hAnsi="Book Antiqua" w:cs="Book Antiqua"/>
          <w:color w:val="000000"/>
        </w:rPr>
        <w:t xml:space="preserve">AST: </w:t>
      </w:r>
      <w:bookmarkStart w:id="4" w:name="_Hlk57819330"/>
      <w:r>
        <w:rPr>
          <w:rFonts w:ascii="Book Antiqua" w:hAnsi="Book Antiqua" w:cs="Book Antiqua" w:hint="eastAsia"/>
          <w:color w:val="000000"/>
          <w:lang w:eastAsia="zh-CN"/>
        </w:rPr>
        <w:t>A</w:t>
      </w:r>
      <w:r w:rsidRPr="007B27E7">
        <w:rPr>
          <w:rFonts w:ascii="Book Antiqua" w:eastAsia="Book Antiqua" w:hAnsi="Book Antiqua" w:cs="Book Antiqua"/>
          <w:color w:val="000000"/>
        </w:rPr>
        <w:t>spartate aminotransferase</w:t>
      </w:r>
      <w:bookmarkEnd w:id="4"/>
      <w:r w:rsidRPr="007B27E7">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F74E48">
        <w:rPr>
          <w:rFonts w:ascii="Book Antiqua" w:eastAsia="Book Antiqua" w:hAnsi="Book Antiqua" w:cs="Book Antiqua"/>
          <w:color w:val="000000"/>
          <w:highlight w:val="white"/>
        </w:rPr>
        <w:t>ULN</w:t>
      </w:r>
      <w:r>
        <w:rPr>
          <w:rFonts w:ascii="Book Antiqua" w:hAnsi="Book Antiqua" w:cs="Book Antiqua" w:hint="eastAsia"/>
          <w:color w:val="000000"/>
          <w:lang w:eastAsia="zh-CN"/>
        </w:rPr>
        <w:t>: U</w:t>
      </w:r>
      <w:r>
        <w:rPr>
          <w:rFonts w:ascii="Book Antiqua" w:eastAsia="Book Antiqua" w:hAnsi="Book Antiqua" w:cs="Book Antiqua"/>
          <w:color w:val="000000"/>
        </w:rPr>
        <w:t>pper limit of normal</w:t>
      </w:r>
      <w:r>
        <w:rPr>
          <w:rFonts w:ascii="Book Antiqua" w:hAnsi="Book Antiqua" w:cs="Book Antiqua" w:hint="eastAsia"/>
          <w:color w:val="000000"/>
          <w:lang w:eastAsia="zh-CN"/>
        </w:rPr>
        <w:t>.</w:t>
      </w:r>
    </w:p>
    <w:p w14:paraId="18027219" w14:textId="77777777" w:rsidR="00F74E48" w:rsidRDefault="005279CB">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5279CB">
        <w:rPr>
          <w:rFonts w:ascii="Book Antiqua" w:hAnsi="Book Antiqua" w:cs="Book Antiqua"/>
          <w:b/>
          <w:color w:val="000000"/>
          <w:lang w:eastAsia="zh-CN"/>
        </w:rPr>
        <w:t xml:space="preserve">Table 3 Hepatoxicity of adjuvant therapy medications for </w:t>
      </w:r>
      <w:r w:rsidRPr="005279CB">
        <w:rPr>
          <w:rFonts w:ascii="Book Antiqua" w:hAnsi="Book Antiqua" w:cs="Book Antiqua" w:hint="eastAsia"/>
          <w:b/>
          <w:color w:val="000000"/>
          <w:lang w:eastAsia="zh-CN"/>
        </w:rPr>
        <w:t>c</w:t>
      </w:r>
      <w:r w:rsidRPr="005279CB">
        <w:rPr>
          <w:rFonts w:ascii="Book Antiqua" w:eastAsia="Book Antiqua" w:hAnsi="Book Antiqua" w:cs="Book Antiqua"/>
          <w:b/>
          <w:color w:val="000000"/>
        </w:rPr>
        <w:t>oronavirus disease 2019</w:t>
      </w:r>
      <w:r w:rsidRPr="005279CB">
        <w:rPr>
          <w:rFonts w:ascii="Book Antiqua" w:hAnsi="Book Antiqua" w:cs="Book Antiqua"/>
          <w:b/>
          <w:color w:val="000000"/>
          <w:lang w:eastAsia="zh-CN"/>
        </w:rPr>
        <w:t xml:space="preserve"> treatment</w:t>
      </w:r>
    </w:p>
    <w:tbl>
      <w:tblPr>
        <w:tblW w:w="5000" w:type="pct"/>
        <w:tblLayout w:type="fixed"/>
        <w:tblLook w:val="04A0" w:firstRow="1" w:lastRow="0" w:firstColumn="1" w:lastColumn="0" w:noHBand="0" w:noVBand="1"/>
      </w:tblPr>
      <w:tblGrid>
        <w:gridCol w:w="1819"/>
        <w:gridCol w:w="6116"/>
        <w:gridCol w:w="1641"/>
      </w:tblGrid>
      <w:tr w:rsidR="005279CB" w:rsidRPr="005279CB" w14:paraId="4B084C20" w14:textId="77777777" w:rsidTr="00B71C23">
        <w:trPr>
          <w:trHeight w:val="425"/>
        </w:trPr>
        <w:tc>
          <w:tcPr>
            <w:tcW w:w="1819" w:type="dxa"/>
            <w:tcBorders>
              <w:top w:val="single" w:sz="4" w:space="0" w:color="auto"/>
              <w:bottom w:val="single" w:sz="4" w:space="0" w:color="auto"/>
            </w:tcBorders>
            <w:shd w:val="clear" w:color="auto" w:fill="auto"/>
          </w:tcPr>
          <w:p w14:paraId="30DFE028" w14:textId="77777777" w:rsidR="005279CB" w:rsidRPr="005279CB" w:rsidRDefault="005279CB" w:rsidP="005279CB">
            <w:pPr>
              <w:widowControl w:val="0"/>
              <w:spacing w:line="360" w:lineRule="auto"/>
              <w:jc w:val="both"/>
              <w:rPr>
                <w:rFonts w:ascii="Book Antiqua" w:eastAsia="Book Antiqua" w:hAnsi="Book Antiqua" w:cs="Book Antiqua"/>
                <w:b/>
                <w:color w:val="000000"/>
              </w:rPr>
            </w:pPr>
            <w:r w:rsidRPr="005279CB">
              <w:rPr>
                <w:rFonts w:ascii="Book Antiqua" w:eastAsia="Book Antiqua" w:hAnsi="Book Antiqua" w:cs="Book Antiqua"/>
                <w:b/>
                <w:color w:val="000000"/>
              </w:rPr>
              <w:t>Drug</w:t>
            </w:r>
          </w:p>
        </w:tc>
        <w:tc>
          <w:tcPr>
            <w:tcW w:w="6116" w:type="dxa"/>
            <w:tcBorders>
              <w:top w:val="single" w:sz="4" w:space="0" w:color="auto"/>
              <w:bottom w:val="single" w:sz="4" w:space="0" w:color="auto"/>
            </w:tcBorders>
            <w:shd w:val="clear" w:color="auto" w:fill="auto"/>
          </w:tcPr>
          <w:p w14:paraId="17A7256B" w14:textId="77777777" w:rsidR="005279CB" w:rsidRPr="005279CB" w:rsidRDefault="005279CB" w:rsidP="005279CB">
            <w:pPr>
              <w:widowControl w:val="0"/>
              <w:spacing w:line="360" w:lineRule="auto"/>
              <w:jc w:val="both"/>
              <w:rPr>
                <w:rFonts w:ascii="Book Antiqua" w:eastAsia="Book Antiqua" w:hAnsi="Book Antiqua" w:cs="Book Antiqua"/>
                <w:b/>
                <w:color w:val="000000"/>
              </w:rPr>
            </w:pPr>
            <w:r w:rsidRPr="005279CB">
              <w:rPr>
                <w:rFonts w:ascii="Book Antiqua" w:eastAsia="Book Antiqua" w:hAnsi="Book Antiqua" w:cs="Book Antiqua"/>
                <w:b/>
                <w:color w:val="000000"/>
              </w:rPr>
              <w:t>Evidence of hepatotoxicity</w:t>
            </w:r>
          </w:p>
        </w:tc>
        <w:tc>
          <w:tcPr>
            <w:tcW w:w="1641" w:type="dxa"/>
            <w:tcBorders>
              <w:top w:val="single" w:sz="4" w:space="0" w:color="auto"/>
              <w:bottom w:val="single" w:sz="4" w:space="0" w:color="auto"/>
            </w:tcBorders>
            <w:shd w:val="clear" w:color="auto" w:fill="auto"/>
          </w:tcPr>
          <w:p w14:paraId="025326E8" w14:textId="77777777" w:rsidR="005279CB" w:rsidRPr="005279CB" w:rsidRDefault="005279CB" w:rsidP="005279CB">
            <w:pPr>
              <w:widowControl w:val="0"/>
              <w:spacing w:line="360" w:lineRule="auto"/>
              <w:jc w:val="both"/>
              <w:rPr>
                <w:rFonts w:ascii="Book Antiqua" w:eastAsia="Book Antiqua" w:hAnsi="Book Antiqua" w:cs="Book Antiqua"/>
                <w:b/>
                <w:color w:val="000000"/>
              </w:rPr>
            </w:pPr>
            <w:r w:rsidRPr="005279CB">
              <w:rPr>
                <w:rFonts w:ascii="Book Antiqua" w:eastAsia="Book Antiqua" w:hAnsi="Book Antiqua" w:cs="Book Antiqua"/>
                <w:b/>
                <w:color w:val="000000"/>
              </w:rPr>
              <w:t>Probability</w:t>
            </w:r>
          </w:p>
        </w:tc>
      </w:tr>
      <w:tr w:rsidR="005279CB" w:rsidRPr="005279CB" w14:paraId="713ECEE0" w14:textId="77777777" w:rsidTr="00B71C23">
        <w:trPr>
          <w:trHeight w:val="1473"/>
        </w:trPr>
        <w:tc>
          <w:tcPr>
            <w:tcW w:w="1819" w:type="dxa"/>
            <w:tcBorders>
              <w:top w:val="single" w:sz="4" w:space="0" w:color="auto"/>
            </w:tcBorders>
            <w:shd w:val="clear" w:color="auto" w:fill="auto"/>
          </w:tcPr>
          <w:p w14:paraId="185D4A29" w14:textId="77777777" w:rsidR="005279CB" w:rsidRPr="005279CB" w:rsidRDefault="005279CB" w:rsidP="005279CB">
            <w:pPr>
              <w:widowControl w:val="0"/>
              <w:spacing w:line="360" w:lineRule="auto"/>
              <w:jc w:val="both"/>
              <w:rPr>
                <w:rFonts w:ascii="Book Antiqua" w:eastAsia="Book Antiqua" w:hAnsi="Book Antiqua" w:cs="Book Antiqua"/>
                <w:color w:val="000000"/>
              </w:rPr>
            </w:pPr>
            <w:r w:rsidRPr="005279CB">
              <w:rPr>
                <w:rFonts w:ascii="Book Antiqua" w:eastAsia="Book Antiqua" w:hAnsi="Book Antiqua" w:cs="Book Antiqua"/>
                <w:color w:val="000000"/>
              </w:rPr>
              <w:t>Heparin</w:t>
            </w:r>
          </w:p>
        </w:tc>
        <w:tc>
          <w:tcPr>
            <w:tcW w:w="6116" w:type="dxa"/>
            <w:tcBorders>
              <w:top w:val="single" w:sz="4" w:space="0" w:color="auto"/>
            </w:tcBorders>
            <w:shd w:val="clear" w:color="auto" w:fill="auto"/>
          </w:tcPr>
          <w:p w14:paraId="4DF2CBE7" w14:textId="77777777" w:rsidR="005279CB" w:rsidRPr="005279CB" w:rsidRDefault="005279CB" w:rsidP="005279CB">
            <w:pPr>
              <w:widowControl w:val="0"/>
              <w:spacing w:line="360" w:lineRule="auto"/>
              <w:jc w:val="both"/>
              <w:rPr>
                <w:rFonts w:ascii="Book Antiqua" w:hAnsi="Book Antiqua"/>
                <w:color w:val="000000"/>
                <w:lang w:eastAsia="zh-CN"/>
              </w:rPr>
            </w:pPr>
            <w:r w:rsidRPr="005279CB">
              <w:rPr>
                <w:rFonts w:ascii="Book Antiqua" w:eastAsia="Book Antiqua" w:hAnsi="Book Antiqua" w:cs="Book Antiqua"/>
                <w:color w:val="000000"/>
              </w:rPr>
              <w:t>Associated with a transient elevation of 10</w:t>
            </w:r>
            <w:r>
              <w:rPr>
                <w:rFonts w:ascii="Book Antiqua" w:hAnsi="Book Antiqua" w:cs="Book Antiqua" w:hint="eastAsia"/>
                <w:color w:val="000000"/>
                <w:lang w:eastAsia="zh-CN"/>
              </w:rPr>
              <w:t>%</w:t>
            </w:r>
            <w:r w:rsidRPr="005279CB">
              <w:rPr>
                <w:rFonts w:ascii="Book Antiqua" w:eastAsia="Book Antiqua" w:hAnsi="Book Antiqua" w:cs="Book Antiqua"/>
                <w:color w:val="000000"/>
              </w:rPr>
              <w:t xml:space="preserve"> to 60%, but the values </w:t>
            </w:r>
            <w:r w:rsidRPr="005279CB">
              <w:rPr>
                <w:rFonts w:eastAsia="Times New Roman"/>
                <w:color w:val="000000"/>
              </w:rPr>
              <w:t>​​</w:t>
            </w:r>
            <w:r w:rsidRPr="005279CB">
              <w:rPr>
                <w:rFonts w:ascii="Book Antiqua" w:eastAsia="Book Antiqua" w:hAnsi="Book Antiqua" w:cs="Book Antiqua"/>
                <w:color w:val="000000"/>
              </w:rPr>
              <w:t xml:space="preserve">are generally less than 5 times the upper limit of normal and are rarely associated with symptoms or jaundice. Values </w:t>
            </w:r>
            <w:r w:rsidRPr="005279CB">
              <w:rPr>
                <w:rFonts w:eastAsia="Times New Roman"/>
                <w:color w:val="000000"/>
              </w:rPr>
              <w:t>​​</w:t>
            </w:r>
            <w:r w:rsidRPr="005279CB">
              <w:rPr>
                <w:rFonts w:ascii="Book Antiqua" w:eastAsia="Book Antiqua" w:hAnsi="Book Antiqua" w:cs="Book Antiqua"/>
                <w:color w:val="000000"/>
              </w:rPr>
              <w:t>above 5 times the upper limit of normal occur around 2% of those receiving high heparin doses</w:t>
            </w:r>
          </w:p>
        </w:tc>
        <w:tc>
          <w:tcPr>
            <w:tcW w:w="1641" w:type="dxa"/>
            <w:tcBorders>
              <w:top w:val="single" w:sz="4" w:space="0" w:color="auto"/>
            </w:tcBorders>
            <w:shd w:val="clear" w:color="auto" w:fill="auto"/>
          </w:tcPr>
          <w:p w14:paraId="768541EB" w14:textId="77777777" w:rsidR="005279CB" w:rsidRPr="005279CB" w:rsidRDefault="005279CB" w:rsidP="005279CB">
            <w:pPr>
              <w:widowControl w:val="0"/>
              <w:spacing w:line="360" w:lineRule="auto"/>
              <w:jc w:val="both"/>
              <w:rPr>
                <w:rFonts w:ascii="Book Antiqua" w:eastAsia="Book Antiqua" w:hAnsi="Book Antiqua" w:cs="Book Antiqua"/>
              </w:rPr>
            </w:pPr>
            <w:r w:rsidRPr="005279CB">
              <w:rPr>
                <w:rFonts w:ascii="Book Antiqua" w:eastAsia="Book Antiqua" w:hAnsi="Book Antiqua" w:cs="Book Antiqua"/>
                <w:color w:val="000000"/>
              </w:rPr>
              <w:t>NR</w:t>
            </w:r>
          </w:p>
        </w:tc>
      </w:tr>
      <w:tr w:rsidR="005279CB" w:rsidRPr="005279CB" w14:paraId="79D9C9C2" w14:textId="77777777" w:rsidTr="00B71C23">
        <w:trPr>
          <w:trHeight w:val="1344"/>
        </w:trPr>
        <w:tc>
          <w:tcPr>
            <w:tcW w:w="1819" w:type="dxa"/>
            <w:shd w:val="clear" w:color="auto" w:fill="auto"/>
          </w:tcPr>
          <w:p w14:paraId="119366FB" w14:textId="77777777" w:rsidR="005279CB" w:rsidRPr="005279CB" w:rsidRDefault="005279CB" w:rsidP="005279CB">
            <w:pPr>
              <w:widowControl w:val="0"/>
              <w:spacing w:line="360" w:lineRule="auto"/>
              <w:jc w:val="both"/>
              <w:rPr>
                <w:rFonts w:ascii="Book Antiqua" w:eastAsia="Book Antiqua" w:hAnsi="Book Antiqua" w:cs="Book Antiqua"/>
                <w:color w:val="000000"/>
              </w:rPr>
            </w:pPr>
            <w:r w:rsidRPr="005279CB">
              <w:rPr>
                <w:rFonts w:ascii="Book Antiqua" w:eastAsia="Book Antiqua" w:hAnsi="Book Antiqua" w:cs="Book Antiqua"/>
                <w:color w:val="000000"/>
              </w:rPr>
              <w:t>Enoxaparin</w:t>
            </w:r>
          </w:p>
        </w:tc>
        <w:tc>
          <w:tcPr>
            <w:tcW w:w="6116" w:type="dxa"/>
            <w:shd w:val="clear" w:color="auto" w:fill="auto"/>
          </w:tcPr>
          <w:p w14:paraId="5EE26B8C" w14:textId="77777777" w:rsidR="005279CB" w:rsidRPr="005279CB" w:rsidRDefault="005279CB" w:rsidP="005279CB">
            <w:pPr>
              <w:widowControl w:val="0"/>
              <w:spacing w:line="360" w:lineRule="auto"/>
              <w:jc w:val="both"/>
              <w:rPr>
                <w:rFonts w:ascii="Book Antiqua" w:hAnsi="Book Antiqua"/>
                <w:color w:val="000000"/>
                <w:lang w:eastAsia="zh-CN"/>
              </w:rPr>
            </w:pPr>
            <w:r w:rsidRPr="005279CB">
              <w:rPr>
                <w:rFonts w:ascii="Book Antiqua" w:eastAsia="Book Antiqua" w:hAnsi="Book Antiqua" w:cs="Book Antiqua"/>
                <w:color w:val="000000"/>
              </w:rPr>
              <w:t xml:space="preserve">Associated with elevations in serum aminotransferases in 4% to 13% of patients, but values </w:t>
            </w:r>
            <w:r w:rsidRPr="005279CB">
              <w:rPr>
                <w:rFonts w:eastAsia="Times New Roman"/>
                <w:color w:val="000000"/>
              </w:rPr>
              <w:t>​​</w:t>
            </w:r>
            <w:r w:rsidRPr="005279CB">
              <w:rPr>
                <w:rFonts w:ascii="Book Antiqua" w:eastAsia="Book Antiqua" w:hAnsi="Book Antiqua" w:cs="Book Antiqua"/>
                <w:color w:val="000000"/>
              </w:rPr>
              <w:t>greater than 5 times the upper limit of normal</w:t>
            </w:r>
            <w:r>
              <w:rPr>
                <w:rFonts w:ascii="Book Antiqua" w:hAnsi="Book Antiqua" w:cs="Book Antiqua" w:hint="eastAsia"/>
                <w:color w:val="000000"/>
                <w:lang w:eastAsia="zh-CN"/>
              </w:rPr>
              <w:t xml:space="preserve"> </w:t>
            </w:r>
            <w:r w:rsidRPr="005279CB">
              <w:rPr>
                <w:rFonts w:ascii="Book Antiqua" w:eastAsia="Book Antiqua" w:hAnsi="Book Antiqua" w:cs="Book Antiqua"/>
                <w:color w:val="000000"/>
              </w:rPr>
              <w:t xml:space="preserve">are not common and occur in higher doses. The typical liver injury in patients receiving low molecular weight heparins occurred with rapid onset (within 3 </w:t>
            </w:r>
            <w:r>
              <w:rPr>
                <w:rFonts w:ascii="Book Antiqua" w:hAnsi="Book Antiqua" w:cs="Book Antiqua" w:hint="eastAsia"/>
                <w:color w:val="000000"/>
                <w:lang w:eastAsia="zh-CN"/>
              </w:rPr>
              <w:t xml:space="preserve">d </w:t>
            </w:r>
            <w:r w:rsidRPr="005279CB">
              <w:rPr>
                <w:rFonts w:ascii="Book Antiqua" w:eastAsia="Book Antiqua" w:hAnsi="Book Antiqua" w:cs="Book Antiqua"/>
                <w:color w:val="000000"/>
              </w:rPr>
              <w:t xml:space="preserve">to 5 d of onset), rapid recovery (from 1 </w:t>
            </w:r>
            <w:proofErr w:type="spellStart"/>
            <w:r>
              <w:rPr>
                <w:rFonts w:ascii="Book Antiqua" w:hAnsi="Book Antiqua" w:cs="Book Antiqua" w:hint="eastAsia"/>
                <w:color w:val="000000"/>
                <w:lang w:eastAsia="zh-CN"/>
              </w:rPr>
              <w:t>wk</w:t>
            </w:r>
            <w:proofErr w:type="spellEnd"/>
            <w:r>
              <w:rPr>
                <w:rFonts w:ascii="Book Antiqua" w:hAnsi="Book Antiqua" w:cs="Book Antiqua" w:hint="eastAsia"/>
                <w:color w:val="000000"/>
                <w:lang w:eastAsia="zh-CN"/>
              </w:rPr>
              <w:t xml:space="preserve"> </w:t>
            </w:r>
            <w:r w:rsidRPr="005279CB">
              <w:rPr>
                <w:rFonts w:ascii="Book Antiqua" w:eastAsia="Book Antiqua" w:hAnsi="Book Antiqua" w:cs="Book Antiqua"/>
                <w:color w:val="000000"/>
              </w:rPr>
              <w:t xml:space="preserve">to 4 </w:t>
            </w:r>
            <w:proofErr w:type="spellStart"/>
            <w:r w:rsidRPr="005279CB">
              <w:rPr>
                <w:rFonts w:ascii="Book Antiqua" w:eastAsia="Book Antiqua" w:hAnsi="Book Antiqua" w:cs="Book Antiqua"/>
                <w:color w:val="000000"/>
              </w:rPr>
              <w:t>w</w:t>
            </w:r>
            <w:r>
              <w:rPr>
                <w:rFonts w:ascii="Book Antiqua" w:hAnsi="Book Antiqua" w:cs="Book Antiqua" w:hint="eastAsia"/>
                <w:color w:val="000000"/>
                <w:lang w:eastAsia="zh-CN"/>
              </w:rPr>
              <w:t>k</w:t>
            </w:r>
            <w:proofErr w:type="spellEnd"/>
            <w:r w:rsidRPr="005279CB">
              <w:rPr>
                <w:rFonts w:ascii="Book Antiqua" w:eastAsia="Book Antiqua" w:hAnsi="Book Antiqua" w:cs="Book Antiqua"/>
                <w:color w:val="000000"/>
              </w:rPr>
              <w:t>), and the absence of symptoms and jaundice. Some patients have mild increases in serum bilirubin and alkaline phosphatase but generally remain within the normal range</w:t>
            </w:r>
          </w:p>
        </w:tc>
        <w:tc>
          <w:tcPr>
            <w:tcW w:w="1641" w:type="dxa"/>
            <w:shd w:val="clear" w:color="auto" w:fill="auto"/>
          </w:tcPr>
          <w:p w14:paraId="2F44B4D3" w14:textId="77777777" w:rsidR="005279CB" w:rsidRPr="005279CB" w:rsidRDefault="005279CB" w:rsidP="005279CB">
            <w:pPr>
              <w:widowControl w:val="0"/>
              <w:spacing w:line="360" w:lineRule="auto"/>
              <w:jc w:val="both"/>
              <w:rPr>
                <w:rFonts w:ascii="Book Antiqua" w:eastAsia="Book Antiqua" w:hAnsi="Book Antiqua" w:cs="Book Antiqua"/>
                <w:color w:val="000000"/>
              </w:rPr>
            </w:pPr>
            <w:r w:rsidRPr="005279CB">
              <w:rPr>
                <w:rFonts w:ascii="Book Antiqua" w:eastAsia="Book Antiqua" w:hAnsi="Book Antiqua" w:cs="Book Antiqua"/>
                <w:color w:val="000000"/>
              </w:rPr>
              <w:t>E</w:t>
            </w:r>
          </w:p>
        </w:tc>
      </w:tr>
      <w:tr w:rsidR="005279CB" w:rsidRPr="005279CB" w14:paraId="6895B150" w14:textId="77777777" w:rsidTr="00B71C23">
        <w:trPr>
          <w:trHeight w:val="70"/>
        </w:trPr>
        <w:tc>
          <w:tcPr>
            <w:tcW w:w="1819" w:type="dxa"/>
            <w:shd w:val="clear" w:color="auto" w:fill="auto"/>
          </w:tcPr>
          <w:p w14:paraId="331DFFC7" w14:textId="77777777" w:rsidR="005279CB" w:rsidRPr="005279CB" w:rsidRDefault="005279CB" w:rsidP="005279CB">
            <w:pPr>
              <w:widowControl w:val="0"/>
              <w:spacing w:line="360" w:lineRule="auto"/>
              <w:jc w:val="both"/>
              <w:rPr>
                <w:rFonts w:ascii="Book Antiqua" w:eastAsia="Book Antiqua" w:hAnsi="Book Antiqua" w:cs="Book Antiqua"/>
                <w:color w:val="000000"/>
              </w:rPr>
            </w:pPr>
            <w:r w:rsidRPr="005279CB">
              <w:rPr>
                <w:rFonts w:ascii="Book Antiqua" w:eastAsia="Book Antiqua" w:hAnsi="Book Antiqua" w:cs="Book Antiqua"/>
                <w:color w:val="000000"/>
              </w:rPr>
              <w:t>Cortico-steroids</w:t>
            </w:r>
          </w:p>
        </w:tc>
        <w:tc>
          <w:tcPr>
            <w:tcW w:w="6116" w:type="dxa"/>
            <w:shd w:val="clear" w:color="auto" w:fill="auto"/>
          </w:tcPr>
          <w:p w14:paraId="20EA4924" w14:textId="77777777" w:rsidR="005279CB" w:rsidRPr="005279CB" w:rsidRDefault="005279CB" w:rsidP="005279CB">
            <w:pPr>
              <w:widowControl w:val="0"/>
              <w:spacing w:line="360" w:lineRule="auto"/>
              <w:jc w:val="both"/>
              <w:rPr>
                <w:rFonts w:ascii="Book Antiqua" w:hAnsi="Book Antiqua" w:cs="Book Antiqua"/>
                <w:color w:val="000000"/>
                <w:lang w:eastAsia="zh-CN"/>
              </w:rPr>
            </w:pPr>
            <w:r w:rsidRPr="005279CB">
              <w:rPr>
                <w:rFonts w:ascii="Book Antiqua" w:eastAsia="Book Antiqua" w:hAnsi="Book Antiqua" w:cs="Book Antiqua"/>
                <w:color w:val="000000"/>
              </w:rPr>
              <w:t xml:space="preserve">The use of glucocorticoids can result in hepatomegaly and steatosis. They can trigger or worsen non-alcoholic steatohepatitis. Long-term use can also exacerbate chronic viral hepatitis. High doses of intravenous corticosteroids, mainly methylprednisolone, have been associated with acute liver damage resulting in acute liver failure and death. Symptoms and jaundice develop 2 </w:t>
            </w:r>
            <w:proofErr w:type="spellStart"/>
            <w:r w:rsidRPr="005279CB">
              <w:rPr>
                <w:rFonts w:ascii="Book Antiqua" w:eastAsia="Book Antiqua" w:hAnsi="Book Antiqua" w:cs="Book Antiqua"/>
                <w:color w:val="000000"/>
              </w:rPr>
              <w:t>w</w:t>
            </w:r>
            <w:r>
              <w:rPr>
                <w:rFonts w:ascii="Book Antiqua" w:hAnsi="Book Antiqua" w:cs="Book Antiqua" w:hint="eastAsia"/>
                <w:color w:val="000000"/>
                <w:lang w:eastAsia="zh-CN"/>
              </w:rPr>
              <w:t>k</w:t>
            </w:r>
            <w:proofErr w:type="spellEnd"/>
            <w:r w:rsidRPr="005279CB">
              <w:rPr>
                <w:rFonts w:ascii="Book Antiqua" w:eastAsia="Book Antiqua" w:hAnsi="Book Antiqua" w:cs="Book Antiqua"/>
                <w:color w:val="000000"/>
              </w:rPr>
              <w:t xml:space="preserve"> to 6 </w:t>
            </w:r>
            <w:proofErr w:type="spellStart"/>
            <w:r w:rsidRPr="005279CB">
              <w:rPr>
                <w:rFonts w:ascii="Book Antiqua" w:eastAsia="Book Antiqua" w:hAnsi="Book Antiqua" w:cs="Book Antiqua"/>
                <w:color w:val="000000"/>
              </w:rPr>
              <w:t>w</w:t>
            </w:r>
            <w:r>
              <w:rPr>
                <w:rFonts w:ascii="Book Antiqua" w:hAnsi="Book Antiqua" w:cs="Book Antiqua" w:hint="eastAsia"/>
                <w:color w:val="000000"/>
                <w:lang w:eastAsia="zh-CN"/>
              </w:rPr>
              <w:t>k</w:t>
            </w:r>
            <w:proofErr w:type="spellEnd"/>
            <w:r w:rsidRPr="005279CB">
              <w:rPr>
                <w:rFonts w:ascii="Book Antiqua" w:eastAsia="Book Antiqua" w:hAnsi="Book Antiqua" w:cs="Book Antiqua"/>
                <w:color w:val="000000"/>
              </w:rPr>
              <w:t xml:space="preserve"> after discontinuance. Some cases have progressed to acute liver failure, resulting in death or the need for emergency liver transplantation</w:t>
            </w:r>
          </w:p>
        </w:tc>
        <w:tc>
          <w:tcPr>
            <w:tcW w:w="1641" w:type="dxa"/>
            <w:shd w:val="clear" w:color="auto" w:fill="auto"/>
          </w:tcPr>
          <w:p w14:paraId="5704A75E" w14:textId="77777777" w:rsidR="005279CB" w:rsidRPr="005279CB" w:rsidRDefault="005279CB" w:rsidP="005279CB">
            <w:pPr>
              <w:widowControl w:val="0"/>
              <w:spacing w:line="360" w:lineRule="auto"/>
              <w:jc w:val="both"/>
              <w:rPr>
                <w:rFonts w:ascii="Book Antiqua" w:eastAsia="Book Antiqua" w:hAnsi="Book Antiqua" w:cs="Book Antiqua"/>
                <w:color w:val="000000"/>
              </w:rPr>
            </w:pPr>
            <w:r w:rsidRPr="005279CB">
              <w:rPr>
                <w:rFonts w:ascii="Book Antiqua" w:eastAsia="Book Antiqua" w:hAnsi="Book Antiqua" w:cs="Book Antiqua"/>
                <w:color w:val="000000"/>
              </w:rPr>
              <w:t>A</w:t>
            </w:r>
          </w:p>
        </w:tc>
      </w:tr>
      <w:tr w:rsidR="005279CB" w:rsidRPr="005279CB" w14:paraId="012E5637" w14:textId="77777777" w:rsidTr="00B71C23">
        <w:trPr>
          <w:trHeight w:val="70"/>
        </w:trPr>
        <w:tc>
          <w:tcPr>
            <w:tcW w:w="1819" w:type="dxa"/>
            <w:shd w:val="clear" w:color="auto" w:fill="auto"/>
          </w:tcPr>
          <w:p w14:paraId="51C0470B" w14:textId="77777777" w:rsidR="005279CB" w:rsidRPr="005279CB" w:rsidRDefault="005279CB" w:rsidP="005279CB">
            <w:pPr>
              <w:widowControl w:val="0"/>
              <w:spacing w:line="360" w:lineRule="auto"/>
              <w:jc w:val="both"/>
              <w:rPr>
                <w:rFonts w:ascii="Book Antiqua" w:eastAsia="Book Antiqua" w:hAnsi="Book Antiqua" w:cs="Book Antiqua"/>
                <w:color w:val="000000"/>
              </w:rPr>
            </w:pPr>
            <w:r w:rsidRPr="005279CB">
              <w:rPr>
                <w:rFonts w:ascii="Book Antiqua" w:eastAsia="Book Antiqua" w:hAnsi="Book Antiqua" w:cs="Book Antiqua"/>
                <w:color w:val="000000"/>
              </w:rPr>
              <w:t>Voriconazole</w:t>
            </w:r>
          </w:p>
        </w:tc>
        <w:tc>
          <w:tcPr>
            <w:tcW w:w="6116" w:type="dxa"/>
            <w:shd w:val="clear" w:color="auto" w:fill="auto"/>
          </w:tcPr>
          <w:p w14:paraId="587249EF" w14:textId="77777777" w:rsidR="005279CB" w:rsidRPr="005279CB" w:rsidRDefault="005279CB" w:rsidP="005279CB">
            <w:pPr>
              <w:widowControl w:val="0"/>
              <w:spacing w:line="360" w:lineRule="auto"/>
              <w:jc w:val="both"/>
              <w:rPr>
                <w:rFonts w:ascii="Book Antiqua" w:hAnsi="Book Antiqua" w:cs="Book Antiqua"/>
                <w:color w:val="000000"/>
                <w:lang w:eastAsia="zh-CN"/>
              </w:rPr>
            </w:pPr>
            <w:r w:rsidRPr="005279CB">
              <w:rPr>
                <w:rFonts w:ascii="Book Antiqua" w:eastAsia="Book Antiqua" w:hAnsi="Book Antiqua" w:cs="Book Antiqua"/>
                <w:color w:val="000000"/>
              </w:rPr>
              <w:t>Transient elevations in serum aminotransferase levels occur in 11% to 19% of patients on voriconazole. These elevations are generally asymptomatic and self-limited, but approximately 1% of patients require voriconazole discontinuance due to ALT elevations. Cases of acute liver failure have been described. Testing for serum bilirubin and aminotransferase levels is recommended at the time of initiation and weekly during the first month of therapy and monthly thereafter</w:t>
            </w:r>
          </w:p>
        </w:tc>
        <w:tc>
          <w:tcPr>
            <w:tcW w:w="1641" w:type="dxa"/>
            <w:shd w:val="clear" w:color="auto" w:fill="auto"/>
          </w:tcPr>
          <w:p w14:paraId="338B46F8" w14:textId="77777777" w:rsidR="005279CB" w:rsidRPr="005279CB" w:rsidRDefault="005279CB" w:rsidP="005279CB">
            <w:pPr>
              <w:widowControl w:val="0"/>
              <w:spacing w:line="360" w:lineRule="auto"/>
              <w:jc w:val="both"/>
              <w:rPr>
                <w:rFonts w:ascii="Book Antiqua" w:eastAsia="Book Antiqua" w:hAnsi="Book Antiqua" w:cs="Book Antiqua"/>
                <w:color w:val="000000"/>
              </w:rPr>
            </w:pPr>
            <w:r w:rsidRPr="005279CB">
              <w:rPr>
                <w:rFonts w:ascii="Book Antiqua" w:eastAsia="Book Antiqua" w:hAnsi="Book Antiqua" w:cs="Book Antiqua"/>
                <w:color w:val="000000"/>
              </w:rPr>
              <w:t>B</w:t>
            </w:r>
          </w:p>
        </w:tc>
      </w:tr>
      <w:tr w:rsidR="005279CB" w:rsidRPr="005279CB" w14:paraId="51B70181" w14:textId="77777777" w:rsidTr="00B71C23">
        <w:trPr>
          <w:trHeight w:val="1057"/>
        </w:trPr>
        <w:tc>
          <w:tcPr>
            <w:tcW w:w="1819" w:type="dxa"/>
            <w:shd w:val="clear" w:color="auto" w:fill="auto"/>
          </w:tcPr>
          <w:p w14:paraId="69AE1F58" w14:textId="77777777" w:rsidR="005279CB" w:rsidRPr="005279CB" w:rsidRDefault="005279CB" w:rsidP="005279CB">
            <w:pPr>
              <w:widowControl w:val="0"/>
              <w:spacing w:line="360" w:lineRule="auto"/>
              <w:jc w:val="both"/>
              <w:rPr>
                <w:rFonts w:ascii="Book Antiqua" w:eastAsia="Book Antiqua" w:hAnsi="Book Antiqua" w:cs="Book Antiqua"/>
                <w:color w:val="000000"/>
              </w:rPr>
            </w:pPr>
            <w:r w:rsidRPr="005279CB">
              <w:rPr>
                <w:rFonts w:ascii="Book Antiqua" w:eastAsia="Book Antiqua" w:hAnsi="Book Antiqua" w:cs="Book Antiqua"/>
                <w:color w:val="000000"/>
              </w:rPr>
              <w:t>Anidulafungin</w:t>
            </w:r>
          </w:p>
        </w:tc>
        <w:tc>
          <w:tcPr>
            <w:tcW w:w="6116" w:type="dxa"/>
            <w:shd w:val="clear" w:color="auto" w:fill="auto"/>
          </w:tcPr>
          <w:p w14:paraId="57F568FB" w14:textId="77777777" w:rsidR="005279CB" w:rsidRPr="005279CB" w:rsidRDefault="005279CB" w:rsidP="005279CB">
            <w:pPr>
              <w:widowControl w:val="0"/>
              <w:spacing w:line="360" w:lineRule="auto"/>
              <w:jc w:val="both"/>
              <w:rPr>
                <w:rFonts w:ascii="Book Antiqua" w:hAnsi="Book Antiqua" w:cs="Book Antiqua"/>
                <w:color w:val="000000"/>
                <w:lang w:eastAsia="zh-CN"/>
              </w:rPr>
            </w:pPr>
            <w:r w:rsidRPr="005279CB">
              <w:rPr>
                <w:rFonts w:ascii="Book Antiqua" w:eastAsia="Book Antiqua" w:hAnsi="Book Antiqua" w:cs="Book Antiqua"/>
                <w:color w:val="000000"/>
              </w:rPr>
              <w:t>Transient elevation of transaminases from 2% to 15%. There are rarely serious cases. Monitoring of liver tests during therapy is recommended, especially in patients with previous liver disease</w:t>
            </w:r>
          </w:p>
        </w:tc>
        <w:tc>
          <w:tcPr>
            <w:tcW w:w="1641" w:type="dxa"/>
            <w:shd w:val="clear" w:color="auto" w:fill="auto"/>
          </w:tcPr>
          <w:p w14:paraId="7CC94DB5" w14:textId="77777777" w:rsidR="005279CB" w:rsidRPr="005279CB" w:rsidRDefault="005279CB" w:rsidP="005279CB">
            <w:pPr>
              <w:widowControl w:val="0"/>
              <w:spacing w:line="360" w:lineRule="auto"/>
              <w:jc w:val="both"/>
              <w:rPr>
                <w:rFonts w:ascii="Book Antiqua" w:eastAsia="Book Antiqua" w:hAnsi="Book Antiqua" w:cs="Book Antiqua"/>
                <w:color w:val="000000"/>
              </w:rPr>
            </w:pPr>
            <w:r w:rsidRPr="005279CB">
              <w:rPr>
                <w:rFonts w:ascii="Book Antiqua" w:eastAsia="Book Antiqua" w:hAnsi="Book Antiqua" w:cs="Book Antiqua"/>
                <w:color w:val="000000"/>
              </w:rPr>
              <w:t>D</w:t>
            </w:r>
          </w:p>
        </w:tc>
      </w:tr>
      <w:tr w:rsidR="005279CB" w:rsidRPr="005279CB" w14:paraId="7EF14F5D" w14:textId="77777777" w:rsidTr="00B71C23">
        <w:trPr>
          <w:trHeight w:val="70"/>
        </w:trPr>
        <w:tc>
          <w:tcPr>
            <w:tcW w:w="1819" w:type="dxa"/>
            <w:tcBorders>
              <w:bottom w:val="single" w:sz="4" w:space="0" w:color="auto"/>
            </w:tcBorders>
            <w:shd w:val="clear" w:color="auto" w:fill="auto"/>
          </w:tcPr>
          <w:p w14:paraId="74C1894D" w14:textId="77777777" w:rsidR="005279CB" w:rsidRPr="005279CB" w:rsidRDefault="005279CB" w:rsidP="005279CB">
            <w:pPr>
              <w:widowControl w:val="0"/>
              <w:spacing w:line="360" w:lineRule="auto"/>
              <w:jc w:val="both"/>
              <w:rPr>
                <w:rFonts w:ascii="Book Antiqua" w:eastAsia="Book Antiqua" w:hAnsi="Book Antiqua" w:cs="Book Antiqua"/>
                <w:color w:val="000000"/>
              </w:rPr>
            </w:pPr>
            <w:r w:rsidRPr="005279CB">
              <w:rPr>
                <w:rFonts w:ascii="Book Antiqua" w:eastAsia="Book Antiqua" w:hAnsi="Book Antiqua" w:cs="Book Antiqua"/>
                <w:color w:val="000000"/>
              </w:rPr>
              <w:t>Colchicine</w:t>
            </w:r>
          </w:p>
        </w:tc>
        <w:tc>
          <w:tcPr>
            <w:tcW w:w="6116" w:type="dxa"/>
            <w:tcBorders>
              <w:bottom w:val="single" w:sz="4" w:space="0" w:color="auto"/>
            </w:tcBorders>
            <w:shd w:val="clear" w:color="auto" w:fill="auto"/>
          </w:tcPr>
          <w:p w14:paraId="3FBD4E34" w14:textId="1E6648B8" w:rsidR="005279CB" w:rsidRPr="005279CB" w:rsidRDefault="005279CB" w:rsidP="005279CB">
            <w:pPr>
              <w:widowControl w:val="0"/>
              <w:spacing w:line="360" w:lineRule="auto"/>
              <w:jc w:val="both"/>
              <w:rPr>
                <w:rFonts w:ascii="Book Antiqua" w:hAnsi="Book Antiqua" w:cs="Book Antiqua"/>
                <w:color w:val="000000"/>
                <w:lang w:eastAsia="zh-CN"/>
              </w:rPr>
            </w:pPr>
            <w:r w:rsidRPr="005279CB">
              <w:rPr>
                <w:rFonts w:ascii="Book Antiqua" w:eastAsia="Book Antiqua" w:hAnsi="Book Antiqua" w:cs="Book Antiqua"/>
                <w:color w:val="000000"/>
              </w:rPr>
              <w:t xml:space="preserve">It is rarely associated with elevations in serum aminotransferase or alkaline phosphatase. The cases of acute liver injury attributed to the overdose of colchicine were self-limiting, and the other toxicities of this agent, such as rhabdomyolysis, generally overshadowed the liver injury. No convincing cases of liver failure </w:t>
            </w:r>
            <w:r w:rsidR="005A5863" w:rsidRPr="005279CB">
              <w:rPr>
                <w:rFonts w:ascii="Book Antiqua" w:eastAsia="Book Antiqua" w:hAnsi="Book Antiqua" w:cs="Book Antiqua"/>
                <w:color w:val="000000"/>
              </w:rPr>
              <w:t>have been</w:t>
            </w:r>
            <w:r w:rsidRPr="005279CB">
              <w:rPr>
                <w:rFonts w:ascii="Book Antiqua" w:eastAsia="Book Antiqua" w:hAnsi="Book Antiqua" w:cs="Book Antiqua"/>
                <w:color w:val="000000"/>
              </w:rPr>
              <w:t xml:space="preserve"> reported</w:t>
            </w:r>
          </w:p>
        </w:tc>
        <w:tc>
          <w:tcPr>
            <w:tcW w:w="1641" w:type="dxa"/>
            <w:tcBorders>
              <w:bottom w:val="single" w:sz="4" w:space="0" w:color="auto"/>
            </w:tcBorders>
            <w:shd w:val="clear" w:color="auto" w:fill="auto"/>
          </w:tcPr>
          <w:p w14:paraId="5C6DE4D9" w14:textId="77777777" w:rsidR="005279CB" w:rsidRPr="005279CB" w:rsidRDefault="005279CB" w:rsidP="005279CB">
            <w:pPr>
              <w:widowControl w:val="0"/>
              <w:spacing w:line="360" w:lineRule="auto"/>
              <w:jc w:val="both"/>
              <w:rPr>
                <w:rFonts w:ascii="Book Antiqua" w:eastAsia="Book Antiqua" w:hAnsi="Book Antiqua" w:cs="Book Antiqua"/>
                <w:color w:val="000000"/>
              </w:rPr>
            </w:pPr>
            <w:r w:rsidRPr="005279CB">
              <w:rPr>
                <w:rFonts w:ascii="Book Antiqua" w:eastAsia="Book Antiqua" w:hAnsi="Book Antiqua" w:cs="Book Antiqua"/>
                <w:color w:val="000000"/>
              </w:rPr>
              <w:t>C</w:t>
            </w:r>
          </w:p>
        </w:tc>
      </w:tr>
    </w:tbl>
    <w:p w14:paraId="0A7EB0A1" w14:textId="77777777" w:rsidR="005279CB" w:rsidRPr="00B71C23" w:rsidRDefault="005279CB">
      <w:pPr>
        <w:spacing w:line="360" w:lineRule="auto"/>
        <w:jc w:val="both"/>
        <w:rPr>
          <w:rFonts w:ascii="Book Antiqua" w:hAnsi="Book Antiqua"/>
          <w:b/>
          <w:lang w:eastAsia="zh-CN"/>
        </w:rPr>
      </w:pPr>
      <w:r w:rsidRPr="00F74E48">
        <w:rPr>
          <w:rFonts w:ascii="Book Antiqua" w:hAnsi="Book Antiqua"/>
          <w:lang w:eastAsia="zh-CN"/>
        </w:rPr>
        <w:t xml:space="preserve">Adapted from LiverTox© </w:t>
      </w:r>
      <w:proofErr w:type="gramStart"/>
      <w:r w:rsidRPr="00F74E48">
        <w:rPr>
          <w:rFonts w:ascii="Book Antiqua" w:hAnsi="Book Antiqua"/>
          <w:lang w:eastAsia="zh-CN"/>
        </w:rPr>
        <w:t>database</w:t>
      </w:r>
      <w:r w:rsidRPr="00F74E48">
        <w:rPr>
          <w:rFonts w:ascii="Book Antiqua" w:hAnsi="Book Antiqua"/>
          <w:vertAlign w:val="superscript"/>
          <w:lang w:eastAsia="zh-CN"/>
        </w:rPr>
        <w:t>[</w:t>
      </w:r>
      <w:proofErr w:type="gramEnd"/>
      <w:r w:rsidRPr="00F74E48">
        <w:rPr>
          <w:rFonts w:ascii="Book Antiqua" w:hAnsi="Book Antiqua"/>
          <w:vertAlign w:val="superscript"/>
          <w:lang w:eastAsia="zh-CN"/>
        </w:rPr>
        <w:t>27]</w:t>
      </w:r>
      <w:r>
        <w:rPr>
          <w:rFonts w:ascii="Book Antiqua" w:hAnsi="Book Antiqua" w:hint="eastAsia"/>
          <w:lang w:eastAsia="zh-CN"/>
        </w:rPr>
        <w:t xml:space="preserve">. </w:t>
      </w:r>
      <w:r w:rsidRPr="00F74E48">
        <w:rPr>
          <w:rFonts w:ascii="Book Antiqua" w:hAnsi="Book Antiqua"/>
          <w:lang w:eastAsia="zh-CN"/>
        </w:rPr>
        <w:t xml:space="preserve">A: </w:t>
      </w:r>
      <w:r>
        <w:rPr>
          <w:rFonts w:ascii="Book Antiqua" w:hAnsi="Book Antiqua" w:hint="eastAsia"/>
          <w:lang w:eastAsia="zh-CN"/>
        </w:rPr>
        <w:t>W</w:t>
      </w:r>
      <w:r w:rsidRPr="00F74E48">
        <w:rPr>
          <w:rFonts w:ascii="Book Antiqua" w:hAnsi="Book Antiqua"/>
          <w:lang w:eastAsia="zh-CN"/>
        </w:rPr>
        <w:t xml:space="preserve">ell know hepatotoxicity; B: </w:t>
      </w:r>
      <w:r>
        <w:rPr>
          <w:rFonts w:ascii="Book Antiqua" w:hAnsi="Book Antiqua" w:hint="eastAsia"/>
          <w:lang w:eastAsia="zh-CN"/>
        </w:rPr>
        <w:t>H</w:t>
      </w:r>
      <w:r w:rsidRPr="00F74E48">
        <w:rPr>
          <w:rFonts w:ascii="Book Antiqua" w:hAnsi="Book Antiqua"/>
          <w:lang w:eastAsia="zh-CN"/>
        </w:rPr>
        <w:t xml:space="preserve">ighly likely hepatotoxicity; C: </w:t>
      </w:r>
      <w:r>
        <w:rPr>
          <w:rFonts w:ascii="Book Antiqua" w:hAnsi="Book Antiqua" w:hint="eastAsia"/>
          <w:lang w:eastAsia="zh-CN"/>
        </w:rPr>
        <w:t>P</w:t>
      </w:r>
      <w:r w:rsidRPr="00F74E48">
        <w:rPr>
          <w:rFonts w:ascii="Book Antiqua" w:hAnsi="Book Antiqua"/>
          <w:lang w:eastAsia="zh-CN"/>
        </w:rPr>
        <w:t xml:space="preserve">robably hepatotoxicity; D: </w:t>
      </w:r>
      <w:r>
        <w:rPr>
          <w:rFonts w:ascii="Book Antiqua" w:hAnsi="Book Antiqua" w:hint="eastAsia"/>
          <w:lang w:eastAsia="zh-CN"/>
        </w:rPr>
        <w:t>P</w:t>
      </w:r>
      <w:r w:rsidRPr="00F74E48">
        <w:rPr>
          <w:rFonts w:ascii="Book Antiqua" w:hAnsi="Book Antiqua"/>
          <w:lang w:eastAsia="zh-CN"/>
        </w:rPr>
        <w:t>ossible hepatotoxicity</w:t>
      </w:r>
      <w:r>
        <w:rPr>
          <w:rFonts w:ascii="Book Antiqua" w:hAnsi="Book Antiqua" w:hint="eastAsia"/>
          <w:lang w:eastAsia="zh-CN"/>
        </w:rPr>
        <w:t xml:space="preserve">; </w:t>
      </w:r>
      <w:r w:rsidRPr="005279CB">
        <w:rPr>
          <w:rFonts w:ascii="Book Antiqua" w:hAnsi="Book Antiqua"/>
          <w:lang w:eastAsia="zh-CN"/>
        </w:rPr>
        <w:t xml:space="preserve">E: </w:t>
      </w:r>
      <w:r>
        <w:rPr>
          <w:rFonts w:ascii="Book Antiqua" w:hAnsi="Book Antiqua" w:hint="eastAsia"/>
          <w:lang w:eastAsia="zh-CN"/>
        </w:rPr>
        <w:t>U</w:t>
      </w:r>
      <w:r w:rsidRPr="005279CB">
        <w:rPr>
          <w:rFonts w:ascii="Book Antiqua" w:hAnsi="Book Antiqua"/>
          <w:lang w:eastAsia="zh-CN"/>
        </w:rPr>
        <w:t xml:space="preserve">nlikely hepatotoxicity; NR: </w:t>
      </w:r>
      <w:r>
        <w:rPr>
          <w:rFonts w:ascii="Book Antiqua" w:hAnsi="Book Antiqua" w:hint="eastAsia"/>
          <w:lang w:eastAsia="zh-CN"/>
        </w:rPr>
        <w:t>N</w:t>
      </w:r>
      <w:r w:rsidRPr="005279CB">
        <w:rPr>
          <w:rFonts w:ascii="Book Antiqua" w:hAnsi="Book Antiqua"/>
          <w:lang w:eastAsia="zh-CN"/>
        </w:rPr>
        <w:t>ot reported</w:t>
      </w:r>
      <w:r>
        <w:rPr>
          <w:rFonts w:ascii="Book Antiqua" w:hAnsi="Book Antiqua" w:hint="eastAsia"/>
          <w:lang w:eastAsia="zh-CN"/>
        </w:rPr>
        <w:t xml:space="preserve">; </w:t>
      </w:r>
      <w:r w:rsidR="00B71C23" w:rsidRPr="00313B45">
        <w:rPr>
          <w:rFonts w:ascii="Book Antiqua" w:eastAsia="Book Antiqua" w:hAnsi="Book Antiqua" w:cs="Book Antiqua"/>
          <w:color w:val="000000"/>
        </w:rPr>
        <w:t xml:space="preserve">ALT: </w:t>
      </w:r>
      <w:r w:rsidR="00B71C23">
        <w:rPr>
          <w:rFonts w:ascii="Book Antiqua" w:hAnsi="Book Antiqua" w:cs="Book Antiqua" w:hint="eastAsia"/>
          <w:color w:val="000000"/>
          <w:lang w:eastAsia="zh-CN"/>
        </w:rPr>
        <w:t>A</w:t>
      </w:r>
      <w:r w:rsidR="00B71C23" w:rsidRPr="00313B45">
        <w:rPr>
          <w:rFonts w:ascii="Book Antiqua" w:eastAsia="Book Antiqua" w:hAnsi="Book Antiqua" w:cs="Book Antiqua"/>
          <w:color w:val="000000"/>
        </w:rPr>
        <w:t>lanine aminotransferase</w:t>
      </w:r>
      <w:r w:rsidR="00B71C23">
        <w:rPr>
          <w:rFonts w:ascii="Book Antiqua" w:hAnsi="Book Antiqua" w:cs="Book Antiqua" w:hint="eastAsia"/>
          <w:color w:val="000000"/>
          <w:lang w:eastAsia="zh-CN"/>
        </w:rPr>
        <w:t>.</w:t>
      </w:r>
    </w:p>
    <w:sectPr w:rsidR="005279CB" w:rsidRPr="00B71C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743C" w14:textId="77777777" w:rsidR="00DC1C66" w:rsidRDefault="00DC1C66" w:rsidP="00E1709A">
      <w:r>
        <w:separator/>
      </w:r>
    </w:p>
  </w:endnote>
  <w:endnote w:type="continuationSeparator" w:id="0">
    <w:p w14:paraId="7DDD37DC" w14:textId="77777777" w:rsidR="00DC1C66" w:rsidRDefault="00DC1C66" w:rsidP="00E1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65669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987657A" w14:textId="77777777" w:rsidR="00E1709A" w:rsidRPr="00E1709A" w:rsidRDefault="00E1709A" w:rsidP="00E1709A">
            <w:pPr>
              <w:pStyle w:val="a7"/>
              <w:jc w:val="right"/>
              <w:rPr>
                <w:rFonts w:ascii="Book Antiqua" w:hAnsi="Book Antiqua"/>
                <w:sz w:val="24"/>
                <w:szCs w:val="24"/>
              </w:rPr>
            </w:pPr>
            <w:r w:rsidRPr="00E1709A">
              <w:rPr>
                <w:rFonts w:ascii="Book Antiqua" w:hAnsi="Book Antiqua"/>
                <w:sz w:val="24"/>
                <w:szCs w:val="24"/>
                <w:lang w:val="zh-CN" w:eastAsia="zh-CN"/>
              </w:rPr>
              <w:t xml:space="preserve"> </w:t>
            </w:r>
            <w:r w:rsidRPr="00E1709A">
              <w:rPr>
                <w:rFonts w:ascii="Book Antiqua" w:hAnsi="Book Antiqua"/>
                <w:bCs/>
                <w:sz w:val="24"/>
                <w:szCs w:val="24"/>
              </w:rPr>
              <w:fldChar w:fldCharType="begin"/>
            </w:r>
            <w:r w:rsidRPr="00E1709A">
              <w:rPr>
                <w:rFonts w:ascii="Book Antiqua" w:hAnsi="Book Antiqua"/>
                <w:bCs/>
                <w:sz w:val="24"/>
                <w:szCs w:val="24"/>
              </w:rPr>
              <w:instrText>PAGE</w:instrText>
            </w:r>
            <w:r w:rsidRPr="00E1709A">
              <w:rPr>
                <w:rFonts w:ascii="Book Antiqua" w:hAnsi="Book Antiqua"/>
                <w:bCs/>
                <w:sz w:val="24"/>
                <w:szCs w:val="24"/>
              </w:rPr>
              <w:fldChar w:fldCharType="separate"/>
            </w:r>
            <w:r w:rsidR="00507801">
              <w:rPr>
                <w:rFonts w:ascii="Book Antiqua" w:hAnsi="Book Antiqua"/>
                <w:bCs/>
                <w:noProof/>
                <w:sz w:val="24"/>
                <w:szCs w:val="24"/>
              </w:rPr>
              <w:t>18</w:t>
            </w:r>
            <w:r w:rsidRPr="00E1709A">
              <w:rPr>
                <w:rFonts w:ascii="Book Antiqua" w:hAnsi="Book Antiqua"/>
                <w:bCs/>
                <w:sz w:val="24"/>
                <w:szCs w:val="24"/>
              </w:rPr>
              <w:fldChar w:fldCharType="end"/>
            </w:r>
            <w:r w:rsidRPr="00E1709A">
              <w:rPr>
                <w:rFonts w:ascii="Book Antiqua" w:hAnsi="Book Antiqua"/>
                <w:sz w:val="24"/>
                <w:szCs w:val="24"/>
                <w:lang w:val="zh-CN" w:eastAsia="zh-CN"/>
              </w:rPr>
              <w:t xml:space="preserve"> / </w:t>
            </w:r>
            <w:r w:rsidRPr="00E1709A">
              <w:rPr>
                <w:rFonts w:ascii="Book Antiqua" w:hAnsi="Book Antiqua"/>
                <w:bCs/>
                <w:sz w:val="24"/>
                <w:szCs w:val="24"/>
              </w:rPr>
              <w:fldChar w:fldCharType="begin"/>
            </w:r>
            <w:r w:rsidRPr="00E1709A">
              <w:rPr>
                <w:rFonts w:ascii="Book Antiqua" w:hAnsi="Book Antiqua"/>
                <w:bCs/>
                <w:sz w:val="24"/>
                <w:szCs w:val="24"/>
              </w:rPr>
              <w:instrText>NUMPAGES</w:instrText>
            </w:r>
            <w:r w:rsidRPr="00E1709A">
              <w:rPr>
                <w:rFonts w:ascii="Book Antiqua" w:hAnsi="Book Antiqua"/>
                <w:bCs/>
                <w:sz w:val="24"/>
                <w:szCs w:val="24"/>
              </w:rPr>
              <w:fldChar w:fldCharType="separate"/>
            </w:r>
            <w:r w:rsidR="00507801">
              <w:rPr>
                <w:rFonts w:ascii="Book Antiqua" w:hAnsi="Book Antiqua"/>
                <w:bCs/>
                <w:noProof/>
                <w:sz w:val="24"/>
                <w:szCs w:val="24"/>
              </w:rPr>
              <w:t>32</w:t>
            </w:r>
            <w:r w:rsidRPr="00E1709A">
              <w:rPr>
                <w:rFonts w:ascii="Book Antiqua" w:hAnsi="Book Antiqua"/>
                <w:bCs/>
                <w:sz w:val="24"/>
                <w:szCs w:val="24"/>
              </w:rPr>
              <w:fldChar w:fldCharType="end"/>
            </w:r>
          </w:p>
        </w:sdtContent>
      </w:sdt>
    </w:sdtContent>
  </w:sdt>
  <w:p w14:paraId="1A4CD363" w14:textId="77777777" w:rsidR="00E1709A" w:rsidRPr="00E1709A" w:rsidRDefault="00E1709A" w:rsidP="00E1709A">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865B" w14:textId="77777777" w:rsidR="00DC1C66" w:rsidRDefault="00DC1C66" w:rsidP="00E1709A">
      <w:r>
        <w:separator/>
      </w:r>
    </w:p>
  </w:footnote>
  <w:footnote w:type="continuationSeparator" w:id="0">
    <w:p w14:paraId="1DC3BCE4" w14:textId="77777777" w:rsidR="00DC1C66" w:rsidRDefault="00DC1C66" w:rsidP="00E17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6CF8"/>
    <w:rsid w:val="00102111"/>
    <w:rsid w:val="00112F26"/>
    <w:rsid w:val="001E60B3"/>
    <w:rsid w:val="0020406F"/>
    <w:rsid w:val="002379A6"/>
    <w:rsid w:val="00320211"/>
    <w:rsid w:val="003269C6"/>
    <w:rsid w:val="003617C6"/>
    <w:rsid w:val="00507801"/>
    <w:rsid w:val="0052492E"/>
    <w:rsid w:val="005279CB"/>
    <w:rsid w:val="005A0FE3"/>
    <w:rsid w:val="005A5863"/>
    <w:rsid w:val="00611957"/>
    <w:rsid w:val="006E37F0"/>
    <w:rsid w:val="0074462B"/>
    <w:rsid w:val="007E4DFB"/>
    <w:rsid w:val="00813616"/>
    <w:rsid w:val="00966E87"/>
    <w:rsid w:val="00A77B3E"/>
    <w:rsid w:val="00B71C23"/>
    <w:rsid w:val="00C22687"/>
    <w:rsid w:val="00CA2A55"/>
    <w:rsid w:val="00DC1C66"/>
    <w:rsid w:val="00E1709A"/>
    <w:rsid w:val="00EA76AE"/>
    <w:rsid w:val="00F03183"/>
    <w:rsid w:val="00F67399"/>
    <w:rsid w:val="00F74E48"/>
    <w:rsid w:val="00FB6DF2"/>
    <w:rsid w:val="00FD2C9F"/>
    <w:rsid w:val="00FE6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4B846"/>
  <w15:docId w15:val="{5DFB7538-613E-4561-AB6D-B8065BDC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2492E"/>
    <w:rPr>
      <w:sz w:val="18"/>
      <w:szCs w:val="18"/>
    </w:rPr>
  </w:style>
  <w:style w:type="character" w:customStyle="1" w:styleId="a4">
    <w:name w:val="批注框文本 字符"/>
    <w:basedOn w:val="a0"/>
    <w:link w:val="a3"/>
    <w:rsid w:val="0052492E"/>
    <w:rPr>
      <w:sz w:val="18"/>
      <w:szCs w:val="18"/>
    </w:rPr>
  </w:style>
  <w:style w:type="paragraph" w:styleId="a5">
    <w:name w:val="header"/>
    <w:basedOn w:val="a"/>
    <w:link w:val="a6"/>
    <w:rsid w:val="00E1709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1709A"/>
    <w:rPr>
      <w:sz w:val="18"/>
      <w:szCs w:val="18"/>
    </w:rPr>
  </w:style>
  <w:style w:type="paragraph" w:styleId="a7">
    <w:name w:val="footer"/>
    <w:basedOn w:val="a"/>
    <w:link w:val="a8"/>
    <w:uiPriority w:val="99"/>
    <w:rsid w:val="00E1709A"/>
    <w:pPr>
      <w:tabs>
        <w:tab w:val="center" w:pos="4153"/>
        <w:tab w:val="right" w:pos="8306"/>
      </w:tabs>
      <w:snapToGrid w:val="0"/>
    </w:pPr>
    <w:rPr>
      <w:sz w:val="18"/>
      <w:szCs w:val="18"/>
    </w:rPr>
  </w:style>
  <w:style w:type="character" w:customStyle="1" w:styleId="a8">
    <w:name w:val="页脚 字符"/>
    <w:basedOn w:val="a0"/>
    <w:link w:val="a7"/>
    <w:uiPriority w:val="99"/>
    <w:rsid w:val="00E170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899418">
      <w:bodyDiv w:val="1"/>
      <w:marLeft w:val="0"/>
      <w:marRight w:val="0"/>
      <w:marTop w:val="0"/>
      <w:marBottom w:val="0"/>
      <w:divBdr>
        <w:top w:val="none" w:sz="0" w:space="0" w:color="auto"/>
        <w:left w:val="none" w:sz="0" w:space="0" w:color="auto"/>
        <w:bottom w:val="none" w:sz="0" w:space="0" w:color="auto"/>
        <w:right w:val="none" w:sz="0" w:space="0" w:color="auto"/>
      </w:divBdr>
    </w:div>
    <w:div w:id="205484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books/n/livertox/glossary/def-item/glossary.aspartate-aminotransferase-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7579</Words>
  <Characters>43203</Characters>
  <Application>Microsoft Office Word</Application>
  <DocSecurity>0</DocSecurity>
  <Lines>360</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Jin-Lei Wang</cp:lastModifiedBy>
  <cp:revision>10</cp:revision>
  <dcterms:created xsi:type="dcterms:W3CDTF">2021-08-17T23:25:00Z</dcterms:created>
  <dcterms:modified xsi:type="dcterms:W3CDTF">2021-08-18T09:24:00Z</dcterms:modified>
</cp:coreProperties>
</file>