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7929" w14:textId="77777777" w:rsidR="00A77B3E" w:rsidRDefault="002610D4" w:rsidP="005869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615F7DB" w14:textId="77777777" w:rsidR="00A77B3E" w:rsidRDefault="002610D4" w:rsidP="005869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69033</w:t>
      </w:r>
    </w:p>
    <w:p w14:paraId="33D25E02" w14:textId="77777777" w:rsidR="00A77B3E" w:rsidRDefault="002610D4" w:rsidP="005869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286D3736" w14:textId="77777777" w:rsidR="00A77B3E" w:rsidRDefault="00A77B3E" w:rsidP="00586943">
      <w:pPr>
        <w:spacing w:line="360" w:lineRule="auto"/>
        <w:jc w:val="both"/>
      </w:pPr>
    </w:p>
    <w:p w14:paraId="00EBED36" w14:textId="77777777" w:rsidR="00A77B3E" w:rsidRDefault="002610D4" w:rsidP="00586943">
      <w:pPr>
        <w:spacing w:line="360" w:lineRule="auto"/>
        <w:jc w:val="both"/>
      </w:pPr>
      <w:r>
        <w:rPr>
          <w:rFonts w:ascii="Book Antiqua" w:eastAsia="Book Antiqua" w:hAnsi="Book Antiqua" w:cs="Book Antiqua"/>
          <w:b/>
          <w:color w:val="000000"/>
        </w:rPr>
        <w:t xml:space="preserve">Prophylactic transcatheter arterial embolization reduces rebleeding in non-variceal upper gastrointestinal bleeding: </w:t>
      </w:r>
      <w:r w:rsidRPr="002E1702">
        <w:rPr>
          <w:rFonts w:ascii="Book Antiqua" w:eastAsia="Book Antiqua" w:hAnsi="Book Antiqua" w:cs="Book Antiqua"/>
          <w:b/>
          <w:caps/>
          <w:color w:val="000000"/>
        </w:rPr>
        <w:t>a</w:t>
      </w:r>
      <w:r>
        <w:rPr>
          <w:rFonts w:ascii="Book Antiqua" w:eastAsia="Book Antiqua" w:hAnsi="Book Antiqua" w:cs="Book Antiqua"/>
          <w:b/>
          <w:color w:val="000000"/>
        </w:rPr>
        <w:t xml:space="preserve"> meta-analysis</w:t>
      </w:r>
    </w:p>
    <w:p w14:paraId="75F7D4E1" w14:textId="77777777" w:rsidR="00A77B3E" w:rsidRDefault="00A77B3E" w:rsidP="00586943">
      <w:pPr>
        <w:spacing w:line="360" w:lineRule="auto"/>
        <w:jc w:val="both"/>
      </w:pPr>
    </w:p>
    <w:p w14:paraId="3FAEB8A5" w14:textId="77777777" w:rsidR="00A77B3E" w:rsidRDefault="002E1702" w:rsidP="00586943">
      <w:pPr>
        <w:spacing w:line="360" w:lineRule="auto"/>
        <w:jc w:val="both"/>
      </w:pPr>
      <w:r>
        <w:rPr>
          <w:rFonts w:ascii="Book Antiqua" w:eastAsia="Book Antiqua" w:hAnsi="Book Antiqua" w:cs="Book Antiqua"/>
          <w:color w:val="000000"/>
        </w:rPr>
        <w:t xml:space="preserve">Boros </w:t>
      </w:r>
      <w:r>
        <w:rPr>
          <w:rFonts w:ascii="Book Antiqua" w:hAnsi="Book Antiqua" w:cs="Book Antiqua" w:hint="eastAsia"/>
          <w:color w:val="000000"/>
          <w:lang w:eastAsia="zh-CN"/>
        </w:rPr>
        <w:t xml:space="preserve">E </w:t>
      </w:r>
      <w:r w:rsidRPr="002E170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610D4">
        <w:rPr>
          <w:rFonts w:ascii="Book Antiqua" w:eastAsia="Book Antiqua" w:hAnsi="Book Antiqua" w:cs="Book Antiqua"/>
          <w:color w:val="000000"/>
        </w:rPr>
        <w:t>Embolization and rebleeding</w:t>
      </w:r>
    </w:p>
    <w:p w14:paraId="2CEE6F87" w14:textId="77777777" w:rsidR="00A77B3E" w:rsidRDefault="00A77B3E" w:rsidP="00586943">
      <w:pPr>
        <w:spacing w:line="360" w:lineRule="auto"/>
        <w:jc w:val="both"/>
      </w:pPr>
    </w:p>
    <w:p w14:paraId="523962DC" w14:textId="77777777" w:rsidR="00A77B3E" w:rsidRDefault="002610D4" w:rsidP="00586943">
      <w:pPr>
        <w:spacing w:line="360" w:lineRule="auto"/>
        <w:jc w:val="both"/>
      </w:pPr>
      <w:r>
        <w:rPr>
          <w:rFonts w:ascii="Book Antiqua" w:eastAsia="Book Antiqua" w:hAnsi="Book Antiqua" w:cs="Book Antiqua"/>
          <w:color w:val="000000"/>
        </w:rPr>
        <w:t>Eszter Boros, Zoltán Sipos, Péter Hegyi, Brigitta Teutsch, Levente Frim, Szilárd Váncsa, Szabolcs Kiss, Fanni Dembrovszky, Eduard Oštarijaš, Andrew Shawyer, Bálint Erőss</w:t>
      </w:r>
    </w:p>
    <w:p w14:paraId="7E92836F" w14:textId="77777777" w:rsidR="00A77B3E" w:rsidRDefault="00A77B3E" w:rsidP="00586943">
      <w:pPr>
        <w:spacing w:line="360" w:lineRule="auto"/>
        <w:jc w:val="both"/>
      </w:pPr>
    </w:p>
    <w:p w14:paraId="55C940A5" w14:textId="77777777" w:rsidR="00A77B3E" w:rsidRDefault="002610D4" w:rsidP="00586943">
      <w:pPr>
        <w:spacing w:line="360" w:lineRule="auto"/>
        <w:jc w:val="both"/>
      </w:pPr>
      <w:r>
        <w:rPr>
          <w:rFonts w:ascii="Book Antiqua" w:eastAsia="Book Antiqua" w:hAnsi="Book Antiqua" w:cs="Book Antiqua"/>
          <w:b/>
          <w:bCs/>
          <w:color w:val="000000"/>
        </w:rPr>
        <w:t xml:space="preserve">Eszter Boros, Zoltán Sipos, Péter Hegyi, Brigitta Teutsch, Levente Frim, Szilárd Váncsa, Szabolcs Kiss, Fanni Dembrovszky, Eduard Oštarijaš, Bálint Erőss, </w:t>
      </w:r>
      <w:r>
        <w:rPr>
          <w:rFonts w:ascii="Book Antiqua" w:eastAsia="Book Antiqua" w:hAnsi="Book Antiqua" w:cs="Book Antiqua"/>
          <w:color w:val="000000"/>
        </w:rPr>
        <w:t>Institute for Translational Medicine, University of Pecs, Medical School, Pécs 7624, Hungary</w:t>
      </w:r>
    </w:p>
    <w:p w14:paraId="24C1D595" w14:textId="77777777" w:rsidR="00A77B3E" w:rsidRDefault="00A77B3E" w:rsidP="00586943">
      <w:pPr>
        <w:spacing w:line="360" w:lineRule="auto"/>
        <w:jc w:val="both"/>
      </w:pPr>
    </w:p>
    <w:p w14:paraId="3B2B6E3A" w14:textId="77777777" w:rsidR="00A77B3E" w:rsidRDefault="002610D4" w:rsidP="00586943">
      <w:pPr>
        <w:spacing w:line="360" w:lineRule="auto"/>
        <w:jc w:val="both"/>
      </w:pPr>
      <w:r>
        <w:rPr>
          <w:rFonts w:ascii="Book Antiqua" w:eastAsia="Book Antiqua" w:hAnsi="Book Antiqua" w:cs="Book Antiqua"/>
          <w:b/>
          <w:bCs/>
          <w:color w:val="000000"/>
        </w:rPr>
        <w:t xml:space="preserve">Eszter Boros, </w:t>
      </w:r>
      <w:r>
        <w:rPr>
          <w:rFonts w:ascii="Book Antiqua" w:eastAsia="Book Antiqua" w:hAnsi="Book Antiqua" w:cs="Book Antiqua"/>
          <w:color w:val="000000"/>
        </w:rPr>
        <w:t>First Department of Internal Medicine, St. George University Teaching Hospital of County Fejér, Székesfehérvár 8000, Hungary</w:t>
      </w:r>
    </w:p>
    <w:p w14:paraId="0C306A49" w14:textId="77777777" w:rsidR="00A77B3E" w:rsidRDefault="00A77B3E" w:rsidP="00586943">
      <w:pPr>
        <w:spacing w:line="360" w:lineRule="auto"/>
        <w:jc w:val="both"/>
      </w:pPr>
    </w:p>
    <w:p w14:paraId="386A2360" w14:textId="77777777" w:rsidR="00A77B3E" w:rsidRDefault="002610D4" w:rsidP="00586943">
      <w:pPr>
        <w:spacing w:line="360" w:lineRule="auto"/>
        <w:jc w:val="both"/>
      </w:pPr>
      <w:r>
        <w:rPr>
          <w:rFonts w:ascii="Book Antiqua" w:eastAsia="Book Antiqua" w:hAnsi="Book Antiqua" w:cs="Book Antiqua"/>
          <w:b/>
          <w:bCs/>
          <w:color w:val="000000"/>
        </w:rPr>
        <w:t xml:space="preserve">Péter Hegyi, </w:t>
      </w:r>
      <w:r>
        <w:rPr>
          <w:rFonts w:ascii="Book Antiqua" w:eastAsia="Book Antiqua" w:hAnsi="Book Antiqua" w:cs="Book Antiqua"/>
          <w:color w:val="000000"/>
        </w:rPr>
        <w:t>Szentágothai Research Center, University of Pecs, Pécs 7624, Hungary</w:t>
      </w:r>
    </w:p>
    <w:p w14:paraId="5ADBDDD5" w14:textId="77777777" w:rsidR="00A77B3E" w:rsidRDefault="00A77B3E" w:rsidP="00586943">
      <w:pPr>
        <w:spacing w:line="360" w:lineRule="auto"/>
        <w:jc w:val="both"/>
      </w:pPr>
    </w:p>
    <w:p w14:paraId="3FDA2AEA" w14:textId="77777777" w:rsidR="00A77B3E" w:rsidRDefault="002610D4" w:rsidP="00586943">
      <w:pPr>
        <w:spacing w:line="360" w:lineRule="auto"/>
        <w:jc w:val="both"/>
      </w:pPr>
      <w:r>
        <w:rPr>
          <w:rFonts w:ascii="Book Antiqua" w:eastAsia="Book Antiqua" w:hAnsi="Book Antiqua" w:cs="Book Antiqua"/>
          <w:b/>
          <w:bCs/>
          <w:color w:val="000000"/>
        </w:rPr>
        <w:t xml:space="preserve">Szabolcs Kiss, </w:t>
      </w:r>
      <w:r>
        <w:rPr>
          <w:rFonts w:ascii="Book Antiqua" w:eastAsia="Book Antiqua" w:hAnsi="Book Antiqua" w:cs="Book Antiqua"/>
          <w:color w:val="000000"/>
        </w:rPr>
        <w:t>Doctoral School of Clinical Medicine, University of Szeged, Szeged 6720, Hungary</w:t>
      </w:r>
    </w:p>
    <w:p w14:paraId="2FAD3A7C" w14:textId="77777777" w:rsidR="00A77B3E" w:rsidRDefault="00A77B3E" w:rsidP="00586943">
      <w:pPr>
        <w:spacing w:line="360" w:lineRule="auto"/>
        <w:jc w:val="both"/>
      </w:pPr>
    </w:p>
    <w:p w14:paraId="23A97AF8" w14:textId="77777777" w:rsidR="00A77B3E" w:rsidRDefault="002610D4" w:rsidP="00586943">
      <w:pPr>
        <w:spacing w:line="360" w:lineRule="auto"/>
        <w:jc w:val="both"/>
      </w:pPr>
      <w:r>
        <w:rPr>
          <w:rFonts w:ascii="Book Antiqua" w:eastAsia="Book Antiqua" w:hAnsi="Book Antiqua" w:cs="Book Antiqua"/>
          <w:b/>
          <w:bCs/>
          <w:color w:val="000000"/>
        </w:rPr>
        <w:t xml:space="preserve">Andrew Shawyer, </w:t>
      </w:r>
      <w:r>
        <w:rPr>
          <w:rFonts w:ascii="Book Antiqua" w:eastAsia="Book Antiqua" w:hAnsi="Book Antiqua" w:cs="Book Antiqua"/>
          <w:color w:val="000000"/>
        </w:rPr>
        <w:t>Department of Interventional Radiology, University Hospitals Dorset NHS Foundation Trust, Bournemouth BH7 7DW, United Kingdom</w:t>
      </w:r>
    </w:p>
    <w:p w14:paraId="37DF405B" w14:textId="77777777" w:rsidR="00A77B3E" w:rsidRDefault="00A77B3E" w:rsidP="00586943">
      <w:pPr>
        <w:spacing w:line="360" w:lineRule="auto"/>
        <w:jc w:val="both"/>
      </w:pPr>
    </w:p>
    <w:p w14:paraId="0AB4A8BF" w14:textId="77777777" w:rsidR="00A77B3E" w:rsidRPr="00750EF8" w:rsidRDefault="002610D4" w:rsidP="00586943">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t xml:space="preserve">Author contributions: </w:t>
      </w:r>
      <w:r w:rsidR="00020B4C" w:rsidRPr="00020B4C">
        <w:rPr>
          <w:rFonts w:ascii="Book Antiqua" w:eastAsia="Book Antiqua" w:hAnsi="Book Antiqua" w:cs="Book Antiqua"/>
          <w:bCs/>
          <w:color w:val="000000"/>
        </w:rPr>
        <w:t>Boros</w:t>
      </w:r>
      <w:r w:rsidR="00020B4C" w:rsidRPr="00020B4C">
        <w:rPr>
          <w:rFonts w:ascii="Book Antiqua" w:hAnsi="Book Antiqua" w:cs="Book Antiqua" w:hint="eastAsia"/>
          <w:bCs/>
          <w:color w:val="000000"/>
          <w:lang w:eastAsia="zh-CN"/>
        </w:rPr>
        <w:t xml:space="preserve"> E, </w:t>
      </w:r>
      <w:r w:rsidR="00020B4C" w:rsidRPr="00020B4C">
        <w:rPr>
          <w:rFonts w:ascii="Book Antiqua" w:eastAsia="Book Antiqua" w:hAnsi="Book Antiqua" w:cs="Book Antiqua"/>
          <w:bCs/>
          <w:color w:val="000000"/>
        </w:rPr>
        <w:t>Sipos</w:t>
      </w:r>
      <w:r w:rsidR="00020B4C" w:rsidRPr="00020B4C">
        <w:rPr>
          <w:rFonts w:ascii="Book Antiqua" w:hAnsi="Book Antiqua" w:cs="Book Antiqua" w:hint="eastAsia"/>
          <w:bCs/>
          <w:color w:val="000000"/>
          <w:lang w:eastAsia="zh-CN"/>
        </w:rPr>
        <w:t xml:space="preserve"> Z, </w:t>
      </w:r>
      <w:r w:rsidR="00020B4C" w:rsidRPr="00020B4C">
        <w:rPr>
          <w:rFonts w:ascii="Book Antiqua" w:eastAsia="Book Antiqua" w:hAnsi="Book Antiqua" w:cs="Book Antiqua"/>
          <w:bCs/>
          <w:color w:val="000000"/>
        </w:rPr>
        <w:t>Hegyi</w:t>
      </w:r>
      <w:r w:rsidR="00020B4C" w:rsidRPr="00020B4C">
        <w:rPr>
          <w:rFonts w:ascii="Book Antiqua" w:hAnsi="Book Antiqua" w:cs="Book Antiqua" w:hint="eastAsia"/>
          <w:bCs/>
          <w:color w:val="000000"/>
          <w:lang w:eastAsia="zh-CN"/>
        </w:rPr>
        <w:t xml:space="preserve"> P, </w:t>
      </w:r>
      <w:r w:rsidR="00020B4C" w:rsidRPr="00020B4C">
        <w:rPr>
          <w:rFonts w:ascii="Book Antiqua" w:eastAsia="Book Antiqua" w:hAnsi="Book Antiqua" w:cs="Book Antiqua"/>
          <w:bCs/>
          <w:color w:val="000000"/>
        </w:rPr>
        <w:t>Teutsch</w:t>
      </w:r>
      <w:r w:rsidR="00020B4C" w:rsidRPr="00020B4C">
        <w:rPr>
          <w:rFonts w:ascii="Book Antiqua" w:hAnsi="Book Antiqua" w:cs="Book Antiqua" w:hint="eastAsia"/>
          <w:bCs/>
          <w:color w:val="000000"/>
          <w:lang w:eastAsia="zh-CN"/>
        </w:rPr>
        <w:t xml:space="preserve"> B, </w:t>
      </w:r>
      <w:r w:rsidR="00020B4C" w:rsidRPr="00020B4C">
        <w:rPr>
          <w:rFonts w:ascii="Book Antiqua" w:eastAsia="Book Antiqua" w:hAnsi="Book Antiqua" w:cs="Book Antiqua"/>
          <w:bCs/>
          <w:color w:val="000000"/>
        </w:rPr>
        <w:t>Frim</w:t>
      </w:r>
      <w:r w:rsidR="00020B4C" w:rsidRPr="00020B4C">
        <w:rPr>
          <w:rFonts w:ascii="Book Antiqua" w:hAnsi="Book Antiqua" w:cs="Book Antiqua" w:hint="eastAsia"/>
          <w:bCs/>
          <w:color w:val="000000"/>
          <w:lang w:eastAsia="zh-CN"/>
        </w:rPr>
        <w:t xml:space="preserve"> L, </w:t>
      </w:r>
      <w:r w:rsidR="00020B4C" w:rsidRPr="00020B4C">
        <w:rPr>
          <w:rFonts w:ascii="Book Antiqua" w:eastAsia="Book Antiqua" w:hAnsi="Book Antiqua" w:cs="Book Antiqua"/>
          <w:bCs/>
          <w:color w:val="000000"/>
        </w:rPr>
        <w:t>Váncsa</w:t>
      </w:r>
      <w:r w:rsidR="00020B4C" w:rsidRPr="00020B4C">
        <w:rPr>
          <w:rFonts w:ascii="Book Antiqua" w:hAnsi="Book Antiqua" w:cs="Book Antiqua" w:hint="eastAsia"/>
          <w:bCs/>
          <w:color w:val="000000"/>
          <w:lang w:eastAsia="zh-CN"/>
        </w:rPr>
        <w:t xml:space="preserve"> S, </w:t>
      </w:r>
      <w:r w:rsidR="00020B4C" w:rsidRPr="00020B4C">
        <w:rPr>
          <w:rFonts w:ascii="Book Antiqua" w:eastAsia="Book Antiqua" w:hAnsi="Book Antiqua" w:cs="Book Antiqua"/>
          <w:bCs/>
          <w:color w:val="000000"/>
        </w:rPr>
        <w:t>Kiss</w:t>
      </w:r>
      <w:r w:rsidR="00020B4C" w:rsidRPr="00020B4C">
        <w:rPr>
          <w:rFonts w:ascii="Book Antiqua" w:hAnsi="Book Antiqua" w:cs="Book Antiqua" w:hint="eastAsia"/>
          <w:bCs/>
          <w:color w:val="000000"/>
          <w:lang w:eastAsia="zh-CN"/>
        </w:rPr>
        <w:t xml:space="preserve"> S, </w:t>
      </w:r>
      <w:r w:rsidR="00020B4C" w:rsidRPr="00020B4C">
        <w:rPr>
          <w:rFonts w:ascii="Book Antiqua" w:eastAsia="Book Antiqua" w:hAnsi="Book Antiqua" w:cs="Book Antiqua"/>
          <w:bCs/>
          <w:color w:val="000000"/>
        </w:rPr>
        <w:t>Dembrovszky</w:t>
      </w:r>
      <w:r w:rsidR="00020B4C" w:rsidRPr="00020B4C">
        <w:rPr>
          <w:rFonts w:ascii="Book Antiqua" w:hAnsi="Book Antiqua" w:cs="Book Antiqua" w:hint="eastAsia"/>
          <w:bCs/>
          <w:color w:val="000000"/>
          <w:lang w:eastAsia="zh-CN"/>
        </w:rPr>
        <w:t xml:space="preserve"> F, </w:t>
      </w:r>
      <w:r w:rsidR="00020B4C" w:rsidRPr="00020B4C">
        <w:rPr>
          <w:rFonts w:ascii="Book Antiqua" w:eastAsia="Book Antiqua" w:hAnsi="Book Antiqua" w:cs="Book Antiqua"/>
          <w:bCs/>
          <w:color w:val="000000"/>
        </w:rPr>
        <w:t>Oštarijaš</w:t>
      </w:r>
      <w:r w:rsidR="00020B4C" w:rsidRPr="00020B4C">
        <w:rPr>
          <w:rFonts w:ascii="Book Antiqua" w:hAnsi="Book Antiqua" w:cs="Book Antiqua" w:hint="eastAsia"/>
          <w:bCs/>
          <w:color w:val="000000"/>
          <w:lang w:eastAsia="zh-CN"/>
        </w:rPr>
        <w:t xml:space="preserve"> E, </w:t>
      </w:r>
      <w:r w:rsidR="00020B4C" w:rsidRPr="00020B4C">
        <w:rPr>
          <w:rFonts w:ascii="Book Antiqua" w:eastAsia="Book Antiqua" w:hAnsi="Book Antiqua" w:cs="Book Antiqua"/>
          <w:bCs/>
          <w:color w:val="000000"/>
        </w:rPr>
        <w:t>Shawyer</w:t>
      </w:r>
      <w:r w:rsidR="00020B4C" w:rsidRPr="00020B4C">
        <w:rPr>
          <w:rFonts w:ascii="Book Antiqua" w:hAnsi="Book Antiqua" w:cs="Book Antiqua" w:hint="eastAsia"/>
          <w:bCs/>
          <w:color w:val="000000"/>
          <w:lang w:eastAsia="zh-CN"/>
        </w:rPr>
        <w:t xml:space="preserve"> A, and </w:t>
      </w:r>
      <w:r w:rsidR="00020B4C" w:rsidRPr="00020B4C">
        <w:rPr>
          <w:rFonts w:ascii="Book Antiqua" w:eastAsia="Book Antiqua" w:hAnsi="Book Antiqua" w:cs="Book Antiqua"/>
          <w:bCs/>
          <w:color w:val="000000"/>
        </w:rPr>
        <w:t>Erőss</w:t>
      </w:r>
      <w:r w:rsidR="00020B4C" w:rsidRPr="00020B4C">
        <w:rPr>
          <w:rFonts w:ascii="Book Antiqua" w:hAnsi="Book Antiqua" w:cs="Book Antiqua" w:hint="eastAsia"/>
          <w:bCs/>
          <w:color w:val="000000"/>
          <w:lang w:eastAsia="zh-CN"/>
        </w:rPr>
        <w:t xml:space="preserve"> B provided the </w:t>
      </w:r>
      <w:r w:rsidR="00020B4C">
        <w:rPr>
          <w:rFonts w:ascii="Book Antiqua" w:eastAsia="Book Antiqua" w:hAnsi="Book Antiqua" w:cs="Book Antiqua"/>
          <w:color w:val="000000"/>
        </w:rPr>
        <w:t>conceptualization</w:t>
      </w:r>
      <w:r w:rsidR="00020B4C">
        <w:rPr>
          <w:rFonts w:ascii="Book Antiqua" w:hAnsi="Book Antiqua" w:cs="Book Antiqua" w:hint="eastAsia"/>
          <w:color w:val="000000"/>
          <w:lang w:eastAsia="zh-CN"/>
        </w:rPr>
        <w:t xml:space="preserve">; </w:t>
      </w:r>
      <w:r w:rsidR="00020B4C" w:rsidRPr="00020B4C">
        <w:rPr>
          <w:rFonts w:ascii="Book Antiqua" w:eastAsia="Book Antiqua" w:hAnsi="Book Antiqua" w:cs="Book Antiqua"/>
          <w:bCs/>
          <w:color w:val="000000"/>
        </w:rPr>
        <w:t>Boros</w:t>
      </w:r>
      <w:r w:rsidR="00020B4C" w:rsidRPr="00020B4C">
        <w:rPr>
          <w:rFonts w:ascii="Book Antiqua" w:hAnsi="Book Antiqua" w:cs="Book Antiqua" w:hint="eastAsia"/>
          <w:bCs/>
          <w:color w:val="000000"/>
          <w:lang w:eastAsia="zh-CN"/>
        </w:rPr>
        <w:t xml:space="preserve"> E is the </w:t>
      </w:r>
      <w:r w:rsidR="00020B4C" w:rsidRPr="00020B4C">
        <w:rPr>
          <w:rFonts w:ascii="Book Antiqua" w:eastAsia="Book Antiqua" w:hAnsi="Book Antiqua" w:cs="Book Antiqua"/>
          <w:color w:val="000000"/>
        </w:rPr>
        <w:t>project administration</w:t>
      </w:r>
      <w:r w:rsidR="00020B4C" w:rsidRPr="00020B4C">
        <w:rPr>
          <w:rFonts w:ascii="Book Antiqua" w:hAnsi="Book Antiqua" w:cs="Book Antiqua" w:hint="eastAsia"/>
          <w:color w:val="000000"/>
          <w:lang w:eastAsia="zh-CN"/>
        </w:rPr>
        <w:t xml:space="preserve">; </w:t>
      </w:r>
      <w:r w:rsidR="00020B4C" w:rsidRPr="00020B4C">
        <w:rPr>
          <w:rFonts w:ascii="Book Antiqua" w:eastAsia="Book Antiqua" w:hAnsi="Book Antiqua" w:cs="Book Antiqua"/>
          <w:bCs/>
          <w:color w:val="000000"/>
        </w:rPr>
        <w:t>Boros</w:t>
      </w:r>
      <w:r w:rsidR="00020B4C" w:rsidRPr="00020B4C">
        <w:rPr>
          <w:rFonts w:ascii="Book Antiqua" w:hAnsi="Book Antiqua" w:cs="Book Antiqua" w:hint="eastAsia"/>
          <w:bCs/>
          <w:color w:val="000000"/>
          <w:lang w:eastAsia="zh-CN"/>
        </w:rPr>
        <w:t xml:space="preserve"> E</w:t>
      </w:r>
      <w:r w:rsidR="00020B4C">
        <w:rPr>
          <w:rFonts w:ascii="Book Antiqua" w:hAnsi="Book Antiqua" w:cs="Book Antiqua" w:hint="eastAsia"/>
          <w:bCs/>
          <w:color w:val="000000"/>
          <w:lang w:eastAsia="zh-CN"/>
        </w:rPr>
        <w:t xml:space="preserve"> and </w:t>
      </w:r>
      <w:r w:rsidR="00020B4C" w:rsidRPr="00020B4C">
        <w:rPr>
          <w:rFonts w:ascii="Book Antiqua" w:hAnsi="Book Antiqua" w:cs="Book Antiqua"/>
          <w:bCs/>
          <w:color w:val="000000"/>
          <w:lang w:eastAsia="zh-CN"/>
        </w:rPr>
        <w:t>Sipos</w:t>
      </w:r>
      <w:r w:rsidR="00020B4C">
        <w:rPr>
          <w:rFonts w:ascii="Book Antiqua" w:hAnsi="Book Antiqua" w:cs="Book Antiqua" w:hint="eastAsia"/>
          <w:bCs/>
          <w:color w:val="000000"/>
          <w:lang w:eastAsia="zh-CN"/>
        </w:rPr>
        <w:t xml:space="preserve"> </w:t>
      </w:r>
      <w:r w:rsidR="00020B4C" w:rsidRPr="00020B4C">
        <w:rPr>
          <w:rFonts w:ascii="Book Antiqua" w:hAnsi="Book Antiqua" w:cs="Book Antiqua" w:hint="eastAsia"/>
          <w:bCs/>
          <w:caps/>
          <w:color w:val="000000"/>
          <w:lang w:eastAsia="zh-CN"/>
        </w:rPr>
        <w:t>z</w:t>
      </w:r>
      <w:r w:rsidR="00020B4C" w:rsidRPr="00020B4C">
        <w:rPr>
          <w:rFonts w:ascii="Book Antiqua" w:hAnsi="Book Antiqua" w:cs="Book Antiqua" w:hint="eastAsia"/>
          <w:b/>
          <w:bCs/>
          <w:color w:val="000000"/>
          <w:szCs w:val="22"/>
          <w:lang w:eastAsia="zh-CN"/>
        </w:rPr>
        <w:t xml:space="preserve"> </w:t>
      </w:r>
      <w:r w:rsidR="00020B4C">
        <w:rPr>
          <w:rFonts w:ascii="Book Antiqua" w:eastAsia="Book Antiqua" w:hAnsi="Book Antiqua" w:cs="Book Antiqua"/>
          <w:color w:val="000000"/>
        </w:rPr>
        <w:t>formal</w:t>
      </w:r>
      <w:r w:rsidR="00020B4C">
        <w:rPr>
          <w:rFonts w:ascii="Book Antiqua" w:hAnsi="Book Antiqua" w:cs="Book Antiqua" w:hint="eastAsia"/>
          <w:color w:val="000000"/>
          <w:lang w:eastAsia="zh-CN"/>
        </w:rPr>
        <w:t>ly</w:t>
      </w:r>
      <w:r w:rsidR="00020B4C">
        <w:rPr>
          <w:rFonts w:ascii="Book Antiqua" w:eastAsia="Book Antiqua" w:hAnsi="Book Antiqua" w:cs="Book Antiqua"/>
          <w:color w:val="000000"/>
        </w:rPr>
        <w:t xml:space="preserve"> analy</w:t>
      </w:r>
      <w:r w:rsidR="00020B4C">
        <w:rPr>
          <w:rFonts w:ascii="Book Antiqua" w:hAnsi="Book Antiqua" w:cs="Book Antiqua" w:hint="eastAsia"/>
          <w:color w:val="000000"/>
          <w:lang w:eastAsia="zh-CN"/>
        </w:rPr>
        <w:t xml:space="preserve">ze the </w:t>
      </w:r>
      <w:r w:rsidR="00020B4C">
        <w:rPr>
          <w:rFonts w:ascii="Book Antiqua" w:eastAsia="Book Antiqua" w:hAnsi="Book Antiqua" w:cs="Book Antiqua"/>
          <w:color w:val="000000"/>
        </w:rPr>
        <w:t xml:space="preserve">original </w:t>
      </w:r>
      <w:r w:rsidR="00020B4C">
        <w:rPr>
          <w:rFonts w:ascii="Book Antiqua" w:eastAsia="Book Antiqua" w:hAnsi="Book Antiqua" w:cs="Book Antiqua"/>
          <w:color w:val="000000"/>
        </w:rPr>
        <w:lastRenderedPageBreak/>
        <w:t>draft</w:t>
      </w:r>
      <w:r w:rsidR="00020B4C">
        <w:rPr>
          <w:rFonts w:ascii="Book Antiqua" w:hAnsi="Book Antiqua" w:cs="Book Antiqua" w:hint="eastAsia"/>
          <w:color w:val="000000"/>
          <w:lang w:eastAsia="zh-CN"/>
        </w:rPr>
        <w:t xml:space="preserve">; </w:t>
      </w:r>
      <w:r w:rsidR="00020B4C" w:rsidRPr="00020B4C">
        <w:rPr>
          <w:rFonts w:ascii="Book Antiqua" w:eastAsia="Book Antiqua" w:hAnsi="Book Antiqua" w:cs="Book Antiqua"/>
          <w:bCs/>
          <w:color w:val="000000"/>
        </w:rPr>
        <w:t>Boros</w:t>
      </w:r>
      <w:r w:rsidR="00020B4C" w:rsidRPr="00020B4C">
        <w:rPr>
          <w:rFonts w:ascii="Book Antiqua" w:hAnsi="Book Antiqua" w:cs="Book Antiqua" w:hint="eastAsia"/>
          <w:bCs/>
          <w:color w:val="000000"/>
          <w:lang w:eastAsia="zh-CN"/>
        </w:rPr>
        <w:t xml:space="preserve"> E and </w:t>
      </w:r>
      <w:r w:rsidR="00020B4C" w:rsidRPr="00020B4C">
        <w:rPr>
          <w:rFonts w:ascii="Book Antiqua" w:eastAsia="Book Antiqua" w:hAnsi="Book Antiqua" w:cs="Book Antiqua"/>
          <w:bCs/>
          <w:color w:val="000000"/>
        </w:rPr>
        <w:t>Teutsch</w:t>
      </w:r>
      <w:r w:rsidR="00020B4C" w:rsidRPr="00020B4C">
        <w:rPr>
          <w:rFonts w:ascii="Book Antiqua" w:hAnsi="Book Antiqua" w:cs="Book Antiqua" w:hint="eastAsia"/>
          <w:bCs/>
          <w:color w:val="000000"/>
          <w:lang w:eastAsia="zh-CN"/>
        </w:rPr>
        <w:t xml:space="preserve"> B </w:t>
      </w:r>
      <w:r w:rsidR="00020B4C">
        <w:rPr>
          <w:rFonts w:ascii="Book Antiqua" w:hAnsi="Book Antiqua" w:cs="Book Antiqua" w:hint="eastAsia"/>
          <w:bCs/>
          <w:color w:val="000000"/>
          <w:lang w:eastAsia="zh-CN"/>
        </w:rPr>
        <w:t xml:space="preserve">did the </w:t>
      </w:r>
      <w:r w:rsidR="00020B4C">
        <w:rPr>
          <w:rFonts w:ascii="Book Antiqua" w:eastAsia="Book Antiqua" w:hAnsi="Book Antiqua" w:cs="Book Antiqua"/>
          <w:color w:val="000000"/>
        </w:rPr>
        <w:t xml:space="preserve">systematic search and selection, </w:t>
      </w:r>
      <w:r w:rsidR="00020B4C">
        <w:rPr>
          <w:rFonts w:ascii="Book Antiqua" w:hAnsi="Book Antiqua" w:cs="Book Antiqua" w:hint="eastAsia"/>
          <w:color w:val="000000"/>
          <w:lang w:eastAsia="zh-CN"/>
        </w:rPr>
        <w:t xml:space="preserve">and </w:t>
      </w:r>
      <w:r w:rsidR="00020B4C">
        <w:rPr>
          <w:rFonts w:ascii="Book Antiqua" w:eastAsia="Book Antiqua" w:hAnsi="Book Antiqua" w:cs="Book Antiqua"/>
          <w:color w:val="000000"/>
        </w:rPr>
        <w:t>wr</w:t>
      </w:r>
      <w:r w:rsidR="00020B4C">
        <w:rPr>
          <w:rFonts w:ascii="Book Antiqua" w:hAnsi="Book Antiqua" w:cs="Book Antiqua" w:hint="eastAsia"/>
          <w:color w:val="000000"/>
          <w:lang w:eastAsia="zh-CN"/>
        </w:rPr>
        <w:t xml:space="preserve">ote the </w:t>
      </w:r>
      <w:r w:rsidR="00020B4C">
        <w:rPr>
          <w:rFonts w:ascii="Book Antiqua" w:eastAsia="Book Antiqua" w:hAnsi="Book Antiqua" w:cs="Book Antiqua"/>
          <w:color w:val="000000"/>
        </w:rPr>
        <w:t>original draft</w:t>
      </w:r>
      <w:r w:rsidR="00020B4C">
        <w:rPr>
          <w:rFonts w:ascii="Book Antiqua" w:hAnsi="Book Antiqua" w:cs="Book Antiqua" w:hint="eastAsia"/>
          <w:color w:val="000000"/>
          <w:lang w:eastAsia="zh-CN"/>
        </w:rPr>
        <w:t xml:space="preserve">; </w:t>
      </w:r>
      <w:r w:rsidR="00020B4C" w:rsidRPr="00020B4C">
        <w:rPr>
          <w:rFonts w:ascii="Book Antiqua" w:eastAsia="Book Antiqua" w:hAnsi="Book Antiqua" w:cs="Book Antiqua"/>
          <w:bCs/>
          <w:color w:val="000000"/>
        </w:rPr>
        <w:t>Sipos</w:t>
      </w:r>
      <w:r w:rsidR="00020B4C" w:rsidRPr="00020B4C">
        <w:rPr>
          <w:rFonts w:ascii="Book Antiqua" w:hAnsi="Book Antiqua" w:cs="Book Antiqua" w:hint="eastAsia"/>
          <w:bCs/>
          <w:color w:val="000000"/>
          <w:lang w:eastAsia="zh-CN"/>
        </w:rPr>
        <w:t xml:space="preserve"> Z made the </w:t>
      </w:r>
      <w:r w:rsidR="00020B4C">
        <w:rPr>
          <w:rFonts w:ascii="Book Antiqua" w:eastAsia="Book Antiqua" w:hAnsi="Book Antiqua" w:cs="Book Antiqua"/>
          <w:color w:val="000000"/>
        </w:rPr>
        <w:t xml:space="preserve">visualisation, </w:t>
      </w:r>
      <w:r w:rsidR="00020B4C">
        <w:rPr>
          <w:rFonts w:ascii="Book Antiqua" w:hAnsi="Book Antiqua" w:cs="Book Antiqua" w:hint="eastAsia"/>
          <w:color w:val="000000"/>
          <w:lang w:eastAsia="zh-CN"/>
        </w:rPr>
        <w:t xml:space="preserve">and </w:t>
      </w:r>
      <w:r w:rsidR="00020B4C">
        <w:rPr>
          <w:rFonts w:ascii="Book Antiqua" w:eastAsia="Book Antiqua" w:hAnsi="Book Antiqua" w:cs="Book Antiqua"/>
          <w:color w:val="000000"/>
        </w:rPr>
        <w:t>wr</w:t>
      </w:r>
      <w:r w:rsidR="00020B4C">
        <w:rPr>
          <w:rFonts w:ascii="Book Antiqua" w:hAnsi="Book Antiqua" w:cs="Book Antiqua" w:hint="eastAsia"/>
          <w:color w:val="000000"/>
          <w:lang w:eastAsia="zh-CN"/>
        </w:rPr>
        <w:t>ote the</w:t>
      </w:r>
      <w:r w:rsidR="00020B4C">
        <w:rPr>
          <w:rFonts w:ascii="Book Antiqua" w:eastAsia="Book Antiqua" w:hAnsi="Book Antiqua" w:cs="Book Antiqua"/>
          <w:color w:val="000000"/>
        </w:rPr>
        <w:t xml:space="preserve"> original draft</w:t>
      </w:r>
      <w:r w:rsidR="00020B4C">
        <w:rPr>
          <w:rFonts w:ascii="Book Antiqua" w:hAnsi="Book Antiqua" w:cs="Book Antiqua" w:hint="eastAsia"/>
          <w:color w:val="000000"/>
          <w:lang w:eastAsia="zh-CN"/>
        </w:rPr>
        <w:t xml:space="preserve">; </w:t>
      </w:r>
      <w:r w:rsidR="00020B4C" w:rsidRPr="00020B4C">
        <w:rPr>
          <w:rFonts w:ascii="Book Antiqua" w:eastAsia="Book Antiqua" w:hAnsi="Book Antiqua" w:cs="Book Antiqua"/>
          <w:bCs/>
          <w:color w:val="000000"/>
        </w:rPr>
        <w:t>Hegyi</w:t>
      </w:r>
      <w:r w:rsidR="00020B4C" w:rsidRPr="00020B4C">
        <w:rPr>
          <w:rFonts w:ascii="Book Antiqua" w:hAnsi="Book Antiqua" w:cs="Book Antiqua" w:hint="eastAsia"/>
          <w:bCs/>
          <w:color w:val="000000"/>
          <w:lang w:eastAsia="zh-CN"/>
        </w:rPr>
        <w:t xml:space="preserve"> P</w:t>
      </w:r>
      <w:r w:rsidR="00020B4C">
        <w:rPr>
          <w:rFonts w:ascii="Book Antiqua" w:hAnsi="Book Antiqua" w:cs="Book Antiqua" w:hint="eastAsia"/>
          <w:b/>
          <w:bCs/>
          <w:color w:val="000000"/>
          <w:lang w:eastAsia="zh-CN"/>
        </w:rPr>
        <w:t xml:space="preserve"> </w:t>
      </w:r>
      <w:r w:rsidR="00020B4C" w:rsidRPr="00020B4C">
        <w:rPr>
          <w:rFonts w:ascii="Book Antiqua" w:hAnsi="Book Antiqua" w:cs="Book Antiqua" w:hint="eastAsia"/>
          <w:bCs/>
          <w:color w:val="000000"/>
          <w:lang w:eastAsia="zh-CN"/>
        </w:rPr>
        <w:t>contributed to the</w:t>
      </w:r>
      <w:r w:rsidR="00020B4C">
        <w:rPr>
          <w:rFonts w:ascii="Book Antiqua" w:hAnsi="Book Antiqua" w:cs="Book Antiqua" w:hint="eastAsia"/>
          <w:b/>
          <w:bCs/>
          <w:color w:val="000000"/>
          <w:lang w:eastAsia="zh-CN"/>
        </w:rPr>
        <w:t xml:space="preserve"> </w:t>
      </w:r>
      <w:r>
        <w:rPr>
          <w:rFonts w:ascii="Book Antiqua" w:eastAsia="Book Antiqua" w:hAnsi="Book Antiqua" w:cs="Book Antiqua"/>
          <w:color w:val="000000"/>
        </w:rPr>
        <w:t>funding acquisition</w:t>
      </w:r>
      <w:r w:rsidR="00750EF8">
        <w:rPr>
          <w:rFonts w:ascii="Book Antiqua" w:hAnsi="Book Antiqua" w:cs="Book Antiqua" w:hint="eastAsia"/>
          <w:color w:val="000000"/>
          <w:lang w:eastAsia="zh-CN"/>
        </w:rPr>
        <w:t>;</w:t>
      </w:r>
      <w:r w:rsidR="00020B4C">
        <w:rPr>
          <w:rFonts w:ascii="Book Antiqua" w:hAnsi="Book Antiqua" w:cs="Book Antiqua" w:hint="eastAsia"/>
          <w:color w:val="000000"/>
          <w:lang w:eastAsia="zh-CN"/>
        </w:rPr>
        <w:t xml:space="preserve"> </w:t>
      </w:r>
      <w:r w:rsidR="00750EF8" w:rsidRPr="00020B4C">
        <w:rPr>
          <w:rFonts w:ascii="Book Antiqua" w:eastAsia="Book Antiqua" w:hAnsi="Book Antiqua" w:cs="Book Antiqua"/>
          <w:bCs/>
          <w:color w:val="000000"/>
        </w:rPr>
        <w:t>Hegyi</w:t>
      </w:r>
      <w:r w:rsidR="00750EF8" w:rsidRPr="00020B4C">
        <w:rPr>
          <w:rFonts w:ascii="Book Antiqua" w:hAnsi="Book Antiqua" w:cs="Book Antiqua" w:hint="eastAsia"/>
          <w:bCs/>
          <w:color w:val="000000"/>
          <w:lang w:eastAsia="zh-CN"/>
        </w:rPr>
        <w:t xml:space="preserve"> P</w:t>
      </w:r>
      <w:r w:rsidR="00750EF8">
        <w:rPr>
          <w:rFonts w:ascii="Book Antiqua" w:hAnsi="Book Antiqua" w:cs="Book Antiqua" w:hint="eastAsia"/>
          <w:bCs/>
          <w:color w:val="000000"/>
          <w:lang w:eastAsia="zh-CN"/>
        </w:rPr>
        <w:t>,</w:t>
      </w:r>
      <w:r w:rsidR="00750EF8">
        <w:rPr>
          <w:rFonts w:ascii="Book Antiqua" w:hAnsi="Book Antiqua" w:cs="Book Antiqua" w:hint="eastAsia"/>
          <w:b/>
          <w:bCs/>
          <w:color w:val="000000"/>
          <w:lang w:eastAsia="zh-CN"/>
        </w:rPr>
        <w:t xml:space="preserve"> </w:t>
      </w:r>
      <w:r w:rsidR="00750EF8" w:rsidRPr="00020B4C">
        <w:rPr>
          <w:rFonts w:ascii="Book Antiqua" w:eastAsia="Book Antiqua" w:hAnsi="Book Antiqua" w:cs="Book Antiqua"/>
          <w:bCs/>
          <w:color w:val="000000"/>
        </w:rPr>
        <w:t>Frim</w:t>
      </w:r>
      <w:r w:rsidR="00750EF8" w:rsidRPr="00020B4C">
        <w:rPr>
          <w:rFonts w:ascii="Book Antiqua" w:hAnsi="Book Antiqua" w:cs="Book Antiqua" w:hint="eastAsia"/>
          <w:bCs/>
          <w:color w:val="000000"/>
          <w:lang w:eastAsia="zh-CN"/>
        </w:rPr>
        <w:t xml:space="preserve"> L</w:t>
      </w:r>
      <w:r w:rsidR="00750EF8">
        <w:rPr>
          <w:rFonts w:ascii="Book Antiqua" w:hAnsi="Book Antiqua" w:cs="Book Antiqua" w:hint="eastAsia"/>
          <w:bCs/>
          <w:color w:val="000000"/>
          <w:lang w:eastAsia="zh-CN"/>
        </w:rPr>
        <w:t>,</w:t>
      </w:r>
      <w:r w:rsidR="00750EF8">
        <w:rPr>
          <w:rFonts w:ascii="Book Antiqua" w:hAnsi="Book Antiqua" w:cs="Book Antiqua" w:hint="eastAsia"/>
          <w:color w:val="000000"/>
          <w:lang w:eastAsia="zh-CN"/>
        </w:rPr>
        <w:t xml:space="preserve"> </w:t>
      </w:r>
      <w:r w:rsidR="00750EF8" w:rsidRPr="00750EF8">
        <w:rPr>
          <w:rFonts w:ascii="Book Antiqua" w:eastAsia="Book Antiqua" w:hAnsi="Book Antiqua" w:cs="Book Antiqua"/>
          <w:bCs/>
          <w:color w:val="000000"/>
        </w:rPr>
        <w:t>Váncsa</w:t>
      </w:r>
      <w:r w:rsidR="00750EF8" w:rsidRPr="00750EF8">
        <w:rPr>
          <w:rFonts w:ascii="Book Antiqua" w:hAnsi="Book Antiqua" w:cs="Book Antiqua" w:hint="eastAsia"/>
          <w:bCs/>
          <w:color w:val="000000"/>
          <w:lang w:eastAsia="zh-CN"/>
        </w:rPr>
        <w:t xml:space="preserve"> S</w:t>
      </w:r>
      <w:r w:rsidR="00750EF8">
        <w:rPr>
          <w:rFonts w:ascii="Book Antiqua" w:hAnsi="Book Antiqua" w:cs="Book Antiqua" w:hint="eastAsia"/>
          <w:color w:val="000000"/>
          <w:lang w:eastAsia="zh-CN"/>
        </w:rPr>
        <w:t xml:space="preserve">, </w:t>
      </w:r>
      <w:r w:rsidR="00750EF8" w:rsidRPr="00750EF8">
        <w:rPr>
          <w:rFonts w:ascii="Book Antiqua" w:eastAsia="Book Antiqua" w:hAnsi="Book Antiqua" w:cs="Book Antiqua"/>
          <w:bCs/>
          <w:color w:val="000000"/>
        </w:rPr>
        <w:t>Kiss</w:t>
      </w:r>
      <w:r w:rsidR="00750EF8" w:rsidRPr="00750EF8">
        <w:rPr>
          <w:rFonts w:ascii="Book Antiqua" w:eastAsia="Book Antiqua" w:hAnsi="Book Antiqua" w:cs="Book Antiqua"/>
          <w:color w:val="000000"/>
        </w:rPr>
        <w:t xml:space="preserve"> </w:t>
      </w:r>
      <w:r w:rsidR="00750EF8" w:rsidRPr="00750EF8">
        <w:rPr>
          <w:rFonts w:ascii="Book Antiqua" w:hAnsi="Book Antiqua" w:cs="Book Antiqua" w:hint="eastAsia"/>
          <w:color w:val="000000"/>
          <w:lang w:eastAsia="zh-CN"/>
        </w:rPr>
        <w:t>S</w:t>
      </w:r>
      <w:r w:rsidR="00750EF8">
        <w:rPr>
          <w:rFonts w:ascii="Book Antiqua" w:hAnsi="Book Antiqua" w:cs="Book Antiqua" w:hint="eastAsia"/>
          <w:color w:val="000000"/>
          <w:lang w:eastAsia="zh-CN"/>
        </w:rPr>
        <w:t xml:space="preserve">, </w:t>
      </w:r>
      <w:r w:rsidR="00750EF8" w:rsidRPr="00750EF8">
        <w:rPr>
          <w:rFonts w:ascii="Book Antiqua" w:eastAsia="Book Antiqua" w:hAnsi="Book Antiqua" w:cs="Book Antiqua"/>
          <w:bCs/>
          <w:color w:val="000000"/>
        </w:rPr>
        <w:t>Dembrovszky</w:t>
      </w:r>
      <w:r w:rsidR="00750EF8" w:rsidRPr="00750EF8">
        <w:rPr>
          <w:rFonts w:ascii="Book Antiqua" w:hAnsi="Book Antiqua" w:cs="Book Antiqua" w:hint="eastAsia"/>
          <w:bCs/>
          <w:color w:val="000000"/>
          <w:lang w:eastAsia="zh-CN"/>
        </w:rPr>
        <w:t xml:space="preserve"> F</w:t>
      </w:r>
      <w:r w:rsidR="00750EF8">
        <w:rPr>
          <w:rFonts w:ascii="Book Antiqua" w:hAnsi="Book Antiqua" w:cs="Book Antiqua" w:hint="eastAsia"/>
          <w:bCs/>
          <w:color w:val="000000"/>
          <w:lang w:eastAsia="zh-CN"/>
        </w:rPr>
        <w:t>,</w:t>
      </w:r>
      <w:r w:rsidR="00750EF8" w:rsidRPr="00750EF8">
        <w:rPr>
          <w:rFonts w:ascii="Book Antiqua" w:eastAsia="Book Antiqua" w:hAnsi="Book Antiqua" w:cs="Book Antiqua"/>
          <w:bCs/>
          <w:color w:val="000000"/>
        </w:rPr>
        <w:t xml:space="preserve"> Oštarijaš</w:t>
      </w:r>
      <w:r w:rsidR="00750EF8" w:rsidRPr="00750EF8">
        <w:rPr>
          <w:rFonts w:ascii="Book Antiqua" w:hAnsi="Book Antiqua" w:cs="Book Antiqua" w:hint="eastAsia"/>
          <w:bCs/>
          <w:color w:val="000000"/>
          <w:lang w:eastAsia="zh-CN"/>
        </w:rPr>
        <w:t xml:space="preserve"> E</w:t>
      </w:r>
      <w:r w:rsidR="00750EF8">
        <w:rPr>
          <w:rFonts w:ascii="Book Antiqua" w:hAnsi="Book Antiqua" w:cs="Book Antiqua" w:hint="eastAsia"/>
          <w:bCs/>
          <w:color w:val="000000"/>
          <w:lang w:eastAsia="zh-CN"/>
        </w:rPr>
        <w:t>,</w:t>
      </w:r>
      <w:r w:rsidR="00750EF8">
        <w:rPr>
          <w:rFonts w:ascii="Book Antiqua" w:hAnsi="Book Antiqua" w:cs="Book Antiqua" w:hint="eastAsia"/>
          <w:color w:val="000000"/>
          <w:lang w:eastAsia="zh-CN"/>
        </w:rPr>
        <w:t xml:space="preserve"> and </w:t>
      </w:r>
      <w:r w:rsidR="00750EF8" w:rsidRPr="00750EF8">
        <w:rPr>
          <w:rFonts w:ascii="Book Antiqua" w:eastAsia="Book Antiqua" w:hAnsi="Book Antiqua" w:cs="Book Antiqua"/>
          <w:bCs/>
          <w:color w:val="000000"/>
        </w:rPr>
        <w:t>Shawyer</w:t>
      </w:r>
      <w:r w:rsidR="00750EF8" w:rsidRPr="00750EF8">
        <w:rPr>
          <w:rFonts w:ascii="Book Antiqua" w:hAnsi="Book Antiqua" w:cs="Book Antiqua" w:hint="eastAsia"/>
          <w:bCs/>
          <w:color w:val="000000"/>
          <w:lang w:eastAsia="zh-CN"/>
        </w:rPr>
        <w:t xml:space="preserve"> A</w:t>
      </w:r>
      <w:r w:rsidR="00750EF8">
        <w:rPr>
          <w:rFonts w:ascii="Book Antiqua" w:hAnsi="Book Antiqua" w:cs="Book Antiqua" w:hint="eastAsia"/>
          <w:b/>
          <w:bCs/>
          <w:color w:val="000000"/>
          <w:lang w:eastAsia="zh-CN"/>
        </w:rPr>
        <w:t xml:space="preserve"> </w:t>
      </w:r>
      <w:r w:rsidR="00020B4C">
        <w:rPr>
          <w:rFonts w:ascii="Book Antiqua" w:hAnsi="Book Antiqua" w:cs="Book Antiqua" w:hint="eastAsia"/>
          <w:color w:val="000000"/>
          <w:lang w:eastAsia="zh-CN"/>
        </w:rPr>
        <w:t>wrote</w:t>
      </w:r>
      <w:r w:rsidR="00750EF8">
        <w:rPr>
          <w:rFonts w:ascii="Book Antiqua" w:hAnsi="Book Antiqua" w:cs="Book Antiqua" w:hint="eastAsia"/>
          <w:color w:val="000000"/>
          <w:lang w:eastAsia="zh-CN"/>
        </w:rPr>
        <w:t>,</w:t>
      </w:r>
      <w:r w:rsidR="00020B4C">
        <w:rPr>
          <w:rFonts w:ascii="Book Antiqua" w:hAnsi="Book Antiqua" w:cs="Book Antiqua" w:hint="eastAsia"/>
          <w:color w:val="000000"/>
          <w:lang w:eastAsia="zh-CN"/>
        </w:rPr>
        <w:t xml:space="preserve"> </w:t>
      </w:r>
      <w:r>
        <w:rPr>
          <w:rFonts w:ascii="Book Antiqua" w:eastAsia="Book Antiqua" w:hAnsi="Book Antiqua" w:cs="Book Antiqua"/>
          <w:color w:val="000000"/>
        </w:rPr>
        <w:t>review</w:t>
      </w:r>
      <w:r w:rsidR="00750EF8">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020B4C">
        <w:rPr>
          <w:rFonts w:ascii="Book Antiqua" w:hAnsi="Book Antiqua" w:cs="Book Antiqua" w:hint="eastAsia"/>
          <w:color w:val="000000"/>
          <w:lang w:eastAsia="zh-CN"/>
        </w:rPr>
        <w:t>and</w:t>
      </w:r>
      <w:r>
        <w:rPr>
          <w:rFonts w:ascii="Book Antiqua" w:eastAsia="Book Antiqua" w:hAnsi="Book Antiqua" w:cs="Book Antiqua"/>
          <w:color w:val="000000"/>
        </w:rPr>
        <w:t xml:space="preserve"> edit</w:t>
      </w:r>
      <w:r w:rsidR="00750EF8">
        <w:rPr>
          <w:rFonts w:ascii="Book Antiqua" w:hAnsi="Book Antiqua" w:cs="Book Antiqua" w:hint="eastAsia"/>
          <w:color w:val="000000"/>
          <w:lang w:eastAsia="zh-CN"/>
        </w:rPr>
        <w:t>ed the manuscript</w:t>
      </w:r>
      <w:r>
        <w:rPr>
          <w:rFonts w:ascii="Book Antiqua" w:eastAsia="Book Antiqua" w:hAnsi="Book Antiqua" w:cs="Book Antiqua"/>
          <w:color w:val="000000"/>
        </w:rPr>
        <w:t xml:space="preserve">; </w:t>
      </w:r>
      <w:r w:rsidRPr="00020B4C">
        <w:rPr>
          <w:rFonts w:ascii="Book Antiqua" w:eastAsia="Book Antiqua" w:hAnsi="Book Antiqua" w:cs="Book Antiqua"/>
          <w:bCs/>
          <w:color w:val="000000"/>
        </w:rPr>
        <w:t>Frim</w:t>
      </w:r>
      <w:r w:rsidR="00020B4C" w:rsidRPr="00020B4C">
        <w:rPr>
          <w:rFonts w:ascii="Book Antiqua" w:hAnsi="Book Antiqua" w:cs="Book Antiqua" w:hint="eastAsia"/>
          <w:bCs/>
          <w:color w:val="000000"/>
          <w:lang w:eastAsia="zh-CN"/>
        </w:rPr>
        <w:t xml:space="preserve"> L</w:t>
      </w:r>
      <w:r w:rsidR="00020B4C">
        <w:rPr>
          <w:rFonts w:ascii="Book Antiqua" w:hAnsi="Book Antiqua" w:cs="Book Antiqua" w:hint="eastAsia"/>
          <w:b/>
          <w:bCs/>
          <w:color w:val="000000"/>
          <w:lang w:eastAsia="zh-CN"/>
        </w:rPr>
        <w:t xml:space="preserve"> </w:t>
      </w:r>
      <w:r w:rsidR="00020B4C" w:rsidRPr="00020B4C">
        <w:rPr>
          <w:rFonts w:ascii="Book Antiqua" w:hAnsi="Book Antiqua" w:cs="Book Antiqua" w:hint="eastAsia"/>
          <w:bCs/>
          <w:color w:val="000000"/>
          <w:lang w:eastAsia="zh-CN"/>
        </w:rPr>
        <w:t>contributed to</w:t>
      </w:r>
      <w:r w:rsidR="00020B4C">
        <w:rPr>
          <w:rFonts w:ascii="Book Antiqua" w:eastAsia="Book Antiqua" w:hAnsi="Book Antiqua" w:cs="Book Antiqua"/>
          <w:color w:val="000000"/>
        </w:rPr>
        <w:t xml:space="preserve"> </w:t>
      </w:r>
      <w:r w:rsidR="00020B4C">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data curation, quality and risk assessment; </w:t>
      </w:r>
      <w:r w:rsidRPr="00750EF8">
        <w:rPr>
          <w:rFonts w:ascii="Book Antiqua" w:eastAsia="Book Antiqua" w:hAnsi="Book Antiqua" w:cs="Book Antiqua"/>
          <w:bCs/>
          <w:color w:val="000000"/>
        </w:rPr>
        <w:t>Váncsa</w:t>
      </w:r>
      <w:r w:rsidR="00750EF8" w:rsidRPr="00750EF8">
        <w:rPr>
          <w:rFonts w:ascii="Book Antiqua" w:hAnsi="Book Antiqua" w:cs="Book Antiqua" w:hint="eastAsia"/>
          <w:bCs/>
          <w:color w:val="000000"/>
          <w:lang w:eastAsia="zh-CN"/>
        </w:rPr>
        <w:t xml:space="preserve"> S</w:t>
      </w:r>
      <w:r>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and </w:t>
      </w:r>
      <w:r w:rsidR="00750EF8" w:rsidRPr="00750EF8">
        <w:rPr>
          <w:rFonts w:ascii="Book Antiqua" w:eastAsia="Book Antiqua" w:hAnsi="Book Antiqua" w:cs="Book Antiqua"/>
          <w:bCs/>
          <w:color w:val="000000"/>
        </w:rPr>
        <w:t>Kiss</w:t>
      </w:r>
      <w:r w:rsidR="00750EF8" w:rsidRPr="00750EF8">
        <w:rPr>
          <w:rFonts w:ascii="Book Antiqua" w:eastAsia="Book Antiqua" w:hAnsi="Book Antiqua" w:cs="Book Antiqua"/>
          <w:color w:val="000000"/>
        </w:rPr>
        <w:t xml:space="preserve"> </w:t>
      </w:r>
      <w:r w:rsidR="00750EF8" w:rsidRPr="00750EF8">
        <w:rPr>
          <w:rFonts w:ascii="Book Antiqua" w:hAnsi="Book Antiqua" w:cs="Book Antiqua" w:hint="eastAsia"/>
          <w:color w:val="000000"/>
          <w:lang w:eastAsia="zh-CN"/>
        </w:rPr>
        <w:t>S</w:t>
      </w:r>
      <w:r w:rsidR="00750EF8">
        <w:rPr>
          <w:rFonts w:ascii="Book Antiqua" w:hAnsi="Book Antiqua" w:cs="Book Antiqua" w:hint="eastAsia"/>
          <w:color w:val="000000"/>
          <w:lang w:eastAsia="zh-CN"/>
        </w:rPr>
        <w:t xml:space="preserve"> </w:t>
      </w:r>
      <w:r w:rsidR="00750EF8">
        <w:rPr>
          <w:rFonts w:ascii="Book Antiqua" w:hAnsi="Book Antiqua" w:cs="Book Antiqua" w:hint="eastAsia"/>
          <w:bCs/>
          <w:color w:val="000000"/>
          <w:lang w:eastAsia="zh-CN"/>
        </w:rPr>
        <w:t>provided</w:t>
      </w:r>
      <w:r w:rsidR="00750EF8">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methodology, </w:t>
      </w:r>
      <w:r w:rsidR="00750EF8">
        <w:rPr>
          <w:rFonts w:ascii="Book Antiqua" w:hAnsi="Book Antiqua" w:cs="Book Antiqua" w:hint="eastAsia"/>
          <w:color w:val="000000"/>
          <w:lang w:eastAsia="zh-CN"/>
        </w:rPr>
        <w:t xml:space="preserve">and made the </w:t>
      </w:r>
      <w:r>
        <w:rPr>
          <w:rFonts w:ascii="Book Antiqua" w:eastAsia="Book Antiqua" w:hAnsi="Book Antiqua" w:cs="Book Antiqua"/>
          <w:color w:val="000000"/>
        </w:rPr>
        <w:t>data curation;</w:t>
      </w:r>
      <w:r w:rsidRPr="00750EF8">
        <w:rPr>
          <w:rFonts w:ascii="Book Antiqua" w:eastAsia="Book Antiqua" w:hAnsi="Book Antiqua" w:cs="Book Antiqua"/>
          <w:color w:val="000000"/>
        </w:rPr>
        <w:t xml:space="preserve"> </w:t>
      </w:r>
      <w:r w:rsidR="00750EF8" w:rsidRPr="00750EF8">
        <w:rPr>
          <w:rFonts w:ascii="Book Antiqua" w:eastAsia="Book Antiqua" w:hAnsi="Book Antiqua" w:cs="Book Antiqua"/>
          <w:bCs/>
          <w:color w:val="000000"/>
        </w:rPr>
        <w:t>Dembrovszky</w:t>
      </w:r>
      <w:r w:rsidR="00750EF8" w:rsidRPr="00750EF8">
        <w:rPr>
          <w:rFonts w:ascii="Book Antiqua" w:hAnsi="Book Antiqua" w:cs="Book Antiqua" w:hint="eastAsia"/>
          <w:bCs/>
          <w:color w:val="000000"/>
          <w:lang w:eastAsia="zh-CN"/>
        </w:rPr>
        <w:t xml:space="preserve"> F</w:t>
      </w:r>
      <w:r w:rsidRPr="00750EF8">
        <w:rPr>
          <w:rFonts w:ascii="Book Antiqua" w:eastAsia="Book Antiqua" w:hAnsi="Book Antiqua" w:cs="Book Antiqua"/>
          <w:bCs/>
          <w:color w:val="000000"/>
        </w:rPr>
        <w:t xml:space="preserve"> </w:t>
      </w:r>
      <w:r w:rsidR="00750EF8" w:rsidRPr="00750EF8">
        <w:rPr>
          <w:rFonts w:ascii="Book Antiqua" w:hAnsi="Book Antiqua" w:cs="Book Antiqua" w:hint="eastAsia"/>
          <w:bCs/>
          <w:color w:val="000000"/>
          <w:lang w:eastAsia="zh-CN"/>
        </w:rPr>
        <w:t>provided the</w:t>
      </w:r>
      <w:r>
        <w:rPr>
          <w:rFonts w:ascii="Book Antiqua" w:eastAsia="Book Antiqua" w:hAnsi="Book Antiqua" w:cs="Book Antiqua"/>
          <w:color w:val="000000"/>
        </w:rPr>
        <w:t xml:space="preserve"> methodology, </w:t>
      </w:r>
      <w:r w:rsidR="00750EF8">
        <w:rPr>
          <w:rFonts w:ascii="Book Antiqua" w:hAnsi="Book Antiqua" w:cs="Book Antiqua" w:hint="eastAsia"/>
          <w:color w:val="000000"/>
          <w:lang w:eastAsia="zh-CN"/>
        </w:rPr>
        <w:t xml:space="preserve">and made the </w:t>
      </w:r>
      <w:r>
        <w:rPr>
          <w:rFonts w:ascii="Book Antiqua" w:eastAsia="Book Antiqua" w:hAnsi="Book Antiqua" w:cs="Book Antiqua"/>
          <w:color w:val="000000"/>
        </w:rPr>
        <w:t xml:space="preserve">quality and risk assessment; </w:t>
      </w:r>
      <w:r w:rsidRPr="00750EF8">
        <w:rPr>
          <w:rFonts w:ascii="Book Antiqua" w:eastAsia="Book Antiqua" w:hAnsi="Book Antiqua" w:cs="Book Antiqua"/>
          <w:bCs/>
          <w:color w:val="000000"/>
        </w:rPr>
        <w:t>Oštarijaš</w:t>
      </w:r>
      <w:r w:rsidR="00750EF8" w:rsidRPr="00750EF8">
        <w:rPr>
          <w:rFonts w:ascii="Book Antiqua" w:hAnsi="Book Antiqua" w:cs="Book Antiqua" w:hint="eastAsia"/>
          <w:bCs/>
          <w:color w:val="000000"/>
          <w:lang w:eastAsia="zh-CN"/>
        </w:rPr>
        <w:t xml:space="preserve"> E</w:t>
      </w:r>
      <w:r w:rsidR="00750EF8">
        <w:rPr>
          <w:rFonts w:ascii="Book Antiqua" w:hAnsi="Book Antiqua" w:cs="Book Antiqua" w:hint="eastAsia"/>
          <w:b/>
          <w:bCs/>
          <w:color w:val="000000"/>
          <w:lang w:eastAsia="zh-CN"/>
        </w:rPr>
        <w:t xml:space="preserve"> </w:t>
      </w:r>
      <w:r w:rsidR="00750EF8" w:rsidRPr="00750EF8">
        <w:rPr>
          <w:rFonts w:ascii="Book Antiqua" w:hAnsi="Book Antiqua" w:cs="Book Antiqua" w:hint="eastAsia"/>
          <w:bCs/>
          <w:color w:val="000000"/>
          <w:lang w:eastAsia="zh-CN"/>
        </w:rPr>
        <w:t>d</w:t>
      </w:r>
      <w:r w:rsidR="00750EF8">
        <w:rPr>
          <w:rFonts w:ascii="Book Antiqua" w:hAnsi="Book Antiqua" w:cs="Book Antiqua" w:hint="eastAsia"/>
          <w:bCs/>
          <w:color w:val="000000"/>
          <w:lang w:eastAsia="zh-CN"/>
        </w:rPr>
        <w:t>id</w:t>
      </w:r>
      <w:r w:rsidR="00750EF8" w:rsidRPr="00750EF8">
        <w:rPr>
          <w:rFonts w:ascii="Book Antiqua" w:hAnsi="Book Antiqua" w:cs="Book Antiqua" w:hint="eastAsia"/>
          <w:bCs/>
          <w:color w:val="000000"/>
          <w:lang w:eastAsia="zh-CN"/>
        </w:rPr>
        <w:t xml:space="preserve"> the</w:t>
      </w:r>
      <w:r>
        <w:rPr>
          <w:rFonts w:ascii="Book Antiqua" w:eastAsia="Book Antiqua" w:hAnsi="Book Antiqua" w:cs="Book Antiqua"/>
          <w:color w:val="000000"/>
        </w:rPr>
        <w:t xml:space="preserve"> visualisation; </w:t>
      </w:r>
      <w:r w:rsidRPr="00750EF8">
        <w:rPr>
          <w:rFonts w:ascii="Book Antiqua" w:eastAsia="Book Antiqua" w:hAnsi="Book Antiqua" w:cs="Book Antiqua"/>
          <w:bCs/>
          <w:color w:val="000000"/>
        </w:rPr>
        <w:t>Erőss</w:t>
      </w:r>
      <w:r w:rsidR="00750EF8" w:rsidRPr="00750EF8">
        <w:rPr>
          <w:rFonts w:ascii="Book Antiqua" w:hAnsi="Book Antiqua" w:cs="Book Antiqua" w:hint="eastAsia"/>
          <w:bCs/>
          <w:color w:val="000000"/>
          <w:lang w:eastAsia="zh-CN"/>
        </w:rPr>
        <w:t xml:space="preserve"> B d</w:t>
      </w:r>
      <w:r w:rsidR="00750EF8">
        <w:rPr>
          <w:rFonts w:ascii="Book Antiqua" w:hAnsi="Book Antiqua" w:cs="Book Antiqua" w:hint="eastAsia"/>
          <w:bCs/>
          <w:color w:val="000000"/>
          <w:lang w:eastAsia="zh-CN"/>
        </w:rPr>
        <w:t>id</w:t>
      </w:r>
      <w:r w:rsidR="00750EF8" w:rsidRPr="00750EF8">
        <w:rPr>
          <w:rFonts w:ascii="Book Antiqua" w:hAnsi="Book Antiqua" w:cs="Book Antiqua" w:hint="eastAsia"/>
          <w:bCs/>
          <w:color w:val="000000"/>
          <w:lang w:eastAsia="zh-CN"/>
        </w:rPr>
        <w:t xml:space="preserve"> </w:t>
      </w:r>
      <w:r w:rsidR="00750EF8">
        <w:rPr>
          <w:rFonts w:ascii="Book Antiqua" w:hAnsi="Book Antiqua" w:cs="Book Antiqua"/>
          <w:bCs/>
          <w:color w:val="000000"/>
          <w:lang w:eastAsia="zh-CN"/>
        </w:rPr>
        <w:t>the</w:t>
      </w:r>
      <w:r w:rsidR="00750EF8">
        <w:rPr>
          <w:rFonts w:ascii="Book Antiqua" w:hAnsi="Book Antiqua" w:cs="Book Antiqua" w:hint="eastAsia"/>
          <w:bCs/>
          <w:color w:val="000000"/>
          <w:lang w:eastAsia="zh-CN"/>
        </w:rPr>
        <w:t xml:space="preserve"> </w:t>
      </w:r>
      <w:r w:rsidR="00750EF8">
        <w:rPr>
          <w:rFonts w:ascii="Book Antiqua" w:eastAsia="Book Antiqua" w:hAnsi="Book Antiqua" w:cs="Book Antiqua"/>
          <w:color w:val="000000"/>
        </w:rPr>
        <w:t>conceptualization</w:t>
      </w:r>
      <w:r w:rsidR="00750EF8">
        <w:rPr>
          <w:rFonts w:ascii="Book Antiqua" w:hAnsi="Book Antiqua" w:cs="Book Antiqua" w:hint="eastAsia"/>
          <w:color w:val="000000"/>
          <w:lang w:eastAsia="zh-CN"/>
        </w:rPr>
        <w:t>,</w:t>
      </w:r>
      <w:r>
        <w:rPr>
          <w:rFonts w:ascii="Book Antiqua" w:eastAsia="Book Antiqua" w:hAnsi="Book Antiqua" w:cs="Book Antiqua"/>
          <w:color w:val="000000"/>
        </w:rPr>
        <w:t xml:space="preserve"> supervision</w:t>
      </w:r>
      <w:r w:rsidR="00750EF8">
        <w:rPr>
          <w:rFonts w:ascii="Book Antiqua" w:hAnsi="Book Antiqua" w:cs="Book Antiqua" w:hint="eastAsia"/>
          <w:color w:val="000000"/>
          <w:lang w:eastAsia="zh-CN"/>
        </w:rPr>
        <w:t>, and</w:t>
      </w:r>
      <w:r>
        <w:rPr>
          <w:rFonts w:ascii="Book Antiqua" w:eastAsia="Book Antiqua" w:hAnsi="Book Antiqua" w:cs="Book Antiqua"/>
          <w:color w:val="000000"/>
        </w:rPr>
        <w:t xml:space="preserve"> wr</w:t>
      </w:r>
      <w:r w:rsidR="00750EF8">
        <w:rPr>
          <w:rFonts w:ascii="Book Antiqua" w:hAnsi="Book Antiqua" w:cs="Book Antiqua" w:hint="eastAsia"/>
          <w:color w:val="000000"/>
          <w:lang w:eastAsia="zh-CN"/>
        </w:rPr>
        <w:t>ote</w:t>
      </w:r>
      <w:r>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the </w:t>
      </w:r>
      <w:r>
        <w:rPr>
          <w:rFonts w:ascii="Book Antiqua" w:eastAsia="Book Antiqua" w:hAnsi="Book Antiqua" w:cs="Book Antiqua"/>
          <w:color w:val="000000"/>
        </w:rPr>
        <w:t>original draft</w:t>
      </w:r>
      <w:r w:rsidR="00750EF8">
        <w:rPr>
          <w:rFonts w:ascii="Book Antiqua" w:hAnsi="Book Antiqua" w:cs="Book Antiqua" w:hint="eastAsia"/>
          <w:color w:val="000000"/>
          <w:lang w:eastAsia="zh-CN"/>
        </w:rPr>
        <w:t xml:space="preserve">; </w:t>
      </w:r>
      <w:r>
        <w:rPr>
          <w:rFonts w:ascii="Book Antiqua" w:eastAsia="Book Antiqua" w:hAnsi="Book Antiqua" w:cs="Book Antiqua"/>
          <w:color w:val="000000"/>
        </w:rPr>
        <w:t>All authors certify that they have participated sufficiently in the work to take public responsibility for the content, including participation in the concept, design, analysis, writing, or revision of the manuscript.</w:t>
      </w:r>
    </w:p>
    <w:p w14:paraId="4FBA5804" w14:textId="77777777" w:rsidR="00A77B3E" w:rsidRDefault="00A77B3E" w:rsidP="00586943">
      <w:pPr>
        <w:spacing w:line="360" w:lineRule="auto"/>
        <w:jc w:val="both"/>
      </w:pPr>
    </w:p>
    <w:p w14:paraId="3ACF66DF" w14:textId="77777777" w:rsidR="00A77B3E" w:rsidRDefault="002610D4" w:rsidP="0058694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Economic Development and Innovation Operative Programme Grant</w:t>
      </w:r>
      <w:r w:rsidR="00750EF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No. </w:t>
      </w:r>
      <w:r>
        <w:rPr>
          <w:rFonts w:ascii="Book Antiqua" w:eastAsia="Book Antiqua" w:hAnsi="Book Antiqua" w:cs="Book Antiqua"/>
          <w:color w:val="000000"/>
        </w:rPr>
        <w:t>GINOP 2.3.2-15-2016</w:t>
      </w:r>
      <w:r w:rsidR="00750EF8">
        <w:rPr>
          <w:rFonts w:ascii="Book Antiqua" w:eastAsia="Book Antiqua" w:hAnsi="Book Antiqua" w:cs="Book Antiqua"/>
          <w:color w:val="000000"/>
        </w:rPr>
        <w:t>-00048</w:t>
      </w:r>
      <w:r>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and No. </w:t>
      </w:r>
      <w:r w:rsidR="00750EF8">
        <w:rPr>
          <w:rFonts w:ascii="Book Antiqua" w:eastAsia="Book Antiqua" w:hAnsi="Book Antiqua" w:cs="Book Antiqua"/>
          <w:color w:val="000000"/>
        </w:rPr>
        <w:t>GINOP-2.3.4-15-2020-00010</w:t>
      </w:r>
      <w:r w:rsidR="00750EF8">
        <w:rPr>
          <w:rFonts w:ascii="Book Antiqua" w:hAnsi="Book Antiqua" w:cs="Book Antiqua" w:hint="eastAsia"/>
          <w:color w:val="000000"/>
          <w:lang w:eastAsia="zh-CN"/>
        </w:rPr>
        <w:t>;</w:t>
      </w:r>
      <w:r>
        <w:rPr>
          <w:rFonts w:ascii="Book Antiqua" w:eastAsia="Book Antiqua" w:hAnsi="Book Antiqua" w:cs="Book Antiqua"/>
          <w:color w:val="000000"/>
        </w:rPr>
        <w:t xml:space="preserve"> and Human Resources Development Operational Programme Grant</w:t>
      </w:r>
      <w:r w:rsidR="00750EF8">
        <w:rPr>
          <w:rFonts w:ascii="Book Antiqua" w:hAnsi="Book Antiqua" w:cs="Book Antiqua" w:hint="eastAsia"/>
          <w:color w:val="000000"/>
          <w:lang w:eastAsia="zh-CN"/>
        </w:rPr>
        <w:t>,</w:t>
      </w:r>
      <w:r w:rsidR="00750EF8">
        <w:rPr>
          <w:rFonts w:ascii="Book Antiqua" w:eastAsia="Book Antiqua" w:hAnsi="Book Antiqua" w:cs="Book Antiqua"/>
          <w:color w:val="000000"/>
        </w:rPr>
        <w:t xml:space="preserve"> </w:t>
      </w:r>
      <w:r w:rsidR="00750EF8">
        <w:rPr>
          <w:rFonts w:ascii="Book Antiqua" w:hAnsi="Book Antiqua" w:cs="Book Antiqua" w:hint="eastAsia"/>
          <w:color w:val="000000"/>
          <w:lang w:eastAsia="zh-CN"/>
        </w:rPr>
        <w:t xml:space="preserve">No. </w:t>
      </w:r>
      <w:r>
        <w:rPr>
          <w:rFonts w:ascii="Book Antiqua" w:eastAsia="Book Antiqua" w:hAnsi="Book Antiqua" w:cs="Book Antiqua"/>
          <w:color w:val="000000"/>
        </w:rPr>
        <w:t>EFOP-3.6.2-16-2017-00006</w:t>
      </w:r>
      <w:r w:rsidR="00750EF8">
        <w:rPr>
          <w:rFonts w:ascii="Book Antiqua" w:hAnsi="Book Antiqua" w:cs="Book Antiqua" w:hint="eastAsia"/>
          <w:color w:val="000000"/>
          <w:lang w:eastAsia="zh-CN"/>
        </w:rPr>
        <w:t xml:space="preserve"> and No. </w:t>
      </w:r>
      <w:r>
        <w:rPr>
          <w:rFonts w:ascii="Book Antiqua" w:eastAsia="Book Antiqua" w:hAnsi="Book Antiqua" w:cs="Book Antiqua"/>
          <w:color w:val="000000"/>
        </w:rPr>
        <w:t xml:space="preserve">EFOP-3.6.1.-16-2016-00004. </w:t>
      </w:r>
    </w:p>
    <w:p w14:paraId="41AA558C" w14:textId="77777777" w:rsidR="00A77B3E" w:rsidRDefault="00A77B3E" w:rsidP="00586943">
      <w:pPr>
        <w:spacing w:line="360" w:lineRule="auto"/>
        <w:jc w:val="both"/>
      </w:pPr>
    </w:p>
    <w:p w14:paraId="3EA0C236" w14:textId="77777777" w:rsidR="00A77B3E" w:rsidRDefault="002610D4" w:rsidP="00586943">
      <w:pPr>
        <w:spacing w:line="360" w:lineRule="auto"/>
        <w:jc w:val="both"/>
      </w:pPr>
      <w:r>
        <w:rPr>
          <w:rFonts w:ascii="Book Antiqua" w:eastAsia="Book Antiqua" w:hAnsi="Book Antiqua" w:cs="Book Antiqua"/>
          <w:b/>
          <w:bCs/>
          <w:color w:val="000000"/>
        </w:rPr>
        <w:t xml:space="preserve">Corresponding author: Bálint Erőss, MD, PhD, Assistant Professor, Doctor, </w:t>
      </w:r>
      <w:r>
        <w:rPr>
          <w:rFonts w:ascii="Book Antiqua" w:eastAsia="Book Antiqua" w:hAnsi="Book Antiqua" w:cs="Book Antiqua"/>
          <w:color w:val="000000"/>
        </w:rPr>
        <w:t>Institute for Translational Medicine, University of Pecs, Medical School, 12 Szigeti Street, Pécs 7624, Hungary. eross.balint@pte.hu</w:t>
      </w:r>
    </w:p>
    <w:p w14:paraId="3847701A" w14:textId="77777777" w:rsidR="00A77B3E" w:rsidRDefault="00A77B3E" w:rsidP="00586943">
      <w:pPr>
        <w:spacing w:line="360" w:lineRule="auto"/>
        <w:jc w:val="both"/>
      </w:pPr>
    </w:p>
    <w:p w14:paraId="27A47129" w14:textId="77777777" w:rsidR="00A77B3E" w:rsidRDefault="002610D4" w:rsidP="005869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2021</w:t>
      </w:r>
    </w:p>
    <w:p w14:paraId="6A95F1F5" w14:textId="77777777" w:rsidR="00A77B3E" w:rsidRPr="003E188A" w:rsidRDefault="002610D4" w:rsidP="00586943">
      <w:pPr>
        <w:spacing w:line="360" w:lineRule="auto"/>
        <w:jc w:val="both"/>
        <w:rPr>
          <w:lang w:eastAsia="zh-CN"/>
        </w:rPr>
      </w:pPr>
      <w:r>
        <w:rPr>
          <w:rFonts w:ascii="Book Antiqua" w:eastAsia="Book Antiqua" w:hAnsi="Book Antiqua" w:cs="Book Antiqua"/>
          <w:b/>
          <w:bCs/>
          <w:color w:val="000000"/>
        </w:rPr>
        <w:t xml:space="preserve">Revised: </w:t>
      </w:r>
      <w:r w:rsidR="003E188A" w:rsidRPr="003E188A">
        <w:rPr>
          <w:rFonts w:ascii="Book Antiqua" w:hAnsi="Book Antiqua" w:cs="Book Antiqua" w:hint="eastAsia"/>
          <w:bCs/>
          <w:color w:val="000000"/>
          <w:lang w:eastAsia="zh-CN"/>
        </w:rPr>
        <w:t>July 25, 2021</w:t>
      </w:r>
    </w:p>
    <w:p w14:paraId="15702976" w14:textId="2558B465" w:rsidR="00A77B3E" w:rsidRDefault="002610D4" w:rsidP="00586943">
      <w:pPr>
        <w:spacing w:line="360" w:lineRule="auto"/>
        <w:jc w:val="both"/>
      </w:pPr>
      <w:r>
        <w:rPr>
          <w:rFonts w:ascii="Book Antiqua" w:eastAsia="Book Antiqua" w:hAnsi="Book Antiqua" w:cs="Book Antiqua"/>
          <w:b/>
          <w:bCs/>
          <w:color w:val="000000"/>
        </w:rPr>
        <w:t xml:space="preserve">Accepted: </w:t>
      </w:r>
      <w:r w:rsidR="001C5CC6" w:rsidRPr="001C5CC6">
        <w:rPr>
          <w:rFonts w:ascii="Book Antiqua" w:eastAsia="Book Antiqua" w:hAnsi="Book Antiqua" w:cs="Book Antiqua"/>
          <w:color w:val="000000"/>
        </w:rPr>
        <w:t>September 16, 2021</w:t>
      </w:r>
    </w:p>
    <w:p w14:paraId="0AF34519" w14:textId="0AB53872" w:rsidR="00A77B3E" w:rsidRDefault="002610D4" w:rsidP="00586943">
      <w:pPr>
        <w:spacing w:line="360" w:lineRule="auto"/>
        <w:jc w:val="both"/>
      </w:pPr>
      <w:r>
        <w:rPr>
          <w:rFonts w:ascii="Book Antiqua" w:eastAsia="Book Antiqua" w:hAnsi="Book Antiqua" w:cs="Book Antiqua"/>
          <w:b/>
          <w:bCs/>
          <w:color w:val="000000"/>
        </w:rPr>
        <w:t>Published online:</w:t>
      </w:r>
      <w:r w:rsidR="00682D26" w:rsidRPr="00682D26">
        <w:rPr>
          <w:rFonts w:ascii="Book Antiqua" w:hAnsi="Book Antiqua"/>
          <w:color w:val="000000"/>
          <w:shd w:val="clear" w:color="auto" w:fill="CAEACE"/>
        </w:rPr>
        <w:t xml:space="preserve"> </w:t>
      </w:r>
      <w:r w:rsidR="00682D26">
        <w:rPr>
          <w:rFonts w:ascii="Book Antiqua" w:hAnsi="Book Antiqua"/>
          <w:color w:val="000000"/>
          <w:shd w:val="clear" w:color="auto" w:fill="CAEACE"/>
        </w:rPr>
        <w:t>October 28</w:t>
      </w:r>
      <w:r w:rsidR="00682D26">
        <w:rPr>
          <w:rFonts w:ascii="Book Antiqua" w:hAnsi="Book Antiqua" w:hint="eastAsia"/>
          <w:color w:val="000000"/>
          <w:shd w:val="clear" w:color="auto" w:fill="CAEACE"/>
          <w:lang w:eastAsia="zh-CN"/>
        </w:rPr>
        <w:t>, 2021</w:t>
      </w:r>
      <w:r>
        <w:rPr>
          <w:rFonts w:ascii="Book Antiqua" w:eastAsia="Book Antiqua" w:hAnsi="Book Antiqua" w:cs="Book Antiqua"/>
          <w:b/>
          <w:bCs/>
          <w:color w:val="000000"/>
        </w:rPr>
        <w:t xml:space="preserve"> </w:t>
      </w:r>
    </w:p>
    <w:p w14:paraId="31AE9086" w14:textId="77777777" w:rsidR="00A77B3E" w:rsidRDefault="00A77B3E" w:rsidP="00586943">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0EB2040" w14:textId="77777777" w:rsidR="00A77B3E" w:rsidRDefault="002610D4" w:rsidP="00586943">
      <w:pPr>
        <w:spacing w:line="360" w:lineRule="auto"/>
        <w:jc w:val="both"/>
      </w:pPr>
      <w:r>
        <w:rPr>
          <w:rFonts w:ascii="Book Antiqua" w:eastAsia="Book Antiqua" w:hAnsi="Book Antiqua" w:cs="Book Antiqua"/>
          <w:b/>
          <w:color w:val="000000"/>
        </w:rPr>
        <w:lastRenderedPageBreak/>
        <w:t>Abstract</w:t>
      </w:r>
    </w:p>
    <w:p w14:paraId="2740FA3D" w14:textId="77777777" w:rsidR="00A77B3E" w:rsidRDefault="002610D4" w:rsidP="00586943">
      <w:pPr>
        <w:spacing w:line="360" w:lineRule="auto"/>
        <w:jc w:val="both"/>
      </w:pPr>
      <w:r>
        <w:rPr>
          <w:rFonts w:ascii="Book Antiqua" w:eastAsia="Book Antiqua" w:hAnsi="Book Antiqua" w:cs="Book Antiqua"/>
          <w:color w:val="000000"/>
        </w:rPr>
        <w:t>BACKGROUND</w:t>
      </w:r>
    </w:p>
    <w:p w14:paraId="02CCB87A" w14:textId="77777777" w:rsidR="00A77B3E" w:rsidRDefault="002610D4" w:rsidP="00586943">
      <w:pPr>
        <w:spacing w:line="360" w:lineRule="auto"/>
        <w:jc w:val="both"/>
      </w:pPr>
      <w:r>
        <w:rPr>
          <w:rFonts w:ascii="Book Antiqua" w:eastAsia="Book Antiqua" w:hAnsi="Book Antiqua" w:cs="Book Antiqua"/>
          <w:color w:val="000000"/>
        </w:rPr>
        <w:t>Despite the improvement in the endoscopic hemostasis of non-variceal upper gastrointestinal bleeding (NVUGIB), rebleeding remains a major concern.</w:t>
      </w:r>
    </w:p>
    <w:p w14:paraId="02CDCA49" w14:textId="77777777" w:rsidR="00A77B3E" w:rsidRDefault="00A77B3E" w:rsidP="00586943">
      <w:pPr>
        <w:spacing w:line="360" w:lineRule="auto"/>
        <w:jc w:val="both"/>
      </w:pPr>
    </w:p>
    <w:p w14:paraId="2BD5FB36" w14:textId="77777777" w:rsidR="00A77B3E" w:rsidRDefault="002610D4" w:rsidP="00586943">
      <w:pPr>
        <w:spacing w:line="360" w:lineRule="auto"/>
        <w:jc w:val="both"/>
      </w:pPr>
      <w:r>
        <w:rPr>
          <w:rFonts w:ascii="Book Antiqua" w:eastAsia="Book Antiqua" w:hAnsi="Book Antiqua" w:cs="Book Antiqua"/>
          <w:color w:val="000000"/>
        </w:rPr>
        <w:t>AIM</w:t>
      </w:r>
    </w:p>
    <w:p w14:paraId="4B1302EE" w14:textId="77777777" w:rsidR="00A77B3E" w:rsidRDefault="003E188A" w:rsidP="00586943">
      <w:pPr>
        <w:spacing w:line="360" w:lineRule="auto"/>
        <w:jc w:val="both"/>
      </w:pPr>
      <w:r>
        <w:rPr>
          <w:rFonts w:ascii="Book Antiqua" w:hAnsi="Book Antiqua" w:cs="Book Antiqua" w:hint="eastAsia"/>
          <w:color w:val="000000"/>
          <w:lang w:eastAsia="zh-CN"/>
        </w:rPr>
        <w:t>T</w:t>
      </w:r>
      <w:r w:rsidR="002610D4">
        <w:rPr>
          <w:rFonts w:ascii="Book Antiqua" w:eastAsia="Book Antiqua" w:hAnsi="Book Antiqua" w:cs="Book Antiqua"/>
          <w:color w:val="000000"/>
        </w:rPr>
        <w:t>o assess the role of prophylactic transcatheter arterial embolization (PTAE) added to successful hemostatic treatment among NVUGIB patients.</w:t>
      </w:r>
    </w:p>
    <w:p w14:paraId="33643F20" w14:textId="77777777" w:rsidR="00A77B3E" w:rsidRDefault="00A77B3E" w:rsidP="00586943">
      <w:pPr>
        <w:spacing w:line="360" w:lineRule="auto"/>
        <w:jc w:val="both"/>
      </w:pPr>
    </w:p>
    <w:p w14:paraId="27D68039" w14:textId="77777777" w:rsidR="00A77B3E" w:rsidRDefault="002610D4" w:rsidP="00586943">
      <w:pPr>
        <w:spacing w:line="360" w:lineRule="auto"/>
        <w:jc w:val="both"/>
      </w:pPr>
      <w:r>
        <w:rPr>
          <w:rFonts w:ascii="Book Antiqua" w:eastAsia="Book Antiqua" w:hAnsi="Book Antiqua" w:cs="Book Antiqua"/>
          <w:color w:val="000000"/>
        </w:rPr>
        <w:t>METHODS</w:t>
      </w:r>
    </w:p>
    <w:p w14:paraId="6B01DD20" w14:textId="77777777" w:rsidR="00A77B3E" w:rsidRDefault="002610D4" w:rsidP="00586943">
      <w:pPr>
        <w:spacing w:line="360" w:lineRule="auto"/>
        <w:jc w:val="both"/>
      </w:pPr>
      <w:r>
        <w:rPr>
          <w:rFonts w:ascii="Book Antiqua" w:eastAsia="Book Antiqua" w:hAnsi="Book Antiqua" w:cs="Book Antiqua"/>
          <w:color w:val="000000"/>
        </w:rPr>
        <w:t>We searched three databases from inception through October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2020. Randomized controlled trials (RCTs) and observational cohort studies were eligible. Studies compared patients with NVUGIB receiving PTAE to those who did not get PTAE. Investigated outcomes were rebleeding, mortality, reintervention, need for surgery and transfusion, length of hospital (LOH), and intensive care unit (ICU) stay. In the quantitative synthesis, odds ratios (ORs) and weighted mean differences (WMDs) were calculated with the random-effects model and interpreted with 95% confidence intervals (CIs).</w:t>
      </w:r>
    </w:p>
    <w:p w14:paraId="418D0D56" w14:textId="77777777" w:rsidR="00A77B3E" w:rsidRDefault="00A77B3E" w:rsidP="00586943">
      <w:pPr>
        <w:spacing w:line="360" w:lineRule="auto"/>
        <w:jc w:val="both"/>
      </w:pPr>
    </w:p>
    <w:p w14:paraId="5B4567B2" w14:textId="77777777" w:rsidR="00A77B3E" w:rsidRDefault="002610D4" w:rsidP="00586943">
      <w:pPr>
        <w:spacing w:line="360" w:lineRule="auto"/>
        <w:jc w:val="both"/>
      </w:pPr>
      <w:r>
        <w:rPr>
          <w:rFonts w:ascii="Book Antiqua" w:eastAsia="Book Antiqua" w:hAnsi="Book Antiqua" w:cs="Book Antiqua"/>
          <w:color w:val="000000"/>
        </w:rPr>
        <w:t>RESULTS</w:t>
      </w:r>
    </w:p>
    <w:p w14:paraId="10A7EE22" w14:textId="77777777" w:rsidR="00A77B3E" w:rsidRDefault="002610D4" w:rsidP="00586943">
      <w:pPr>
        <w:spacing w:line="360" w:lineRule="auto"/>
        <w:jc w:val="both"/>
      </w:pPr>
      <w:r>
        <w:rPr>
          <w:rFonts w:ascii="Book Antiqua" w:eastAsia="Book Antiqua" w:hAnsi="Book Antiqua" w:cs="Book Antiqua"/>
          <w:color w:val="000000"/>
        </w:rPr>
        <w:t>We included a total of 3 RCTs and 9 observational studies with a total of 1329 patients, with 486 in the intervention group. PTAE was associated with lower odds of rebleeding (OR</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0.29–0.78). There</w:t>
      </w:r>
      <w:r w:rsidR="003E188A">
        <w:rPr>
          <w:rFonts w:ascii="Book Antiqua" w:eastAsia="Book Antiqua" w:hAnsi="Book Antiqua" w:cs="Book Antiqua"/>
          <w:color w:val="000000"/>
        </w:rPr>
        <w:t xml:space="preserve"> was no difference in the 30-d</w:t>
      </w:r>
      <w:r>
        <w:rPr>
          <w:rFonts w:ascii="Book Antiqua" w:eastAsia="Book Antiqua" w:hAnsi="Book Antiqua" w:cs="Book Antiqua"/>
          <w:color w:val="000000"/>
        </w:rPr>
        <w:t xml:space="preserve"> mortality rates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0.82,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0.39–1.72) between the PTAE and control groups. Patients who underwent PTAE treatment had a lower chance for reintervention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0.31–0.76) or rescue surgery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0.35,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0.14–0.92). The LOH and ICU stay was shorter in the PTAE group, but the difference was non-significant [WMD</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-3.77,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(-8.00)–0.45; WMD</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-1.33,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(-2.84)–0.18, respectively].</w:t>
      </w:r>
    </w:p>
    <w:p w14:paraId="1567595C" w14:textId="77777777" w:rsidR="00A77B3E" w:rsidRDefault="00A77B3E" w:rsidP="00586943">
      <w:pPr>
        <w:spacing w:line="360" w:lineRule="auto"/>
        <w:jc w:val="both"/>
      </w:pPr>
    </w:p>
    <w:p w14:paraId="38DBCB14" w14:textId="77777777" w:rsidR="00A77B3E" w:rsidRDefault="002610D4" w:rsidP="00586943">
      <w:pPr>
        <w:spacing w:line="360" w:lineRule="auto"/>
        <w:jc w:val="both"/>
      </w:pPr>
      <w:r>
        <w:rPr>
          <w:rFonts w:ascii="Book Antiqua" w:eastAsia="Book Antiqua" w:hAnsi="Book Antiqua" w:cs="Book Antiqua"/>
          <w:color w:val="000000"/>
        </w:rPr>
        <w:lastRenderedPageBreak/>
        <w:t>CONCLUSION</w:t>
      </w:r>
    </w:p>
    <w:p w14:paraId="630AA1FE" w14:textId="77777777" w:rsidR="00A77B3E" w:rsidRDefault="002610D4" w:rsidP="00586943">
      <w:pPr>
        <w:spacing w:line="360" w:lineRule="auto"/>
        <w:jc w:val="both"/>
      </w:pPr>
      <w:r>
        <w:rPr>
          <w:rFonts w:ascii="Book Antiqua" w:eastAsia="Book Antiqua" w:hAnsi="Book Antiqua" w:cs="Book Antiqua"/>
          <w:color w:val="000000"/>
        </w:rPr>
        <w:t>PTAE is associated with lower odds of rebleeding and any reintervention in NVUGIB. However, further RCTs are needed to have a higher level of evidence.</w:t>
      </w:r>
    </w:p>
    <w:p w14:paraId="29F58469" w14:textId="77777777" w:rsidR="00A77B3E" w:rsidRDefault="00A77B3E" w:rsidP="00586943">
      <w:pPr>
        <w:spacing w:line="360" w:lineRule="auto"/>
        <w:jc w:val="both"/>
      </w:pPr>
    </w:p>
    <w:p w14:paraId="4AE582A4" w14:textId="77777777" w:rsidR="00A77B3E" w:rsidRDefault="002610D4" w:rsidP="005869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Prophylactic transcatheter arterial embolization; Non-variceal upper gastrointestinal bleeding; Rebleeding; Reintervention; Meta-analysis; Review</w:t>
      </w:r>
    </w:p>
    <w:p w14:paraId="46029FFD" w14:textId="77777777" w:rsidR="000249A0" w:rsidRDefault="000249A0" w:rsidP="000249A0">
      <w:pPr>
        <w:spacing w:line="360" w:lineRule="auto"/>
        <w:jc w:val="both"/>
        <w:rPr>
          <w:lang w:eastAsia="zh-CN"/>
        </w:rPr>
      </w:pPr>
    </w:p>
    <w:p w14:paraId="6DC097FB" w14:textId="77777777" w:rsidR="000249A0" w:rsidRDefault="000249A0" w:rsidP="000249A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09367AE" w14:textId="77777777" w:rsidR="000249A0" w:rsidRDefault="000249A0" w:rsidP="000249A0">
      <w:pPr>
        <w:spacing w:line="360" w:lineRule="auto"/>
        <w:jc w:val="both"/>
        <w:rPr>
          <w:lang w:eastAsia="zh-CN"/>
        </w:rPr>
      </w:pPr>
    </w:p>
    <w:p w14:paraId="2853582E" w14:textId="6114442B" w:rsidR="000B7A08" w:rsidRDefault="000249A0" w:rsidP="000249A0">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2610D4">
        <w:rPr>
          <w:rFonts w:ascii="Book Antiqua" w:eastAsia="Book Antiqua" w:hAnsi="Book Antiqua" w:cs="Book Antiqua"/>
          <w:color w:val="000000"/>
        </w:rPr>
        <w:t xml:space="preserve">Boros E, Sipos Z, Hegyi P, Teutsch B, Frim L, Váncsa S, Kiss S, Dembrovszky F, Oštarijaš E, Shawyer A, Erőss B. </w:t>
      </w:r>
      <w:r w:rsidR="002E1702" w:rsidRPr="002E1702">
        <w:rPr>
          <w:rFonts w:ascii="Book Antiqua" w:eastAsia="Book Antiqua" w:hAnsi="Book Antiqua" w:cs="Book Antiqua"/>
          <w:color w:val="000000"/>
        </w:rPr>
        <w:t>Prophylactic transcatheter arterial embolization reduces rebleeding in non-variceal upper gastrointestinal bleeding: A meta-analysis</w:t>
      </w:r>
      <w:r w:rsidR="002610D4">
        <w:rPr>
          <w:rFonts w:ascii="Book Antiqua" w:eastAsia="Book Antiqua" w:hAnsi="Book Antiqua" w:cs="Book Antiqua"/>
          <w:color w:val="000000"/>
        </w:rPr>
        <w:t xml:space="preserve">. </w:t>
      </w:r>
      <w:r w:rsidR="002610D4">
        <w:rPr>
          <w:rFonts w:ascii="Book Antiqua" w:eastAsia="Book Antiqua" w:hAnsi="Book Antiqua" w:cs="Book Antiqua"/>
          <w:i/>
          <w:iCs/>
          <w:color w:val="000000"/>
        </w:rPr>
        <w:t>World J Gastroenterol</w:t>
      </w:r>
      <w:r w:rsidR="002610D4">
        <w:rPr>
          <w:rFonts w:ascii="Book Antiqua" w:eastAsia="Book Antiqua" w:hAnsi="Book Antiqua" w:cs="Book Antiqua"/>
          <w:color w:val="000000"/>
        </w:rPr>
        <w:t xml:space="preserve"> 2021; </w:t>
      </w:r>
      <w:r w:rsidR="00565EE3" w:rsidRPr="00565EE3">
        <w:rPr>
          <w:rFonts w:ascii="Book Antiqua" w:eastAsia="Book Antiqua" w:hAnsi="Book Antiqua" w:cs="Book Antiqua"/>
          <w:color w:val="000000"/>
        </w:rPr>
        <w:t xml:space="preserve">27(40): </w:t>
      </w:r>
      <w:r w:rsidR="000B7A08">
        <w:rPr>
          <w:rFonts w:ascii="Book Antiqua" w:hAnsi="Book Antiqua"/>
          <w:color w:val="000000" w:themeColor="text1"/>
        </w:rPr>
        <w:t>6985-6999</w:t>
      </w:r>
    </w:p>
    <w:p w14:paraId="38D5F1CD" w14:textId="09092769" w:rsidR="000B7A08" w:rsidRDefault="00565EE3" w:rsidP="000249A0">
      <w:pPr>
        <w:spacing w:line="360" w:lineRule="auto"/>
        <w:jc w:val="both"/>
        <w:rPr>
          <w:rFonts w:ascii="Book Antiqua" w:eastAsia="Book Antiqua" w:hAnsi="Book Antiqua" w:cs="Book Antiqua"/>
          <w:color w:val="000000"/>
        </w:rPr>
      </w:pPr>
      <w:r w:rsidRPr="00565EE3">
        <w:rPr>
          <w:rFonts w:ascii="Book Antiqua" w:eastAsia="Book Antiqua" w:hAnsi="Book Antiqua" w:cs="Book Antiqua"/>
          <w:color w:val="000000"/>
        </w:rPr>
        <w:t>URL: https://www.wjgnet.com/1007-9327/full/v27/i40/</w:t>
      </w:r>
      <w:r w:rsidR="00D1125D">
        <w:rPr>
          <w:rFonts w:ascii="Book Antiqua" w:hAnsi="Book Antiqua"/>
          <w:color w:val="000000" w:themeColor="text1"/>
        </w:rPr>
        <w:t>6985</w:t>
      </w:r>
      <w:r w:rsidRPr="00565EE3">
        <w:rPr>
          <w:rFonts w:ascii="Book Antiqua" w:eastAsia="Book Antiqua" w:hAnsi="Book Antiqua" w:cs="Book Antiqua"/>
          <w:color w:val="000000"/>
        </w:rPr>
        <w:t xml:space="preserve">.htm  </w:t>
      </w:r>
    </w:p>
    <w:p w14:paraId="42FC6673" w14:textId="00D0CC0E" w:rsidR="00A77B3E" w:rsidRDefault="00565EE3" w:rsidP="000249A0">
      <w:pPr>
        <w:spacing w:line="360" w:lineRule="auto"/>
        <w:jc w:val="both"/>
      </w:pPr>
      <w:r w:rsidRPr="00565EE3">
        <w:rPr>
          <w:rFonts w:ascii="Book Antiqua" w:eastAsia="Book Antiqua" w:hAnsi="Book Antiqua" w:cs="Book Antiqua"/>
          <w:color w:val="000000"/>
        </w:rPr>
        <w:t>DOI: https://dx.doi.org/10.3748/wjg.v27.i40.</w:t>
      </w:r>
      <w:r w:rsidR="00D1125D">
        <w:rPr>
          <w:rFonts w:ascii="Book Antiqua" w:hAnsi="Book Antiqua"/>
          <w:color w:val="000000" w:themeColor="text1"/>
        </w:rPr>
        <w:t>6985</w:t>
      </w:r>
    </w:p>
    <w:p w14:paraId="67F319A6" w14:textId="77777777" w:rsidR="00A77B3E" w:rsidRDefault="00A77B3E" w:rsidP="00586943">
      <w:pPr>
        <w:spacing w:line="360" w:lineRule="auto"/>
        <w:jc w:val="both"/>
      </w:pPr>
    </w:p>
    <w:p w14:paraId="742BE745" w14:textId="77777777" w:rsidR="00A77B3E" w:rsidRDefault="002610D4" w:rsidP="0058694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Rebleeding remains a significant concern in patients with non-variceal upper gastrointestinal bleeding (NVUGIB), despite the improvements in endoscopic and pharmacologic treatments. Our systematic review and meta-analysis indicate that prophylactic transcatheter arterial embolization (PTAE) compared to standard of care is accompanied by lower odds of rebleeding, need for rescue surgery, and reinterventions NVUGIB. However, we could not justify a beneficial effect of PTAE on mortality rates compared with the standard of care. In line with our results, we suggest using PTAE in selected cases, where risk stratification predicts high rebleeding risk or the anatomical situation makes the secure and permanent endoscopic hemostasis impossible.</w:t>
      </w:r>
    </w:p>
    <w:p w14:paraId="53542678" w14:textId="77777777" w:rsidR="00A77B3E" w:rsidRDefault="003E188A" w:rsidP="00586943">
      <w:pPr>
        <w:spacing w:line="360" w:lineRule="auto"/>
        <w:jc w:val="both"/>
      </w:pPr>
      <w:r>
        <w:br w:type="page"/>
      </w:r>
      <w:r w:rsidR="002610D4">
        <w:rPr>
          <w:rFonts w:ascii="Book Antiqua" w:eastAsia="Book Antiqua" w:hAnsi="Book Antiqua" w:cs="Book Antiqua"/>
          <w:b/>
          <w:caps/>
          <w:color w:val="000000"/>
          <w:u w:val="single"/>
        </w:rPr>
        <w:lastRenderedPageBreak/>
        <w:t>INTRODUCTION</w:t>
      </w:r>
    </w:p>
    <w:p w14:paraId="5E54B2B7" w14:textId="77777777" w:rsidR="00A77B3E" w:rsidRDefault="002610D4" w:rsidP="00586943">
      <w:pPr>
        <w:spacing w:line="360" w:lineRule="auto"/>
        <w:jc w:val="both"/>
      </w:pPr>
      <w:r>
        <w:rPr>
          <w:rFonts w:ascii="Book Antiqua" w:eastAsia="Book Antiqua" w:hAnsi="Book Antiqua" w:cs="Book Antiqua"/>
          <w:color w:val="000000"/>
        </w:rPr>
        <w:t>Acute upper gastrointestinal bleeding (UGIB) remains a common medical eme</w:t>
      </w:r>
      <w:r w:rsidR="003E188A">
        <w:rPr>
          <w:rFonts w:ascii="Book Antiqua" w:eastAsia="Book Antiqua" w:hAnsi="Book Antiqua" w:cs="Book Antiqua"/>
          <w:color w:val="000000"/>
        </w:rPr>
        <w:t>rgency with an incidence of 47-90/100</w:t>
      </w:r>
      <w:r>
        <w:rPr>
          <w:rFonts w:ascii="Book Antiqua" w:eastAsia="Book Antiqua" w:hAnsi="Book Antiqua" w:cs="Book Antiqua"/>
          <w:color w:val="000000"/>
        </w:rPr>
        <w:t>000</w:t>
      </w:r>
      <w:r>
        <w:rPr>
          <w:rFonts w:ascii="Book Antiqua" w:eastAsia="Book Antiqua" w:hAnsi="Book Antiqua" w:cs="Book Antiqua"/>
          <w:color w:val="000000"/>
          <w:szCs w:val="30"/>
          <w:vertAlign w:val="superscript"/>
        </w:rPr>
        <w:t>[1-3]</w:t>
      </w:r>
      <w:r w:rsidR="003E188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age-standardized incidence of ulcer bleeding decreased by 41.6% between 1983 and 2004 in a prospective observational study; notable the decrease occurred only in people younger than 70 years of age</w:t>
      </w:r>
      <w:r w:rsidR="003E188A">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Mortality in UGIB ranges between 1.1</w:t>
      </w:r>
      <w:r w:rsidR="003E188A">
        <w:rPr>
          <w:rFonts w:ascii="Book Antiqua" w:hAnsi="Book Antiqua" w:cs="Book Antiqua" w:hint="eastAsia"/>
          <w:color w:val="000000"/>
          <w:lang w:eastAsia="zh-CN"/>
        </w:rPr>
        <w:t>%</w:t>
      </w:r>
      <w:r>
        <w:rPr>
          <w:rFonts w:ascii="Book Antiqua" w:eastAsia="Book Antiqua" w:hAnsi="Book Antiqua" w:cs="Book Antiqua"/>
          <w:color w:val="000000"/>
        </w:rPr>
        <w:t>–11%</w:t>
      </w:r>
      <w:r w:rsidR="003E188A">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although it has significantly decreased due to improvements and innovation in both endoscopic and pharmacologic treatments</w:t>
      </w:r>
      <w:r w:rsidR="003E188A">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 UGIB population characteristics have changed considerably, the mean age of the patients has increased, the prevalence of co-morbidities is higher than before, and the use of nonsteroidal anti-inflammatory, antiplatelet and anticoagulant drugs is more widespread</w:t>
      </w:r>
      <w:r w:rsidR="003E188A">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w:t>
      </w:r>
    </w:p>
    <w:p w14:paraId="7259109C"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Rebleeding is a significant concern in patients with UGIB, occurring in 7</w:t>
      </w:r>
      <w:r w:rsidR="003E188A">
        <w:rPr>
          <w:rFonts w:ascii="Book Antiqua" w:hAnsi="Book Antiqua" w:cs="Book Antiqua" w:hint="eastAsia"/>
          <w:color w:val="000000"/>
          <w:lang w:eastAsia="zh-CN"/>
        </w:rPr>
        <w:t>%</w:t>
      </w:r>
      <w:r>
        <w:rPr>
          <w:rFonts w:ascii="Book Antiqua" w:eastAsia="Book Antiqua" w:hAnsi="Book Antiqua" w:cs="Book Antiqua"/>
          <w:color w:val="000000"/>
        </w:rPr>
        <w:t>–16% of cases despite endoscopic therapy</w:t>
      </w:r>
      <w:r w:rsidR="003E188A">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As published in a study from the United Kingdom in 2007, rebleeding is associated with a higher mortality rate, potentially induces more extended hospital stay and need for reintervention</w:t>
      </w:r>
      <w:r w:rsidR="003E188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Thus, preventing rebleeding is a critical factor from the patients' and a healthcare economic view. The management of non-variceal UGIB (NVUGIB) is well established in guidelines based on a high level of evidence. In the post-endoscopy care of NVUGIB, a strong recommendation is to use high-dose proton pump inhibitors and eradicate </w:t>
      </w:r>
      <w:r>
        <w:rPr>
          <w:rFonts w:ascii="Book Antiqua" w:eastAsia="Book Antiqua" w:hAnsi="Book Antiqua" w:cs="Book Antiqua"/>
          <w:i/>
          <w:iCs/>
          <w:color w:val="000000"/>
        </w:rPr>
        <w:t>Helicobacter pylori (H.</w:t>
      </w:r>
      <w:r w:rsidR="003E188A">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if presence is established</w:t>
      </w:r>
      <w:r w:rsidR="003E188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On the other hand, if rebleeding happens, the patient should receive a repeat upper gastrointestinal endoscopy</w:t>
      </w:r>
      <w:r w:rsidR="003E188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the case of failure of this second attempt with endoscopic hemostasis, either transcatheter angiographic embolization (TAE) or rescue surgery are indicated, as they provide the same level of efficacy</w:t>
      </w:r>
      <w:r w:rsidR="003E188A">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5DDF33B8"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In contrast, there are only a few studies about the potential role of prophylactic transcatheter arterial embolization (PTAE) in the management of NVUGIB. A recent randomized controlled trial suggested that PTAE may reduce the incidence of recurrent bleeding (10.2</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188A" w:rsidRPr="003E188A">
        <w:rPr>
          <w:rFonts w:ascii="Book Antiqua" w:eastAsia="Book Antiqua" w:hAnsi="Book Antiqua" w:cs="Book Antiqua"/>
          <w:i/>
          <w:color w:val="000000"/>
        </w:rPr>
        <w:t>vs</w:t>
      </w:r>
      <w:r w:rsidR="003E188A">
        <w:rPr>
          <w:rFonts w:ascii="Book Antiqua" w:eastAsia="Book Antiqua" w:hAnsi="Book Antiqua" w:cs="Book Antiqua"/>
          <w:color w:val="000000"/>
        </w:rPr>
        <w:t xml:space="preserve"> 11.4</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0.745), but they could not show a clear benefit in adding angiographic embolization to endoscopic hemostasis in NVUGIB patients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Investigating a subset of patients with ulcers 15mm or more in size, PTAE significantly </w:t>
      </w:r>
      <w:r>
        <w:rPr>
          <w:rFonts w:ascii="Book Antiqua" w:eastAsia="Book Antiqua" w:hAnsi="Book Antiqua" w:cs="Book Antiqua"/>
          <w:color w:val="000000"/>
        </w:rPr>
        <w:lastRenderedPageBreak/>
        <w:t>reduced the risk of rebleeding (23.1</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188A" w:rsidRPr="003E188A">
        <w:rPr>
          <w:rFonts w:ascii="Book Antiqua" w:eastAsia="Book Antiqua" w:hAnsi="Book Antiqua" w:cs="Book Antiqua"/>
          <w:i/>
          <w:color w:val="000000"/>
        </w:rPr>
        <w:t>vs</w:t>
      </w:r>
      <w:r>
        <w:rPr>
          <w:rFonts w:ascii="Book Antiqua" w:eastAsia="Book Antiqua" w:hAnsi="Book Antiqua" w:cs="Book Antiqua"/>
          <w:color w:val="000000"/>
        </w:rPr>
        <w:t xml:space="preserve"> 4.5%, </w:t>
      </w:r>
      <w:r>
        <w:rPr>
          <w:rFonts w:ascii="Book Antiqua" w:eastAsia="Book Antiqua" w:hAnsi="Book Antiqua" w:cs="Book Antiqua"/>
          <w:i/>
          <w:iCs/>
          <w:color w:val="000000"/>
        </w:rPr>
        <w:t>P</w:t>
      </w:r>
      <w:r>
        <w:rPr>
          <w:rFonts w:ascii="Book Antiqua" w:eastAsia="Book Antiqua" w:hAnsi="Book Antiqua" w:cs="Book Antiqua"/>
          <w:color w:val="000000"/>
        </w:rPr>
        <w:t xml:space="preserve"> = 0.027)</w:t>
      </w:r>
      <w:r w:rsidR="003E188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 similar improvement in the rebleeding rate after PTAE was observed in some cohort studies</w:t>
      </w:r>
      <w:r w:rsidR="003E188A">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56D00E35"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Our study aimed to assess the role of PTAE among NVUGIB patients. We hypothesized that PTAE could reduce the risk of rebleeding and even the mortality rate among NVUGIB patients and improve other outcomes.</w:t>
      </w:r>
    </w:p>
    <w:p w14:paraId="06BDE478" w14:textId="77777777" w:rsidR="00A77B3E" w:rsidRDefault="00A77B3E" w:rsidP="00586943">
      <w:pPr>
        <w:spacing w:line="360" w:lineRule="auto"/>
        <w:jc w:val="both"/>
      </w:pPr>
    </w:p>
    <w:p w14:paraId="3DF28192" w14:textId="77777777" w:rsidR="00A77B3E" w:rsidRDefault="002610D4" w:rsidP="00586943">
      <w:pPr>
        <w:spacing w:line="360" w:lineRule="auto"/>
        <w:jc w:val="both"/>
      </w:pPr>
      <w:r>
        <w:rPr>
          <w:rFonts w:ascii="Book Antiqua" w:eastAsia="Book Antiqua" w:hAnsi="Book Antiqua" w:cs="Book Antiqua"/>
          <w:b/>
          <w:caps/>
          <w:color w:val="000000"/>
          <w:u w:val="single"/>
        </w:rPr>
        <w:t>MATERIALS AND METHODS</w:t>
      </w:r>
    </w:p>
    <w:p w14:paraId="1B619DCD" w14:textId="77777777" w:rsidR="00A77B3E" w:rsidRDefault="002610D4" w:rsidP="00586943">
      <w:pPr>
        <w:spacing w:line="360" w:lineRule="auto"/>
        <w:jc w:val="both"/>
      </w:pPr>
      <w:r>
        <w:rPr>
          <w:rFonts w:ascii="Book Antiqua" w:eastAsia="Book Antiqua" w:hAnsi="Book Antiqua" w:cs="Book Antiqua"/>
          <w:color w:val="000000"/>
          <w:shd w:val="clear" w:color="auto" w:fill="FFFFFF"/>
        </w:rPr>
        <w:t>We are reporting our systematic review and meta-analysis in line with the Preferred Reporting Items for Systematic Reviews and Meta-Analyses (PRISMA) 2020 Statement</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(Supplementary Table 1) and also in line with the Meta-analysis Of Observational Studies in Epidemiology (MOOSE) guidelines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because we included both RCTs and observational cohort studies. Methods of the analysis and inclusion criteria were established in advance, and the protocol was documented on the International Prospective Register of Systematic Reviews (PROSPERO, registration number CRD42021223726)</w:t>
      </w:r>
      <w:r>
        <w:rPr>
          <w:rFonts w:ascii="Book Antiqua" w:eastAsia="Book Antiqua" w:hAnsi="Book Antiqua" w:cs="Book Antiqua"/>
          <w:color w:val="000000"/>
        </w:rPr>
        <w:t>.</w:t>
      </w:r>
    </w:p>
    <w:p w14:paraId="0AEF7A32" w14:textId="77777777" w:rsidR="003E188A" w:rsidRDefault="003E188A" w:rsidP="00586943">
      <w:pPr>
        <w:spacing w:line="360" w:lineRule="auto"/>
        <w:jc w:val="both"/>
        <w:rPr>
          <w:rFonts w:ascii="Book Antiqua" w:hAnsi="Book Antiqua" w:cs="Book Antiqua"/>
          <w:b/>
          <w:bCs/>
          <w:color w:val="000000"/>
          <w:lang w:eastAsia="zh-CN"/>
        </w:rPr>
      </w:pPr>
    </w:p>
    <w:p w14:paraId="202F96E6"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 xml:space="preserve">Systematic search </w:t>
      </w:r>
    </w:p>
    <w:p w14:paraId="5CBCBB03"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Three databases, MEDLINE (via PubMed), </w:t>
      </w:r>
      <w:r w:rsidRPr="003E188A">
        <w:rPr>
          <w:rFonts w:ascii="Book Antiqua" w:eastAsia="Book Antiqua" w:hAnsi="Book Antiqua" w:cs="Book Antiqua"/>
          <w:caps/>
          <w:color w:val="000000"/>
        </w:rPr>
        <w:t>Embase</w:t>
      </w:r>
      <w:r>
        <w:rPr>
          <w:rFonts w:ascii="Book Antiqua" w:eastAsia="Book Antiqua" w:hAnsi="Book Antiqua" w:cs="Book Antiqua"/>
          <w:color w:val="000000"/>
        </w:rPr>
        <w:t>, and Cochrane Central Register of Controlled Trials (CENTRAL), were searched from inception through October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2020. We applied the following search key: (embolization OR embolisation) AND (peptic OR ulcer OR "gastrointestinal bleeding" OR nonvariceal OR non-variceal OR "gastrointestinal hemorrhage" OR "gastrointestinal haemorrhage"). We did not use any restrictions or filters during the search. We provide the complete search strategy in Supplementary Appendix 1.</w:t>
      </w:r>
    </w:p>
    <w:p w14:paraId="4F5F4A8A" w14:textId="77777777" w:rsidR="003E188A" w:rsidRPr="003E188A" w:rsidRDefault="003E188A" w:rsidP="00586943">
      <w:pPr>
        <w:spacing w:line="360" w:lineRule="auto"/>
        <w:jc w:val="both"/>
        <w:rPr>
          <w:lang w:eastAsia="zh-CN"/>
        </w:rPr>
      </w:pPr>
    </w:p>
    <w:p w14:paraId="15BB71EB"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Selection and eligibility</w:t>
      </w:r>
    </w:p>
    <w:p w14:paraId="530DF96B" w14:textId="77777777" w:rsidR="00A77B3E" w:rsidRDefault="002610D4" w:rsidP="00586943">
      <w:pPr>
        <w:spacing w:line="360" w:lineRule="auto"/>
        <w:jc w:val="both"/>
      </w:pPr>
      <w:r>
        <w:rPr>
          <w:rFonts w:ascii="Book Antiqua" w:eastAsia="Book Antiqua" w:hAnsi="Book Antiqua" w:cs="Book Antiqua"/>
          <w:color w:val="000000"/>
        </w:rPr>
        <w:t>After the automatic and manual removal of duplicates with a reference manager software (EndNote X9, Clarivate</w:t>
      </w:r>
      <w:r>
        <w:rPr>
          <w:rFonts w:ascii="Book Antiqua" w:eastAsia="Book Antiqua" w:hAnsi="Book Antiqua" w:cs="Book Antiqua"/>
          <w:color w:val="000000"/>
          <w:szCs w:val="22"/>
        </w:rPr>
        <w:t xml:space="preserve"> </w:t>
      </w:r>
      <w:r>
        <w:rPr>
          <w:rFonts w:ascii="Book Antiqua" w:eastAsia="Book Antiqua" w:hAnsi="Book Antiqua" w:cs="Book Antiqua"/>
          <w:color w:val="000000"/>
        </w:rPr>
        <w:t>Analytics, Philadelphia, PA, U</w:t>
      </w:r>
      <w:r w:rsidR="003E188A">
        <w:rPr>
          <w:rFonts w:ascii="Book Antiqua" w:hAnsi="Book Antiqua" w:cs="Book Antiqua" w:hint="eastAsia"/>
          <w:color w:val="000000"/>
          <w:lang w:eastAsia="zh-CN"/>
        </w:rPr>
        <w:t>nited States</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screening and selection for the title, abstract, and full text were undertaken independently by two </w:t>
      </w:r>
      <w:r>
        <w:rPr>
          <w:rFonts w:ascii="Book Antiqua" w:eastAsia="Book Antiqua" w:hAnsi="Book Antiqua" w:cs="Book Antiqua"/>
          <w:color w:val="000000"/>
        </w:rPr>
        <w:lastRenderedPageBreak/>
        <w:t>review authors. Cohen's kappa coefficient (κ) was calculated after each step to measure inter-reviewer reliability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Disagreements were resolved through discussion with a third author.</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references of the selected studies were examined to identify any additional relevant studies.</w:t>
      </w:r>
    </w:p>
    <w:p w14:paraId="5A266EC9"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To identify eligible studies, we used the population-intervention-control-outcome (PICO) framework. Our investigated population (P) consisted of adult patients (age</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18 years) with endoscopy, digital subtraction angiography, or computed tomography angiography proved NVUGIB source, who either underwent successful endoscopic hemostasis or during angiography, there was no detectable contrast extravasation described. Studies compared the outcomes of patients who received PTAE (I) to patients who did not receive PTAE (C). The primary outcome</w:t>
      </w:r>
      <w:r w:rsidR="003E188A">
        <w:rPr>
          <w:rFonts w:ascii="Book Antiqua" w:eastAsia="Book Antiqua" w:hAnsi="Book Antiqua" w:cs="Book Antiqua"/>
          <w:color w:val="000000"/>
        </w:rPr>
        <w:t>s (O) were rebleeding and 30-d</w:t>
      </w:r>
      <w:r>
        <w:rPr>
          <w:rFonts w:ascii="Book Antiqua" w:eastAsia="Book Antiqua" w:hAnsi="Book Antiqua" w:cs="Book Antiqua"/>
          <w:color w:val="000000"/>
        </w:rPr>
        <w:t xml:space="preserve"> mortality rate, and the secondary outcomes were in-hospital or overall mortality rate, reintervention, need for salvage surgery, need of transfusion, length of hospital (LOH), and intensive care unit (ICU) stay. We pooled studies with different measurement time points regarding rebleeding (suc</w:t>
      </w:r>
      <w:r w:rsidR="003E188A">
        <w:rPr>
          <w:rFonts w:ascii="Book Antiqua" w:eastAsia="Book Antiqua" w:hAnsi="Book Antiqua" w:cs="Book Antiqua"/>
          <w:color w:val="000000"/>
        </w:rPr>
        <w:t>h as in-hospital, 28- and 30-d</w:t>
      </w:r>
      <w:r>
        <w:rPr>
          <w:rFonts w:ascii="Book Antiqua" w:eastAsia="Book Antiqua" w:hAnsi="Book Antiqua" w:cs="Book Antiqua"/>
          <w:color w:val="000000"/>
        </w:rPr>
        <w:t>). If articles did not provide a precise measurement time point for mortality, we referred to that as "overall mortality". We defined reintervention as any repeated invasive treatment of rebleeding such as embolization, endoscopy, or surgery. Randomized controlled trials, prospective and retrospective observational cohort studies were eligible. Case reports, case series with less than ten patients, and review articles that did not report original research were excluded. In the case of publications using data with overlapping study populations, we used the one with the bigger sample size.</w:t>
      </w:r>
    </w:p>
    <w:p w14:paraId="0F750AF6" w14:textId="77777777" w:rsidR="003E188A" w:rsidRPr="003E188A" w:rsidRDefault="003E188A" w:rsidP="00586943">
      <w:pPr>
        <w:spacing w:line="360" w:lineRule="auto"/>
        <w:ind w:firstLineChars="200" w:firstLine="480"/>
        <w:jc w:val="both"/>
        <w:rPr>
          <w:lang w:eastAsia="zh-CN"/>
        </w:rPr>
      </w:pPr>
    </w:p>
    <w:p w14:paraId="18322F19"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Data collection</w:t>
      </w:r>
    </w:p>
    <w:p w14:paraId="5845A09B"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Two independent review authors extracted data from eligible studies into a predesigned data collection form. The following data were collected from each study: first author, year of publication, study design, study period, study site (country), demographic features of the study population, the number of participants with PTAE, the number of patients without PTAE, bleeding etiology, type of embolic agents, data </w:t>
      </w:r>
      <w:r>
        <w:rPr>
          <w:rFonts w:ascii="Book Antiqua" w:eastAsia="Book Antiqua" w:hAnsi="Book Antiqua" w:cs="Book Antiqua"/>
          <w:color w:val="000000"/>
        </w:rPr>
        <w:lastRenderedPageBreak/>
        <w:t>on outcomes (rebleeding, surgery, mortality, reintervention, LOH stay, ICU stay, and blood transfusion) in the intervention and control groups. In the case of the RCTs, intention-to-treat and per-protocol data were collected separately.</w:t>
      </w:r>
    </w:p>
    <w:p w14:paraId="022F41F0" w14:textId="77777777" w:rsidR="003E188A" w:rsidRPr="003E188A" w:rsidRDefault="003E188A" w:rsidP="00586943">
      <w:pPr>
        <w:spacing w:line="360" w:lineRule="auto"/>
        <w:jc w:val="both"/>
        <w:rPr>
          <w:lang w:eastAsia="zh-CN"/>
        </w:rPr>
      </w:pPr>
    </w:p>
    <w:p w14:paraId="6A014FAE"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Data synthesis and statistical analysis</w:t>
      </w:r>
    </w:p>
    <w:p w14:paraId="4F5AA898" w14:textId="77777777" w:rsidR="00A77B3E" w:rsidRDefault="002610D4" w:rsidP="00586943">
      <w:pPr>
        <w:spacing w:line="360" w:lineRule="auto"/>
        <w:jc w:val="both"/>
      </w:pPr>
      <w:r>
        <w:rPr>
          <w:rFonts w:ascii="Book Antiqua" w:eastAsia="Book Antiqua" w:hAnsi="Book Antiqua" w:cs="Book Antiqua"/>
          <w:color w:val="000000"/>
        </w:rPr>
        <w:t>A biomedical statistician performed the statistical analysis of the study. Calculations were made by Stata 16 data analysis and statistical software (Stata Corp LLC, College Station, TX, U</w:t>
      </w:r>
      <w:r w:rsidR="003E188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In the case of dichotomous categorical outcomes (mortality, rebleeding rate, </w:t>
      </w:r>
      <w:r>
        <w:rPr>
          <w:rFonts w:ascii="Book Antiqua" w:eastAsia="Book Antiqua" w:hAnsi="Book Antiqua" w:cs="Book Antiqua"/>
          <w:i/>
          <w:iCs/>
          <w:color w:val="000000"/>
        </w:rPr>
        <w:t>etc.</w:t>
      </w:r>
      <w:r>
        <w:rPr>
          <w:rFonts w:ascii="Book Antiqua" w:eastAsia="Book Antiqua" w:hAnsi="Book Antiqua" w:cs="Book Antiqua"/>
          <w:color w:val="000000"/>
        </w:rPr>
        <w:t xml:space="preserve">), we determined odds ratios (ORs) with 95% confidence intervals (95%CIs) from two-by-two tables (intervention </w:t>
      </w:r>
      <w:r w:rsidR="003E188A" w:rsidRPr="003E188A">
        <w:rPr>
          <w:rFonts w:ascii="Book Antiqua" w:eastAsia="Book Antiqua" w:hAnsi="Book Antiqua" w:cs="Book Antiqua"/>
          <w:i/>
          <w:color w:val="000000"/>
        </w:rPr>
        <w:t>vs</w:t>
      </w:r>
      <w:r>
        <w:rPr>
          <w:rFonts w:ascii="Book Antiqua" w:eastAsia="Book Antiqua" w:hAnsi="Book Antiqua" w:cs="Book Antiqua"/>
          <w:color w:val="000000"/>
        </w:rPr>
        <w:t xml:space="preserve"> control, outcome present and absent). For continuous variables, weighted mean difference (WMD) with 95%CIs were calculated. A p-value less than 0.05 was considered a statistically significant difference. The random-effects model, according to the method of DerSimonian-Laird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was used to calculate the pooled estimates. We used forest plots to present the results of the meta‐analyses.</w:t>
      </w:r>
    </w:p>
    <w:p w14:paraId="6402ACA7" w14:textId="77777777" w:rsidR="00A77B3E" w:rsidRDefault="002610D4" w:rsidP="00586943">
      <w:pPr>
        <w:spacing w:line="360" w:lineRule="auto"/>
        <w:ind w:firstLineChars="200" w:firstLine="480"/>
        <w:jc w:val="both"/>
      </w:pPr>
      <w:r w:rsidRPr="003E188A">
        <w:rPr>
          <w:rFonts w:ascii="Book Antiqua" w:eastAsia="Book Antiqua" w:hAnsi="Book Antiqua" w:cs="Book Antiqua"/>
          <w:i/>
          <w:color w:val="000000"/>
        </w:rPr>
        <w:t>I</w:t>
      </w:r>
      <w:r>
        <w:rPr>
          <w:rFonts w:ascii="Book Antiqua" w:eastAsia="Book Antiqua" w:hAnsi="Book Antiqua" w:cs="Book Antiqua"/>
          <w:color w:val="000000"/>
        </w:rPr>
        <w:t xml:space="preserve">² and </w:t>
      </w:r>
      <w:r w:rsidRPr="003E188A">
        <w:rPr>
          <w:rFonts w:ascii="Book Antiqua" w:eastAsia="Book Antiqua" w:hAnsi="Book Antiqua" w:cs="Book Antiqua"/>
          <w:i/>
          <w:color w:val="000000"/>
        </w:rPr>
        <w:t>χ</w:t>
      </w:r>
      <w:r>
        <w:rPr>
          <w:rFonts w:ascii="Book Antiqua" w:eastAsia="Book Antiqua" w:hAnsi="Book Antiqua" w:cs="Book Antiqua"/>
          <w:color w:val="000000"/>
        </w:rPr>
        <w:t xml:space="preserve">² tests were performed to assess heterogeneity. </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values were described as </w:t>
      </w:r>
      <w:r w:rsidR="003E188A">
        <w:rPr>
          <w:rFonts w:ascii="Book Antiqua" w:hAnsi="Book Antiqua" w:cs="Book Antiqua"/>
          <w:color w:val="000000"/>
          <w:lang w:eastAsia="zh-CN"/>
        </w:rPr>
        <w:t>“</w:t>
      </w:r>
      <w:r>
        <w:rPr>
          <w:rFonts w:ascii="Book Antiqua" w:eastAsia="Book Antiqua" w:hAnsi="Book Antiqua" w:cs="Book Antiqua"/>
          <w:color w:val="000000"/>
        </w:rPr>
        <w:t>minimal</w:t>
      </w:r>
      <w:r w:rsidR="003E188A">
        <w:rPr>
          <w:rFonts w:ascii="Book Antiqua" w:hAnsi="Book Antiqua" w:cs="Book Antiqua"/>
          <w:color w:val="000000"/>
          <w:lang w:eastAsia="zh-CN"/>
        </w:rPr>
        <w:t>”</w:t>
      </w:r>
      <w:r>
        <w:rPr>
          <w:rFonts w:ascii="Book Antiqua" w:eastAsia="Book Antiqua" w:hAnsi="Book Antiqua" w:cs="Book Antiqua"/>
          <w:color w:val="000000"/>
        </w:rPr>
        <w:t xml:space="preserve"> (0</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–40%), </w:t>
      </w:r>
      <w:r w:rsidR="003E188A">
        <w:rPr>
          <w:rFonts w:ascii="Book Antiqua" w:hAnsi="Book Antiqua" w:cs="Book Antiqua"/>
          <w:color w:val="000000"/>
          <w:lang w:eastAsia="zh-CN"/>
        </w:rPr>
        <w:t>“</w:t>
      </w:r>
      <w:r>
        <w:rPr>
          <w:rFonts w:ascii="Book Antiqua" w:eastAsia="Book Antiqua" w:hAnsi="Book Antiqua" w:cs="Book Antiqua"/>
          <w:color w:val="000000"/>
        </w:rPr>
        <w:t>moderate</w:t>
      </w:r>
      <w:r w:rsidR="003E188A">
        <w:rPr>
          <w:rFonts w:ascii="Book Antiqua" w:hAnsi="Book Antiqua" w:cs="Book Antiqua"/>
          <w:color w:val="000000"/>
          <w:lang w:eastAsia="zh-CN"/>
        </w:rPr>
        <w:t>”</w:t>
      </w:r>
      <w:r>
        <w:rPr>
          <w:rFonts w:ascii="Book Antiqua" w:eastAsia="Book Antiqua" w:hAnsi="Book Antiqua" w:cs="Book Antiqua"/>
          <w:color w:val="000000"/>
        </w:rPr>
        <w:t xml:space="preserve"> (30</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–60%), </w:t>
      </w:r>
      <w:r w:rsidR="003E188A">
        <w:rPr>
          <w:rFonts w:ascii="Book Antiqua" w:hAnsi="Book Antiqua" w:cs="Book Antiqua"/>
          <w:color w:val="000000"/>
          <w:lang w:eastAsia="zh-CN"/>
        </w:rPr>
        <w:t>“</w:t>
      </w:r>
      <w:r>
        <w:rPr>
          <w:rFonts w:ascii="Book Antiqua" w:eastAsia="Book Antiqua" w:hAnsi="Book Antiqua" w:cs="Book Antiqua"/>
          <w:color w:val="000000"/>
        </w:rPr>
        <w:t>substantial</w:t>
      </w:r>
      <w:r w:rsidR="003E188A">
        <w:rPr>
          <w:rFonts w:ascii="Book Antiqua" w:hAnsi="Book Antiqua" w:cs="Book Antiqua"/>
          <w:color w:val="000000"/>
          <w:lang w:eastAsia="zh-CN"/>
        </w:rPr>
        <w:t>”</w:t>
      </w:r>
      <w:r>
        <w:rPr>
          <w:rFonts w:ascii="Book Antiqua" w:eastAsia="Book Antiqua" w:hAnsi="Book Antiqua" w:cs="Book Antiqua"/>
          <w:color w:val="000000"/>
        </w:rPr>
        <w:t xml:space="preserve"> (50</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–90%), and </w:t>
      </w:r>
      <w:r w:rsidR="003E188A">
        <w:rPr>
          <w:rFonts w:ascii="Book Antiqua" w:hAnsi="Book Antiqua" w:cs="Book Antiqua"/>
          <w:color w:val="000000"/>
          <w:lang w:eastAsia="zh-CN"/>
        </w:rPr>
        <w:t>“</w:t>
      </w:r>
      <w:r>
        <w:rPr>
          <w:rFonts w:ascii="Book Antiqua" w:eastAsia="Book Antiqua" w:hAnsi="Book Antiqua" w:cs="Book Antiqua"/>
          <w:color w:val="000000"/>
        </w:rPr>
        <w:t>considerable</w:t>
      </w:r>
      <w:r w:rsidR="003E188A">
        <w:rPr>
          <w:rFonts w:ascii="Book Antiqua" w:hAnsi="Book Antiqua" w:cs="Book Antiqua"/>
          <w:color w:val="000000"/>
          <w:lang w:eastAsia="zh-CN"/>
        </w:rPr>
        <w:t>”</w:t>
      </w:r>
      <w:r>
        <w:rPr>
          <w:rFonts w:ascii="Book Antiqua" w:eastAsia="Book Antiqua" w:hAnsi="Book Antiqua" w:cs="Book Antiqua"/>
          <w:color w:val="000000"/>
        </w:rPr>
        <w:t xml:space="preserve"> (75</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–100%) heterogeneity, with a </w:t>
      </w:r>
      <w:r w:rsidRPr="003E188A">
        <w:rPr>
          <w:rFonts w:ascii="Book Antiqua" w:eastAsia="Book Antiqua" w:hAnsi="Book Antiqua" w:cs="Book Antiqua"/>
          <w:i/>
          <w:caps/>
          <w:color w:val="000000"/>
        </w:rPr>
        <w:t>p</w:t>
      </w:r>
      <w:r>
        <w:rPr>
          <w:rFonts w:ascii="Book Antiqua" w:eastAsia="Book Antiqua" w:hAnsi="Book Antiqua" w:cs="Book Antiqua"/>
          <w:color w:val="000000"/>
        </w:rPr>
        <w:t>-value &lt;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0.1 considered significant, as suggested by the Cochrane Handbook</w:t>
      </w:r>
      <w:r w:rsidR="003E188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For the outcome of rebleeding, publication bias was assessed by visual inspection of a funnel plot and Egger's test. As for the other outcomes, we were unable to determine the presence of publication bias because of the low number of studies included in each analysis.</w:t>
      </w:r>
    </w:p>
    <w:p w14:paraId="55A66FEA"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Sensitivity analysis was carried out by removing each trial analysis in turn in the case of rebleeding, reintervention, surgery, and need of transfusion outcome (the leave-one-out-method).</w:t>
      </w:r>
    </w:p>
    <w:p w14:paraId="6D203767"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We performed a subgroup analysis for rebleeding and compared randomized controlled studies (RCTs) with non-randomized studies. For RCTs, we analyzed the intention-to-treat and per-protocol analysis results separately. Trial Sequential Analysis </w:t>
      </w:r>
      <w:r>
        <w:rPr>
          <w:rFonts w:ascii="Book Antiqua" w:eastAsia="Book Antiqua" w:hAnsi="Book Antiqua" w:cs="Book Antiqua"/>
          <w:color w:val="000000"/>
        </w:rPr>
        <w:lastRenderedPageBreak/>
        <w:t>(TSA 0.9.5.10.) was performed for the RCTs regarding rebleeding to control random errors and estimate the optimal information size.</w:t>
      </w:r>
    </w:p>
    <w:p w14:paraId="07FA4AA1" w14:textId="77777777" w:rsidR="003E188A" w:rsidRPr="003E188A" w:rsidRDefault="003E188A" w:rsidP="00586943">
      <w:pPr>
        <w:spacing w:line="360" w:lineRule="auto"/>
        <w:ind w:firstLineChars="200" w:firstLine="480"/>
        <w:jc w:val="both"/>
        <w:rPr>
          <w:lang w:eastAsia="zh-CN"/>
        </w:rPr>
      </w:pPr>
    </w:p>
    <w:p w14:paraId="280DBEA8"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Risk of bias assessment and certainty of the evidence</w:t>
      </w:r>
    </w:p>
    <w:p w14:paraId="32580767" w14:textId="77777777" w:rsidR="00A77B3E" w:rsidRDefault="002610D4" w:rsidP="00586943">
      <w:pPr>
        <w:spacing w:line="360" w:lineRule="auto"/>
        <w:jc w:val="both"/>
      </w:pPr>
      <w:r>
        <w:rPr>
          <w:rFonts w:ascii="Book Antiqua" w:eastAsia="Book Antiqua" w:hAnsi="Book Antiqua" w:cs="Book Antiqua"/>
          <w:color w:val="000000"/>
        </w:rPr>
        <w:t>Two independent review authors carried out the risk of bias assessment. Discrepancies were resolved by third-party arbitration. We followed the recommendations of the Cochrane Prognosis Methods group, and we used the revised Risk of Bias (RoB) 2 tool for randomized and the Risk of Bias In Non-randomized Studies - of Interventions (ROBINS-I) tool for non-randomized studies</w:t>
      </w:r>
      <w:r w:rsidR="003E188A">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 used the Risk-of-bias VISualization (robvis) web-based tool</w:t>
      </w:r>
      <w:r w:rsidR="003E188A">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w:t>
      </w:r>
    </w:p>
    <w:p w14:paraId="7620C21F" w14:textId="77777777" w:rsidR="00A77B3E" w:rsidRDefault="002610D4" w:rsidP="00586943">
      <w:pPr>
        <w:spacing w:line="360" w:lineRule="auto"/>
        <w:ind w:firstLineChars="200" w:firstLine="480"/>
        <w:jc w:val="both"/>
      </w:pPr>
      <w:r>
        <w:rPr>
          <w:rFonts w:ascii="Book Antiqua" w:eastAsia="Book Antiqua" w:hAnsi="Book Antiqua" w:cs="Book Antiqua"/>
          <w:color w:val="000000"/>
          <w:shd w:val="clear" w:color="auto" w:fill="FFFFFF"/>
        </w:rPr>
        <w:t>Two independent review authors assessed the overall quality of evidence following the recommendation of the "Grades of Recommendation, Assessment, Development, and Evaluation (GRADE)" workgroup</w:t>
      </w:r>
      <w:r w:rsidR="003E188A">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A third author resolved disagreements. Summary of Findings table and the additional tables were prepared with the GRADE profiler</w:t>
      </w:r>
      <w:r>
        <w:rPr>
          <w:rFonts w:ascii="Book Antiqua" w:eastAsia="Book Antiqua" w:hAnsi="Book Antiqua" w:cs="Book Antiqua"/>
          <w:color w:val="000000"/>
        </w:rPr>
        <w:t xml:space="preserve"> (GRADEpro) tool </w:t>
      </w:r>
      <w:r>
        <w:rPr>
          <w:rFonts w:ascii="Book Antiqua" w:hAnsi="Book Antiqua" w:cs="Book Antiqua" w:hint="eastAsia"/>
          <w:color w:val="000000"/>
          <w:lang w:eastAsia="zh-CN"/>
        </w:rPr>
        <w:t>[</w:t>
      </w:r>
      <w:r>
        <w:rPr>
          <w:rFonts w:ascii="Book Antiqua" w:eastAsia="Book Antiqua" w:hAnsi="Book Antiqua" w:cs="Book Antiqua"/>
          <w:color w:val="000000"/>
        </w:rPr>
        <w:t xml:space="preserve">GRADEpro Guideline Development Tool </w:t>
      </w:r>
      <w:r>
        <w:rPr>
          <w:rFonts w:ascii="Book Antiqua" w:hAnsi="Book Antiqua" w:cs="Book Antiqua" w:hint="eastAsia"/>
          <w:color w:val="000000"/>
          <w:lang w:eastAsia="zh-CN"/>
        </w:rPr>
        <w:t>(</w:t>
      </w:r>
      <w:r>
        <w:rPr>
          <w:rFonts w:ascii="Book Antiqua" w:eastAsia="Book Antiqua" w:hAnsi="Book Antiqua" w:cs="Book Antiqua"/>
          <w:color w:val="000000"/>
        </w:rPr>
        <w:t>Software</w:t>
      </w:r>
      <w:r>
        <w:rPr>
          <w:rFonts w:ascii="Book Antiqua" w:hAnsi="Book Antiqua" w:cs="Book Antiqua" w:hint="eastAsia"/>
          <w:color w:val="000000"/>
          <w:lang w:eastAsia="zh-CN"/>
        </w:rPr>
        <w:t>)</w:t>
      </w:r>
      <w:r>
        <w:rPr>
          <w:rFonts w:ascii="Book Antiqua" w:eastAsia="Book Antiqua" w:hAnsi="Book Antiqua" w:cs="Book Antiqua"/>
          <w:color w:val="000000"/>
        </w:rPr>
        <w:t>]. McMaster University, 2020 (developed by Evidence Prime, Inc.).</w:t>
      </w:r>
    </w:p>
    <w:p w14:paraId="61C418F2" w14:textId="77777777" w:rsidR="00A77B3E" w:rsidRDefault="00A77B3E" w:rsidP="00586943">
      <w:pPr>
        <w:spacing w:line="360" w:lineRule="auto"/>
        <w:jc w:val="both"/>
      </w:pPr>
    </w:p>
    <w:p w14:paraId="3AFDD527" w14:textId="77777777" w:rsidR="00A77B3E" w:rsidRDefault="002610D4" w:rsidP="00586943">
      <w:pPr>
        <w:spacing w:line="360" w:lineRule="auto"/>
        <w:jc w:val="both"/>
      </w:pPr>
      <w:r>
        <w:rPr>
          <w:rFonts w:ascii="Book Antiqua" w:eastAsia="Book Antiqua" w:hAnsi="Book Antiqua" w:cs="Book Antiqua"/>
          <w:b/>
          <w:caps/>
          <w:color w:val="000000"/>
          <w:u w:val="single"/>
        </w:rPr>
        <w:t>RESULTS</w:t>
      </w:r>
    </w:p>
    <w:p w14:paraId="36E71FD2"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Search and selection</w:t>
      </w:r>
    </w:p>
    <w:p w14:paraId="5BBC8F48"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identified 10591 records in three databases for evaluation. After removing duplicates and careful selection by title and abstract, 46 articles were eligible for full-text assessment. Altogether, 14 papers were retrieved for qualitative and 12 for quantitative synthesis. Two studies</w:t>
      </w:r>
      <w:r w:rsidR="003E188A">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were excluded from the quantitative synthesis due to major differences in intervention or outcome compar</w:t>
      </w:r>
      <w:r w:rsidR="003E188A">
        <w:rPr>
          <w:rFonts w:ascii="Book Antiqua" w:eastAsia="Book Antiqua" w:hAnsi="Book Antiqua" w:cs="Book Antiqua"/>
          <w:color w:val="000000"/>
        </w:rPr>
        <w:t xml:space="preserve">ed to other included articles. </w:t>
      </w:r>
      <w:r>
        <w:rPr>
          <w:rFonts w:ascii="Book Antiqua" w:eastAsia="Book Antiqua" w:hAnsi="Book Antiqua" w:cs="Book Antiqua"/>
          <w:color w:val="000000"/>
        </w:rPr>
        <w:t xml:space="preserve">In the study of Ying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intervention group got not only PTAE but also superior mesenteric arterial hypophysin infusion, which was too much alteration from our PICO and inclusion criteria. In the publication of Yonemoto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different outcomes (statistical analysis for laboratory data, number of endoscopic treatments) were presented than we were assessing in our meta-analysis. The selection process is detailed in Figure 1.</w:t>
      </w:r>
    </w:p>
    <w:p w14:paraId="6BD1AEBF" w14:textId="77777777" w:rsidR="003E188A" w:rsidRPr="003E188A" w:rsidRDefault="003E188A" w:rsidP="00586943">
      <w:pPr>
        <w:spacing w:line="360" w:lineRule="auto"/>
        <w:jc w:val="both"/>
        <w:rPr>
          <w:lang w:eastAsia="zh-CN"/>
        </w:rPr>
      </w:pPr>
    </w:p>
    <w:p w14:paraId="6629BD4F"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Characteristics of the studies included</w:t>
      </w:r>
      <w:r w:rsidRPr="003E188A">
        <w:rPr>
          <w:rFonts w:ascii="Book Antiqua" w:eastAsia="Book Antiqua" w:hAnsi="Book Antiqua" w:cs="Book Antiqua"/>
          <w:i/>
          <w:color w:val="000000"/>
        </w:rPr>
        <w:t xml:space="preserve"> </w:t>
      </w:r>
    </w:p>
    <w:p w14:paraId="6A507D80" w14:textId="77777777" w:rsidR="00A77B3E" w:rsidRDefault="002610D4" w:rsidP="00586943">
      <w:pPr>
        <w:spacing w:line="360" w:lineRule="auto"/>
        <w:jc w:val="both"/>
      </w:pPr>
      <w:r>
        <w:rPr>
          <w:rFonts w:ascii="Book Antiqua" w:eastAsia="Book Antiqua" w:hAnsi="Book Antiqua" w:cs="Book Antiqua"/>
          <w:color w:val="000000"/>
        </w:rPr>
        <w:t>The 14 included studies are summarized in Table 1. We included in the quantitative synthesis three randomized controlled trials</w:t>
      </w:r>
      <w:r w:rsidR="003E188A">
        <w:rPr>
          <w:rFonts w:ascii="Book Antiqua" w:eastAsia="Book Antiqua" w:hAnsi="Book Antiqua" w:cs="Book Antiqua"/>
          <w:color w:val="000000"/>
          <w:szCs w:val="30"/>
          <w:vertAlign w:val="superscript"/>
        </w:rPr>
        <w:t>[10,25,26]</w:t>
      </w:r>
      <w:r>
        <w:rPr>
          <w:rFonts w:ascii="Book Antiqua" w:eastAsia="Book Antiqua" w:hAnsi="Book Antiqua" w:cs="Book Antiqua"/>
          <w:color w:val="000000"/>
        </w:rPr>
        <w:t>, two prospective</w:t>
      </w:r>
      <w:r w:rsidR="003E188A">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and seven retrospective cohort studies</w:t>
      </w:r>
      <w:r w:rsidR="003E188A">
        <w:rPr>
          <w:rFonts w:ascii="Book Antiqua" w:eastAsia="Book Antiqua" w:hAnsi="Book Antiqua" w:cs="Book Antiqua"/>
          <w:color w:val="000000"/>
          <w:szCs w:val="30"/>
          <w:vertAlign w:val="superscript"/>
        </w:rPr>
        <w:t>[13,27-32]</w:t>
      </w:r>
      <w:r>
        <w:rPr>
          <w:rFonts w:ascii="Book Antiqua" w:eastAsia="Book Antiqua" w:hAnsi="Book Antiqua" w:cs="Book Antiqua"/>
          <w:color w:val="000000"/>
        </w:rPr>
        <w:t>. The source of bleeding was peptic ulcer lesions in eight studies</w:t>
      </w:r>
      <w:r w:rsidR="003E188A">
        <w:rPr>
          <w:rFonts w:ascii="Book Antiqua" w:eastAsia="Book Antiqua" w:hAnsi="Book Antiqua" w:cs="Book Antiqua"/>
          <w:color w:val="000000"/>
          <w:szCs w:val="30"/>
          <w:vertAlign w:val="superscript"/>
        </w:rPr>
        <w:t>[10-13,25,29,30,</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while in four studies</w:t>
      </w:r>
      <w:r w:rsidR="003E188A">
        <w:rPr>
          <w:rFonts w:ascii="Book Antiqua" w:eastAsia="Book Antiqua" w:hAnsi="Book Antiqua" w:cs="Book Antiqua"/>
          <w:color w:val="000000"/>
          <w:szCs w:val="30"/>
          <w:vertAlign w:val="superscript"/>
        </w:rPr>
        <w:t>[26-28,</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NVUGIB lesion was used as a generic term for various bleeding sources (</w:t>
      </w:r>
      <w:r w:rsidRPr="003E188A">
        <w:rPr>
          <w:rFonts w:ascii="Book Antiqua" w:eastAsia="Book Antiqua" w:hAnsi="Book Antiqua" w:cs="Book Antiqua"/>
          <w:i/>
          <w:color w:val="000000"/>
        </w:rPr>
        <w:t>e.g.</w:t>
      </w:r>
      <w:r>
        <w:rPr>
          <w:rFonts w:ascii="Book Antiqua" w:eastAsia="Book Antiqua" w:hAnsi="Book Antiqua" w:cs="Book Antiqua"/>
          <w:color w:val="000000"/>
        </w:rPr>
        <w:t>, angiodysplasia, solid tumors, peptic ulcers). Each study had a relatively small sample size, with similar characteristics between intervention groups. The eligibility criteria of the studies included are presented in Supplementary Table 2. Most of the studies did not report any adverse events during or after PTAE. Information about the reported endoscopic treatments, technical success rate of PTAE, adverse events, and standard of care are summarized in Supplementary Table 3.</w:t>
      </w:r>
    </w:p>
    <w:p w14:paraId="2CEB96BB" w14:textId="77777777" w:rsidR="003E188A" w:rsidRDefault="003E188A" w:rsidP="00586943">
      <w:pPr>
        <w:spacing w:line="360" w:lineRule="auto"/>
        <w:jc w:val="both"/>
        <w:rPr>
          <w:rFonts w:ascii="Book Antiqua" w:hAnsi="Book Antiqua" w:cs="Book Antiqua"/>
          <w:b/>
          <w:bCs/>
          <w:color w:val="000000"/>
          <w:lang w:eastAsia="zh-CN"/>
        </w:rPr>
      </w:pPr>
    </w:p>
    <w:p w14:paraId="650247BE"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Prophylactic transcatheter arterial embolization is associated with lower odds of rebleeding</w:t>
      </w:r>
    </w:p>
    <w:p w14:paraId="23872CA0" w14:textId="77777777" w:rsidR="00A77B3E" w:rsidRDefault="002610D4" w:rsidP="00586943">
      <w:pPr>
        <w:spacing w:line="360" w:lineRule="auto"/>
        <w:jc w:val="both"/>
      </w:pPr>
      <w:r>
        <w:rPr>
          <w:rFonts w:ascii="Book Antiqua" w:eastAsia="Book Antiqua" w:hAnsi="Book Antiqua" w:cs="Book Antiqua"/>
          <w:color w:val="000000"/>
        </w:rPr>
        <w:t>In our meta-analysis, we included a total of twelve studies with 1329 patients evaluating the clinical effect of PTAE on various outcomes. In the intervention group, 486 patients received PTAE in addition to standard of care. There was a total of 843 patients in the control group.</w:t>
      </w:r>
    </w:p>
    <w:p w14:paraId="13C7BF7C"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PTAE is connected with significantly lower chance for rebleeding compared to the control group (OR = 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0.29–0.78,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0.003; in a mildly heterogenous dataset, </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33.0%,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0.126) (Figure 2).</w:t>
      </w:r>
    </w:p>
    <w:p w14:paraId="7109A4DA"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For this comparison, publication bias assessment by visual inspection of a funnel-plot and Egger's test was carried out, suggesting a likelihood for publication bias. (Supplementary Figure 1). Leave-one-out analysis showed no significant change in the overall odds for rebleeding (Supplementary Figure 2).</w:t>
      </w:r>
    </w:p>
    <w:p w14:paraId="1A0630DD"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According to the RCT subgroup analysis with intention-to-treat data, there was no significant difference between the PTAE and control group in the rate of rebleeding (OR </w:t>
      </w:r>
      <w:r>
        <w:rPr>
          <w:rFonts w:ascii="Book Antiqua" w:eastAsia="Book Antiqua" w:hAnsi="Book Antiqua" w:cs="Book Antiqua"/>
          <w:color w:val="000000"/>
        </w:rPr>
        <w:lastRenderedPageBreak/>
        <w:t xml:space="preserve">= 0.58,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0.27–1.25,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0.165; in a mildly heterogeneous dataset, </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12.6%,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0.319) (Figure 2). However, with available per-protocol analysis results, the odds of rebleeding were significantly lower in the PTAE group, compared to the control group even according to the RCT subgroup analysis (OR = 0.42,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0.19–0.93,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0.033; [</w:t>
      </w:r>
      <w:r w:rsidRPr="002610D4">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0.0%,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0.712]) (Supplementary Figure 3). The performed TSA showed that the required information size was reached neither in the intention-to-treat nor in the per-protocol calculation (Supplementary Figure 4A and 4B).</w:t>
      </w:r>
    </w:p>
    <w:p w14:paraId="7A8D56E3" w14:textId="77777777" w:rsidR="003E188A" w:rsidRDefault="003E188A" w:rsidP="00586943">
      <w:pPr>
        <w:spacing w:line="360" w:lineRule="auto"/>
        <w:jc w:val="both"/>
        <w:rPr>
          <w:rFonts w:ascii="Book Antiqua" w:hAnsi="Book Antiqua" w:cs="Book Antiqua"/>
          <w:b/>
          <w:bCs/>
          <w:color w:val="000000"/>
          <w:lang w:eastAsia="zh-CN"/>
        </w:rPr>
      </w:pPr>
    </w:p>
    <w:p w14:paraId="1B4B430B"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Prophylactic transcatheter arterial embolization is not associated with mortality in non-variceal upper gastrointestinal bleeding</w:t>
      </w:r>
    </w:p>
    <w:p w14:paraId="3157CB26"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There was no significant difference neither in 30-day mortality </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OR = 0.82,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0.39–1.72,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0.594; </w:t>
      </w:r>
      <w:r w:rsidR="003E188A">
        <w:rPr>
          <w:rFonts w:ascii="Book Antiqua" w:hAnsi="Book Antiqua" w:cs="Book Antiqua" w:hint="eastAsia"/>
          <w:color w:val="000000"/>
          <w:lang w:eastAsia="zh-CN"/>
        </w:rPr>
        <w:t>(</w:t>
      </w:r>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19.6%,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0.290)</w:t>
      </w:r>
      <w:r w:rsidR="003E188A">
        <w:rPr>
          <w:rFonts w:ascii="Book Antiqua" w:eastAsia="Book Antiqua" w:hAnsi="Book Antiqua" w:cs="Book Antiqua"/>
          <w:color w:val="000000"/>
        </w:rPr>
        <w:t>]</w:t>
      </w:r>
      <w:r>
        <w:rPr>
          <w:rFonts w:ascii="Book Antiqua" w:eastAsia="Book Antiqua" w:hAnsi="Book Antiqua" w:cs="Book Antiqua"/>
          <w:color w:val="000000"/>
        </w:rPr>
        <w:t xml:space="preserve">, nor in in-hospital mortality rates </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OR = 0.46,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0.19–1.14,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0.092; </w:t>
      </w:r>
      <w:r w:rsidR="003E188A">
        <w:rPr>
          <w:rFonts w:ascii="Book Antiqua" w:hAnsi="Book Antiqua" w:cs="Book Antiqua" w:hint="eastAsia"/>
          <w:color w:val="000000"/>
          <w:lang w:eastAsia="zh-CN"/>
        </w:rPr>
        <w:t>(</w:t>
      </w:r>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0.0%,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0.713</w:t>
      </w:r>
      <w:r w:rsidR="003E188A">
        <w:rPr>
          <w:rFonts w:ascii="Book Antiqua" w:hAnsi="Book Antiqua" w:cs="Book Antiqua" w:hint="eastAsia"/>
          <w:color w:val="000000"/>
          <w:lang w:eastAsia="zh-CN"/>
        </w:rPr>
        <w:t>)</w:t>
      </w:r>
      <w:r>
        <w:rPr>
          <w:rFonts w:ascii="Book Antiqua" w:eastAsia="Book Antiqua" w:hAnsi="Book Antiqua" w:cs="Book Antiqua"/>
          <w:color w:val="000000"/>
        </w:rPr>
        <w:t>, respectively</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 between the PTAE and control group (Figure 3</w:t>
      </w:r>
      <w:r w:rsidR="00223458">
        <w:rPr>
          <w:rFonts w:ascii="Book Antiqua" w:hAnsi="Book Antiqua" w:cs="Book Antiqua" w:hint="eastAsia"/>
          <w:color w:val="000000"/>
          <w:lang w:eastAsia="zh-CN"/>
        </w:rPr>
        <w:t>A</w:t>
      </w:r>
      <w:r>
        <w:rPr>
          <w:rFonts w:ascii="Book Antiqua" w:eastAsia="Book Antiqua" w:hAnsi="Book Antiqua" w:cs="Book Antiqua"/>
          <w:color w:val="000000"/>
        </w:rPr>
        <w:t>).</w:t>
      </w:r>
    </w:p>
    <w:p w14:paraId="10193598" w14:textId="77777777" w:rsidR="003E188A" w:rsidRPr="003E188A" w:rsidRDefault="003E188A" w:rsidP="00586943">
      <w:pPr>
        <w:spacing w:line="360" w:lineRule="auto"/>
        <w:jc w:val="both"/>
        <w:rPr>
          <w:lang w:eastAsia="zh-CN"/>
        </w:rPr>
      </w:pPr>
    </w:p>
    <w:p w14:paraId="3229B1F4" w14:textId="77777777" w:rsidR="00A77B3E" w:rsidRPr="003E188A" w:rsidRDefault="002610D4" w:rsidP="00586943">
      <w:pPr>
        <w:spacing w:line="360" w:lineRule="auto"/>
        <w:jc w:val="both"/>
        <w:rPr>
          <w:i/>
        </w:rPr>
      </w:pPr>
      <w:r w:rsidRPr="003E188A">
        <w:rPr>
          <w:rFonts w:ascii="Book Antiqua" w:eastAsia="Book Antiqua" w:hAnsi="Book Antiqua" w:cs="Book Antiqua"/>
          <w:b/>
          <w:bCs/>
          <w:i/>
          <w:color w:val="000000"/>
        </w:rPr>
        <w:t>Prophylactic transcatheter arterial embolization seems to improve secondary outcomes in non-variceal upper gastrointestinal bleeding</w:t>
      </w:r>
    </w:p>
    <w:p w14:paraId="049CBE27" w14:textId="77777777" w:rsidR="00A77B3E" w:rsidRDefault="002610D4" w:rsidP="00586943">
      <w:pPr>
        <w:spacing w:line="360" w:lineRule="auto"/>
        <w:jc w:val="both"/>
      </w:pPr>
      <w:r>
        <w:rPr>
          <w:rFonts w:ascii="Book Antiqua" w:eastAsia="Book Antiqua" w:hAnsi="Book Antiqua" w:cs="Book Antiqua"/>
          <w:color w:val="000000"/>
        </w:rPr>
        <w:t xml:space="preserve">Patients who underwent PTAE treatment were less likely to need any kind of reintervention caused by rebleeding, compared to those without PTAE (OR = 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0.31–0.76,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E18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0.002; in a homogenous dataset, </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0.0%,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0.636) (Figure </w:t>
      </w:r>
      <w:r w:rsidR="00223458">
        <w:rPr>
          <w:rFonts w:ascii="Book Antiqua" w:hAnsi="Book Antiqua" w:cs="Book Antiqua" w:hint="eastAsia"/>
          <w:color w:val="000000"/>
          <w:lang w:eastAsia="zh-CN"/>
        </w:rPr>
        <w:t>3B</w:t>
      </w:r>
      <w:r>
        <w:rPr>
          <w:rFonts w:ascii="Book Antiqua" w:eastAsia="Book Antiqua" w:hAnsi="Book Antiqua" w:cs="Book Antiqua"/>
          <w:color w:val="000000"/>
        </w:rPr>
        <w:t xml:space="preserve">). We found that PTAE group has significantly lower odds of rescue surgery in contrast with the control group </w:t>
      </w:r>
      <w:r w:rsidR="003E188A">
        <w:rPr>
          <w:rFonts w:ascii="Book Antiqua" w:hAnsi="Book Antiqua" w:cs="Book Antiqua" w:hint="eastAsia"/>
          <w:color w:val="000000"/>
          <w:lang w:eastAsia="zh-CN"/>
        </w:rPr>
        <w:t>[</w:t>
      </w:r>
      <w:r>
        <w:rPr>
          <w:rFonts w:ascii="Book Antiqua" w:eastAsia="Book Antiqua" w:hAnsi="Book Antiqua" w:cs="Book Antiqua"/>
          <w:color w:val="000000"/>
        </w:rPr>
        <w:t xml:space="preserve">OR = 0.35,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0.14–0.92,</w:t>
      </w:r>
      <w:r>
        <w:rPr>
          <w:rFonts w:ascii="Book Antiqua" w:eastAsia="Book Antiqua" w:hAnsi="Book Antiqua" w:cs="Book Antiqua"/>
          <w:i/>
          <w:iCs/>
          <w:color w:val="000000"/>
        </w:rPr>
        <w:t xml:space="preserve">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0.033; </w:t>
      </w:r>
      <w:r w:rsidR="003E188A">
        <w:rPr>
          <w:rFonts w:ascii="Book Antiqua" w:hAnsi="Book Antiqua" w:cs="Book Antiqua" w:hint="eastAsia"/>
          <w:color w:val="000000"/>
          <w:lang w:eastAsia="zh-CN"/>
        </w:rPr>
        <w:t>(</w:t>
      </w:r>
      <w:r w:rsidRPr="003E188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44.1%, </w:t>
      </w:r>
      <w:r w:rsidRPr="003E188A">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0.128)</w:t>
      </w:r>
      <w:r w:rsidR="003E188A">
        <w:rPr>
          <w:rFonts w:ascii="Book Antiqua" w:eastAsia="Book Antiqua" w:hAnsi="Book Antiqua" w:cs="Book Antiqua"/>
          <w:color w:val="000000"/>
        </w:rPr>
        <w:t>]</w:t>
      </w:r>
      <w:r>
        <w:rPr>
          <w:rFonts w:ascii="Book Antiqua" w:eastAsia="Book Antiqua" w:hAnsi="Book Antiqua" w:cs="Book Antiqua"/>
          <w:color w:val="000000"/>
        </w:rPr>
        <w:t xml:space="preserve"> (Supplementary Figure 5). Leave-one-out analysis showed no major change in the overall odds of reintervention or rescue surgery (Supplementary Figure 6 and 7).</w:t>
      </w:r>
    </w:p>
    <w:p w14:paraId="0C378FD9"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The length of hospital stay was reported in four studies</w:t>
      </w:r>
      <w:r>
        <w:rPr>
          <w:rFonts w:ascii="Book Antiqua" w:eastAsia="Book Antiqua" w:hAnsi="Book Antiqua" w:cs="Book Antiqua"/>
          <w:color w:val="000000"/>
          <w:szCs w:val="30"/>
          <w:vertAlign w:val="superscript"/>
        </w:rPr>
        <w:t>[10-12,25]</w:t>
      </w:r>
      <w:r>
        <w:rPr>
          <w:rFonts w:ascii="Book Antiqua" w:eastAsia="Book Antiqua" w:hAnsi="Book Antiqua" w:cs="Book Antiqua"/>
          <w:color w:val="000000"/>
        </w:rPr>
        <w:t xml:space="preserve">. Our meta-analysis established no statistically significant difference between the intervention and the control group in the length of hospital stay [WMD = -3.77 days,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(-8.00)–0.45, </w:t>
      </w:r>
      <w:r w:rsidRPr="002610D4">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0.08; considerable heterogenous dataset, </w:t>
      </w:r>
      <w:r w:rsidRPr="002610D4">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90.7%, </w:t>
      </w:r>
      <w:r w:rsidRPr="002610D4">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(Figure </w:t>
      </w:r>
      <w:r w:rsidR="00223458">
        <w:rPr>
          <w:rFonts w:ascii="Book Antiqua" w:hAnsi="Book Antiqua" w:cs="Book Antiqua" w:hint="eastAsia"/>
          <w:color w:val="000000"/>
          <w:lang w:eastAsia="zh-CN"/>
        </w:rPr>
        <w:t>3C</w:t>
      </w:r>
      <w:r>
        <w:rPr>
          <w:rFonts w:ascii="Book Antiqua" w:eastAsia="Book Antiqua" w:hAnsi="Book Antiqua" w:cs="Book Antiqua"/>
          <w:color w:val="000000"/>
        </w:rPr>
        <w:t>). In parallel, three publications</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reported the length of ICU stay, however the difference between </w:t>
      </w:r>
      <w:r>
        <w:rPr>
          <w:rFonts w:ascii="Book Antiqua" w:eastAsia="Book Antiqua" w:hAnsi="Book Antiqua" w:cs="Book Antiqua"/>
          <w:color w:val="000000"/>
        </w:rPr>
        <w:lastRenderedPageBreak/>
        <w:t xml:space="preserve">the PTAE and control group was non-significant [WMD = -1.33 days,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(-2.84)–0.18, </w:t>
      </w:r>
      <w:r>
        <w:rPr>
          <w:rFonts w:ascii="Book Antiqua" w:eastAsia="Book Antiqua" w:hAnsi="Book Antiqua" w:cs="Book Antiqua"/>
          <w:i/>
          <w:iCs/>
          <w:color w:val="000000"/>
        </w:rPr>
        <w:t xml:space="preserve">p </w:t>
      </w:r>
      <w:r>
        <w:rPr>
          <w:rFonts w:ascii="Book Antiqua" w:eastAsia="Book Antiqua" w:hAnsi="Book Antiqua" w:cs="Book Antiqua"/>
          <w:color w:val="000000"/>
        </w:rPr>
        <w:t>= 0.084;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84.8%,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(Supplementary Figure 8).</w:t>
      </w:r>
    </w:p>
    <w:p w14:paraId="4A963BB7"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Lastly, the PTAE group needed significantly more units of blood transfusion, than the control group </w:t>
      </w:r>
      <w:r>
        <w:rPr>
          <w:rFonts w:ascii="Book Antiqua" w:hAnsi="Book Antiqua" w:cs="Book Antiqua" w:hint="eastAsia"/>
          <w:color w:val="000000"/>
          <w:lang w:eastAsia="zh-CN"/>
        </w:rPr>
        <w:t>[</w:t>
      </w:r>
      <w:r>
        <w:rPr>
          <w:rFonts w:ascii="Book Antiqua" w:eastAsia="Book Antiqua" w:hAnsi="Book Antiqua" w:cs="Book Antiqua"/>
          <w:color w:val="000000"/>
        </w:rPr>
        <w:t xml:space="preserve">WMD = 1.49 units,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0.05–2.94, </w:t>
      </w:r>
      <w:r w:rsidRPr="002610D4">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0.042; </w:t>
      </w:r>
      <w:r>
        <w:rPr>
          <w:rFonts w:ascii="Book Antiqua" w:hAnsi="Book Antiqua" w:cs="Book Antiqua" w:hint="eastAsia"/>
          <w:color w:val="000000"/>
          <w:lang w:eastAsia="zh-CN"/>
        </w:rPr>
        <w:t>(</w:t>
      </w:r>
      <w:r w:rsidRPr="002610D4">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90.8%, </w:t>
      </w:r>
      <w:r w:rsidRPr="002610D4">
        <w:rPr>
          <w:rFonts w:ascii="Book Antiqua" w:eastAsia="Book Antiqua" w:hAnsi="Book Antiqua" w:cs="Book Antiqua"/>
          <w:i/>
          <w:iCs/>
          <w:caps/>
          <w:color w:val="000000"/>
        </w:rPr>
        <w:t>p</w:t>
      </w:r>
      <w:r>
        <w:rPr>
          <w:rFonts w:ascii="Book Antiqua" w:eastAsia="Book Antiqua" w:hAnsi="Book Antiqua" w:cs="Book Antiqua"/>
          <w:color w:val="000000"/>
        </w:rPr>
        <w:t xml:space="preserve"> &lt; 0.001)] (Supplementary Figure 9). Applying the leave-one-out method, the study of Mille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proved to be influential as the difference was no longer statistically significant between the two groups without their results (Supplementary Figure 10).</w:t>
      </w:r>
    </w:p>
    <w:p w14:paraId="007DCB0E" w14:textId="77777777" w:rsidR="002610D4" w:rsidRPr="002610D4" w:rsidRDefault="002610D4" w:rsidP="00586943">
      <w:pPr>
        <w:spacing w:line="360" w:lineRule="auto"/>
        <w:ind w:firstLineChars="200" w:firstLine="480"/>
        <w:jc w:val="both"/>
        <w:rPr>
          <w:lang w:eastAsia="zh-CN"/>
        </w:rPr>
      </w:pPr>
    </w:p>
    <w:p w14:paraId="74E376F4"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Risk of bias assessment and quality of evidence</w:t>
      </w:r>
    </w:p>
    <w:p w14:paraId="5557688D" w14:textId="77777777" w:rsidR="00A77B3E" w:rsidRDefault="002610D4" w:rsidP="00586943">
      <w:pPr>
        <w:spacing w:line="360" w:lineRule="auto"/>
        <w:jc w:val="both"/>
      </w:pPr>
      <w:r>
        <w:rPr>
          <w:rFonts w:ascii="Book Antiqua" w:eastAsia="Book Antiqua" w:hAnsi="Book Antiqua" w:cs="Book Antiqua"/>
          <w:color w:val="000000"/>
        </w:rPr>
        <w:t>Among the included studies, four</w:t>
      </w:r>
      <w:r>
        <w:rPr>
          <w:rFonts w:ascii="Book Antiqua" w:eastAsia="Book Antiqua" w:hAnsi="Book Antiqua" w:cs="Book Antiqua"/>
          <w:color w:val="000000"/>
          <w:szCs w:val="30"/>
          <w:vertAlign w:val="superscript"/>
        </w:rPr>
        <w:t>[10-12,25]</w:t>
      </w:r>
      <w:r>
        <w:rPr>
          <w:rFonts w:ascii="Book Antiqua" w:eastAsia="Book Antiqua" w:hAnsi="Book Antiqua" w:cs="Book Antiqua"/>
          <w:color w:val="000000"/>
        </w:rPr>
        <w:t xml:space="preserve"> were of low overall risk of bias, two</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were of high overall risk of bias, all the other studies were rated to carry moderate overall risk of bias. The summary of the risk of bias assessment is shown in Supplementary Figure 11-18. </w:t>
      </w:r>
    </w:p>
    <w:p w14:paraId="1552BC9F"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We included all outcomes in the</w:t>
      </w:r>
      <w:r>
        <w:rPr>
          <w:rFonts w:ascii="Book Antiqua" w:eastAsia="Book Antiqua" w:hAnsi="Book Antiqua" w:cs="Book Antiqua"/>
          <w:b/>
          <w:bCs/>
          <w:caps/>
          <w:color w:val="000000"/>
        </w:rPr>
        <w:t xml:space="preserve"> </w:t>
      </w:r>
      <w:r>
        <w:rPr>
          <w:rFonts w:ascii="Book Antiqua" w:eastAsia="Book Antiqua" w:hAnsi="Book Antiqua" w:cs="Book Antiqua"/>
          <w:color w:val="000000"/>
        </w:rPr>
        <w:t>"Summary of findings table" (Supplementary Table 4). The certainty of the evidence is very low for every outcome because our meta-analysis mainly contained observational studies. We calculated the quality of evidence among the RCT subgroup in rebleeding, and we found a moderate certainty of the evidence for PTAE, lowering the chance of rebleeding.</w:t>
      </w:r>
    </w:p>
    <w:p w14:paraId="221AD99C" w14:textId="77777777" w:rsidR="00A77B3E" w:rsidRDefault="00A77B3E" w:rsidP="00586943">
      <w:pPr>
        <w:spacing w:line="360" w:lineRule="auto"/>
        <w:jc w:val="both"/>
      </w:pPr>
    </w:p>
    <w:p w14:paraId="7B1AF1D6" w14:textId="77777777" w:rsidR="00A77B3E" w:rsidRDefault="002610D4" w:rsidP="00586943">
      <w:pPr>
        <w:spacing w:line="360" w:lineRule="auto"/>
        <w:jc w:val="both"/>
      </w:pPr>
      <w:r>
        <w:rPr>
          <w:rFonts w:ascii="Book Antiqua" w:eastAsia="Book Antiqua" w:hAnsi="Book Antiqua" w:cs="Book Antiqua"/>
          <w:b/>
          <w:caps/>
          <w:color w:val="000000"/>
          <w:u w:val="single"/>
        </w:rPr>
        <w:t>DISCUSSION</w:t>
      </w:r>
    </w:p>
    <w:p w14:paraId="53BC9979" w14:textId="77777777" w:rsidR="00A77B3E" w:rsidRDefault="002610D4" w:rsidP="00586943">
      <w:pPr>
        <w:spacing w:line="360" w:lineRule="auto"/>
        <w:jc w:val="both"/>
      </w:pPr>
      <w:r>
        <w:rPr>
          <w:rFonts w:ascii="Book Antiqua" w:eastAsia="Book Antiqua" w:hAnsi="Book Antiqua" w:cs="Book Antiqua"/>
          <w:color w:val="000000"/>
        </w:rPr>
        <w:t xml:space="preserve">In this study, we assessed the effect of PTAE in addition to the successful endoscopic treatment of NVGUIB or PTAE as the first treatment option in case of not actively bleeding patients with NVUGIB lesions. Based on our findings, PTAE is associated with lower odds of rebleeding, need for additional reintervention, and rescue surgery compared to standard of care. We found a roughly 50% lower rate of the outcomes mentioned above, which is a considerable proportion, especially considering the prevalence of NVUGIB. </w:t>
      </w:r>
    </w:p>
    <w:p w14:paraId="0558A52E"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A recent meta-analysis of Chang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attempted to evaluate the role of PTAE in the management of patients with high-risk peptic ulcer bleeding. They included only 2 </w:t>
      </w:r>
      <w:r>
        <w:rPr>
          <w:rFonts w:ascii="Book Antiqua" w:eastAsia="Book Antiqua" w:hAnsi="Book Antiqua" w:cs="Book Antiqua"/>
          <w:color w:val="000000"/>
        </w:rPr>
        <w:lastRenderedPageBreak/>
        <w:t>RCTs and 3 observational studies in their meta-analysis while narrowing their search to patients with a high risk of rebleeding. We designed our systematic search for NVUGIB without restriction to high-risk peptic ulcer bleeding because of the various NVUGIB bleeding etiologies that could be treated with TAE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4C5909B" w14:textId="77777777" w:rsidR="002610D4" w:rsidRDefault="002610D4" w:rsidP="00586943">
      <w:pPr>
        <w:spacing w:line="360" w:lineRule="auto"/>
        <w:jc w:val="both"/>
        <w:rPr>
          <w:rFonts w:ascii="Book Antiqua" w:hAnsi="Book Antiqua" w:cs="Book Antiqua"/>
          <w:b/>
          <w:bCs/>
          <w:color w:val="000000"/>
          <w:lang w:eastAsia="zh-CN"/>
        </w:rPr>
      </w:pPr>
    </w:p>
    <w:p w14:paraId="1A495B4F"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Rebleeding in the randomized controlled trials</w:t>
      </w:r>
    </w:p>
    <w:p w14:paraId="0B40A6BE" w14:textId="77777777" w:rsidR="00A77B3E" w:rsidRDefault="002610D4" w:rsidP="00586943">
      <w:pPr>
        <w:spacing w:line="360" w:lineRule="auto"/>
        <w:jc w:val="both"/>
      </w:pPr>
      <w:r>
        <w:rPr>
          <w:rFonts w:ascii="Book Antiqua" w:eastAsia="Book Antiqua" w:hAnsi="Book Antiqua" w:cs="Book Antiqua"/>
          <w:color w:val="000000"/>
        </w:rPr>
        <w:t>We found three eligible RCTs</w:t>
      </w:r>
      <w:r>
        <w:rPr>
          <w:rFonts w:ascii="Book Antiqua" w:eastAsia="Book Antiqua" w:hAnsi="Book Antiqua" w:cs="Book Antiqua"/>
          <w:color w:val="000000"/>
          <w:szCs w:val="30"/>
          <w:vertAlign w:val="superscript"/>
        </w:rPr>
        <w:t>[10,25,26]</w:t>
      </w:r>
      <w:r>
        <w:rPr>
          <w:rFonts w:ascii="Book Antiqua" w:eastAsia="Book Antiqua" w:hAnsi="Book Antiqua" w:cs="Book Antiqua"/>
          <w:color w:val="000000"/>
        </w:rPr>
        <w:t>, which provide the core of our meta-analysis and the highest level of evidence. When we performed a subgroup analysis of the RCTs for the rebleeding outcome, we found no significant difference between PTAE and the control group. We think that the main reason why with intention-to-treat data, we could not demonstrate the clear beneficial effect of PTAE is that in Lau</w:t>
      </w:r>
      <w:r>
        <w:rPr>
          <w:rFonts w:ascii="Book Antiqua" w:hAnsi="Book Antiqua" w:cs="Book Antiqua" w:hint="eastAsia"/>
          <w:color w:val="000000"/>
          <w:lang w:eastAsia="zh-CN"/>
        </w:rPr>
        <w:t xml:space="preserve"> </w:t>
      </w:r>
      <w:r w:rsidRPr="002610D4">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's study, 22 patients out of 118 (18.6%), and Laursen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18 out of 49 (36.7%) did not receive embolization at all despite being in the embolization arm of the studies. When we used per-protocol data, also in the RCT subgroup, there was a significantly lower risk for rebleeding in the PTAE group. However, the TSA calculation showed that the required information size was not reached, and our results are inconclusive. </w:t>
      </w:r>
    </w:p>
    <w:p w14:paraId="4A496D9C"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It is important to note that in Laursen</w:t>
      </w:r>
      <w:r>
        <w:rPr>
          <w:rFonts w:ascii="Book Antiqua" w:hAnsi="Book Antiqua" w:cs="Book Antiqua" w:hint="eastAsia"/>
          <w:color w:val="000000"/>
          <w:lang w:eastAsia="zh-CN"/>
        </w:rPr>
        <w:t xml:space="preserve"> </w:t>
      </w:r>
      <w:r w:rsidRPr="002610D4">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's study, 9% of the potentially eligible patients were excluded because they were admitted to the hospital on weekends. These patients could not receive the allocated intervention due to the lack of staff in interventional radiology. This highlights that PTAE could be the most beneficial treatment option in centers with well-established interventional radiology units.</w:t>
      </w:r>
    </w:p>
    <w:p w14:paraId="7DFEE86A"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According to Lau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chance of recurrent bleeding was significantly reduced in ulcers 15 mm in size or greater. Unfortunately, there was not enough data on the size of the culprit lesions in the other included studies to perform a meta-analysis. Nevertheless, risk stratification is essential before choosing between multiple possible treatment modalities in the case of NVUGIB. Several studies</w:t>
      </w:r>
      <w:r>
        <w:rPr>
          <w:rFonts w:ascii="Book Antiqua" w:eastAsia="Book Antiqua" w:hAnsi="Book Antiqua" w:cs="Book Antiqua"/>
          <w:color w:val="000000"/>
          <w:szCs w:val="30"/>
          <w:vertAlign w:val="superscript"/>
        </w:rPr>
        <w:t>[10-13,25]</w:t>
      </w:r>
      <w:r>
        <w:rPr>
          <w:rFonts w:ascii="Book Antiqua" w:eastAsia="Book Antiqua" w:hAnsi="Book Antiqua" w:cs="Book Antiqua"/>
          <w:color w:val="000000"/>
        </w:rPr>
        <w:t xml:space="preserve"> used the Forrest classification, Rockall score, or the American Society of Anesthesiologists score to assess the baseline risk of rebleeding or mortality among the patients, and it was approximately the same between the PTAE and the control group.</w:t>
      </w:r>
    </w:p>
    <w:p w14:paraId="3727162E" w14:textId="77777777" w:rsidR="002610D4" w:rsidRPr="002610D4" w:rsidRDefault="002610D4" w:rsidP="00586943">
      <w:pPr>
        <w:spacing w:line="360" w:lineRule="auto"/>
        <w:ind w:firstLineChars="200" w:firstLine="480"/>
        <w:jc w:val="both"/>
        <w:rPr>
          <w:lang w:eastAsia="zh-CN"/>
        </w:rPr>
      </w:pPr>
    </w:p>
    <w:p w14:paraId="718ABD4C"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Rebleeding in cohort</w:t>
      </w:r>
      <w:r w:rsidRPr="002610D4">
        <w:rPr>
          <w:rFonts w:ascii="Book Antiqua" w:eastAsia="Book Antiqua" w:hAnsi="Book Antiqua" w:cs="Book Antiqua"/>
          <w:i/>
          <w:color w:val="000000"/>
        </w:rPr>
        <w:t xml:space="preserve"> </w:t>
      </w:r>
      <w:r w:rsidRPr="002610D4">
        <w:rPr>
          <w:rFonts w:ascii="Book Antiqua" w:eastAsia="Book Antiqua" w:hAnsi="Book Antiqua" w:cs="Book Antiqua"/>
          <w:b/>
          <w:bCs/>
          <w:i/>
          <w:color w:val="000000"/>
        </w:rPr>
        <w:t>studies</w:t>
      </w:r>
    </w:p>
    <w:p w14:paraId="728CFD99" w14:textId="77777777" w:rsidR="00A77B3E" w:rsidRDefault="002610D4" w:rsidP="00586943">
      <w:pPr>
        <w:spacing w:line="360" w:lineRule="auto"/>
        <w:jc w:val="both"/>
      </w:pPr>
      <w:r>
        <w:rPr>
          <w:rFonts w:ascii="Book Antiqua" w:eastAsia="Book Antiqua" w:hAnsi="Book Antiqua" w:cs="Book Antiqua"/>
          <w:color w:val="000000"/>
        </w:rPr>
        <w:t xml:space="preserve">The publication of Mille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described that only high rebleeding risk patients got PTAE, and in the control group were only low-risk patients. We consider this a selection bias, causing confounding of the measured outcomes, which could explain why they did not manage to find any difference in the rebleeding, reintervention, or rescue surgery rate between the intervention and the control group. Applying the leave-one-out method in the case of the study of Mille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there was no major change in the overall odds for rebleeding, reintervention, and rescue surgery. </w:t>
      </w:r>
    </w:p>
    <w:p w14:paraId="25E9D37D"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The study of Sildiroglu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was the only one where the PTAE group had a worse rebleeding rate than the control group. There was no data on the baseline characteristics of the two treatment groups, so we cannot explain this contradicting result. </w:t>
      </w:r>
    </w:p>
    <w:p w14:paraId="16633476"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We included in our analyses four studies</w:t>
      </w:r>
      <w:r>
        <w:rPr>
          <w:rFonts w:ascii="Book Antiqua" w:eastAsia="Book Antiqua" w:hAnsi="Book Antiqua" w:cs="Book Antiqua"/>
          <w:color w:val="000000"/>
          <w:szCs w:val="30"/>
          <w:vertAlign w:val="superscript"/>
        </w:rPr>
        <w:t>[26-28,31]</w:t>
      </w:r>
      <w:r>
        <w:rPr>
          <w:rFonts w:ascii="Book Antiqua" w:eastAsia="Book Antiqua" w:hAnsi="Book Antiqua" w:cs="Book Antiqua"/>
          <w:color w:val="000000"/>
        </w:rPr>
        <w:t xml:space="preserve">, with a definition of NVUGIB including various sources such as peptic ulcers, tumors, Dieulafoy lesion, Mallory-Weiss tear. Arrayeh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carried out a retrospective analysis that compared three therapeutic options: angiography without embolization, PTAE, and TAE with an abnormal angiogram. They published the interesting observation that patients with duodenal bleeding due to a mass (various types of malignant) lesion had a greater primary hemostasis rate 30 d after angiography compared with patients with nonmass (different types of benign) sources of duodenal bleeding (100% </w:t>
      </w:r>
      <w:r w:rsidR="003E188A" w:rsidRPr="003E188A">
        <w:rPr>
          <w:rFonts w:ascii="Book Antiqua" w:eastAsia="Book Antiqua" w:hAnsi="Book Antiqua" w:cs="Book Antiqua"/>
          <w:i/>
          <w:color w:val="000000"/>
        </w:rPr>
        <w:t>vs</w:t>
      </w:r>
      <w:r>
        <w:rPr>
          <w:rFonts w:ascii="Book Antiqua" w:eastAsia="Book Antiqua" w:hAnsi="Book Antiqua" w:cs="Book Antiqua"/>
          <w:color w:val="000000"/>
        </w:rPr>
        <w:t xml:space="preserve"> 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This difference was not detectable between mass and nonmass lesions in the case of gastric bleeding. We did not find data in other studies about the investigated outcomes separated by the type of the bleeding lesion.</w:t>
      </w:r>
    </w:p>
    <w:p w14:paraId="76E0425E"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rebleeding rate could also depend on whether NVUGIB has a gastric or duodenal source. According to Arrayeh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PTAE may be advantageous in patients with a duodenal source of bleeding but not in patients with gastric hemorrhage. We did not identify enough evidence to support this inference because none of the other included studies reported gastric and duodenal bleeding separately.</w:t>
      </w:r>
    </w:p>
    <w:p w14:paraId="145F167F" w14:textId="77777777" w:rsidR="002610D4" w:rsidRPr="002610D4" w:rsidRDefault="002610D4" w:rsidP="00586943">
      <w:pPr>
        <w:spacing w:line="360" w:lineRule="auto"/>
        <w:ind w:firstLineChars="200" w:firstLine="480"/>
        <w:jc w:val="both"/>
        <w:rPr>
          <w:lang w:eastAsia="zh-CN"/>
        </w:rPr>
      </w:pPr>
    </w:p>
    <w:p w14:paraId="1EEED3D7"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Evidence about secondary outcomes</w:t>
      </w:r>
    </w:p>
    <w:p w14:paraId="4B41A071" w14:textId="77777777" w:rsidR="00A77B3E" w:rsidRDefault="002610D4" w:rsidP="00586943">
      <w:pPr>
        <w:spacing w:line="360" w:lineRule="auto"/>
        <w:jc w:val="both"/>
      </w:pPr>
      <w:r>
        <w:rPr>
          <w:rFonts w:ascii="Book Antiqua" w:eastAsia="Book Antiqua" w:hAnsi="Book Antiqua" w:cs="Book Antiqua"/>
          <w:color w:val="000000"/>
        </w:rPr>
        <w:t>Our results indicated that PTAE does not improve the mortality rates of NVUGIB significantly. We could not draw a clear conclusion about this outcome because of the different time-frames for mortality assessment used between the different studies: 30-d mortality was used in five studies</w:t>
      </w:r>
      <w:r>
        <w:rPr>
          <w:rFonts w:ascii="Book Antiqua" w:eastAsia="Book Antiqua" w:hAnsi="Book Antiqua" w:cs="Book Antiqua"/>
          <w:color w:val="000000"/>
          <w:szCs w:val="30"/>
          <w:vertAlign w:val="superscript"/>
        </w:rPr>
        <w:t>[10,25,27,28,30]</w:t>
      </w:r>
      <w:r>
        <w:rPr>
          <w:rFonts w:ascii="Book Antiqua" w:eastAsia="Book Antiqua" w:hAnsi="Book Antiqua" w:cs="Book Antiqua"/>
          <w:color w:val="000000"/>
        </w:rPr>
        <w:t>, in-hospital mortality in three</w:t>
      </w:r>
      <w:r>
        <w:rPr>
          <w:rFonts w:ascii="Book Antiqua" w:eastAsia="Book Antiqua" w:hAnsi="Book Antiqua" w:cs="Book Antiqua"/>
          <w:color w:val="000000"/>
          <w:szCs w:val="30"/>
          <w:vertAlign w:val="superscript"/>
        </w:rPr>
        <w:t>[11,12,25]</w:t>
      </w:r>
      <w:r>
        <w:rPr>
          <w:rFonts w:ascii="Book Antiqua" w:eastAsia="Book Antiqua" w:hAnsi="Book Antiqua" w:cs="Book Antiqua"/>
          <w:color w:val="000000"/>
        </w:rPr>
        <w:t xml:space="preserve"> and two studies</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did not report any time-frame for mortality</w:t>
      </w:r>
      <w:r>
        <w:rPr>
          <w:rFonts w:ascii="Book Antiqua" w:eastAsia="Book Antiqua" w:hAnsi="Book Antiqua" w:cs="Book Antiqua"/>
          <w:strike/>
          <w:color w:val="000000"/>
        </w:rPr>
        <w:t>.</w:t>
      </w:r>
      <w:r>
        <w:rPr>
          <w:rFonts w:ascii="Book Antiqua" w:eastAsia="Book Antiqua" w:hAnsi="Book Antiqua" w:cs="Book Antiqua"/>
          <w:color w:val="000000"/>
        </w:rPr>
        <w:t xml:space="preserve"> Mortality is strongly associated with pre-endoscopy and complete Rockall score, according to Hearnshaw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We can only speculate that numerous major confounding factors affect the mortality of NVUGIB patients, and only one of them is the chosen treatment modality.</w:t>
      </w:r>
    </w:p>
    <w:p w14:paraId="2FB4F7E0"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We had predicted a shorter hospital stay and ICU stay in the PTAE group, but our findings could not prove a significant difference between the two groups. Interestingly, if we analyzed only the data coming from RCTs, there was an apparent reduction in the length of hospital and ICU stay in the PTAE group compared with the control group. This result highlights the possible bias of the observational cohort studies.</w:t>
      </w:r>
    </w:p>
    <w:p w14:paraId="4C962AA2"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PTAE group needed slightly more red blood cell transfusion than the control group, although the heterogeneity between the studies suggests a careful interpretation of this finding. Since we assume a major confounding factor in the publication of Mille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 difference was no longer statistically significant between the PTAE and the control group after applying the leave-one-out method.</w:t>
      </w:r>
    </w:p>
    <w:p w14:paraId="37EE7606" w14:textId="77777777" w:rsidR="002610D4" w:rsidRPr="002610D4" w:rsidRDefault="002610D4" w:rsidP="00586943">
      <w:pPr>
        <w:spacing w:line="360" w:lineRule="auto"/>
        <w:ind w:firstLineChars="200" w:firstLine="480"/>
        <w:jc w:val="both"/>
        <w:rPr>
          <w:lang w:eastAsia="zh-CN"/>
        </w:rPr>
      </w:pPr>
    </w:p>
    <w:p w14:paraId="5232909B"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Methods reducing rebleeding risk in non-variceal upper gastrointestinal bleeding</w:t>
      </w:r>
    </w:p>
    <w:p w14:paraId="78E26EA2" w14:textId="77777777" w:rsidR="00A77B3E" w:rsidRDefault="002610D4" w:rsidP="00586943">
      <w:pPr>
        <w:spacing w:line="360" w:lineRule="auto"/>
        <w:jc w:val="both"/>
      </w:pPr>
      <w:r>
        <w:rPr>
          <w:rFonts w:ascii="Book Antiqua" w:eastAsia="Book Antiqua" w:hAnsi="Book Antiqua" w:cs="Book Antiqua"/>
          <w:color w:val="000000"/>
        </w:rPr>
        <w:t xml:space="preserve">There are a few therapies, which are already proved to reduce rebleeding from NVUGIB. Proton pump inhibitors (PPI) significantly decrease the recurrence of bleeding compared to control (placebo or histamine type 2 receptor antagonists); pooled rates were 10.6% with PPI </w:t>
      </w:r>
      <w:r>
        <w:rPr>
          <w:rFonts w:ascii="Book Antiqua" w:eastAsia="Book Antiqua" w:hAnsi="Book Antiqua" w:cs="Book Antiqua"/>
          <w:i/>
          <w:iCs/>
          <w:color w:val="000000"/>
        </w:rPr>
        <w:t>vs</w:t>
      </w:r>
      <w:r>
        <w:rPr>
          <w:rFonts w:ascii="Book Antiqua" w:eastAsia="Book Antiqua" w:hAnsi="Book Antiqua" w:cs="Book Antiqua"/>
          <w:color w:val="000000"/>
        </w:rPr>
        <w:t xml:space="preserve"> 17.3% with control treatment (OR </w:t>
      </w:r>
      <w:r>
        <w:rPr>
          <w:rFonts w:ascii="Book Antiqua" w:hAnsi="Book Antiqua" w:cs="Book Antiqua" w:hint="eastAsia"/>
          <w:color w:val="000000"/>
          <w:lang w:eastAsia="zh-CN"/>
        </w:rPr>
        <w:t xml:space="preserve">= </w:t>
      </w:r>
      <w:r>
        <w:rPr>
          <w:rFonts w:ascii="Book Antiqua" w:eastAsia="Book Antiqua" w:hAnsi="Book Antiqua" w:cs="Book Antiqua"/>
          <w:color w:val="000000"/>
        </w:rPr>
        <w:t>0.49;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0.37</w:t>
      </w:r>
      <w:r>
        <w:rPr>
          <w:rFonts w:ascii="Book Antiqua" w:hAnsi="Book Antiqua" w:cs="Book Antiqua" w:hint="eastAsia"/>
          <w:color w:val="000000"/>
          <w:lang w:eastAsia="zh-CN"/>
        </w:rPr>
        <w:t>-</w:t>
      </w:r>
      <w:r>
        <w:rPr>
          <w:rFonts w:ascii="Book Antiqua" w:eastAsia="Book Antiqua" w:hAnsi="Book Antiqua" w:cs="Book Antiqua"/>
          <w:color w:val="000000"/>
        </w:rPr>
        <w:t>0.65) in a Cochrane review comprising 24 RCTs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Our recent meta-analysis showed that PPIs given either orally or intravenously are equally efficacious in preventing rebleeding</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21BB4560"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lastRenderedPageBreak/>
        <w:t xml:space="preserve">After peptic ulcer bleeding, investigation for the presence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should be mandatory. Our network meta-analysis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demonstrated that none of the individual tests or the strategy of combined tests is superior in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Gisbert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reported that rebleeding did not occur in patients with complicated ulcers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moreover, maintenance of anti-ulcer therapy is unnecessary if eradication was achieved.</w:t>
      </w:r>
    </w:p>
    <w:p w14:paraId="2861258E" w14:textId="77777777" w:rsidR="00A77B3E" w:rsidRDefault="002610D4" w:rsidP="00586943">
      <w:pPr>
        <w:spacing w:line="360" w:lineRule="auto"/>
        <w:ind w:firstLineChars="200" w:firstLine="480"/>
        <w:jc w:val="both"/>
      </w:pPr>
      <w:r>
        <w:rPr>
          <w:rFonts w:ascii="Book Antiqua" w:eastAsia="Book Antiqua" w:hAnsi="Book Antiqua" w:cs="Book Antiqua"/>
          <w:color w:val="000000"/>
        </w:rPr>
        <w:t xml:space="preserve">Endoscopic Doppler probe guided hemostasis significantly reduced the 30-d rates of rebleeding compared with standard visually guided hemostasis in an RCT (11.1% </w:t>
      </w:r>
      <w:r w:rsidR="003E188A" w:rsidRPr="003E188A">
        <w:rPr>
          <w:rFonts w:ascii="Book Antiqua" w:eastAsia="Book Antiqua" w:hAnsi="Book Antiqua" w:cs="Book Antiqua"/>
          <w:i/>
          <w:color w:val="000000"/>
        </w:rPr>
        <w:t>vs</w:t>
      </w:r>
      <w:r>
        <w:rPr>
          <w:rFonts w:ascii="Book Antiqua" w:eastAsia="Book Antiqua" w:hAnsi="Book Antiqua" w:cs="Book Antiqua"/>
          <w:color w:val="000000"/>
        </w:rPr>
        <w:t xml:space="preserve"> 26.3%), and the use of the endoscopic Doppler probe was suggested for risk stratification in the management of NVUGIB</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31EA7C79" w14:textId="77777777" w:rsidR="00A77B3E" w:rsidRPr="002610D4" w:rsidRDefault="002610D4" w:rsidP="00586943">
      <w:pPr>
        <w:spacing w:line="360" w:lineRule="auto"/>
        <w:ind w:firstLineChars="200" w:firstLine="480"/>
        <w:jc w:val="both"/>
        <w:rPr>
          <w:lang w:eastAsia="zh-CN"/>
        </w:rPr>
      </w:pPr>
      <w:r>
        <w:rPr>
          <w:rFonts w:ascii="Book Antiqua" w:eastAsia="Book Antiqua" w:hAnsi="Book Antiqua" w:cs="Book Antiqua"/>
          <w:color w:val="000000"/>
        </w:rPr>
        <w:t xml:space="preserve">Another promising endoscopic technique to reduce the rebleeding rate of peptic ulcers is over-the-scope clipping (OTSC), which is superior to standard therapy with through-the-scope clips in preventing further bleeding according to the prospective RCT of Schmidt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hAnsi="Book Antiqua" w:cs="Book Antiqua" w:hint="eastAsia"/>
          <w:color w:val="000000"/>
          <w:szCs w:val="30"/>
          <w:lang w:eastAsia="zh-CN"/>
        </w:rPr>
        <w:t>.</w:t>
      </w:r>
    </w:p>
    <w:p w14:paraId="0BB5F72A"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 recent meta-analysis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showed that the routine second-look endoscopy was not superior to a single endoscopy with complete endoscopic hemostasis in reducing the risk of recurrent bleeding, mortality, or need for surgery in patients with acute UGIB due to peptic ulcer disease. In contrast, according to our results, PTAE added to the standard of care could decrease the probability of rebleeding. Moreover, PTAE might reduce the need for surgery and any reintervention.</w:t>
      </w:r>
    </w:p>
    <w:p w14:paraId="5ED7CB7D" w14:textId="77777777" w:rsidR="002610D4" w:rsidRPr="002610D4" w:rsidRDefault="002610D4" w:rsidP="00586943">
      <w:pPr>
        <w:spacing w:line="360" w:lineRule="auto"/>
        <w:ind w:firstLineChars="200" w:firstLine="480"/>
        <w:jc w:val="both"/>
        <w:rPr>
          <w:lang w:eastAsia="zh-CN"/>
        </w:rPr>
      </w:pPr>
    </w:p>
    <w:p w14:paraId="17A67452"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Strengths and limitations</w:t>
      </w:r>
    </w:p>
    <w:p w14:paraId="67C93591" w14:textId="77777777" w:rsidR="00A77B3E" w:rsidRDefault="002610D4" w:rsidP="00586943">
      <w:pPr>
        <w:spacing w:line="360" w:lineRule="auto"/>
        <w:jc w:val="both"/>
      </w:pPr>
      <w:r>
        <w:rPr>
          <w:rFonts w:ascii="Book Antiqua" w:eastAsia="Book Antiqua" w:hAnsi="Book Antiqua" w:cs="Book Antiqua"/>
          <w:color w:val="000000"/>
        </w:rPr>
        <w:t>Our work is assessing the potential effects of PTAE compared to the standard of care in the treatment of NVUGIB. We used a rigorous methodology and followed a transparent protocol, combined with a comprehensive statistical analysis as possible. We collected a total of 486 patients who received PTAE, which is an infrequent therapeutic choice so far.</w:t>
      </w:r>
    </w:p>
    <w:p w14:paraId="2D18FC54" w14:textId="77777777" w:rsidR="00A77B3E" w:rsidRDefault="002610D4" w:rsidP="00586943">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main limitation of our meta-analysis is that we collected our data mostly from observational cohort studies, and we found only three RCTs comparing PTAE to the </w:t>
      </w:r>
      <w:r>
        <w:rPr>
          <w:rFonts w:ascii="Book Antiqua" w:eastAsia="Book Antiqua" w:hAnsi="Book Antiqua" w:cs="Book Antiqua"/>
          <w:color w:val="000000"/>
        </w:rPr>
        <w:lastRenderedPageBreak/>
        <w:t>standard of care. Thus, the quality of evidence for every outcome in our meta-analysis is very low based on the GRADE framework. When we assessed the quality of evidence regarding rebleeding in the RCT subgroup, we found moderate evidence for the risk reduction with PTAE. The diversity of the NVUGIB population in some studies could also limit our results and explain the statistical heterogeneity in some cases. Significant differences are present in the embolic agents utilized for PTAE among publications. There was very restricted data on the endoscopic treatment before PTAE, which could also influence the outcomes. The included studies contain only limited information on secondary outcomes, so our conclusions about these are less certain.</w:t>
      </w:r>
    </w:p>
    <w:p w14:paraId="3294F7A3" w14:textId="77777777" w:rsidR="002610D4" w:rsidRPr="002610D4" w:rsidRDefault="002610D4" w:rsidP="00586943">
      <w:pPr>
        <w:spacing w:line="360" w:lineRule="auto"/>
        <w:ind w:firstLineChars="200" w:firstLine="480"/>
        <w:jc w:val="both"/>
        <w:rPr>
          <w:lang w:eastAsia="zh-CN"/>
        </w:rPr>
      </w:pPr>
    </w:p>
    <w:p w14:paraId="17ECE8E1"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Implications for practice</w:t>
      </w:r>
    </w:p>
    <w:p w14:paraId="76AED035"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selected cases, where the previous risk stratification suggests high rebleeding risk or the anatomical situation makes the secure and permanent endoscopic hemostasis impossible, we can consider the routine use of PTAE. Considering the demographic trends of NVUGIB, we predict that elderly, high-risk patients with co-morbidities could benefit the most from PTAE as a therapeutic approach. </w:t>
      </w:r>
    </w:p>
    <w:p w14:paraId="2B76849B" w14:textId="77777777" w:rsidR="002610D4" w:rsidRPr="002610D4" w:rsidRDefault="002610D4" w:rsidP="00586943">
      <w:pPr>
        <w:spacing w:line="360" w:lineRule="auto"/>
        <w:jc w:val="both"/>
        <w:rPr>
          <w:lang w:eastAsia="zh-CN"/>
        </w:rPr>
      </w:pPr>
    </w:p>
    <w:p w14:paraId="7CC9F1D1" w14:textId="77777777" w:rsidR="00A77B3E" w:rsidRPr="002610D4" w:rsidRDefault="002610D4" w:rsidP="00586943">
      <w:pPr>
        <w:spacing w:line="360" w:lineRule="auto"/>
        <w:jc w:val="both"/>
        <w:rPr>
          <w:i/>
        </w:rPr>
      </w:pPr>
      <w:r w:rsidRPr="002610D4">
        <w:rPr>
          <w:rFonts w:ascii="Book Antiqua" w:eastAsia="Book Antiqua" w:hAnsi="Book Antiqua" w:cs="Book Antiqua"/>
          <w:b/>
          <w:bCs/>
          <w:i/>
          <w:color w:val="000000"/>
        </w:rPr>
        <w:t>Implications for research</w:t>
      </w:r>
    </w:p>
    <w:p w14:paraId="6A4ED203" w14:textId="77777777" w:rsidR="00A77B3E" w:rsidRDefault="002610D4" w:rsidP="00586943">
      <w:pPr>
        <w:spacing w:line="360" w:lineRule="auto"/>
        <w:jc w:val="both"/>
      </w:pPr>
      <w:r>
        <w:rPr>
          <w:rFonts w:ascii="Book Antiqua" w:eastAsia="Book Antiqua" w:hAnsi="Book Antiqua" w:cs="Book Antiqua"/>
          <w:color w:val="000000"/>
        </w:rPr>
        <w:t>Further RCTs are warranted to achieve a higher level of evidence about the potentially beneficial effects of PTAE. Developing an accurate risk stratification system would be crucial to select the ideal candidates for PTAE. Clinical trials investigating the use of existing risk scores or creating a new risk stratification tool of NVUGIB could help clinicians choose between the emerging number of treatment options.</w:t>
      </w:r>
    </w:p>
    <w:p w14:paraId="6CDBBD4A" w14:textId="77777777" w:rsidR="00A77B3E" w:rsidRDefault="00A77B3E" w:rsidP="00586943">
      <w:pPr>
        <w:spacing w:line="360" w:lineRule="auto"/>
        <w:jc w:val="both"/>
      </w:pPr>
    </w:p>
    <w:p w14:paraId="44F9B7EB" w14:textId="77777777" w:rsidR="00A77B3E" w:rsidRDefault="002610D4" w:rsidP="00586943">
      <w:pPr>
        <w:spacing w:line="360" w:lineRule="auto"/>
        <w:jc w:val="both"/>
      </w:pPr>
      <w:r>
        <w:rPr>
          <w:rFonts w:ascii="Book Antiqua" w:eastAsia="Book Antiqua" w:hAnsi="Book Antiqua" w:cs="Book Antiqua"/>
          <w:b/>
          <w:caps/>
          <w:color w:val="000000"/>
          <w:u w:val="single"/>
        </w:rPr>
        <w:t>CONCLUSION</w:t>
      </w:r>
    </w:p>
    <w:p w14:paraId="3B118BE9" w14:textId="77777777" w:rsidR="00A77B3E" w:rsidRDefault="002610D4" w:rsidP="00586943">
      <w:pPr>
        <w:spacing w:line="360" w:lineRule="auto"/>
        <w:jc w:val="both"/>
      </w:pPr>
      <w:r>
        <w:rPr>
          <w:rFonts w:ascii="Book Antiqua" w:eastAsia="Book Antiqua" w:hAnsi="Book Antiqua" w:cs="Book Antiqua"/>
          <w:i/>
          <w:iCs/>
          <w:color w:val="000000"/>
          <w:szCs w:val="18"/>
        </w:rPr>
        <w:t>PTAE</w:t>
      </w:r>
      <w:r>
        <w:rPr>
          <w:rFonts w:ascii="Book Antiqua" w:eastAsia="Book Antiqua" w:hAnsi="Book Antiqua" w:cs="Book Antiqua"/>
          <w:color w:val="000000"/>
        </w:rPr>
        <w:t xml:space="preserve"> is accompanied by lower odds of </w:t>
      </w:r>
      <w:r w:rsidRPr="002610D4">
        <w:rPr>
          <w:rFonts w:ascii="Book Antiqua" w:eastAsia="Book Antiqua" w:hAnsi="Book Antiqua" w:cs="Book Antiqua"/>
          <w:iCs/>
          <w:color w:val="000000"/>
          <w:szCs w:val="18"/>
        </w:rPr>
        <w:t>rebleeding</w:t>
      </w:r>
      <w:r>
        <w:rPr>
          <w:rFonts w:ascii="Book Antiqua" w:eastAsia="Book Antiqua" w:hAnsi="Book Antiqua" w:cs="Book Antiqua"/>
          <w:color w:val="000000"/>
        </w:rPr>
        <w:t xml:space="preserve">, need for surgery, and </w:t>
      </w:r>
      <w:r w:rsidRPr="002610D4">
        <w:rPr>
          <w:rFonts w:ascii="Book Antiqua" w:eastAsia="Book Antiqua" w:hAnsi="Book Antiqua" w:cs="Book Antiqua"/>
          <w:iCs/>
          <w:color w:val="000000"/>
          <w:szCs w:val="18"/>
        </w:rPr>
        <w:t>reinterventions</w:t>
      </w:r>
      <w:r>
        <w:rPr>
          <w:rFonts w:ascii="Book Antiqua" w:eastAsia="Book Antiqua" w:hAnsi="Book Antiqua" w:cs="Book Antiqua"/>
          <w:color w:val="000000"/>
        </w:rPr>
        <w:t xml:space="preserve"> in </w:t>
      </w:r>
      <w:r w:rsidRPr="002610D4">
        <w:rPr>
          <w:rFonts w:ascii="Book Antiqua" w:eastAsia="Book Antiqua" w:hAnsi="Book Antiqua" w:cs="Book Antiqua"/>
          <w:iCs/>
          <w:color w:val="000000"/>
          <w:szCs w:val="18"/>
        </w:rPr>
        <w:t>NVUGIB</w:t>
      </w:r>
      <w:r>
        <w:rPr>
          <w:rFonts w:ascii="Book Antiqua" w:eastAsia="Book Antiqua" w:hAnsi="Book Antiqua" w:cs="Book Antiqua"/>
          <w:color w:val="000000"/>
        </w:rPr>
        <w:t xml:space="preserve">. However, our meta-analysis could not justify a beneficial effect of </w:t>
      </w:r>
      <w:r>
        <w:rPr>
          <w:rFonts w:ascii="Book Antiqua" w:eastAsia="Book Antiqua" w:hAnsi="Book Antiqua" w:cs="Book Antiqua"/>
          <w:i/>
          <w:iCs/>
          <w:color w:val="000000"/>
          <w:szCs w:val="18"/>
        </w:rPr>
        <w:t>PTAE</w:t>
      </w:r>
      <w:r>
        <w:rPr>
          <w:rFonts w:ascii="Book Antiqua" w:eastAsia="Book Antiqua" w:hAnsi="Book Antiqua" w:cs="Book Antiqua"/>
          <w:color w:val="000000"/>
        </w:rPr>
        <w:t xml:space="preserve"> on mortality rates compared with the standard of care in </w:t>
      </w:r>
      <w:r>
        <w:rPr>
          <w:rFonts w:ascii="Book Antiqua" w:eastAsia="Book Antiqua" w:hAnsi="Book Antiqua" w:cs="Book Antiqua"/>
          <w:i/>
          <w:iCs/>
          <w:color w:val="000000"/>
          <w:szCs w:val="18"/>
        </w:rPr>
        <w:t>NVUGIB</w:t>
      </w:r>
      <w:r>
        <w:rPr>
          <w:rFonts w:ascii="Book Antiqua" w:eastAsia="Book Antiqua" w:hAnsi="Book Antiqua" w:cs="Book Antiqua"/>
          <w:color w:val="000000"/>
        </w:rPr>
        <w:t>.</w:t>
      </w:r>
    </w:p>
    <w:p w14:paraId="2B3145CF" w14:textId="77777777" w:rsidR="00A77B3E" w:rsidRDefault="00A77B3E" w:rsidP="00586943">
      <w:pPr>
        <w:spacing w:line="360" w:lineRule="auto"/>
        <w:jc w:val="both"/>
      </w:pPr>
    </w:p>
    <w:p w14:paraId="1C4FD9B6" w14:textId="77777777" w:rsidR="00A77B3E" w:rsidRDefault="002610D4" w:rsidP="00586943">
      <w:pPr>
        <w:spacing w:line="360" w:lineRule="auto"/>
        <w:jc w:val="both"/>
      </w:pPr>
      <w:r>
        <w:rPr>
          <w:rFonts w:ascii="Book Antiqua" w:eastAsia="Book Antiqua" w:hAnsi="Book Antiqua" w:cs="Book Antiqua"/>
          <w:b/>
          <w:caps/>
          <w:color w:val="000000"/>
          <w:u w:val="single"/>
        </w:rPr>
        <w:lastRenderedPageBreak/>
        <w:t>ARTICLE HIGHLIGHTS</w:t>
      </w:r>
    </w:p>
    <w:p w14:paraId="3E5FE7D8" w14:textId="77777777" w:rsidR="00A77B3E" w:rsidRDefault="002610D4" w:rsidP="00586943">
      <w:pPr>
        <w:spacing w:line="360" w:lineRule="auto"/>
        <w:jc w:val="both"/>
      </w:pPr>
      <w:r>
        <w:rPr>
          <w:rFonts w:ascii="Book Antiqua" w:eastAsia="Book Antiqua" w:hAnsi="Book Antiqua" w:cs="Book Antiqua"/>
          <w:b/>
          <w:i/>
          <w:color w:val="000000"/>
        </w:rPr>
        <w:t>Research background</w:t>
      </w:r>
    </w:p>
    <w:p w14:paraId="004E2350" w14:textId="77777777" w:rsidR="00A77B3E" w:rsidRDefault="002610D4" w:rsidP="00586943">
      <w:pPr>
        <w:spacing w:line="360" w:lineRule="auto"/>
        <w:jc w:val="both"/>
      </w:pPr>
      <w:r>
        <w:rPr>
          <w:rFonts w:ascii="Book Antiqua" w:eastAsia="Book Antiqua" w:hAnsi="Book Antiqua" w:cs="Book Antiqua"/>
          <w:color w:val="000000"/>
        </w:rPr>
        <w:t>The prevention of rebleeding is one of the main goals in managing non-variceal upper gastrointestinal bleeding (NVUGIB). Prophylactic transcatheter arterial embolization (PTAE) can be used in NVUGIB as second-line therapy.</w:t>
      </w:r>
    </w:p>
    <w:p w14:paraId="50AD5F5F" w14:textId="77777777" w:rsidR="00A77B3E" w:rsidRDefault="00A77B3E" w:rsidP="00586943">
      <w:pPr>
        <w:spacing w:line="360" w:lineRule="auto"/>
        <w:jc w:val="both"/>
      </w:pPr>
    </w:p>
    <w:p w14:paraId="263098E8" w14:textId="77777777" w:rsidR="00A77B3E" w:rsidRDefault="002610D4" w:rsidP="00586943">
      <w:pPr>
        <w:spacing w:line="360" w:lineRule="auto"/>
        <w:jc w:val="both"/>
      </w:pPr>
      <w:r>
        <w:rPr>
          <w:rFonts w:ascii="Book Antiqua" w:eastAsia="Book Antiqua" w:hAnsi="Book Antiqua" w:cs="Book Antiqua"/>
          <w:b/>
          <w:i/>
          <w:color w:val="000000"/>
        </w:rPr>
        <w:t>Research motivation</w:t>
      </w:r>
    </w:p>
    <w:p w14:paraId="3166B288" w14:textId="77777777" w:rsidR="00A77B3E" w:rsidRDefault="002610D4" w:rsidP="00586943">
      <w:pPr>
        <w:spacing w:line="360" w:lineRule="auto"/>
        <w:jc w:val="both"/>
      </w:pPr>
      <w:r>
        <w:rPr>
          <w:rFonts w:ascii="Book Antiqua" w:eastAsia="Book Antiqua" w:hAnsi="Book Antiqua" w:cs="Book Antiqua"/>
          <w:color w:val="000000"/>
        </w:rPr>
        <w:t xml:space="preserve">The results of the individual studies about the beneficial effects of PTAE among NVUGIB patients were contradictory. </w:t>
      </w:r>
    </w:p>
    <w:p w14:paraId="4BDBD25D" w14:textId="77777777" w:rsidR="00A77B3E" w:rsidRDefault="00A77B3E" w:rsidP="00586943">
      <w:pPr>
        <w:spacing w:line="360" w:lineRule="auto"/>
        <w:jc w:val="both"/>
      </w:pPr>
    </w:p>
    <w:p w14:paraId="4B221426" w14:textId="77777777" w:rsidR="00A77B3E" w:rsidRDefault="002610D4" w:rsidP="00586943">
      <w:pPr>
        <w:spacing w:line="360" w:lineRule="auto"/>
        <w:jc w:val="both"/>
      </w:pPr>
      <w:r>
        <w:rPr>
          <w:rFonts w:ascii="Book Antiqua" w:eastAsia="Book Antiqua" w:hAnsi="Book Antiqua" w:cs="Book Antiqua"/>
          <w:b/>
          <w:i/>
          <w:color w:val="000000"/>
        </w:rPr>
        <w:t>Research objectives</w:t>
      </w:r>
    </w:p>
    <w:p w14:paraId="756BD1E3" w14:textId="77777777" w:rsidR="00A77B3E" w:rsidRDefault="002610D4" w:rsidP="00586943">
      <w:pPr>
        <w:spacing w:line="360" w:lineRule="auto"/>
        <w:jc w:val="both"/>
      </w:pPr>
      <w:r>
        <w:rPr>
          <w:rFonts w:ascii="Book Antiqua" w:hAnsi="Book Antiqua" w:cs="Book Antiqua" w:hint="eastAsia"/>
          <w:color w:val="000000"/>
          <w:lang w:eastAsia="zh-CN"/>
        </w:rPr>
        <w:t>The authors</w:t>
      </w:r>
      <w:r>
        <w:rPr>
          <w:rFonts w:ascii="Book Antiqua" w:eastAsia="Book Antiqua" w:hAnsi="Book Antiqua" w:cs="Book Antiqua"/>
          <w:color w:val="000000"/>
        </w:rPr>
        <w:t xml:space="preserve"> aimed to carry out a comprehensive systematic review and meta-analysis. </w:t>
      </w:r>
      <w:r>
        <w:rPr>
          <w:rFonts w:ascii="Book Antiqua" w:hAnsi="Book Antiqua" w:cs="Book Antiqua" w:hint="eastAsia"/>
          <w:color w:val="000000"/>
          <w:lang w:eastAsia="zh-CN"/>
        </w:rPr>
        <w:t>The authors</w:t>
      </w:r>
      <w:r>
        <w:rPr>
          <w:rFonts w:ascii="Book Antiqua" w:eastAsia="Book Antiqua" w:hAnsi="Book Antiqua" w:cs="Book Antiqua"/>
          <w:color w:val="000000"/>
        </w:rPr>
        <w:t xml:space="preserve"> compared the PTAE to no embolization as a second line, prophylactic treatment among NVUGIB patients.</w:t>
      </w:r>
    </w:p>
    <w:p w14:paraId="445FFABC" w14:textId="77777777" w:rsidR="00A77B3E" w:rsidRDefault="00A77B3E" w:rsidP="00586943">
      <w:pPr>
        <w:spacing w:line="360" w:lineRule="auto"/>
        <w:jc w:val="both"/>
      </w:pPr>
    </w:p>
    <w:p w14:paraId="3122CF25" w14:textId="77777777" w:rsidR="00A77B3E" w:rsidRDefault="002610D4" w:rsidP="00586943">
      <w:pPr>
        <w:spacing w:line="360" w:lineRule="auto"/>
        <w:jc w:val="both"/>
      </w:pPr>
      <w:r>
        <w:rPr>
          <w:rFonts w:ascii="Book Antiqua" w:eastAsia="Book Antiqua" w:hAnsi="Book Antiqua" w:cs="Book Antiqua"/>
          <w:b/>
          <w:i/>
          <w:color w:val="000000"/>
        </w:rPr>
        <w:t>Research methods</w:t>
      </w:r>
    </w:p>
    <w:p w14:paraId="1F7197E8" w14:textId="77777777" w:rsidR="00A77B3E" w:rsidRDefault="002610D4" w:rsidP="00586943">
      <w:pPr>
        <w:spacing w:line="360" w:lineRule="auto"/>
        <w:jc w:val="both"/>
      </w:pPr>
      <w:r>
        <w:rPr>
          <w:rFonts w:ascii="Book Antiqua" w:hAnsi="Book Antiqua" w:cs="Book Antiqua" w:hint="eastAsia"/>
          <w:color w:val="000000"/>
          <w:lang w:eastAsia="zh-CN"/>
        </w:rPr>
        <w:t>The authors</w:t>
      </w:r>
      <w:r>
        <w:rPr>
          <w:rFonts w:ascii="Book Antiqua" w:eastAsia="Book Antiqua" w:hAnsi="Book Antiqua" w:cs="Book Antiqua"/>
          <w:color w:val="000000"/>
        </w:rPr>
        <w:t xml:space="preserve"> conducted a systematic search in three databases (MEDLINE, </w:t>
      </w:r>
      <w:r w:rsidRPr="002610D4">
        <w:rPr>
          <w:rFonts w:ascii="Book Antiqua" w:eastAsia="Book Antiqua" w:hAnsi="Book Antiqua" w:cs="Book Antiqua"/>
          <w:caps/>
          <w:color w:val="000000"/>
        </w:rPr>
        <w:t>Embase</w:t>
      </w:r>
      <w:r>
        <w:rPr>
          <w:rFonts w:ascii="Book Antiqua" w:eastAsia="Book Antiqua" w:hAnsi="Book Antiqua" w:cs="Book Antiqua"/>
          <w:color w:val="000000"/>
        </w:rPr>
        <w:t xml:space="preserve">, CENTRAL). The eligible studies compared patients with NVUGIB receiving PTAE to those who did not get PTAE. </w:t>
      </w:r>
      <w:r>
        <w:rPr>
          <w:rFonts w:ascii="Book Antiqua" w:hAnsi="Book Antiqua" w:cs="Book Antiqua" w:hint="eastAsia"/>
          <w:color w:val="000000"/>
          <w:lang w:eastAsia="zh-CN"/>
        </w:rPr>
        <w:t>The authors</w:t>
      </w:r>
      <w:r>
        <w:rPr>
          <w:rFonts w:ascii="Book Antiqua" w:eastAsia="Book Antiqua" w:hAnsi="Book Antiqua" w:cs="Book Antiqua"/>
          <w:color w:val="000000"/>
        </w:rPr>
        <w:t xml:space="preserve"> calculated odds ratios (ORs) with 95% confidence intervals (CI) for rebleeding, mortality, reintervention, need for surgery, and weighted mean differences (WMDs) of need for transfusion, length of hospital (LOH), and intensive care unit (ICU) stay.</w:t>
      </w:r>
    </w:p>
    <w:p w14:paraId="63DD7479" w14:textId="77777777" w:rsidR="00A77B3E" w:rsidRDefault="00A77B3E" w:rsidP="00586943">
      <w:pPr>
        <w:spacing w:line="360" w:lineRule="auto"/>
        <w:jc w:val="both"/>
      </w:pPr>
    </w:p>
    <w:p w14:paraId="41CA33F4" w14:textId="77777777" w:rsidR="00A77B3E" w:rsidRDefault="002610D4" w:rsidP="00586943">
      <w:pPr>
        <w:spacing w:line="360" w:lineRule="auto"/>
        <w:jc w:val="both"/>
      </w:pPr>
      <w:r>
        <w:rPr>
          <w:rFonts w:ascii="Book Antiqua" w:eastAsia="Book Antiqua" w:hAnsi="Book Antiqua" w:cs="Book Antiqua"/>
          <w:b/>
          <w:i/>
          <w:color w:val="000000"/>
        </w:rPr>
        <w:t>Research results</w:t>
      </w:r>
    </w:p>
    <w:p w14:paraId="0537E3FF" w14:textId="77777777" w:rsidR="00A77B3E" w:rsidRDefault="002610D4" w:rsidP="00586943">
      <w:pPr>
        <w:spacing w:line="360" w:lineRule="auto"/>
        <w:jc w:val="both"/>
      </w:pPr>
      <w:r>
        <w:rPr>
          <w:rFonts w:ascii="Book Antiqua" w:eastAsia="Book Antiqua" w:hAnsi="Book Antiqua" w:cs="Book Antiqua"/>
          <w:color w:val="000000"/>
        </w:rPr>
        <w:t>PTAE was associated with significantly lower odds of rebleeding, reintervention and rescue surgery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0.29–0.78;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0.48,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0.31–0.76; </w:t>
      </w:r>
      <w:r w:rsidR="003E188A">
        <w:rPr>
          <w:rFonts w:ascii="Book Antiqua" w:eastAsia="Book Antiqua" w:hAnsi="Book Antiqua" w:cs="Book Antiqua"/>
          <w:color w:val="000000"/>
        </w:rPr>
        <w:t xml:space="preserve">OR = </w:t>
      </w:r>
      <w:r>
        <w:rPr>
          <w:rFonts w:ascii="Book Antiqua" w:eastAsia="Book Antiqua" w:hAnsi="Book Antiqua" w:cs="Book Antiqua"/>
          <w:color w:val="000000"/>
        </w:rPr>
        <w:t xml:space="preserve">0.35,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0.14–0.92; respectively). There was no significant difference in the mortality rates, LOH, and ICU stays between the PTAE and control groups. The quality of </w:t>
      </w:r>
      <w:r>
        <w:rPr>
          <w:rFonts w:ascii="Book Antiqua" w:eastAsia="Book Antiqua" w:hAnsi="Book Antiqua" w:cs="Book Antiqua"/>
          <w:color w:val="000000"/>
        </w:rPr>
        <w:lastRenderedPageBreak/>
        <w:t>evidence for every outcome in our meta-analysis is very low based on the GRADE framework.</w:t>
      </w:r>
    </w:p>
    <w:p w14:paraId="4C3264A2" w14:textId="77777777" w:rsidR="00A77B3E" w:rsidRDefault="00A77B3E" w:rsidP="00586943">
      <w:pPr>
        <w:spacing w:line="360" w:lineRule="auto"/>
        <w:jc w:val="both"/>
      </w:pPr>
    </w:p>
    <w:p w14:paraId="444B8121" w14:textId="77777777" w:rsidR="00A77B3E" w:rsidRDefault="002610D4" w:rsidP="00586943">
      <w:pPr>
        <w:spacing w:line="360" w:lineRule="auto"/>
        <w:jc w:val="both"/>
      </w:pPr>
      <w:r>
        <w:rPr>
          <w:rFonts w:ascii="Book Antiqua" w:eastAsia="Book Antiqua" w:hAnsi="Book Antiqua" w:cs="Book Antiqua"/>
          <w:b/>
          <w:i/>
          <w:color w:val="000000"/>
        </w:rPr>
        <w:t>Research conclusions</w:t>
      </w:r>
    </w:p>
    <w:p w14:paraId="1FA5A682" w14:textId="77777777" w:rsidR="00A77B3E" w:rsidRDefault="002610D4" w:rsidP="00586943">
      <w:pPr>
        <w:spacing w:line="360" w:lineRule="auto"/>
        <w:jc w:val="both"/>
      </w:pPr>
      <w:r>
        <w:rPr>
          <w:rFonts w:ascii="Book Antiqua" w:hAnsi="Book Antiqua" w:cs="Book Antiqua" w:hint="eastAsia"/>
          <w:color w:val="000000"/>
          <w:lang w:eastAsia="zh-CN"/>
        </w:rPr>
        <w:t>The</w:t>
      </w:r>
      <w:r>
        <w:rPr>
          <w:rFonts w:ascii="Book Antiqua" w:eastAsia="Book Antiqua" w:hAnsi="Book Antiqua" w:cs="Book Antiqua"/>
          <w:color w:val="000000"/>
        </w:rPr>
        <w:t xml:space="preserve"> results suggest that PTAE is a reasonable therapeutic choice to prevent rebleeding or reintervention in NVUGIB, although it did not improve the mortality rates of NVUGIB.</w:t>
      </w:r>
    </w:p>
    <w:p w14:paraId="30F182B3" w14:textId="77777777" w:rsidR="00A77B3E" w:rsidRDefault="00A77B3E" w:rsidP="00586943">
      <w:pPr>
        <w:spacing w:line="360" w:lineRule="auto"/>
        <w:jc w:val="both"/>
      </w:pPr>
    </w:p>
    <w:p w14:paraId="3C2FCCB8" w14:textId="77777777" w:rsidR="00A77B3E" w:rsidRDefault="002610D4" w:rsidP="00586943">
      <w:pPr>
        <w:spacing w:line="360" w:lineRule="auto"/>
        <w:jc w:val="both"/>
      </w:pPr>
      <w:r>
        <w:rPr>
          <w:rFonts w:ascii="Book Antiqua" w:eastAsia="Book Antiqua" w:hAnsi="Book Antiqua" w:cs="Book Antiqua"/>
          <w:b/>
          <w:i/>
          <w:color w:val="000000"/>
        </w:rPr>
        <w:t>Research perspectives</w:t>
      </w:r>
    </w:p>
    <w:p w14:paraId="10CD7175" w14:textId="77777777" w:rsidR="00A77B3E" w:rsidRDefault="002610D4" w:rsidP="00586943">
      <w:pPr>
        <w:spacing w:line="360" w:lineRule="auto"/>
        <w:jc w:val="both"/>
      </w:pPr>
      <w:r>
        <w:rPr>
          <w:rFonts w:ascii="Book Antiqua" w:eastAsia="Book Antiqua" w:hAnsi="Book Antiqua" w:cs="Book Antiqua"/>
          <w:color w:val="000000"/>
        </w:rPr>
        <w:t>Further randomized controlled trials are needed about the use of PTAE. We also propose a clinical trial that could recommend a new risk stratification tool of NVUGIB, helping clinicians choose between treatment options.</w:t>
      </w:r>
    </w:p>
    <w:p w14:paraId="34865B57" w14:textId="77777777" w:rsidR="00A77B3E" w:rsidRPr="002610D4" w:rsidRDefault="00A77B3E" w:rsidP="00586943">
      <w:pPr>
        <w:spacing w:line="360" w:lineRule="auto"/>
        <w:jc w:val="both"/>
        <w:rPr>
          <w:lang w:eastAsia="zh-CN"/>
        </w:rPr>
      </w:pPr>
    </w:p>
    <w:p w14:paraId="216AD72C" w14:textId="77777777" w:rsidR="00A77B3E" w:rsidRDefault="002610D4" w:rsidP="00586943">
      <w:pPr>
        <w:spacing w:line="360" w:lineRule="auto"/>
        <w:jc w:val="both"/>
      </w:pPr>
      <w:r>
        <w:rPr>
          <w:rFonts w:ascii="Book Antiqua" w:eastAsia="Book Antiqua" w:hAnsi="Book Antiqua" w:cs="Book Antiqua"/>
          <w:b/>
          <w:color w:val="000000"/>
        </w:rPr>
        <w:t>REFERENCES</w:t>
      </w:r>
    </w:p>
    <w:p w14:paraId="1ACD802A" w14:textId="77777777" w:rsidR="00183E22" w:rsidRPr="000A13D1" w:rsidRDefault="00183E22" w:rsidP="00586943">
      <w:pPr>
        <w:spacing w:line="360" w:lineRule="auto"/>
        <w:jc w:val="both"/>
        <w:rPr>
          <w:rFonts w:ascii="Book Antiqua" w:hAnsi="Book Antiqua"/>
        </w:rPr>
      </w:pPr>
      <w:bookmarkStart w:id="0" w:name="OLE_LINK502"/>
      <w:bookmarkStart w:id="1" w:name="OLE_LINK503"/>
      <w:r w:rsidRPr="000A13D1">
        <w:rPr>
          <w:rFonts w:ascii="Book Antiqua" w:hAnsi="Book Antiqua"/>
        </w:rPr>
        <w:t xml:space="preserve">1 </w:t>
      </w:r>
      <w:r w:rsidRPr="000A13D1">
        <w:rPr>
          <w:rFonts w:ascii="Book Antiqua" w:hAnsi="Book Antiqua"/>
          <w:b/>
          <w:bCs/>
        </w:rPr>
        <w:t>Loperfido S</w:t>
      </w:r>
      <w:r w:rsidRPr="000A13D1">
        <w:rPr>
          <w:rFonts w:ascii="Book Antiqua" w:hAnsi="Book Antiqua"/>
        </w:rPr>
        <w:t xml:space="preserve">, Baldo V, Piovesana E, Bellina L, Rossi K, Groppo M, Caroli A, Dal Bò N, Monica F, Fabris L, Salvat HH, Bassi N, Okolicsanyi L. Changing trends in acute upper-GI bleeding: a population-based study. </w:t>
      </w:r>
      <w:r w:rsidRPr="000A13D1">
        <w:rPr>
          <w:rFonts w:ascii="Book Antiqua" w:hAnsi="Book Antiqua"/>
          <w:i/>
          <w:iCs/>
        </w:rPr>
        <w:t>Gastrointest Endosc</w:t>
      </w:r>
      <w:r w:rsidRPr="000A13D1">
        <w:rPr>
          <w:rFonts w:ascii="Book Antiqua" w:hAnsi="Book Antiqua"/>
        </w:rPr>
        <w:t xml:space="preserve"> 2009; </w:t>
      </w:r>
      <w:r w:rsidRPr="000A13D1">
        <w:rPr>
          <w:rFonts w:ascii="Book Antiqua" w:hAnsi="Book Antiqua"/>
          <w:b/>
          <w:bCs/>
        </w:rPr>
        <w:t>70</w:t>
      </w:r>
      <w:r w:rsidRPr="000A13D1">
        <w:rPr>
          <w:rFonts w:ascii="Book Antiqua" w:hAnsi="Book Antiqua"/>
        </w:rPr>
        <w:t>: 212-224 [PMID: 19409558 DOI: 10.1016/j.gie.2008.10.051]</w:t>
      </w:r>
    </w:p>
    <w:p w14:paraId="58BA822E"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 </w:t>
      </w:r>
      <w:r w:rsidRPr="000A13D1">
        <w:rPr>
          <w:rFonts w:ascii="Book Antiqua" w:hAnsi="Book Antiqua"/>
          <w:b/>
          <w:bCs/>
        </w:rPr>
        <w:t>Oakland K</w:t>
      </w:r>
      <w:r w:rsidRPr="000A13D1">
        <w:rPr>
          <w:rFonts w:ascii="Book Antiqua" w:hAnsi="Book Antiqua"/>
        </w:rPr>
        <w:t xml:space="preserve">. Changing epidemiology and etiology of upper and lower gastrointestinal bleeding. </w:t>
      </w:r>
      <w:r w:rsidRPr="000A13D1">
        <w:rPr>
          <w:rFonts w:ascii="Book Antiqua" w:hAnsi="Book Antiqua"/>
          <w:i/>
          <w:iCs/>
        </w:rPr>
        <w:t>Best Pract Res Clin Gastroenterol</w:t>
      </w:r>
      <w:r w:rsidRPr="000A13D1">
        <w:rPr>
          <w:rFonts w:ascii="Book Antiqua" w:hAnsi="Book Antiqua"/>
        </w:rPr>
        <w:t xml:space="preserve"> 2019; </w:t>
      </w:r>
      <w:r w:rsidRPr="000A13D1">
        <w:rPr>
          <w:rFonts w:ascii="Book Antiqua" w:hAnsi="Book Antiqua"/>
          <w:b/>
          <w:bCs/>
        </w:rPr>
        <w:t>42-43</w:t>
      </w:r>
      <w:r w:rsidRPr="000A13D1">
        <w:rPr>
          <w:rFonts w:ascii="Book Antiqua" w:hAnsi="Book Antiqua"/>
        </w:rPr>
        <w:t>: 101610 [PMID: 31785737 DOI: 10.1016/j.bpg.2019.04.003]</w:t>
      </w:r>
    </w:p>
    <w:p w14:paraId="0620FE06"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 </w:t>
      </w:r>
      <w:r w:rsidRPr="000A13D1">
        <w:rPr>
          <w:rFonts w:ascii="Book Antiqua" w:hAnsi="Book Antiqua"/>
          <w:b/>
          <w:bCs/>
        </w:rPr>
        <w:t>Wuerth BA</w:t>
      </w:r>
      <w:r w:rsidRPr="000A13D1">
        <w:rPr>
          <w:rFonts w:ascii="Book Antiqua" w:hAnsi="Book Antiqua"/>
        </w:rPr>
        <w:t xml:space="preserve">, Rockey DC. Changing Epidemiology of Upper Gastrointestinal Hemorrhage in the Last Decade: A Nationwide Analysis. </w:t>
      </w:r>
      <w:r w:rsidRPr="000A13D1">
        <w:rPr>
          <w:rFonts w:ascii="Book Antiqua" w:hAnsi="Book Antiqua"/>
          <w:i/>
          <w:iCs/>
        </w:rPr>
        <w:t>Dig Dis Sci</w:t>
      </w:r>
      <w:r w:rsidRPr="000A13D1">
        <w:rPr>
          <w:rFonts w:ascii="Book Antiqua" w:hAnsi="Book Antiqua"/>
        </w:rPr>
        <w:t xml:space="preserve"> 2018; </w:t>
      </w:r>
      <w:r w:rsidRPr="000A13D1">
        <w:rPr>
          <w:rFonts w:ascii="Book Antiqua" w:hAnsi="Book Antiqua"/>
          <w:b/>
          <w:bCs/>
        </w:rPr>
        <w:t>63</w:t>
      </w:r>
      <w:r w:rsidRPr="000A13D1">
        <w:rPr>
          <w:rFonts w:ascii="Book Antiqua" w:hAnsi="Book Antiqua"/>
        </w:rPr>
        <w:t>: 1286-1293 [PMID: 29282637 DOI: 10.1007/s10620-017-4882-6]</w:t>
      </w:r>
    </w:p>
    <w:p w14:paraId="3ABDE174"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4 </w:t>
      </w:r>
      <w:r w:rsidRPr="000A13D1">
        <w:rPr>
          <w:rFonts w:ascii="Book Antiqua" w:hAnsi="Book Antiqua"/>
          <w:b/>
          <w:bCs/>
        </w:rPr>
        <w:t>Jairath V</w:t>
      </w:r>
      <w:r w:rsidRPr="000A13D1">
        <w:rPr>
          <w:rFonts w:ascii="Book Antiqua" w:hAnsi="Book Antiqua"/>
        </w:rPr>
        <w:t xml:space="preserve">, Martel M, Logan RF, Barkun AN. Why do mortality rates for nonvariceal upper gastrointestinal bleeding differ around the world? A systematic review of cohort studies. </w:t>
      </w:r>
      <w:r w:rsidRPr="000A13D1">
        <w:rPr>
          <w:rFonts w:ascii="Book Antiqua" w:hAnsi="Book Antiqua"/>
          <w:i/>
          <w:iCs/>
        </w:rPr>
        <w:t>Can J Gastroenterol</w:t>
      </w:r>
      <w:r w:rsidRPr="000A13D1">
        <w:rPr>
          <w:rFonts w:ascii="Book Antiqua" w:hAnsi="Book Antiqua"/>
        </w:rPr>
        <w:t xml:space="preserve"> 2012; </w:t>
      </w:r>
      <w:r w:rsidRPr="000A13D1">
        <w:rPr>
          <w:rFonts w:ascii="Book Antiqua" w:hAnsi="Book Antiqua"/>
          <w:b/>
          <w:bCs/>
        </w:rPr>
        <w:t>26</w:t>
      </w:r>
      <w:r w:rsidRPr="000A13D1">
        <w:rPr>
          <w:rFonts w:ascii="Book Antiqua" w:hAnsi="Book Antiqua"/>
        </w:rPr>
        <w:t>: 537-543 [PMID: 22891179 DOI: 10.1155/2012/862905]</w:t>
      </w:r>
    </w:p>
    <w:p w14:paraId="217EFE9A" w14:textId="77777777" w:rsidR="00183E22" w:rsidRPr="000A13D1" w:rsidRDefault="00183E22" w:rsidP="00586943">
      <w:pPr>
        <w:spacing w:line="360" w:lineRule="auto"/>
        <w:jc w:val="both"/>
        <w:rPr>
          <w:rFonts w:ascii="Book Antiqua" w:hAnsi="Book Antiqua"/>
        </w:rPr>
      </w:pPr>
      <w:r w:rsidRPr="000A13D1">
        <w:rPr>
          <w:rFonts w:ascii="Book Antiqua" w:hAnsi="Book Antiqua"/>
        </w:rPr>
        <w:lastRenderedPageBreak/>
        <w:t xml:space="preserve">5 </w:t>
      </w:r>
      <w:r w:rsidRPr="000A13D1">
        <w:rPr>
          <w:rFonts w:ascii="Book Antiqua" w:hAnsi="Book Antiqua"/>
          <w:b/>
          <w:bCs/>
        </w:rPr>
        <w:t>Hearnshaw SA</w:t>
      </w:r>
      <w:r w:rsidRPr="000A13D1">
        <w:rPr>
          <w:rFonts w:ascii="Book Antiqua" w:hAnsi="Book Antiqua"/>
        </w:rPr>
        <w:t xml:space="preserve">, Logan RF, Lowe D, Travis SP, Murphy MF, Palmer KR. Acute upper gastrointestinal bleeding in the UK: patient characteristics, diagnoses and outcomes in the 2007 UK audit. </w:t>
      </w:r>
      <w:r w:rsidRPr="000A13D1">
        <w:rPr>
          <w:rFonts w:ascii="Book Antiqua" w:hAnsi="Book Antiqua"/>
          <w:i/>
          <w:iCs/>
        </w:rPr>
        <w:t>Gut</w:t>
      </w:r>
      <w:r w:rsidRPr="000A13D1">
        <w:rPr>
          <w:rFonts w:ascii="Book Antiqua" w:hAnsi="Book Antiqua"/>
        </w:rPr>
        <w:t xml:space="preserve"> 2011; </w:t>
      </w:r>
      <w:r w:rsidRPr="000A13D1">
        <w:rPr>
          <w:rFonts w:ascii="Book Antiqua" w:hAnsi="Book Antiqua"/>
          <w:b/>
          <w:bCs/>
        </w:rPr>
        <w:t>60</w:t>
      </w:r>
      <w:r w:rsidRPr="000A13D1">
        <w:rPr>
          <w:rFonts w:ascii="Book Antiqua" w:hAnsi="Book Antiqua"/>
        </w:rPr>
        <w:t>: 1327-1335 [PMID: 21490373 DOI: 10.1136/gut.2010.228437]</w:t>
      </w:r>
    </w:p>
    <w:p w14:paraId="1FFA1D29"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6 </w:t>
      </w:r>
      <w:r w:rsidRPr="000A13D1">
        <w:rPr>
          <w:rFonts w:ascii="Book Antiqua" w:hAnsi="Book Antiqua"/>
          <w:b/>
          <w:bCs/>
        </w:rPr>
        <w:t>van Leerdam ME</w:t>
      </w:r>
      <w:r w:rsidRPr="000A13D1">
        <w:rPr>
          <w:rFonts w:ascii="Book Antiqua" w:hAnsi="Book Antiqua"/>
        </w:rPr>
        <w:t xml:space="preserve">. Epidemiology of acute upper gastrointestinal bleeding. </w:t>
      </w:r>
      <w:r w:rsidRPr="000A13D1">
        <w:rPr>
          <w:rFonts w:ascii="Book Antiqua" w:hAnsi="Book Antiqua"/>
          <w:i/>
          <w:iCs/>
        </w:rPr>
        <w:t>Best Pract Res Clin Gastroenterol</w:t>
      </w:r>
      <w:r w:rsidRPr="000A13D1">
        <w:rPr>
          <w:rFonts w:ascii="Book Antiqua" w:hAnsi="Book Antiqua"/>
        </w:rPr>
        <w:t xml:space="preserve"> 2008; </w:t>
      </w:r>
      <w:r w:rsidRPr="000A13D1">
        <w:rPr>
          <w:rFonts w:ascii="Book Antiqua" w:hAnsi="Book Antiqua"/>
          <w:b/>
          <w:bCs/>
        </w:rPr>
        <w:t>22</w:t>
      </w:r>
      <w:r w:rsidRPr="000A13D1">
        <w:rPr>
          <w:rFonts w:ascii="Book Antiqua" w:hAnsi="Book Antiqua"/>
        </w:rPr>
        <w:t>: 209-224 [PMID: 18346679 DOI: 10.1016/j.bpg.2007.10.011]</w:t>
      </w:r>
    </w:p>
    <w:p w14:paraId="593D5EBF"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7 </w:t>
      </w:r>
      <w:r w:rsidRPr="000A13D1">
        <w:rPr>
          <w:rFonts w:ascii="Book Antiqua" w:hAnsi="Book Antiqua"/>
          <w:b/>
          <w:bCs/>
        </w:rPr>
        <w:t>Gralnek IM</w:t>
      </w:r>
      <w:r w:rsidRPr="000A13D1">
        <w:rPr>
          <w:rFonts w:ascii="Book Antiqua" w:hAnsi="Book Antiqua"/>
        </w:rPr>
        <w:t xml:space="preserve">, Stanley AJ, Morris AJ, Camus M, Lau J, Lanas A, Laursen SB, Radaelli F, Papanikolaou IS, Cúrdia Gonçalves T, Dinis-Ribeiro M, Awadie H, Braun G, de Groot N, Udd M, Sanchez-Yague A, Neeman Z, van Hooft JE. Endoscopic diagnosis and management of nonvariceal upper gastrointestinal hemorrhage (NVUGIH): European Society of Gastrointestinal Endoscopy (ESGE) Guideline - Update 2021. </w:t>
      </w:r>
      <w:r w:rsidRPr="000A13D1">
        <w:rPr>
          <w:rFonts w:ascii="Book Antiqua" w:hAnsi="Book Antiqua"/>
          <w:i/>
          <w:iCs/>
        </w:rPr>
        <w:t>Endoscopy</w:t>
      </w:r>
      <w:r w:rsidRPr="000A13D1">
        <w:rPr>
          <w:rFonts w:ascii="Book Antiqua" w:hAnsi="Book Antiqua"/>
        </w:rPr>
        <w:t xml:space="preserve"> 2021; </w:t>
      </w:r>
      <w:r w:rsidRPr="000A13D1">
        <w:rPr>
          <w:rFonts w:ascii="Book Antiqua" w:hAnsi="Book Antiqua"/>
          <w:b/>
          <w:bCs/>
        </w:rPr>
        <w:t>53</w:t>
      </w:r>
      <w:r w:rsidRPr="000A13D1">
        <w:rPr>
          <w:rFonts w:ascii="Book Antiqua" w:hAnsi="Book Antiqua"/>
        </w:rPr>
        <w:t>: 300-332 [PMID: 33567467 DOI: 10.1055/a-1369-5274]</w:t>
      </w:r>
    </w:p>
    <w:p w14:paraId="2268AFB6"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8 </w:t>
      </w:r>
      <w:r w:rsidRPr="000A13D1">
        <w:rPr>
          <w:rFonts w:ascii="Book Antiqua" w:hAnsi="Book Antiqua"/>
          <w:b/>
          <w:bCs/>
        </w:rPr>
        <w:t>Nykänen T</w:t>
      </w:r>
      <w:r w:rsidRPr="000A13D1">
        <w:rPr>
          <w:rFonts w:ascii="Book Antiqua" w:hAnsi="Book Antiqua"/>
        </w:rPr>
        <w:t xml:space="preserve">, Peltola E, Kylänpää L, Udd M. Bleeding gastric and duodenal ulcers: case-control study comparing angioembolization and surgery. </w:t>
      </w:r>
      <w:r w:rsidRPr="000A13D1">
        <w:rPr>
          <w:rFonts w:ascii="Book Antiqua" w:hAnsi="Book Antiqua"/>
          <w:i/>
          <w:iCs/>
        </w:rPr>
        <w:t>Scand J Gastroenterol</w:t>
      </w:r>
      <w:r w:rsidRPr="000A13D1">
        <w:rPr>
          <w:rFonts w:ascii="Book Antiqua" w:hAnsi="Book Antiqua"/>
        </w:rPr>
        <w:t xml:space="preserve"> 2017; </w:t>
      </w:r>
      <w:r w:rsidRPr="000A13D1">
        <w:rPr>
          <w:rFonts w:ascii="Book Antiqua" w:hAnsi="Book Antiqua"/>
          <w:b/>
          <w:bCs/>
        </w:rPr>
        <w:t>52</w:t>
      </w:r>
      <w:r w:rsidRPr="000A13D1">
        <w:rPr>
          <w:rFonts w:ascii="Book Antiqua" w:hAnsi="Book Antiqua"/>
        </w:rPr>
        <w:t>: 523-530 [PMID: 28270041 DOI: 10.1080/00365521.2017.1288756]</w:t>
      </w:r>
    </w:p>
    <w:p w14:paraId="2529A94B"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9 </w:t>
      </w:r>
      <w:r w:rsidRPr="000A13D1">
        <w:rPr>
          <w:rFonts w:ascii="Book Antiqua" w:hAnsi="Book Antiqua"/>
          <w:b/>
          <w:bCs/>
        </w:rPr>
        <w:t>Tarasconi A</w:t>
      </w:r>
      <w:r w:rsidRPr="000A13D1">
        <w:rPr>
          <w:rFonts w:ascii="Book Antiqua" w:hAnsi="Book Antiqua"/>
        </w:rPr>
        <w:t xml:space="preserve">, Baiocchi GL, Pattonieri V, Perrone G, Abongwa HK, Molfino S, Portolani N, Sartelli M, Di Saverio S, Heyer A, Ansaloni L, Coccolini F, Catena F. Transcatheter arterial embolization versus surgery for refractory non-variceal upper gastrointestinal bleeding: a meta-analysis. </w:t>
      </w:r>
      <w:r w:rsidRPr="000A13D1">
        <w:rPr>
          <w:rFonts w:ascii="Book Antiqua" w:hAnsi="Book Antiqua"/>
          <w:i/>
          <w:iCs/>
        </w:rPr>
        <w:t>World J Emerg Surg</w:t>
      </w:r>
      <w:r w:rsidRPr="000A13D1">
        <w:rPr>
          <w:rFonts w:ascii="Book Antiqua" w:hAnsi="Book Antiqua"/>
        </w:rPr>
        <w:t xml:space="preserve"> 2019; </w:t>
      </w:r>
      <w:r w:rsidRPr="000A13D1">
        <w:rPr>
          <w:rFonts w:ascii="Book Antiqua" w:hAnsi="Book Antiqua"/>
          <w:b/>
          <w:bCs/>
        </w:rPr>
        <w:t>14</w:t>
      </w:r>
      <w:r w:rsidRPr="000A13D1">
        <w:rPr>
          <w:rFonts w:ascii="Book Antiqua" w:hAnsi="Book Antiqua"/>
        </w:rPr>
        <w:t>: 3 [PMID: 30733822 DOI: 10.1186/s13017-019-0223-8]</w:t>
      </w:r>
    </w:p>
    <w:p w14:paraId="4A50635C"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10 </w:t>
      </w:r>
      <w:r w:rsidRPr="000A13D1">
        <w:rPr>
          <w:rFonts w:ascii="Book Antiqua" w:hAnsi="Book Antiqua"/>
          <w:b/>
          <w:bCs/>
        </w:rPr>
        <w:t>Lau JYW</w:t>
      </w:r>
      <w:r w:rsidRPr="000A13D1">
        <w:rPr>
          <w:rFonts w:ascii="Book Antiqua" w:hAnsi="Book Antiqua"/>
        </w:rPr>
        <w:t xml:space="preserve">, Pittayanon R, Wong KT, Pinjaroen N, Chiu PWY, Rerknimitr R, Holster IL, Kuipers EJ, Wu KC, Au KWL, Chan FKL, Sung JJY. Prophylactic angiographic embolisation after endoscopic control of bleeding to high-risk peptic ulcers: a randomised controlled trial. </w:t>
      </w:r>
      <w:r w:rsidRPr="000A13D1">
        <w:rPr>
          <w:rFonts w:ascii="Book Antiqua" w:hAnsi="Book Antiqua"/>
          <w:i/>
          <w:iCs/>
        </w:rPr>
        <w:t>Gut</w:t>
      </w:r>
      <w:r w:rsidRPr="000A13D1">
        <w:rPr>
          <w:rFonts w:ascii="Book Antiqua" w:hAnsi="Book Antiqua"/>
        </w:rPr>
        <w:t xml:space="preserve"> 2019; </w:t>
      </w:r>
      <w:r w:rsidRPr="000A13D1">
        <w:rPr>
          <w:rFonts w:ascii="Book Antiqua" w:hAnsi="Book Antiqua"/>
          <w:b/>
          <w:bCs/>
        </w:rPr>
        <w:t>68</w:t>
      </w:r>
      <w:r w:rsidRPr="000A13D1">
        <w:rPr>
          <w:rFonts w:ascii="Book Antiqua" w:hAnsi="Book Antiqua"/>
        </w:rPr>
        <w:t>: 796-803 [PMID: 29802172 DOI: 10.1136/gutjnl-2018-316074]</w:t>
      </w:r>
    </w:p>
    <w:p w14:paraId="09009458"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11 </w:t>
      </w:r>
      <w:r w:rsidRPr="000A13D1">
        <w:rPr>
          <w:rFonts w:ascii="Book Antiqua" w:hAnsi="Book Antiqua"/>
          <w:b/>
          <w:bCs/>
        </w:rPr>
        <w:t>Kaminskis A</w:t>
      </w:r>
      <w:r w:rsidRPr="000A13D1">
        <w:rPr>
          <w:rFonts w:ascii="Book Antiqua" w:hAnsi="Book Antiqua"/>
        </w:rPr>
        <w:t xml:space="preserve">, Ivanova P, Kratovska A, Ponomarjova S, Ptašņuka M, Demičevs J, Demičeva R, Boka V, Pupelis G. Endoscopic hemostasis followed by preventive transarterial embolization in high-risk patients with bleeding peptic ulcer: 5-year </w:t>
      </w:r>
      <w:r w:rsidRPr="000A13D1">
        <w:rPr>
          <w:rFonts w:ascii="Book Antiqua" w:hAnsi="Book Antiqua"/>
        </w:rPr>
        <w:lastRenderedPageBreak/>
        <w:t xml:space="preserve">experience. </w:t>
      </w:r>
      <w:r w:rsidRPr="000A13D1">
        <w:rPr>
          <w:rFonts w:ascii="Book Antiqua" w:hAnsi="Book Antiqua"/>
          <w:i/>
          <w:iCs/>
        </w:rPr>
        <w:t>World J Emerg Surg</w:t>
      </w:r>
      <w:r w:rsidRPr="000A13D1">
        <w:rPr>
          <w:rFonts w:ascii="Book Antiqua" w:hAnsi="Book Antiqua"/>
        </w:rPr>
        <w:t xml:space="preserve"> 2019; </w:t>
      </w:r>
      <w:r w:rsidRPr="000A13D1">
        <w:rPr>
          <w:rFonts w:ascii="Book Antiqua" w:hAnsi="Book Antiqua"/>
          <w:b/>
          <w:bCs/>
        </w:rPr>
        <w:t>14</w:t>
      </w:r>
      <w:r w:rsidRPr="000A13D1">
        <w:rPr>
          <w:rFonts w:ascii="Book Antiqua" w:hAnsi="Book Antiqua"/>
        </w:rPr>
        <w:t>: 45 [PMID: 31516544 DOI: 10.1186/s13017-019-0264-z]</w:t>
      </w:r>
    </w:p>
    <w:p w14:paraId="7647B83A"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12 </w:t>
      </w:r>
      <w:r w:rsidRPr="000A13D1">
        <w:rPr>
          <w:rFonts w:ascii="Book Antiqua" w:hAnsi="Book Antiqua"/>
          <w:b/>
          <w:bCs/>
        </w:rPr>
        <w:t>Kaminskis A</w:t>
      </w:r>
      <w:r w:rsidRPr="000A13D1">
        <w:rPr>
          <w:rFonts w:ascii="Book Antiqua" w:hAnsi="Book Antiqua"/>
        </w:rPr>
        <w:t xml:space="preserve">, Kratovska A, Ponomarjova S, Tolstova A, Mukans M, Stabiņa S, Gailums R, Bernšteins A, Ivanova P, Boka V, Pupelis G. Preventive transarterial embolization in upper nonvariceal gastrointestinal bleeding. </w:t>
      </w:r>
      <w:r w:rsidRPr="000A13D1">
        <w:rPr>
          <w:rFonts w:ascii="Book Antiqua" w:hAnsi="Book Antiqua"/>
          <w:i/>
          <w:iCs/>
        </w:rPr>
        <w:t>World J Emerg Surg</w:t>
      </w:r>
      <w:r w:rsidRPr="000A13D1">
        <w:rPr>
          <w:rFonts w:ascii="Book Antiqua" w:hAnsi="Book Antiqua"/>
        </w:rPr>
        <w:t xml:space="preserve"> 2017; </w:t>
      </w:r>
      <w:r w:rsidRPr="000A13D1">
        <w:rPr>
          <w:rFonts w:ascii="Book Antiqua" w:hAnsi="Book Antiqua"/>
          <w:b/>
          <w:bCs/>
        </w:rPr>
        <w:t>12</w:t>
      </w:r>
      <w:r w:rsidRPr="000A13D1">
        <w:rPr>
          <w:rFonts w:ascii="Book Antiqua" w:hAnsi="Book Antiqua"/>
        </w:rPr>
        <w:t>: 3 [PMID: 28101125 DOI: 10.1186/s13017-016-0114-1]</w:t>
      </w:r>
    </w:p>
    <w:p w14:paraId="3873751E"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13 </w:t>
      </w:r>
      <w:r w:rsidRPr="000A13D1">
        <w:rPr>
          <w:rFonts w:ascii="Book Antiqua" w:hAnsi="Book Antiqua"/>
          <w:b/>
          <w:bCs/>
        </w:rPr>
        <w:t>Tong H</w:t>
      </w:r>
      <w:r w:rsidRPr="000A13D1">
        <w:rPr>
          <w:rFonts w:ascii="Book Antiqua" w:hAnsi="Book Antiqua"/>
        </w:rPr>
        <w:t xml:space="preserve">, Lan T, Tang CW. Prophylactic angiographic embolisation after endoscopic treatment of bleeding for high-risk peptic ulcers: what are the more appropriate indications? </w:t>
      </w:r>
      <w:r w:rsidRPr="000A13D1">
        <w:rPr>
          <w:rFonts w:ascii="Book Antiqua" w:hAnsi="Book Antiqua"/>
          <w:i/>
          <w:iCs/>
        </w:rPr>
        <w:t>Gut</w:t>
      </w:r>
      <w:r w:rsidRPr="000A13D1">
        <w:rPr>
          <w:rFonts w:ascii="Book Antiqua" w:hAnsi="Book Antiqua"/>
        </w:rPr>
        <w:t xml:space="preserve"> 2020; </w:t>
      </w:r>
      <w:r w:rsidRPr="000A13D1">
        <w:rPr>
          <w:rFonts w:ascii="Book Antiqua" w:hAnsi="Book Antiqua"/>
          <w:b/>
          <w:bCs/>
        </w:rPr>
        <w:t>69</w:t>
      </w:r>
      <w:r w:rsidRPr="000A13D1">
        <w:rPr>
          <w:rFonts w:ascii="Book Antiqua" w:hAnsi="Book Antiqua"/>
        </w:rPr>
        <w:t>: 1897-1898 [PMID: 31776229 DOI: 10.1136/gutjnl-2019-319818]</w:t>
      </w:r>
    </w:p>
    <w:p w14:paraId="4060D70A"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14 </w:t>
      </w:r>
      <w:r w:rsidRPr="000A13D1">
        <w:rPr>
          <w:rFonts w:ascii="Book Antiqua" w:hAnsi="Book Antiqua"/>
          <w:b/>
          <w:bCs/>
        </w:rPr>
        <w:t>Page MJ</w:t>
      </w:r>
      <w:r w:rsidRPr="000A13D1">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0A13D1">
        <w:rPr>
          <w:rFonts w:ascii="Book Antiqua" w:hAnsi="Book Antiqua"/>
          <w:i/>
          <w:iCs/>
        </w:rPr>
        <w:t>BMJ</w:t>
      </w:r>
      <w:r w:rsidRPr="000A13D1">
        <w:rPr>
          <w:rFonts w:ascii="Book Antiqua" w:hAnsi="Book Antiqua"/>
        </w:rPr>
        <w:t xml:space="preserve"> 2021; </w:t>
      </w:r>
      <w:r w:rsidRPr="000A13D1">
        <w:rPr>
          <w:rFonts w:ascii="Book Antiqua" w:hAnsi="Book Antiqua"/>
          <w:b/>
          <w:bCs/>
        </w:rPr>
        <w:t>372</w:t>
      </w:r>
      <w:r w:rsidRPr="000A13D1">
        <w:rPr>
          <w:rFonts w:ascii="Book Antiqua" w:hAnsi="Book Antiqua"/>
        </w:rPr>
        <w:t>: n71 [PMID: 33782057 DOI: 10.1136/bmj.n71]</w:t>
      </w:r>
    </w:p>
    <w:p w14:paraId="5E267DFC"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15 </w:t>
      </w:r>
      <w:r w:rsidRPr="000A13D1">
        <w:rPr>
          <w:rFonts w:ascii="Book Antiqua" w:hAnsi="Book Antiqua"/>
          <w:b/>
          <w:bCs/>
        </w:rPr>
        <w:t>Stroup DF</w:t>
      </w:r>
      <w:r w:rsidRPr="000A13D1">
        <w:rPr>
          <w:rFonts w:ascii="Book Antiqua" w:hAnsi="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0A13D1">
        <w:rPr>
          <w:rFonts w:ascii="Book Antiqua" w:hAnsi="Book Antiqua"/>
          <w:i/>
          <w:iCs/>
        </w:rPr>
        <w:t>JAMA</w:t>
      </w:r>
      <w:r w:rsidRPr="000A13D1">
        <w:rPr>
          <w:rFonts w:ascii="Book Antiqua" w:hAnsi="Book Antiqua"/>
        </w:rPr>
        <w:t xml:space="preserve"> 2000; </w:t>
      </w:r>
      <w:r w:rsidRPr="000A13D1">
        <w:rPr>
          <w:rFonts w:ascii="Book Antiqua" w:hAnsi="Book Antiqua"/>
          <w:b/>
          <w:bCs/>
        </w:rPr>
        <w:t>283</w:t>
      </w:r>
      <w:r w:rsidRPr="000A13D1">
        <w:rPr>
          <w:rFonts w:ascii="Book Antiqua" w:hAnsi="Book Antiqua"/>
        </w:rPr>
        <w:t>: 2008-2012 [PMID: 10789670 DOI: 10.1001/jama.283.15.2008]</w:t>
      </w:r>
    </w:p>
    <w:p w14:paraId="05BC2735"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16 </w:t>
      </w:r>
      <w:r w:rsidRPr="000A13D1">
        <w:rPr>
          <w:rFonts w:ascii="Book Antiqua" w:hAnsi="Book Antiqua"/>
          <w:b/>
          <w:bCs/>
        </w:rPr>
        <w:t>McHugh ML</w:t>
      </w:r>
      <w:r w:rsidRPr="000A13D1">
        <w:rPr>
          <w:rFonts w:ascii="Book Antiqua" w:hAnsi="Book Antiqua"/>
        </w:rPr>
        <w:t xml:space="preserve">. Interrater reliability: the kappa statistic. </w:t>
      </w:r>
      <w:r w:rsidRPr="000A13D1">
        <w:rPr>
          <w:rFonts w:ascii="Book Antiqua" w:hAnsi="Book Antiqua"/>
          <w:i/>
          <w:iCs/>
        </w:rPr>
        <w:t>Biochem Med (Zagreb)</w:t>
      </w:r>
      <w:r w:rsidRPr="000A13D1">
        <w:rPr>
          <w:rFonts w:ascii="Book Antiqua" w:hAnsi="Book Antiqua"/>
        </w:rPr>
        <w:t xml:space="preserve"> 2012; </w:t>
      </w:r>
      <w:r w:rsidRPr="000A13D1">
        <w:rPr>
          <w:rFonts w:ascii="Book Antiqua" w:hAnsi="Book Antiqua"/>
          <w:b/>
          <w:bCs/>
        </w:rPr>
        <w:t>22</w:t>
      </w:r>
      <w:r w:rsidRPr="000A13D1">
        <w:rPr>
          <w:rFonts w:ascii="Book Antiqua" w:hAnsi="Book Antiqua"/>
        </w:rPr>
        <w:t>: 276-282 [PMID: 23092060]</w:t>
      </w:r>
    </w:p>
    <w:p w14:paraId="1E38DCFF"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17 </w:t>
      </w:r>
      <w:r w:rsidRPr="000A13D1">
        <w:rPr>
          <w:rFonts w:ascii="Book Antiqua" w:hAnsi="Book Antiqua"/>
          <w:b/>
          <w:bCs/>
        </w:rPr>
        <w:t>DerSimonian R</w:t>
      </w:r>
      <w:r w:rsidRPr="000A13D1">
        <w:rPr>
          <w:rFonts w:ascii="Book Antiqua" w:hAnsi="Book Antiqua"/>
        </w:rPr>
        <w:t xml:space="preserve">, Laird N. Meta-analysis in clinical trials. </w:t>
      </w:r>
      <w:r w:rsidRPr="000A13D1">
        <w:rPr>
          <w:rFonts w:ascii="Book Antiqua" w:hAnsi="Book Antiqua"/>
          <w:i/>
          <w:iCs/>
        </w:rPr>
        <w:t>Control Clin Trials</w:t>
      </w:r>
      <w:r w:rsidRPr="000A13D1">
        <w:rPr>
          <w:rFonts w:ascii="Book Antiqua" w:hAnsi="Book Antiqua"/>
        </w:rPr>
        <w:t xml:space="preserve"> 1986; </w:t>
      </w:r>
      <w:r w:rsidRPr="000A13D1">
        <w:rPr>
          <w:rFonts w:ascii="Book Antiqua" w:hAnsi="Book Antiqua"/>
          <w:b/>
          <w:bCs/>
        </w:rPr>
        <w:t>7</w:t>
      </w:r>
      <w:r w:rsidRPr="000A13D1">
        <w:rPr>
          <w:rFonts w:ascii="Book Antiqua" w:hAnsi="Book Antiqua"/>
        </w:rPr>
        <w:t>: 177-188 [PMID: 3802833 DOI: 10.1016/0197-2456(86)90046-2]</w:t>
      </w:r>
    </w:p>
    <w:p w14:paraId="0682D3B8"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18 </w:t>
      </w:r>
      <w:r w:rsidRPr="000A13D1">
        <w:rPr>
          <w:rFonts w:ascii="Book Antiqua" w:hAnsi="Book Antiqua"/>
          <w:b/>
          <w:bCs/>
        </w:rPr>
        <w:t>Higgins JPT,</w:t>
      </w:r>
      <w:r w:rsidRPr="000A13D1">
        <w:rPr>
          <w:rFonts w:ascii="Book Antiqua" w:hAnsi="Book Antiqua"/>
        </w:rPr>
        <w:t xml:space="preserve"> Thomas J, Chandler J, Cumpston M, Li T, Page MJ, Welch VA (editors). Cochrane Handbook for Systematic Reviews of Interventions version 6.2 (updated February 2021). Cochrane, 2021. Available from</w:t>
      </w:r>
      <w:r>
        <w:rPr>
          <w:rFonts w:ascii="Book Antiqua" w:hAnsi="Book Antiqua" w:hint="eastAsia"/>
          <w:lang w:eastAsia="zh-CN"/>
        </w:rPr>
        <w:t>:</w:t>
      </w:r>
      <w:r w:rsidRPr="000A13D1">
        <w:rPr>
          <w:rFonts w:ascii="Book Antiqua" w:hAnsi="Book Antiqua"/>
        </w:rPr>
        <w:t xml:space="preserve"> https://training.cochrane.org/handbook</w:t>
      </w:r>
    </w:p>
    <w:p w14:paraId="6400EC58" w14:textId="77777777" w:rsidR="00183E22" w:rsidRPr="000A13D1" w:rsidRDefault="00183E22" w:rsidP="00586943">
      <w:pPr>
        <w:spacing w:line="360" w:lineRule="auto"/>
        <w:jc w:val="both"/>
        <w:rPr>
          <w:rFonts w:ascii="Book Antiqua" w:hAnsi="Book Antiqua"/>
        </w:rPr>
      </w:pPr>
      <w:r w:rsidRPr="000A13D1">
        <w:rPr>
          <w:rFonts w:ascii="Book Antiqua" w:hAnsi="Book Antiqua"/>
        </w:rPr>
        <w:lastRenderedPageBreak/>
        <w:t xml:space="preserve">19 </w:t>
      </w:r>
      <w:r w:rsidRPr="000A13D1">
        <w:rPr>
          <w:rFonts w:ascii="Book Antiqua" w:hAnsi="Book Antiqua"/>
          <w:b/>
          <w:bCs/>
        </w:rPr>
        <w:t>Sterne JA</w:t>
      </w:r>
      <w:r w:rsidRPr="000A13D1">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0A13D1">
        <w:rPr>
          <w:rFonts w:ascii="Book Antiqua" w:hAnsi="Book Antiqua"/>
          <w:i/>
          <w:iCs/>
        </w:rPr>
        <w:t>BMJ</w:t>
      </w:r>
      <w:r w:rsidRPr="000A13D1">
        <w:rPr>
          <w:rFonts w:ascii="Book Antiqua" w:hAnsi="Book Antiqua"/>
        </w:rPr>
        <w:t xml:space="preserve"> 2016; </w:t>
      </w:r>
      <w:r w:rsidRPr="000A13D1">
        <w:rPr>
          <w:rFonts w:ascii="Book Antiqua" w:hAnsi="Book Antiqua"/>
          <w:b/>
          <w:bCs/>
        </w:rPr>
        <w:t>355</w:t>
      </w:r>
      <w:r w:rsidRPr="000A13D1">
        <w:rPr>
          <w:rFonts w:ascii="Book Antiqua" w:hAnsi="Book Antiqua"/>
        </w:rPr>
        <w:t>: i4919 [PMID: 27733354 DOI: 10.1136/bmj.i4919]</w:t>
      </w:r>
    </w:p>
    <w:p w14:paraId="1277D625"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20 </w:t>
      </w:r>
      <w:r w:rsidRPr="000A13D1">
        <w:rPr>
          <w:rFonts w:ascii="Book Antiqua" w:hAnsi="Book Antiqua"/>
          <w:b/>
          <w:bCs/>
        </w:rPr>
        <w:t>Sterne JAC</w:t>
      </w:r>
      <w:r w:rsidRPr="000A13D1">
        <w:rPr>
          <w:rFonts w:ascii="Book Antiqua" w:hAnsi="Book Antiqua"/>
        </w:rPr>
        <w:t xml:space="preserve">,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0A13D1">
        <w:rPr>
          <w:rFonts w:ascii="Book Antiqua" w:hAnsi="Book Antiqua"/>
          <w:i/>
          <w:iCs/>
        </w:rPr>
        <w:t>BMJ</w:t>
      </w:r>
      <w:r w:rsidRPr="000A13D1">
        <w:rPr>
          <w:rFonts w:ascii="Book Antiqua" w:hAnsi="Book Antiqua"/>
        </w:rPr>
        <w:t xml:space="preserve"> 2019; </w:t>
      </w:r>
      <w:r w:rsidRPr="000A13D1">
        <w:rPr>
          <w:rFonts w:ascii="Book Antiqua" w:hAnsi="Book Antiqua"/>
          <w:b/>
          <w:bCs/>
        </w:rPr>
        <w:t>366</w:t>
      </w:r>
      <w:r w:rsidRPr="000A13D1">
        <w:rPr>
          <w:rFonts w:ascii="Book Antiqua" w:hAnsi="Book Antiqua"/>
        </w:rPr>
        <w:t>: l4898 [PMID: 31462531 DOI: 10.1136/bmj.l4898]</w:t>
      </w:r>
    </w:p>
    <w:p w14:paraId="1A5F0BAE"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21 </w:t>
      </w:r>
      <w:r w:rsidRPr="000A13D1">
        <w:rPr>
          <w:rFonts w:ascii="Book Antiqua" w:hAnsi="Book Antiqua"/>
          <w:b/>
          <w:bCs/>
        </w:rPr>
        <w:t>McGuinness LA</w:t>
      </w:r>
      <w:r w:rsidRPr="000A13D1">
        <w:rPr>
          <w:rFonts w:ascii="Book Antiqua" w:hAnsi="Book Antiqua"/>
        </w:rPr>
        <w:t xml:space="preserve">, Higgins JPT. Risk-of-bias VISualization (robvis): An R package and Shiny web app for visualizing risk-of-bias assessments. </w:t>
      </w:r>
      <w:r w:rsidRPr="000A13D1">
        <w:rPr>
          <w:rFonts w:ascii="Book Antiqua" w:hAnsi="Book Antiqua"/>
          <w:i/>
          <w:iCs/>
        </w:rPr>
        <w:t>Res Synth Methods</w:t>
      </w:r>
      <w:r w:rsidRPr="000A13D1">
        <w:rPr>
          <w:rFonts w:ascii="Book Antiqua" w:hAnsi="Book Antiqua"/>
        </w:rPr>
        <w:t xml:space="preserve"> 2021; </w:t>
      </w:r>
      <w:r w:rsidRPr="000A13D1">
        <w:rPr>
          <w:rFonts w:ascii="Book Antiqua" w:hAnsi="Book Antiqua"/>
          <w:b/>
          <w:bCs/>
        </w:rPr>
        <w:t>12</w:t>
      </w:r>
      <w:r w:rsidRPr="000A13D1">
        <w:rPr>
          <w:rFonts w:ascii="Book Antiqua" w:hAnsi="Book Antiqua"/>
        </w:rPr>
        <w:t>: 55-61 [PMID: 32336025 DOI: 10.1002/jrsm.1411]</w:t>
      </w:r>
    </w:p>
    <w:p w14:paraId="4B4FDB91"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22 </w:t>
      </w:r>
      <w:r w:rsidRPr="000A13D1">
        <w:rPr>
          <w:rFonts w:ascii="Book Antiqua" w:hAnsi="Book Antiqua"/>
          <w:b/>
          <w:bCs/>
        </w:rPr>
        <w:t>Iorio A</w:t>
      </w:r>
      <w:r w:rsidRPr="000A13D1">
        <w:rPr>
          <w:rFonts w:ascii="Book Antiqua" w:hAnsi="Book Antiqua"/>
        </w:rPr>
        <w:t xml:space="preserve">, Spencer FA, Falavigna M, Alba C, Lang E, Burnand B, McGinn T, Hayden J, Williams K, Shea B, Wolff R, Kujpers T, Perel P, Vandvik PO, Glasziou P, Schunemann H, Guyatt G. Use of GRADE for assessment of evidence about prognosis: rating confidence in estimates of event rates in broad categories of patients. </w:t>
      </w:r>
      <w:r w:rsidRPr="000A13D1">
        <w:rPr>
          <w:rFonts w:ascii="Book Antiqua" w:hAnsi="Book Antiqua"/>
          <w:i/>
          <w:iCs/>
        </w:rPr>
        <w:t>BMJ</w:t>
      </w:r>
      <w:r w:rsidRPr="000A13D1">
        <w:rPr>
          <w:rFonts w:ascii="Book Antiqua" w:hAnsi="Book Antiqua"/>
        </w:rPr>
        <w:t xml:space="preserve"> 2015; </w:t>
      </w:r>
      <w:r w:rsidRPr="000A13D1">
        <w:rPr>
          <w:rFonts w:ascii="Book Antiqua" w:hAnsi="Book Antiqua"/>
          <w:b/>
          <w:bCs/>
        </w:rPr>
        <w:t>350</w:t>
      </w:r>
      <w:r w:rsidRPr="000A13D1">
        <w:rPr>
          <w:rFonts w:ascii="Book Antiqua" w:hAnsi="Book Antiqua"/>
        </w:rPr>
        <w:t>: h870 [PMID: 25775931 DOI: 10.1136/bmj.h870]</w:t>
      </w:r>
    </w:p>
    <w:p w14:paraId="51A71CD8"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23 </w:t>
      </w:r>
      <w:r w:rsidRPr="000A13D1">
        <w:rPr>
          <w:rFonts w:ascii="Book Antiqua" w:hAnsi="Book Antiqua"/>
          <w:b/>
          <w:bCs/>
        </w:rPr>
        <w:t>Ying Y,</w:t>
      </w:r>
      <w:r w:rsidRPr="000A13D1">
        <w:rPr>
          <w:rFonts w:ascii="Book Antiqua" w:hAnsi="Book Antiqua"/>
        </w:rPr>
        <w:t xml:space="preserve"> Luo JF, He X, Zeng FL, Xie YL. Clinical effects of preventive interventional therapy in gastrointestinal bleeding patients with negative digital subtraction angiography findings. </w:t>
      </w:r>
      <w:r w:rsidRPr="000A13D1">
        <w:rPr>
          <w:rFonts w:ascii="Book Antiqua" w:hAnsi="Book Antiqua"/>
          <w:i/>
        </w:rPr>
        <w:t>Shijie Huaren Xiaohua Zazhi</w:t>
      </w:r>
      <w:r w:rsidRPr="000A13D1">
        <w:rPr>
          <w:rFonts w:ascii="Book Antiqua" w:hAnsi="Book Antiqua"/>
        </w:rPr>
        <w:t xml:space="preserve"> 2014; </w:t>
      </w:r>
      <w:r w:rsidRPr="000A13D1">
        <w:rPr>
          <w:rFonts w:ascii="Book Antiqua" w:hAnsi="Book Antiqua"/>
          <w:b/>
        </w:rPr>
        <w:t>22</w:t>
      </w:r>
      <w:r w:rsidRPr="000A13D1">
        <w:rPr>
          <w:rFonts w:ascii="Book Antiqua" w:hAnsi="Book Antiqua"/>
        </w:rPr>
        <w:t>: 5556</w:t>
      </w:r>
      <w:r>
        <w:rPr>
          <w:rFonts w:ascii="宋体" w:eastAsia="宋体" w:hAnsi="宋体" w:cs="宋体" w:hint="eastAsia"/>
          <w:lang w:eastAsia="zh-CN"/>
        </w:rPr>
        <w:t>-</w:t>
      </w:r>
      <w:r w:rsidRPr="000A13D1">
        <w:rPr>
          <w:rFonts w:ascii="Book Antiqua" w:hAnsi="Book Antiqua"/>
        </w:rPr>
        <w:t>5560 [DOI: 10.11569/wcjd.v22.i35.5556]</w:t>
      </w:r>
    </w:p>
    <w:p w14:paraId="130A7C23"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24 </w:t>
      </w:r>
      <w:r w:rsidRPr="000A13D1">
        <w:rPr>
          <w:rFonts w:ascii="Book Antiqua" w:hAnsi="Book Antiqua"/>
          <w:b/>
          <w:bCs/>
        </w:rPr>
        <w:t>Yonemoto Y,</w:t>
      </w:r>
      <w:r w:rsidRPr="000A13D1">
        <w:rPr>
          <w:rFonts w:ascii="Book Antiqua" w:hAnsi="Book Antiqua"/>
        </w:rPr>
        <w:t xml:space="preserve"> Fukami Y, Hara H, Mochida T, Machida T, Sugiyama Y, Watanabe A, Kaneshiro M, Ikemiyagi H, Yoshino K, Sakita S. The statistical comparison of endoscopic procedure and transarterial embolization for hemorrhage caused by </w:t>
      </w:r>
      <w:r w:rsidRPr="000A13D1">
        <w:rPr>
          <w:rFonts w:ascii="Book Antiqua" w:hAnsi="Book Antiqua"/>
        </w:rPr>
        <w:lastRenderedPageBreak/>
        <w:t xml:space="preserve">duodenal ulcer. </w:t>
      </w:r>
      <w:bookmarkStart w:id="2" w:name="OLE_LINK494"/>
      <w:bookmarkStart w:id="3" w:name="OLE_LINK495"/>
      <w:r w:rsidRPr="000A13D1">
        <w:rPr>
          <w:rFonts w:ascii="Book Antiqua" w:hAnsi="Book Antiqua"/>
          <w:i/>
        </w:rPr>
        <w:t xml:space="preserve">United European Gastroenterol J </w:t>
      </w:r>
      <w:bookmarkEnd w:id="2"/>
      <w:bookmarkEnd w:id="3"/>
      <w:r w:rsidRPr="000A13D1">
        <w:rPr>
          <w:rFonts w:ascii="Book Antiqua" w:hAnsi="Book Antiqua"/>
        </w:rPr>
        <w:t xml:space="preserve">2018; </w:t>
      </w:r>
      <w:r w:rsidRPr="000A13D1">
        <w:rPr>
          <w:rFonts w:ascii="Book Antiqua" w:hAnsi="Book Antiqua"/>
          <w:b/>
        </w:rPr>
        <w:t>6</w:t>
      </w:r>
      <w:r w:rsidRPr="000A13D1">
        <w:rPr>
          <w:rFonts w:ascii="Book Antiqua" w:hAnsi="Book Antiqua"/>
        </w:rPr>
        <w:t>: A496-A497 [DOI: 10.1177/2050640618792819]</w:t>
      </w:r>
    </w:p>
    <w:p w14:paraId="14491340" w14:textId="77777777" w:rsidR="00183E22" w:rsidRPr="000A13D1" w:rsidRDefault="00183E22" w:rsidP="00586943">
      <w:pPr>
        <w:spacing w:line="360" w:lineRule="auto"/>
        <w:jc w:val="both"/>
        <w:rPr>
          <w:rFonts w:ascii="Book Antiqua" w:hAnsi="Book Antiqua"/>
        </w:rPr>
      </w:pPr>
      <w:bookmarkStart w:id="4" w:name="OLE_LINK500"/>
      <w:bookmarkStart w:id="5" w:name="OLE_LINK501"/>
      <w:r w:rsidRPr="000A13D1">
        <w:rPr>
          <w:rFonts w:ascii="Book Antiqua" w:hAnsi="Book Antiqua"/>
        </w:rPr>
        <w:t xml:space="preserve">25 </w:t>
      </w:r>
      <w:r w:rsidRPr="000A13D1">
        <w:rPr>
          <w:rFonts w:ascii="Book Antiqua" w:hAnsi="Book Antiqua"/>
          <w:b/>
          <w:bCs/>
        </w:rPr>
        <w:t>Laursen SB</w:t>
      </w:r>
      <w:r w:rsidRPr="000A13D1">
        <w:rPr>
          <w:rFonts w:ascii="Book Antiqua" w:hAnsi="Book Antiqua"/>
        </w:rPr>
        <w:t xml:space="preserve">, Hansen JM, Andersen PE, Schaffalitzky de Muckadell OB. Supplementary arteriel embolization an option in high-risk ulcer bleeding--a randomized study. </w:t>
      </w:r>
      <w:r w:rsidRPr="000A13D1">
        <w:rPr>
          <w:rFonts w:ascii="Book Antiqua" w:hAnsi="Book Antiqua"/>
          <w:i/>
          <w:iCs/>
        </w:rPr>
        <w:t>Scand J Gastroenterol</w:t>
      </w:r>
      <w:r w:rsidRPr="000A13D1">
        <w:rPr>
          <w:rFonts w:ascii="Book Antiqua" w:hAnsi="Book Antiqua"/>
        </w:rPr>
        <w:t xml:space="preserve"> 2014; </w:t>
      </w:r>
      <w:r w:rsidRPr="000A13D1">
        <w:rPr>
          <w:rFonts w:ascii="Book Antiqua" w:hAnsi="Book Antiqua"/>
          <w:b/>
          <w:bCs/>
        </w:rPr>
        <w:t>49</w:t>
      </w:r>
      <w:r w:rsidRPr="000A13D1">
        <w:rPr>
          <w:rFonts w:ascii="Book Antiqua" w:hAnsi="Book Antiqua"/>
        </w:rPr>
        <w:t>: 75-83 [PMID: 24256098 DOI: 10.3109/00365521.2013.854829]</w:t>
      </w:r>
    </w:p>
    <w:bookmarkEnd w:id="4"/>
    <w:bookmarkEnd w:id="5"/>
    <w:p w14:paraId="52742B22"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26 </w:t>
      </w:r>
      <w:r w:rsidRPr="000A13D1">
        <w:rPr>
          <w:rFonts w:ascii="Book Antiqua" w:hAnsi="Book Antiqua"/>
          <w:b/>
          <w:bCs/>
        </w:rPr>
        <w:t>Ying Y,</w:t>
      </w:r>
      <w:r w:rsidRPr="000A13D1">
        <w:rPr>
          <w:rFonts w:ascii="Book Antiqua" w:hAnsi="Book Antiqua"/>
        </w:rPr>
        <w:t xml:space="preserve"> Luo JF, Zhang WH, Wang XN, He X. Effects of vasopressin infusion aided prophylactic gastroduodenal artery embolization in DSA-negative gastrointestinal bleeding patients.</w:t>
      </w:r>
      <w:r w:rsidRPr="000A13D1">
        <w:rPr>
          <w:rFonts w:ascii="Book Antiqua" w:hAnsi="Book Antiqua"/>
          <w:i/>
        </w:rPr>
        <w:t xml:space="preserve"> Shijie Huaren Xiaohua Zazhi </w:t>
      </w:r>
      <w:r w:rsidRPr="000A13D1">
        <w:rPr>
          <w:rFonts w:ascii="Book Antiqua" w:hAnsi="Book Antiqua"/>
        </w:rPr>
        <w:t xml:space="preserve">2013; </w:t>
      </w:r>
      <w:r w:rsidRPr="000A13D1">
        <w:rPr>
          <w:rFonts w:ascii="Book Antiqua" w:hAnsi="Book Antiqua"/>
          <w:b/>
        </w:rPr>
        <w:t>21</w:t>
      </w:r>
      <w:r w:rsidRPr="000A13D1">
        <w:rPr>
          <w:rFonts w:ascii="Book Antiqua" w:hAnsi="Book Antiqua"/>
        </w:rPr>
        <w:t>: 4180</w:t>
      </w:r>
      <w:r w:rsidRPr="000A13D1">
        <w:rPr>
          <w:rFonts w:ascii="宋体" w:eastAsia="宋体" w:hAnsi="宋体" w:cs="宋体" w:hint="eastAsia"/>
        </w:rPr>
        <w:t>‐</w:t>
      </w:r>
      <w:r w:rsidRPr="000A13D1">
        <w:rPr>
          <w:rFonts w:ascii="Book Antiqua" w:hAnsi="Book Antiqua"/>
        </w:rPr>
        <w:t>4184 [DOI: 10.11569/wcjd.v21.i36.4180]</w:t>
      </w:r>
    </w:p>
    <w:p w14:paraId="4DA7899F"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27 </w:t>
      </w:r>
      <w:r w:rsidRPr="000A13D1">
        <w:rPr>
          <w:rFonts w:ascii="Book Antiqua" w:hAnsi="Book Antiqua"/>
          <w:b/>
          <w:bCs/>
        </w:rPr>
        <w:t>Arrayeh E</w:t>
      </w:r>
      <w:r w:rsidRPr="000A13D1">
        <w:rPr>
          <w:rFonts w:ascii="Book Antiqua" w:hAnsi="Book Antiqua"/>
        </w:rPr>
        <w:t xml:space="preserve">, Fidelman N, Gordon RL, LaBerge JM, Kerlan RK Jr, Klimov A, Bloom AI. Transcatheter arterial embolization for upper gastrointestinal nonvariceal hemorrhage: is empiric embolization warranted? </w:t>
      </w:r>
      <w:r w:rsidRPr="000A13D1">
        <w:rPr>
          <w:rFonts w:ascii="Book Antiqua" w:hAnsi="Book Antiqua"/>
          <w:i/>
          <w:iCs/>
        </w:rPr>
        <w:t>Cardiovasc Intervent Radiol</w:t>
      </w:r>
      <w:r w:rsidRPr="000A13D1">
        <w:rPr>
          <w:rFonts w:ascii="Book Antiqua" w:hAnsi="Book Antiqua"/>
        </w:rPr>
        <w:t xml:space="preserve"> 2012; </w:t>
      </w:r>
      <w:r w:rsidRPr="000A13D1">
        <w:rPr>
          <w:rFonts w:ascii="Book Antiqua" w:hAnsi="Book Antiqua"/>
          <w:b/>
          <w:bCs/>
        </w:rPr>
        <w:t>35</w:t>
      </w:r>
      <w:r w:rsidRPr="000A13D1">
        <w:rPr>
          <w:rFonts w:ascii="Book Antiqua" w:hAnsi="Book Antiqua"/>
        </w:rPr>
        <w:t>: 1346-1354 [PMID: 22302348 DOI: 10.1007/s00270-012-0351-y]</w:t>
      </w:r>
    </w:p>
    <w:p w14:paraId="2F578389"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28 </w:t>
      </w:r>
      <w:r w:rsidRPr="000A13D1">
        <w:rPr>
          <w:rFonts w:ascii="Book Antiqua" w:hAnsi="Book Antiqua"/>
          <w:b/>
          <w:bCs/>
        </w:rPr>
        <w:t>Dixon S</w:t>
      </w:r>
      <w:r w:rsidRPr="000A13D1">
        <w:rPr>
          <w:rFonts w:ascii="Book Antiqua" w:hAnsi="Book Antiqua"/>
        </w:rPr>
        <w:t xml:space="preserve">, Chan V, Shrivastava V, Anthony S, Uberoi R, Bratby M. Is there a role for empiric gastroduodenal artery embolization in the management of patients with active upper GI hemorrhage? </w:t>
      </w:r>
      <w:r w:rsidRPr="000A13D1">
        <w:rPr>
          <w:rFonts w:ascii="Book Antiqua" w:hAnsi="Book Antiqua"/>
          <w:i/>
          <w:iCs/>
        </w:rPr>
        <w:t>Cardiovasc Intervent Radiol</w:t>
      </w:r>
      <w:r w:rsidRPr="000A13D1">
        <w:rPr>
          <w:rFonts w:ascii="Book Antiqua" w:hAnsi="Book Antiqua"/>
        </w:rPr>
        <w:t xml:space="preserve"> 2013; </w:t>
      </w:r>
      <w:r w:rsidRPr="000A13D1">
        <w:rPr>
          <w:rFonts w:ascii="Book Antiqua" w:hAnsi="Book Antiqua"/>
          <w:b/>
          <w:bCs/>
        </w:rPr>
        <w:t>36</w:t>
      </w:r>
      <w:r w:rsidRPr="000A13D1">
        <w:rPr>
          <w:rFonts w:ascii="Book Antiqua" w:hAnsi="Book Antiqua"/>
        </w:rPr>
        <w:t>: 970-977 [PMID: 23152041 DOI: 10.1007/s00270-012-0511-0]</w:t>
      </w:r>
    </w:p>
    <w:p w14:paraId="4B5DF264"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29 </w:t>
      </w:r>
      <w:r w:rsidRPr="000A13D1">
        <w:rPr>
          <w:rFonts w:ascii="Book Antiqua" w:hAnsi="Book Antiqua"/>
          <w:b/>
          <w:bCs/>
        </w:rPr>
        <w:t>Lebedev NV</w:t>
      </w:r>
      <w:r w:rsidRPr="000A13D1">
        <w:rPr>
          <w:rFonts w:ascii="Book Antiqua" w:hAnsi="Book Antiqua"/>
        </w:rPr>
        <w:t xml:space="preserve">, Belozerov GE, Klimov AE, Sokolova PY, Spasskiy AA, Barkhudarov AA. [Transcatheter embolization in prevention of recurrent bleeding from stomach ulcers]. </w:t>
      </w:r>
      <w:r w:rsidRPr="000A13D1">
        <w:rPr>
          <w:rFonts w:ascii="Book Antiqua" w:hAnsi="Book Antiqua"/>
          <w:i/>
          <w:iCs/>
        </w:rPr>
        <w:t>Khirurgiia (Mosk)</w:t>
      </w:r>
      <w:r w:rsidRPr="000A13D1">
        <w:rPr>
          <w:rFonts w:ascii="Book Antiqua" w:hAnsi="Book Antiqua"/>
        </w:rPr>
        <w:t xml:space="preserve"> 2017: 31-35 [PMID: 28514380 DOI: 10.17116/hirurgia2017531-35]</w:t>
      </w:r>
    </w:p>
    <w:p w14:paraId="6E28B513"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30 </w:t>
      </w:r>
      <w:r w:rsidRPr="000A13D1">
        <w:rPr>
          <w:rFonts w:ascii="Book Antiqua" w:hAnsi="Book Antiqua"/>
          <w:b/>
          <w:bCs/>
        </w:rPr>
        <w:t>Mille M</w:t>
      </w:r>
      <w:r w:rsidRPr="000A13D1">
        <w:rPr>
          <w:rFonts w:ascii="Book Antiqua" w:hAnsi="Book Antiqua"/>
        </w:rPr>
        <w:t xml:space="preserve">, Huber J, Wlasak R, Engelhardt T, Hillner Y, Kriechling H, Aschenbach R, Ende K, Scharf JG, Puls R, Stier A. Prophylactic Transcatheter Arterial Embolization After Successful Endoscopic Hemostasis in the Management of Bleeding Duodenal Ulcer. </w:t>
      </w:r>
      <w:r w:rsidRPr="000A13D1">
        <w:rPr>
          <w:rFonts w:ascii="Book Antiqua" w:hAnsi="Book Antiqua"/>
          <w:i/>
          <w:iCs/>
        </w:rPr>
        <w:t>J Clin Gastroenterol</w:t>
      </w:r>
      <w:r w:rsidRPr="000A13D1">
        <w:rPr>
          <w:rFonts w:ascii="Book Antiqua" w:hAnsi="Book Antiqua"/>
        </w:rPr>
        <w:t xml:space="preserve"> 2015; </w:t>
      </w:r>
      <w:r w:rsidRPr="000A13D1">
        <w:rPr>
          <w:rFonts w:ascii="Book Antiqua" w:hAnsi="Book Antiqua"/>
          <w:b/>
          <w:bCs/>
        </w:rPr>
        <w:t>49</w:t>
      </w:r>
      <w:r w:rsidRPr="000A13D1">
        <w:rPr>
          <w:rFonts w:ascii="Book Antiqua" w:hAnsi="Book Antiqua"/>
        </w:rPr>
        <w:t>: 738-745 [PMID: 25319738 DOI: 10.1097/MCG.0000000000000259]</w:t>
      </w:r>
    </w:p>
    <w:p w14:paraId="2AB7966F"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31 </w:t>
      </w:r>
      <w:r w:rsidRPr="000A13D1">
        <w:rPr>
          <w:rFonts w:ascii="Book Antiqua" w:hAnsi="Book Antiqua"/>
          <w:b/>
          <w:bCs/>
        </w:rPr>
        <w:t>Sildiroglu O</w:t>
      </w:r>
      <w:r w:rsidRPr="000A13D1">
        <w:rPr>
          <w:rFonts w:ascii="Book Antiqua" w:hAnsi="Book Antiqua"/>
        </w:rPr>
        <w:t xml:space="preserve">, Muasher J, Arslan B, Sabri SS, Saad WE, Angle JF, Matsumoto AH, Turba UC. Outcomes of patients with acute upper gastrointestinal nonvariceal </w:t>
      </w:r>
      <w:r w:rsidRPr="000A13D1">
        <w:rPr>
          <w:rFonts w:ascii="Book Antiqua" w:hAnsi="Book Antiqua"/>
        </w:rPr>
        <w:lastRenderedPageBreak/>
        <w:t xml:space="preserve">hemorrhage referred to interventional radiology for potential embolotherapy. </w:t>
      </w:r>
      <w:r w:rsidRPr="000A13D1">
        <w:rPr>
          <w:rFonts w:ascii="Book Antiqua" w:hAnsi="Book Antiqua"/>
          <w:i/>
          <w:iCs/>
        </w:rPr>
        <w:t>J Clin Gastroenterol</w:t>
      </w:r>
      <w:r w:rsidRPr="000A13D1">
        <w:rPr>
          <w:rFonts w:ascii="Book Antiqua" w:hAnsi="Book Antiqua"/>
        </w:rPr>
        <w:t xml:space="preserve"> 2014; </w:t>
      </w:r>
      <w:r w:rsidRPr="000A13D1">
        <w:rPr>
          <w:rFonts w:ascii="Book Antiqua" w:hAnsi="Book Antiqua"/>
          <w:b/>
          <w:bCs/>
        </w:rPr>
        <w:t>48</w:t>
      </w:r>
      <w:r w:rsidRPr="000A13D1">
        <w:rPr>
          <w:rFonts w:ascii="Book Antiqua" w:hAnsi="Book Antiqua"/>
        </w:rPr>
        <w:t>: 687-692 [PMID: 25014238 DOI: 10.1097/MCG.0000000000000181]</w:t>
      </w:r>
    </w:p>
    <w:p w14:paraId="6012F5F7"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32 </w:t>
      </w:r>
      <w:r w:rsidRPr="000A13D1">
        <w:rPr>
          <w:rFonts w:ascii="Book Antiqua" w:hAnsi="Book Antiqua"/>
          <w:b/>
          <w:bCs/>
        </w:rPr>
        <w:t>Wu P,</w:t>
      </w:r>
      <w:r w:rsidRPr="000A13D1">
        <w:rPr>
          <w:rFonts w:ascii="Book Antiqua" w:hAnsi="Book Antiqua"/>
        </w:rPr>
        <w:t xml:space="preserve"> Szczesniak MM, Craig PI, Choo L. A novel predictor of rebleeding in high risk peptic ulcer disease selects patients who would benefit most from prophylactic arterial embolisation. </w:t>
      </w:r>
      <w:r w:rsidRPr="000A13D1">
        <w:rPr>
          <w:rFonts w:ascii="Book Antiqua" w:hAnsi="Book Antiqua"/>
          <w:i/>
        </w:rPr>
        <w:t>Gastroenterology</w:t>
      </w:r>
      <w:r>
        <w:rPr>
          <w:rFonts w:ascii="Book Antiqua" w:hAnsi="Book Antiqua"/>
        </w:rPr>
        <w:t xml:space="preserve"> 2014; </w:t>
      </w:r>
      <w:r w:rsidRPr="000A13D1">
        <w:rPr>
          <w:rFonts w:ascii="Book Antiqua" w:hAnsi="Book Antiqua"/>
          <w:b/>
        </w:rPr>
        <w:t>146</w:t>
      </w:r>
      <w:r w:rsidRPr="000A13D1">
        <w:rPr>
          <w:rFonts w:ascii="Book Antiqua" w:hAnsi="Book Antiqua"/>
        </w:rPr>
        <w:t>: S-183 [DOI: 10.1016/S0016-5085(14)60650-8]</w:t>
      </w:r>
    </w:p>
    <w:p w14:paraId="5272F62C"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33 </w:t>
      </w:r>
      <w:r w:rsidRPr="000A13D1">
        <w:rPr>
          <w:rFonts w:ascii="Book Antiqua" w:hAnsi="Book Antiqua"/>
          <w:b/>
          <w:bCs/>
        </w:rPr>
        <w:t>Chang JHE</w:t>
      </w:r>
      <w:r w:rsidRPr="000A13D1">
        <w:rPr>
          <w:rFonts w:ascii="Book Antiqua" w:hAnsi="Book Antiqua"/>
        </w:rPr>
        <w:t xml:space="preserve">, Lye TJY, Zhu HZ, Syn NL, Tang SS, Gogna A, Chan WH, Ong HS, Tan JTH, Lim CH. Systematic Review and Meta-Analysis of Prophylactic Transarterial Embolization for High-Risk Bleeding Peptic Ulcer Disease. </w:t>
      </w:r>
      <w:r w:rsidRPr="000A13D1">
        <w:rPr>
          <w:rFonts w:ascii="Book Antiqua" w:hAnsi="Book Antiqua"/>
          <w:i/>
          <w:iCs/>
        </w:rPr>
        <w:t>J Vasc Interv Radiol</w:t>
      </w:r>
      <w:r w:rsidRPr="000A13D1">
        <w:rPr>
          <w:rFonts w:ascii="Book Antiqua" w:hAnsi="Book Antiqua"/>
        </w:rPr>
        <w:t xml:space="preserve"> 2021; </w:t>
      </w:r>
      <w:r w:rsidRPr="000A13D1">
        <w:rPr>
          <w:rFonts w:ascii="Book Antiqua" w:hAnsi="Book Antiqua"/>
          <w:b/>
          <w:bCs/>
        </w:rPr>
        <w:t>32</w:t>
      </w:r>
      <w:r w:rsidRPr="000A13D1">
        <w:rPr>
          <w:rFonts w:ascii="Book Antiqua" w:hAnsi="Book Antiqua"/>
        </w:rPr>
        <w:t>: 576-584.e5 [PMID: 33526343 DOI: 10.1016/j.jvir.2020.12.005]</w:t>
      </w:r>
    </w:p>
    <w:p w14:paraId="1F5ACFFA"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34 </w:t>
      </w:r>
      <w:r w:rsidRPr="000A13D1">
        <w:rPr>
          <w:rFonts w:ascii="Book Antiqua" w:hAnsi="Book Antiqua"/>
          <w:b/>
          <w:bCs/>
        </w:rPr>
        <w:t>Leontiadis GI</w:t>
      </w:r>
      <w:r w:rsidRPr="000A13D1">
        <w:rPr>
          <w:rFonts w:ascii="Book Antiqua" w:hAnsi="Book Antiqua"/>
        </w:rPr>
        <w:t xml:space="preserve">, Sharma VK, Howden CW. Proton pump inhibitor treatment for acute peptic ulcer bleeding. </w:t>
      </w:r>
      <w:r w:rsidRPr="000A13D1">
        <w:rPr>
          <w:rFonts w:ascii="Book Antiqua" w:hAnsi="Book Antiqua"/>
          <w:i/>
          <w:iCs/>
        </w:rPr>
        <w:t>Cochrane Database Syst Rev</w:t>
      </w:r>
      <w:r w:rsidRPr="000A13D1">
        <w:rPr>
          <w:rFonts w:ascii="Book Antiqua" w:hAnsi="Book Antiqua"/>
        </w:rPr>
        <w:t xml:space="preserve"> 2006: CD002094 [PMID: 16437441 DOI: 10.1002/14651858.CD002094.pub3]</w:t>
      </w:r>
    </w:p>
    <w:p w14:paraId="79E96310"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35 </w:t>
      </w:r>
      <w:r w:rsidRPr="000A13D1">
        <w:rPr>
          <w:rFonts w:ascii="Book Antiqua" w:hAnsi="Book Antiqua"/>
          <w:b/>
          <w:bCs/>
        </w:rPr>
        <w:t>Csiki E</w:t>
      </w:r>
      <w:r w:rsidRPr="000A13D1">
        <w:rPr>
          <w:rFonts w:ascii="Book Antiqua" w:hAnsi="Book Antiqua"/>
        </w:rPr>
        <w:t xml:space="preserve">, Szabó H, Hanák L, Szakács Z, Kiss S, Vörhendi N, Pécsi D, Hegyi E, Hegyi P, Erőss B. Oral Proton Pump Inhibitors May Be as Effective as Intravenous in Peptic Ulcer Bleeding: A Systematic Review and Meta-analysis. </w:t>
      </w:r>
      <w:r w:rsidRPr="000A13D1">
        <w:rPr>
          <w:rFonts w:ascii="Book Antiqua" w:hAnsi="Book Antiqua"/>
          <w:i/>
          <w:iCs/>
        </w:rPr>
        <w:t>Clin Transl Gastroenterol</w:t>
      </w:r>
      <w:r w:rsidRPr="000A13D1">
        <w:rPr>
          <w:rFonts w:ascii="Book Antiqua" w:hAnsi="Book Antiqua"/>
        </w:rPr>
        <w:t xml:space="preserve"> 2021; </w:t>
      </w:r>
      <w:r w:rsidRPr="000A13D1">
        <w:rPr>
          <w:rFonts w:ascii="Book Antiqua" w:hAnsi="Book Antiqua"/>
          <w:b/>
          <w:bCs/>
        </w:rPr>
        <w:t>12</w:t>
      </w:r>
      <w:r w:rsidRPr="000A13D1">
        <w:rPr>
          <w:rFonts w:ascii="Book Antiqua" w:hAnsi="Book Antiqua"/>
        </w:rPr>
        <w:t>: e00341 [PMID: 33988530 DOI: 10.14309/ctg.0000000000000341]</w:t>
      </w:r>
    </w:p>
    <w:p w14:paraId="098A5454"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36 </w:t>
      </w:r>
      <w:r w:rsidRPr="000A13D1">
        <w:rPr>
          <w:rFonts w:ascii="Book Antiqua" w:hAnsi="Book Antiqua"/>
          <w:b/>
          <w:bCs/>
        </w:rPr>
        <w:t>Vörhendi N</w:t>
      </w:r>
      <w:r w:rsidRPr="000A13D1">
        <w:rPr>
          <w:rFonts w:ascii="Book Antiqua" w:hAnsi="Book Antiqua"/>
        </w:rPr>
        <w:t xml:space="preserve">, Soós A, Anne Engh M, Tinusz B, Szakács Z, Pécsi D, Mikó A, Sarlós P, Hegyi P, Eröss B. Accuracy of the </w:t>
      </w:r>
      <w:r w:rsidRPr="000A13D1">
        <w:rPr>
          <w:rFonts w:ascii="Book Antiqua" w:hAnsi="Book Antiqua"/>
          <w:i/>
          <w:iCs/>
        </w:rPr>
        <w:t>Helicobacter pylori</w:t>
      </w:r>
      <w:r w:rsidRPr="000A13D1">
        <w:rPr>
          <w:rFonts w:ascii="Book Antiqua" w:hAnsi="Book Antiqua"/>
        </w:rPr>
        <w:t xml:space="preserve"> diagnostic tests in patients with peptic ulcer bleeding: a systematic review and network meta-analysis. </w:t>
      </w:r>
      <w:r w:rsidRPr="000A13D1">
        <w:rPr>
          <w:rFonts w:ascii="Book Antiqua" w:hAnsi="Book Antiqua"/>
          <w:i/>
          <w:iCs/>
        </w:rPr>
        <w:t>Therap Adv Gastroenterol</w:t>
      </w:r>
      <w:r w:rsidRPr="000A13D1">
        <w:rPr>
          <w:rFonts w:ascii="Book Antiqua" w:hAnsi="Book Antiqua"/>
        </w:rPr>
        <w:t xml:space="preserve"> 2020; </w:t>
      </w:r>
      <w:r w:rsidRPr="000A13D1">
        <w:rPr>
          <w:rFonts w:ascii="Book Antiqua" w:hAnsi="Book Antiqua"/>
          <w:b/>
          <w:bCs/>
        </w:rPr>
        <w:t>13</w:t>
      </w:r>
      <w:r w:rsidRPr="000A13D1">
        <w:rPr>
          <w:rFonts w:ascii="Book Antiqua" w:hAnsi="Book Antiqua"/>
        </w:rPr>
        <w:t>: 1756284820965324 [PMID: 33403002 DOI: 10.1177/1756284820965324]</w:t>
      </w:r>
    </w:p>
    <w:p w14:paraId="1AD1C334"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37 </w:t>
      </w:r>
      <w:r w:rsidRPr="000A13D1">
        <w:rPr>
          <w:rFonts w:ascii="Book Antiqua" w:hAnsi="Book Antiqua"/>
          <w:b/>
          <w:bCs/>
        </w:rPr>
        <w:t>Gisbert JP</w:t>
      </w:r>
      <w:r w:rsidRPr="000A13D1">
        <w:rPr>
          <w:rFonts w:ascii="Book Antiqua" w:hAnsi="Book Antiqua"/>
        </w:rPr>
        <w:t xml:space="preserve">, Calvet X, Cosme A, Almela P, Feu F, Bory F, Santolaria S, Aznárez R, Castro M, Fernández N, García-Grávalos R, Benages A, Cañete N, Montoro M, Borda F, Pérez-Aisa A, Piqué JM; H. pylori Study Group of the Asociación Española de Gastroenterología (Spanish Gastroenterology Association). Long-term follow-up of 1,000 patients cured of Helicobacter pylori infection following an episode of peptic ulcer bleeding. </w:t>
      </w:r>
      <w:r w:rsidRPr="000A13D1">
        <w:rPr>
          <w:rFonts w:ascii="Book Antiqua" w:hAnsi="Book Antiqua"/>
          <w:i/>
          <w:iCs/>
        </w:rPr>
        <w:t>Am J Gastroenterol</w:t>
      </w:r>
      <w:r w:rsidRPr="000A13D1">
        <w:rPr>
          <w:rFonts w:ascii="Book Antiqua" w:hAnsi="Book Antiqua"/>
        </w:rPr>
        <w:t xml:space="preserve"> 2012; </w:t>
      </w:r>
      <w:r w:rsidRPr="000A13D1">
        <w:rPr>
          <w:rFonts w:ascii="Book Antiqua" w:hAnsi="Book Antiqua"/>
          <w:b/>
          <w:bCs/>
        </w:rPr>
        <w:t>107</w:t>
      </w:r>
      <w:r w:rsidRPr="000A13D1">
        <w:rPr>
          <w:rFonts w:ascii="Book Antiqua" w:hAnsi="Book Antiqua"/>
        </w:rPr>
        <w:t>: 1197-1204 [PMID: 22613904 DOI: 10.1038/ajg.2012.132]</w:t>
      </w:r>
    </w:p>
    <w:p w14:paraId="7C3A6D91" w14:textId="77777777" w:rsidR="00183E22" w:rsidRPr="000A13D1" w:rsidRDefault="00183E22" w:rsidP="00586943">
      <w:pPr>
        <w:spacing w:line="360" w:lineRule="auto"/>
        <w:jc w:val="both"/>
        <w:rPr>
          <w:rFonts w:ascii="Book Antiqua" w:hAnsi="Book Antiqua"/>
        </w:rPr>
      </w:pPr>
      <w:r w:rsidRPr="000A13D1">
        <w:rPr>
          <w:rFonts w:ascii="Book Antiqua" w:hAnsi="Book Antiqua"/>
        </w:rPr>
        <w:lastRenderedPageBreak/>
        <w:t xml:space="preserve">38 </w:t>
      </w:r>
      <w:r w:rsidRPr="000A13D1">
        <w:rPr>
          <w:rFonts w:ascii="Book Antiqua" w:hAnsi="Book Antiqua"/>
          <w:b/>
          <w:bCs/>
        </w:rPr>
        <w:t>Jensen DM</w:t>
      </w:r>
      <w:r w:rsidRPr="000A13D1">
        <w:rPr>
          <w:rFonts w:ascii="Book Antiqua" w:hAnsi="Book Antiqua"/>
        </w:rPr>
        <w:t xml:space="preserve">, Kovacs TOG, Ohning GV, Ghassemi K, Machicado GA, Dulai GS, Sedarat A, Jutabha R, Gornbein J. Doppler Endoscopic Probe Monitoring of Blood Flow Improves Risk Stratification and Outcomes of Patients With Severe Nonvariceal Upper Gastrointestinal Hemorrhage. </w:t>
      </w:r>
      <w:r w:rsidRPr="000A13D1">
        <w:rPr>
          <w:rFonts w:ascii="Book Antiqua" w:hAnsi="Book Antiqua"/>
          <w:i/>
          <w:iCs/>
        </w:rPr>
        <w:t>Gastroenterology</w:t>
      </w:r>
      <w:r w:rsidRPr="000A13D1">
        <w:rPr>
          <w:rFonts w:ascii="Book Antiqua" w:hAnsi="Book Antiqua"/>
        </w:rPr>
        <w:t xml:space="preserve"> 2017; </w:t>
      </w:r>
      <w:r w:rsidRPr="000A13D1">
        <w:rPr>
          <w:rFonts w:ascii="Book Antiqua" w:hAnsi="Book Antiqua"/>
          <w:b/>
          <w:bCs/>
        </w:rPr>
        <w:t>152</w:t>
      </w:r>
      <w:r w:rsidRPr="000A13D1">
        <w:rPr>
          <w:rFonts w:ascii="Book Antiqua" w:hAnsi="Book Antiqua"/>
        </w:rPr>
        <w:t>: 1310-1318.e1 [PMID: 28167214 DOI: 10.1053/j.gastro.2017.01.042]</w:t>
      </w:r>
    </w:p>
    <w:p w14:paraId="688A3F0C" w14:textId="77777777" w:rsidR="00183E22" w:rsidRPr="000A13D1" w:rsidRDefault="00183E22" w:rsidP="00586943">
      <w:pPr>
        <w:spacing w:line="360" w:lineRule="auto"/>
        <w:jc w:val="both"/>
        <w:rPr>
          <w:rFonts w:ascii="Book Antiqua" w:hAnsi="Book Antiqua"/>
        </w:rPr>
      </w:pPr>
      <w:r w:rsidRPr="000A13D1">
        <w:rPr>
          <w:rFonts w:ascii="Book Antiqua" w:hAnsi="Book Antiqua"/>
        </w:rPr>
        <w:t xml:space="preserve">39 </w:t>
      </w:r>
      <w:r w:rsidRPr="000A13D1">
        <w:rPr>
          <w:rFonts w:ascii="Book Antiqua" w:hAnsi="Book Antiqua"/>
          <w:b/>
          <w:bCs/>
        </w:rPr>
        <w:t>Schmidt A</w:t>
      </w:r>
      <w:r w:rsidRPr="000A13D1">
        <w:rPr>
          <w:rFonts w:ascii="Book Antiqua" w:hAnsi="Book Antiqua"/>
        </w:rPr>
        <w:t xml:space="preserve">, Gölder S, Goetz M, Meining A, Lau J, von Delius S, Escher M, Hoffmann A, Wiest R, Messmann H, Kratt T, Walter B, Bettinger D, Caca K. Over-the-Scope Clips Are More Effective Than Standard Endoscopic Therapy for Patients With Recurrent Bleeding of Peptic Ulcers. </w:t>
      </w:r>
      <w:r w:rsidRPr="000A13D1">
        <w:rPr>
          <w:rFonts w:ascii="Book Antiqua" w:hAnsi="Book Antiqua"/>
          <w:i/>
          <w:iCs/>
        </w:rPr>
        <w:t>Gastroenterology</w:t>
      </w:r>
      <w:r w:rsidRPr="000A13D1">
        <w:rPr>
          <w:rFonts w:ascii="Book Antiqua" w:hAnsi="Book Antiqua"/>
        </w:rPr>
        <w:t xml:space="preserve"> 2018; </w:t>
      </w:r>
      <w:r w:rsidRPr="000A13D1">
        <w:rPr>
          <w:rFonts w:ascii="Book Antiqua" w:hAnsi="Book Antiqua"/>
          <w:b/>
          <w:bCs/>
        </w:rPr>
        <w:t>155</w:t>
      </w:r>
      <w:r w:rsidRPr="000A13D1">
        <w:rPr>
          <w:rFonts w:ascii="Book Antiqua" w:hAnsi="Book Antiqua"/>
        </w:rPr>
        <w:t>: 674-686.e6 [PMID: 29803838 DOI: 10.1053/j.gastro.2018.05.037]</w:t>
      </w:r>
    </w:p>
    <w:p w14:paraId="1AA19471" w14:textId="77777777" w:rsidR="00A77B3E" w:rsidRPr="00183E22" w:rsidRDefault="00183E22" w:rsidP="00586943">
      <w:pPr>
        <w:spacing w:line="360" w:lineRule="auto"/>
        <w:jc w:val="both"/>
        <w:rPr>
          <w:rFonts w:ascii="Book Antiqua" w:hAnsi="Book Antiqua"/>
          <w:lang w:eastAsia="zh-CN"/>
        </w:rPr>
      </w:pPr>
      <w:r w:rsidRPr="000A13D1">
        <w:rPr>
          <w:rFonts w:ascii="Book Antiqua" w:hAnsi="Book Antiqua"/>
        </w:rPr>
        <w:t xml:space="preserve">40 </w:t>
      </w:r>
      <w:r w:rsidRPr="000A13D1">
        <w:rPr>
          <w:rFonts w:ascii="Book Antiqua" w:hAnsi="Book Antiqua"/>
          <w:b/>
          <w:bCs/>
        </w:rPr>
        <w:t>Kamal F</w:t>
      </w:r>
      <w:r w:rsidRPr="000A13D1">
        <w:rPr>
          <w:rFonts w:ascii="Book Antiqua" w:hAnsi="Book Antiqua"/>
        </w:rPr>
        <w:t xml:space="preserve">, Khan MA, Lee-Smith W, Sharma S, Imam Z, Henry C, Jowhar D, Khan Z, Petryna E, Iqbal U, Tombazzi C, Ismail MK, Howden CW. Role of routine second-look endoscopy in patients with acute peptic ulcer bleeding: meta-analysis of randomized controlled trials. </w:t>
      </w:r>
      <w:r w:rsidRPr="000A13D1">
        <w:rPr>
          <w:rFonts w:ascii="Book Antiqua" w:hAnsi="Book Antiqua"/>
          <w:i/>
          <w:iCs/>
        </w:rPr>
        <w:t>Gastrointest Endosc</w:t>
      </w:r>
      <w:r w:rsidRPr="000A13D1">
        <w:rPr>
          <w:rFonts w:ascii="Book Antiqua" w:hAnsi="Book Antiqua"/>
        </w:rPr>
        <w:t xml:space="preserve"> 2021; </w:t>
      </w:r>
      <w:r w:rsidRPr="000A13D1">
        <w:rPr>
          <w:rFonts w:ascii="Book Antiqua" w:hAnsi="Book Antiqua"/>
          <w:b/>
          <w:bCs/>
        </w:rPr>
        <w:t>93</w:t>
      </w:r>
      <w:r w:rsidRPr="000A13D1">
        <w:rPr>
          <w:rFonts w:ascii="Book Antiqua" w:hAnsi="Book Antiqua"/>
        </w:rPr>
        <w:t>: 1228-1237.e5 [PMID: 33417896 DOI: 10.1016/j.gie.2020.12.039]</w:t>
      </w:r>
      <w:bookmarkEnd w:id="0"/>
      <w:bookmarkEnd w:id="1"/>
    </w:p>
    <w:p w14:paraId="43C867CD" w14:textId="77777777" w:rsidR="00183E22" w:rsidRPr="00183E22" w:rsidRDefault="00183E22" w:rsidP="00586943">
      <w:pPr>
        <w:spacing w:line="360" w:lineRule="auto"/>
        <w:jc w:val="both"/>
        <w:rPr>
          <w:lang w:eastAsia="zh-CN"/>
        </w:rPr>
      </w:pPr>
    </w:p>
    <w:p w14:paraId="7A42F883" w14:textId="77777777" w:rsidR="00A77B3E" w:rsidRDefault="00A77B3E" w:rsidP="00586943">
      <w:pPr>
        <w:spacing w:line="360" w:lineRule="auto"/>
        <w:jc w:val="both"/>
        <w:sectPr w:rsidR="00A77B3E">
          <w:pgSz w:w="12240" w:h="15840"/>
          <w:pgMar w:top="1440" w:right="1440" w:bottom="1440" w:left="1440" w:header="720" w:footer="720" w:gutter="0"/>
          <w:cols w:space="720"/>
          <w:docGrid w:linePitch="360"/>
        </w:sectPr>
      </w:pPr>
    </w:p>
    <w:p w14:paraId="7644C002" w14:textId="77777777" w:rsidR="00A77B3E" w:rsidRDefault="002610D4" w:rsidP="00586943">
      <w:pPr>
        <w:spacing w:line="360" w:lineRule="auto"/>
        <w:jc w:val="both"/>
      </w:pPr>
      <w:r>
        <w:rPr>
          <w:rFonts w:ascii="Book Antiqua" w:eastAsia="Book Antiqua" w:hAnsi="Book Antiqua" w:cs="Book Antiqua"/>
          <w:b/>
          <w:color w:val="000000"/>
        </w:rPr>
        <w:lastRenderedPageBreak/>
        <w:t>Footnotes</w:t>
      </w:r>
    </w:p>
    <w:p w14:paraId="468707D5"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to declare.</w:t>
      </w:r>
    </w:p>
    <w:p w14:paraId="45446100" w14:textId="77777777" w:rsidR="00A77B3E" w:rsidRPr="00183E22" w:rsidRDefault="00A77B3E" w:rsidP="00586943">
      <w:pPr>
        <w:spacing w:line="360" w:lineRule="auto"/>
        <w:jc w:val="both"/>
        <w:rPr>
          <w:lang w:eastAsia="zh-CN"/>
        </w:rPr>
      </w:pPr>
    </w:p>
    <w:p w14:paraId="6B4A290B" w14:textId="77777777" w:rsidR="00A77B3E" w:rsidRDefault="002610D4" w:rsidP="00586943">
      <w:pPr>
        <w:spacing w:line="360" w:lineRule="auto"/>
        <w:jc w:val="both"/>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2020 Checklist, and was prepared and revised according to the PRISMA 2020 Checklist.</w:t>
      </w:r>
    </w:p>
    <w:p w14:paraId="1715885B" w14:textId="77777777" w:rsidR="00A77B3E" w:rsidRDefault="00A77B3E" w:rsidP="00586943">
      <w:pPr>
        <w:spacing w:line="360" w:lineRule="auto"/>
        <w:jc w:val="both"/>
      </w:pPr>
    </w:p>
    <w:p w14:paraId="301CBA31" w14:textId="77777777" w:rsidR="00A77B3E" w:rsidRDefault="002610D4" w:rsidP="005869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1FA6F1" w14:textId="77777777" w:rsidR="00A77B3E" w:rsidRDefault="00A77B3E" w:rsidP="00586943">
      <w:pPr>
        <w:spacing w:line="360" w:lineRule="auto"/>
        <w:jc w:val="both"/>
      </w:pPr>
    </w:p>
    <w:p w14:paraId="2E544DC8" w14:textId="77777777" w:rsidR="00A77B3E" w:rsidRDefault="002610D4" w:rsidP="0058694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83E22">
        <w:rPr>
          <w:rFonts w:ascii="Book Antiqua" w:eastAsia="Book Antiqua" w:hAnsi="Book Antiqua" w:cs="Book Antiqua"/>
          <w:color w:val="000000"/>
        </w:rPr>
        <w:t>ma</w:t>
      </w:r>
      <w:r>
        <w:rPr>
          <w:rFonts w:ascii="Book Antiqua" w:eastAsia="Book Antiqua" w:hAnsi="Book Antiqua" w:cs="Book Antiqua"/>
          <w:color w:val="000000"/>
        </w:rPr>
        <w:t>nuscript</w:t>
      </w:r>
    </w:p>
    <w:p w14:paraId="7338D083" w14:textId="77777777" w:rsidR="00A77B3E" w:rsidRDefault="00A77B3E" w:rsidP="00586943">
      <w:pPr>
        <w:spacing w:line="360" w:lineRule="auto"/>
        <w:jc w:val="both"/>
      </w:pPr>
    </w:p>
    <w:p w14:paraId="65A43024" w14:textId="77777777" w:rsidR="00A77B3E" w:rsidRDefault="002610D4" w:rsidP="005869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2021</w:t>
      </w:r>
    </w:p>
    <w:p w14:paraId="66D7CD56" w14:textId="77777777" w:rsidR="00A77B3E" w:rsidRDefault="002610D4" w:rsidP="005869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2021</w:t>
      </w:r>
    </w:p>
    <w:p w14:paraId="7FED4A88" w14:textId="76E58436" w:rsidR="00A77B3E" w:rsidRDefault="002610D4" w:rsidP="00586943">
      <w:pPr>
        <w:spacing w:line="360" w:lineRule="auto"/>
        <w:jc w:val="both"/>
      </w:pPr>
      <w:r>
        <w:rPr>
          <w:rFonts w:ascii="Book Antiqua" w:eastAsia="Book Antiqua" w:hAnsi="Book Antiqua" w:cs="Book Antiqua"/>
          <w:b/>
          <w:color w:val="000000"/>
        </w:rPr>
        <w:t xml:space="preserve">Article in press: </w:t>
      </w:r>
      <w:r w:rsidR="00682D26" w:rsidRPr="001C5CC6">
        <w:rPr>
          <w:rFonts w:ascii="Book Antiqua" w:eastAsia="Book Antiqua" w:hAnsi="Book Antiqua" w:cs="Book Antiqua"/>
          <w:color w:val="000000"/>
        </w:rPr>
        <w:t>September 16, 2021</w:t>
      </w:r>
    </w:p>
    <w:p w14:paraId="4D5151FF" w14:textId="77777777" w:rsidR="00A77B3E" w:rsidRDefault="00A77B3E" w:rsidP="00586943">
      <w:pPr>
        <w:spacing w:line="360" w:lineRule="auto"/>
        <w:jc w:val="both"/>
      </w:pPr>
    </w:p>
    <w:p w14:paraId="43C37097" w14:textId="77777777" w:rsidR="00A77B3E" w:rsidRDefault="002610D4" w:rsidP="005869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83E22">
        <w:rPr>
          <w:rFonts w:ascii="Book Antiqua" w:eastAsia="Book Antiqua" w:hAnsi="Book Antiqua" w:cs="Book Antiqua"/>
          <w:color w:val="000000"/>
        </w:rPr>
        <w:t>hep</w:t>
      </w:r>
      <w:r>
        <w:rPr>
          <w:rFonts w:ascii="Book Antiqua" w:eastAsia="Book Antiqua" w:hAnsi="Book Antiqua" w:cs="Book Antiqua"/>
          <w:color w:val="000000"/>
        </w:rPr>
        <w:t>atology</w:t>
      </w:r>
    </w:p>
    <w:p w14:paraId="3BC3193D" w14:textId="77777777" w:rsidR="00A77B3E" w:rsidRDefault="002610D4" w:rsidP="005869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Hungary</w:t>
      </w:r>
    </w:p>
    <w:p w14:paraId="46ABFE78" w14:textId="77777777" w:rsidR="00A77B3E" w:rsidRDefault="002610D4" w:rsidP="00586943">
      <w:pPr>
        <w:spacing w:line="360" w:lineRule="auto"/>
        <w:jc w:val="both"/>
      </w:pPr>
      <w:r>
        <w:rPr>
          <w:rFonts w:ascii="Book Antiqua" w:eastAsia="Book Antiqua" w:hAnsi="Book Antiqua" w:cs="Book Antiqua"/>
          <w:b/>
          <w:color w:val="000000"/>
        </w:rPr>
        <w:t>Peer-review report’s scientific quality classification</w:t>
      </w:r>
    </w:p>
    <w:p w14:paraId="4F4E1C1B" w14:textId="77777777" w:rsidR="00A77B3E" w:rsidRDefault="002610D4" w:rsidP="00586943">
      <w:pPr>
        <w:spacing w:line="360" w:lineRule="auto"/>
        <w:jc w:val="both"/>
      </w:pPr>
      <w:r>
        <w:rPr>
          <w:rFonts w:ascii="Book Antiqua" w:eastAsia="Book Antiqua" w:hAnsi="Book Antiqua" w:cs="Book Antiqua"/>
          <w:color w:val="000000"/>
        </w:rPr>
        <w:t>Grade A (Excellent): A</w:t>
      </w:r>
    </w:p>
    <w:p w14:paraId="029921D6" w14:textId="77777777" w:rsidR="00A77B3E" w:rsidRDefault="002610D4" w:rsidP="00586943">
      <w:pPr>
        <w:spacing w:line="360" w:lineRule="auto"/>
        <w:jc w:val="both"/>
      </w:pPr>
      <w:r>
        <w:rPr>
          <w:rFonts w:ascii="Book Antiqua" w:eastAsia="Book Antiqua" w:hAnsi="Book Antiqua" w:cs="Book Antiqua"/>
          <w:color w:val="000000"/>
        </w:rPr>
        <w:t>Grade B (Very good): B, B, B</w:t>
      </w:r>
    </w:p>
    <w:p w14:paraId="47B3C30B" w14:textId="77777777" w:rsidR="00A77B3E" w:rsidRDefault="002610D4" w:rsidP="00586943">
      <w:pPr>
        <w:spacing w:line="360" w:lineRule="auto"/>
        <w:jc w:val="both"/>
      </w:pPr>
      <w:r>
        <w:rPr>
          <w:rFonts w:ascii="Book Antiqua" w:eastAsia="Book Antiqua" w:hAnsi="Book Antiqua" w:cs="Book Antiqua"/>
          <w:color w:val="000000"/>
        </w:rPr>
        <w:t>Grade C (Good): 0</w:t>
      </w:r>
    </w:p>
    <w:p w14:paraId="564E4E98" w14:textId="77777777" w:rsidR="00A77B3E" w:rsidRDefault="002610D4" w:rsidP="00586943">
      <w:pPr>
        <w:spacing w:line="360" w:lineRule="auto"/>
        <w:jc w:val="both"/>
      </w:pPr>
      <w:r>
        <w:rPr>
          <w:rFonts w:ascii="Book Antiqua" w:eastAsia="Book Antiqua" w:hAnsi="Book Antiqua" w:cs="Book Antiqua"/>
          <w:color w:val="000000"/>
        </w:rPr>
        <w:t>Grade D (Fair): 0</w:t>
      </w:r>
    </w:p>
    <w:p w14:paraId="152A06A5" w14:textId="77777777" w:rsidR="00A77B3E" w:rsidRDefault="002610D4" w:rsidP="00586943">
      <w:pPr>
        <w:spacing w:line="360" w:lineRule="auto"/>
        <w:jc w:val="both"/>
      </w:pPr>
      <w:r>
        <w:rPr>
          <w:rFonts w:ascii="Book Antiqua" w:eastAsia="Book Antiqua" w:hAnsi="Book Antiqua" w:cs="Book Antiqua"/>
          <w:color w:val="000000"/>
        </w:rPr>
        <w:t>Grade E (Poor): 0</w:t>
      </w:r>
    </w:p>
    <w:p w14:paraId="084DB13A" w14:textId="77777777" w:rsidR="00A77B3E" w:rsidRDefault="00A77B3E" w:rsidP="00586943">
      <w:pPr>
        <w:spacing w:line="360" w:lineRule="auto"/>
        <w:jc w:val="both"/>
      </w:pPr>
    </w:p>
    <w:p w14:paraId="2794A3E9" w14:textId="0C954894" w:rsidR="00183E22" w:rsidRPr="00682D26" w:rsidRDefault="002610D4" w:rsidP="005869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Liu XM, Papadopoulos VP, Xiong A, Ziogas IA</w:t>
      </w:r>
      <w:r>
        <w:rPr>
          <w:rFonts w:ascii="Book Antiqua" w:eastAsia="Book Antiqua" w:hAnsi="Book Antiqua" w:cs="Book Antiqua"/>
          <w:b/>
          <w:color w:val="000000"/>
        </w:rPr>
        <w:t xml:space="preserve"> S-Editor: </w:t>
      </w:r>
      <w:r w:rsidR="00183E22">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682D26">
        <w:rPr>
          <w:rFonts w:ascii="Book Antiqua" w:hAnsi="Book Antiqua" w:cs="Book Antiqua" w:hint="eastAsia"/>
          <w:b/>
          <w:color w:val="000000"/>
          <w:lang w:eastAsia="zh-CN"/>
        </w:rPr>
        <w:t xml:space="preserve">A </w:t>
      </w:r>
      <w:r>
        <w:rPr>
          <w:rFonts w:ascii="Book Antiqua" w:eastAsia="Book Antiqua" w:hAnsi="Book Antiqua" w:cs="Book Antiqua"/>
          <w:b/>
          <w:color w:val="000000"/>
        </w:rPr>
        <w:t>P-Editor:</w:t>
      </w:r>
      <w:r w:rsidR="00682D26">
        <w:rPr>
          <w:rFonts w:ascii="Book Antiqua" w:hAnsi="Book Antiqua" w:cs="Book Antiqua" w:hint="eastAsia"/>
          <w:b/>
          <w:color w:val="000000"/>
          <w:lang w:eastAsia="zh-CN"/>
        </w:rPr>
        <w:t xml:space="preserve"> </w:t>
      </w:r>
      <w:r w:rsidR="00682D26" w:rsidRPr="00682D26">
        <w:rPr>
          <w:rFonts w:ascii="Book Antiqua" w:hAnsi="Book Antiqua" w:cs="Book Antiqua" w:hint="eastAsia"/>
          <w:color w:val="000000"/>
          <w:lang w:eastAsia="zh-CN"/>
        </w:rPr>
        <w:t>Ma YJ</w:t>
      </w:r>
    </w:p>
    <w:p w14:paraId="0C60F112" w14:textId="77777777" w:rsidR="00A77B3E" w:rsidRDefault="002610D4" w:rsidP="005869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E0D07B1" w14:textId="77777777" w:rsidR="00A77B3E" w:rsidRDefault="002610D4" w:rsidP="005869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ED0E6E" w14:textId="77777777" w:rsidR="00183E22" w:rsidRPr="00183E22" w:rsidRDefault="003227A9" w:rsidP="00586943">
      <w:pPr>
        <w:spacing w:line="360" w:lineRule="auto"/>
        <w:jc w:val="both"/>
        <w:rPr>
          <w:lang w:eastAsia="zh-CN"/>
        </w:rPr>
      </w:pPr>
      <w:r>
        <w:rPr>
          <w:noProof/>
          <w:lang w:eastAsia="zh-CN"/>
        </w:rPr>
        <w:drawing>
          <wp:inline distT="0" distB="0" distL="0" distR="0" wp14:anchorId="6313007C" wp14:editId="6B06910D">
            <wp:extent cx="3384724" cy="4375375"/>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84724" cy="4375375"/>
                    </a:xfrm>
                    <a:prstGeom prst="rect">
                      <a:avLst/>
                    </a:prstGeom>
                  </pic:spPr>
                </pic:pic>
              </a:graphicData>
            </a:graphic>
          </wp:inline>
        </w:drawing>
      </w:r>
    </w:p>
    <w:p w14:paraId="254F78FD" w14:textId="77777777" w:rsidR="00A77B3E" w:rsidRDefault="00183E22" w:rsidP="0058694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w:t>
      </w:r>
      <w:r w:rsidR="002610D4">
        <w:rPr>
          <w:rFonts w:ascii="Book Antiqua" w:eastAsia="Book Antiqua" w:hAnsi="Book Antiqua" w:cs="Book Antiqua"/>
          <w:b/>
          <w:bCs/>
          <w:color w:val="000000"/>
        </w:rPr>
        <w:t xml:space="preserve"> Preferred</w:t>
      </w:r>
      <w:r>
        <w:rPr>
          <w:rFonts w:ascii="Book Antiqua" w:eastAsia="Book Antiqua" w:hAnsi="Book Antiqua" w:cs="Book Antiqua"/>
          <w:b/>
          <w:bCs/>
          <w:color w:val="000000"/>
        </w:rPr>
        <w:t xml:space="preserve"> reporting in systematic reviews and meta-a</w:t>
      </w:r>
      <w:r w:rsidR="002610D4">
        <w:rPr>
          <w:rFonts w:ascii="Book Antiqua" w:eastAsia="Book Antiqua" w:hAnsi="Book Antiqua" w:cs="Book Antiqua"/>
          <w:b/>
          <w:bCs/>
          <w:color w:val="000000"/>
        </w:rPr>
        <w:t>nalyses flowchart showing the selection process</w:t>
      </w:r>
      <w:r>
        <w:rPr>
          <w:rFonts w:ascii="Book Antiqua" w:hAnsi="Book Antiqua" w:cs="Book Antiqua" w:hint="eastAsia"/>
          <w:b/>
          <w:bCs/>
          <w:color w:val="000000"/>
          <w:lang w:eastAsia="zh-CN"/>
        </w:rPr>
        <w:t>.</w:t>
      </w:r>
    </w:p>
    <w:p w14:paraId="74E15261" w14:textId="77777777" w:rsidR="00183E22" w:rsidRPr="00183E22" w:rsidRDefault="003227A9" w:rsidP="00586943">
      <w:pPr>
        <w:spacing w:line="360" w:lineRule="auto"/>
        <w:jc w:val="both"/>
        <w:rPr>
          <w:lang w:eastAsia="zh-CN"/>
        </w:rPr>
      </w:pPr>
      <w:r>
        <w:rPr>
          <w:lang w:eastAsia="zh-CN"/>
        </w:rPr>
        <w:br w:type="column"/>
      </w:r>
      <w:r w:rsidR="00D34134">
        <w:rPr>
          <w:noProof/>
          <w:lang w:eastAsia="zh-CN"/>
        </w:rPr>
        <w:lastRenderedPageBreak/>
        <w:drawing>
          <wp:inline distT="0" distB="0" distL="0" distR="0" wp14:anchorId="75F79129" wp14:editId="3588D266">
            <wp:extent cx="5486400" cy="3833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33495"/>
                    </a:xfrm>
                    <a:prstGeom prst="rect">
                      <a:avLst/>
                    </a:prstGeom>
                  </pic:spPr>
                </pic:pic>
              </a:graphicData>
            </a:graphic>
          </wp:inline>
        </w:drawing>
      </w:r>
    </w:p>
    <w:p w14:paraId="03225697" w14:textId="77777777" w:rsidR="00A77B3E" w:rsidRDefault="002610D4" w:rsidP="0058694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Forest plot of studies divided into subgroups representing that the overall odds of rebleeding were significantly lower in the prophylactic transcatheter arterial embolization group.</w:t>
      </w:r>
      <w:r>
        <w:rPr>
          <w:rFonts w:ascii="Book Antiqua" w:eastAsia="Book Antiqua" w:hAnsi="Book Antiqua" w:cs="Book Antiqua"/>
          <w:color w:val="000000"/>
        </w:rPr>
        <w:t xml:space="preserve"> However, among the RCT studies, the difference was not statistically significant. RCT: </w:t>
      </w:r>
      <w:r w:rsidRPr="003227A9">
        <w:rPr>
          <w:rFonts w:ascii="Book Antiqua" w:eastAsia="Book Antiqua" w:hAnsi="Book Antiqua" w:cs="Book Antiqua"/>
          <w:caps/>
          <w:color w:val="000000"/>
        </w:rPr>
        <w:t>r</w:t>
      </w:r>
      <w:r>
        <w:rPr>
          <w:rFonts w:ascii="Book Antiqua" w:eastAsia="Book Antiqua" w:hAnsi="Book Antiqua" w:cs="Book Antiqua"/>
          <w:color w:val="000000"/>
        </w:rPr>
        <w:t>andomized controlled trial</w:t>
      </w:r>
      <w:r w:rsidR="003227A9">
        <w:rPr>
          <w:rFonts w:ascii="Book Antiqua" w:hAnsi="Book Antiqua" w:cs="Book Antiqua" w:hint="eastAsia"/>
          <w:color w:val="000000"/>
          <w:lang w:eastAsia="zh-CN"/>
        </w:rPr>
        <w:t>;</w:t>
      </w:r>
      <w:r>
        <w:rPr>
          <w:rFonts w:ascii="Book Antiqua" w:eastAsia="Book Antiqua" w:hAnsi="Book Antiqua" w:cs="Book Antiqua"/>
          <w:color w:val="000000"/>
        </w:rPr>
        <w:t xml:space="preserve"> OR: Odds ratio</w:t>
      </w:r>
      <w:r w:rsidR="003227A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E188A">
        <w:rPr>
          <w:rFonts w:ascii="Book Antiqua" w:eastAsia="Book Antiqua" w:hAnsi="Book Antiqua" w:cs="Book Antiqua"/>
          <w:color w:val="000000"/>
        </w:rPr>
        <w:t>95%CI:</w:t>
      </w:r>
      <w:r>
        <w:rPr>
          <w:rFonts w:ascii="Book Antiqua" w:eastAsia="Book Antiqua" w:hAnsi="Book Antiqua" w:cs="Book Antiqua"/>
          <w:color w:val="000000"/>
        </w:rPr>
        <w:t xml:space="preserve"> </w:t>
      </w:r>
      <w:r w:rsidRPr="003227A9">
        <w:rPr>
          <w:rFonts w:ascii="Book Antiqua" w:eastAsia="Book Antiqua" w:hAnsi="Book Antiqua" w:cs="Book Antiqua"/>
          <w:caps/>
          <w:color w:val="000000"/>
        </w:rPr>
        <w:t>c</w:t>
      </w:r>
      <w:r>
        <w:rPr>
          <w:rFonts w:ascii="Book Antiqua" w:eastAsia="Book Antiqua" w:hAnsi="Book Antiqua" w:cs="Book Antiqua"/>
          <w:color w:val="000000"/>
        </w:rPr>
        <w:t>onfidence interval</w:t>
      </w:r>
      <w:r w:rsidR="003227A9">
        <w:rPr>
          <w:rFonts w:ascii="Book Antiqua" w:hAnsi="Book Antiqua" w:cs="Book Antiqua" w:hint="eastAsia"/>
          <w:color w:val="000000"/>
          <w:lang w:eastAsia="zh-CN"/>
        </w:rPr>
        <w:t>.</w:t>
      </w:r>
    </w:p>
    <w:p w14:paraId="5760A25D" w14:textId="77777777" w:rsidR="003227A9" w:rsidRDefault="00D34134" w:rsidP="00586943">
      <w:pPr>
        <w:spacing w:line="360" w:lineRule="auto"/>
        <w:jc w:val="both"/>
        <w:rPr>
          <w:lang w:eastAsia="zh-CN"/>
        </w:rPr>
      </w:pPr>
      <w:r>
        <w:rPr>
          <w:lang w:eastAsia="zh-CN"/>
        </w:rPr>
        <w:br w:type="page"/>
      </w:r>
      <w:r>
        <w:rPr>
          <w:noProof/>
          <w:lang w:eastAsia="zh-CN"/>
        </w:rPr>
        <w:lastRenderedPageBreak/>
        <w:drawing>
          <wp:inline distT="0" distB="0" distL="0" distR="0" wp14:anchorId="5CFC5A4F" wp14:editId="58217EEF">
            <wp:extent cx="5486400" cy="39357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35730"/>
                    </a:xfrm>
                    <a:prstGeom prst="rect">
                      <a:avLst/>
                    </a:prstGeom>
                  </pic:spPr>
                </pic:pic>
              </a:graphicData>
            </a:graphic>
          </wp:inline>
        </w:drawing>
      </w:r>
    </w:p>
    <w:p w14:paraId="3141BCE1" w14:textId="77777777" w:rsidR="00D34134" w:rsidRDefault="00D34134" w:rsidP="00586943">
      <w:pPr>
        <w:spacing w:line="360" w:lineRule="auto"/>
        <w:jc w:val="both"/>
        <w:rPr>
          <w:lang w:eastAsia="zh-CN"/>
        </w:rPr>
      </w:pPr>
      <w:r>
        <w:rPr>
          <w:rFonts w:hint="eastAsia"/>
          <w:lang w:eastAsia="zh-CN"/>
        </w:rPr>
        <w:t>A</w:t>
      </w:r>
    </w:p>
    <w:p w14:paraId="41F7CE38" w14:textId="77777777" w:rsidR="00D34134" w:rsidRDefault="00D34134" w:rsidP="00586943">
      <w:pPr>
        <w:spacing w:line="360" w:lineRule="auto"/>
        <w:jc w:val="both"/>
        <w:rPr>
          <w:b/>
          <w:lang w:eastAsia="zh-CN"/>
        </w:rPr>
      </w:pPr>
      <w:r>
        <w:rPr>
          <w:noProof/>
          <w:lang w:eastAsia="zh-CN"/>
        </w:rPr>
        <w:drawing>
          <wp:inline distT="0" distB="0" distL="0" distR="0" wp14:anchorId="180F88CB" wp14:editId="26FF91CA">
            <wp:extent cx="5486400" cy="31648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64840"/>
                    </a:xfrm>
                    <a:prstGeom prst="rect">
                      <a:avLst/>
                    </a:prstGeom>
                  </pic:spPr>
                </pic:pic>
              </a:graphicData>
            </a:graphic>
          </wp:inline>
        </w:drawing>
      </w:r>
    </w:p>
    <w:p w14:paraId="5AAF02F3" w14:textId="77777777" w:rsidR="00D34134" w:rsidRPr="00D34134" w:rsidRDefault="00D34134" w:rsidP="00586943">
      <w:pPr>
        <w:spacing w:line="360" w:lineRule="auto"/>
        <w:jc w:val="both"/>
        <w:rPr>
          <w:lang w:eastAsia="zh-CN"/>
        </w:rPr>
      </w:pPr>
      <w:r w:rsidRPr="00D34134">
        <w:rPr>
          <w:rFonts w:hint="eastAsia"/>
          <w:lang w:eastAsia="zh-CN"/>
        </w:rPr>
        <w:t>B</w:t>
      </w:r>
    </w:p>
    <w:p w14:paraId="0710FE7F" w14:textId="77777777" w:rsidR="00D34134" w:rsidRDefault="00D34134" w:rsidP="00586943">
      <w:pPr>
        <w:spacing w:line="360" w:lineRule="auto"/>
        <w:jc w:val="both"/>
        <w:rPr>
          <w:b/>
          <w:lang w:eastAsia="zh-CN"/>
        </w:rPr>
      </w:pPr>
      <w:r>
        <w:rPr>
          <w:noProof/>
          <w:lang w:eastAsia="zh-CN"/>
        </w:rPr>
        <w:lastRenderedPageBreak/>
        <w:drawing>
          <wp:inline distT="0" distB="0" distL="0" distR="0" wp14:anchorId="3588B525" wp14:editId="589A2036">
            <wp:extent cx="5486400" cy="332486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24860"/>
                    </a:xfrm>
                    <a:prstGeom prst="rect">
                      <a:avLst/>
                    </a:prstGeom>
                  </pic:spPr>
                </pic:pic>
              </a:graphicData>
            </a:graphic>
          </wp:inline>
        </w:drawing>
      </w:r>
    </w:p>
    <w:p w14:paraId="31FFF5ED" w14:textId="77777777" w:rsidR="00D34134" w:rsidRPr="00D34134" w:rsidRDefault="00D34134" w:rsidP="00586943">
      <w:pPr>
        <w:spacing w:line="360" w:lineRule="auto"/>
        <w:jc w:val="both"/>
        <w:rPr>
          <w:lang w:eastAsia="zh-CN"/>
        </w:rPr>
      </w:pPr>
      <w:r w:rsidRPr="00D34134">
        <w:rPr>
          <w:rFonts w:hint="eastAsia"/>
          <w:lang w:eastAsia="zh-CN"/>
        </w:rPr>
        <w:t>C</w:t>
      </w:r>
    </w:p>
    <w:p w14:paraId="438A49E2" w14:textId="77777777" w:rsidR="00A77B3E" w:rsidRPr="006601BD" w:rsidRDefault="00D34134" w:rsidP="0058694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2610D4">
        <w:rPr>
          <w:rFonts w:ascii="Book Antiqua" w:eastAsia="Book Antiqua" w:hAnsi="Book Antiqua" w:cs="Book Antiqua"/>
          <w:b/>
          <w:bCs/>
          <w:color w:val="000000"/>
        </w:rPr>
        <w:t xml:space="preserve"> Forest plot of studies</w:t>
      </w:r>
      <w:r>
        <w:rPr>
          <w:rFonts w:ascii="Book Antiqua" w:hAnsi="Book Antiqua" w:cs="Book Antiqua" w:hint="eastAsia"/>
          <w:b/>
          <w:bCs/>
          <w:color w:val="000000"/>
          <w:lang w:eastAsia="zh-CN"/>
        </w:rPr>
        <w:t>.</w:t>
      </w:r>
      <w:r w:rsidR="002610D4">
        <w:rPr>
          <w:rFonts w:ascii="Book Antiqua" w:eastAsia="Book Antiqua" w:hAnsi="Book Antiqua" w:cs="Book Antiqua"/>
          <w:b/>
          <w:bCs/>
          <w:color w:val="000000"/>
        </w:rPr>
        <w:t xml:space="preserve"> </w:t>
      </w:r>
      <w:r>
        <w:rPr>
          <w:rFonts w:ascii="Book Antiqua" w:hAnsi="Book Antiqua" w:cs="Book Antiqua" w:hint="eastAsia"/>
          <w:b/>
          <w:bCs/>
          <w:color w:val="000000"/>
          <w:lang w:eastAsia="zh-CN"/>
        </w:rPr>
        <w:t xml:space="preserve">A: </w:t>
      </w:r>
      <w:r w:rsidR="002610D4" w:rsidRPr="00D34134">
        <w:rPr>
          <w:rFonts w:ascii="Book Antiqua" w:eastAsia="Book Antiqua" w:hAnsi="Book Antiqua" w:cs="Book Antiqua"/>
          <w:bCs/>
          <w:caps/>
          <w:color w:val="000000"/>
        </w:rPr>
        <w:t>r</w:t>
      </w:r>
      <w:r w:rsidR="002610D4" w:rsidRPr="00D34134">
        <w:rPr>
          <w:rFonts w:ascii="Book Antiqua" w:eastAsia="Book Antiqua" w:hAnsi="Book Antiqua" w:cs="Book Antiqua"/>
          <w:bCs/>
          <w:color w:val="000000"/>
        </w:rPr>
        <w:t>epresenting no significant difference in mortality rates between the prophylactic transcatheter arterial embolization and the control group</w:t>
      </w:r>
      <w:r>
        <w:rPr>
          <w:rFonts w:ascii="Book Antiqua" w:hAnsi="Book Antiqua" w:cs="Book Antiqua" w:hint="eastAsia"/>
          <w:color w:val="000000"/>
          <w:lang w:eastAsia="zh-CN"/>
        </w:rPr>
        <w:t>;</w:t>
      </w:r>
      <w:r w:rsidR="002610D4" w:rsidRPr="00D34134">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B: </w:t>
      </w:r>
      <w:r w:rsidRPr="00D34134">
        <w:rPr>
          <w:rFonts w:ascii="Book Antiqua" w:eastAsia="Book Antiqua" w:hAnsi="Book Antiqua" w:cs="Book Antiqua"/>
          <w:bCs/>
          <w:caps/>
          <w:color w:val="000000"/>
        </w:rPr>
        <w:t>r</w:t>
      </w:r>
      <w:r w:rsidRPr="00D34134">
        <w:rPr>
          <w:rFonts w:ascii="Book Antiqua" w:eastAsia="Book Antiqua" w:hAnsi="Book Antiqua" w:cs="Book Antiqua"/>
          <w:bCs/>
          <w:color w:val="000000"/>
        </w:rPr>
        <w:t>epresenting significantly lower odds of reintervention in the prophylactic transcatheter arterial embolization than the control group</w:t>
      </w:r>
      <w:r w:rsidR="006601BD">
        <w:rPr>
          <w:rFonts w:ascii="Book Antiqua" w:hAnsi="Book Antiqua" w:cs="Book Antiqua" w:hint="eastAsia"/>
          <w:bCs/>
          <w:color w:val="000000"/>
          <w:lang w:eastAsia="zh-CN"/>
        </w:rPr>
        <w:t xml:space="preserve">; </w:t>
      </w:r>
      <w:r w:rsidR="006601BD" w:rsidRPr="006601BD">
        <w:rPr>
          <w:rFonts w:ascii="Book Antiqua" w:hAnsi="Book Antiqua" w:cs="Book Antiqua" w:hint="eastAsia"/>
          <w:bCs/>
          <w:color w:val="000000"/>
          <w:lang w:eastAsia="zh-CN"/>
        </w:rPr>
        <w:t xml:space="preserve">C: </w:t>
      </w:r>
      <w:r w:rsidR="006601BD" w:rsidRPr="006601BD">
        <w:rPr>
          <w:rFonts w:ascii="Book Antiqua" w:eastAsia="Book Antiqua" w:hAnsi="Book Antiqua" w:cs="Book Antiqua"/>
          <w:bCs/>
          <w:color w:val="000000"/>
        </w:rPr>
        <w:t>representing no significant difference in length of hospital stay in days between the prophylactic transcatheter arterial embolization and the control group</w:t>
      </w:r>
      <w:r w:rsidR="006601BD" w:rsidRPr="006601BD">
        <w:rPr>
          <w:rFonts w:ascii="Book Antiqua" w:eastAsia="Book Antiqua" w:hAnsi="Book Antiqua" w:cs="Book Antiqua"/>
          <w:color w:val="000000"/>
        </w:rPr>
        <w:t>.</w:t>
      </w:r>
      <w:r w:rsidRPr="006601BD">
        <w:rPr>
          <w:rFonts w:ascii="Book Antiqua" w:hAnsi="Book Antiqua" w:cs="Book Antiqua" w:hint="eastAsia"/>
          <w:bCs/>
          <w:color w:val="000000"/>
          <w:lang w:eastAsia="zh-CN"/>
        </w:rPr>
        <w:t xml:space="preserve"> </w:t>
      </w:r>
      <w:r w:rsidR="002610D4">
        <w:rPr>
          <w:rFonts w:ascii="Book Antiqua" w:eastAsia="Book Antiqua" w:hAnsi="Book Antiqua" w:cs="Book Antiqua"/>
          <w:color w:val="000000"/>
        </w:rPr>
        <w:t>OR: Odds ratio</w:t>
      </w:r>
      <w:r>
        <w:rPr>
          <w:rFonts w:ascii="Book Antiqua" w:hAnsi="Book Antiqua" w:cs="Book Antiqua" w:hint="eastAsia"/>
          <w:color w:val="000000"/>
          <w:lang w:eastAsia="zh-CN"/>
        </w:rPr>
        <w:t>;</w:t>
      </w:r>
      <w:r w:rsidR="002610D4">
        <w:rPr>
          <w:rFonts w:ascii="Book Antiqua" w:eastAsia="Book Antiqua" w:hAnsi="Book Antiqua" w:cs="Book Antiqua"/>
          <w:color w:val="000000"/>
        </w:rPr>
        <w:t xml:space="preserve"> </w:t>
      </w:r>
      <w:r w:rsidR="003E188A">
        <w:rPr>
          <w:rFonts w:ascii="Book Antiqua" w:eastAsia="Book Antiqua" w:hAnsi="Book Antiqua" w:cs="Book Antiqua"/>
          <w:color w:val="000000"/>
        </w:rPr>
        <w:t>95%CI:</w:t>
      </w:r>
      <w:r w:rsidR="002610D4">
        <w:rPr>
          <w:rFonts w:ascii="Book Antiqua" w:eastAsia="Book Antiqua" w:hAnsi="Book Antiqua" w:cs="Book Antiqua"/>
          <w:color w:val="000000"/>
        </w:rPr>
        <w:t xml:space="preserve"> </w:t>
      </w:r>
      <w:r w:rsidR="002610D4" w:rsidRPr="00D34134">
        <w:rPr>
          <w:rFonts w:ascii="Book Antiqua" w:eastAsia="Book Antiqua" w:hAnsi="Book Antiqua" w:cs="Book Antiqua"/>
          <w:caps/>
          <w:color w:val="000000"/>
        </w:rPr>
        <w:t>c</w:t>
      </w:r>
      <w:r w:rsidR="002610D4">
        <w:rPr>
          <w:rFonts w:ascii="Book Antiqua" w:eastAsia="Book Antiqua" w:hAnsi="Book Antiqua" w:cs="Book Antiqua"/>
          <w:color w:val="000000"/>
        </w:rPr>
        <w:t>onfidence interval</w:t>
      </w:r>
      <w:r w:rsidR="006601BD">
        <w:rPr>
          <w:rFonts w:ascii="Book Antiqua" w:hAnsi="Book Antiqua" w:cs="Book Antiqua" w:hint="eastAsia"/>
          <w:color w:val="000000"/>
          <w:lang w:eastAsia="zh-CN"/>
        </w:rPr>
        <w:t xml:space="preserve">; </w:t>
      </w:r>
      <w:r w:rsidR="006601BD">
        <w:rPr>
          <w:rFonts w:ascii="Book Antiqua" w:eastAsia="Book Antiqua" w:hAnsi="Book Antiqua" w:cs="Book Antiqua"/>
          <w:color w:val="000000"/>
        </w:rPr>
        <w:t>WMD:</w:t>
      </w:r>
      <w:r w:rsidR="006601BD">
        <w:rPr>
          <w:rFonts w:ascii="Book Antiqua" w:eastAsia="Book Antiqua" w:hAnsi="Book Antiqua" w:cs="Book Antiqua"/>
          <w:color w:val="000000"/>
          <w:szCs w:val="22"/>
        </w:rPr>
        <w:t xml:space="preserve"> </w:t>
      </w:r>
      <w:r w:rsidR="006601BD" w:rsidRPr="006601BD">
        <w:rPr>
          <w:rFonts w:ascii="Book Antiqua" w:eastAsia="Book Antiqua" w:hAnsi="Book Antiqua" w:cs="Book Antiqua"/>
          <w:caps/>
          <w:color w:val="000000"/>
        </w:rPr>
        <w:t>w</w:t>
      </w:r>
      <w:r w:rsidR="006601BD">
        <w:rPr>
          <w:rFonts w:ascii="Book Antiqua" w:eastAsia="Book Antiqua" w:hAnsi="Book Antiqua" w:cs="Book Antiqua"/>
          <w:color w:val="000000"/>
        </w:rPr>
        <w:t>eighted mean difference</w:t>
      </w:r>
      <w:r w:rsidR="006601BD">
        <w:rPr>
          <w:rFonts w:ascii="Book Antiqua" w:hAnsi="Book Antiqua" w:cs="Book Antiqua" w:hint="eastAsia"/>
          <w:color w:val="000000"/>
          <w:lang w:eastAsia="zh-CN"/>
        </w:rPr>
        <w:t xml:space="preserve">; </w:t>
      </w:r>
      <w:r w:rsidR="006601BD">
        <w:rPr>
          <w:rFonts w:ascii="Book Antiqua" w:eastAsia="Book Antiqua" w:hAnsi="Book Antiqua" w:cs="Book Antiqua"/>
          <w:color w:val="000000"/>
        </w:rPr>
        <w:t xml:space="preserve">SD: </w:t>
      </w:r>
      <w:r w:rsidR="006601BD" w:rsidRPr="006601BD">
        <w:rPr>
          <w:rFonts w:ascii="Book Antiqua" w:eastAsia="Book Antiqua" w:hAnsi="Book Antiqua" w:cs="Book Antiqua"/>
          <w:caps/>
          <w:color w:val="000000"/>
        </w:rPr>
        <w:t>s</w:t>
      </w:r>
      <w:r w:rsidR="006601BD">
        <w:rPr>
          <w:rFonts w:ascii="Book Antiqua" w:eastAsia="Book Antiqua" w:hAnsi="Book Antiqua" w:cs="Book Antiqua"/>
          <w:color w:val="000000"/>
        </w:rPr>
        <w:t>tandard deviation</w:t>
      </w:r>
      <w:r w:rsidR="006601BD">
        <w:rPr>
          <w:rFonts w:ascii="Book Antiqua" w:hAnsi="Book Antiqua" w:cs="Book Antiqua" w:hint="eastAsia"/>
          <w:color w:val="000000"/>
          <w:lang w:eastAsia="zh-CN"/>
        </w:rPr>
        <w:t>.</w:t>
      </w:r>
    </w:p>
    <w:p w14:paraId="2B413334" w14:textId="77777777" w:rsidR="00223458" w:rsidRDefault="00223458" w:rsidP="00586943">
      <w:pPr>
        <w:spacing w:line="360" w:lineRule="auto"/>
        <w:jc w:val="both"/>
        <w:rPr>
          <w:lang w:eastAsia="zh-CN"/>
        </w:rPr>
        <w:sectPr w:rsidR="00223458">
          <w:pgSz w:w="12240" w:h="15840"/>
          <w:pgMar w:top="1440" w:right="1440" w:bottom="1440" w:left="1440" w:header="720" w:footer="720" w:gutter="0"/>
          <w:cols w:space="720"/>
          <w:docGrid w:linePitch="360"/>
        </w:sectPr>
      </w:pPr>
    </w:p>
    <w:p w14:paraId="7F560C08" w14:textId="77777777" w:rsidR="00A77B3E" w:rsidRDefault="002610D4" w:rsidP="0058694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Table 1</w:t>
      </w:r>
      <w:r w:rsidR="006601B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Basic characteristics of included studies in the systematic review and meta-analysis</w:t>
      </w:r>
    </w:p>
    <w:tbl>
      <w:tblPr>
        <w:tblW w:w="15385" w:type="dxa"/>
        <w:jc w:val="center"/>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2245"/>
        <w:gridCol w:w="908"/>
        <w:gridCol w:w="1560"/>
        <w:gridCol w:w="1042"/>
        <w:gridCol w:w="1696"/>
        <w:gridCol w:w="847"/>
        <w:gridCol w:w="716"/>
        <w:gridCol w:w="1151"/>
        <w:gridCol w:w="2970"/>
        <w:gridCol w:w="2250"/>
      </w:tblGrid>
      <w:tr w:rsidR="00223458" w:rsidRPr="00906C10" w14:paraId="603B914C" w14:textId="77777777" w:rsidTr="006A1754">
        <w:trPr>
          <w:trHeight w:val="417"/>
          <w:jc w:val="center"/>
        </w:trPr>
        <w:tc>
          <w:tcPr>
            <w:tcW w:w="2245"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3188D50" w14:textId="77777777" w:rsidR="00223458" w:rsidRPr="00906C10" w:rsidRDefault="00223458" w:rsidP="00586943">
            <w:pPr>
              <w:spacing w:line="360" w:lineRule="auto"/>
              <w:jc w:val="both"/>
              <w:rPr>
                <w:rFonts w:ascii="Book Antiqua" w:hAnsi="Book Antiqua"/>
                <w:b/>
                <w:bCs/>
                <w:lang w:eastAsia="zh-CN"/>
              </w:rPr>
            </w:pPr>
            <w:r w:rsidRPr="00906C10">
              <w:rPr>
                <w:rFonts w:ascii="Book Antiqua" w:hAnsi="Book Antiqua"/>
                <w:b/>
                <w:bCs/>
                <w:lang w:eastAsia="zh-CN"/>
              </w:rPr>
              <w:t>Ref.</w:t>
            </w:r>
          </w:p>
        </w:tc>
        <w:tc>
          <w:tcPr>
            <w:tcW w:w="90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FF1FA05"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Country</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111885B"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Study design</w:t>
            </w:r>
          </w:p>
        </w:tc>
        <w:tc>
          <w:tcPr>
            <w:tcW w:w="104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8A8CC53"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Study period</w:t>
            </w:r>
          </w:p>
        </w:tc>
        <w:tc>
          <w:tcPr>
            <w:tcW w:w="169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EB347A6" w14:textId="77777777" w:rsidR="00223458" w:rsidRPr="00906C10" w:rsidRDefault="00223458" w:rsidP="00586943">
            <w:pPr>
              <w:spacing w:line="360" w:lineRule="auto"/>
              <w:jc w:val="both"/>
              <w:rPr>
                <w:rFonts w:ascii="Book Antiqua" w:hAnsi="Book Antiqua"/>
                <w:b/>
              </w:rPr>
            </w:pPr>
            <w:r w:rsidRPr="00906C10">
              <w:rPr>
                <w:rFonts w:ascii="Book Antiqua" w:hAnsi="Book Antiqua"/>
                <w:b/>
                <w:bCs/>
              </w:rPr>
              <w:t>Number of patients/ intervention group</w:t>
            </w:r>
          </w:p>
        </w:tc>
        <w:tc>
          <w:tcPr>
            <w:tcW w:w="84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ED072D2"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Female %</w:t>
            </w:r>
          </w:p>
        </w:tc>
        <w:tc>
          <w:tcPr>
            <w:tcW w:w="71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DD1DDBB" w14:textId="77777777" w:rsidR="00223458" w:rsidRPr="00906C10" w:rsidRDefault="00223458" w:rsidP="00586943">
            <w:pPr>
              <w:spacing w:line="360" w:lineRule="auto"/>
              <w:jc w:val="both"/>
              <w:rPr>
                <w:rFonts w:ascii="Book Antiqua" w:hAnsi="Book Antiqua"/>
                <w:b/>
              </w:rPr>
            </w:pPr>
            <w:r w:rsidRPr="00906C10">
              <w:rPr>
                <w:rFonts w:ascii="Book Antiqua" w:hAnsi="Book Antiqua"/>
                <w:b/>
                <w:bCs/>
              </w:rPr>
              <w:t>Age</w:t>
            </w:r>
            <w:r w:rsidRPr="00906C10">
              <w:rPr>
                <w:rFonts w:ascii="Book Antiqua" w:hAnsi="Book Antiqua"/>
                <w:b/>
                <w:color w:val="1C1D1E"/>
                <w:shd w:val="clear" w:color="auto" w:fill="FFFFFF"/>
                <w:vertAlign w:val="superscript"/>
                <w:lang w:eastAsia="zh-CN"/>
              </w:rPr>
              <w:t>1</w:t>
            </w:r>
            <w:r w:rsidRPr="00906C10">
              <w:rPr>
                <w:rFonts w:ascii="Book Antiqua" w:hAnsi="Book Antiqua" w:cs="Arial"/>
                <w:b/>
                <w:color w:val="1C1D1E"/>
                <w:shd w:val="clear" w:color="auto" w:fill="FFFFFF"/>
              </w:rPr>
              <w:t>,</w:t>
            </w:r>
          </w:p>
          <w:p w14:paraId="7734459E"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 xml:space="preserve">(yr) </w:t>
            </w:r>
          </w:p>
        </w:tc>
        <w:tc>
          <w:tcPr>
            <w:tcW w:w="115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B5FB3D0"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Bleeding etiology</w:t>
            </w:r>
          </w:p>
        </w:tc>
        <w:tc>
          <w:tcPr>
            <w:tcW w:w="297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181FE51"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Outcome(s)</w:t>
            </w:r>
          </w:p>
        </w:tc>
        <w:tc>
          <w:tcPr>
            <w:tcW w:w="2250" w:type="dxa"/>
            <w:tcBorders>
              <w:top w:val="single" w:sz="4" w:space="0" w:color="auto"/>
              <w:bottom w:val="single" w:sz="4" w:space="0" w:color="auto"/>
            </w:tcBorders>
            <w:shd w:val="clear" w:color="auto" w:fill="auto"/>
            <w:tcMar>
              <w:top w:w="0" w:type="dxa"/>
              <w:left w:w="10" w:type="dxa"/>
              <w:bottom w:w="0" w:type="dxa"/>
              <w:right w:w="10" w:type="dxa"/>
            </w:tcMar>
            <w:vAlign w:val="center"/>
          </w:tcPr>
          <w:p w14:paraId="43063567" w14:textId="77777777" w:rsidR="00223458" w:rsidRPr="00906C10" w:rsidRDefault="00223458" w:rsidP="00586943">
            <w:pPr>
              <w:spacing w:line="360" w:lineRule="auto"/>
              <w:jc w:val="both"/>
              <w:rPr>
                <w:rFonts w:ascii="Book Antiqua" w:hAnsi="Book Antiqua"/>
                <w:b/>
                <w:bCs/>
              </w:rPr>
            </w:pPr>
            <w:r w:rsidRPr="00906C10">
              <w:rPr>
                <w:rFonts w:ascii="Book Antiqua" w:hAnsi="Book Antiqua"/>
                <w:b/>
                <w:bCs/>
              </w:rPr>
              <w:t>Embolic agents</w:t>
            </w:r>
          </w:p>
        </w:tc>
      </w:tr>
      <w:tr w:rsidR="00223458" w:rsidRPr="00906C10" w14:paraId="1D08B0DF" w14:textId="77777777" w:rsidTr="006A1754">
        <w:trPr>
          <w:jc w:val="center"/>
        </w:trPr>
        <w:tc>
          <w:tcPr>
            <w:tcW w:w="2245" w:type="dxa"/>
            <w:tcBorders>
              <w:top w:val="single" w:sz="4" w:space="0" w:color="auto"/>
            </w:tcBorders>
            <w:shd w:val="clear" w:color="auto" w:fill="auto"/>
            <w:tcMar>
              <w:top w:w="0" w:type="dxa"/>
              <w:left w:w="70" w:type="dxa"/>
              <w:bottom w:w="0" w:type="dxa"/>
              <w:right w:w="70" w:type="dxa"/>
            </w:tcMar>
            <w:vAlign w:val="center"/>
          </w:tcPr>
          <w:p w14:paraId="68420B7D" w14:textId="77777777" w:rsidR="00223458" w:rsidRPr="00906C10" w:rsidRDefault="00223458" w:rsidP="00586943">
            <w:pPr>
              <w:spacing w:line="360" w:lineRule="auto"/>
              <w:jc w:val="both"/>
              <w:rPr>
                <w:rFonts w:ascii="Book Antiqua" w:hAnsi="Book Antiqua"/>
              </w:rPr>
            </w:pPr>
            <w:r w:rsidRPr="00906C10">
              <w:rPr>
                <w:rFonts w:ascii="Book Antiqua" w:hAnsi="Book Antiqua"/>
              </w:rPr>
              <w:t xml:space="preserve">Arrayeah </w:t>
            </w:r>
            <w:r w:rsidRPr="00906C10">
              <w:rPr>
                <w:rFonts w:ascii="Book Antiqua" w:hAnsi="Book Antiqua"/>
                <w:i/>
              </w:rPr>
              <w:t>et al</w:t>
            </w:r>
            <w:r w:rsidRPr="00906C10">
              <w:rPr>
                <w:rFonts w:ascii="Book Antiqua" w:hAnsi="Book Antiqua"/>
                <w:vertAlign w:val="superscript"/>
              </w:rPr>
              <w:t>[27]</w:t>
            </w:r>
          </w:p>
        </w:tc>
        <w:tc>
          <w:tcPr>
            <w:tcW w:w="908" w:type="dxa"/>
            <w:tcBorders>
              <w:top w:val="single" w:sz="4" w:space="0" w:color="auto"/>
            </w:tcBorders>
            <w:shd w:val="clear" w:color="auto" w:fill="auto"/>
            <w:tcMar>
              <w:top w:w="0" w:type="dxa"/>
              <w:left w:w="70" w:type="dxa"/>
              <w:bottom w:w="0" w:type="dxa"/>
              <w:right w:w="70" w:type="dxa"/>
            </w:tcMar>
            <w:vAlign w:val="center"/>
          </w:tcPr>
          <w:p w14:paraId="48BFB66B"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lang w:eastAsia="zh-CN"/>
              </w:rPr>
              <w:t>United States</w:t>
            </w:r>
            <w:r w:rsidRPr="00906C10">
              <w:rPr>
                <w:rFonts w:ascii="Book Antiqua" w:hAnsi="Book Antiqua"/>
                <w:color w:val="000000"/>
              </w:rPr>
              <w:t>, Israel</w:t>
            </w:r>
          </w:p>
        </w:tc>
        <w:tc>
          <w:tcPr>
            <w:tcW w:w="1560" w:type="dxa"/>
            <w:tcBorders>
              <w:top w:val="single" w:sz="4" w:space="0" w:color="auto"/>
            </w:tcBorders>
            <w:shd w:val="clear" w:color="auto" w:fill="auto"/>
            <w:tcMar>
              <w:top w:w="0" w:type="dxa"/>
              <w:left w:w="70" w:type="dxa"/>
              <w:bottom w:w="0" w:type="dxa"/>
              <w:right w:w="70" w:type="dxa"/>
            </w:tcMar>
            <w:vAlign w:val="center"/>
          </w:tcPr>
          <w:p w14:paraId="7DC5F1F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tcBorders>
              <w:top w:val="single" w:sz="4" w:space="0" w:color="auto"/>
            </w:tcBorders>
            <w:shd w:val="clear" w:color="auto" w:fill="auto"/>
            <w:tcMar>
              <w:top w:w="0" w:type="dxa"/>
              <w:left w:w="70" w:type="dxa"/>
              <w:bottom w:w="0" w:type="dxa"/>
              <w:right w:w="70" w:type="dxa"/>
            </w:tcMar>
            <w:vAlign w:val="center"/>
          </w:tcPr>
          <w:p w14:paraId="2DDFD145" w14:textId="77777777" w:rsidR="00223458" w:rsidRPr="00906C10" w:rsidRDefault="00223458" w:rsidP="00586943">
            <w:pPr>
              <w:spacing w:line="360" w:lineRule="auto"/>
              <w:jc w:val="both"/>
              <w:rPr>
                <w:rFonts w:ascii="Book Antiqua" w:hAnsi="Book Antiqua"/>
                <w:color w:val="000000"/>
              </w:rPr>
            </w:pPr>
            <w:r>
              <w:rPr>
                <w:rFonts w:ascii="Book Antiqua" w:hAnsi="Book Antiqua"/>
                <w:color w:val="000000"/>
              </w:rPr>
              <w:t>1997–</w:t>
            </w:r>
            <w:r w:rsidRPr="00906C10">
              <w:rPr>
                <w:rFonts w:ascii="Book Antiqua" w:hAnsi="Book Antiqua"/>
                <w:color w:val="000000"/>
              </w:rPr>
              <w:t>2009</w:t>
            </w:r>
          </w:p>
        </w:tc>
        <w:tc>
          <w:tcPr>
            <w:tcW w:w="1696" w:type="dxa"/>
            <w:tcBorders>
              <w:top w:val="single" w:sz="4" w:space="0" w:color="auto"/>
            </w:tcBorders>
            <w:shd w:val="clear" w:color="auto" w:fill="auto"/>
            <w:tcMar>
              <w:top w:w="0" w:type="dxa"/>
              <w:left w:w="70" w:type="dxa"/>
              <w:bottom w:w="0" w:type="dxa"/>
              <w:right w:w="70" w:type="dxa"/>
            </w:tcMar>
            <w:vAlign w:val="center"/>
          </w:tcPr>
          <w:p w14:paraId="7E6BFD62" w14:textId="77777777" w:rsidR="00223458" w:rsidRPr="00906C10" w:rsidRDefault="00223458" w:rsidP="00586943">
            <w:pPr>
              <w:spacing w:line="360" w:lineRule="auto"/>
              <w:jc w:val="both"/>
              <w:rPr>
                <w:rFonts w:ascii="Book Antiqua" w:hAnsi="Book Antiqua"/>
              </w:rPr>
            </w:pPr>
            <w:r w:rsidRPr="00906C10">
              <w:rPr>
                <w:rFonts w:ascii="Book Antiqua" w:hAnsi="Book Antiqua"/>
              </w:rPr>
              <w:t>73/56</w:t>
            </w:r>
          </w:p>
        </w:tc>
        <w:tc>
          <w:tcPr>
            <w:tcW w:w="847" w:type="dxa"/>
            <w:tcBorders>
              <w:top w:val="single" w:sz="4" w:space="0" w:color="auto"/>
            </w:tcBorders>
            <w:shd w:val="clear" w:color="auto" w:fill="auto"/>
            <w:tcMar>
              <w:top w:w="0" w:type="dxa"/>
              <w:left w:w="70" w:type="dxa"/>
              <w:bottom w:w="0" w:type="dxa"/>
              <w:right w:w="70" w:type="dxa"/>
            </w:tcMar>
            <w:vAlign w:val="center"/>
          </w:tcPr>
          <w:p w14:paraId="0FE49715" w14:textId="77777777" w:rsidR="00223458" w:rsidRPr="00906C10" w:rsidRDefault="00223458" w:rsidP="00586943">
            <w:pPr>
              <w:spacing w:line="360" w:lineRule="auto"/>
              <w:jc w:val="both"/>
              <w:rPr>
                <w:rFonts w:ascii="Book Antiqua" w:hAnsi="Book Antiqua"/>
              </w:rPr>
            </w:pPr>
            <w:r w:rsidRPr="00906C10">
              <w:rPr>
                <w:rFonts w:ascii="Book Antiqua" w:hAnsi="Book Antiqua"/>
              </w:rPr>
              <w:t>40</w:t>
            </w:r>
          </w:p>
        </w:tc>
        <w:tc>
          <w:tcPr>
            <w:tcW w:w="716" w:type="dxa"/>
            <w:tcBorders>
              <w:top w:val="single" w:sz="4" w:space="0" w:color="auto"/>
            </w:tcBorders>
            <w:shd w:val="clear" w:color="auto" w:fill="auto"/>
            <w:tcMar>
              <w:top w:w="0" w:type="dxa"/>
              <w:left w:w="70" w:type="dxa"/>
              <w:bottom w:w="0" w:type="dxa"/>
              <w:right w:w="70" w:type="dxa"/>
            </w:tcMar>
            <w:vAlign w:val="center"/>
          </w:tcPr>
          <w:p w14:paraId="4F84CB7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61.1</w:t>
            </w:r>
          </w:p>
        </w:tc>
        <w:tc>
          <w:tcPr>
            <w:tcW w:w="1151" w:type="dxa"/>
            <w:tcBorders>
              <w:top w:val="single" w:sz="4" w:space="0" w:color="auto"/>
            </w:tcBorders>
            <w:shd w:val="clear" w:color="auto" w:fill="auto"/>
            <w:tcMar>
              <w:top w:w="0" w:type="dxa"/>
              <w:left w:w="70" w:type="dxa"/>
              <w:bottom w:w="0" w:type="dxa"/>
              <w:right w:w="70" w:type="dxa"/>
            </w:tcMar>
            <w:vAlign w:val="center"/>
          </w:tcPr>
          <w:p w14:paraId="347F192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NVUGIB</w:t>
            </w:r>
          </w:p>
        </w:tc>
        <w:tc>
          <w:tcPr>
            <w:tcW w:w="2970" w:type="dxa"/>
            <w:tcBorders>
              <w:top w:val="single" w:sz="4" w:space="0" w:color="auto"/>
            </w:tcBorders>
            <w:shd w:val="clear" w:color="auto" w:fill="auto"/>
            <w:tcMar>
              <w:top w:w="0" w:type="dxa"/>
              <w:left w:w="70" w:type="dxa"/>
              <w:bottom w:w="0" w:type="dxa"/>
              <w:right w:w="70" w:type="dxa"/>
            </w:tcMar>
            <w:vAlign w:val="center"/>
          </w:tcPr>
          <w:p w14:paraId="0AF3F2F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30-d mortality, reintervention, surgery</w:t>
            </w:r>
          </w:p>
        </w:tc>
        <w:tc>
          <w:tcPr>
            <w:tcW w:w="2250" w:type="dxa"/>
            <w:tcBorders>
              <w:top w:val="single" w:sz="4" w:space="0" w:color="auto"/>
            </w:tcBorders>
            <w:shd w:val="clear" w:color="auto" w:fill="auto"/>
            <w:tcMar>
              <w:top w:w="0" w:type="dxa"/>
              <w:left w:w="10" w:type="dxa"/>
              <w:bottom w:w="0" w:type="dxa"/>
              <w:right w:w="10" w:type="dxa"/>
            </w:tcMar>
            <w:vAlign w:val="center"/>
          </w:tcPr>
          <w:p w14:paraId="4BBC9764"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Microcoils, gelatin sponge, polyvinyl alcohol particles</w:t>
            </w:r>
          </w:p>
        </w:tc>
      </w:tr>
      <w:tr w:rsidR="00223458" w:rsidRPr="00906C10" w14:paraId="119B7369" w14:textId="77777777" w:rsidTr="006A1754">
        <w:trPr>
          <w:jc w:val="center"/>
        </w:trPr>
        <w:tc>
          <w:tcPr>
            <w:tcW w:w="2245" w:type="dxa"/>
            <w:shd w:val="clear" w:color="auto" w:fill="auto"/>
            <w:tcMar>
              <w:top w:w="0" w:type="dxa"/>
              <w:left w:w="108" w:type="dxa"/>
              <w:bottom w:w="0" w:type="dxa"/>
              <w:right w:w="108" w:type="dxa"/>
            </w:tcMar>
            <w:vAlign w:val="center"/>
          </w:tcPr>
          <w:p w14:paraId="717610CF"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Dixon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28</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596FBF12" w14:textId="77777777" w:rsidR="00223458" w:rsidRPr="00906C10" w:rsidRDefault="00223458" w:rsidP="00586943">
            <w:pPr>
              <w:spacing w:line="360" w:lineRule="auto"/>
              <w:jc w:val="both"/>
              <w:rPr>
                <w:rFonts w:ascii="Book Antiqua" w:hAnsi="Book Antiqua"/>
                <w:lang w:eastAsia="zh-CN"/>
              </w:rPr>
            </w:pPr>
            <w:r w:rsidRPr="00906C10">
              <w:rPr>
                <w:rFonts w:ascii="Book Antiqua" w:hAnsi="Book Antiqua"/>
                <w:lang w:eastAsia="zh-CN"/>
              </w:rPr>
              <w:t>United Kingdom</w:t>
            </w:r>
          </w:p>
        </w:tc>
        <w:tc>
          <w:tcPr>
            <w:tcW w:w="1560" w:type="dxa"/>
            <w:shd w:val="clear" w:color="auto" w:fill="auto"/>
            <w:tcMar>
              <w:top w:w="0" w:type="dxa"/>
              <w:left w:w="108" w:type="dxa"/>
              <w:bottom w:w="0" w:type="dxa"/>
              <w:right w:w="108" w:type="dxa"/>
            </w:tcMar>
            <w:vAlign w:val="center"/>
          </w:tcPr>
          <w:p w14:paraId="2F0208B5"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7C14C232" w14:textId="77777777" w:rsidR="00223458" w:rsidRPr="00906C10" w:rsidRDefault="00223458" w:rsidP="00586943">
            <w:pPr>
              <w:spacing w:line="360" w:lineRule="auto"/>
              <w:jc w:val="both"/>
              <w:rPr>
                <w:rFonts w:ascii="Book Antiqua" w:hAnsi="Book Antiqua"/>
              </w:rPr>
            </w:pPr>
            <w:r>
              <w:rPr>
                <w:rFonts w:ascii="Book Antiqua" w:hAnsi="Book Antiqua"/>
              </w:rPr>
              <w:t>05.2008–</w:t>
            </w:r>
            <w:r w:rsidRPr="00906C10">
              <w:rPr>
                <w:rFonts w:ascii="Book Antiqua" w:hAnsi="Book Antiqua"/>
              </w:rPr>
              <w:t>11.2010</w:t>
            </w:r>
          </w:p>
        </w:tc>
        <w:tc>
          <w:tcPr>
            <w:tcW w:w="1696" w:type="dxa"/>
            <w:shd w:val="clear" w:color="auto" w:fill="auto"/>
            <w:tcMar>
              <w:top w:w="0" w:type="dxa"/>
              <w:left w:w="108" w:type="dxa"/>
              <w:bottom w:w="0" w:type="dxa"/>
              <w:right w:w="108" w:type="dxa"/>
            </w:tcMar>
            <w:vAlign w:val="center"/>
          </w:tcPr>
          <w:p w14:paraId="436AEC14" w14:textId="77777777" w:rsidR="00223458" w:rsidRPr="00906C10" w:rsidRDefault="00223458" w:rsidP="00586943">
            <w:pPr>
              <w:spacing w:line="360" w:lineRule="auto"/>
              <w:jc w:val="both"/>
              <w:rPr>
                <w:rFonts w:ascii="Book Antiqua" w:hAnsi="Book Antiqua"/>
              </w:rPr>
            </w:pPr>
            <w:r w:rsidRPr="00906C10">
              <w:rPr>
                <w:rFonts w:ascii="Book Antiqua" w:hAnsi="Book Antiqua"/>
              </w:rPr>
              <w:t>27/20</w:t>
            </w:r>
          </w:p>
        </w:tc>
        <w:tc>
          <w:tcPr>
            <w:tcW w:w="847" w:type="dxa"/>
            <w:shd w:val="clear" w:color="auto" w:fill="auto"/>
            <w:tcMar>
              <w:top w:w="0" w:type="dxa"/>
              <w:left w:w="108" w:type="dxa"/>
              <w:bottom w:w="0" w:type="dxa"/>
              <w:right w:w="108" w:type="dxa"/>
            </w:tcMar>
            <w:vAlign w:val="center"/>
          </w:tcPr>
          <w:p w14:paraId="77EF951A" w14:textId="77777777" w:rsidR="00223458" w:rsidRPr="00906C10" w:rsidRDefault="00223458" w:rsidP="00586943">
            <w:pPr>
              <w:spacing w:line="360" w:lineRule="auto"/>
              <w:jc w:val="both"/>
              <w:rPr>
                <w:rFonts w:ascii="Book Antiqua" w:hAnsi="Book Antiqua"/>
              </w:rPr>
            </w:pPr>
            <w:r w:rsidRPr="00906C10">
              <w:rPr>
                <w:rFonts w:ascii="Book Antiqua" w:hAnsi="Book Antiqua"/>
              </w:rPr>
              <w:t>18.5</w:t>
            </w:r>
          </w:p>
        </w:tc>
        <w:tc>
          <w:tcPr>
            <w:tcW w:w="716" w:type="dxa"/>
            <w:shd w:val="clear" w:color="auto" w:fill="auto"/>
            <w:tcMar>
              <w:top w:w="0" w:type="dxa"/>
              <w:left w:w="108" w:type="dxa"/>
              <w:bottom w:w="0" w:type="dxa"/>
              <w:right w:w="108" w:type="dxa"/>
            </w:tcMar>
            <w:vAlign w:val="center"/>
          </w:tcPr>
          <w:p w14:paraId="3D37FE7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66</w:t>
            </w:r>
          </w:p>
        </w:tc>
        <w:tc>
          <w:tcPr>
            <w:tcW w:w="1151" w:type="dxa"/>
            <w:shd w:val="clear" w:color="auto" w:fill="auto"/>
            <w:tcMar>
              <w:top w:w="0" w:type="dxa"/>
              <w:left w:w="108" w:type="dxa"/>
              <w:bottom w:w="0" w:type="dxa"/>
              <w:right w:w="108" w:type="dxa"/>
            </w:tcMar>
            <w:vAlign w:val="center"/>
          </w:tcPr>
          <w:p w14:paraId="282A8E3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NVUGIB of duodenal origin</w:t>
            </w:r>
          </w:p>
        </w:tc>
        <w:tc>
          <w:tcPr>
            <w:tcW w:w="2970" w:type="dxa"/>
            <w:shd w:val="clear" w:color="auto" w:fill="auto"/>
            <w:tcMar>
              <w:top w:w="0" w:type="dxa"/>
              <w:left w:w="108" w:type="dxa"/>
              <w:bottom w:w="0" w:type="dxa"/>
              <w:right w:w="108" w:type="dxa"/>
            </w:tcMar>
            <w:vAlign w:val="center"/>
          </w:tcPr>
          <w:p w14:paraId="039EFCDF"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30-d mortality, reintervention</w:t>
            </w:r>
          </w:p>
        </w:tc>
        <w:tc>
          <w:tcPr>
            <w:tcW w:w="2250" w:type="dxa"/>
            <w:shd w:val="clear" w:color="auto" w:fill="auto"/>
            <w:tcMar>
              <w:top w:w="0" w:type="dxa"/>
              <w:left w:w="10" w:type="dxa"/>
              <w:bottom w:w="0" w:type="dxa"/>
              <w:right w:w="10" w:type="dxa"/>
            </w:tcMar>
            <w:vAlign w:val="center"/>
          </w:tcPr>
          <w:p w14:paraId="0557BA8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Microcoils alone or combined with gelatin/gelfoam sponge, polyvinyl alcohol particles</w:t>
            </w:r>
          </w:p>
        </w:tc>
      </w:tr>
      <w:tr w:rsidR="00223458" w:rsidRPr="00906C10" w14:paraId="49BB4DCA" w14:textId="77777777" w:rsidTr="006A1754">
        <w:trPr>
          <w:jc w:val="center"/>
        </w:trPr>
        <w:tc>
          <w:tcPr>
            <w:tcW w:w="2245" w:type="dxa"/>
            <w:shd w:val="clear" w:color="auto" w:fill="auto"/>
            <w:tcMar>
              <w:top w:w="0" w:type="dxa"/>
              <w:left w:w="108" w:type="dxa"/>
              <w:bottom w:w="0" w:type="dxa"/>
              <w:right w:w="108" w:type="dxa"/>
            </w:tcMar>
            <w:vAlign w:val="center"/>
          </w:tcPr>
          <w:p w14:paraId="13A736A0"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Kaminskis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11</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10E74370" w14:textId="77777777" w:rsidR="00223458" w:rsidRPr="00906C10" w:rsidRDefault="00223458" w:rsidP="00586943">
            <w:pPr>
              <w:spacing w:line="360" w:lineRule="auto"/>
              <w:jc w:val="both"/>
              <w:rPr>
                <w:rFonts w:ascii="Book Antiqua" w:hAnsi="Book Antiqua"/>
              </w:rPr>
            </w:pPr>
            <w:r w:rsidRPr="00906C10">
              <w:rPr>
                <w:rFonts w:ascii="Book Antiqua" w:hAnsi="Book Antiqua"/>
              </w:rPr>
              <w:t>Latvia</w:t>
            </w:r>
          </w:p>
        </w:tc>
        <w:tc>
          <w:tcPr>
            <w:tcW w:w="1560" w:type="dxa"/>
            <w:shd w:val="clear" w:color="auto" w:fill="auto"/>
            <w:tcMar>
              <w:top w:w="0" w:type="dxa"/>
              <w:left w:w="108" w:type="dxa"/>
              <w:bottom w:w="0" w:type="dxa"/>
              <w:right w:w="108" w:type="dxa"/>
            </w:tcMar>
            <w:vAlign w:val="center"/>
          </w:tcPr>
          <w:p w14:paraId="1312D2B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prospective cohort</w:t>
            </w:r>
          </w:p>
        </w:tc>
        <w:tc>
          <w:tcPr>
            <w:tcW w:w="1042" w:type="dxa"/>
            <w:shd w:val="clear" w:color="auto" w:fill="auto"/>
            <w:tcMar>
              <w:top w:w="0" w:type="dxa"/>
              <w:left w:w="108" w:type="dxa"/>
              <w:bottom w:w="0" w:type="dxa"/>
              <w:right w:w="108" w:type="dxa"/>
            </w:tcMar>
            <w:vAlign w:val="center"/>
          </w:tcPr>
          <w:p w14:paraId="542A84B4" w14:textId="77777777" w:rsidR="00223458" w:rsidRPr="00906C10" w:rsidRDefault="00223458" w:rsidP="00586943">
            <w:pPr>
              <w:spacing w:line="360" w:lineRule="auto"/>
              <w:jc w:val="both"/>
              <w:rPr>
                <w:rFonts w:ascii="Book Antiqua" w:hAnsi="Book Antiqua"/>
              </w:rPr>
            </w:pPr>
            <w:r>
              <w:rPr>
                <w:rFonts w:ascii="Book Antiqua" w:hAnsi="Book Antiqua"/>
              </w:rPr>
              <w:t>2014–</w:t>
            </w:r>
            <w:r w:rsidRPr="00906C10">
              <w:rPr>
                <w:rFonts w:ascii="Book Antiqua" w:hAnsi="Book Antiqua"/>
              </w:rPr>
              <w:t>2018</w:t>
            </w:r>
          </w:p>
        </w:tc>
        <w:tc>
          <w:tcPr>
            <w:tcW w:w="1696" w:type="dxa"/>
            <w:shd w:val="clear" w:color="auto" w:fill="auto"/>
            <w:tcMar>
              <w:top w:w="0" w:type="dxa"/>
              <w:left w:w="108" w:type="dxa"/>
              <w:bottom w:w="0" w:type="dxa"/>
              <w:right w:w="108" w:type="dxa"/>
            </w:tcMar>
            <w:vAlign w:val="center"/>
          </w:tcPr>
          <w:p w14:paraId="7E31DF81" w14:textId="77777777" w:rsidR="00223458" w:rsidRPr="00906C10" w:rsidRDefault="00223458" w:rsidP="00586943">
            <w:pPr>
              <w:spacing w:line="360" w:lineRule="auto"/>
              <w:jc w:val="both"/>
              <w:rPr>
                <w:rFonts w:ascii="Book Antiqua" w:hAnsi="Book Antiqua"/>
              </w:rPr>
            </w:pPr>
            <w:r w:rsidRPr="00906C10">
              <w:rPr>
                <w:rFonts w:ascii="Book Antiqua" w:hAnsi="Book Antiqua"/>
              </w:rPr>
              <w:t>399/58</w:t>
            </w:r>
          </w:p>
        </w:tc>
        <w:tc>
          <w:tcPr>
            <w:tcW w:w="847" w:type="dxa"/>
            <w:shd w:val="clear" w:color="auto" w:fill="auto"/>
            <w:tcMar>
              <w:top w:w="0" w:type="dxa"/>
              <w:left w:w="108" w:type="dxa"/>
              <w:bottom w:w="0" w:type="dxa"/>
              <w:right w:w="108" w:type="dxa"/>
            </w:tcMar>
            <w:vAlign w:val="center"/>
          </w:tcPr>
          <w:p w14:paraId="5A584A34" w14:textId="77777777" w:rsidR="00223458" w:rsidRPr="00906C10" w:rsidRDefault="00223458" w:rsidP="00586943">
            <w:pPr>
              <w:spacing w:line="360" w:lineRule="auto"/>
              <w:jc w:val="both"/>
              <w:rPr>
                <w:rFonts w:ascii="Book Antiqua" w:hAnsi="Book Antiqua"/>
              </w:rPr>
            </w:pPr>
            <w:r w:rsidRPr="00906C10">
              <w:rPr>
                <w:rFonts w:ascii="Book Antiqua" w:hAnsi="Book Antiqua"/>
              </w:rPr>
              <w:t>44.4</w:t>
            </w:r>
          </w:p>
        </w:tc>
        <w:tc>
          <w:tcPr>
            <w:tcW w:w="716" w:type="dxa"/>
            <w:shd w:val="clear" w:color="auto" w:fill="auto"/>
            <w:tcMar>
              <w:top w:w="0" w:type="dxa"/>
              <w:left w:w="108" w:type="dxa"/>
              <w:bottom w:w="0" w:type="dxa"/>
              <w:right w:w="108" w:type="dxa"/>
            </w:tcMar>
            <w:vAlign w:val="center"/>
          </w:tcPr>
          <w:p w14:paraId="08238DE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67</w:t>
            </w:r>
          </w:p>
        </w:tc>
        <w:tc>
          <w:tcPr>
            <w:tcW w:w="1151" w:type="dxa"/>
            <w:shd w:val="clear" w:color="auto" w:fill="auto"/>
            <w:tcMar>
              <w:top w:w="0" w:type="dxa"/>
              <w:left w:w="108" w:type="dxa"/>
              <w:bottom w:w="0" w:type="dxa"/>
              <w:right w:w="108" w:type="dxa"/>
            </w:tcMar>
            <w:vAlign w:val="center"/>
          </w:tcPr>
          <w:p w14:paraId="57087930"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igh-risk peptic ulcer</w:t>
            </w:r>
          </w:p>
        </w:tc>
        <w:tc>
          <w:tcPr>
            <w:tcW w:w="2970" w:type="dxa"/>
            <w:shd w:val="clear" w:color="auto" w:fill="auto"/>
            <w:tcMar>
              <w:top w:w="0" w:type="dxa"/>
              <w:left w:w="108" w:type="dxa"/>
              <w:bottom w:w="0" w:type="dxa"/>
              <w:right w:w="108" w:type="dxa"/>
            </w:tcMar>
            <w:vAlign w:val="center"/>
          </w:tcPr>
          <w:p w14:paraId="7B1E1A3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in-hospital mortality, surgery, hospital stay, ICU stay, transfused blood units</w:t>
            </w:r>
          </w:p>
        </w:tc>
        <w:tc>
          <w:tcPr>
            <w:tcW w:w="2250" w:type="dxa"/>
            <w:shd w:val="clear" w:color="auto" w:fill="auto"/>
            <w:tcMar>
              <w:top w:w="0" w:type="dxa"/>
              <w:left w:w="10" w:type="dxa"/>
              <w:bottom w:w="0" w:type="dxa"/>
              <w:right w:w="10" w:type="dxa"/>
            </w:tcMar>
            <w:vAlign w:val="center"/>
          </w:tcPr>
          <w:p w14:paraId="4CE008B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w:t>
            </w:r>
            <w:r w:rsidRPr="00906C10">
              <w:rPr>
                <w:rFonts w:ascii="Book Antiqua" w:hAnsi="Book Antiqua"/>
                <w:caps/>
                <w:color w:val="000000"/>
              </w:rPr>
              <w:t>d</w:t>
            </w:r>
          </w:p>
        </w:tc>
      </w:tr>
      <w:tr w:rsidR="00223458" w:rsidRPr="00906C10" w14:paraId="10AEA49D" w14:textId="77777777" w:rsidTr="006A1754">
        <w:trPr>
          <w:jc w:val="center"/>
        </w:trPr>
        <w:tc>
          <w:tcPr>
            <w:tcW w:w="2245" w:type="dxa"/>
            <w:shd w:val="clear" w:color="auto" w:fill="auto"/>
            <w:tcMar>
              <w:top w:w="0" w:type="dxa"/>
              <w:left w:w="108" w:type="dxa"/>
              <w:bottom w:w="0" w:type="dxa"/>
              <w:right w:w="108" w:type="dxa"/>
            </w:tcMar>
            <w:vAlign w:val="center"/>
          </w:tcPr>
          <w:p w14:paraId="31A41B25"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Kaminskis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12</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7FB22F55" w14:textId="77777777" w:rsidR="00223458" w:rsidRPr="00906C10" w:rsidRDefault="00223458" w:rsidP="00586943">
            <w:pPr>
              <w:spacing w:line="360" w:lineRule="auto"/>
              <w:jc w:val="both"/>
              <w:rPr>
                <w:rFonts w:ascii="Book Antiqua" w:hAnsi="Book Antiqua"/>
              </w:rPr>
            </w:pPr>
            <w:r w:rsidRPr="00906C10">
              <w:rPr>
                <w:rFonts w:ascii="Book Antiqua" w:hAnsi="Book Antiqua"/>
              </w:rPr>
              <w:t>Latvia</w:t>
            </w:r>
          </w:p>
        </w:tc>
        <w:tc>
          <w:tcPr>
            <w:tcW w:w="1560" w:type="dxa"/>
            <w:shd w:val="clear" w:color="auto" w:fill="auto"/>
            <w:tcMar>
              <w:top w:w="0" w:type="dxa"/>
              <w:left w:w="108" w:type="dxa"/>
              <w:bottom w:w="0" w:type="dxa"/>
              <w:right w:w="108" w:type="dxa"/>
            </w:tcMar>
            <w:vAlign w:val="center"/>
          </w:tcPr>
          <w:p w14:paraId="71CEC85C"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prospective cohort</w:t>
            </w:r>
          </w:p>
        </w:tc>
        <w:tc>
          <w:tcPr>
            <w:tcW w:w="1042" w:type="dxa"/>
            <w:shd w:val="clear" w:color="auto" w:fill="auto"/>
            <w:tcMar>
              <w:top w:w="0" w:type="dxa"/>
              <w:left w:w="108" w:type="dxa"/>
              <w:bottom w:w="0" w:type="dxa"/>
              <w:right w:w="108" w:type="dxa"/>
            </w:tcMar>
            <w:vAlign w:val="center"/>
          </w:tcPr>
          <w:p w14:paraId="24E974A0" w14:textId="77777777" w:rsidR="00223458" w:rsidRPr="00906C10" w:rsidRDefault="00223458" w:rsidP="00586943">
            <w:pPr>
              <w:spacing w:line="360" w:lineRule="auto"/>
              <w:jc w:val="both"/>
              <w:rPr>
                <w:rFonts w:ascii="Book Antiqua" w:hAnsi="Book Antiqua"/>
              </w:rPr>
            </w:pPr>
            <w:r>
              <w:rPr>
                <w:rFonts w:ascii="Book Antiqua" w:hAnsi="Book Antiqua"/>
              </w:rPr>
              <w:t>2010–</w:t>
            </w:r>
            <w:r w:rsidRPr="00906C10">
              <w:rPr>
                <w:rFonts w:ascii="Book Antiqua" w:hAnsi="Book Antiqua"/>
              </w:rPr>
              <w:t>2013</w:t>
            </w:r>
          </w:p>
        </w:tc>
        <w:tc>
          <w:tcPr>
            <w:tcW w:w="1696" w:type="dxa"/>
            <w:shd w:val="clear" w:color="auto" w:fill="auto"/>
            <w:tcMar>
              <w:top w:w="0" w:type="dxa"/>
              <w:left w:w="108" w:type="dxa"/>
              <w:bottom w:w="0" w:type="dxa"/>
              <w:right w:w="108" w:type="dxa"/>
            </w:tcMar>
            <w:vAlign w:val="center"/>
          </w:tcPr>
          <w:p w14:paraId="2B2BD3B3" w14:textId="77777777" w:rsidR="00223458" w:rsidRPr="00906C10" w:rsidRDefault="00223458" w:rsidP="00586943">
            <w:pPr>
              <w:spacing w:line="360" w:lineRule="auto"/>
              <w:jc w:val="both"/>
              <w:rPr>
                <w:rFonts w:ascii="Book Antiqua" w:hAnsi="Book Antiqua"/>
              </w:rPr>
            </w:pPr>
            <w:r w:rsidRPr="00906C10">
              <w:rPr>
                <w:rFonts w:ascii="Book Antiqua" w:hAnsi="Book Antiqua"/>
              </w:rPr>
              <w:t>75/25</w:t>
            </w:r>
          </w:p>
        </w:tc>
        <w:tc>
          <w:tcPr>
            <w:tcW w:w="847" w:type="dxa"/>
            <w:shd w:val="clear" w:color="auto" w:fill="auto"/>
            <w:tcMar>
              <w:top w:w="0" w:type="dxa"/>
              <w:left w:w="108" w:type="dxa"/>
              <w:bottom w:w="0" w:type="dxa"/>
              <w:right w:w="108" w:type="dxa"/>
            </w:tcMar>
            <w:vAlign w:val="center"/>
          </w:tcPr>
          <w:p w14:paraId="4B654EFF" w14:textId="77777777" w:rsidR="00223458" w:rsidRPr="00906C10" w:rsidRDefault="00223458" w:rsidP="00586943">
            <w:pPr>
              <w:spacing w:line="360" w:lineRule="auto"/>
              <w:jc w:val="both"/>
              <w:rPr>
                <w:rFonts w:ascii="Book Antiqua" w:hAnsi="Book Antiqua"/>
              </w:rPr>
            </w:pPr>
            <w:r w:rsidRPr="00906C10">
              <w:rPr>
                <w:rFonts w:ascii="Book Antiqua" w:hAnsi="Book Antiqua"/>
              </w:rPr>
              <w:t>66.6</w:t>
            </w:r>
          </w:p>
        </w:tc>
        <w:tc>
          <w:tcPr>
            <w:tcW w:w="716" w:type="dxa"/>
            <w:shd w:val="clear" w:color="auto" w:fill="auto"/>
            <w:tcMar>
              <w:top w:w="0" w:type="dxa"/>
              <w:left w:w="108" w:type="dxa"/>
              <w:bottom w:w="0" w:type="dxa"/>
              <w:right w:w="108" w:type="dxa"/>
            </w:tcMar>
            <w:vAlign w:val="center"/>
          </w:tcPr>
          <w:p w14:paraId="089465B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64</w:t>
            </w:r>
          </w:p>
        </w:tc>
        <w:tc>
          <w:tcPr>
            <w:tcW w:w="1151" w:type="dxa"/>
            <w:shd w:val="clear" w:color="auto" w:fill="auto"/>
            <w:tcMar>
              <w:top w:w="0" w:type="dxa"/>
              <w:left w:w="108" w:type="dxa"/>
              <w:bottom w:w="0" w:type="dxa"/>
              <w:right w:w="108" w:type="dxa"/>
            </w:tcMar>
            <w:vAlign w:val="center"/>
          </w:tcPr>
          <w:p w14:paraId="400F6949"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igh-risk peptic ulcer</w:t>
            </w:r>
          </w:p>
        </w:tc>
        <w:tc>
          <w:tcPr>
            <w:tcW w:w="2970" w:type="dxa"/>
            <w:shd w:val="clear" w:color="auto" w:fill="auto"/>
            <w:tcMar>
              <w:top w:w="0" w:type="dxa"/>
              <w:left w:w="108" w:type="dxa"/>
              <w:bottom w:w="0" w:type="dxa"/>
              <w:right w:w="108" w:type="dxa"/>
            </w:tcMar>
            <w:vAlign w:val="center"/>
          </w:tcPr>
          <w:p w14:paraId="2A46F1C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in-hospital mortality, surgery, hospital stay, ICU stay, transfused blood units</w:t>
            </w:r>
          </w:p>
        </w:tc>
        <w:tc>
          <w:tcPr>
            <w:tcW w:w="2250" w:type="dxa"/>
            <w:shd w:val="clear" w:color="auto" w:fill="auto"/>
            <w:tcMar>
              <w:top w:w="0" w:type="dxa"/>
              <w:left w:w="10" w:type="dxa"/>
              <w:bottom w:w="0" w:type="dxa"/>
              <w:right w:w="10" w:type="dxa"/>
            </w:tcMar>
            <w:vAlign w:val="center"/>
          </w:tcPr>
          <w:p w14:paraId="7EB569F4"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Coil or sandwich technique</w:t>
            </w:r>
          </w:p>
        </w:tc>
      </w:tr>
      <w:tr w:rsidR="00223458" w:rsidRPr="00906C10" w14:paraId="7595B082" w14:textId="77777777" w:rsidTr="006A1754">
        <w:trPr>
          <w:jc w:val="center"/>
        </w:trPr>
        <w:tc>
          <w:tcPr>
            <w:tcW w:w="2245" w:type="dxa"/>
            <w:shd w:val="clear" w:color="auto" w:fill="auto"/>
            <w:tcMar>
              <w:top w:w="0" w:type="dxa"/>
              <w:left w:w="108" w:type="dxa"/>
              <w:bottom w:w="0" w:type="dxa"/>
              <w:right w:w="108" w:type="dxa"/>
            </w:tcMar>
            <w:vAlign w:val="center"/>
          </w:tcPr>
          <w:p w14:paraId="16EDCEF7"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Lau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10</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3C29887C" w14:textId="77777777" w:rsidR="00223458" w:rsidRPr="00906C10" w:rsidRDefault="00223458" w:rsidP="00586943">
            <w:pPr>
              <w:spacing w:line="360" w:lineRule="auto"/>
              <w:jc w:val="both"/>
              <w:rPr>
                <w:rFonts w:ascii="Book Antiqua" w:hAnsi="Book Antiqua"/>
              </w:rPr>
            </w:pPr>
            <w:r w:rsidRPr="00906C10">
              <w:rPr>
                <w:rFonts w:ascii="Book Antiqua" w:hAnsi="Book Antiqua"/>
              </w:rPr>
              <w:t>China</w:t>
            </w:r>
          </w:p>
        </w:tc>
        <w:tc>
          <w:tcPr>
            <w:tcW w:w="1560" w:type="dxa"/>
            <w:shd w:val="clear" w:color="auto" w:fill="auto"/>
            <w:tcMar>
              <w:top w:w="0" w:type="dxa"/>
              <w:left w:w="108" w:type="dxa"/>
              <w:bottom w:w="0" w:type="dxa"/>
              <w:right w:w="108" w:type="dxa"/>
            </w:tcMar>
            <w:vAlign w:val="center"/>
          </w:tcPr>
          <w:p w14:paraId="2065E41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randomized controlled trial</w:t>
            </w:r>
          </w:p>
        </w:tc>
        <w:tc>
          <w:tcPr>
            <w:tcW w:w="1042" w:type="dxa"/>
            <w:shd w:val="clear" w:color="auto" w:fill="auto"/>
            <w:tcMar>
              <w:top w:w="0" w:type="dxa"/>
              <w:left w:w="108" w:type="dxa"/>
              <w:bottom w:w="0" w:type="dxa"/>
              <w:right w:w="108" w:type="dxa"/>
            </w:tcMar>
            <w:vAlign w:val="center"/>
          </w:tcPr>
          <w:p w14:paraId="7FEB7D5F" w14:textId="77777777" w:rsidR="00223458" w:rsidRPr="00906C10" w:rsidRDefault="00223458" w:rsidP="00586943">
            <w:pPr>
              <w:spacing w:line="360" w:lineRule="auto"/>
              <w:jc w:val="both"/>
              <w:rPr>
                <w:rFonts w:ascii="Book Antiqua" w:hAnsi="Book Antiqua"/>
              </w:rPr>
            </w:pPr>
            <w:r>
              <w:rPr>
                <w:rFonts w:ascii="Book Antiqua" w:hAnsi="Book Antiqua"/>
              </w:rPr>
              <w:t>2010–</w:t>
            </w:r>
            <w:r w:rsidRPr="00906C10">
              <w:rPr>
                <w:rFonts w:ascii="Book Antiqua" w:hAnsi="Book Antiqua"/>
              </w:rPr>
              <w:t>2014</w:t>
            </w:r>
          </w:p>
        </w:tc>
        <w:tc>
          <w:tcPr>
            <w:tcW w:w="1696" w:type="dxa"/>
            <w:shd w:val="clear" w:color="auto" w:fill="auto"/>
            <w:tcMar>
              <w:top w:w="0" w:type="dxa"/>
              <w:left w:w="108" w:type="dxa"/>
              <w:bottom w:w="0" w:type="dxa"/>
              <w:right w:w="108" w:type="dxa"/>
            </w:tcMar>
            <w:vAlign w:val="center"/>
          </w:tcPr>
          <w:p w14:paraId="0835A8DD" w14:textId="77777777" w:rsidR="00223458" w:rsidRPr="00906C10" w:rsidRDefault="00223458" w:rsidP="00586943">
            <w:pPr>
              <w:spacing w:line="360" w:lineRule="auto"/>
              <w:jc w:val="both"/>
              <w:rPr>
                <w:rFonts w:ascii="Book Antiqua" w:hAnsi="Book Antiqua"/>
              </w:rPr>
            </w:pPr>
            <w:r w:rsidRPr="00906C10">
              <w:rPr>
                <w:rFonts w:ascii="Book Antiqua" w:hAnsi="Book Antiqua"/>
              </w:rPr>
              <w:t>241/118</w:t>
            </w:r>
          </w:p>
        </w:tc>
        <w:tc>
          <w:tcPr>
            <w:tcW w:w="847" w:type="dxa"/>
            <w:shd w:val="clear" w:color="auto" w:fill="auto"/>
            <w:tcMar>
              <w:top w:w="0" w:type="dxa"/>
              <w:left w:w="108" w:type="dxa"/>
              <w:bottom w:w="0" w:type="dxa"/>
              <w:right w:w="108" w:type="dxa"/>
            </w:tcMar>
            <w:vAlign w:val="center"/>
          </w:tcPr>
          <w:p w14:paraId="0D9BE9CD" w14:textId="77777777" w:rsidR="00223458" w:rsidRPr="00906C10" w:rsidRDefault="00223458" w:rsidP="00586943">
            <w:pPr>
              <w:spacing w:line="360" w:lineRule="auto"/>
              <w:jc w:val="both"/>
              <w:rPr>
                <w:rFonts w:ascii="Book Antiqua" w:hAnsi="Book Antiqua"/>
              </w:rPr>
            </w:pPr>
            <w:r w:rsidRPr="00906C10">
              <w:rPr>
                <w:rFonts w:ascii="Book Antiqua" w:hAnsi="Book Antiqua"/>
              </w:rPr>
              <w:t>24.9</w:t>
            </w:r>
          </w:p>
        </w:tc>
        <w:tc>
          <w:tcPr>
            <w:tcW w:w="716" w:type="dxa"/>
            <w:shd w:val="clear" w:color="auto" w:fill="auto"/>
            <w:tcMar>
              <w:top w:w="0" w:type="dxa"/>
              <w:left w:w="108" w:type="dxa"/>
              <w:bottom w:w="0" w:type="dxa"/>
              <w:right w:w="108" w:type="dxa"/>
            </w:tcMar>
            <w:vAlign w:val="center"/>
          </w:tcPr>
          <w:p w14:paraId="316503D6"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66</w:t>
            </w:r>
          </w:p>
        </w:tc>
        <w:tc>
          <w:tcPr>
            <w:tcW w:w="1151" w:type="dxa"/>
            <w:shd w:val="clear" w:color="auto" w:fill="auto"/>
            <w:tcMar>
              <w:top w:w="0" w:type="dxa"/>
              <w:left w:w="108" w:type="dxa"/>
              <w:bottom w:w="0" w:type="dxa"/>
              <w:right w:w="108" w:type="dxa"/>
            </w:tcMar>
            <w:vAlign w:val="center"/>
          </w:tcPr>
          <w:p w14:paraId="0B510296"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igh-risk peptic ulcer</w:t>
            </w:r>
          </w:p>
        </w:tc>
        <w:tc>
          <w:tcPr>
            <w:tcW w:w="2970" w:type="dxa"/>
            <w:shd w:val="clear" w:color="auto" w:fill="auto"/>
            <w:tcMar>
              <w:top w:w="0" w:type="dxa"/>
              <w:left w:w="108" w:type="dxa"/>
              <w:bottom w:w="0" w:type="dxa"/>
              <w:right w:w="108" w:type="dxa"/>
            </w:tcMar>
            <w:vAlign w:val="center"/>
          </w:tcPr>
          <w:p w14:paraId="3DDCDFC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30-d mortality, reintervention, surgery, hospital stay, ICU stay, transfused blood units</w:t>
            </w:r>
          </w:p>
        </w:tc>
        <w:tc>
          <w:tcPr>
            <w:tcW w:w="2250" w:type="dxa"/>
            <w:shd w:val="clear" w:color="auto" w:fill="auto"/>
            <w:tcMar>
              <w:top w:w="0" w:type="dxa"/>
              <w:left w:w="10" w:type="dxa"/>
              <w:bottom w:w="0" w:type="dxa"/>
              <w:right w:w="10" w:type="dxa"/>
            </w:tcMar>
            <w:vAlign w:val="center"/>
          </w:tcPr>
          <w:p w14:paraId="5D8294DC"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Sandwich technique: coils and gel foam particles</w:t>
            </w:r>
          </w:p>
        </w:tc>
      </w:tr>
      <w:tr w:rsidR="00223458" w:rsidRPr="00906C10" w14:paraId="4D678E32" w14:textId="77777777" w:rsidTr="006A1754">
        <w:trPr>
          <w:jc w:val="center"/>
        </w:trPr>
        <w:tc>
          <w:tcPr>
            <w:tcW w:w="2245" w:type="dxa"/>
            <w:shd w:val="clear" w:color="auto" w:fill="auto"/>
            <w:tcMar>
              <w:top w:w="0" w:type="dxa"/>
              <w:left w:w="108" w:type="dxa"/>
              <w:bottom w:w="0" w:type="dxa"/>
              <w:right w:w="108" w:type="dxa"/>
            </w:tcMar>
            <w:vAlign w:val="center"/>
          </w:tcPr>
          <w:p w14:paraId="0AA15D59"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Laursen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25</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6B86C505" w14:textId="77777777" w:rsidR="00223458" w:rsidRPr="00906C10" w:rsidRDefault="00223458" w:rsidP="00586943">
            <w:pPr>
              <w:spacing w:line="360" w:lineRule="auto"/>
              <w:jc w:val="both"/>
              <w:rPr>
                <w:rFonts w:ascii="Book Antiqua" w:hAnsi="Book Antiqua"/>
              </w:rPr>
            </w:pPr>
            <w:r w:rsidRPr="00906C10">
              <w:rPr>
                <w:rFonts w:ascii="Book Antiqua" w:hAnsi="Book Antiqua"/>
              </w:rPr>
              <w:t>Denmark</w:t>
            </w:r>
          </w:p>
        </w:tc>
        <w:tc>
          <w:tcPr>
            <w:tcW w:w="1560" w:type="dxa"/>
            <w:shd w:val="clear" w:color="auto" w:fill="auto"/>
            <w:tcMar>
              <w:top w:w="0" w:type="dxa"/>
              <w:left w:w="108" w:type="dxa"/>
              <w:bottom w:w="0" w:type="dxa"/>
              <w:right w:w="108" w:type="dxa"/>
            </w:tcMar>
            <w:vAlign w:val="center"/>
          </w:tcPr>
          <w:p w14:paraId="2C4138A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randomized controlled trial</w:t>
            </w:r>
          </w:p>
        </w:tc>
        <w:tc>
          <w:tcPr>
            <w:tcW w:w="1042" w:type="dxa"/>
            <w:shd w:val="clear" w:color="auto" w:fill="auto"/>
            <w:tcMar>
              <w:top w:w="0" w:type="dxa"/>
              <w:left w:w="108" w:type="dxa"/>
              <w:bottom w:w="0" w:type="dxa"/>
              <w:right w:w="108" w:type="dxa"/>
            </w:tcMar>
            <w:vAlign w:val="center"/>
          </w:tcPr>
          <w:p w14:paraId="5D27C8AB" w14:textId="77777777" w:rsidR="00223458" w:rsidRPr="00906C10" w:rsidRDefault="00223458" w:rsidP="00586943">
            <w:pPr>
              <w:spacing w:line="360" w:lineRule="auto"/>
              <w:jc w:val="both"/>
              <w:rPr>
                <w:rFonts w:ascii="Book Antiqua" w:hAnsi="Book Antiqua"/>
              </w:rPr>
            </w:pPr>
            <w:r>
              <w:rPr>
                <w:rFonts w:ascii="Book Antiqua" w:hAnsi="Book Antiqua"/>
              </w:rPr>
              <w:t>11.2009–</w:t>
            </w:r>
            <w:r w:rsidRPr="00906C10">
              <w:rPr>
                <w:rFonts w:ascii="Book Antiqua" w:hAnsi="Book Antiqua"/>
              </w:rPr>
              <w:t>05.2012</w:t>
            </w:r>
          </w:p>
        </w:tc>
        <w:tc>
          <w:tcPr>
            <w:tcW w:w="1696" w:type="dxa"/>
            <w:shd w:val="clear" w:color="auto" w:fill="auto"/>
            <w:tcMar>
              <w:top w:w="0" w:type="dxa"/>
              <w:left w:w="108" w:type="dxa"/>
              <w:bottom w:w="0" w:type="dxa"/>
              <w:right w:w="108" w:type="dxa"/>
            </w:tcMar>
            <w:vAlign w:val="center"/>
          </w:tcPr>
          <w:p w14:paraId="5A4A2C13" w14:textId="77777777" w:rsidR="00223458" w:rsidRPr="00906C10" w:rsidRDefault="00223458" w:rsidP="00586943">
            <w:pPr>
              <w:spacing w:line="360" w:lineRule="auto"/>
              <w:jc w:val="both"/>
              <w:rPr>
                <w:rFonts w:ascii="Book Antiqua" w:hAnsi="Book Antiqua"/>
              </w:rPr>
            </w:pPr>
            <w:r w:rsidRPr="00906C10">
              <w:rPr>
                <w:rFonts w:ascii="Book Antiqua" w:hAnsi="Book Antiqua"/>
              </w:rPr>
              <w:t>105/49</w:t>
            </w:r>
          </w:p>
        </w:tc>
        <w:tc>
          <w:tcPr>
            <w:tcW w:w="847" w:type="dxa"/>
            <w:shd w:val="clear" w:color="auto" w:fill="auto"/>
            <w:tcMar>
              <w:top w:w="0" w:type="dxa"/>
              <w:left w:w="108" w:type="dxa"/>
              <w:bottom w:w="0" w:type="dxa"/>
              <w:right w:w="108" w:type="dxa"/>
            </w:tcMar>
            <w:vAlign w:val="center"/>
          </w:tcPr>
          <w:p w14:paraId="6A89BA94" w14:textId="77777777" w:rsidR="00223458" w:rsidRPr="00906C10" w:rsidRDefault="00223458" w:rsidP="00586943">
            <w:pPr>
              <w:spacing w:line="360" w:lineRule="auto"/>
              <w:jc w:val="both"/>
              <w:rPr>
                <w:rFonts w:ascii="Book Antiqua" w:hAnsi="Book Antiqua"/>
              </w:rPr>
            </w:pPr>
            <w:r w:rsidRPr="00906C10">
              <w:rPr>
                <w:rFonts w:ascii="Book Antiqua" w:hAnsi="Book Antiqua"/>
              </w:rPr>
              <w:t>44</w:t>
            </w:r>
          </w:p>
        </w:tc>
        <w:tc>
          <w:tcPr>
            <w:tcW w:w="716" w:type="dxa"/>
            <w:shd w:val="clear" w:color="auto" w:fill="auto"/>
            <w:tcMar>
              <w:top w:w="0" w:type="dxa"/>
              <w:left w:w="108" w:type="dxa"/>
              <w:bottom w:w="0" w:type="dxa"/>
              <w:right w:w="108" w:type="dxa"/>
            </w:tcMar>
            <w:vAlign w:val="center"/>
          </w:tcPr>
          <w:p w14:paraId="40C7AC4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73</w:t>
            </w:r>
          </w:p>
        </w:tc>
        <w:tc>
          <w:tcPr>
            <w:tcW w:w="1151" w:type="dxa"/>
            <w:shd w:val="clear" w:color="auto" w:fill="auto"/>
            <w:tcMar>
              <w:top w:w="0" w:type="dxa"/>
              <w:left w:w="108" w:type="dxa"/>
              <w:bottom w:w="0" w:type="dxa"/>
              <w:right w:w="108" w:type="dxa"/>
            </w:tcMar>
            <w:vAlign w:val="center"/>
          </w:tcPr>
          <w:p w14:paraId="472860C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 xml:space="preserve">igh-risk peptic </w:t>
            </w:r>
            <w:r w:rsidRPr="00906C10">
              <w:rPr>
                <w:rFonts w:ascii="Book Antiqua" w:hAnsi="Book Antiqua"/>
                <w:color w:val="000000"/>
              </w:rPr>
              <w:lastRenderedPageBreak/>
              <w:t>ulcer</w:t>
            </w:r>
          </w:p>
        </w:tc>
        <w:tc>
          <w:tcPr>
            <w:tcW w:w="2970" w:type="dxa"/>
            <w:shd w:val="clear" w:color="auto" w:fill="auto"/>
            <w:tcMar>
              <w:top w:w="0" w:type="dxa"/>
              <w:left w:w="108" w:type="dxa"/>
              <w:bottom w:w="0" w:type="dxa"/>
              <w:right w:w="108" w:type="dxa"/>
            </w:tcMar>
            <w:vAlign w:val="center"/>
          </w:tcPr>
          <w:p w14:paraId="7315955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lastRenderedPageBreak/>
              <w:t>Rebleeding, in-hospital and 30-d</w:t>
            </w:r>
            <w:r w:rsidRPr="00906C10">
              <w:rPr>
                <w:rFonts w:ascii="Book Antiqua" w:hAnsi="Book Antiqua"/>
                <w:color w:val="000000"/>
                <w:lang w:eastAsia="zh-CN"/>
              </w:rPr>
              <w:t xml:space="preserve"> </w:t>
            </w:r>
            <w:r w:rsidRPr="00906C10">
              <w:rPr>
                <w:rFonts w:ascii="Book Antiqua" w:hAnsi="Book Antiqua"/>
                <w:color w:val="000000"/>
              </w:rPr>
              <w:t xml:space="preserve">mortality, hospital stay, </w:t>
            </w:r>
            <w:r w:rsidRPr="00906C10">
              <w:rPr>
                <w:rFonts w:ascii="Book Antiqua" w:hAnsi="Book Antiqua"/>
                <w:color w:val="000000"/>
              </w:rPr>
              <w:lastRenderedPageBreak/>
              <w:t>readmission</w:t>
            </w:r>
          </w:p>
        </w:tc>
        <w:tc>
          <w:tcPr>
            <w:tcW w:w="2250" w:type="dxa"/>
            <w:shd w:val="clear" w:color="auto" w:fill="auto"/>
            <w:tcMar>
              <w:top w:w="0" w:type="dxa"/>
              <w:left w:w="10" w:type="dxa"/>
              <w:bottom w:w="0" w:type="dxa"/>
              <w:right w:w="10" w:type="dxa"/>
            </w:tcMar>
            <w:vAlign w:val="center"/>
          </w:tcPr>
          <w:p w14:paraId="1E0F561E"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lastRenderedPageBreak/>
              <w:t>Coils</w:t>
            </w:r>
          </w:p>
        </w:tc>
      </w:tr>
      <w:tr w:rsidR="00223458" w:rsidRPr="00906C10" w14:paraId="676AF9CD" w14:textId="77777777" w:rsidTr="006A1754">
        <w:trPr>
          <w:jc w:val="center"/>
        </w:trPr>
        <w:tc>
          <w:tcPr>
            <w:tcW w:w="2245" w:type="dxa"/>
            <w:shd w:val="clear" w:color="auto" w:fill="auto"/>
            <w:tcMar>
              <w:top w:w="0" w:type="dxa"/>
              <w:left w:w="108" w:type="dxa"/>
              <w:bottom w:w="0" w:type="dxa"/>
              <w:right w:w="108" w:type="dxa"/>
            </w:tcMar>
            <w:vAlign w:val="center"/>
          </w:tcPr>
          <w:p w14:paraId="18C6F114"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Lebedev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29</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231B48BC" w14:textId="77777777" w:rsidR="00223458" w:rsidRPr="00906C10" w:rsidRDefault="00223458" w:rsidP="00586943">
            <w:pPr>
              <w:spacing w:line="360" w:lineRule="auto"/>
              <w:jc w:val="both"/>
              <w:rPr>
                <w:rFonts w:ascii="Book Antiqua" w:hAnsi="Book Antiqua"/>
              </w:rPr>
            </w:pPr>
            <w:r w:rsidRPr="00906C10">
              <w:rPr>
                <w:rFonts w:ascii="Book Antiqua" w:hAnsi="Book Antiqua"/>
              </w:rPr>
              <w:t>Russia</w:t>
            </w:r>
          </w:p>
        </w:tc>
        <w:tc>
          <w:tcPr>
            <w:tcW w:w="1560" w:type="dxa"/>
            <w:shd w:val="clear" w:color="auto" w:fill="auto"/>
            <w:tcMar>
              <w:top w:w="0" w:type="dxa"/>
              <w:left w:w="108" w:type="dxa"/>
              <w:bottom w:w="0" w:type="dxa"/>
              <w:right w:w="108" w:type="dxa"/>
            </w:tcMar>
            <w:vAlign w:val="center"/>
          </w:tcPr>
          <w:p w14:paraId="68C21E2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7A0C81EE" w14:textId="77777777" w:rsidR="00223458" w:rsidRPr="00906C10" w:rsidRDefault="00223458" w:rsidP="00586943">
            <w:pPr>
              <w:spacing w:line="360" w:lineRule="auto"/>
              <w:jc w:val="both"/>
              <w:rPr>
                <w:rFonts w:ascii="Book Antiqua" w:hAnsi="Book Antiqua"/>
              </w:rPr>
            </w:pPr>
            <w:r>
              <w:rPr>
                <w:rFonts w:ascii="Book Antiqua" w:hAnsi="Book Antiqua"/>
              </w:rPr>
              <w:t>1991–</w:t>
            </w:r>
            <w:r w:rsidRPr="00906C10">
              <w:rPr>
                <w:rFonts w:ascii="Book Antiqua" w:hAnsi="Book Antiqua"/>
              </w:rPr>
              <w:t>2016</w:t>
            </w:r>
          </w:p>
        </w:tc>
        <w:tc>
          <w:tcPr>
            <w:tcW w:w="1696" w:type="dxa"/>
            <w:shd w:val="clear" w:color="auto" w:fill="auto"/>
            <w:tcMar>
              <w:top w:w="0" w:type="dxa"/>
              <w:left w:w="108" w:type="dxa"/>
              <w:bottom w:w="0" w:type="dxa"/>
              <w:right w:w="108" w:type="dxa"/>
            </w:tcMar>
            <w:vAlign w:val="center"/>
          </w:tcPr>
          <w:p w14:paraId="4CE182A5" w14:textId="77777777" w:rsidR="00223458" w:rsidRPr="00906C10" w:rsidRDefault="00223458" w:rsidP="00586943">
            <w:pPr>
              <w:spacing w:line="360" w:lineRule="auto"/>
              <w:jc w:val="both"/>
              <w:rPr>
                <w:rFonts w:ascii="Book Antiqua" w:hAnsi="Book Antiqua"/>
              </w:rPr>
            </w:pPr>
            <w:r w:rsidRPr="00906C10">
              <w:rPr>
                <w:rFonts w:ascii="Book Antiqua" w:hAnsi="Book Antiqua"/>
              </w:rPr>
              <w:t>90/30</w:t>
            </w:r>
          </w:p>
        </w:tc>
        <w:tc>
          <w:tcPr>
            <w:tcW w:w="847" w:type="dxa"/>
            <w:shd w:val="clear" w:color="auto" w:fill="auto"/>
            <w:tcMar>
              <w:top w:w="0" w:type="dxa"/>
              <w:left w:w="108" w:type="dxa"/>
              <w:bottom w:w="0" w:type="dxa"/>
              <w:right w:w="108" w:type="dxa"/>
            </w:tcMar>
            <w:vAlign w:val="center"/>
          </w:tcPr>
          <w:p w14:paraId="025DBF19" w14:textId="77777777" w:rsidR="00223458" w:rsidRPr="00906C10" w:rsidRDefault="00223458" w:rsidP="00586943">
            <w:pPr>
              <w:spacing w:line="360" w:lineRule="auto"/>
              <w:jc w:val="both"/>
              <w:rPr>
                <w:rFonts w:ascii="Book Antiqua" w:hAnsi="Book Antiqua"/>
              </w:rPr>
            </w:pPr>
            <w:r w:rsidRPr="00906C10">
              <w:rPr>
                <w:rFonts w:ascii="Book Antiqua" w:hAnsi="Book Antiqua"/>
              </w:rPr>
              <w:t>ND</w:t>
            </w:r>
          </w:p>
        </w:tc>
        <w:tc>
          <w:tcPr>
            <w:tcW w:w="716" w:type="dxa"/>
            <w:shd w:val="clear" w:color="auto" w:fill="auto"/>
            <w:tcMar>
              <w:top w:w="0" w:type="dxa"/>
              <w:left w:w="108" w:type="dxa"/>
              <w:bottom w:w="0" w:type="dxa"/>
              <w:right w:w="108" w:type="dxa"/>
            </w:tcMar>
            <w:vAlign w:val="center"/>
          </w:tcPr>
          <w:p w14:paraId="6178DCA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ND</w:t>
            </w:r>
          </w:p>
        </w:tc>
        <w:tc>
          <w:tcPr>
            <w:tcW w:w="1151" w:type="dxa"/>
            <w:shd w:val="clear" w:color="auto" w:fill="auto"/>
            <w:tcMar>
              <w:top w:w="0" w:type="dxa"/>
              <w:left w:w="108" w:type="dxa"/>
              <w:bottom w:w="0" w:type="dxa"/>
              <w:right w:w="108" w:type="dxa"/>
            </w:tcMar>
            <w:vAlign w:val="center"/>
          </w:tcPr>
          <w:p w14:paraId="74B6B456"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p</w:t>
            </w:r>
            <w:r w:rsidRPr="00906C10">
              <w:rPr>
                <w:rFonts w:ascii="Book Antiqua" w:hAnsi="Book Antiqua"/>
                <w:color w:val="000000"/>
              </w:rPr>
              <w:t>eptic ulcer</w:t>
            </w:r>
          </w:p>
        </w:tc>
        <w:tc>
          <w:tcPr>
            <w:tcW w:w="2970" w:type="dxa"/>
            <w:shd w:val="clear" w:color="auto" w:fill="auto"/>
            <w:tcMar>
              <w:top w:w="0" w:type="dxa"/>
              <w:left w:w="108" w:type="dxa"/>
              <w:bottom w:w="0" w:type="dxa"/>
              <w:right w:w="108" w:type="dxa"/>
            </w:tcMar>
            <w:vAlign w:val="center"/>
          </w:tcPr>
          <w:p w14:paraId="20312FC5"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mortality</w:t>
            </w:r>
          </w:p>
        </w:tc>
        <w:tc>
          <w:tcPr>
            <w:tcW w:w="2250" w:type="dxa"/>
            <w:shd w:val="clear" w:color="auto" w:fill="auto"/>
            <w:tcMar>
              <w:top w:w="0" w:type="dxa"/>
              <w:left w:w="10" w:type="dxa"/>
              <w:bottom w:w="0" w:type="dxa"/>
              <w:right w:w="10" w:type="dxa"/>
            </w:tcMar>
            <w:vAlign w:val="center"/>
          </w:tcPr>
          <w:p w14:paraId="1A025B0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Microcoils, polyvinyl alcohol</w:t>
            </w:r>
          </w:p>
        </w:tc>
      </w:tr>
      <w:tr w:rsidR="00223458" w:rsidRPr="00906C10" w14:paraId="3889337D" w14:textId="77777777" w:rsidTr="006A1754">
        <w:trPr>
          <w:jc w:val="center"/>
        </w:trPr>
        <w:tc>
          <w:tcPr>
            <w:tcW w:w="2245" w:type="dxa"/>
            <w:shd w:val="clear" w:color="auto" w:fill="auto"/>
            <w:tcMar>
              <w:top w:w="0" w:type="dxa"/>
              <w:left w:w="108" w:type="dxa"/>
              <w:bottom w:w="0" w:type="dxa"/>
              <w:right w:w="108" w:type="dxa"/>
            </w:tcMar>
            <w:vAlign w:val="center"/>
          </w:tcPr>
          <w:p w14:paraId="0DFE1AA6"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Mille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30</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6850F85E" w14:textId="77777777" w:rsidR="00223458" w:rsidRPr="00906C10" w:rsidRDefault="00223458" w:rsidP="00586943">
            <w:pPr>
              <w:spacing w:line="360" w:lineRule="auto"/>
              <w:jc w:val="both"/>
              <w:rPr>
                <w:rFonts w:ascii="Book Antiqua" w:hAnsi="Book Antiqua"/>
              </w:rPr>
            </w:pPr>
            <w:r w:rsidRPr="00906C10">
              <w:rPr>
                <w:rFonts w:ascii="Book Antiqua" w:hAnsi="Book Antiqua"/>
              </w:rPr>
              <w:t>Germany</w:t>
            </w:r>
          </w:p>
        </w:tc>
        <w:tc>
          <w:tcPr>
            <w:tcW w:w="1560" w:type="dxa"/>
            <w:shd w:val="clear" w:color="auto" w:fill="auto"/>
            <w:tcMar>
              <w:top w:w="0" w:type="dxa"/>
              <w:left w:w="108" w:type="dxa"/>
              <w:bottom w:w="0" w:type="dxa"/>
              <w:right w:w="108" w:type="dxa"/>
            </w:tcMar>
            <w:vAlign w:val="center"/>
          </w:tcPr>
          <w:p w14:paraId="0555127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2BB2B47A" w14:textId="77777777" w:rsidR="00223458" w:rsidRPr="00906C10" w:rsidRDefault="00223458" w:rsidP="00586943">
            <w:pPr>
              <w:spacing w:line="360" w:lineRule="auto"/>
              <w:jc w:val="both"/>
              <w:rPr>
                <w:rFonts w:ascii="Book Antiqua" w:hAnsi="Book Antiqua"/>
                <w:color w:val="000000"/>
              </w:rPr>
            </w:pPr>
            <w:r>
              <w:rPr>
                <w:rFonts w:ascii="Book Antiqua" w:hAnsi="Book Antiqua"/>
                <w:color w:val="000000"/>
              </w:rPr>
              <w:t>2008–</w:t>
            </w:r>
            <w:r w:rsidRPr="00906C10">
              <w:rPr>
                <w:rFonts w:ascii="Book Antiqua" w:hAnsi="Book Antiqua"/>
                <w:color w:val="000000"/>
              </w:rPr>
              <w:t>2012</w:t>
            </w:r>
          </w:p>
        </w:tc>
        <w:tc>
          <w:tcPr>
            <w:tcW w:w="1696" w:type="dxa"/>
            <w:shd w:val="clear" w:color="auto" w:fill="auto"/>
            <w:tcMar>
              <w:top w:w="0" w:type="dxa"/>
              <w:left w:w="108" w:type="dxa"/>
              <w:bottom w:w="0" w:type="dxa"/>
              <w:right w:w="108" w:type="dxa"/>
            </w:tcMar>
            <w:vAlign w:val="center"/>
          </w:tcPr>
          <w:p w14:paraId="01C28437" w14:textId="77777777" w:rsidR="00223458" w:rsidRPr="00906C10" w:rsidRDefault="00223458" w:rsidP="00586943">
            <w:pPr>
              <w:spacing w:line="360" w:lineRule="auto"/>
              <w:jc w:val="both"/>
              <w:rPr>
                <w:rFonts w:ascii="Book Antiqua" w:hAnsi="Book Antiqua"/>
              </w:rPr>
            </w:pPr>
            <w:r w:rsidRPr="00906C10">
              <w:rPr>
                <w:rFonts w:ascii="Book Antiqua" w:hAnsi="Book Antiqua"/>
              </w:rPr>
              <w:t>102/55</w:t>
            </w:r>
          </w:p>
        </w:tc>
        <w:tc>
          <w:tcPr>
            <w:tcW w:w="847" w:type="dxa"/>
            <w:shd w:val="clear" w:color="auto" w:fill="auto"/>
            <w:tcMar>
              <w:top w:w="0" w:type="dxa"/>
              <w:left w:w="108" w:type="dxa"/>
              <w:bottom w:w="0" w:type="dxa"/>
              <w:right w:w="108" w:type="dxa"/>
            </w:tcMar>
            <w:vAlign w:val="center"/>
          </w:tcPr>
          <w:p w14:paraId="1E56E7EE" w14:textId="77777777" w:rsidR="00223458" w:rsidRPr="00906C10" w:rsidRDefault="00223458" w:rsidP="00586943">
            <w:pPr>
              <w:spacing w:line="360" w:lineRule="auto"/>
              <w:jc w:val="both"/>
              <w:rPr>
                <w:rFonts w:ascii="Book Antiqua" w:hAnsi="Book Antiqua"/>
              </w:rPr>
            </w:pPr>
            <w:r w:rsidRPr="00906C10">
              <w:rPr>
                <w:rFonts w:ascii="Book Antiqua" w:hAnsi="Book Antiqua"/>
              </w:rPr>
              <w:t>31.4</w:t>
            </w:r>
          </w:p>
        </w:tc>
        <w:tc>
          <w:tcPr>
            <w:tcW w:w="716" w:type="dxa"/>
            <w:shd w:val="clear" w:color="auto" w:fill="auto"/>
            <w:tcMar>
              <w:top w:w="0" w:type="dxa"/>
              <w:left w:w="108" w:type="dxa"/>
              <w:bottom w:w="0" w:type="dxa"/>
              <w:right w:w="108" w:type="dxa"/>
            </w:tcMar>
            <w:vAlign w:val="center"/>
          </w:tcPr>
          <w:p w14:paraId="070C66E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70.7</w:t>
            </w:r>
          </w:p>
        </w:tc>
        <w:tc>
          <w:tcPr>
            <w:tcW w:w="1151" w:type="dxa"/>
            <w:shd w:val="clear" w:color="auto" w:fill="auto"/>
            <w:tcMar>
              <w:top w:w="0" w:type="dxa"/>
              <w:left w:w="108" w:type="dxa"/>
              <w:bottom w:w="0" w:type="dxa"/>
              <w:right w:w="108" w:type="dxa"/>
            </w:tcMar>
            <w:vAlign w:val="center"/>
          </w:tcPr>
          <w:p w14:paraId="01D4D42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d</w:t>
            </w:r>
            <w:r w:rsidRPr="00906C10">
              <w:rPr>
                <w:rFonts w:ascii="Book Antiqua" w:hAnsi="Book Antiqua"/>
                <w:color w:val="000000"/>
              </w:rPr>
              <w:t>uodenal ulcer</w:t>
            </w:r>
          </w:p>
        </w:tc>
        <w:tc>
          <w:tcPr>
            <w:tcW w:w="2970" w:type="dxa"/>
            <w:shd w:val="clear" w:color="auto" w:fill="auto"/>
            <w:tcMar>
              <w:top w:w="0" w:type="dxa"/>
              <w:left w:w="108" w:type="dxa"/>
              <w:bottom w:w="0" w:type="dxa"/>
              <w:right w:w="108" w:type="dxa"/>
            </w:tcMar>
            <w:vAlign w:val="center"/>
          </w:tcPr>
          <w:p w14:paraId="5CDAEDDF"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 xml:space="preserve">Rebleeding, 30-d mortality, surgery, transfused blood units  </w:t>
            </w:r>
          </w:p>
        </w:tc>
        <w:tc>
          <w:tcPr>
            <w:tcW w:w="2250" w:type="dxa"/>
            <w:shd w:val="clear" w:color="auto" w:fill="auto"/>
            <w:tcMar>
              <w:top w:w="0" w:type="dxa"/>
              <w:left w:w="10" w:type="dxa"/>
              <w:bottom w:w="0" w:type="dxa"/>
              <w:right w:w="10" w:type="dxa"/>
            </w:tcMar>
            <w:vAlign w:val="center"/>
          </w:tcPr>
          <w:p w14:paraId="55E475D4"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Coils, cyanoacrylate glue or both</w:t>
            </w:r>
          </w:p>
        </w:tc>
      </w:tr>
      <w:tr w:rsidR="00223458" w:rsidRPr="00906C10" w14:paraId="3D811785" w14:textId="77777777" w:rsidTr="006A1754">
        <w:trPr>
          <w:trHeight w:val="310"/>
          <w:jc w:val="center"/>
        </w:trPr>
        <w:tc>
          <w:tcPr>
            <w:tcW w:w="2245" w:type="dxa"/>
            <w:shd w:val="clear" w:color="auto" w:fill="auto"/>
            <w:tcMar>
              <w:top w:w="0" w:type="dxa"/>
              <w:left w:w="108" w:type="dxa"/>
              <w:bottom w:w="0" w:type="dxa"/>
              <w:right w:w="108" w:type="dxa"/>
            </w:tcMar>
            <w:vAlign w:val="center"/>
          </w:tcPr>
          <w:p w14:paraId="0289045A"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Sildiroglu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31</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5D789E2D" w14:textId="77777777" w:rsidR="00223458" w:rsidRPr="00906C10" w:rsidRDefault="00223458" w:rsidP="00586943">
            <w:pPr>
              <w:spacing w:line="360" w:lineRule="auto"/>
              <w:jc w:val="both"/>
              <w:rPr>
                <w:rFonts w:ascii="Book Antiqua" w:hAnsi="Book Antiqua"/>
                <w:lang w:eastAsia="zh-CN"/>
              </w:rPr>
            </w:pPr>
            <w:r w:rsidRPr="00906C10">
              <w:rPr>
                <w:rFonts w:ascii="Book Antiqua" w:hAnsi="Book Antiqua"/>
                <w:lang w:eastAsia="zh-CN"/>
              </w:rPr>
              <w:t>United States</w:t>
            </w:r>
          </w:p>
        </w:tc>
        <w:tc>
          <w:tcPr>
            <w:tcW w:w="1560" w:type="dxa"/>
            <w:shd w:val="clear" w:color="auto" w:fill="auto"/>
            <w:tcMar>
              <w:top w:w="0" w:type="dxa"/>
              <w:left w:w="108" w:type="dxa"/>
              <w:bottom w:w="0" w:type="dxa"/>
              <w:right w:w="108" w:type="dxa"/>
            </w:tcMar>
            <w:vAlign w:val="center"/>
          </w:tcPr>
          <w:p w14:paraId="77590800"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2D94EF2C" w14:textId="77777777" w:rsidR="00223458" w:rsidRPr="00906C10" w:rsidRDefault="00223458" w:rsidP="00586943">
            <w:pPr>
              <w:spacing w:line="360" w:lineRule="auto"/>
              <w:jc w:val="both"/>
              <w:rPr>
                <w:rFonts w:ascii="Book Antiqua" w:hAnsi="Book Antiqua"/>
              </w:rPr>
            </w:pPr>
            <w:r>
              <w:rPr>
                <w:rFonts w:ascii="Book Antiqua" w:hAnsi="Book Antiqua"/>
              </w:rPr>
              <w:t>10.2001–</w:t>
            </w:r>
            <w:r w:rsidRPr="00906C10">
              <w:rPr>
                <w:rFonts w:ascii="Book Antiqua" w:hAnsi="Book Antiqua"/>
              </w:rPr>
              <w:t>11.2011</w:t>
            </w:r>
          </w:p>
        </w:tc>
        <w:tc>
          <w:tcPr>
            <w:tcW w:w="1696" w:type="dxa"/>
            <w:shd w:val="clear" w:color="auto" w:fill="auto"/>
            <w:tcMar>
              <w:top w:w="0" w:type="dxa"/>
              <w:left w:w="108" w:type="dxa"/>
              <w:bottom w:w="0" w:type="dxa"/>
              <w:right w:w="108" w:type="dxa"/>
            </w:tcMar>
            <w:vAlign w:val="center"/>
          </w:tcPr>
          <w:p w14:paraId="45A83889" w14:textId="77777777" w:rsidR="00223458" w:rsidRPr="00906C10" w:rsidRDefault="00223458" w:rsidP="00586943">
            <w:pPr>
              <w:spacing w:line="360" w:lineRule="auto"/>
              <w:jc w:val="both"/>
              <w:rPr>
                <w:rFonts w:ascii="Book Antiqua" w:hAnsi="Book Antiqua"/>
              </w:rPr>
            </w:pPr>
            <w:r w:rsidRPr="00906C10">
              <w:rPr>
                <w:rFonts w:ascii="Book Antiqua" w:hAnsi="Book Antiqua"/>
              </w:rPr>
              <w:t>43/18</w:t>
            </w:r>
          </w:p>
        </w:tc>
        <w:tc>
          <w:tcPr>
            <w:tcW w:w="847" w:type="dxa"/>
            <w:shd w:val="clear" w:color="auto" w:fill="auto"/>
            <w:tcMar>
              <w:top w:w="0" w:type="dxa"/>
              <w:left w:w="108" w:type="dxa"/>
              <w:bottom w:w="0" w:type="dxa"/>
              <w:right w:w="108" w:type="dxa"/>
            </w:tcMar>
            <w:vAlign w:val="center"/>
          </w:tcPr>
          <w:p w14:paraId="618DB988" w14:textId="77777777" w:rsidR="00223458" w:rsidRPr="00906C10" w:rsidRDefault="00223458" w:rsidP="00586943">
            <w:pPr>
              <w:spacing w:line="360" w:lineRule="auto"/>
              <w:jc w:val="both"/>
              <w:rPr>
                <w:rFonts w:ascii="Book Antiqua" w:hAnsi="Book Antiqua"/>
              </w:rPr>
            </w:pPr>
            <w:r w:rsidRPr="00906C10">
              <w:rPr>
                <w:rFonts w:ascii="Book Antiqua" w:hAnsi="Book Antiqua"/>
              </w:rPr>
              <w:t>ND</w:t>
            </w:r>
          </w:p>
        </w:tc>
        <w:tc>
          <w:tcPr>
            <w:tcW w:w="716" w:type="dxa"/>
            <w:shd w:val="clear" w:color="auto" w:fill="auto"/>
            <w:tcMar>
              <w:top w:w="0" w:type="dxa"/>
              <w:left w:w="108" w:type="dxa"/>
              <w:bottom w:w="0" w:type="dxa"/>
              <w:right w:w="108" w:type="dxa"/>
            </w:tcMar>
            <w:vAlign w:val="center"/>
          </w:tcPr>
          <w:p w14:paraId="1513877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60.1</w:t>
            </w:r>
          </w:p>
        </w:tc>
        <w:tc>
          <w:tcPr>
            <w:tcW w:w="1151" w:type="dxa"/>
            <w:shd w:val="clear" w:color="auto" w:fill="auto"/>
            <w:tcMar>
              <w:top w:w="0" w:type="dxa"/>
              <w:left w:w="108" w:type="dxa"/>
              <w:bottom w:w="0" w:type="dxa"/>
              <w:right w:w="108" w:type="dxa"/>
            </w:tcMar>
            <w:vAlign w:val="center"/>
          </w:tcPr>
          <w:p w14:paraId="29410A7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NVUGIB</w:t>
            </w:r>
          </w:p>
        </w:tc>
        <w:tc>
          <w:tcPr>
            <w:tcW w:w="2970" w:type="dxa"/>
            <w:shd w:val="clear" w:color="auto" w:fill="auto"/>
            <w:tcMar>
              <w:top w:w="0" w:type="dxa"/>
              <w:left w:w="108" w:type="dxa"/>
              <w:bottom w:w="0" w:type="dxa"/>
              <w:right w:w="108" w:type="dxa"/>
            </w:tcMar>
            <w:vAlign w:val="center"/>
          </w:tcPr>
          <w:p w14:paraId="3F3B6B7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 mortality</w:t>
            </w:r>
          </w:p>
        </w:tc>
        <w:tc>
          <w:tcPr>
            <w:tcW w:w="2250" w:type="dxa"/>
            <w:shd w:val="clear" w:color="auto" w:fill="auto"/>
            <w:tcMar>
              <w:top w:w="0" w:type="dxa"/>
              <w:left w:w="10" w:type="dxa"/>
              <w:bottom w:w="0" w:type="dxa"/>
              <w:right w:w="10" w:type="dxa"/>
            </w:tcMar>
            <w:vAlign w:val="center"/>
          </w:tcPr>
          <w:p w14:paraId="6595C3B0"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Coils, gelfoam, polyvinyl alcohol</w:t>
            </w:r>
          </w:p>
        </w:tc>
      </w:tr>
      <w:tr w:rsidR="00223458" w:rsidRPr="00906C10" w14:paraId="07388E94" w14:textId="77777777" w:rsidTr="006A1754">
        <w:trPr>
          <w:jc w:val="center"/>
        </w:trPr>
        <w:tc>
          <w:tcPr>
            <w:tcW w:w="2245" w:type="dxa"/>
            <w:shd w:val="clear" w:color="auto" w:fill="auto"/>
            <w:tcMar>
              <w:top w:w="0" w:type="dxa"/>
              <w:left w:w="108" w:type="dxa"/>
              <w:bottom w:w="0" w:type="dxa"/>
              <w:right w:w="108" w:type="dxa"/>
            </w:tcMar>
            <w:vAlign w:val="center"/>
          </w:tcPr>
          <w:p w14:paraId="1C702854"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Tong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13</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15C7DE48" w14:textId="77777777" w:rsidR="00223458" w:rsidRPr="00906C10" w:rsidRDefault="00223458" w:rsidP="00586943">
            <w:pPr>
              <w:spacing w:line="360" w:lineRule="auto"/>
              <w:jc w:val="both"/>
              <w:rPr>
                <w:rFonts w:ascii="Book Antiqua" w:hAnsi="Book Antiqua"/>
              </w:rPr>
            </w:pPr>
            <w:r w:rsidRPr="00906C10">
              <w:rPr>
                <w:rFonts w:ascii="Book Antiqua" w:hAnsi="Book Antiqua"/>
              </w:rPr>
              <w:t>China</w:t>
            </w:r>
          </w:p>
        </w:tc>
        <w:tc>
          <w:tcPr>
            <w:tcW w:w="1560" w:type="dxa"/>
            <w:shd w:val="clear" w:color="auto" w:fill="auto"/>
            <w:tcMar>
              <w:top w:w="0" w:type="dxa"/>
              <w:left w:w="108" w:type="dxa"/>
              <w:bottom w:w="0" w:type="dxa"/>
              <w:right w:w="108" w:type="dxa"/>
            </w:tcMar>
            <w:vAlign w:val="center"/>
          </w:tcPr>
          <w:p w14:paraId="2FA739B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3D5EC95F" w14:textId="77777777" w:rsidR="00223458" w:rsidRPr="00906C10" w:rsidRDefault="00223458" w:rsidP="00586943">
            <w:pPr>
              <w:spacing w:line="360" w:lineRule="auto"/>
              <w:jc w:val="both"/>
              <w:rPr>
                <w:rFonts w:ascii="Book Antiqua" w:hAnsi="Book Antiqua"/>
              </w:rPr>
            </w:pPr>
            <w:r>
              <w:rPr>
                <w:rFonts w:ascii="Book Antiqua" w:hAnsi="Book Antiqua"/>
              </w:rPr>
              <w:t>2014–</w:t>
            </w:r>
            <w:r w:rsidRPr="00906C10">
              <w:rPr>
                <w:rFonts w:ascii="Book Antiqua" w:hAnsi="Book Antiqua"/>
              </w:rPr>
              <w:t>2016</w:t>
            </w:r>
          </w:p>
        </w:tc>
        <w:tc>
          <w:tcPr>
            <w:tcW w:w="1696" w:type="dxa"/>
            <w:shd w:val="clear" w:color="auto" w:fill="auto"/>
            <w:tcMar>
              <w:top w:w="0" w:type="dxa"/>
              <w:left w:w="108" w:type="dxa"/>
              <w:bottom w:w="0" w:type="dxa"/>
              <w:right w:w="108" w:type="dxa"/>
            </w:tcMar>
            <w:vAlign w:val="center"/>
          </w:tcPr>
          <w:p w14:paraId="786026D0" w14:textId="77777777" w:rsidR="00223458" w:rsidRPr="00906C10" w:rsidRDefault="00223458" w:rsidP="00586943">
            <w:pPr>
              <w:spacing w:line="360" w:lineRule="auto"/>
              <w:jc w:val="both"/>
              <w:rPr>
                <w:rFonts w:ascii="Book Antiqua" w:hAnsi="Book Antiqua"/>
              </w:rPr>
            </w:pPr>
            <w:r w:rsidRPr="00906C10">
              <w:rPr>
                <w:rFonts w:ascii="Book Antiqua" w:hAnsi="Book Antiqua"/>
              </w:rPr>
              <w:t>74/16</w:t>
            </w:r>
          </w:p>
        </w:tc>
        <w:tc>
          <w:tcPr>
            <w:tcW w:w="847" w:type="dxa"/>
            <w:shd w:val="clear" w:color="auto" w:fill="auto"/>
            <w:tcMar>
              <w:top w:w="0" w:type="dxa"/>
              <w:left w:w="108" w:type="dxa"/>
              <w:bottom w:w="0" w:type="dxa"/>
              <w:right w:w="108" w:type="dxa"/>
            </w:tcMar>
            <w:vAlign w:val="center"/>
          </w:tcPr>
          <w:p w14:paraId="1BBDE995" w14:textId="77777777" w:rsidR="00223458" w:rsidRPr="00906C10" w:rsidRDefault="00223458" w:rsidP="00586943">
            <w:pPr>
              <w:spacing w:line="360" w:lineRule="auto"/>
              <w:jc w:val="both"/>
              <w:rPr>
                <w:rFonts w:ascii="Book Antiqua" w:hAnsi="Book Antiqua"/>
              </w:rPr>
            </w:pPr>
            <w:r w:rsidRPr="00906C10">
              <w:rPr>
                <w:rFonts w:ascii="Book Antiqua" w:hAnsi="Book Antiqua"/>
              </w:rPr>
              <w:t>23</w:t>
            </w:r>
          </w:p>
        </w:tc>
        <w:tc>
          <w:tcPr>
            <w:tcW w:w="716" w:type="dxa"/>
            <w:shd w:val="clear" w:color="auto" w:fill="auto"/>
            <w:tcMar>
              <w:top w:w="0" w:type="dxa"/>
              <w:left w:w="108" w:type="dxa"/>
              <w:bottom w:w="0" w:type="dxa"/>
              <w:right w:w="108" w:type="dxa"/>
            </w:tcMar>
            <w:vAlign w:val="center"/>
          </w:tcPr>
          <w:p w14:paraId="5FB6C1E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57.2</w:t>
            </w:r>
          </w:p>
        </w:tc>
        <w:tc>
          <w:tcPr>
            <w:tcW w:w="1151" w:type="dxa"/>
            <w:shd w:val="clear" w:color="auto" w:fill="auto"/>
            <w:tcMar>
              <w:top w:w="0" w:type="dxa"/>
              <w:left w:w="108" w:type="dxa"/>
              <w:bottom w:w="0" w:type="dxa"/>
              <w:right w:w="108" w:type="dxa"/>
            </w:tcMar>
            <w:vAlign w:val="center"/>
          </w:tcPr>
          <w:p w14:paraId="0138E34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h</w:t>
            </w:r>
            <w:r w:rsidRPr="00906C10">
              <w:rPr>
                <w:rFonts w:ascii="Book Antiqua" w:hAnsi="Book Antiqua"/>
                <w:color w:val="000000"/>
              </w:rPr>
              <w:t>igh-risk peptic ulcer</w:t>
            </w:r>
          </w:p>
        </w:tc>
        <w:tc>
          <w:tcPr>
            <w:tcW w:w="2970" w:type="dxa"/>
            <w:shd w:val="clear" w:color="auto" w:fill="auto"/>
            <w:tcMar>
              <w:top w:w="0" w:type="dxa"/>
              <w:left w:w="108" w:type="dxa"/>
              <w:bottom w:w="0" w:type="dxa"/>
              <w:right w:w="108" w:type="dxa"/>
            </w:tcMar>
            <w:vAlign w:val="center"/>
          </w:tcPr>
          <w:p w14:paraId="7E72FA85"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w:t>
            </w:r>
          </w:p>
        </w:tc>
        <w:tc>
          <w:tcPr>
            <w:tcW w:w="2250" w:type="dxa"/>
            <w:shd w:val="clear" w:color="auto" w:fill="auto"/>
            <w:tcMar>
              <w:top w:w="0" w:type="dxa"/>
              <w:left w:w="10" w:type="dxa"/>
              <w:bottom w:w="0" w:type="dxa"/>
              <w:right w:w="10" w:type="dxa"/>
            </w:tcMar>
            <w:vAlign w:val="center"/>
          </w:tcPr>
          <w:p w14:paraId="1C01AC3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w:t>
            </w:r>
            <w:r w:rsidRPr="00906C10">
              <w:rPr>
                <w:rFonts w:ascii="Book Antiqua" w:hAnsi="Book Antiqua"/>
                <w:caps/>
                <w:color w:val="000000"/>
              </w:rPr>
              <w:t>d</w:t>
            </w:r>
          </w:p>
        </w:tc>
      </w:tr>
      <w:tr w:rsidR="00223458" w:rsidRPr="00906C10" w14:paraId="5DB45A0F" w14:textId="77777777" w:rsidTr="006A1754">
        <w:trPr>
          <w:jc w:val="center"/>
        </w:trPr>
        <w:tc>
          <w:tcPr>
            <w:tcW w:w="2245" w:type="dxa"/>
            <w:shd w:val="clear" w:color="auto" w:fill="auto"/>
            <w:tcMar>
              <w:top w:w="0" w:type="dxa"/>
              <w:left w:w="108" w:type="dxa"/>
              <w:bottom w:w="0" w:type="dxa"/>
              <w:right w:w="108" w:type="dxa"/>
            </w:tcMar>
            <w:vAlign w:val="center"/>
          </w:tcPr>
          <w:p w14:paraId="1FC27A04"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Wu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32</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02CFB26A" w14:textId="77777777" w:rsidR="00223458" w:rsidRPr="00906C10" w:rsidRDefault="00223458" w:rsidP="00586943">
            <w:pPr>
              <w:spacing w:line="360" w:lineRule="auto"/>
              <w:jc w:val="both"/>
              <w:rPr>
                <w:rFonts w:ascii="Book Antiqua" w:hAnsi="Book Antiqua"/>
              </w:rPr>
            </w:pPr>
            <w:r w:rsidRPr="00906C10">
              <w:rPr>
                <w:rFonts w:ascii="Book Antiqua" w:hAnsi="Book Antiqua"/>
              </w:rPr>
              <w:t>Australia</w:t>
            </w:r>
          </w:p>
        </w:tc>
        <w:tc>
          <w:tcPr>
            <w:tcW w:w="1560" w:type="dxa"/>
            <w:shd w:val="clear" w:color="auto" w:fill="auto"/>
            <w:tcMar>
              <w:top w:w="0" w:type="dxa"/>
              <w:left w:w="108" w:type="dxa"/>
              <w:bottom w:w="0" w:type="dxa"/>
              <w:right w:w="108" w:type="dxa"/>
            </w:tcMar>
            <w:vAlign w:val="center"/>
          </w:tcPr>
          <w:p w14:paraId="74FC4081"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0C439752" w14:textId="77777777" w:rsidR="00223458" w:rsidRPr="00906C10" w:rsidRDefault="00223458" w:rsidP="00586943">
            <w:pPr>
              <w:spacing w:line="360" w:lineRule="auto"/>
              <w:jc w:val="both"/>
              <w:rPr>
                <w:rFonts w:ascii="Book Antiqua" w:hAnsi="Book Antiqua"/>
              </w:rPr>
            </w:pPr>
            <w:r>
              <w:rPr>
                <w:rFonts w:ascii="Book Antiqua" w:hAnsi="Book Antiqua"/>
              </w:rPr>
              <w:t>01.2008–</w:t>
            </w:r>
            <w:r w:rsidRPr="00906C10">
              <w:rPr>
                <w:rFonts w:ascii="Book Antiqua" w:hAnsi="Book Antiqua"/>
              </w:rPr>
              <w:t>12.2012</w:t>
            </w:r>
          </w:p>
        </w:tc>
        <w:tc>
          <w:tcPr>
            <w:tcW w:w="1696" w:type="dxa"/>
            <w:shd w:val="clear" w:color="auto" w:fill="auto"/>
            <w:tcMar>
              <w:top w:w="0" w:type="dxa"/>
              <w:left w:w="108" w:type="dxa"/>
              <w:bottom w:w="0" w:type="dxa"/>
              <w:right w:w="108" w:type="dxa"/>
            </w:tcMar>
            <w:vAlign w:val="center"/>
          </w:tcPr>
          <w:p w14:paraId="1810D1F9" w14:textId="77777777" w:rsidR="00223458" w:rsidRPr="00906C10" w:rsidRDefault="00223458" w:rsidP="00586943">
            <w:pPr>
              <w:spacing w:line="360" w:lineRule="auto"/>
              <w:jc w:val="both"/>
              <w:rPr>
                <w:rFonts w:ascii="Book Antiqua" w:hAnsi="Book Antiqua"/>
              </w:rPr>
            </w:pPr>
            <w:r w:rsidRPr="00906C10">
              <w:rPr>
                <w:rFonts w:ascii="Book Antiqua" w:hAnsi="Book Antiqua"/>
              </w:rPr>
              <w:t>34/8</w:t>
            </w:r>
          </w:p>
        </w:tc>
        <w:tc>
          <w:tcPr>
            <w:tcW w:w="847" w:type="dxa"/>
            <w:shd w:val="clear" w:color="auto" w:fill="auto"/>
            <w:tcMar>
              <w:top w:w="0" w:type="dxa"/>
              <w:left w:w="108" w:type="dxa"/>
              <w:bottom w:w="0" w:type="dxa"/>
              <w:right w:w="108" w:type="dxa"/>
            </w:tcMar>
            <w:vAlign w:val="center"/>
          </w:tcPr>
          <w:p w14:paraId="5854053D" w14:textId="77777777" w:rsidR="00223458" w:rsidRPr="00906C10" w:rsidRDefault="00223458" w:rsidP="00586943">
            <w:pPr>
              <w:spacing w:line="360" w:lineRule="auto"/>
              <w:jc w:val="both"/>
              <w:rPr>
                <w:rFonts w:ascii="Book Antiqua" w:hAnsi="Book Antiqua"/>
              </w:rPr>
            </w:pPr>
            <w:r w:rsidRPr="00906C10">
              <w:rPr>
                <w:rFonts w:ascii="Book Antiqua" w:hAnsi="Book Antiqua"/>
              </w:rPr>
              <w:t>ND</w:t>
            </w:r>
          </w:p>
        </w:tc>
        <w:tc>
          <w:tcPr>
            <w:tcW w:w="716" w:type="dxa"/>
            <w:shd w:val="clear" w:color="auto" w:fill="auto"/>
            <w:tcMar>
              <w:top w:w="0" w:type="dxa"/>
              <w:left w:w="108" w:type="dxa"/>
              <w:bottom w:w="0" w:type="dxa"/>
              <w:right w:w="108" w:type="dxa"/>
            </w:tcMar>
            <w:vAlign w:val="center"/>
          </w:tcPr>
          <w:p w14:paraId="2A59CF73"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70.1</w:t>
            </w:r>
          </w:p>
        </w:tc>
        <w:tc>
          <w:tcPr>
            <w:tcW w:w="1151" w:type="dxa"/>
            <w:shd w:val="clear" w:color="auto" w:fill="auto"/>
            <w:tcMar>
              <w:top w:w="0" w:type="dxa"/>
              <w:left w:w="108" w:type="dxa"/>
              <w:bottom w:w="0" w:type="dxa"/>
              <w:right w:w="108" w:type="dxa"/>
            </w:tcMar>
            <w:vAlign w:val="center"/>
          </w:tcPr>
          <w:p w14:paraId="527843E5"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p</w:t>
            </w:r>
            <w:r w:rsidRPr="00906C10">
              <w:rPr>
                <w:rFonts w:ascii="Book Antiqua" w:hAnsi="Book Antiqua"/>
                <w:color w:val="000000"/>
              </w:rPr>
              <w:t>eptic ulcer</w:t>
            </w:r>
          </w:p>
        </w:tc>
        <w:tc>
          <w:tcPr>
            <w:tcW w:w="2970" w:type="dxa"/>
            <w:shd w:val="clear" w:color="auto" w:fill="auto"/>
            <w:tcMar>
              <w:top w:w="0" w:type="dxa"/>
              <w:left w:w="108" w:type="dxa"/>
              <w:bottom w:w="0" w:type="dxa"/>
              <w:right w:w="108" w:type="dxa"/>
            </w:tcMar>
            <w:vAlign w:val="center"/>
          </w:tcPr>
          <w:p w14:paraId="6AD18F3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w:t>
            </w:r>
          </w:p>
        </w:tc>
        <w:tc>
          <w:tcPr>
            <w:tcW w:w="2250" w:type="dxa"/>
            <w:shd w:val="clear" w:color="auto" w:fill="auto"/>
            <w:tcMar>
              <w:top w:w="0" w:type="dxa"/>
              <w:left w:w="10" w:type="dxa"/>
              <w:bottom w:w="0" w:type="dxa"/>
              <w:right w:w="10" w:type="dxa"/>
            </w:tcMar>
            <w:vAlign w:val="center"/>
          </w:tcPr>
          <w:p w14:paraId="047027D2"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w:t>
            </w:r>
            <w:r w:rsidRPr="00906C10">
              <w:rPr>
                <w:rFonts w:ascii="Book Antiqua" w:hAnsi="Book Antiqua"/>
                <w:caps/>
                <w:color w:val="000000"/>
              </w:rPr>
              <w:t>d</w:t>
            </w:r>
          </w:p>
        </w:tc>
      </w:tr>
      <w:tr w:rsidR="00223458" w:rsidRPr="00906C10" w14:paraId="6AAFCC57" w14:textId="77777777" w:rsidTr="006A1754">
        <w:trPr>
          <w:jc w:val="center"/>
        </w:trPr>
        <w:tc>
          <w:tcPr>
            <w:tcW w:w="2245" w:type="dxa"/>
            <w:shd w:val="clear" w:color="auto" w:fill="auto"/>
            <w:tcMar>
              <w:top w:w="0" w:type="dxa"/>
              <w:left w:w="108" w:type="dxa"/>
              <w:bottom w:w="0" w:type="dxa"/>
              <w:right w:w="108" w:type="dxa"/>
            </w:tcMar>
            <w:vAlign w:val="center"/>
          </w:tcPr>
          <w:p w14:paraId="6AEFE92F"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Ying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26</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10D193F5" w14:textId="77777777" w:rsidR="00223458" w:rsidRPr="00906C10" w:rsidRDefault="00223458" w:rsidP="00586943">
            <w:pPr>
              <w:spacing w:line="360" w:lineRule="auto"/>
              <w:jc w:val="both"/>
              <w:rPr>
                <w:rFonts w:ascii="Book Antiqua" w:hAnsi="Book Antiqua"/>
              </w:rPr>
            </w:pPr>
            <w:r w:rsidRPr="00906C10">
              <w:rPr>
                <w:rFonts w:ascii="Book Antiqua" w:hAnsi="Book Antiqua"/>
              </w:rPr>
              <w:t>China</w:t>
            </w:r>
          </w:p>
        </w:tc>
        <w:tc>
          <w:tcPr>
            <w:tcW w:w="1560" w:type="dxa"/>
            <w:shd w:val="clear" w:color="auto" w:fill="auto"/>
            <w:tcMar>
              <w:top w:w="0" w:type="dxa"/>
              <w:left w:w="108" w:type="dxa"/>
              <w:bottom w:w="0" w:type="dxa"/>
              <w:right w:w="108" w:type="dxa"/>
            </w:tcMar>
            <w:vAlign w:val="center"/>
          </w:tcPr>
          <w:p w14:paraId="5325D66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randomized controlled trial</w:t>
            </w:r>
          </w:p>
        </w:tc>
        <w:tc>
          <w:tcPr>
            <w:tcW w:w="1042" w:type="dxa"/>
            <w:shd w:val="clear" w:color="auto" w:fill="auto"/>
            <w:tcMar>
              <w:top w:w="0" w:type="dxa"/>
              <w:left w:w="108" w:type="dxa"/>
              <w:bottom w:w="0" w:type="dxa"/>
              <w:right w:w="108" w:type="dxa"/>
            </w:tcMar>
            <w:vAlign w:val="center"/>
          </w:tcPr>
          <w:p w14:paraId="6D9FE4D1" w14:textId="77777777" w:rsidR="00223458" w:rsidRPr="00906C10" w:rsidRDefault="00223458" w:rsidP="00586943">
            <w:pPr>
              <w:spacing w:line="360" w:lineRule="auto"/>
              <w:jc w:val="both"/>
              <w:rPr>
                <w:rFonts w:ascii="Book Antiqua" w:hAnsi="Book Antiqua"/>
              </w:rPr>
            </w:pPr>
            <w:r>
              <w:rPr>
                <w:rFonts w:ascii="Book Antiqua" w:hAnsi="Book Antiqua"/>
              </w:rPr>
              <w:t>05.2012–</w:t>
            </w:r>
            <w:r w:rsidRPr="00906C10">
              <w:rPr>
                <w:rFonts w:ascii="Book Antiqua" w:hAnsi="Book Antiqua"/>
              </w:rPr>
              <w:t>06.2013</w:t>
            </w:r>
          </w:p>
        </w:tc>
        <w:tc>
          <w:tcPr>
            <w:tcW w:w="1696" w:type="dxa"/>
            <w:shd w:val="clear" w:color="auto" w:fill="auto"/>
            <w:tcMar>
              <w:top w:w="0" w:type="dxa"/>
              <w:left w:w="108" w:type="dxa"/>
              <w:bottom w:w="0" w:type="dxa"/>
              <w:right w:w="108" w:type="dxa"/>
            </w:tcMar>
            <w:vAlign w:val="center"/>
          </w:tcPr>
          <w:p w14:paraId="2A1A223C" w14:textId="77777777" w:rsidR="00223458" w:rsidRPr="00906C10" w:rsidRDefault="00223458" w:rsidP="00586943">
            <w:pPr>
              <w:spacing w:line="360" w:lineRule="auto"/>
              <w:jc w:val="both"/>
              <w:rPr>
                <w:rFonts w:ascii="Book Antiqua" w:hAnsi="Book Antiqua"/>
              </w:rPr>
            </w:pPr>
            <w:r w:rsidRPr="00906C10">
              <w:rPr>
                <w:rFonts w:ascii="Book Antiqua" w:hAnsi="Book Antiqua"/>
              </w:rPr>
              <w:t>66/33</w:t>
            </w:r>
          </w:p>
        </w:tc>
        <w:tc>
          <w:tcPr>
            <w:tcW w:w="847" w:type="dxa"/>
            <w:shd w:val="clear" w:color="auto" w:fill="auto"/>
            <w:tcMar>
              <w:top w:w="0" w:type="dxa"/>
              <w:left w:w="108" w:type="dxa"/>
              <w:bottom w:w="0" w:type="dxa"/>
              <w:right w:w="108" w:type="dxa"/>
            </w:tcMar>
            <w:vAlign w:val="center"/>
          </w:tcPr>
          <w:p w14:paraId="47A01876" w14:textId="77777777" w:rsidR="00223458" w:rsidRPr="00906C10" w:rsidRDefault="00223458" w:rsidP="00586943">
            <w:pPr>
              <w:spacing w:line="360" w:lineRule="auto"/>
              <w:jc w:val="both"/>
              <w:rPr>
                <w:rFonts w:ascii="Book Antiqua" w:hAnsi="Book Antiqua"/>
              </w:rPr>
            </w:pPr>
            <w:r w:rsidRPr="00906C10">
              <w:rPr>
                <w:rFonts w:ascii="Book Antiqua" w:hAnsi="Book Antiqua"/>
              </w:rPr>
              <w:t>25</w:t>
            </w:r>
          </w:p>
        </w:tc>
        <w:tc>
          <w:tcPr>
            <w:tcW w:w="716" w:type="dxa"/>
            <w:shd w:val="clear" w:color="auto" w:fill="auto"/>
            <w:tcMar>
              <w:top w:w="0" w:type="dxa"/>
              <w:left w:w="108" w:type="dxa"/>
              <w:bottom w:w="0" w:type="dxa"/>
              <w:right w:w="108" w:type="dxa"/>
            </w:tcMar>
            <w:vAlign w:val="center"/>
          </w:tcPr>
          <w:p w14:paraId="63D7375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51.5</w:t>
            </w:r>
          </w:p>
        </w:tc>
        <w:tc>
          <w:tcPr>
            <w:tcW w:w="1151" w:type="dxa"/>
            <w:shd w:val="clear" w:color="auto" w:fill="auto"/>
            <w:tcMar>
              <w:top w:w="0" w:type="dxa"/>
              <w:left w:w="108" w:type="dxa"/>
              <w:bottom w:w="0" w:type="dxa"/>
              <w:right w:w="108" w:type="dxa"/>
            </w:tcMar>
            <w:vAlign w:val="center"/>
          </w:tcPr>
          <w:p w14:paraId="5272E197"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u</w:t>
            </w:r>
            <w:r w:rsidRPr="00906C10">
              <w:rPr>
                <w:rFonts w:ascii="Book Antiqua" w:hAnsi="Book Antiqua"/>
                <w:color w:val="000000"/>
              </w:rPr>
              <w:t>pper GIB</w:t>
            </w:r>
          </w:p>
        </w:tc>
        <w:tc>
          <w:tcPr>
            <w:tcW w:w="2970" w:type="dxa"/>
            <w:shd w:val="clear" w:color="auto" w:fill="auto"/>
            <w:tcMar>
              <w:top w:w="0" w:type="dxa"/>
              <w:left w:w="108" w:type="dxa"/>
              <w:bottom w:w="0" w:type="dxa"/>
              <w:right w:w="108" w:type="dxa"/>
            </w:tcMar>
            <w:vAlign w:val="center"/>
          </w:tcPr>
          <w:p w14:paraId="1C4547A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Rebleeding</w:t>
            </w:r>
          </w:p>
        </w:tc>
        <w:tc>
          <w:tcPr>
            <w:tcW w:w="2250" w:type="dxa"/>
            <w:shd w:val="clear" w:color="auto" w:fill="auto"/>
            <w:tcMar>
              <w:top w:w="0" w:type="dxa"/>
              <w:left w:w="10" w:type="dxa"/>
              <w:bottom w:w="0" w:type="dxa"/>
              <w:right w:w="10" w:type="dxa"/>
            </w:tcMar>
            <w:vAlign w:val="center"/>
          </w:tcPr>
          <w:p w14:paraId="28DABDCB"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Gelatin sponge particles</w:t>
            </w:r>
          </w:p>
        </w:tc>
      </w:tr>
      <w:tr w:rsidR="00223458" w:rsidRPr="00906C10" w14:paraId="5B77A70A" w14:textId="77777777" w:rsidTr="006A1754">
        <w:trPr>
          <w:trHeight w:val="328"/>
          <w:jc w:val="center"/>
        </w:trPr>
        <w:tc>
          <w:tcPr>
            <w:tcW w:w="2245" w:type="dxa"/>
            <w:shd w:val="clear" w:color="auto" w:fill="auto"/>
            <w:tcMar>
              <w:top w:w="0" w:type="dxa"/>
              <w:left w:w="108" w:type="dxa"/>
              <w:bottom w:w="0" w:type="dxa"/>
              <w:right w:w="108" w:type="dxa"/>
            </w:tcMar>
            <w:vAlign w:val="center"/>
          </w:tcPr>
          <w:p w14:paraId="753F1D43"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Ying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23</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1152969E" w14:textId="77777777" w:rsidR="00223458" w:rsidRPr="00906C10" w:rsidRDefault="00223458" w:rsidP="00586943">
            <w:pPr>
              <w:spacing w:line="360" w:lineRule="auto"/>
              <w:jc w:val="both"/>
              <w:rPr>
                <w:rFonts w:ascii="Book Antiqua" w:hAnsi="Book Antiqua"/>
              </w:rPr>
            </w:pPr>
            <w:r w:rsidRPr="00906C10">
              <w:rPr>
                <w:rFonts w:ascii="Book Antiqua" w:hAnsi="Book Antiqua"/>
              </w:rPr>
              <w:t>China</w:t>
            </w:r>
          </w:p>
        </w:tc>
        <w:tc>
          <w:tcPr>
            <w:tcW w:w="1560" w:type="dxa"/>
            <w:shd w:val="clear" w:color="auto" w:fill="auto"/>
            <w:tcMar>
              <w:top w:w="0" w:type="dxa"/>
              <w:left w:w="108" w:type="dxa"/>
              <w:bottom w:w="0" w:type="dxa"/>
              <w:right w:w="108" w:type="dxa"/>
            </w:tcMar>
            <w:vAlign w:val="center"/>
          </w:tcPr>
          <w:p w14:paraId="2868E7DE"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randomized controlled trial</w:t>
            </w:r>
          </w:p>
        </w:tc>
        <w:tc>
          <w:tcPr>
            <w:tcW w:w="1042" w:type="dxa"/>
            <w:shd w:val="clear" w:color="auto" w:fill="auto"/>
            <w:tcMar>
              <w:top w:w="0" w:type="dxa"/>
              <w:left w:w="108" w:type="dxa"/>
              <w:bottom w:w="0" w:type="dxa"/>
              <w:right w:w="108" w:type="dxa"/>
            </w:tcMar>
            <w:vAlign w:val="center"/>
          </w:tcPr>
          <w:p w14:paraId="5B93F987" w14:textId="77777777" w:rsidR="00223458" w:rsidRPr="00906C10" w:rsidRDefault="00223458" w:rsidP="00586943">
            <w:pPr>
              <w:spacing w:line="360" w:lineRule="auto"/>
              <w:jc w:val="both"/>
              <w:rPr>
                <w:rFonts w:ascii="Book Antiqua" w:hAnsi="Book Antiqua"/>
              </w:rPr>
            </w:pPr>
            <w:r>
              <w:rPr>
                <w:rFonts w:ascii="Book Antiqua" w:hAnsi="Book Antiqua"/>
              </w:rPr>
              <w:t>06.2010–</w:t>
            </w:r>
            <w:r w:rsidRPr="00906C10">
              <w:rPr>
                <w:rFonts w:ascii="Book Antiqua" w:hAnsi="Book Antiqua"/>
              </w:rPr>
              <w:t>06.2014</w:t>
            </w:r>
          </w:p>
        </w:tc>
        <w:tc>
          <w:tcPr>
            <w:tcW w:w="1696" w:type="dxa"/>
            <w:shd w:val="clear" w:color="auto" w:fill="auto"/>
            <w:tcMar>
              <w:top w:w="0" w:type="dxa"/>
              <w:left w:w="108" w:type="dxa"/>
              <w:bottom w:w="0" w:type="dxa"/>
              <w:right w:w="108" w:type="dxa"/>
            </w:tcMar>
            <w:vAlign w:val="center"/>
          </w:tcPr>
          <w:p w14:paraId="56D88DA1" w14:textId="77777777" w:rsidR="00223458" w:rsidRPr="00906C10" w:rsidRDefault="00223458" w:rsidP="00586943">
            <w:pPr>
              <w:spacing w:line="360" w:lineRule="auto"/>
              <w:jc w:val="both"/>
              <w:rPr>
                <w:rFonts w:ascii="Book Antiqua" w:hAnsi="Book Antiqua"/>
              </w:rPr>
            </w:pPr>
            <w:r w:rsidRPr="00906C10">
              <w:rPr>
                <w:rFonts w:ascii="Book Antiqua" w:hAnsi="Book Antiqua"/>
              </w:rPr>
              <w:t>78/39</w:t>
            </w:r>
          </w:p>
        </w:tc>
        <w:tc>
          <w:tcPr>
            <w:tcW w:w="847" w:type="dxa"/>
            <w:shd w:val="clear" w:color="auto" w:fill="auto"/>
            <w:tcMar>
              <w:top w:w="0" w:type="dxa"/>
              <w:left w:w="108" w:type="dxa"/>
              <w:bottom w:w="0" w:type="dxa"/>
              <w:right w:w="108" w:type="dxa"/>
            </w:tcMar>
            <w:vAlign w:val="center"/>
          </w:tcPr>
          <w:p w14:paraId="4CBE2E4F" w14:textId="77777777" w:rsidR="00223458" w:rsidRPr="00906C10" w:rsidRDefault="00223458" w:rsidP="00586943">
            <w:pPr>
              <w:spacing w:line="360" w:lineRule="auto"/>
              <w:jc w:val="both"/>
              <w:rPr>
                <w:rFonts w:ascii="Book Antiqua" w:hAnsi="Book Antiqua"/>
              </w:rPr>
            </w:pPr>
            <w:r w:rsidRPr="00906C10">
              <w:rPr>
                <w:rFonts w:ascii="Book Antiqua" w:hAnsi="Book Antiqua"/>
              </w:rPr>
              <w:t>46.2</w:t>
            </w:r>
          </w:p>
        </w:tc>
        <w:tc>
          <w:tcPr>
            <w:tcW w:w="716" w:type="dxa"/>
            <w:shd w:val="clear" w:color="auto" w:fill="auto"/>
            <w:tcMar>
              <w:top w:w="0" w:type="dxa"/>
              <w:left w:w="108" w:type="dxa"/>
              <w:bottom w:w="0" w:type="dxa"/>
              <w:right w:w="108" w:type="dxa"/>
            </w:tcMar>
            <w:vAlign w:val="center"/>
          </w:tcPr>
          <w:p w14:paraId="370357D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46.5</w:t>
            </w:r>
          </w:p>
        </w:tc>
        <w:tc>
          <w:tcPr>
            <w:tcW w:w="1151" w:type="dxa"/>
            <w:shd w:val="clear" w:color="auto" w:fill="auto"/>
            <w:tcMar>
              <w:top w:w="0" w:type="dxa"/>
              <w:left w:w="108" w:type="dxa"/>
              <w:bottom w:w="0" w:type="dxa"/>
              <w:right w:w="108" w:type="dxa"/>
            </w:tcMar>
            <w:vAlign w:val="center"/>
          </w:tcPr>
          <w:p w14:paraId="164E272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u</w:t>
            </w:r>
            <w:r w:rsidRPr="00906C10">
              <w:rPr>
                <w:rFonts w:ascii="Book Antiqua" w:hAnsi="Book Antiqua"/>
                <w:color w:val="000000"/>
              </w:rPr>
              <w:t>pper GIB</w:t>
            </w:r>
          </w:p>
        </w:tc>
        <w:tc>
          <w:tcPr>
            <w:tcW w:w="2970" w:type="dxa"/>
            <w:shd w:val="clear" w:color="auto" w:fill="auto"/>
            <w:tcMar>
              <w:top w:w="0" w:type="dxa"/>
              <w:left w:w="108" w:type="dxa"/>
              <w:bottom w:w="0" w:type="dxa"/>
              <w:right w:w="108" w:type="dxa"/>
            </w:tcMar>
            <w:vAlign w:val="center"/>
          </w:tcPr>
          <w:p w14:paraId="4F40DEA8"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Short term haemostasis, long term haemostasis, hospital stay, transfusion</w:t>
            </w:r>
          </w:p>
        </w:tc>
        <w:tc>
          <w:tcPr>
            <w:tcW w:w="2250" w:type="dxa"/>
            <w:shd w:val="clear" w:color="auto" w:fill="auto"/>
            <w:tcMar>
              <w:top w:w="0" w:type="dxa"/>
              <w:left w:w="10" w:type="dxa"/>
              <w:bottom w:w="0" w:type="dxa"/>
              <w:right w:w="10" w:type="dxa"/>
            </w:tcMar>
            <w:vAlign w:val="center"/>
          </w:tcPr>
          <w:p w14:paraId="06AAA48F"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Coils, gelatin sponge</w:t>
            </w:r>
          </w:p>
        </w:tc>
      </w:tr>
      <w:tr w:rsidR="00223458" w:rsidRPr="00906C10" w14:paraId="0C8B15EF" w14:textId="77777777" w:rsidTr="006A1754">
        <w:trPr>
          <w:jc w:val="center"/>
        </w:trPr>
        <w:tc>
          <w:tcPr>
            <w:tcW w:w="2245" w:type="dxa"/>
            <w:shd w:val="clear" w:color="auto" w:fill="auto"/>
            <w:tcMar>
              <w:top w:w="0" w:type="dxa"/>
              <w:left w:w="108" w:type="dxa"/>
              <w:bottom w:w="0" w:type="dxa"/>
              <w:right w:w="108" w:type="dxa"/>
            </w:tcMar>
            <w:vAlign w:val="center"/>
          </w:tcPr>
          <w:p w14:paraId="1850011A" w14:textId="77777777" w:rsidR="00223458" w:rsidRPr="00906C10" w:rsidRDefault="00223458" w:rsidP="00586943">
            <w:pPr>
              <w:spacing w:line="360" w:lineRule="auto"/>
              <w:jc w:val="both"/>
              <w:rPr>
                <w:rFonts w:ascii="Book Antiqua" w:hAnsi="Book Antiqua"/>
              </w:rPr>
            </w:pPr>
            <w:r w:rsidRPr="00906C10">
              <w:rPr>
                <w:rFonts w:ascii="Book Antiqua" w:hAnsi="Book Antiqua"/>
                <w:color w:val="000000"/>
              </w:rPr>
              <w:t xml:space="preserve">Yonemoto </w:t>
            </w:r>
            <w:r w:rsidRPr="00906C10">
              <w:rPr>
                <w:rFonts w:ascii="Book Antiqua" w:hAnsi="Book Antiqua"/>
                <w:i/>
              </w:rPr>
              <w:t>et al</w:t>
            </w:r>
            <w:r w:rsidRPr="00906C10">
              <w:rPr>
                <w:rFonts w:ascii="Book Antiqua" w:hAnsi="Book Antiqua"/>
                <w:vertAlign w:val="superscript"/>
              </w:rPr>
              <w:t>[</w:t>
            </w:r>
            <w:r w:rsidRPr="00906C10">
              <w:rPr>
                <w:rFonts w:ascii="Book Antiqua" w:hAnsi="Book Antiqua"/>
                <w:vertAlign w:val="superscript"/>
                <w:lang w:eastAsia="zh-CN"/>
              </w:rPr>
              <w:t>24</w:t>
            </w:r>
            <w:r w:rsidRPr="00906C10">
              <w:rPr>
                <w:rFonts w:ascii="Book Antiqua" w:hAnsi="Book Antiqua"/>
                <w:vertAlign w:val="superscript"/>
              </w:rPr>
              <w:t>]</w:t>
            </w:r>
          </w:p>
        </w:tc>
        <w:tc>
          <w:tcPr>
            <w:tcW w:w="908" w:type="dxa"/>
            <w:shd w:val="clear" w:color="auto" w:fill="auto"/>
            <w:tcMar>
              <w:top w:w="0" w:type="dxa"/>
              <w:left w:w="108" w:type="dxa"/>
              <w:bottom w:w="0" w:type="dxa"/>
              <w:right w:w="108" w:type="dxa"/>
            </w:tcMar>
            <w:vAlign w:val="center"/>
          </w:tcPr>
          <w:p w14:paraId="50470D73" w14:textId="77777777" w:rsidR="00223458" w:rsidRPr="00906C10" w:rsidRDefault="00223458" w:rsidP="00586943">
            <w:pPr>
              <w:spacing w:line="360" w:lineRule="auto"/>
              <w:jc w:val="both"/>
              <w:rPr>
                <w:rFonts w:ascii="Book Antiqua" w:hAnsi="Book Antiqua"/>
              </w:rPr>
            </w:pPr>
            <w:r w:rsidRPr="00906C10">
              <w:rPr>
                <w:rFonts w:ascii="Book Antiqua" w:hAnsi="Book Antiqua"/>
              </w:rPr>
              <w:t>Japan</w:t>
            </w:r>
          </w:p>
        </w:tc>
        <w:tc>
          <w:tcPr>
            <w:tcW w:w="1560" w:type="dxa"/>
            <w:shd w:val="clear" w:color="auto" w:fill="auto"/>
            <w:tcMar>
              <w:top w:w="0" w:type="dxa"/>
              <w:left w:w="108" w:type="dxa"/>
              <w:bottom w:w="0" w:type="dxa"/>
              <w:right w:w="108" w:type="dxa"/>
            </w:tcMar>
            <w:vAlign w:val="center"/>
          </w:tcPr>
          <w:p w14:paraId="50DBC7CC"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retrospective cohort</w:t>
            </w:r>
          </w:p>
        </w:tc>
        <w:tc>
          <w:tcPr>
            <w:tcW w:w="1042" w:type="dxa"/>
            <w:shd w:val="clear" w:color="auto" w:fill="auto"/>
            <w:tcMar>
              <w:top w:w="0" w:type="dxa"/>
              <w:left w:w="108" w:type="dxa"/>
              <w:bottom w:w="0" w:type="dxa"/>
              <w:right w:w="108" w:type="dxa"/>
            </w:tcMar>
            <w:vAlign w:val="center"/>
          </w:tcPr>
          <w:p w14:paraId="1A8CC0D7" w14:textId="77777777" w:rsidR="00223458" w:rsidRPr="00906C10" w:rsidRDefault="00223458" w:rsidP="00586943">
            <w:pPr>
              <w:spacing w:line="360" w:lineRule="auto"/>
              <w:jc w:val="both"/>
              <w:rPr>
                <w:rFonts w:ascii="Book Antiqua" w:hAnsi="Book Antiqua"/>
              </w:rPr>
            </w:pPr>
            <w:r>
              <w:rPr>
                <w:rFonts w:ascii="Book Antiqua" w:hAnsi="Book Antiqua"/>
              </w:rPr>
              <w:t>04.2005–</w:t>
            </w:r>
            <w:r w:rsidRPr="00906C10">
              <w:rPr>
                <w:rFonts w:ascii="Book Antiqua" w:hAnsi="Book Antiqua"/>
              </w:rPr>
              <w:t>12.2017</w:t>
            </w:r>
          </w:p>
        </w:tc>
        <w:tc>
          <w:tcPr>
            <w:tcW w:w="1696" w:type="dxa"/>
            <w:shd w:val="clear" w:color="auto" w:fill="auto"/>
            <w:tcMar>
              <w:top w:w="0" w:type="dxa"/>
              <w:left w:w="108" w:type="dxa"/>
              <w:bottom w:w="0" w:type="dxa"/>
              <w:right w:w="108" w:type="dxa"/>
            </w:tcMar>
            <w:vAlign w:val="center"/>
          </w:tcPr>
          <w:p w14:paraId="24CEC8E1" w14:textId="77777777" w:rsidR="00223458" w:rsidRPr="00906C10" w:rsidRDefault="00223458" w:rsidP="00586943">
            <w:pPr>
              <w:spacing w:line="360" w:lineRule="auto"/>
              <w:jc w:val="both"/>
              <w:rPr>
                <w:rFonts w:ascii="Book Antiqua" w:hAnsi="Book Antiqua"/>
              </w:rPr>
            </w:pPr>
            <w:r w:rsidRPr="00906C10">
              <w:rPr>
                <w:rFonts w:ascii="Book Antiqua" w:hAnsi="Book Antiqua"/>
              </w:rPr>
              <w:t>141/11</w:t>
            </w:r>
          </w:p>
        </w:tc>
        <w:tc>
          <w:tcPr>
            <w:tcW w:w="847" w:type="dxa"/>
            <w:shd w:val="clear" w:color="auto" w:fill="auto"/>
            <w:tcMar>
              <w:top w:w="0" w:type="dxa"/>
              <w:left w:w="108" w:type="dxa"/>
              <w:bottom w:w="0" w:type="dxa"/>
              <w:right w:w="108" w:type="dxa"/>
            </w:tcMar>
            <w:vAlign w:val="center"/>
          </w:tcPr>
          <w:p w14:paraId="2BFD323C" w14:textId="77777777" w:rsidR="00223458" w:rsidRPr="00906C10" w:rsidRDefault="00223458" w:rsidP="00586943">
            <w:pPr>
              <w:spacing w:line="360" w:lineRule="auto"/>
              <w:jc w:val="both"/>
              <w:rPr>
                <w:rFonts w:ascii="Book Antiqua" w:hAnsi="Book Antiqua"/>
              </w:rPr>
            </w:pPr>
            <w:r w:rsidRPr="00906C10">
              <w:rPr>
                <w:rFonts w:ascii="Book Antiqua" w:hAnsi="Book Antiqua"/>
              </w:rPr>
              <w:t>22.7</w:t>
            </w:r>
          </w:p>
        </w:tc>
        <w:tc>
          <w:tcPr>
            <w:tcW w:w="716" w:type="dxa"/>
            <w:shd w:val="clear" w:color="auto" w:fill="auto"/>
            <w:tcMar>
              <w:top w:w="0" w:type="dxa"/>
              <w:left w:w="108" w:type="dxa"/>
              <w:bottom w:w="0" w:type="dxa"/>
              <w:right w:w="108" w:type="dxa"/>
            </w:tcMar>
            <w:vAlign w:val="center"/>
          </w:tcPr>
          <w:p w14:paraId="2B7D011D"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62.8</w:t>
            </w:r>
          </w:p>
        </w:tc>
        <w:tc>
          <w:tcPr>
            <w:tcW w:w="1151" w:type="dxa"/>
            <w:shd w:val="clear" w:color="auto" w:fill="auto"/>
            <w:tcMar>
              <w:top w:w="0" w:type="dxa"/>
              <w:left w:w="108" w:type="dxa"/>
              <w:bottom w:w="0" w:type="dxa"/>
              <w:right w:w="108" w:type="dxa"/>
            </w:tcMar>
            <w:vAlign w:val="center"/>
          </w:tcPr>
          <w:p w14:paraId="75A07CCA"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aps/>
                <w:color w:val="000000"/>
              </w:rPr>
              <w:t>d</w:t>
            </w:r>
            <w:r w:rsidRPr="00906C10">
              <w:rPr>
                <w:rFonts w:ascii="Book Antiqua" w:hAnsi="Book Antiqua"/>
                <w:color w:val="000000"/>
              </w:rPr>
              <w:t>uodenal ulcer</w:t>
            </w:r>
          </w:p>
        </w:tc>
        <w:tc>
          <w:tcPr>
            <w:tcW w:w="2970" w:type="dxa"/>
            <w:shd w:val="clear" w:color="auto" w:fill="auto"/>
            <w:tcMar>
              <w:top w:w="0" w:type="dxa"/>
              <w:left w:w="108" w:type="dxa"/>
              <w:bottom w:w="0" w:type="dxa"/>
              <w:right w:w="108" w:type="dxa"/>
            </w:tcMar>
            <w:vAlign w:val="center"/>
          </w:tcPr>
          <w:p w14:paraId="28E0479F"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Laboratory data at initial diagnosis, the amount of blood transfusion, 30-d mortality</w:t>
            </w:r>
          </w:p>
        </w:tc>
        <w:tc>
          <w:tcPr>
            <w:tcW w:w="2250" w:type="dxa"/>
            <w:shd w:val="clear" w:color="auto" w:fill="auto"/>
            <w:tcMar>
              <w:top w:w="0" w:type="dxa"/>
              <w:left w:w="10" w:type="dxa"/>
              <w:bottom w:w="0" w:type="dxa"/>
              <w:right w:w="10" w:type="dxa"/>
            </w:tcMar>
            <w:vAlign w:val="center"/>
          </w:tcPr>
          <w:p w14:paraId="3F286A84" w14:textId="77777777" w:rsidR="00223458" w:rsidRPr="00906C10" w:rsidRDefault="00223458" w:rsidP="00586943">
            <w:pPr>
              <w:spacing w:line="360" w:lineRule="auto"/>
              <w:jc w:val="both"/>
              <w:rPr>
                <w:rFonts w:ascii="Book Antiqua" w:hAnsi="Book Antiqua"/>
                <w:color w:val="000000"/>
              </w:rPr>
            </w:pPr>
            <w:r w:rsidRPr="00906C10">
              <w:rPr>
                <w:rFonts w:ascii="Book Antiqua" w:hAnsi="Book Antiqua"/>
                <w:color w:val="000000"/>
              </w:rPr>
              <w:t>N</w:t>
            </w:r>
            <w:r w:rsidRPr="00906C10">
              <w:rPr>
                <w:rFonts w:ascii="Book Antiqua" w:hAnsi="Book Antiqua"/>
                <w:caps/>
                <w:color w:val="000000"/>
              </w:rPr>
              <w:t>d</w:t>
            </w:r>
          </w:p>
        </w:tc>
      </w:tr>
    </w:tbl>
    <w:p w14:paraId="7C780C33" w14:textId="77777777" w:rsidR="001B42C8" w:rsidRDefault="00223458" w:rsidP="00586943">
      <w:pPr>
        <w:spacing w:line="360" w:lineRule="auto"/>
        <w:jc w:val="both"/>
        <w:rPr>
          <w:rFonts w:ascii="Book Antiqua" w:hAnsi="Book Antiqua"/>
          <w:iCs/>
          <w:lang w:eastAsia="zh-CN"/>
        </w:rPr>
        <w:sectPr w:rsidR="001B42C8" w:rsidSect="00431B6B">
          <w:pgSz w:w="15876" w:h="15842" w:orient="landscape"/>
          <w:pgMar w:top="1440" w:right="1440" w:bottom="1440" w:left="1440" w:header="720" w:footer="720" w:gutter="0"/>
          <w:cols w:space="720"/>
          <w:docGrid w:linePitch="360"/>
        </w:sectPr>
      </w:pPr>
      <w:r w:rsidRPr="00906C10">
        <w:rPr>
          <w:rFonts w:ascii="Book Antiqua" w:hAnsi="Book Antiqua"/>
          <w:color w:val="1C1D1E"/>
          <w:shd w:val="clear" w:color="auto" w:fill="FFFFFF"/>
          <w:vertAlign w:val="superscript"/>
          <w:lang w:eastAsia="zh-CN"/>
        </w:rPr>
        <w:t>1</w:t>
      </w:r>
      <w:r w:rsidRPr="00906C10">
        <w:rPr>
          <w:rFonts w:ascii="Book Antiqua" w:hAnsi="Book Antiqua"/>
          <w:caps/>
        </w:rPr>
        <w:t>a</w:t>
      </w:r>
      <w:r w:rsidRPr="00906C10">
        <w:rPr>
          <w:rFonts w:ascii="Book Antiqua" w:hAnsi="Book Antiqua"/>
        </w:rPr>
        <w:t>ge is given in mean or median</w:t>
      </w:r>
      <w:r w:rsidRPr="00906C10">
        <w:rPr>
          <w:rFonts w:ascii="Book Antiqua" w:hAnsi="Book Antiqua"/>
          <w:lang w:eastAsia="zh-CN"/>
        </w:rPr>
        <w:t>.</w:t>
      </w:r>
      <w:r w:rsidRPr="00906C10">
        <w:rPr>
          <w:rFonts w:ascii="Book Antiqua" w:hAnsi="Book Antiqua"/>
          <w:iCs/>
        </w:rPr>
        <w:t xml:space="preserve"> GIB: </w:t>
      </w:r>
      <w:r w:rsidRPr="00906C10">
        <w:rPr>
          <w:rFonts w:ascii="Book Antiqua" w:hAnsi="Book Antiqua"/>
          <w:iCs/>
          <w:caps/>
        </w:rPr>
        <w:t>g</w:t>
      </w:r>
      <w:r w:rsidRPr="00906C10">
        <w:rPr>
          <w:rFonts w:ascii="Book Antiqua" w:hAnsi="Book Antiqua"/>
          <w:iCs/>
        </w:rPr>
        <w:t xml:space="preserve">astrointestinal bleeding, ICU: </w:t>
      </w:r>
      <w:r w:rsidRPr="00906C10">
        <w:rPr>
          <w:rFonts w:ascii="Book Antiqua" w:hAnsi="Book Antiqua"/>
          <w:iCs/>
          <w:caps/>
        </w:rPr>
        <w:t>i</w:t>
      </w:r>
      <w:r w:rsidRPr="00906C10">
        <w:rPr>
          <w:rFonts w:ascii="Book Antiqua" w:hAnsi="Book Antiqua"/>
          <w:iCs/>
        </w:rPr>
        <w:t xml:space="preserve">ntensive care unit, ND: </w:t>
      </w:r>
      <w:r w:rsidRPr="00906C10">
        <w:rPr>
          <w:rFonts w:ascii="Book Antiqua" w:hAnsi="Book Antiqua"/>
          <w:iCs/>
          <w:caps/>
        </w:rPr>
        <w:t>n</w:t>
      </w:r>
      <w:r w:rsidRPr="00906C10">
        <w:rPr>
          <w:rFonts w:ascii="Book Antiqua" w:hAnsi="Book Antiqua"/>
          <w:iCs/>
        </w:rPr>
        <w:t xml:space="preserve">o data, NVUGIB: </w:t>
      </w:r>
      <w:r w:rsidRPr="00906C10">
        <w:rPr>
          <w:rFonts w:ascii="Book Antiqua" w:hAnsi="Book Antiqua"/>
          <w:iCs/>
          <w:caps/>
        </w:rPr>
        <w:t>n</w:t>
      </w:r>
      <w:r w:rsidRPr="00906C10">
        <w:rPr>
          <w:rFonts w:ascii="Book Antiqua" w:hAnsi="Book Antiqua"/>
          <w:iCs/>
        </w:rPr>
        <w:t>on-variceal upper GIB</w:t>
      </w:r>
      <w:r w:rsidRPr="00906C10">
        <w:rPr>
          <w:rFonts w:ascii="Book Antiqua" w:hAnsi="Book Antiqua"/>
          <w:iCs/>
          <w:lang w:eastAsia="zh-CN"/>
        </w:rPr>
        <w:t>.</w:t>
      </w:r>
    </w:p>
    <w:p w14:paraId="544709FE" w14:textId="77777777" w:rsidR="001B42C8" w:rsidRDefault="001B42C8" w:rsidP="001B42C8">
      <w:pPr>
        <w:jc w:val="center"/>
        <w:rPr>
          <w:rFonts w:ascii="Book Antiqua" w:hAnsi="Book Antiqua"/>
          <w:lang w:eastAsia="zh-CN"/>
        </w:rPr>
      </w:pPr>
    </w:p>
    <w:p w14:paraId="445726DF" w14:textId="77777777" w:rsidR="001B42C8" w:rsidRDefault="001B42C8" w:rsidP="001B42C8">
      <w:pPr>
        <w:jc w:val="center"/>
        <w:rPr>
          <w:rFonts w:ascii="Book Antiqua" w:hAnsi="Book Antiqua"/>
          <w:lang w:eastAsia="zh-CN"/>
        </w:rPr>
      </w:pPr>
    </w:p>
    <w:p w14:paraId="5E7B0B6E" w14:textId="77777777" w:rsidR="001B42C8" w:rsidRDefault="001B42C8" w:rsidP="001B42C8">
      <w:pPr>
        <w:jc w:val="center"/>
        <w:rPr>
          <w:rFonts w:ascii="Book Antiqua" w:hAnsi="Book Antiqua"/>
          <w:lang w:eastAsia="zh-CN"/>
        </w:rPr>
      </w:pPr>
    </w:p>
    <w:p w14:paraId="317273AC" w14:textId="77777777" w:rsidR="001B42C8" w:rsidRDefault="001B42C8" w:rsidP="001B42C8">
      <w:pPr>
        <w:jc w:val="center"/>
        <w:rPr>
          <w:rFonts w:ascii="Book Antiqua" w:hAnsi="Book Antiqua"/>
          <w:lang w:eastAsia="zh-CN"/>
        </w:rPr>
      </w:pPr>
    </w:p>
    <w:p w14:paraId="0ECC58DE" w14:textId="77777777" w:rsidR="001B42C8" w:rsidRDefault="001B42C8" w:rsidP="001B42C8">
      <w:pPr>
        <w:jc w:val="center"/>
        <w:rPr>
          <w:rFonts w:ascii="Book Antiqua" w:hAnsi="Book Antiqua"/>
          <w:lang w:eastAsia="zh-CN"/>
        </w:rPr>
      </w:pPr>
    </w:p>
    <w:p w14:paraId="5079E5C9" w14:textId="18629188" w:rsidR="001B42C8" w:rsidRDefault="001B42C8" w:rsidP="001B42C8">
      <w:pPr>
        <w:jc w:val="center"/>
        <w:rPr>
          <w:rFonts w:ascii="Book Antiqua" w:hAnsi="Book Antiqua"/>
          <w:lang w:eastAsia="zh-CN"/>
        </w:rPr>
      </w:pPr>
      <w:r>
        <w:rPr>
          <w:rFonts w:ascii="Book Antiqua" w:hAnsi="Book Antiqua"/>
          <w:noProof/>
          <w:lang w:eastAsia="zh-CN"/>
        </w:rPr>
        <w:drawing>
          <wp:inline distT="0" distB="0" distL="0" distR="0" wp14:anchorId="2000A8F7" wp14:editId="3FF440B1">
            <wp:extent cx="2492375" cy="1440180"/>
            <wp:effectExtent l="0" t="0" r="317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2375" cy="1440180"/>
                    </a:xfrm>
                    <a:prstGeom prst="rect">
                      <a:avLst/>
                    </a:prstGeom>
                    <a:noFill/>
                    <a:ln>
                      <a:noFill/>
                    </a:ln>
                  </pic:spPr>
                </pic:pic>
              </a:graphicData>
            </a:graphic>
          </wp:inline>
        </w:drawing>
      </w:r>
    </w:p>
    <w:p w14:paraId="6F711F24" w14:textId="77777777" w:rsidR="001B42C8" w:rsidRDefault="001B42C8" w:rsidP="001B42C8">
      <w:pPr>
        <w:jc w:val="center"/>
        <w:rPr>
          <w:rFonts w:ascii="Book Antiqua" w:hAnsi="Book Antiqua"/>
          <w:lang w:eastAsia="zh-CN"/>
        </w:rPr>
      </w:pPr>
    </w:p>
    <w:p w14:paraId="61C4A116" w14:textId="77777777" w:rsidR="001B42C8" w:rsidRDefault="001B42C8" w:rsidP="001B42C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64B051" w14:textId="77777777" w:rsidR="001B42C8" w:rsidRDefault="001B42C8" w:rsidP="001B42C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CCFFC5" w14:textId="77777777" w:rsidR="001B42C8" w:rsidRDefault="001B42C8" w:rsidP="001B42C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7D1B6F" w14:textId="77777777" w:rsidR="001B42C8" w:rsidRDefault="001B42C8" w:rsidP="001B42C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923643" w14:textId="77777777" w:rsidR="001B42C8" w:rsidRDefault="001B42C8" w:rsidP="001B42C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386003" w14:textId="77777777" w:rsidR="001B42C8" w:rsidRDefault="001B42C8" w:rsidP="001B42C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EC82B5A" w14:textId="77777777" w:rsidR="001B42C8" w:rsidRDefault="001B42C8" w:rsidP="001B42C8">
      <w:pPr>
        <w:jc w:val="center"/>
        <w:rPr>
          <w:rFonts w:ascii="Book Antiqua" w:hAnsi="Book Antiqua"/>
          <w:lang w:eastAsia="zh-CN"/>
        </w:rPr>
      </w:pPr>
    </w:p>
    <w:p w14:paraId="10341ADA" w14:textId="77777777" w:rsidR="001B42C8" w:rsidRDefault="001B42C8" w:rsidP="001B42C8">
      <w:pPr>
        <w:jc w:val="center"/>
        <w:rPr>
          <w:rFonts w:ascii="Book Antiqua" w:hAnsi="Book Antiqua"/>
          <w:lang w:eastAsia="zh-CN"/>
        </w:rPr>
      </w:pPr>
    </w:p>
    <w:p w14:paraId="39F6DA1D" w14:textId="77777777" w:rsidR="001B42C8" w:rsidRDefault="001B42C8" w:rsidP="001B42C8">
      <w:pPr>
        <w:jc w:val="center"/>
        <w:rPr>
          <w:rFonts w:ascii="Book Antiqua" w:hAnsi="Book Antiqua"/>
          <w:lang w:eastAsia="zh-CN"/>
        </w:rPr>
      </w:pPr>
    </w:p>
    <w:p w14:paraId="4E1A57DC" w14:textId="79CFBD29" w:rsidR="001B42C8" w:rsidRDefault="001B42C8" w:rsidP="001B42C8">
      <w:pPr>
        <w:jc w:val="center"/>
        <w:rPr>
          <w:rFonts w:ascii="Book Antiqua" w:hAnsi="Book Antiqua"/>
          <w:lang w:eastAsia="zh-CN"/>
        </w:rPr>
      </w:pPr>
      <w:r>
        <w:rPr>
          <w:rFonts w:ascii="Book Antiqua" w:hAnsi="Book Antiqua"/>
          <w:noProof/>
          <w:lang w:eastAsia="zh-CN"/>
        </w:rPr>
        <w:drawing>
          <wp:inline distT="0" distB="0" distL="0" distR="0" wp14:anchorId="545ECF64" wp14:editId="2EEA9E82">
            <wp:extent cx="1448435" cy="14401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63A97E24" w14:textId="77777777" w:rsidR="001B42C8" w:rsidRDefault="001B42C8" w:rsidP="001B42C8">
      <w:pPr>
        <w:jc w:val="center"/>
        <w:rPr>
          <w:rFonts w:ascii="Book Antiqua" w:hAnsi="Book Antiqua"/>
          <w:lang w:eastAsia="zh-CN"/>
        </w:rPr>
      </w:pPr>
    </w:p>
    <w:p w14:paraId="78592881" w14:textId="77777777" w:rsidR="001B42C8" w:rsidRDefault="001B42C8" w:rsidP="001B42C8">
      <w:pPr>
        <w:jc w:val="center"/>
        <w:rPr>
          <w:rFonts w:ascii="Book Antiqua" w:hAnsi="Book Antiqua"/>
          <w:lang w:eastAsia="zh-CN"/>
        </w:rPr>
      </w:pPr>
    </w:p>
    <w:p w14:paraId="0F73DF9E" w14:textId="77777777" w:rsidR="001B42C8" w:rsidRDefault="001B42C8" w:rsidP="001B42C8">
      <w:pPr>
        <w:jc w:val="center"/>
        <w:rPr>
          <w:rFonts w:ascii="Book Antiqua" w:hAnsi="Book Antiqua"/>
          <w:lang w:eastAsia="zh-CN"/>
        </w:rPr>
      </w:pPr>
    </w:p>
    <w:p w14:paraId="6B566286" w14:textId="77777777" w:rsidR="001B42C8" w:rsidRDefault="001B42C8" w:rsidP="001B42C8">
      <w:pPr>
        <w:jc w:val="center"/>
        <w:rPr>
          <w:rFonts w:ascii="Book Antiqua" w:hAnsi="Book Antiqua"/>
          <w:lang w:eastAsia="zh-CN"/>
        </w:rPr>
      </w:pPr>
    </w:p>
    <w:p w14:paraId="6C0E9C5F" w14:textId="77777777" w:rsidR="001B42C8" w:rsidRDefault="001B42C8" w:rsidP="001B42C8">
      <w:pPr>
        <w:jc w:val="center"/>
        <w:rPr>
          <w:rFonts w:ascii="Book Antiqua" w:hAnsi="Book Antiqua"/>
          <w:lang w:eastAsia="zh-CN"/>
        </w:rPr>
      </w:pPr>
    </w:p>
    <w:p w14:paraId="0791E5B8" w14:textId="77777777" w:rsidR="001B42C8" w:rsidRDefault="001B42C8" w:rsidP="001B42C8">
      <w:pPr>
        <w:jc w:val="center"/>
        <w:rPr>
          <w:rFonts w:ascii="Book Antiqua" w:hAnsi="Book Antiqua"/>
          <w:lang w:eastAsia="zh-CN"/>
        </w:rPr>
      </w:pPr>
    </w:p>
    <w:p w14:paraId="03268B68" w14:textId="77777777" w:rsidR="001B42C8" w:rsidRDefault="001B42C8" w:rsidP="001B42C8">
      <w:pPr>
        <w:jc w:val="center"/>
        <w:rPr>
          <w:rFonts w:ascii="Book Antiqua" w:hAnsi="Book Antiqua"/>
          <w:lang w:eastAsia="zh-CN"/>
        </w:rPr>
      </w:pPr>
    </w:p>
    <w:p w14:paraId="78BEB3CC" w14:textId="77777777" w:rsidR="001B42C8" w:rsidRDefault="001B42C8" w:rsidP="001B42C8">
      <w:pPr>
        <w:jc w:val="center"/>
        <w:rPr>
          <w:rFonts w:ascii="Book Antiqua" w:hAnsi="Book Antiqua"/>
          <w:lang w:eastAsia="zh-CN"/>
        </w:rPr>
      </w:pPr>
    </w:p>
    <w:p w14:paraId="4704A0F5" w14:textId="77777777" w:rsidR="001B42C8" w:rsidRDefault="001B42C8" w:rsidP="001B42C8">
      <w:pPr>
        <w:jc w:val="center"/>
        <w:rPr>
          <w:rFonts w:ascii="Book Antiqua" w:hAnsi="Book Antiqua"/>
          <w:lang w:eastAsia="zh-CN"/>
        </w:rPr>
      </w:pPr>
    </w:p>
    <w:p w14:paraId="179FAD8D" w14:textId="77777777" w:rsidR="001B42C8" w:rsidRDefault="001B42C8" w:rsidP="001B42C8">
      <w:pPr>
        <w:jc w:val="right"/>
        <w:rPr>
          <w:rFonts w:ascii="Book Antiqua" w:hAnsi="Book Antiqua"/>
          <w:color w:val="000000" w:themeColor="text1"/>
          <w:lang w:eastAsia="zh-CN"/>
        </w:rPr>
      </w:pPr>
    </w:p>
    <w:p w14:paraId="63D1A5D4" w14:textId="77777777" w:rsidR="001B42C8" w:rsidRDefault="001B42C8" w:rsidP="001B42C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ED52C58" w14:textId="67DBF5F8" w:rsidR="00223458" w:rsidRPr="001B42C8" w:rsidRDefault="00223458" w:rsidP="00586943">
      <w:pPr>
        <w:spacing w:line="360" w:lineRule="auto"/>
        <w:jc w:val="both"/>
        <w:rPr>
          <w:rFonts w:ascii="Book Antiqua" w:hAnsi="Book Antiqua"/>
          <w:lang w:eastAsia="zh-CN"/>
        </w:rPr>
      </w:pPr>
    </w:p>
    <w:sectPr w:rsidR="00223458" w:rsidRPr="001B42C8" w:rsidSect="001B42C8">
      <w:pgSz w:w="15842" w:h="1587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B87A" w14:textId="77777777" w:rsidR="001B0C28" w:rsidRDefault="001B0C28" w:rsidP="00431B6B">
      <w:r>
        <w:separator/>
      </w:r>
    </w:p>
  </w:endnote>
  <w:endnote w:type="continuationSeparator" w:id="0">
    <w:p w14:paraId="2D31661C" w14:textId="77777777" w:rsidR="001B0C28" w:rsidRDefault="001B0C28" w:rsidP="004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8581"/>
      <w:docPartObj>
        <w:docPartGallery w:val="Page Numbers (Bottom of Page)"/>
        <w:docPartUnique/>
      </w:docPartObj>
    </w:sdtPr>
    <w:sdtEndPr/>
    <w:sdtContent>
      <w:sdt>
        <w:sdtPr>
          <w:id w:val="98381352"/>
          <w:docPartObj>
            <w:docPartGallery w:val="Page Numbers (Top of Page)"/>
            <w:docPartUnique/>
          </w:docPartObj>
        </w:sdtPr>
        <w:sdtEndPr/>
        <w:sdtContent>
          <w:p w14:paraId="02AA1354" w14:textId="77777777" w:rsidR="00431B6B" w:rsidRDefault="00431B6B" w:rsidP="00431B6B">
            <w:pPr>
              <w:pStyle w:val="a7"/>
              <w:jc w:val="right"/>
            </w:pPr>
            <w:r w:rsidRPr="00431B6B">
              <w:rPr>
                <w:rFonts w:ascii="Book Antiqua" w:hAnsi="Book Antiqua"/>
                <w:sz w:val="24"/>
                <w:szCs w:val="24"/>
                <w:lang w:val="zh-CN" w:eastAsia="zh-CN"/>
              </w:rPr>
              <w:t xml:space="preserve"> </w:t>
            </w:r>
            <w:r w:rsidRPr="00431B6B">
              <w:rPr>
                <w:rFonts w:ascii="Book Antiqua" w:hAnsi="Book Antiqua"/>
                <w:b/>
                <w:bCs/>
                <w:sz w:val="24"/>
                <w:szCs w:val="24"/>
              </w:rPr>
              <w:fldChar w:fldCharType="begin"/>
            </w:r>
            <w:r w:rsidRPr="00431B6B">
              <w:rPr>
                <w:rFonts w:ascii="Book Antiqua" w:hAnsi="Book Antiqua"/>
                <w:b/>
                <w:bCs/>
                <w:sz w:val="24"/>
                <w:szCs w:val="24"/>
              </w:rPr>
              <w:instrText>PAGE</w:instrText>
            </w:r>
            <w:r w:rsidRPr="00431B6B">
              <w:rPr>
                <w:rFonts w:ascii="Book Antiqua" w:hAnsi="Book Antiqua"/>
                <w:b/>
                <w:bCs/>
                <w:sz w:val="24"/>
                <w:szCs w:val="24"/>
              </w:rPr>
              <w:fldChar w:fldCharType="separate"/>
            </w:r>
            <w:r w:rsidR="00565EE3">
              <w:rPr>
                <w:rFonts w:ascii="Book Antiqua" w:hAnsi="Book Antiqua"/>
                <w:b/>
                <w:bCs/>
                <w:noProof/>
                <w:sz w:val="24"/>
                <w:szCs w:val="24"/>
              </w:rPr>
              <w:t>4</w:t>
            </w:r>
            <w:r w:rsidRPr="00431B6B">
              <w:rPr>
                <w:rFonts w:ascii="Book Antiqua" w:hAnsi="Book Antiqua"/>
                <w:b/>
                <w:bCs/>
                <w:sz w:val="24"/>
                <w:szCs w:val="24"/>
              </w:rPr>
              <w:fldChar w:fldCharType="end"/>
            </w:r>
            <w:r w:rsidRPr="00431B6B">
              <w:rPr>
                <w:rFonts w:ascii="Book Antiqua" w:hAnsi="Book Antiqua"/>
                <w:sz w:val="24"/>
                <w:szCs w:val="24"/>
                <w:lang w:val="zh-CN" w:eastAsia="zh-CN"/>
              </w:rPr>
              <w:t xml:space="preserve"> / </w:t>
            </w:r>
            <w:r w:rsidRPr="00431B6B">
              <w:rPr>
                <w:rFonts w:ascii="Book Antiqua" w:hAnsi="Book Antiqua"/>
                <w:b/>
                <w:bCs/>
                <w:sz w:val="24"/>
                <w:szCs w:val="24"/>
              </w:rPr>
              <w:fldChar w:fldCharType="begin"/>
            </w:r>
            <w:r w:rsidRPr="00431B6B">
              <w:rPr>
                <w:rFonts w:ascii="Book Antiqua" w:hAnsi="Book Antiqua"/>
                <w:b/>
                <w:bCs/>
                <w:sz w:val="24"/>
                <w:szCs w:val="24"/>
              </w:rPr>
              <w:instrText>NUMPAGES</w:instrText>
            </w:r>
            <w:r w:rsidRPr="00431B6B">
              <w:rPr>
                <w:rFonts w:ascii="Book Antiqua" w:hAnsi="Book Antiqua"/>
                <w:b/>
                <w:bCs/>
                <w:sz w:val="24"/>
                <w:szCs w:val="24"/>
              </w:rPr>
              <w:fldChar w:fldCharType="separate"/>
            </w:r>
            <w:r w:rsidR="00565EE3">
              <w:rPr>
                <w:rFonts w:ascii="Book Antiqua" w:hAnsi="Book Antiqua"/>
                <w:b/>
                <w:bCs/>
                <w:noProof/>
                <w:sz w:val="24"/>
                <w:szCs w:val="24"/>
              </w:rPr>
              <w:t>33</w:t>
            </w:r>
            <w:r w:rsidRPr="00431B6B">
              <w:rPr>
                <w:rFonts w:ascii="Book Antiqua" w:hAnsi="Book Antiqua"/>
                <w:b/>
                <w:bCs/>
                <w:sz w:val="24"/>
                <w:szCs w:val="24"/>
              </w:rPr>
              <w:fldChar w:fldCharType="end"/>
            </w:r>
          </w:p>
        </w:sdtContent>
      </w:sdt>
    </w:sdtContent>
  </w:sdt>
  <w:p w14:paraId="51B42CDF" w14:textId="77777777" w:rsidR="00431B6B" w:rsidRDefault="00431B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678F" w14:textId="77777777" w:rsidR="001B0C28" w:rsidRDefault="001B0C28" w:rsidP="00431B6B">
      <w:r>
        <w:separator/>
      </w:r>
    </w:p>
  </w:footnote>
  <w:footnote w:type="continuationSeparator" w:id="0">
    <w:p w14:paraId="6E1AC937" w14:textId="77777777" w:rsidR="001B0C28" w:rsidRDefault="001B0C28" w:rsidP="0043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0B4C"/>
    <w:rsid w:val="000249A0"/>
    <w:rsid w:val="000B7A08"/>
    <w:rsid w:val="00114487"/>
    <w:rsid w:val="00183E22"/>
    <w:rsid w:val="001B0C28"/>
    <w:rsid w:val="001B42C8"/>
    <w:rsid w:val="001C5CC6"/>
    <w:rsid w:val="00215D9A"/>
    <w:rsid w:val="00223458"/>
    <w:rsid w:val="002610D4"/>
    <w:rsid w:val="002E1702"/>
    <w:rsid w:val="003227A9"/>
    <w:rsid w:val="003D4326"/>
    <w:rsid w:val="003E188A"/>
    <w:rsid w:val="00431B6B"/>
    <w:rsid w:val="004B658C"/>
    <w:rsid w:val="00565EE3"/>
    <w:rsid w:val="00586943"/>
    <w:rsid w:val="006601BD"/>
    <w:rsid w:val="00682D26"/>
    <w:rsid w:val="00750EF8"/>
    <w:rsid w:val="007B3CDD"/>
    <w:rsid w:val="008B1009"/>
    <w:rsid w:val="00A77B3E"/>
    <w:rsid w:val="00CA2A55"/>
    <w:rsid w:val="00D1125D"/>
    <w:rsid w:val="00D34134"/>
    <w:rsid w:val="00D56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93735"/>
  <w15:docId w15:val="{DD9E43E7-8C00-4D99-8EF5-23A2019D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3E22"/>
    <w:rPr>
      <w:sz w:val="18"/>
      <w:szCs w:val="18"/>
    </w:rPr>
  </w:style>
  <w:style w:type="character" w:customStyle="1" w:styleId="a4">
    <w:name w:val="批注框文本 字符"/>
    <w:basedOn w:val="a0"/>
    <w:link w:val="a3"/>
    <w:rsid w:val="00183E22"/>
    <w:rPr>
      <w:sz w:val="18"/>
      <w:szCs w:val="18"/>
    </w:rPr>
  </w:style>
  <w:style w:type="paragraph" w:styleId="a5">
    <w:name w:val="header"/>
    <w:basedOn w:val="a"/>
    <w:link w:val="a6"/>
    <w:uiPriority w:val="99"/>
    <w:rsid w:val="00431B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31B6B"/>
    <w:rPr>
      <w:sz w:val="18"/>
      <w:szCs w:val="18"/>
    </w:rPr>
  </w:style>
  <w:style w:type="paragraph" w:styleId="a7">
    <w:name w:val="footer"/>
    <w:basedOn w:val="a"/>
    <w:link w:val="a8"/>
    <w:uiPriority w:val="99"/>
    <w:rsid w:val="00431B6B"/>
    <w:pPr>
      <w:tabs>
        <w:tab w:val="center" w:pos="4153"/>
        <w:tab w:val="right" w:pos="8306"/>
      </w:tabs>
      <w:snapToGrid w:val="0"/>
    </w:pPr>
    <w:rPr>
      <w:sz w:val="18"/>
      <w:szCs w:val="18"/>
    </w:rPr>
  </w:style>
  <w:style w:type="character" w:customStyle="1" w:styleId="a8">
    <w:name w:val="页脚 字符"/>
    <w:basedOn w:val="a0"/>
    <w:link w:val="a7"/>
    <w:uiPriority w:val="99"/>
    <w:rsid w:val="00431B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6029">
      <w:bodyDiv w:val="1"/>
      <w:marLeft w:val="0"/>
      <w:marRight w:val="0"/>
      <w:marTop w:val="0"/>
      <w:marBottom w:val="0"/>
      <w:divBdr>
        <w:top w:val="none" w:sz="0" w:space="0" w:color="auto"/>
        <w:left w:val="none" w:sz="0" w:space="0" w:color="auto"/>
        <w:bottom w:val="none" w:sz="0" w:space="0" w:color="auto"/>
        <w:right w:val="none" w:sz="0" w:space="0" w:color="auto"/>
      </w:divBdr>
    </w:div>
    <w:div w:id="177440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34</Pages>
  <Words>7855</Words>
  <Characters>44779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10</cp:revision>
  <dcterms:created xsi:type="dcterms:W3CDTF">2021-09-16T06:05:00Z</dcterms:created>
  <dcterms:modified xsi:type="dcterms:W3CDTF">2021-10-25T08:38:00Z</dcterms:modified>
</cp:coreProperties>
</file>