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318" w:rsidRDefault="00735318">
      <w:pPr>
        <w:spacing w:line="360" w:lineRule="auto"/>
        <w:jc w:val="both"/>
        <w:rPr>
          <w:rFonts w:ascii="Book Antiqua" w:eastAsia="Book Antiqua" w:hAnsi="Book Antiqua" w:cs="Book Antiqua"/>
          <w:b/>
          <w:color w:val="000000"/>
        </w:rPr>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735318" w:rsidRPr="00DA1C56" w:rsidRDefault="00735318">
      <w:pPr>
        <w:spacing w:line="360" w:lineRule="auto"/>
        <w:jc w:val="both"/>
        <w:rPr>
          <w:rFonts w:ascii="Book Antiqua" w:hAnsi="Book Antiqua" w:cs="Book Antiqua" w:hint="eastAsia"/>
          <w:b/>
          <w:color w:val="000000"/>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7195</w:t>
      </w:r>
      <w:r w:rsidR="00505C82" w:rsidRPr="00DA1C56">
        <w:rPr>
          <w:rFonts w:ascii="Book Antiqua" w:hAnsi="Book Antiqua" w:cs="Book Antiqua" w:hint="eastAsia"/>
          <w:color w:val="000000"/>
        </w:rPr>
        <w:t>6</w:t>
      </w:r>
    </w:p>
    <w:p w:rsidR="00735318" w:rsidRDefault="00735318">
      <w:pPr>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hAnsi="Book Antiqua" w:cs="Book Antiqua"/>
        </w:rPr>
      </w:pPr>
      <w:r>
        <w:rPr>
          <w:rFonts w:ascii="Book Antiqua" w:eastAsia="Book Antiqua" w:hAnsi="Book Antiqua" w:cs="Book Antiqua"/>
          <w:b/>
          <w:bCs/>
          <w:color w:val="000000"/>
        </w:rPr>
        <w:t>Applications of endoscopic ultrasound elastography</w:t>
      </w:r>
      <w:r>
        <w:rPr>
          <w:rFonts w:ascii="Book Antiqua" w:hAnsi="Book Antiqua" w:cs="Book Antiqua"/>
          <w:b/>
          <w:bCs/>
          <w:color w:val="000000"/>
        </w:rPr>
        <w:t xml:space="preserve"> </w:t>
      </w:r>
      <w:r>
        <w:rPr>
          <w:rFonts w:ascii="Book Antiqua" w:eastAsia="Book Antiqua" w:hAnsi="Book Antiqua" w:cs="Book Antiqua"/>
          <w:b/>
          <w:bCs/>
          <w:color w:val="000000"/>
        </w:rPr>
        <w:t xml:space="preserve">in pancreatic diseases: </w:t>
      </w:r>
      <w:r>
        <w:rPr>
          <w:rFonts w:ascii="Book Antiqua" w:hAnsi="Book Antiqua" w:cs="Book Antiqua"/>
          <w:b/>
          <w:bCs/>
          <w:color w:val="000000"/>
        </w:rPr>
        <w:t>F</w:t>
      </w:r>
      <w:r>
        <w:rPr>
          <w:rFonts w:ascii="Book Antiqua" w:eastAsia="Book Antiqua" w:hAnsi="Book Antiqua" w:cs="Book Antiqua"/>
          <w:b/>
          <w:bCs/>
          <w:color w:val="000000"/>
        </w:rPr>
        <w:t>rom literature to real life</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hAnsi="Book Antiqua" w:cs="Book Antiqua"/>
        </w:rPr>
      </w:pPr>
      <w:r>
        <w:rPr>
          <w:rFonts w:ascii="Book Antiqua" w:eastAsia="Book Antiqua" w:hAnsi="Book Antiqua" w:cs="Book Antiqua"/>
          <w:color w:val="000000"/>
        </w:rPr>
        <w:t xml:space="preserve">Conti </w:t>
      </w:r>
      <w:r>
        <w:rPr>
          <w:rFonts w:ascii="Book Antiqua" w:hAnsi="Book Antiqua" w:cs="Book Antiqua"/>
          <w:color w:val="000000"/>
        </w:rPr>
        <w:t xml:space="preserve">CB </w:t>
      </w:r>
      <w:r>
        <w:rPr>
          <w:rFonts w:ascii="Book Antiqua" w:hAnsi="Book Antiqua" w:cs="Book Antiqua"/>
          <w:i/>
          <w:color w:val="000000"/>
        </w:rPr>
        <w:t>et al</w:t>
      </w:r>
      <w:r>
        <w:rPr>
          <w:rFonts w:ascii="Book Antiqua" w:hAnsi="Book Antiqua" w:cs="Book Antiqua"/>
          <w:color w:val="000000"/>
        </w:rPr>
        <w:t xml:space="preserve">. </w:t>
      </w:r>
      <w:r>
        <w:rPr>
          <w:rFonts w:ascii="Book Antiqua" w:eastAsia="Book Antiqua" w:hAnsi="Book Antiqua" w:cs="Book Antiqua"/>
          <w:color w:val="000000"/>
        </w:rPr>
        <w:t>EUS elastography in pancreatic diseases</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hAnsi="Book Antiqua" w:cs="Book Antiqua"/>
        </w:rPr>
      </w:pPr>
      <w:r>
        <w:rPr>
          <w:rFonts w:ascii="Book Antiqua" w:eastAsia="Book Antiqua" w:hAnsi="Book Antiqua" w:cs="Book Antiqua"/>
          <w:color w:val="000000"/>
        </w:rPr>
        <w:t>Clara Benedetta Conti, Giacomo Mulinacci, Raffaele Salerno, Marco Emilio Dinelli, Roberto Grassia</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hAnsi="Book Antiqua" w:cs="Book Antiqua"/>
        </w:rPr>
      </w:pPr>
      <w:r>
        <w:rPr>
          <w:rFonts w:ascii="Book Antiqua" w:eastAsia="Book Antiqua" w:hAnsi="Book Antiqua" w:cs="Book Antiqua"/>
          <w:b/>
          <w:bCs/>
          <w:color w:val="000000"/>
        </w:rPr>
        <w:t xml:space="preserve">Clara Benedetta Conti, Giacomo Mulinacci, Marco Emilio Dinelli, </w:t>
      </w:r>
      <w:r>
        <w:rPr>
          <w:rFonts w:ascii="Book Antiqua" w:eastAsia="Book Antiqua" w:hAnsi="Book Antiqua" w:cs="Book Antiqua"/>
          <w:color w:val="000000"/>
        </w:rPr>
        <w:t>Interventional Endoscopy Unit, ASST Monza, Ospedale San Gerardo, Monza 20900, Italy</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hAnsi="Book Antiqua" w:cs="Book Antiqua"/>
        </w:rPr>
      </w:pPr>
      <w:r>
        <w:rPr>
          <w:rFonts w:ascii="Book Antiqua" w:eastAsia="Book Antiqua" w:hAnsi="Book Antiqua" w:cs="Book Antiqua"/>
          <w:b/>
          <w:bCs/>
          <w:color w:val="000000"/>
        </w:rPr>
        <w:t xml:space="preserve">Raffaele Salerno, </w:t>
      </w:r>
      <w:r>
        <w:rPr>
          <w:rFonts w:ascii="Book Antiqua" w:eastAsia="Book Antiqua" w:hAnsi="Book Antiqua" w:cs="Book Antiqua"/>
          <w:color w:val="000000"/>
        </w:rPr>
        <w:t>Gastroenterology and Endoscopy Unit, ASST Fatebenefratelli-Sacco, Milan 20121, Italy</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hAnsi="Book Antiqua" w:cs="Book Antiqua"/>
        </w:rPr>
      </w:pPr>
      <w:r>
        <w:rPr>
          <w:rFonts w:ascii="Book Antiqua" w:eastAsia="Book Antiqua" w:hAnsi="Book Antiqua" w:cs="Book Antiqua"/>
          <w:b/>
          <w:bCs/>
          <w:color w:val="000000"/>
        </w:rPr>
        <w:t xml:space="preserve">Roberto Grassia, </w:t>
      </w:r>
      <w:r>
        <w:rPr>
          <w:rFonts w:ascii="Book Antiqua" w:eastAsia="Book Antiqua" w:hAnsi="Book Antiqua" w:cs="Book Antiqua"/>
          <w:color w:val="000000"/>
        </w:rPr>
        <w:t>Gastroenterology and Endoscopy Unit, ASST Cremona, Cremona 26100, Italy</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bCs/>
          <w:color w:val="000000"/>
        </w:rPr>
        <w:t>Conti</w:t>
      </w:r>
      <w:r>
        <w:rPr>
          <w:rFonts w:ascii="Book Antiqua" w:eastAsia="Book Antiqua" w:hAnsi="Book Antiqua" w:cs="Book Antiqua"/>
          <w:color w:val="000000"/>
        </w:rPr>
        <w:t xml:space="preserve"> C</w:t>
      </w:r>
      <w:r>
        <w:rPr>
          <w:rFonts w:ascii="Book Antiqua" w:hAnsi="Book Antiqua" w:cs="Book Antiqua"/>
          <w:color w:val="000000"/>
        </w:rPr>
        <w:t>B</w:t>
      </w:r>
      <w:r>
        <w:rPr>
          <w:rFonts w:ascii="Book Antiqua" w:eastAsia="Book Antiqua" w:hAnsi="Book Antiqua" w:cs="Book Antiqua"/>
          <w:color w:val="000000"/>
        </w:rPr>
        <w:t xml:space="preserve"> and </w:t>
      </w:r>
      <w:r>
        <w:rPr>
          <w:rFonts w:ascii="Book Antiqua" w:eastAsia="Book Antiqua" w:hAnsi="Book Antiqua" w:cs="Book Antiqua"/>
          <w:bCs/>
          <w:color w:val="000000"/>
        </w:rPr>
        <w:t>Grassia</w:t>
      </w:r>
      <w:r>
        <w:rPr>
          <w:rFonts w:ascii="Book Antiqua" w:eastAsia="Book Antiqua" w:hAnsi="Book Antiqua" w:cs="Book Antiqua"/>
          <w:color w:val="000000"/>
        </w:rPr>
        <w:t xml:space="preserve"> R conceived the idea of the manuscript</w:t>
      </w:r>
      <w:r>
        <w:rPr>
          <w:rFonts w:ascii="Book Antiqua" w:hAnsi="Book Antiqua" w:cs="Book Antiqua"/>
          <w:color w:val="000000"/>
        </w:rPr>
        <w:t xml:space="preserve"> and</w:t>
      </w:r>
      <w:r>
        <w:rPr>
          <w:rFonts w:ascii="Book Antiqua" w:eastAsia="Book Antiqua" w:hAnsi="Book Antiqua" w:cs="Book Antiqua"/>
          <w:color w:val="000000"/>
        </w:rPr>
        <w:t xml:space="preserve"> supervised the findings of the work</w:t>
      </w:r>
      <w:r>
        <w:rPr>
          <w:rFonts w:ascii="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bCs/>
          <w:color w:val="000000"/>
        </w:rPr>
        <w:t>Conti</w:t>
      </w:r>
      <w:r>
        <w:rPr>
          <w:rFonts w:ascii="Book Antiqua" w:eastAsia="Book Antiqua" w:hAnsi="Book Antiqua" w:cs="Book Antiqua"/>
          <w:color w:val="000000"/>
        </w:rPr>
        <w:t xml:space="preserve"> C</w:t>
      </w:r>
      <w:r>
        <w:rPr>
          <w:rFonts w:ascii="Book Antiqua" w:hAnsi="Book Antiqua" w:cs="Book Antiqua"/>
          <w:color w:val="000000"/>
        </w:rPr>
        <w:t>B</w:t>
      </w:r>
      <w:r>
        <w:rPr>
          <w:rFonts w:ascii="Book Antiqua" w:eastAsia="Book Antiqua" w:hAnsi="Book Antiqua" w:cs="Book Antiqua"/>
          <w:color w:val="000000"/>
        </w:rPr>
        <w:t xml:space="preserve"> and </w:t>
      </w:r>
      <w:r>
        <w:rPr>
          <w:rFonts w:ascii="Book Antiqua" w:eastAsia="Book Antiqua" w:hAnsi="Book Antiqua" w:cs="Book Antiqua"/>
          <w:bCs/>
          <w:color w:val="000000"/>
        </w:rPr>
        <w:t>Mulinacci</w:t>
      </w:r>
      <w:r>
        <w:rPr>
          <w:rFonts w:ascii="Book Antiqua" w:eastAsia="Book Antiqua" w:hAnsi="Book Antiqua" w:cs="Book Antiqua"/>
          <w:color w:val="000000"/>
        </w:rPr>
        <w:t xml:space="preserve"> G performed the literature search</w:t>
      </w:r>
      <w:r>
        <w:rPr>
          <w:rFonts w:ascii="Book Antiqua" w:hAnsi="Book Antiqua" w:cs="Book Antiqua"/>
          <w:color w:val="000000"/>
        </w:rPr>
        <w:t xml:space="preserve"> and</w:t>
      </w:r>
      <w:r>
        <w:rPr>
          <w:rFonts w:ascii="Book Antiqua" w:eastAsia="Book Antiqua" w:hAnsi="Book Antiqua" w:cs="Book Antiqua"/>
          <w:color w:val="000000"/>
        </w:rPr>
        <w:t xml:space="preserve"> wrote the draft of the paper with input from all authors</w:t>
      </w:r>
      <w:r>
        <w:rPr>
          <w:rFonts w:ascii="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bCs/>
          <w:color w:val="000000"/>
        </w:rPr>
        <w:t>Salerno</w:t>
      </w:r>
      <w:r>
        <w:rPr>
          <w:rFonts w:ascii="Book Antiqua" w:eastAsia="Book Antiqua" w:hAnsi="Book Antiqua" w:cs="Book Antiqua"/>
          <w:color w:val="000000"/>
        </w:rPr>
        <w:t xml:space="preserve"> R and </w:t>
      </w:r>
      <w:r>
        <w:rPr>
          <w:rFonts w:ascii="Book Antiqua" w:eastAsia="Book Antiqua" w:hAnsi="Book Antiqua" w:cs="Book Antiqua"/>
          <w:bCs/>
          <w:color w:val="000000"/>
        </w:rPr>
        <w:t>Dinelli</w:t>
      </w:r>
      <w:r>
        <w:rPr>
          <w:rFonts w:ascii="Book Antiqua" w:eastAsia="Book Antiqua" w:hAnsi="Book Antiqua" w:cs="Book Antiqua"/>
          <w:color w:val="000000"/>
        </w:rPr>
        <w:t xml:space="preserve"> ME verified the methods and the contents</w:t>
      </w:r>
      <w:r>
        <w:rPr>
          <w:rFonts w:ascii="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bCs/>
          <w:color w:val="000000"/>
        </w:rPr>
        <w:t>Salerno</w:t>
      </w:r>
      <w:r>
        <w:rPr>
          <w:rFonts w:ascii="Book Antiqua" w:eastAsia="Book Antiqua" w:hAnsi="Book Antiqua" w:cs="Book Antiqua"/>
          <w:color w:val="000000"/>
        </w:rPr>
        <w:t xml:space="preserve"> R and </w:t>
      </w:r>
      <w:r>
        <w:rPr>
          <w:rFonts w:ascii="Book Antiqua" w:eastAsia="Book Antiqua" w:hAnsi="Book Antiqua" w:cs="Book Antiqua"/>
          <w:bCs/>
          <w:color w:val="000000"/>
        </w:rPr>
        <w:t>Grassia</w:t>
      </w:r>
      <w:r>
        <w:rPr>
          <w:rFonts w:ascii="Book Antiqua" w:eastAsia="Book Antiqua" w:hAnsi="Book Antiqua" w:cs="Book Antiqua"/>
          <w:color w:val="000000"/>
        </w:rPr>
        <w:t xml:space="preserve"> R provided the illustrations by performing the examinations</w:t>
      </w:r>
      <w:r>
        <w:rPr>
          <w:rFonts w:ascii="Book Antiqua" w:hAnsi="Book Antiqua" w:cs="Book Antiqua"/>
          <w:color w:val="000000"/>
        </w:rPr>
        <w:t>;</w:t>
      </w:r>
      <w:r>
        <w:rPr>
          <w:rFonts w:ascii="Book Antiqua" w:eastAsia="Book Antiqua" w:hAnsi="Book Antiqua" w:cs="Book Antiqua"/>
          <w:color w:val="000000"/>
        </w:rPr>
        <w:t xml:space="preserve"> </w:t>
      </w:r>
      <w:r>
        <w:rPr>
          <w:rFonts w:ascii="Book Antiqua" w:hAnsi="Book Antiqua" w:cs="Book Antiqua"/>
          <w:color w:val="000000"/>
        </w:rPr>
        <w:t>All authors</w:t>
      </w:r>
      <w:r>
        <w:rPr>
          <w:rFonts w:ascii="Book Antiqua" w:eastAsia="Book Antiqua" w:hAnsi="Book Antiqua" w:cs="Book Antiqua"/>
          <w:color w:val="000000"/>
        </w:rPr>
        <w:t xml:space="preserve"> discussed the results and contributed to the final manuscript.</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hAnsi="Book Antiqua" w:cs="Book Antiqua"/>
        </w:rPr>
      </w:pPr>
      <w:r>
        <w:rPr>
          <w:rFonts w:ascii="Book Antiqua" w:eastAsia="Book Antiqua" w:hAnsi="Book Antiqua" w:cs="Book Antiqua"/>
          <w:b/>
          <w:bCs/>
          <w:color w:val="000000"/>
        </w:rPr>
        <w:lastRenderedPageBreak/>
        <w:t xml:space="preserve">Corresponding author: Clara Benedetta Conti, MD, Consultant Physician-Scientist, </w:t>
      </w:r>
      <w:r>
        <w:rPr>
          <w:rFonts w:ascii="Book Antiqua" w:eastAsia="Book Antiqua" w:hAnsi="Book Antiqua" w:cs="Book Antiqua"/>
          <w:color w:val="000000"/>
        </w:rPr>
        <w:t>Interventional Endoscopy Unit, ASST Monza, Ospedale San Gerardo, Via G.B. Pergolesi 30, Monza 20900, Italy. benedetta.conti1@gmail.com</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27, 2021</w:t>
      </w:r>
    </w:p>
    <w:p w:rsidR="00735318" w:rsidRDefault="0073531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11, 2021</w:t>
      </w:r>
    </w:p>
    <w:p w:rsidR="00735318" w:rsidRPr="00CE7572" w:rsidRDefault="00735318">
      <w:pPr>
        <w:spacing w:line="360" w:lineRule="auto"/>
        <w:jc w:val="both"/>
        <w:rPr>
          <w:rFonts w:ascii="Book Antiqua" w:hAnsi="Book Antiqua" w:cs="Book Antiqua" w:hint="eastAsia"/>
          <w:b/>
          <w:bCs/>
          <w:color w:val="000000"/>
        </w:rPr>
      </w:pPr>
      <w:r>
        <w:rPr>
          <w:rFonts w:ascii="Book Antiqua" w:eastAsia="Book Antiqua" w:hAnsi="Book Antiqua" w:cs="Book Antiqua"/>
          <w:b/>
          <w:bCs/>
          <w:color w:val="000000"/>
        </w:rPr>
        <w:t>Accepted:</w:t>
      </w:r>
      <w:r w:rsidR="006D6EA1" w:rsidRPr="00315581">
        <w:rPr>
          <w:b/>
        </w:rPr>
        <w:t xml:space="preserve"> </w:t>
      </w:r>
      <w:r w:rsidR="006D6EA1" w:rsidRPr="00315581">
        <w:rPr>
          <w:rFonts w:ascii="Book Antiqua" w:eastAsia="Book Antiqua" w:hAnsi="Book Antiqua" w:cs="Book Antiqua"/>
          <w:bCs/>
          <w:color w:val="000000"/>
        </w:rPr>
        <w:t>January 29, 2022</w:t>
      </w:r>
    </w:p>
    <w:p w:rsidR="00735318" w:rsidRPr="00120825" w:rsidRDefault="00735318">
      <w:pPr>
        <w:spacing w:line="360" w:lineRule="auto"/>
        <w:jc w:val="both"/>
        <w:rPr>
          <w:rFonts w:ascii="Book Antiqua" w:hAnsi="Book Antiqua" w:cs="Book Antiqua" w:hint="eastAsia"/>
          <w:b/>
          <w:bCs/>
          <w:color w:val="000000"/>
        </w:rPr>
      </w:pPr>
      <w:r>
        <w:rPr>
          <w:rFonts w:ascii="Book Antiqua" w:eastAsia="Book Antiqua" w:hAnsi="Book Antiqua" w:cs="Book Antiqua"/>
          <w:b/>
          <w:bCs/>
          <w:color w:val="000000"/>
        </w:rPr>
        <w:t xml:space="preserve">Published online: </w:t>
      </w:r>
      <w:r w:rsidR="003E2350" w:rsidRPr="003E2350">
        <w:rPr>
          <w:rFonts w:ascii="Book Antiqua" w:eastAsia="Book Antiqua" w:hAnsi="Book Antiqua" w:cs="Book Antiqua"/>
          <w:bCs/>
          <w:color w:val="000000"/>
        </w:rPr>
        <w:t>March</w:t>
      </w:r>
      <w:r w:rsidR="003E2350" w:rsidRPr="00315581">
        <w:rPr>
          <w:rFonts w:ascii="Book Antiqua" w:eastAsia="Book Antiqua" w:hAnsi="Book Antiqua" w:cs="Book Antiqua"/>
          <w:bCs/>
          <w:color w:val="000000"/>
        </w:rPr>
        <w:t xml:space="preserve"> </w:t>
      </w:r>
      <w:r w:rsidR="003E2350" w:rsidRPr="00BA3B44">
        <w:rPr>
          <w:rFonts w:ascii="Book Antiqua" w:hAnsi="Book Antiqua" w:cs="Book Antiqua" w:hint="eastAsia"/>
          <w:bCs/>
          <w:color w:val="000000"/>
        </w:rPr>
        <w:t>7</w:t>
      </w:r>
      <w:r w:rsidR="003E2350" w:rsidRPr="00315581">
        <w:rPr>
          <w:rFonts w:ascii="Book Antiqua" w:eastAsia="Book Antiqua" w:hAnsi="Book Antiqua" w:cs="Book Antiqua"/>
          <w:bCs/>
          <w:color w:val="000000"/>
        </w:rPr>
        <w:t>, 2022</w:t>
      </w:r>
    </w:p>
    <w:p w:rsidR="00735318" w:rsidRDefault="00735318">
      <w:pPr>
        <w:pageBreakBefore/>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lastRenderedPageBreak/>
        <w:t>Abstract</w:t>
      </w:r>
    </w:p>
    <w:p w:rsidR="00735318" w:rsidRDefault="00735318">
      <w:pPr>
        <w:spacing w:line="360" w:lineRule="auto"/>
        <w:jc w:val="both"/>
        <w:rPr>
          <w:rFonts w:ascii="Book Antiqua" w:hAnsi="Book Antiqua" w:cs="Book Antiqua"/>
        </w:rPr>
      </w:pPr>
      <w:r>
        <w:rPr>
          <w:rFonts w:ascii="Book Antiqua" w:eastAsia="Book Antiqua" w:hAnsi="Book Antiqua" w:cs="Book Antiqua"/>
          <w:color w:val="000000"/>
        </w:rPr>
        <w:t>Elastography is a non-invasive method widely used to measure the stiffness of the tissues, and it is available in most endoscopic ultrasound machines, using either qualitative or quantitative techniques. Endoscopic ultrasound elastography is a tool that should be applied to obtain a complementary evaluation of pancreatic diseases, together with other imaging tests and clinical data. Elastography can be informative, especially when studying pancreatic masses and help the clinician in the differential diagnosis between benign or malignant lesions. However, further studies are necessary to standardize the method, increase the reproducibility and establish definitive cut-offs to distinguish between benign and malignant pancreatic masses. Moreover, even if promising, elastography still provides little information in the evaluation of benign conditions.</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hAnsi="Book Antiqua" w:cs="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Elastography; Pancreas; Pancreatic stiffness; Pancreatitis; Pancreatic cancer; Endosonography; Endoscopic </w:t>
      </w:r>
      <w:r>
        <w:rPr>
          <w:rFonts w:ascii="Book Antiqua" w:hAnsi="Book Antiqua" w:cs="Book Antiqua"/>
          <w:color w:val="000000"/>
        </w:rPr>
        <w:t>u</w:t>
      </w:r>
      <w:r>
        <w:rPr>
          <w:rFonts w:ascii="Book Antiqua" w:eastAsia="Book Antiqua" w:hAnsi="Book Antiqua" w:cs="Book Antiqua"/>
          <w:color w:val="000000"/>
        </w:rPr>
        <w:t>ltrasound; Quantitative elastography; Strain elastography; Pancreatic diseases</w:t>
      </w:r>
    </w:p>
    <w:p w:rsidR="00735318" w:rsidRDefault="00735318">
      <w:pPr>
        <w:spacing w:line="360" w:lineRule="auto"/>
        <w:jc w:val="both"/>
        <w:rPr>
          <w:rFonts w:ascii="Book Antiqua" w:hAnsi="Book Antiqua" w:cs="Book Antiqua" w:hint="eastAsia"/>
        </w:rPr>
      </w:pPr>
    </w:p>
    <w:p w:rsidR="0044554C" w:rsidRPr="00026CB8" w:rsidRDefault="0044554C" w:rsidP="0044554C">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rsidR="00315581" w:rsidRDefault="00315581">
      <w:pPr>
        <w:spacing w:line="360" w:lineRule="auto"/>
        <w:jc w:val="both"/>
        <w:rPr>
          <w:rFonts w:ascii="Book Antiqua" w:hAnsi="Book Antiqua" w:cs="Book Antiqua"/>
        </w:rPr>
      </w:pPr>
    </w:p>
    <w:p w:rsidR="002D3310" w:rsidRPr="00135F4E" w:rsidRDefault="004154DC" w:rsidP="002D3310">
      <w:pPr>
        <w:spacing w:line="360" w:lineRule="auto"/>
        <w:jc w:val="both"/>
        <w:rPr>
          <w:rFonts w:ascii="Book Antiqua" w:hAnsi="Book Antiqua" w:cs="Book Antiqua" w:hint="eastAsia"/>
          <w:color w:val="000000"/>
        </w:rPr>
      </w:pPr>
      <w:r>
        <w:rPr>
          <w:rFonts w:ascii="Book Antiqua" w:eastAsia="Book Antiqua" w:hAnsi="Book Antiqua" w:cs="Book Antiqua"/>
          <w:b/>
          <w:color w:val="000000"/>
        </w:rPr>
        <w:t xml:space="preserve">Citation: </w:t>
      </w:r>
      <w:r w:rsidR="00735318">
        <w:rPr>
          <w:rFonts w:ascii="Book Antiqua" w:eastAsia="Book Antiqua" w:hAnsi="Book Antiqua" w:cs="Book Antiqua"/>
          <w:color w:val="000000"/>
        </w:rPr>
        <w:t>Conti CB, Mulinacci G, Salerno R, Dinelli ME, Grassia R. Applications of endoscopic ultrasound elastography</w:t>
      </w:r>
      <w:r w:rsidR="00735318">
        <w:rPr>
          <w:rFonts w:ascii="Book Antiqua" w:hAnsi="Book Antiqua" w:cs="Book Antiqua"/>
          <w:color w:val="000000"/>
        </w:rPr>
        <w:t xml:space="preserve"> </w:t>
      </w:r>
      <w:r w:rsidR="00735318">
        <w:rPr>
          <w:rFonts w:ascii="Book Antiqua" w:eastAsia="Book Antiqua" w:hAnsi="Book Antiqua" w:cs="Book Antiqua"/>
          <w:color w:val="000000"/>
        </w:rPr>
        <w:t xml:space="preserve">in pancreatic diseases: from literature to real life. </w:t>
      </w:r>
      <w:r w:rsidR="00735318">
        <w:rPr>
          <w:rFonts w:ascii="Book Antiqua" w:eastAsia="Book Antiqua" w:hAnsi="Book Antiqua" w:cs="Book Antiqua"/>
          <w:i/>
          <w:iCs/>
          <w:color w:val="000000"/>
        </w:rPr>
        <w:t>World J Gastroenterol</w:t>
      </w:r>
      <w:r w:rsidR="00735318">
        <w:rPr>
          <w:rFonts w:ascii="Book Antiqua" w:eastAsia="Book Antiqua" w:hAnsi="Book Antiqua" w:cs="Book Antiqua"/>
          <w:color w:val="000000"/>
        </w:rPr>
        <w:t xml:space="preserve"> 2022;</w:t>
      </w:r>
      <w:r w:rsidR="002D3310">
        <w:rPr>
          <w:rFonts w:ascii="Book Antiqua" w:eastAsia="Book Antiqua" w:hAnsi="Book Antiqua" w:cs="Book Antiqua"/>
          <w:color w:val="000000"/>
        </w:rPr>
        <w:t xml:space="preserve"> 28(</w:t>
      </w:r>
      <w:r w:rsidR="002D3310">
        <w:rPr>
          <w:rFonts w:ascii="Book Antiqua" w:hAnsi="Book Antiqua" w:cs="Book Antiqua"/>
          <w:color w:val="000000"/>
        </w:rPr>
        <w:t>9</w:t>
      </w:r>
      <w:r w:rsidR="002D3310">
        <w:rPr>
          <w:rFonts w:ascii="Book Antiqua" w:eastAsia="Book Antiqua" w:hAnsi="Book Antiqua" w:cs="Book Antiqua"/>
          <w:color w:val="000000"/>
        </w:rPr>
        <w:t xml:space="preserve">): </w:t>
      </w:r>
      <w:r w:rsidR="009456DC" w:rsidRPr="00135F4E">
        <w:rPr>
          <w:rFonts w:ascii="Book Antiqua" w:hAnsi="Book Antiqua" w:cs="Book Antiqua" w:hint="eastAsia"/>
          <w:color w:val="000000"/>
        </w:rPr>
        <w:t>909</w:t>
      </w:r>
      <w:r w:rsidR="002D3310">
        <w:rPr>
          <w:rFonts w:ascii="Book Antiqua" w:eastAsia="Book Antiqua" w:hAnsi="Book Antiqua" w:cs="Book Antiqua"/>
          <w:color w:val="000000"/>
        </w:rPr>
        <w:t>-</w:t>
      </w:r>
      <w:r w:rsidR="009456DC" w:rsidRPr="00135F4E">
        <w:rPr>
          <w:rFonts w:ascii="Book Antiqua" w:hAnsi="Book Antiqua" w:cs="Book Antiqua" w:hint="eastAsia"/>
          <w:color w:val="000000"/>
        </w:rPr>
        <w:t>917</w:t>
      </w:r>
    </w:p>
    <w:p w:rsidR="002D3310" w:rsidRDefault="002D3310" w:rsidP="002D3310">
      <w:pPr>
        <w:spacing w:line="360" w:lineRule="auto"/>
        <w:jc w:val="both"/>
        <w:rPr>
          <w:rFonts w:ascii="Book Antiqua" w:hAnsi="Book Antiqua" w:cs="Book Antiqua"/>
          <w:color w:val="000000"/>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https://www.wjgnet.com/1007-9327/full/v28/i</w:t>
      </w:r>
      <w:r>
        <w:rPr>
          <w:rFonts w:ascii="Book Antiqua" w:hAnsi="Book Antiqua" w:cs="Book Antiqua"/>
          <w:color w:val="000000"/>
        </w:rPr>
        <w:t>9</w:t>
      </w:r>
      <w:r>
        <w:rPr>
          <w:rFonts w:ascii="Book Antiqua" w:eastAsia="Book Antiqua" w:hAnsi="Book Antiqua" w:cs="Book Antiqua"/>
          <w:color w:val="000000"/>
        </w:rPr>
        <w:t>/</w:t>
      </w:r>
      <w:r w:rsidR="009456DC" w:rsidRPr="00135F4E">
        <w:rPr>
          <w:rFonts w:ascii="Book Antiqua" w:hAnsi="Book Antiqua" w:cs="Book Antiqua" w:hint="eastAsia"/>
          <w:color w:val="000000"/>
        </w:rPr>
        <w:t>909</w:t>
      </w:r>
      <w:r>
        <w:rPr>
          <w:rFonts w:ascii="Book Antiqua" w:eastAsia="Book Antiqua" w:hAnsi="Book Antiqua" w:cs="Book Antiqua"/>
          <w:color w:val="000000"/>
        </w:rPr>
        <w:t>.htm</w:t>
      </w:r>
    </w:p>
    <w:p w:rsidR="00735318" w:rsidRPr="00135F4E" w:rsidRDefault="002D3310" w:rsidP="002D3310">
      <w:pPr>
        <w:spacing w:line="360" w:lineRule="auto"/>
        <w:jc w:val="both"/>
        <w:rPr>
          <w:rFonts w:ascii="Book Antiqua" w:hAnsi="Book Antiqua" w:cs="Book Antiqua" w:hint="eastAsi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https://dx.doi.org/10.3748/wjg.v28.i</w:t>
      </w:r>
      <w:r>
        <w:rPr>
          <w:rFonts w:ascii="Book Antiqua" w:hAnsi="Book Antiqua" w:cs="Book Antiqua"/>
          <w:color w:val="000000"/>
        </w:rPr>
        <w:t>9</w:t>
      </w:r>
      <w:r>
        <w:rPr>
          <w:rFonts w:ascii="Book Antiqua" w:eastAsia="Book Antiqua" w:hAnsi="Book Antiqua" w:cs="Book Antiqua"/>
          <w:color w:val="000000"/>
        </w:rPr>
        <w:t>.</w:t>
      </w:r>
      <w:r w:rsidR="009456DC" w:rsidRPr="00135F4E">
        <w:rPr>
          <w:rFonts w:ascii="Book Antiqua" w:hAnsi="Book Antiqua" w:cs="Book Antiqua" w:hint="eastAsia"/>
          <w:color w:val="000000"/>
        </w:rPr>
        <w:t>909</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Elastography is largely available in most endoscopic ultrasound machines, using either qualitative or quantitative methods. The application of elastography in the study of pancreatic diseases should be considered as a complementary test, together </w:t>
      </w:r>
      <w:r>
        <w:rPr>
          <w:rFonts w:ascii="Book Antiqua" w:eastAsia="Book Antiqua" w:hAnsi="Book Antiqua" w:cs="Book Antiqua"/>
          <w:color w:val="000000"/>
        </w:rPr>
        <w:lastRenderedPageBreak/>
        <w:t>with other imaging and clinical data. Elastography can help the clinician in the diagnosis of pancreatic masses, whereas there is still little information in the case of pancreatitis. Further studies are necessary to standardize the method and above all to establish definitive cut-offs to distinguish between benign and malignant pancreatic masses.</w:t>
      </w:r>
    </w:p>
    <w:p w:rsidR="00735318" w:rsidRDefault="00735318">
      <w:pPr>
        <w:pageBreakBefore/>
        <w:spacing w:line="360" w:lineRule="auto"/>
        <w:jc w:val="both"/>
        <w:rPr>
          <w:rFonts w:ascii="Book Antiqua" w:eastAsia="Book Antiqua" w:hAnsi="Book Antiqua" w:cs="Book Antiqua"/>
          <w:color w:val="000000"/>
        </w:rPr>
      </w:pPr>
      <w:r>
        <w:rPr>
          <w:rFonts w:ascii="Book Antiqua" w:hAnsi="Book Antiqua" w:cs="Book Antiqua"/>
          <w:b/>
          <w:color w:val="000000"/>
          <w:u w:val="single"/>
        </w:rPr>
        <w:lastRenderedPageBreak/>
        <w:t>INTRODUCTION</w:t>
      </w:r>
    </w:p>
    <w:p w:rsidR="00735318" w:rsidRPr="00CE7572" w:rsidRDefault="00735318">
      <w:pPr>
        <w:spacing w:line="360" w:lineRule="auto"/>
        <w:jc w:val="both"/>
        <w:rPr>
          <w:rFonts w:ascii="Book Antiqua" w:hAnsi="Book Antiqua" w:cs="Book Antiqua" w:hint="eastAsia"/>
          <w:color w:val="000000"/>
        </w:rPr>
      </w:pPr>
      <w:r>
        <w:rPr>
          <w:rFonts w:ascii="Book Antiqua" w:eastAsia="Book Antiqua" w:hAnsi="Book Antiqua" w:cs="Book Antiqua"/>
          <w:color w:val="000000"/>
        </w:rPr>
        <w:t>Elastography is a non-invasive method used to measure the stiffness of different tissues</w:t>
      </w:r>
      <w:r>
        <w:rPr>
          <w:rFonts w:ascii="Book Antiqua" w:hAnsi="Book Antiqua" w:cs="Book Antiqua"/>
          <w:color w:val="000000"/>
          <w:vertAlign w:val="superscript"/>
        </w:rPr>
        <w:t>[</w:t>
      </w:r>
      <w:r>
        <w:rPr>
          <w:rFonts w:ascii="Book Antiqua" w:eastAsia="Book Antiqua" w:hAnsi="Book Antiqua" w:cs="Book Antiqua"/>
          <w:color w:val="000000"/>
          <w:vertAlign w:val="superscript"/>
        </w:rPr>
        <w:t>1,2</w:t>
      </w:r>
      <w:r>
        <w:rPr>
          <w:rFonts w:ascii="Book Antiqua" w:hAnsi="Book Antiqua" w:cs="Book Antiqua"/>
          <w:color w:val="000000"/>
          <w:vertAlign w:val="superscript"/>
        </w:rPr>
        <w:t>]</w:t>
      </w:r>
      <w:r w:rsidR="00315581">
        <w:rPr>
          <w:rFonts w:ascii="Book Antiqua" w:eastAsia="Book Antiqua" w:hAnsi="Book Antiqua" w:cs="Book Antiqua"/>
          <w:color w:val="000000"/>
        </w:rPr>
        <w:t>.</w:t>
      </w:r>
    </w:p>
    <w:p w:rsidR="00735318" w:rsidRDefault="00735318" w:rsidP="00AF418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Nowadays, it is widely used in various medical fields, and it is available in most endoscopic ultrasound (EUS) machines as an integrated software. EUS stiffness measurement can be assessed using either a qualitative or a quantitative method.</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b/>
          <w:bCs/>
          <w:i/>
          <w:iCs/>
          <w:color w:val="000000"/>
        </w:rPr>
        <w:t>Qualitative elastography</w:t>
      </w:r>
    </w:p>
    <w:p w:rsidR="00735318" w:rsidRDefault="00735318">
      <w:pPr>
        <w:spacing w:line="360" w:lineRule="auto"/>
        <w:jc w:val="both"/>
        <w:rPr>
          <w:rFonts w:ascii="Book Antiqua" w:hAnsi="Book Antiqua" w:cs="Book Antiqua"/>
        </w:rPr>
      </w:pPr>
      <w:r>
        <w:rPr>
          <w:rFonts w:ascii="Book Antiqua" w:eastAsia="Book Antiqua" w:hAnsi="Book Antiqua" w:cs="Book Antiqua"/>
          <w:color w:val="000000"/>
        </w:rPr>
        <w:t xml:space="preserve">The qualitative technique, known as strain elastography, is a method based on the use of a colored scale: </w:t>
      </w:r>
      <w:r>
        <w:rPr>
          <w:rFonts w:ascii="Book Antiqua" w:hAnsi="Book Antiqua" w:cs="Book Antiqua"/>
          <w:color w:val="000000"/>
        </w:rPr>
        <w:t>r</w:t>
      </w:r>
      <w:r>
        <w:rPr>
          <w:rFonts w:ascii="Book Antiqua" w:eastAsia="Book Antiqua" w:hAnsi="Book Antiqua" w:cs="Book Antiqua"/>
          <w:color w:val="000000"/>
        </w:rPr>
        <w:t>ed-green areas indicate softer tissues, whereas blue areas indicate stiffer tissues. This type of measurement is useful but does not allow</w:t>
      </w:r>
      <w:r>
        <w:rPr>
          <w:rFonts w:ascii="Book Antiqua" w:hAnsi="Book Antiqua" w:cs="Book Antiqua"/>
          <w:color w:val="000000"/>
        </w:rPr>
        <w:t xml:space="preserve"> </w:t>
      </w:r>
      <w:r>
        <w:rPr>
          <w:rFonts w:ascii="Book Antiqua" w:eastAsia="Book Antiqua" w:hAnsi="Book Antiqua" w:cs="Book Antiqua"/>
          <w:color w:val="000000"/>
        </w:rPr>
        <w:t>a quantitative measurement. Its clinical application is simple and intuitive, and this explains its large use. However, since the interpretation of different colors and images is largely operator dependent, it lacks reproducibility. Thus, it provides little information when comparing different patients, lesions, or diffuse diseases</w:t>
      </w:r>
      <w:r>
        <w:rPr>
          <w:rFonts w:ascii="Book Antiqua" w:hAnsi="Book Antiqua" w:cs="Book Antiqua"/>
          <w:color w:val="000000"/>
          <w:vertAlign w:val="superscript"/>
        </w:rPr>
        <w:t>[</w:t>
      </w:r>
      <w:r>
        <w:rPr>
          <w:rFonts w:ascii="Book Antiqua" w:eastAsia="Book Antiqua" w:hAnsi="Book Antiqua" w:cs="Book Antiqua"/>
          <w:color w:val="000000"/>
          <w:vertAlign w:val="superscript"/>
        </w:rPr>
        <w:t>3,4</w:t>
      </w:r>
      <w:r>
        <w:rPr>
          <w:rFonts w:ascii="Book Antiqua" w:hAnsi="Book Antiqua" w:cs="Book Antiqua"/>
          <w:color w:val="000000"/>
          <w:vertAlign w:val="superscript"/>
        </w:rPr>
        <w:t>]</w:t>
      </w:r>
      <w:r>
        <w:rPr>
          <w:rFonts w:ascii="Book Antiqua" w:eastAsia="Book Antiqua" w:hAnsi="Book Antiqua" w:cs="Book Antiqua"/>
          <w:color w:val="000000"/>
        </w:rPr>
        <w:t>.</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b/>
          <w:bCs/>
          <w:i/>
          <w:iCs/>
          <w:color w:val="000000"/>
        </w:rPr>
        <w:t>Semi-quantitative and quantitative elastography</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Semi-quantitative analysis allows a numeric measurement of the tissue stiffness by using both the strain ratio (SR) and the strain histogram technique.</w:t>
      </w:r>
    </w:p>
    <w:p w:rsidR="00735318" w:rsidRDefault="00735318">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When using the SR, the operator sets a bigger region of interest (ROI), usually a circle or a square, on the target tissue (</w:t>
      </w:r>
      <w:r>
        <w:rPr>
          <w:rFonts w:ascii="Book Antiqua" w:eastAsia="Book Antiqua" w:hAnsi="Book Antiqua" w:cs="Book Antiqua"/>
          <w:i/>
          <w:color w:val="000000"/>
        </w:rPr>
        <w:t>i.e.</w:t>
      </w:r>
      <w:r>
        <w:rPr>
          <w:rFonts w:ascii="Book Antiqua" w:eastAsia="Book Antiqua" w:hAnsi="Book Antiqua" w:cs="Book Antiqua"/>
          <w:color w:val="000000"/>
        </w:rPr>
        <w:t xml:space="preserve"> a lesion) and a smaller ROI above a reference tissue, usually a homogeneous soft area. The SR is calculated by dividing the stiffness data of the two regions, expressed either by the speed wave through the tissues (m/s) or converted to the Young’s</w:t>
      </w:r>
      <w:r>
        <w:rPr>
          <w:rFonts w:ascii="Book Antiqua" w:hAnsi="Book Antiqua" w:cs="Book Antiqua"/>
          <w:color w:val="000000"/>
        </w:rPr>
        <w:t xml:space="preserve"> </w:t>
      </w:r>
      <w:r>
        <w:rPr>
          <w:rFonts w:ascii="Book Antiqua" w:eastAsia="Book Antiqua" w:hAnsi="Book Antiqua" w:cs="Book Antiqua"/>
          <w:color w:val="000000"/>
        </w:rPr>
        <w:t>modulus (kPa)</w:t>
      </w:r>
      <w:r>
        <w:rPr>
          <w:rFonts w:ascii="Book Antiqua" w:hAnsi="Book Antiqua" w:cs="Book Antiqua"/>
          <w:color w:val="000000"/>
          <w:vertAlign w:val="superscript"/>
        </w:rPr>
        <w:t>[</w:t>
      </w:r>
      <w:r>
        <w:rPr>
          <w:rFonts w:ascii="Book Antiqua" w:eastAsia="Book Antiqua" w:hAnsi="Book Antiqua" w:cs="Book Antiqua"/>
          <w:color w:val="000000"/>
          <w:vertAlign w:val="superscript"/>
        </w:rPr>
        <w:t>5</w:t>
      </w:r>
      <w:r>
        <w:rPr>
          <w:rFonts w:ascii="Book Antiqua" w:hAnsi="Book Antiqua" w:cs="Book Antiqua"/>
          <w:color w:val="000000"/>
          <w:vertAlign w:val="superscript"/>
        </w:rPr>
        <w:t>]</w:t>
      </w:r>
      <w:r>
        <w:rPr>
          <w:rFonts w:ascii="Book Antiqua" w:eastAsia="Book Antiqua" w:hAnsi="Book Antiqua" w:cs="Book Antiqua"/>
          <w:color w:val="000000"/>
        </w:rPr>
        <w:t>. This technique is largely used in the evaluation of pancreatic lesions, where the reference tissue is the normal pancreas. However, despite its quantitative nature, this analysis only allows partial information of the tissue, without giving the mean and median stiffness values of the lesion.</w:t>
      </w:r>
    </w:p>
    <w:p w:rsidR="00735318" w:rsidRDefault="00735318">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Conversely, the strain histogram method generates an average hue histogram that graphically represents the colors and therefore the stiffness distribution within the tissue. The mean value of the histogram can thus be considered a good esteem of the real elasticity of the target</w:t>
      </w:r>
      <w:r>
        <w:rPr>
          <w:rFonts w:ascii="Book Antiqua" w:hAnsi="Book Antiqua" w:cs="Book Antiqua"/>
          <w:color w:val="000000"/>
          <w:vertAlign w:val="superscript"/>
        </w:rPr>
        <w:t>[</w:t>
      </w:r>
      <w:r>
        <w:rPr>
          <w:rFonts w:ascii="Book Antiqua" w:eastAsia="Book Antiqua" w:hAnsi="Book Antiqua" w:cs="Book Antiqua"/>
          <w:color w:val="000000"/>
          <w:vertAlign w:val="superscript"/>
        </w:rPr>
        <w:t>6,7</w:t>
      </w:r>
      <w:r>
        <w:rPr>
          <w:rFonts w:ascii="Book Antiqua" w:hAnsi="Book Antiqua" w:cs="Book Antiqua"/>
          <w:color w:val="000000"/>
          <w:vertAlign w:val="superscript"/>
        </w:rPr>
        <w:t>]</w:t>
      </w:r>
      <w:r>
        <w:rPr>
          <w:rFonts w:ascii="Book Antiqua" w:eastAsia="Book Antiqua" w:hAnsi="Book Antiqua" w:cs="Book Antiqua"/>
          <w:color w:val="000000"/>
        </w:rPr>
        <w:t>. This method can be more informative when facing a large tissue, such as a diffuse pancreatic disease, as it collects the stiffness of different areas and gives the operator a unique average value.</w:t>
      </w:r>
    </w:p>
    <w:p w:rsidR="00735318" w:rsidRDefault="00735318">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EUS shear wave measurement (SWM) allows a quantitative measurement of the stiffness, and it can be expressed in either m/s or in kPa</w:t>
      </w:r>
      <w:r>
        <w:rPr>
          <w:rFonts w:ascii="Book Antiqua" w:hAnsi="Book Antiqua" w:cs="Book Antiqua"/>
          <w:color w:val="000000"/>
          <w:vertAlign w:val="superscript"/>
        </w:rPr>
        <w:t>[</w:t>
      </w:r>
      <w:r>
        <w:rPr>
          <w:rFonts w:ascii="Book Antiqua" w:eastAsia="Book Antiqua" w:hAnsi="Book Antiqua" w:cs="Book Antiqua"/>
          <w:color w:val="000000"/>
          <w:vertAlign w:val="superscript"/>
        </w:rPr>
        <w:t>5</w:t>
      </w:r>
      <w:r>
        <w:rPr>
          <w:rFonts w:ascii="Book Antiqua" w:hAnsi="Book Antiqua" w:cs="Book Antiqua"/>
          <w:color w:val="000000"/>
          <w:vertAlign w:val="superscript"/>
        </w:rPr>
        <w:t>]</w:t>
      </w:r>
      <w:r>
        <w:rPr>
          <w:rFonts w:ascii="Book Antiqua" w:eastAsia="Book Antiqua" w:hAnsi="Book Antiqua" w:cs="Book Antiqua"/>
          <w:color w:val="000000"/>
        </w:rPr>
        <w:t>. This method provides a numeric value, usually a mean and a median value of the tissue stiffness. This technique is theoretically more informative than the semi-quantitative one, as it simplifies a comparison between individuals or diseases. The final value can be obtained by a single measurement or by calculating the mean and median value of repeated measurements. The operator sets the ROI within the target tissue or lesion and obtains several values through the repetition of the measurement, usually five or ten. Successively, the mean and median measurement value can be calculated. Hence, a more accurate stiffness assessment is provided</w:t>
      </w:r>
      <w:r>
        <w:rPr>
          <w:rFonts w:ascii="Book Antiqua" w:hAnsi="Book Antiqua" w:cs="Book Antiqua"/>
          <w:color w:val="000000"/>
          <w:vertAlign w:val="superscript"/>
        </w:rPr>
        <w:t>[</w:t>
      </w:r>
      <w:r>
        <w:rPr>
          <w:rFonts w:ascii="Book Antiqua" w:eastAsia="Book Antiqua" w:hAnsi="Book Antiqua" w:cs="Book Antiqua"/>
          <w:color w:val="000000"/>
          <w:vertAlign w:val="superscript"/>
        </w:rPr>
        <w:t>3,8,9</w:t>
      </w:r>
      <w:r>
        <w:rPr>
          <w:rFonts w:ascii="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color w:val="000000"/>
          <w:vertAlign w:val="superscript"/>
        </w:rPr>
        <w:t xml:space="preserve"> </w:t>
      </w:r>
      <w:r>
        <w:rPr>
          <w:rFonts w:ascii="Book Antiqua" w:eastAsia="Book Antiqua" w:hAnsi="Book Antiqua" w:cs="Book Antiqua"/>
          <w:color w:val="000000"/>
        </w:rPr>
        <w:t>Overall, the best image quality can be achieved when the lesion of interest covers up to 50% of the ROI</w:t>
      </w:r>
      <w:r>
        <w:rPr>
          <w:rFonts w:ascii="Book Antiqua" w:hAnsi="Book Antiqua" w:cs="Book Antiqua"/>
          <w:color w:val="000000"/>
          <w:vertAlign w:val="superscript"/>
        </w:rPr>
        <w:t>[</w:t>
      </w:r>
      <w:r>
        <w:rPr>
          <w:rFonts w:ascii="Book Antiqua" w:eastAsia="Book Antiqua" w:hAnsi="Book Antiqua" w:cs="Book Antiqua"/>
          <w:color w:val="000000"/>
          <w:vertAlign w:val="superscript"/>
        </w:rPr>
        <w:t>10</w:t>
      </w:r>
      <w:r>
        <w:rPr>
          <w:rFonts w:ascii="Book Antiqua" w:hAnsi="Book Antiqua" w:cs="Book Antiqua"/>
          <w:color w:val="000000"/>
          <w:vertAlign w:val="superscript"/>
        </w:rPr>
        <w:t>]</w:t>
      </w:r>
      <w:r>
        <w:rPr>
          <w:rFonts w:ascii="Book Antiqua" w:eastAsia="Book Antiqua" w:hAnsi="Book Antiqua" w:cs="Book Antiqua"/>
          <w:color w:val="000000"/>
        </w:rPr>
        <w:t>. This method, largely used in U</w:t>
      </w:r>
      <w:r>
        <w:rPr>
          <w:rFonts w:ascii="Book Antiqua" w:hAnsi="Book Antiqua" w:cs="Book Antiqua"/>
          <w:color w:val="000000"/>
        </w:rPr>
        <w:t xml:space="preserve">nited </w:t>
      </w:r>
      <w:r>
        <w:rPr>
          <w:rFonts w:ascii="Book Antiqua" w:eastAsia="Book Antiqua" w:hAnsi="Book Antiqua" w:cs="Book Antiqua"/>
          <w:color w:val="000000"/>
        </w:rPr>
        <w:t>S</w:t>
      </w:r>
      <w:r>
        <w:rPr>
          <w:rFonts w:ascii="Book Antiqua" w:hAnsi="Book Antiqua" w:cs="Book Antiqua"/>
          <w:color w:val="000000"/>
        </w:rPr>
        <w:t>tates</w:t>
      </w:r>
      <w:r>
        <w:rPr>
          <w:rFonts w:ascii="Book Antiqua" w:eastAsia="Book Antiqua" w:hAnsi="Book Antiqua" w:cs="Book Antiqua"/>
          <w:color w:val="000000"/>
        </w:rPr>
        <w:t xml:space="preserve"> machines, is rarely available in EUS machines.</w:t>
      </w:r>
    </w:p>
    <w:p w:rsidR="00735318" w:rsidRDefault="00735318">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The large application of EUS elastography in the diagnosis of pancreatic diseases is relatively new. Moreover, its use in routine practice lacks a high diagnostic accuracy, especially due to the large use of the qualitative method. Accounting for the poor reproducibility and the absence of definitive diagnostic cut-offs, the chance to standardize the method is low. Therefore, the use and the interpretation of elastography in pancreatic diseases are still challenging for clinicians.</w:t>
      </w:r>
    </w:p>
    <w:p w:rsidR="00735318" w:rsidRDefault="00735318">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This review aims to describe the main applications of EUS elastography in pancreatic diseases, its practical value, and its main limitations.</w:t>
      </w:r>
    </w:p>
    <w:p w:rsidR="00735318" w:rsidRDefault="00735318">
      <w:pPr>
        <w:spacing w:line="360" w:lineRule="auto"/>
        <w:ind w:firstLine="480"/>
        <w:jc w:val="both"/>
        <w:rPr>
          <w:rFonts w:ascii="Book Antiqua" w:hAnsi="Book Antiqua" w:cs="Book Antiqua"/>
        </w:rPr>
      </w:pPr>
      <w:r>
        <w:rPr>
          <w:rFonts w:ascii="Book Antiqua" w:eastAsia="Book Antiqua" w:hAnsi="Book Antiqua" w:cs="Book Antiqua"/>
          <w:color w:val="000000"/>
        </w:rPr>
        <w:t>We performed an accurate literature search using the following MESH terms: “</w:t>
      </w:r>
      <w:r>
        <w:rPr>
          <w:rFonts w:ascii="Book Antiqua" w:hAnsi="Book Antiqua" w:cs="Book Antiqua"/>
          <w:color w:val="000000"/>
        </w:rPr>
        <w:t>P</w:t>
      </w:r>
      <w:r>
        <w:rPr>
          <w:rFonts w:ascii="Book Antiqua" w:eastAsia="Book Antiqua" w:hAnsi="Book Antiqua" w:cs="Book Antiqua"/>
          <w:color w:val="000000"/>
        </w:rPr>
        <w:t>ancreas;” “pancreatitis;” “chronic pancreatitis;” “acute pancreatitis;” “pancreatic cancer;” “pancreatic lesion;” “elastography;” “elastography AND pancreas;” “pancreatic stiffness;” “endoscopic ultrasound;” “EUS AND elastography;” “ultrasonography AND elastography;” “quantitative elastography AND pancreatitis;” “elastography AND pancreatic cancer;” “autoimmune pancreatitis;” “elastography AND acute pancreatitis;” “focal autoimmune pancreatitis AND diagnosis;” “inflammatory pancreatic masses;” “elastography AND cancer;” and “NET AND elastography.” We identified all the pertinent articles (reviews, original articles, and meta-analyses) published between 2000 and 2021 with an available abstract and/or full text. The reference lists from the selected studies were examined to identify further relevant reports. Only English language papers were included. The level of evidence and strength of recommendations were graded according to the Oxford Centre of Evidence-Based Medicine system as of the March 2009 update</w:t>
      </w:r>
      <w:r>
        <w:rPr>
          <w:rFonts w:ascii="Book Antiqua" w:hAnsi="Book Antiqua" w:cs="Book Antiqua"/>
          <w:color w:val="000000"/>
        </w:rPr>
        <w:t xml:space="preserve"> </w:t>
      </w:r>
      <w:r>
        <w:rPr>
          <w:rFonts w:ascii="Book Antiqua" w:eastAsia="Book Antiqua" w:hAnsi="Book Antiqua" w:cs="Book Antiqua"/>
          <w:color w:val="000000"/>
        </w:rPr>
        <w:t>(</w:t>
      </w:r>
      <w:r>
        <w:rPr>
          <w:rFonts w:ascii="Book Antiqua" w:hAnsi="Book Antiqua" w:cs="Book Antiqua"/>
          <w:lang/>
        </w:rPr>
        <w:t>http://www.cebm.net/oxford-centre-evidence-based-medicine-levels-evidence-march-2009</w:t>
      </w:r>
      <w:r>
        <w:rPr>
          <w:rFonts w:ascii="Book Antiqua" w:eastAsia="Book Antiqua" w:hAnsi="Book Antiqua" w:cs="Book Antiqua"/>
          <w:color w:val="000000"/>
        </w:rPr>
        <w:t>).</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caps/>
          <w:color w:val="000000"/>
          <w:u w:val="single"/>
        </w:rPr>
        <w:t>CLINICAL APPLICATION OF EUS ELASTOGRAPHY IN PANCREATIC DISEASES</w:t>
      </w:r>
    </w:p>
    <w:p w:rsidR="00735318" w:rsidRDefault="00735318">
      <w:pPr>
        <w:spacing w:line="360" w:lineRule="auto"/>
        <w:jc w:val="both"/>
        <w:rPr>
          <w:rFonts w:ascii="Book Antiqua" w:eastAsia="Book Antiqua" w:hAnsi="Book Antiqua" w:cs="Book Antiqua"/>
          <w:b/>
          <w:bCs/>
          <w:color w:val="000000"/>
        </w:rPr>
      </w:pPr>
      <w:r>
        <w:rPr>
          <w:rFonts w:ascii="Book Antiqua" w:eastAsia="Book Antiqua" w:hAnsi="Book Antiqua" w:cs="Book Antiqua"/>
          <w:b/>
          <w:bCs/>
          <w:i/>
          <w:iCs/>
          <w:color w:val="000000"/>
        </w:rPr>
        <w:t>Application of elastography in benign pancreatic diseases</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Chronic pancreatitis:</w:t>
      </w:r>
      <w:r>
        <w:rPr>
          <w:rFonts w:ascii="Book Antiqua" w:hAnsi="Book Antiqua" w:cs="Book Antiqua"/>
          <w:color w:val="000000"/>
        </w:rPr>
        <w:t xml:space="preserve"> </w:t>
      </w:r>
      <w:r>
        <w:rPr>
          <w:rFonts w:ascii="Book Antiqua" w:eastAsia="Book Antiqua" w:hAnsi="Book Antiqua" w:cs="Book Antiqua"/>
          <w:color w:val="000000"/>
        </w:rPr>
        <w:t>The application of qualitative elastography in cases of chronic pancreatitis (CP) conventionally shows a predominantly green pattern with heterogeneous small red or blue areas</w:t>
      </w:r>
      <w:r>
        <w:rPr>
          <w:rFonts w:ascii="Book Antiqua" w:hAnsi="Book Antiqua" w:cs="Book Antiqua"/>
          <w:color w:val="000000"/>
          <w:vertAlign w:val="superscript"/>
        </w:rPr>
        <w:t>[</w:t>
      </w:r>
      <w:r>
        <w:rPr>
          <w:rFonts w:ascii="Book Antiqua" w:eastAsia="Book Antiqua" w:hAnsi="Book Antiqua" w:cs="Book Antiqua"/>
          <w:color w:val="000000"/>
          <w:vertAlign w:val="superscript"/>
        </w:rPr>
        <w:t>11</w:t>
      </w:r>
      <w:r>
        <w:rPr>
          <w:rFonts w:ascii="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hAnsi="Book Antiqua" w:cs="Book Antiqua"/>
          <w:color w:val="000000"/>
        </w:rPr>
        <w:t>(</w:t>
      </w:r>
      <w:r>
        <w:rPr>
          <w:rFonts w:ascii="Book Antiqua" w:eastAsia="Book Antiqua" w:hAnsi="Book Antiqua" w:cs="Book Antiqua"/>
          <w:bCs/>
          <w:color w:val="000000"/>
        </w:rPr>
        <w:t>Fig</w:t>
      </w:r>
      <w:r>
        <w:rPr>
          <w:rFonts w:ascii="Book Antiqua" w:hAnsi="Book Antiqua" w:cs="Book Antiqua"/>
          <w:bCs/>
          <w:color w:val="000000"/>
        </w:rPr>
        <w:t>ure</w:t>
      </w:r>
      <w:r>
        <w:rPr>
          <w:rFonts w:ascii="Book Antiqua" w:eastAsia="Book Antiqua" w:hAnsi="Book Antiqua" w:cs="Book Antiqua"/>
          <w:bCs/>
          <w:color w:val="000000"/>
        </w:rPr>
        <w:t xml:space="preserve"> 1</w:t>
      </w:r>
      <w:r>
        <w:rPr>
          <w:rFonts w:ascii="Book Antiqua" w:hAnsi="Book Antiqua" w:cs="Book Antiqua"/>
          <w:bCs/>
          <w:color w:val="000000"/>
        </w:rPr>
        <w:t>)</w:t>
      </w:r>
      <w:r>
        <w:rPr>
          <w:rFonts w:ascii="Book Antiqua" w:eastAsia="Book Antiqua" w:hAnsi="Book Antiqua" w:cs="Book Antiqua"/>
          <w:color w:val="000000"/>
        </w:rPr>
        <w:t>.</w:t>
      </w:r>
      <w:r>
        <w:rPr>
          <w:rFonts w:ascii="Book Antiqua" w:hAnsi="Book Antiqua" w:cs="Book Antiqua"/>
          <w:b/>
          <w:bCs/>
          <w:color w:val="000000"/>
        </w:rPr>
        <w:t xml:space="preserve"> </w:t>
      </w:r>
      <w:r>
        <w:rPr>
          <w:rFonts w:ascii="Book Antiqua" w:eastAsia="Book Antiqua" w:hAnsi="Book Antiqua" w:cs="Book Antiqua"/>
          <w:color w:val="000000"/>
        </w:rPr>
        <w:t>Even if the colored scale adds more information to the B-mode imaging, it is still not pathognomonic for any specific disorder. Semi-quantitative elastography, using histogram or shear waves, aids the interpretation of the elastography data. This technique was used to retrospectively examine 96 patients with either diagnosed or suspected CP. Each patient was classified using Rosemont criteria (</w:t>
      </w:r>
      <w:r>
        <w:rPr>
          <w:rFonts w:ascii="Book Antiqua" w:eastAsia="Book Antiqua" w:hAnsi="Book Antiqua" w:cs="Book Antiqua"/>
          <w:bCs/>
          <w:color w:val="000000"/>
        </w:rPr>
        <w:t>Table 1)</w:t>
      </w:r>
      <w:r>
        <w:rPr>
          <w:rFonts w:ascii="Book Antiqua" w:hAnsi="Book Antiqua" w:cs="Book Antiqua"/>
          <w:color w:val="000000"/>
          <w:vertAlign w:val="superscript"/>
        </w:rPr>
        <w:t>[</w:t>
      </w:r>
      <w:r>
        <w:rPr>
          <w:rFonts w:ascii="Book Antiqua" w:eastAsia="Book Antiqua" w:hAnsi="Book Antiqua" w:cs="Book Antiqua"/>
          <w:color w:val="000000"/>
          <w:vertAlign w:val="superscript"/>
        </w:rPr>
        <w:t>12</w:t>
      </w:r>
      <w:r>
        <w:rPr>
          <w:rFonts w:ascii="Book Antiqua" w:hAnsi="Book Antiqua" w:cs="Book Antiqua"/>
          <w:color w:val="000000"/>
          <w:vertAlign w:val="superscript"/>
        </w:rPr>
        <w:t>]</w:t>
      </w:r>
      <w:r>
        <w:rPr>
          <w:rFonts w:ascii="Book Antiqua" w:eastAsia="Book Antiqua" w:hAnsi="Book Antiqua" w:cs="Book Antiqua"/>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and elastography values were significantly different for each stage (</w:t>
      </w:r>
      <w:r>
        <w:rPr>
          <w:rFonts w:ascii="Book Antiqua" w:hAnsi="Book Antiqua" w:cs="Book Antiqua"/>
          <w:i/>
          <w:color w:val="000000"/>
        </w:rPr>
        <w:t>P</w:t>
      </w:r>
      <w:r>
        <w:rPr>
          <w:rFonts w:ascii="Book Antiqua" w:eastAsia="Book Antiqua" w:hAnsi="Book Antiqua" w:cs="Book Antiqua"/>
          <w:color w:val="000000"/>
        </w:rPr>
        <w:t xml:space="preserve"> &lt; 0.001)</w:t>
      </w:r>
      <w:r>
        <w:rPr>
          <w:rFonts w:ascii="Book Antiqua" w:hAnsi="Book Antiqua" w:cs="Book Antiqua"/>
          <w:color w:val="000000"/>
          <w:vertAlign w:val="superscript"/>
        </w:rPr>
        <w:t>[</w:t>
      </w:r>
      <w:r>
        <w:rPr>
          <w:rFonts w:ascii="Book Antiqua" w:eastAsia="Book Antiqua" w:hAnsi="Book Antiqua" w:cs="Book Antiqua"/>
          <w:color w:val="000000"/>
          <w:vertAlign w:val="superscript"/>
        </w:rPr>
        <w:t>13</w:t>
      </w:r>
      <w:r>
        <w:rPr>
          <w:rFonts w:ascii="Book Antiqua" w:hAnsi="Book Antiqua" w:cs="Book Antiqua"/>
          <w:color w:val="000000"/>
          <w:vertAlign w:val="superscript"/>
        </w:rPr>
        <w:t>]</w:t>
      </w:r>
      <w:r>
        <w:rPr>
          <w:rFonts w:ascii="Book Antiqua" w:eastAsia="Book Antiqua" w:hAnsi="Book Antiqua" w:cs="Book Antiqua"/>
          <w:color w:val="000000"/>
        </w:rPr>
        <w:t xml:space="preserve">. </w:t>
      </w:r>
    </w:p>
    <w:p w:rsidR="00735318" w:rsidRDefault="00735318">
      <w:pPr>
        <w:spacing w:line="360" w:lineRule="auto"/>
        <w:ind w:firstLine="450"/>
        <w:jc w:val="both"/>
        <w:rPr>
          <w:rFonts w:ascii="Book Antiqua" w:eastAsia="Book Antiqua" w:hAnsi="Book Antiqua" w:cs="Book Antiqua"/>
          <w:color w:val="000000"/>
        </w:rPr>
      </w:pPr>
      <w:r>
        <w:rPr>
          <w:rFonts w:ascii="Book Antiqua" w:eastAsia="Book Antiqua" w:hAnsi="Book Antiqua" w:cs="Book Antiqua"/>
          <w:color w:val="000000"/>
        </w:rPr>
        <w:t xml:space="preserve">Similarly, another study measured pancreatic stiffness (PS) in 84 patients and revealed a significantly positive correlation with the Rosemont classification stage (rs = 0.54) and the number of EUS features (rs = 0.47). Area under the receiver operating characteristic curve (AUROC) for the accuracy of SWM-elastography (consistent with CP and suggestive for CP </w:t>
      </w:r>
      <w:r>
        <w:rPr>
          <w:rFonts w:ascii="Book Antiqua" w:eastAsia="Book Antiqua" w:hAnsi="Book Antiqua" w:cs="Book Antiqua"/>
          <w:i/>
          <w:iCs/>
          <w:color w:val="000000"/>
        </w:rPr>
        <w:t>vs</w:t>
      </w:r>
      <w:r>
        <w:rPr>
          <w:rFonts w:ascii="Book Antiqua" w:hAnsi="Book Antiqua" w:cs="Book Antiqua"/>
          <w:color w:val="000000"/>
        </w:rPr>
        <w:t xml:space="preserve"> </w:t>
      </w:r>
      <w:r>
        <w:rPr>
          <w:rFonts w:ascii="Book Antiqua" w:eastAsia="Book Antiqua" w:hAnsi="Book Antiqua" w:cs="Book Antiqua"/>
          <w:color w:val="000000"/>
        </w:rPr>
        <w:t>normal and indeterminate for CP) was 0.77 (sensitivity 77.1%, specificity 64.9%)</w:t>
      </w:r>
      <w:r>
        <w:rPr>
          <w:rFonts w:ascii="Book Antiqua" w:hAnsi="Book Antiqua" w:cs="Book Antiqua"/>
          <w:color w:val="000000"/>
          <w:vertAlign w:val="superscript"/>
        </w:rPr>
        <w:t>[</w:t>
      </w:r>
      <w:r>
        <w:rPr>
          <w:rFonts w:ascii="Book Antiqua" w:eastAsia="Book Antiqua" w:hAnsi="Book Antiqua" w:cs="Book Antiqua"/>
          <w:color w:val="000000"/>
          <w:vertAlign w:val="superscript"/>
        </w:rPr>
        <w:t>14</w:t>
      </w:r>
      <w:r>
        <w:rPr>
          <w:rFonts w:ascii="Book Antiqua" w:hAnsi="Book Antiqua" w:cs="Book Antiqua"/>
          <w:color w:val="000000"/>
          <w:vertAlign w:val="superscript"/>
        </w:rPr>
        <w:t>]</w:t>
      </w:r>
      <w:r>
        <w:rPr>
          <w:rFonts w:ascii="Book Antiqua" w:eastAsia="Book Antiqua" w:hAnsi="Book Antiqua" w:cs="Book Antiqua"/>
          <w:color w:val="000000"/>
        </w:rPr>
        <w:t>. In a multivariate linear regression, hyperechoic foci with shadowing and lobularity with honeycombing were independent features related to PS</w:t>
      </w:r>
      <w:r>
        <w:rPr>
          <w:rFonts w:ascii="Book Antiqua" w:hAnsi="Book Antiqua" w:cs="Book Antiqua"/>
          <w:color w:val="000000"/>
          <w:vertAlign w:val="superscript"/>
        </w:rPr>
        <w:t>[</w:t>
      </w:r>
      <w:r>
        <w:rPr>
          <w:rFonts w:ascii="Book Antiqua" w:eastAsia="Book Antiqua" w:hAnsi="Book Antiqua" w:cs="Book Antiqua"/>
          <w:color w:val="000000"/>
          <w:vertAlign w:val="superscript"/>
        </w:rPr>
        <w:t>10,11</w:t>
      </w:r>
      <w:r>
        <w:rPr>
          <w:rFonts w:ascii="Book Antiqua" w:hAnsi="Book Antiqua" w:cs="Book Antiqua"/>
          <w:color w:val="000000"/>
          <w:vertAlign w:val="superscript"/>
        </w:rPr>
        <w:t>]</w:t>
      </w:r>
      <w:r>
        <w:rPr>
          <w:rFonts w:ascii="Book Antiqua" w:eastAsia="Book Antiqua" w:hAnsi="Book Antiqua" w:cs="Book Antiqua"/>
          <w:color w:val="000000"/>
        </w:rPr>
        <w:t xml:space="preserve">. </w:t>
      </w:r>
    </w:p>
    <w:p w:rsidR="00735318" w:rsidRDefault="00735318">
      <w:pPr>
        <w:spacing w:line="360" w:lineRule="auto"/>
        <w:ind w:firstLine="450"/>
        <w:jc w:val="both"/>
        <w:rPr>
          <w:rFonts w:ascii="Book Antiqua" w:eastAsia="Book Antiqua" w:hAnsi="Book Antiqua" w:cs="Book Antiqua"/>
          <w:color w:val="000000"/>
        </w:rPr>
      </w:pPr>
      <w:r>
        <w:rPr>
          <w:rFonts w:ascii="Book Antiqua" w:eastAsia="Book Antiqua" w:hAnsi="Book Antiqua" w:cs="Book Antiqua"/>
          <w:color w:val="000000"/>
        </w:rPr>
        <w:t>This data was confirmed by a prospective study with 191 patients, of which 92 were diagnosed with CP. A significant linear correlation was confirmed between the number of EUS criteria of CP and the SR (</w:t>
      </w:r>
      <w:r>
        <w:rPr>
          <w:rFonts w:ascii="Book Antiqua" w:eastAsia="Book Antiqua" w:hAnsi="Book Antiqua" w:cs="Book Antiqua"/>
          <w:i/>
          <w:iCs/>
          <w:color w:val="000000"/>
        </w:rPr>
        <w:t>r</w:t>
      </w:r>
      <w:r>
        <w:rPr>
          <w:rFonts w:ascii="Book Antiqua" w:hAnsi="Book Antiqua" w:cs="Book Antiqua"/>
          <w:color w:val="000000"/>
        </w:rPr>
        <w:t xml:space="preserve"> </w:t>
      </w:r>
      <w:r>
        <w:rPr>
          <w:rFonts w:ascii="Book Antiqua" w:eastAsia="Book Antiqua" w:hAnsi="Book Antiqua" w:cs="Book Antiqua"/>
          <w:color w:val="000000"/>
        </w:rPr>
        <w:t xml:space="preserve">= 0.813; </w:t>
      </w:r>
      <w:r>
        <w:rPr>
          <w:rFonts w:ascii="Book Antiqua" w:hAnsi="Book Antiqua" w:cs="Book Antiqua"/>
          <w:i/>
          <w:color w:val="000000"/>
        </w:rPr>
        <w:t>P</w:t>
      </w:r>
      <w:r>
        <w:rPr>
          <w:rFonts w:ascii="Book Antiqua" w:eastAsia="Book Antiqua" w:hAnsi="Book Antiqua" w:cs="Book Antiqua"/>
          <w:color w:val="000000"/>
        </w:rPr>
        <w:t xml:space="preserve"> &lt; 0.0001), with an AUROC of 0.949 </w:t>
      </w:r>
      <w:r>
        <w:rPr>
          <w:rFonts w:ascii="Book Antiqua" w:hAnsi="Book Antiqua" w:cs="Book Antiqua"/>
          <w:color w:val="000000"/>
        </w:rPr>
        <w:t>[</w:t>
      </w:r>
      <w:r>
        <w:rPr>
          <w:rFonts w:ascii="Book Antiqua" w:eastAsia="Book Antiqua" w:hAnsi="Book Antiqua" w:cs="Book Antiqua"/>
          <w:color w:val="000000"/>
        </w:rPr>
        <w:t>95% confidence interval</w:t>
      </w:r>
      <w:r>
        <w:rPr>
          <w:rFonts w:ascii="Book Antiqua" w:hAnsi="Book Antiqua" w:cs="Book Antiqua"/>
          <w:color w:val="000000"/>
        </w:rPr>
        <w:t xml:space="preserve"> (CI):</w:t>
      </w:r>
      <w:r>
        <w:rPr>
          <w:rFonts w:ascii="Book Antiqua" w:eastAsia="Book Antiqua" w:hAnsi="Book Antiqua" w:cs="Book Antiqua"/>
          <w:color w:val="000000"/>
        </w:rPr>
        <w:t xml:space="preserve"> 0.916-0.982</w:t>
      </w:r>
      <w:r>
        <w:rPr>
          <w:rFonts w:ascii="Book Antiqua" w:hAnsi="Book Antiqua" w:cs="Book Antiqua"/>
          <w:color w:val="000000"/>
        </w:rPr>
        <w:t>]</w:t>
      </w:r>
      <w:r>
        <w:rPr>
          <w:rFonts w:ascii="Book Antiqua" w:eastAsia="Book Antiqua" w:hAnsi="Book Antiqua" w:cs="Book Antiqua"/>
          <w:color w:val="000000"/>
        </w:rPr>
        <w:t>. The accuracy of EUS-elastography for diagnosing CP was 91.1% (cut-off SR of 2.25), and the SR varied significantly among different Rosemont classification groups (</w:t>
      </w:r>
      <w:r>
        <w:rPr>
          <w:rFonts w:ascii="Book Antiqua" w:hAnsi="Book Antiqua" w:cs="Book Antiqua"/>
          <w:i/>
          <w:color w:val="000000"/>
        </w:rPr>
        <w:t>P</w:t>
      </w:r>
      <w:r>
        <w:rPr>
          <w:rFonts w:ascii="Book Antiqua" w:eastAsia="Book Antiqua" w:hAnsi="Book Antiqua" w:cs="Book Antiqua"/>
          <w:color w:val="000000"/>
        </w:rPr>
        <w:t xml:space="preserve"> &lt; 0.001)</w:t>
      </w:r>
      <w:r>
        <w:rPr>
          <w:rFonts w:ascii="Book Antiqua" w:hAnsi="Book Antiqua" w:cs="Book Antiqua"/>
          <w:color w:val="000000"/>
          <w:vertAlign w:val="superscript"/>
        </w:rPr>
        <w:t>[</w:t>
      </w:r>
      <w:r>
        <w:rPr>
          <w:rFonts w:ascii="Book Antiqua" w:eastAsia="Book Antiqua" w:hAnsi="Book Antiqua" w:cs="Book Antiqua"/>
          <w:color w:val="000000"/>
          <w:vertAlign w:val="superscript"/>
        </w:rPr>
        <w:t>15</w:t>
      </w:r>
      <w:r>
        <w:rPr>
          <w:rFonts w:ascii="Book Antiqua" w:hAnsi="Book Antiqua" w:cs="Book Antiqua"/>
          <w:color w:val="000000"/>
          <w:vertAlign w:val="superscript"/>
        </w:rPr>
        <w:t>]</w:t>
      </w:r>
      <w:r>
        <w:rPr>
          <w:rFonts w:ascii="Book Antiqua" w:eastAsia="Book Antiqua" w:hAnsi="Book Antiqua" w:cs="Book Antiqua"/>
          <w:color w:val="000000"/>
        </w:rPr>
        <w:t xml:space="preserve">. Another study measured PS in both pancreatic tumors and healthy surrounding parenchyma of 58 consecutive patients before pancreatectomy. Histological fibrosis was divided into four stages: </w:t>
      </w:r>
      <w:r>
        <w:rPr>
          <w:rFonts w:ascii="Book Antiqua" w:hAnsi="Book Antiqua" w:cs="Book Antiqua"/>
          <w:color w:val="000000"/>
        </w:rPr>
        <w:t>n</w:t>
      </w:r>
      <w:r>
        <w:rPr>
          <w:rFonts w:ascii="Book Antiqua" w:eastAsia="Book Antiqua" w:hAnsi="Book Antiqua" w:cs="Book Antiqua"/>
          <w:color w:val="000000"/>
        </w:rPr>
        <w:t>ormal, mild, marked, and severe fibrosis. Using the mean PS value, the AUROC for the diagnosis of each fibrosis stage was 0.90</w:t>
      </w:r>
      <w:r>
        <w:rPr>
          <w:rFonts w:ascii="Book Antiqua" w:hAnsi="Book Antiqua" w:cs="Book Antiqua"/>
          <w:color w:val="000000"/>
          <w:vertAlign w:val="superscript"/>
        </w:rPr>
        <w:t>[</w:t>
      </w:r>
      <w:r>
        <w:rPr>
          <w:rFonts w:ascii="Book Antiqua" w:eastAsia="Book Antiqua" w:hAnsi="Book Antiqua" w:cs="Book Antiqua"/>
          <w:color w:val="000000"/>
          <w:vertAlign w:val="superscript"/>
        </w:rPr>
        <w:t>16</w:t>
      </w:r>
      <w:r>
        <w:rPr>
          <w:rFonts w:ascii="Book Antiqua" w:hAnsi="Book Antiqua" w:cs="Book Antiqua"/>
          <w:color w:val="000000"/>
          <w:vertAlign w:val="superscript"/>
        </w:rPr>
        <w:t>]</w:t>
      </w:r>
      <w:r>
        <w:rPr>
          <w:rFonts w:ascii="Book Antiqua" w:eastAsia="Book Antiqua" w:hAnsi="Book Antiqua" w:cs="Book Antiqua"/>
          <w:color w:val="000000"/>
        </w:rPr>
        <w:t xml:space="preserve">. These findings support the theory of PS measurement as a possible surrogate marker for pancreatic fibrosis. </w:t>
      </w:r>
    </w:p>
    <w:p w:rsidR="00735318" w:rsidRDefault="00735318">
      <w:pPr>
        <w:spacing w:line="360" w:lineRule="auto"/>
        <w:ind w:firstLine="450"/>
        <w:jc w:val="both"/>
        <w:rPr>
          <w:rFonts w:ascii="Book Antiqua" w:hAnsi="Book Antiqua" w:cs="Book Antiqua"/>
        </w:rPr>
      </w:pPr>
      <w:r>
        <w:rPr>
          <w:rFonts w:ascii="Book Antiqua" w:eastAsia="Book Antiqua" w:hAnsi="Book Antiqua" w:cs="Book Antiqua"/>
          <w:color w:val="000000"/>
        </w:rPr>
        <w:t>Moreover, a study evaluated 40 patients who underwent pancreatic EUS-SWM. They were classified following the Japan Pancreatic Society criteria for CP. They compared EUS-SWM values of the healthy pancreas with early, probable, and definite CP groups. Notably, the relationship between EUS-SWM value and exocrine/endocrine dysfunction was also assessed. A positive correlation resulted between PS values measured through EUS-SWM and the Japan Pancreatic Society criteria stages, with higher values registered in the CP group. AUROCs for the diagnostic accuracy of EUS-SW measurement for CP, exocrine dysfunction, and endocrine dysfunction were 0.92, 0.78, and 0.63, respectively. The cut-off values of 1.96, 1.96, and 2.34 for diagnosing CP, exocrine dysfunction, and endocrine dysfunctions had a sensitivity of 83%, 90%, and 75% and a specificity of 100%, 65%, and 64%, respectively</w:t>
      </w:r>
      <w:r>
        <w:rPr>
          <w:rFonts w:ascii="Book Antiqua" w:hAnsi="Book Antiqua" w:cs="Book Antiqua"/>
          <w:color w:val="000000"/>
          <w:vertAlign w:val="superscript"/>
        </w:rPr>
        <w:t>[</w:t>
      </w:r>
      <w:r>
        <w:rPr>
          <w:rFonts w:ascii="Book Antiqua" w:eastAsia="Book Antiqua" w:hAnsi="Book Antiqua" w:cs="Book Antiqua"/>
          <w:color w:val="000000"/>
          <w:vertAlign w:val="superscript"/>
        </w:rPr>
        <w:t>17</w:t>
      </w:r>
      <w:r>
        <w:rPr>
          <w:rFonts w:ascii="Book Antiqua" w:hAnsi="Book Antiqua" w:cs="Book Antiqua"/>
          <w:color w:val="000000"/>
          <w:vertAlign w:val="superscript"/>
        </w:rPr>
        <w:t>]</w:t>
      </w:r>
      <w:r>
        <w:rPr>
          <w:rFonts w:ascii="Book Antiqua" w:eastAsia="Book Antiqua" w:hAnsi="Book Antiqua" w:cs="Book Antiqua"/>
          <w:color w:val="000000"/>
        </w:rPr>
        <w:t xml:space="preserve">. Similar results were found by </w:t>
      </w:r>
      <w:r>
        <w:rPr>
          <w:rFonts w:ascii="Book Antiqua" w:eastAsia="Book Antiqua" w:hAnsi="Book Antiqua" w:cs="Book Antiqua"/>
          <w:bCs/>
          <w:color w:val="000000"/>
        </w:rPr>
        <w:t>Domínguez-Muñoz</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hAnsi="Book Antiqua" w:cs="Book Antiqua"/>
          <w:color w:val="000000"/>
          <w:vertAlign w:val="superscript"/>
        </w:rPr>
        <w:t>[</w:t>
      </w:r>
      <w:r>
        <w:rPr>
          <w:rFonts w:ascii="Book Antiqua" w:eastAsia="Book Antiqua" w:hAnsi="Book Antiqua" w:cs="Book Antiqua"/>
          <w:color w:val="000000"/>
          <w:vertAlign w:val="superscript"/>
        </w:rPr>
        <w:t>18</w:t>
      </w:r>
      <w:r>
        <w:rPr>
          <w:rFonts w:ascii="Book Antiqua" w:hAnsi="Book Antiqua" w:cs="Book Antiqua"/>
          <w:color w:val="000000"/>
          <w:vertAlign w:val="superscript"/>
        </w:rPr>
        <w:t>]</w:t>
      </w:r>
      <w:r>
        <w:rPr>
          <w:rFonts w:ascii="Book Antiqua" w:eastAsia="Book Antiqua" w:hAnsi="Book Antiqua" w:cs="Book Antiqua"/>
          <w:color w:val="000000"/>
        </w:rPr>
        <w:t>. In the final analysis, elastography seems a promising approach in the evaluation of pancreatitis, even if diagnostic cut-offs are still lacking. Further, large scale studies are awaited to improve the diagnostic accuracy.</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Autoimmune pancreatitis:</w:t>
      </w:r>
      <w:r>
        <w:rPr>
          <w:rFonts w:ascii="Book Antiqua" w:hAnsi="Book Antiqua" w:cs="Book Antiqua"/>
          <w:color w:val="000000"/>
        </w:rPr>
        <w:t xml:space="preserve"> </w:t>
      </w:r>
      <w:r>
        <w:rPr>
          <w:rFonts w:ascii="Book Antiqua" w:eastAsia="Book Antiqua" w:hAnsi="Book Antiqua" w:cs="Book Antiqua"/>
          <w:color w:val="000000"/>
        </w:rPr>
        <w:t xml:space="preserve">Autoimmune pancreatitis (AIP) is a rare condition, even if it is likely underdiagnosed. There is a wide spectrum of radiological features of AIP, from a normal pancreas to diffuse parenchymal enlargement or focal mass-like lesion. The latter radiological appearance is recognized as focal AIP, and it can be easily confused with pancreatic cancer (PC). Thus, it is important to avoid unnecessary surgeries. A correct diagnosis can be reached through the assessment of clinical, laboratory, and histocytological data combined with the EUS evaluation and the assessment of Rosemont Criteria (Table 1). </w:t>
      </w:r>
      <w:r>
        <w:rPr>
          <w:rFonts w:ascii="Book Antiqua" w:hAnsi="Book Antiqua" w:cs="Book Antiqua"/>
          <w:color w:val="000000"/>
        </w:rPr>
        <w:t>O</w:t>
      </w:r>
      <w:r>
        <w:rPr>
          <w:rFonts w:ascii="Book Antiqua" w:eastAsia="Book Antiqua" w:hAnsi="Book Antiqua" w:cs="Book Antiqua"/>
          <w:color w:val="000000"/>
        </w:rPr>
        <w:t>f note, elastography may help the clinician to differentiate AIP from PC. Indeed, the former usually shows a homogeneous increase of stiffness in the whole organ, while in the latter the increased stiffness is limited within the tumoral area</w:t>
      </w:r>
      <w:r>
        <w:rPr>
          <w:rFonts w:ascii="Book Antiqua" w:hAnsi="Book Antiqua" w:cs="Book Antiqua"/>
          <w:color w:val="000000"/>
          <w:vertAlign w:val="superscript"/>
        </w:rPr>
        <w:t>[</w:t>
      </w:r>
      <w:r>
        <w:rPr>
          <w:rFonts w:ascii="Book Antiqua" w:eastAsia="Book Antiqua" w:hAnsi="Book Antiqua" w:cs="Book Antiqua"/>
          <w:color w:val="000000"/>
          <w:vertAlign w:val="superscript"/>
        </w:rPr>
        <w:t>19</w:t>
      </w:r>
      <w:r>
        <w:rPr>
          <w:rFonts w:ascii="Book Antiqua" w:hAnsi="Book Antiqua" w:cs="Book Antiqua"/>
          <w:color w:val="000000"/>
          <w:vertAlign w:val="superscript"/>
        </w:rPr>
        <w:t>]</w:t>
      </w:r>
      <w:r>
        <w:rPr>
          <w:rFonts w:ascii="Book Antiqua" w:eastAsia="Book Antiqua" w:hAnsi="Book Antiqua" w:cs="Book Antiqua"/>
          <w:color w:val="000000"/>
        </w:rPr>
        <w:t>. When using qualitative elastography in AIP, the inflamed area should have a predominantly green pattern with slight red or yellow lines, while a homogeneous green pattern should appear in the normal parenchyma</w:t>
      </w:r>
      <w:r>
        <w:rPr>
          <w:rFonts w:ascii="Book Antiqua" w:hAnsi="Book Antiqua" w:cs="Book Antiqua"/>
          <w:color w:val="000000"/>
          <w:vertAlign w:val="superscript"/>
        </w:rPr>
        <w:t>[</w:t>
      </w:r>
      <w:r>
        <w:rPr>
          <w:rFonts w:ascii="Book Antiqua" w:eastAsia="Book Antiqua" w:hAnsi="Book Antiqua" w:cs="Book Antiqua"/>
          <w:color w:val="000000"/>
          <w:vertAlign w:val="superscript"/>
        </w:rPr>
        <w:t>11</w:t>
      </w:r>
      <w:r>
        <w:rPr>
          <w:rFonts w:ascii="Book Antiqua" w:hAnsi="Book Antiqua" w:cs="Book Antiqua"/>
          <w:color w:val="000000"/>
          <w:vertAlign w:val="superscript"/>
        </w:rPr>
        <w:t>]</w:t>
      </w:r>
      <w:r>
        <w:rPr>
          <w:rFonts w:ascii="Book Antiqua" w:eastAsia="Book Antiqua" w:hAnsi="Book Antiqua" w:cs="Book Antiqua"/>
          <w:color w:val="000000"/>
        </w:rPr>
        <w:t xml:space="preserve">. However, since this does not always occur, the clinician should not completely rely on this pattern presentation to reach the diagnosis. </w:t>
      </w:r>
    </w:p>
    <w:p w:rsidR="00735318" w:rsidRDefault="00735318">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quantitative elastography could theoretically be more informative to diagnose AIP. As such, a study measured the stiffness of 123 </w:t>
      </w:r>
      <w:r>
        <w:rPr>
          <w:rFonts w:ascii="Book Antiqua" w:hAnsi="Book Antiqua" w:cs="Book Antiqua"/>
          <w:color w:val="000000"/>
        </w:rPr>
        <w:t>l</w:t>
      </w:r>
      <w:r>
        <w:rPr>
          <w:rFonts w:ascii="Book Antiqua" w:eastAsia="Book Antiqua" w:hAnsi="Book Antiqua" w:cs="Book Antiqua"/>
          <w:color w:val="000000"/>
        </w:rPr>
        <w:t>esions (78 PC cases and 45 focal AIP cases), and the SR between the lesion and the surrounding parenchyma correlated significantly with the actual presence of a malignancy</w:t>
      </w:r>
      <w:r>
        <w:rPr>
          <w:rFonts w:ascii="Book Antiqua" w:hAnsi="Book Antiqua" w:cs="Book Antiqua"/>
          <w:color w:val="000000"/>
          <w:vertAlign w:val="superscript"/>
        </w:rPr>
        <w:t>[</w:t>
      </w:r>
      <w:r>
        <w:rPr>
          <w:rFonts w:ascii="Book Antiqua" w:eastAsia="Book Antiqua" w:hAnsi="Book Antiqua" w:cs="Book Antiqua"/>
          <w:color w:val="000000"/>
          <w:vertAlign w:val="superscript"/>
        </w:rPr>
        <w:t>20</w:t>
      </w:r>
      <w:r>
        <w:rPr>
          <w:rFonts w:ascii="Book Antiqua" w:hAnsi="Book Antiqua" w:cs="Book Antiqua"/>
          <w:color w:val="000000"/>
          <w:vertAlign w:val="superscript"/>
        </w:rPr>
        <w:t>]</w:t>
      </w:r>
      <w:r>
        <w:rPr>
          <w:rFonts w:ascii="Book Antiqua" w:eastAsia="Book Antiqua" w:hAnsi="Book Antiqua" w:cs="Book Antiqua"/>
          <w:color w:val="000000"/>
        </w:rPr>
        <w:t xml:space="preserve">. Similarly, in a prospective study of 325 patients assessing the SR lesion/parenchyma, a cut-off value of 4.2 </w:t>
      </w:r>
      <w:r>
        <w:rPr>
          <w:rFonts w:ascii="Book Antiqua" w:eastAsia="Book Antiqua" w:hAnsi="Book Antiqua" w:cs="Book Antiqua"/>
          <w:i/>
          <w:iCs/>
          <w:color w:val="000000"/>
        </w:rPr>
        <w:t>vs</w:t>
      </w:r>
      <w:r>
        <w:rPr>
          <w:rFonts w:ascii="Book Antiqua" w:hAnsi="Book Antiqua" w:cs="Book Antiqua"/>
          <w:color w:val="000000"/>
        </w:rPr>
        <w:t xml:space="preserve"> </w:t>
      </w:r>
      <w:r>
        <w:rPr>
          <w:rFonts w:ascii="Book Antiqua" w:eastAsia="Book Antiqua" w:hAnsi="Book Antiqua" w:cs="Book Antiqua"/>
          <w:color w:val="000000"/>
        </w:rPr>
        <w:t xml:space="preserve">10.9 correlated to sensitivity, specificity, positive predictive value, negative predictive value, and accuracy of 95%, 63%, 89%, 81%, and 87%, respectively </w:t>
      </w:r>
      <w:r>
        <w:rPr>
          <w:rFonts w:ascii="Book Antiqua" w:eastAsia="Book Antiqua" w:hAnsi="Book Antiqua" w:cs="Book Antiqua"/>
          <w:i/>
          <w:iCs/>
          <w:color w:val="000000"/>
        </w:rPr>
        <w:t>vs</w:t>
      </w:r>
      <w:r>
        <w:rPr>
          <w:rFonts w:ascii="Book Antiqua" w:hAnsi="Book Antiqua" w:cs="Book Antiqua"/>
          <w:color w:val="000000"/>
        </w:rPr>
        <w:t xml:space="preserve"> </w:t>
      </w:r>
      <w:r>
        <w:rPr>
          <w:rFonts w:ascii="Book Antiqua" w:eastAsia="Book Antiqua" w:hAnsi="Book Antiqua" w:cs="Book Antiqua"/>
          <w:color w:val="000000"/>
        </w:rPr>
        <w:t>75%, 88%, 95%, 54%, and 79%, respectively</w:t>
      </w:r>
      <w:r>
        <w:rPr>
          <w:rFonts w:ascii="Book Antiqua" w:hAnsi="Book Antiqua" w:cs="Book Antiqua"/>
          <w:color w:val="000000"/>
          <w:vertAlign w:val="superscript"/>
        </w:rPr>
        <w:t>[</w:t>
      </w:r>
      <w:r>
        <w:rPr>
          <w:rFonts w:ascii="Book Antiqua" w:eastAsia="Book Antiqua" w:hAnsi="Book Antiqua" w:cs="Book Antiqua"/>
          <w:color w:val="000000"/>
          <w:vertAlign w:val="superscript"/>
        </w:rPr>
        <w:t>21</w:t>
      </w:r>
      <w:r>
        <w:rPr>
          <w:rFonts w:ascii="Book Antiqua" w:hAnsi="Book Antiqua" w:cs="Book Antiqua"/>
          <w:color w:val="000000"/>
          <w:vertAlign w:val="superscript"/>
        </w:rPr>
        <w:t>]</w:t>
      </w:r>
      <w:r>
        <w:rPr>
          <w:rFonts w:ascii="Book Antiqua" w:eastAsia="Book Antiqua" w:hAnsi="Book Antiqua" w:cs="Book Antiqua"/>
          <w:color w:val="000000"/>
        </w:rPr>
        <w:t xml:space="preserve">. </w:t>
      </w:r>
    </w:p>
    <w:p w:rsidR="00735318" w:rsidRDefault="00735318">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Moreover, in a meta-analysis that included 17 studies (1544 </w:t>
      </w:r>
      <w:r>
        <w:rPr>
          <w:rFonts w:ascii="Book Antiqua" w:hAnsi="Book Antiqua" w:cs="Book Antiqua"/>
          <w:color w:val="000000"/>
        </w:rPr>
        <w:t>l</w:t>
      </w:r>
      <w:r>
        <w:rPr>
          <w:rFonts w:ascii="Book Antiqua" w:eastAsia="Book Antiqua" w:hAnsi="Book Antiqua" w:cs="Book Antiqua"/>
          <w:color w:val="000000"/>
        </w:rPr>
        <w:t>esions), the pooled sensitivity and specificity for qualitative elastography in the differential diagnosis between PC and AIP were 0.97 (95%CI</w:t>
      </w:r>
      <w:r>
        <w:rPr>
          <w:rFonts w:ascii="Book Antiqua" w:hAnsi="Book Antiqua" w:cs="Book Antiqua"/>
          <w:color w:val="000000"/>
        </w:rPr>
        <w:t>:</w:t>
      </w:r>
      <w:r>
        <w:rPr>
          <w:rFonts w:ascii="Book Antiqua" w:eastAsia="Book Antiqua" w:hAnsi="Book Antiqua" w:cs="Book Antiqua"/>
          <w:color w:val="000000"/>
        </w:rPr>
        <w:t xml:space="preserve"> 0.95–0.99) and 0.67 (95%CI</w:t>
      </w:r>
      <w:r>
        <w:rPr>
          <w:rFonts w:ascii="Book Antiqua" w:hAnsi="Book Antiqua" w:cs="Book Antiqua"/>
          <w:color w:val="000000"/>
        </w:rPr>
        <w:t xml:space="preserve">: </w:t>
      </w:r>
      <w:r>
        <w:rPr>
          <w:rFonts w:ascii="Book Antiqua" w:eastAsia="Book Antiqua" w:hAnsi="Book Antiqua" w:cs="Book Antiqua"/>
          <w:color w:val="000000"/>
        </w:rPr>
        <w:t>0.59–0.74), respectively; the pooled sensitivity and specificity for SR were 0.98 (95%CI</w:t>
      </w:r>
      <w:r>
        <w:rPr>
          <w:rFonts w:ascii="Book Antiqua" w:hAnsi="Book Antiqua" w:cs="Book Antiqua"/>
          <w:color w:val="000000"/>
        </w:rPr>
        <w:t>:</w:t>
      </w:r>
      <w:r>
        <w:rPr>
          <w:rFonts w:ascii="Book Antiqua" w:eastAsia="Book Antiqua" w:hAnsi="Book Antiqua" w:cs="Book Antiqua"/>
          <w:color w:val="000000"/>
        </w:rPr>
        <w:t xml:space="preserve"> 0.96–0.99) and 0.62 (95%CI</w:t>
      </w:r>
      <w:r>
        <w:rPr>
          <w:rFonts w:ascii="Book Antiqua" w:hAnsi="Book Antiqua" w:cs="Book Antiqua"/>
          <w:color w:val="000000"/>
        </w:rPr>
        <w:t>:</w:t>
      </w:r>
      <w:r>
        <w:rPr>
          <w:rFonts w:ascii="Book Antiqua" w:eastAsia="Book Antiqua" w:hAnsi="Book Antiqua" w:cs="Book Antiqua"/>
          <w:color w:val="000000"/>
        </w:rPr>
        <w:t xml:space="preserve"> 0.56–0.68), respectively. Interestingly, quantitative elastography has been investigated to assess AIP activity in a small series of patients under steroid therapy</w:t>
      </w:r>
      <w:r>
        <w:rPr>
          <w:rFonts w:ascii="Book Antiqua" w:hAnsi="Book Antiqua" w:cs="Book Antiqua"/>
          <w:color w:val="000000"/>
          <w:vertAlign w:val="superscript"/>
        </w:rPr>
        <w:t>[</w:t>
      </w:r>
      <w:r>
        <w:rPr>
          <w:rFonts w:ascii="Book Antiqua" w:eastAsia="Book Antiqua" w:hAnsi="Book Antiqua" w:cs="Book Antiqua"/>
          <w:color w:val="000000"/>
          <w:vertAlign w:val="superscript"/>
        </w:rPr>
        <w:t>22</w:t>
      </w:r>
      <w:r>
        <w:rPr>
          <w:rFonts w:ascii="Book Antiqua" w:hAnsi="Book Antiqua" w:cs="Book Antiqua"/>
          <w:color w:val="000000"/>
          <w:vertAlign w:val="superscript"/>
        </w:rPr>
        <w:t>]</w:t>
      </w:r>
      <w:r>
        <w:rPr>
          <w:rFonts w:ascii="Book Antiqua" w:eastAsia="Book Antiqua" w:hAnsi="Book Antiqua" w:cs="Book Antiqua"/>
          <w:color w:val="000000"/>
        </w:rPr>
        <w:t>. A significant decrease of the mean share wave elastography of the pancreas (</w:t>
      </w:r>
      <w:r>
        <w:rPr>
          <w:rFonts w:ascii="Book Antiqua" w:eastAsia="Book Antiqua" w:hAnsi="Book Antiqua" w:cs="Book Antiqua"/>
          <w:i/>
          <w:iCs/>
          <w:color w:val="000000"/>
        </w:rPr>
        <w:t>P</w:t>
      </w:r>
      <w:r>
        <w:rPr>
          <w:rFonts w:ascii="Book Antiqua" w:hAnsi="Book Antiqua" w:cs="Book Antiqua"/>
          <w:color w:val="000000"/>
        </w:rPr>
        <w:t xml:space="preserve"> </w:t>
      </w:r>
      <w:r>
        <w:rPr>
          <w:rFonts w:ascii="Book Antiqua" w:eastAsia="Book Antiqua" w:hAnsi="Book Antiqua" w:cs="Book Antiqua"/>
          <w:color w:val="000000"/>
        </w:rPr>
        <w:t>= 0.023) was found. Nevertheless, no definitive cut-offs are available either to diagnose AIP and to distinguish between focal AIP and PC.</w:t>
      </w:r>
    </w:p>
    <w:p w:rsidR="00735318" w:rsidRDefault="00735318">
      <w:pPr>
        <w:spacing w:line="360" w:lineRule="auto"/>
        <w:ind w:firstLine="480"/>
        <w:jc w:val="both"/>
        <w:rPr>
          <w:rFonts w:ascii="Book Antiqua" w:hAnsi="Book Antiqua" w:cs="Book Antiqua"/>
        </w:rPr>
      </w:pPr>
      <w:r>
        <w:rPr>
          <w:rFonts w:ascii="Book Antiqua" w:eastAsia="Book Antiqua" w:hAnsi="Book Antiqua" w:cs="Book Antiqua"/>
          <w:color w:val="000000"/>
        </w:rPr>
        <w:t>Therefore, elastography does not represent the main tool to diagnose AIP, and even though helpful, it is not a crucial test in the differential diagnosis between PC and focal AIP. However, its simple application coupled with serial imaging examinations and fine needle biopsies could help clinicians reach a correct diagnosis</w:t>
      </w:r>
      <w:r>
        <w:rPr>
          <w:rFonts w:ascii="Book Antiqua" w:hAnsi="Book Antiqua" w:cs="Book Antiqua"/>
          <w:color w:val="000000"/>
          <w:vertAlign w:val="superscript"/>
        </w:rPr>
        <w:t>[</w:t>
      </w:r>
      <w:r>
        <w:rPr>
          <w:rFonts w:ascii="Book Antiqua" w:eastAsia="Book Antiqua" w:hAnsi="Book Antiqua" w:cs="Book Antiqua"/>
          <w:color w:val="000000"/>
          <w:vertAlign w:val="superscript"/>
        </w:rPr>
        <w:t>19</w:t>
      </w:r>
      <w:r>
        <w:rPr>
          <w:rFonts w:ascii="Book Antiqua" w:hAnsi="Book Antiqua" w:cs="Book Antiqua"/>
          <w:color w:val="000000"/>
          <w:vertAlign w:val="superscript"/>
        </w:rPr>
        <w:t>]</w:t>
      </w:r>
      <w:r>
        <w:rPr>
          <w:rFonts w:ascii="Book Antiqua" w:eastAsia="Book Antiqua" w:hAnsi="Book Antiqua" w:cs="Book Antiqua"/>
          <w:color w:val="000000"/>
        </w:rPr>
        <w:t>.</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hAnsi="Book Antiqua" w:cs="Book Antiqua"/>
        </w:rPr>
      </w:pPr>
      <w:r>
        <w:rPr>
          <w:rFonts w:ascii="Book Antiqua" w:eastAsia="Book Antiqua" w:hAnsi="Book Antiqua" w:cs="Book Antiqua"/>
          <w:b/>
          <w:bCs/>
          <w:color w:val="000000"/>
        </w:rPr>
        <w:t>Acute pancreatitis:</w:t>
      </w:r>
      <w:r>
        <w:rPr>
          <w:rFonts w:ascii="Book Antiqua" w:hAnsi="Book Antiqua" w:cs="Book Antiqua"/>
          <w:color w:val="000000"/>
        </w:rPr>
        <w:t xml:space="preserve"> </w:t>
      </w:r>
      <w:r>
        <w:rPr>
          <w:rFonts w:ascii="Book Antiqua" w:eastAsia="Book Antiqua" w:hAnsi="Book Antiqua" w:cs="Book Antiqua"/>
          <w:color w:val="000000"/>
        </w:rPr>
        <w:t>The application of PS in the evaluation of acute pancreatitis is scarce. Unfortunately, up to now no significant data are available in the literature to help the clinician either in the diagnosis or in the stratification of the severity of the condition.</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eastAsia="Book Antiqua" w:hAnsi="Book Antiqua" w:cs="Book Antiqua"/>
          <w:b/>
          <w:bCs/>
          <w:color w:val="000000"/>
        </w:rPr>
      </w:pPr>
      <w:r>
        <w:rPr>
          <w:rFonts w:ascii="Book Antiqua" w:eastAsia="Book Antiqua" w:hAnsi="Book Antiqua" w:cs="Book Antiqua"/>
          <w:b/>
          <w:bCs/>
          <w:i/>
          <w:iCs/>
          <w:color w:val="000000"/>
        </w:rPr>
        <w:t>Application of elastography in the evaluation of malignant diseases</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Evaluation of PC:</w:t>
      </w:r>
      <w:r>
        <w:rPr>
          <w:rFonts w:ascii="Book Antiqua" w:hAnsi="Book Antiqua" w:cs="Book Antiqua"/>
          <w:color w:val="000000"/>
        </w:rPr>
        <w:t xml:space="preserve"> </w:t>
      </w:r>
      <w:r>
        <w:rPr>
          <w:rFonts w:ascii="Book Antiqua" w:eastAsia="Book Antiqua" w:hAnsi="Book Antiqua" w:cs="Book Antiqua"/>
          <w:color w:val="000000"/>
        </w:rPr>
        <w:t>Qualitative elastography applied on the pancreatic focal lesions usually shows a geographic appearance, characterized by a heterogeneous, predominantly blue pattern with small green and red</w:t>
      </w:r>
      <w:r>
        <w:rPr>
          <w:rFonts w:ascii="Book Antiqua" w:hAnsi="Book Antiqua" w:cs="Book Antiqua"/>
          <w:color w:val="000000"/>
        </w:rPr>
        <w:t xml:space="preserve"> </w:t>
      </w:r>
      <w:r>
        <w:rPr>
          <w:rFonts w:ascii="Book Antiqua" w:eastAsia="Book Antiqua" w:hAnsi="Book Antiqua" w:cs="Book Antiqua"/>
          <w:color w:val="000000"/>
        </w:rPr>
        <w:t>areas</w:t>
      </w:r>
      <w:r>
        <w:rPr>
          <w:rFonts w:ascii="Book Antiqua" w:hAnsi="Book Antiqua" w:cs="Book Antiqua"/>
          <w:color w:val="000000"/>
        </w:rPr>
        <w:t xml:space="preserve"> (</w:t>
      </w:r>
      <w:r>
        <w:rPr>
          <w:rFonts w:ascii="Book Antiqua" w:eastAsia="Book Antiqua" w:hAnsi="Book Antiqua" w:cs="Book Antiqua"/>
          <w:bCs/>
          <w:color w:val="000000"/>
        </w:rPr>
        <w:t>Fig</w:t>
      </w:r>
      <w:r>
        <w:rPr>
          <w:rFonts w:ascii="Book Antiqua" w:hAnsi="Book Antiqua" w:cs="Book Antiqua"/>
          <w:bCs/>
          <w:color w:val="000000"/>
        </w:rPr>
        <w:t>ure</w:t>
      </w:r>
      <w:r>
        <w:rPr>
          <w:rFonts w:ascii="Book Antiqua" w:eastAsia="Book Antiqua" w:hAnsi="Book Antiqua" w:cs="Book Antiqua"/>
          <w:bCs/>
          <w:color w:val="000000"/>
        </w:rPr>
        <w:t xml:space="preserve"> 2</w:t>
      </w:r>
      <w:r>
        <w:rPr>
          <w:rFonts w:ascii="Book Antiqua" w:hAnsi="Book Antiqua" w:cs="Book Antiqua"/>
          <w:bCs/>
          <w:color w:val="000000"/>
        </w:rPr>
        <w:t>)</w:t>
      </w:r>
      <w:r>
        <w:rPr>
          <w:rFonts w:ascii="Book Antiqua" w:eastAsia="Book Antiqua" w:hAnsi="Book Antiqua" w:cs="Book Antiqua"/>
          <w:color w:val="000000"/>
        </w:rPr>
        <w:t>. A more homogeneous blue pattern is more typical in pancreatic neuroendocrine malignant tumors</w:t>
      </w:r>
      <w:r>
        <w:rPr>
          <w:rFonts w:ascii="Book Antiqua" w:hAnsi="Book Antiqua" w:cs="Book Antiqua"/>
          <w:color w:val="000000"/>
          <w:vertAlign w:val="superscript"/>
        </w:rPr>
        <w:t>[</w:t>
      </w:r>
      <w:r>
        <w:rPr>
          <w:rFonts w:ascii="Book Antiqua" w:eastAsia="Book Antiqua" w:hAnsi="Book Antiqua" w:cs="Book Antiqua"/>
          <w:color w:val="000000"/>
          <w:vertAlign w:val="superscript"/>
        </w:rPr>
        <w:t>11</w:t>
      </w:r>
      <w:r>
        <w:rPr>
          <w:rFonts w:ascii="Book Antiqua" w:hAnsi="Book Antiqua" w:cs="Book Antiqua"/>
          <w:color w:val="000000"/>
          <w:vertAlign w:val="superscript"/>
        </w:rPr>
        <w:t>]</w:t>
      </w:r>
      <w:r>
        <w:rPr>
          <w:rFonts w:ascii="Book Antiqua" w:hAnsi="Book Antiqua" w:cs="Book Antiqua"/>
          <w:color w:val="000000"/>
        </w:rPr>
        <w:t xml:space="preserve"> (</w:t>
      </w:r>
      <w:r>
        <w:rPr>
          <w:rFonts w:ascii="Book Antiqua" w:eastAsia="Book Antiqua" w:hAnsi="Book Antiqua" w:cs="Book Antiqua"/>
          <w:bCs/>
          <w:color w:val="000000"/>
        </w:rPr>
        <w:t>Fig</w:t>
      </w:r>
      <w:r>
        <w:rPr>
          <w:rFonts w:ascii="Book Antiqua" w:hAnsi="Book Antiqua" w:cs="Book Antiqua"/>
          <w:bCs/>
          <w:color w:val="000000"/>
        </w:rPr>
        <w:t>ure</w:t>
      </w:r>
      <w:r>
        <w:rPr>
          <w:rFonts w:ascii="Book Antiqua" w:eastAsia="Book Antiqua" w:hAnsi="Book Antiqua" w:cs="Book Antiqua"/>
          <w:bCs/>
          <w:color w:val="000000"/>
        </w:rPr>
        <w:t xml:space="preserve"> 3</w:t>
      </w:r>
      <w:r>
        <w:rPr>
          <w:rFonts w:ascii="Book Antiqua" w:hAnsi="Book Antiqua" w:cs="Book Antiqua"/>
          <w:bCs/>
          <w:color w:val="000000"/>
        </w:rPr>
        <w:t>)</w:t>
      </w:r>
      <w:r>
        <w:rPr>
          <w:rFonts w:ascii="Book Antiqua" w:eastAsia="Book Antiqua" w:hAnsi="Book Antiqua" w:cs="Book Antiqua"/>
          <w:color w:val="000000"/>
        </w:rPr>
        <w:t xml:space="preserve">. Even if not pathognomonic, these findings can be helpful, in particular when there is a clear demarcation from the healthy pancreatic parenchyma, which is usually of a homogenous green color. </w:t>
      </w:r>
    </w:p>
    <w:p w:rsidR="00735318" w:rsidRDefault="00735318">
      <w:pPr>
        <w:spacing w:line="360" w:lineRule="auto"/>
        <w:ind w:firstLine="450"/>
        <w:jc w:val="both"/>
        <w:rPr>
          <w:rFonts w:ascii="Book Antiqua" w:eastAsia="Book Antiqua" w:hAnsi="Book Antiqua" w:cs="Book Antiqua"/>
          <w:color w:val="000000"/>
        </w:rPr>
      </w:pPr>
      <w:r>
        <w:rPr>
          <w:rFonts w:ascii="Book Antiqua" w:eastAsia="Book Antiqua" w:hAnsi="Book Antiqua" w:cs="Book Antiqua"/>
          <w:color w:val="000000"/>
        </w:rPr>
        <w:t>The quantitative assessment is apparently much more informative, as it allows the clinician to compare the SR of a mass over the normal surrounding pancreatic parenchyma</w:t>
      </w:r>
      <w:r>
        <w:rPr>
          <w:rFonts w:ascii="Book Antiqua" w:hAnsi="Book Antiqua" w:cs="Book Antiqua"/>
          <w:color w:val="000000"/>
        </w:rPr>
        <w:t xml:space="preserve"> (</w:t>
      </w:r>
      <w:r>
        <w:rPr>
          <w:rFonts w:ascii="Book Antiqua" w:eastAsia="Book Antiqua" w:hAnsi="Book Antiqua" w:cs="Book Antiqua"/>
          <w:bCs/>
          <w:color w:val="000000"/>
        </w:rPr>
        <w:t>Fig</w:t>
      </w:r>
      <w:r>
        <w:rPr>
          <w:rFonts w:ascii="Book Antiqua" w:hAnsi="Book Antiqua" w:cs="Book Antiqua"/>
          <w:bCs/>
          <w:color w:val="000000"/>
        </w:rPr>
        <w:t>ure</w:t>
      </w:r>
      <w:r>
        <w:rPr>
          <w:rFonts w:ascii="Book Antiqua" w:eastAsia="Book Antiqua" w:hAnsi="Book Antiqua" w:cs="Book Antiqua"/>
          <w:bCs/>
          <w:color w:val="000000"/>
        </w:rPr>
        <w:t xml:space="preserve"> 4</w:t>
      </w:r>
      <w:r>
        <w:rPr>
          <w:rFonts w:ascii="Book Antiqua" w:hAnsi="Book Antiqua" w:cs="Book Antiqua"/>
          <w:bCs/>
          <w:color w:val="000000"/>
        </w:rPr>
        <w:t>)</w:t>
      </w:r>
      <w:r>
        <w:rPr>
          <w:rFonts w:ascii="Book Antiqua" w:eastAsia="Book Antiqua" w:hAnsi="Book Antiqua" w:cs="Book Antiqua"/>
          <w:color w:val="000000"/>
        </w:rPr>
        <w:t>. Malignant pancreatic masses show a higher SR than the normal parenchyma</w:t>
      </w:r>
      <w:r>
        <w:rPr>
          <w:rFonts w:ascii="Book Antiqua" w:hAnsi="Book Antiqua" w:cs="Book Antiqua"/>
          <w:color w:val="000000"/>
          <w:vertAlign w:val="superscript"/>
        </w:rPr>
        <w:t>[</w:t>
      </w:r>
      <w:r>
        <w:rPr>
          <w:rFonts w:ascii="Book Antiqua" w:eastAsia="Book Antiqua" w:hAnsi="Book Antiqua" w:cs="Book Antiqua"/>
          <w:color w:val="000000"/>
          <w:vertAlign w:val="superscript"/>
        </w:rPr>
        <w:t>23</w:t>
      </w:r>
      <w:r>
        <w:rPr>
          <w:rFonts w:ascii="Book Antiqua" w:hAnsi="Book Antiqua" w:cs="Book Antiqua"/>
          <w:color w:val="000000"/>
          <w:vertAlign w:val="superscript"/>
        </w:rPr>
        <w:t>]</w:t>
      </w:r>
      <w:r>
        <w:rPr>
          <w:rFonts w:ascii="Book Antiqua" w:eastAsia="Book Antiqua" w:hAnsi="Book Antiqua" w:cs="Book Antiqua"/>
          <w:color w:val="000000"/>
        </w:rPr>
        <w:t>. However, it seems that no significant difference exists between the accuracy of quantitative and qualitative methods. In a meta-analysis including 10 studies and 893 pancreatic masses (646 malignant, 72.3%), the positive and negative likelihood ratios were 3.15 and 0.03 for qualitative EUS elastography, and 3.94 and 0.05 for quantitative EUS elastography, respectively</w:t>
      </w:r>
      <w:r>
        <w:rPr>
          <w:rFonts w:ascii="Book Antiqua" w:hAnsi="Book Antiqua" w:cs="Book Antiqua"/>
          <w:color w:val="000000"/>
          <w:vertAlign w:val="superscript"/>
        </w:rPr>
        <w:t>[</w:t>
      </w:r>
      <w:r>
        <w:rPr>
          <w:rFonts w:ascii="Book Antiqua" w:eastAsia="Book Antiqua" w:hAnsi="Book Antiqua" w:cs="Book Antiqua"/>
          <w:color w:val="000000"/>
          <w:vertAlign w:val="superscript"/>
        </w:rPr>
        <w:t>24</w:t>
      </w:r>
      <w:r>
        <w:rPr>
          <w:rFonts w:ascii="Book Antiqua" w:hAnsi="Book Antiqua" w:cs="Book Antiqua"/>
          <w:color w:val="000000"/>
          <w:vertAlign w:val="superscript"/>
        </w:rPr>
        <w:t>]</w:t>
      </w:r>
      <w:r>
        <w:rPr>
          <w:rFonts w:ascii="Book Antiqua" w:eastAsia="Book Antiqua" w:hAnsi="Book Antiqua" w:cs="Book Antiqua"/>
          <w:color w:val="000000"/>
        </w:rPr>
        <w:t>. Both qualitative and quantitative methods were useful for excluding the presence of PC, but they had a poor diagnostic specificity</w:t>
      </w:r>
      <w:r>
        <w:rPr>
          <w:rFonts w:ascii="Book Antiqua" w:hAnsi="Book Antiqua" w:cs="Book Antiqua"/>
          <w:color w:val="000000"/>
          <w:vertAlign w:val="superscript"/>
        </w:rPr>
        <w:t>[</w:t>
      </w:r>
      <w:r>
        <w:rPr>
          <w:rFonts w:ascii="Book Antiqua" w:eastAsia="Book Antiqua" w:hAnsi="Book Antiqua" w:cs="Book Antiqua"/>
          <w:color w:val="000000"/>
          <w:vertAlign w:val="superscript"/>
        </w:rPr>
        <w:t>24</w:t>
      </w:r>
      <w:r>
        <w:rPr>
          <w:rFonts w:ascii="Book Antiqua" w:hAnsi="Book Antiqua" w:cs="Book Antiqua"/>
          <w:color w:val="000000"/>
          <w:vertAlign w:val="superscript"/>
        </w:rPr>
        <w:t>]</w:t>
      </w:r>
      <w:r>
        <w:rPr>
          <w:rFonts w:ascii="Book Antiqua" w:eastAsia="Book Antiqua" w:hAnsi="Book Antiqua" w:cs="Book Antiqua"/>
          <w:color w:val="000000"/>
        </w:rPr>
        <w:t xml:space="preserve">. </w:t>
      </w:r>
    </w:p>
    <w:p w:rsidR="00735318" w:rsidRDefault="00735318">
      <w:pPr>
        <w:spacing w:line="360" w:lineRule="auto"/>
        <w:ind w:firstLine="450"/>
        <w:jc w:val="both"/>
        <w:rPr>
          <w:rFonts w:ascii="Book Antiqua" w:eastAsia="Book Antiqua" w:hAnsi="Book Antiqua" w:cs="Book Antiqua"/>
          <w:color w:val="000000"/>
        </w:rPr>
      </w:pPr>
      <w:r>
        <w:rPr>
          <w:rFonts w:ascii="Book Antiqua" w:eastAsia="Book Antiqua" w:hAnsi="Book Antiqua" w:cs="Book Antiqua"/>
          <w:color w:val="000000"/>
        </w:rPr>
        <w:t>Similar results were found in another meta-analysis</w:t>
      </w:r>
      <w:r>
        <w:rPr>
          <w:rFonts w:ascii="Book Antiqua" w:hAnsi="Book Antiqua" w:cs="Book Antiqua"/>
          <w:color w:val="000000"/>
          <w:vertAlign w:val="superscript"/>
        </w:rPr>
        <w:t>[</w:t>
      </w:r>
      <w:r>
        <w:rPr>
          <w:rFonts w:ascii="Book Antiqua" w:eastAsia="Book Antiqua" w:hAnsi="Book Antiqua" w:cs="Book Antiqua"/>
          <w:color w:val="000000"/>
          <w:vertAlign w:val="superscript"/>
        </w:rPr>
        <w:t>2</w:t>
      </w:r>
      <w:r>
        <w:rPr>
          <w:rFonts w:ascii="Book Antiqua" w:hAnsi="Book Antiqua" w:cs="Book Antiqua"/>
          <w:color w:val="000000"/>
          <w:vertAlign w:val="superscript"/>
        </w:rPr>
        <w:t>5]</w:t>
      </w:r>
      <w:r>
        <w:rPr>
          <w:rFonts w:ascii="Book Antiqua" w:eastAsia="Book Antiqua" w:hAnsi="Book Antiqua" w:cs="Book Antiqua"/>
          <w:color w:val="000000"/>
        </w:rPr>
        <w:t xml:space="preserve"> involving 1044 patients, in which the pooled sensitivity, specificity, and diagnostic odds ratio of EUS elastography to distinguish benign from malignant solid pancreatic masses were 0.95 (95%CI</w:t>
      </w:r>
      <w:r>
        <w:rPr>
          <w:rFonts w:ascii="Book Antiqua" w:hAnsi="Book Antiqua" w:cs="Book Antiqua"/>
          <w:color w:val="000000"/>
        </w:rPr>
        <w:t>:</w:t>
      </w:r>
      <w:r>
        <w:rPr>
          <w:rFonts w:ascii="Book Antiqua" w:eastAsia="Book Antiqua" w:hAnsi="Book Antiqua" w:cs="Book Antiqua"/>
          <w:color w:val="000000"/>
        </w:rPr>
        <w:t xml:space="preserve"> 0.94-0.97), 0.67 (95%CI</w:t>
      </w:r>
      <w:r>
        <w:rPr>
          <w:rFonts w:ascii="Book Antiqua" w:hAnsi="Book Antiqua" w:cs="Book Antiqua"/>
          <w:color w:val="000000"/>
        </w:rPr>
        <w:t>:</w:t>
      </w:r>
      <w:r>
        <w:rPr>
          <w:rFonts w:ascii="Book Antiqua" w:eastAsia="Book Antiqua" w:hAnsi="Book Antiqua" w:cs="Book Antiqua"/>
          <w:color w:val="000000"/>
        </w:rPr>
        <w:t xml:space="preserve"> 0.61-0.73), and 42.28 (95%CI</w:t>
      </w:r>
      <w:r>
        <w:rPr>
          <w:rFonts w:ascii="Book Antiqua" w:hAnsi="Book Antiqua" w:cs="Book Antiqua"/>
          <w:color w:val="000000"/>
        </w:rPr>
        <w:t>:</w:t>
      </w:r>
      <w:r>
        <w:rPr>
          <w:rFonts w:ascii="Book Antiqua" w:eastAsia="Book Antiqua" w:hAnsi="Book Antiqua" w:cs="Book Antiqua"/>
          <w:color w:val="000000"/>
        </w:rPr>
        <w:t xml:space="preserve"> 26.90-66.46), respectively. The AUROC was 0.9046</w:t>
      </w:r>
      <w:r>
        <w:rPr>
          <w:rFonts w:ascii="Book Antiqua" w:hAnsi="Book Antiqua" w:cs="Book Antiqua"/>
          <w:color w:val="000000"/>
          <w:vertAlign w:val="superscript"/>
        </w:rPr>
        <w:t>[</w:t>
      </w:r>
      <w:r>
        <w:rPr>
          <w:rFonts w:ascii="Book Antiqua" w:eastAsia="Book Antiqua" w:hAnsi="Book Antiqua" w:cs="Book Antiqua"/>
          <w:color w:val="000000"/>
          <w:vertAlign w:val="superscript"/>
        </w:rPr>
        <w:t>2</w:t>
      </w:r>
      <w:r>
        <w:rPr>
          <w:rFonts w:ascii="Book Antiqua" w:hAnsi="Book Antiqua" w:cs="Book Antiqua"/>
          <w:color w:val="000000"/>
          <w:vertAlign w:val="superscript"/>
        </w:rPr>
        <w:t>6]</w:t>
      </w:r>
      <w:r>
        <w:rPr>
          <w:rFonts w:ascii="Book Antiqua" w:eastAsia="Book Antiqua" w:hAnsi="Book Antiqua" w:cs="Book Antiqua"/>
          <w:color w:val="000000"/>
        </w:rPr>
        <w:t xml:space="preserve">. Another meta-analysis involving 17 studies (1544 </w:t>
      </w:r>
      <w:r>
        <w:rPr>
          <w:rFonts w:ascii="Book Antiqua" w:hAnsi="Book Antiqua" w:cs="Book Antiqua"/>
          <w:color w:val="000000"/>
        </w:rPr>
        <w:t>l</w:t>
      </w:r>
      <w:r>
        <w:rPr>
          <w:rFonts w:ascii="Book Antiqua" w:eastAsia="Book Antiqua" w:hAnsi="Book Antiqua" w:cs="Book Antiqua"/>
          <w:color w:val="000000"/>
        </w:rPr>
        <w:t>esions) showed a pooled sensitivity and specificity for qualitative methods of 0.97 (95%CI</w:t>
      </w:r>
      <w:r>
        <w:rPr>
          <w:rFonts w:ascii="Book Antiqua" w:hAnsi="Book Antiqua" w:cs="Book Antiqua"/>
          <w:color w:val="000000"/>
        </w:rPr>
        <w:t>:</w:t>
      </w:r>
      <w:r>
        <w:rPr>
          <w:rFonts w:ascii="Book Antiqua" w:eastAsia="Book Antiqua" w:hAnsi="Book Antiqua" w:cs="Book Antiqua"/>
          <w:color w:val="000000"/>
        </w:rPr>
        <w:t xml:space="preserve"> 0.95-0.99) and 0.67 (95%CI</w:t>
      </w:r>
      <w:r>
        <w:rPr>
          <w:rFonts w:ascii="Book Antiqua" w:hAnsi="Book Antiqua" w:cs="Book Antiqua"/>
          <w:color w:val="000000"/>
        </w:rPr>
        <w:t>:</w:t>
      </w:r>
      <w:r>
        <w:rPr>
          <w:rFonts w:ascii="Book Antiqua" w:eastAsia="Book Antiqua" w:hAnsi="Book Antiqua" w:cs="Book Antiqua"/>
          <w:color w:val="000000"/>
        </w:rPr>
        <w:t xml:space="preserve"> 0.59-0.74), respectively</w:t>
      </w:r>
      <w:r>
        <w:rPr>
          <w:rFonts w:ascii="Book Antiqua" w:hAnsi="Book Antiqua" w:cs="Book Antiqua"/>
          <w:color w:val="000000"/>
          <w:vertAlign w:val="superscript"/>
        </w:rPr>
        <w:t>[</w:t>
      </w:r>
      <w:r>
        <w:rPr>
          <w:rFonts w:ascii="Book Antiqua" w:eastAsia="Book Antiqua" w:hAnsi="Book Antiqua" w:cs="Book Antiqua"/>
          <w:color w:val="000000"/>
          <w:vertAlign w:val="superscript"/>
        </w:rPr>
        <w:t>2</w:t>
      </w:r>
      <w:r>
        <w:rPr>
          <w:rFonts w:ascii="Book Antiqua" w:hAnsi="Book Antiqua" w:cs="Book Antiqua"/>
          <w:color w:val="000000"/>
          <w:vertAlign w:val="superscript"/>
        </w:rPr>
        <w:t>7]</w:t>
      </w:r>
      <w:r>
        <w:rPr>
          <w:rFonts w:ascii="Book Antiqua" w:eastAsia="Book Antiqua" w:hAnsi="Book Antiqua" w:cs="Book Antiqua"/>
          <w:color w:val="000000"/>
        </w:rPr>
        <w:t>. The pooled sensitivity and specificity for strain histograms were 0.97 (95%CI</w:t>
      </w:r>
      <w:r>
        <w:rPr>
          <w:rFonts w:ascii="Book Antiqua" w:hAnsi="Book Antiqua" w:cs="Book Antiqua"/>
          <w:color w:val="000000"/>
        </w:rPr>
        <w:t>:</w:t>
      </w:r>
      <w:r>
        <w:rPr>
          <w:rFonts w:ascii="Book Antiqua" w:eastAsia="Book Antiqua" w:hAnsi="Book Antiqua" w:cs="Book Antiqua"/>
          <w:color w:val="000000"/>
        </w:rPr>
        <w:t xml:space="preserve"> 0.95-0.98) and 0.67 (95%CI</w:t>
      </w:r>
      <w:r>
        <w:rPr>
          <w:rFonts w:ascii="Book Antiqua" w:hAnsi="Book Antiqua" w:cs="Book Antiqua"/>
          <w:color w:val="000000"/>
        </w:rPr>
        <w:t>:</w:t>
      </w:r>
      <w:r>
        <w:rPr>
          <w:rFonts w:ascii="Book Antiqua" w:eastAsia="Book Antiqua" w:hAnsi="Book Antiqua" w:cs="Book Antiqua"/>
          <w:color w:val="000000"/>
        </w:rPr>
        <w:t xml:space="preserve"> 0.61-0.73), and the pooled sensitivity and specificity for SR were 0.98 (95%CI</w:t>
      </w:r>
      <w:r>
        <w:rPr>
          <w:rFonts w:ascii="Book Antiqua" w:hAnsi="Book Antiqua" w:cs="Book Antiqua"/>
          <w:color w:val="000000"/>
        </w:rPr>
        <w:t>:</w:t>
      </w:r>
      <w:r>
        <w:rPr>
          <w:rFonts w:ascii="Book Antiqua" w:eastAsia="Book Antiqua" w:hAnsi="Book Antiqua" w:cs="Book Antiqua"/>
          <w:color w:val="000000"/>
        </w:rPr>
        <w:t xml:space="preserve"> 0.96-0.99) and 0.62 (95%CI</w:t>
      </w:r>
      <w:r>
        <w:rPr>
          <w:rFonts w:ascii="Book Antiqua" w:hAnsi="Book Antiqua" w:cs="Book Antiqua"/>
          <w:color w:val="000000"/>
        </w:rPr>
        <w:t>:</w:t>
      </w:r>
      <w:r>
        <w:rPr>
          <w:rFonts w:ascii="Book Antiqua" w:eastAsia="Book Antiqua" w:hAnsi="Book Antiqua" w:cs="Book Antiqua"/>
          <w:color w:val="000000"/>
        </w:rPr>
        <w:t xml:space="preserve"> 0.56-0.68). Furthermore, they investigated the pooled sensitivity and specificity for contrast enhancement EUS, which were 0.90 (95%CI</w:t>
      </w:r>
      <w:r>
        <w:rPr>
          <w:rFonts w:ascii="Book Antiqua" w:hAnsi="Book Antiqua" w:cs="Book Antiqua"/>
          <w:color w:val="000000"/>
        </w:rPr>
        <w:t>:</w:t>
      </w:r>
      <w:r>
        <w:rPr>
          <w:rFonts w:ascii="Book Antiqua" w:eastAsia="Book Antiqua" w:hAnsi="Book Antiqua" w:cs="Book Antiqua"/>
          <w:color w:val="000000"/>
        </w:rPr>
        <w:t xml:space="preserve"> 0.83-0.95) and 0.76 (95%CI</w:t>
      </w:r>
      <w:r>
        <w:rPr>
          <w:rFonts w:ascii="Book Antiqua" w:hAnsi="Book Antiqua" w:cs="Book Antiqua"/>
          <w:color w:val="000000"/>
        </w:rPr>
        <w:t>:</w:t>
      </w:r>
      <w:r>
        <w:rPr>
          <w:rFonts w:ascii="Book Antiqua" w:eastAsia="Book Antiqua" w:hAnsi="Book Antiqua" w:cs="Book Antiqua"/>
          <w:color w:val="000000"/>
        </w:rPr>
        <w:t xml:space="preserve"> 0.67-0.84), respectively. To complete, they analyzed the pooled sensitivity and specificity for EUS-fine needle aspiration (FNA), which were 0.84 (95%CI</w:t>
      </w:r>
      <w:r>
        <w:rPr>
          <w:rFonts w:ascii="Book Antiqua" w:hAnsi="Book Antiqua" w:cs="Book Antiqua"/>
          <w:color w:val="000000"/>
        </w:rPr>
        <w:t>:</w:t>
      </w:r>
      <w:r>
        <w:rPr>
          <w:rFonts w:ascii="Book Antiqua" w:eastAsia="Book Antiqua" w:hAnsi="Book Antiqua" w:cs="Book Antiqua"/>
          <w:color w:val="000000"/>
        </w:rPr>
        <w:t xml:space="preserve"> 0.77-0.90) and 0.96 (95%CI</w:t>
      </w:r>
      <w:r>
        <w:rPr>
          <w:rFonts w:ascii="Book Antiqua" w:hAnsi="Book Antiqua" w:cs="Book Antiqua"/>
          <w:color w:val="000000"/>
        </w:rPr>
        <w:t>:</w:t>
      </w:r>
      <w:r>
        <w:rPr>
          <w:rFonts w:ascii="Book Antiqua" w:eastAsia="Book Antiqua" w:hAnsi="Book Antiqua" w:cs="Book Antiqua"/>
          <w:color w:val="000000"/>
        </w:rPr>
        <w:t xml:space="preserve"> 0.88-1.00), respectively</w:t>
      </w:r>
      <w:r>
        <w:rPr>
          <w:rFonts w:ascii="Book Antiqua" w:hAnsi="Book Antiqua" w:cs="Book Antiqua"/>
          <w:color w:val="000000"/>
          <w:vertAlign w:val="superscript"/>
        </w:rPr>
        <w:t>[</w:t>
      </w:r>
      <w:r>
        <w:rPr>
          <w:rFonts w:ascii="Book Antiqua" w:eastAsia="Book Antiqua" w:hAnsi="Book Antiqua" w:cs="Book Antiqua"/>
          <w:color w:val="000000"/>
          <w:vertAlign w:val="superscript"/>
        </w:rPr>
        <w:t>2</w:t>
      </w:r>
      <w:r>
        <w:rPr>
          <w:rFonts w:ascii="Book Antiqua" w:hAnsi="Book Antiqua" w:cs="Book Antiqua"/>
          <w:color w:val="000000"/>
          <w:vertAlign w:val="superscript"/>
        </w:rPr>
        <w:t>7]</w:t>
      </w:r>
      <w:r>
        <w:rPr>
          <w:rFonts w:ascii="Book Antiqua" w:eastAsia="Book Antiqua" w:hAnsi="Book Antiqua" w:cs="Book Antiqua"/>
          <w:color w:val="000000"/>
        </w:rPr>
        <w:t xml:space="preserve">. </w:t>
      </w:r>
    </w:p>
    <w:p w:rsidR="00735318" w:rsidRDefault="00735318">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Overall, data available in the scientific literature show that the sensitivity of elastography for the diagnosis of PC ranges between 92% to 98%. Despite this observation, the specificity is low, as it varies between 67% and 76%</w:t>
      </w:r>
      <w:r>
        <w:rPr>
          <w:rFonts w:ascii="Book Antiqua" w:hAnsi="Book Antiqua" w:cs="Book Antiqua"/>
          <w:color w:val="000000"/>
          <w:vertAlign w:val="superscript"/>
        </w:rPr>
        <w:t>[</w:t>
      </w:r>
      <w:r>
        <w:rPr>
          <w:rFonts w:ascii="Book Antiqua" w:eastAsia="Book Antiqua" w:hAnsi="Book Antiqua" w:cs="Book Antiqua"/>
          <w:color w:val="000000"/>
          <w:vertAlign w:val="superscript"/>
        </w:rPr>
        <w:t>2</w:t>
      </w:r>
      <w:r>
        <w:rPr>
          <w:rFonts w:ascii="Book Antiqua" w:hAnsi="Book Antiqua" w:cs="Book Antiqua"/>
          <w:color w:val="000000"/>
          <w:vertAlign w:val="superscript"/>
        </w:rPr>
        <w:t>5-27]</w:t>
      </w:r>
      <w:r>
        <w:rPr>
          <w:rFonts w:ascii="Book Antiqua" w:eastAsia="Book Antiqua" w:hAnsi="Book Antiqua" w:cs="Book Antiqua"/>
          <w:color w:val="000000"/>
        </w:rPr>
        <w:t>. Nevertheless, elastography combined with contrast EUS and FNA is likely to increase the diagnostic accuracy for PC detection</w:t>
      </w:r>
      <w:r>
        <w:rPr>
          <w:rFonts w:ascii="Book Antiqua" w:hAnsi="Book Antiqua" w:cs="Book Antiqua"/>
          <w:color w:val="000000"/>
          <w:vertAlign w:val="superscript"/>
        </w:rPr>
        <w:t>[</w:t>
      </w:r>
      <w:r>
        <w:rPr>
          <w:rFonts w:ascii="Book Antiqua" w:eastAsia="Book Antiqua" w:hAnsi="Book Antiqua" w:cs="Book Antiqua"/>
          <w:color w:val="000000"/>
          <w:vertAlign w:val="superscript"/>
        </w:rPr>
        <w:t>2</w:t>
      </w:r>
      <w:r>
        <w:rPr>
          <w:rFonts w:ascii="Book Antiqua" w:hAnsi="Book Antiqua" w:cs="Book Antiqua"/>
          <w:color w:val="000000"/>
          <w:vertAlign w:val="superscript"/>
        </w:rPr>
        <w:t>8]</w:t>
      </w:r>
      <w:r>
        <w:rPr>
          <w:rFonts w:ascii="Book Antiqua" w:eastAsia="Book Antiqua" w:hAnsi="Book Antiqua" w:cs="Book Antiqua"/>
          <w:color w:val="000000"/>
        </w:rPr>
        <w:t xml:space="preserve">. </w:t>
      </w:r>
    </w:p>
    <w:p w:rsidR="00735318" w:rsidRDefault="00735318">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Considering the epidemiological relevance of the pancreatic ductal adenocarcinoma (PDAC) among all the pancreatic lesions, the biggest diagnostic effort when facing a pancreatic mass is directed to exclude it</w:t>
      </w:r>
      <w:r>
        <w:rPr>
          <w:rFonts w:ascii="Book Antiqua" w:hAnsi="Book Antiqua" w:cs="Book Antiqua"/>
          <w:color w:val="000000"/>
        </w:rPr>
        <w:t xml:space="preserve"> (</w:t>
      </w:r>
      <w:r>
        <w:rPr>
          <w:rFonts w:ascii="Book Antiqua" w:eastAsia="Book Antiqua" w:hAnsi="Book Antiqua" w:cs="Book Antiqua"/>
          <w:bCs/>
          <w:color w:val="000000"/>
        </w:rPr>
        <w:t>Figure 4</w:t>
      </w:r>
      <w:r>
        <w:rPr>
          <w:rFonts w:ascii="Book Antiqua" w:hAnsi="Book Antiqua" w:cs="Book Antiqua"/>
          <w:bCs/>
          <w:color w:val="000000"/>
        </w:rPr>
        <w:t>)</w:t>
      </w:r>
      <w:r>
        <w:rPr>
          <w:rFonts w:ascii="Book Antiqua" w:eastAsia="Book Antiqua" w:hAnsi="Book Antiqua" w:cs="Book Antiqua"/>
          <w:bCs/>
          <w:color w:val="000000"/>
        </w:rPr>
        <w:t>.</w:t>
      </w:r>
      <w:r>
        <w:rPr>
          <w:rFonts w:ascii="Book Antiqua" w:hAnsi="Book Antiqua" w:cs="Book Antiqua"/>
          <w:color w:val="000000"/>
        </w:rPr>
        <w:t xml:space="preserve"> </w:t>
      </w:r>
      <w:r>
        <w:rPr>
          <w:rFonts w:ascii="Book Antiqua" w:eastAsia="Book Antiqua" w:hAnsi="Book Antiqua" w:cs="Book Antiqua"/>
          <w:color w:val="000000"/>
        </w:rPr>
        <w:t>The definition of elastography cut-offs to distinguish PDAC from other types of pancreatic tumors would be of extreme importance. Nevertheless, no definitive cut-offs are available, even if some studies tried to compare different types of pancreatic lesions.</w:t>
      </w:r>
    </w:p>
    <w:p w:rsidR="00735318" w:rsidRDefault="00735318">
      <w:pPr>
        <w:spacing w:line="360" w:lineRule="auto"/>
        <w:ind w:firstLine="480"/>
        <w:jc w:val="both"/>
        <w:rPr>
          <w:rFonts w:ascii="Book Antiqua" w:hAnsi="Book Antiqua" w:cs="Book Antiqua"/>
        </w:rPr>
      </w:pPr>
      <w:r>
        <w:rPr>
          <w:rFonts w:ascii="Book Antiqua" w:eastAsia="Book Antiqua" w:hAnsi="Book Antiqua" w:cs="Book Antiqua"/>
          <w:color w:val="000000"/>
        </w:rPr>
        <w:t>A study included different types of pancreatic solid lesions: 49 PDAC, 27 inflammatory masses, 6 pancreatic neuroendocrine neoplasms, two metastatic cell lung cancers, one pancreatic lymphoma, and one pancreatic solid pseudopapillary tumor. The authors compared these lesions with 20 controls. The mean SRs were: 1.68 (95%CI: 1.59–1.78) for normal pancreatic tissue, 3.28 for inflammatory masses, and 18.12 for pancreatic adenocarcinoma. Interestingly, the highest mean SR was found among neuroendocrine malignant tumors (52.34)</w:t>
      </w:r>
      <w:r>
        <w:rPr>
          <w:rFonts w:ascii="Book Antiqua" w:hAnsi="Book Antiqua" w:cs="Book Antiqua"/>
          <w:color w:val="000000"/>
          <w:vertAlign w:val="superscript"/>
        </w:rPr>
        <w:t>[</w:t>
      </w:r>
      <w:r>
        <w:rPr>
          <w:rFonts w:ascii="Book Antiqua" w:eastAsia="Book Antiqua" w:hAnsi="Book Antiqua" w:cs="Book Antiqua"/>
          <w:color w:val="000000"/>
          <w:vertAlign w:val="superscript"/>
        </w:rPr>
        <w:t>2</w:t>
      </w:r>
      <w:r>
        <w:rPr>
          <w:rFonts w:ascii="Book Antiqua" w:hAnsi="Book Antiqua" w:cs="Book Antiqua"/>
          <w:color w:val="000000"/>
          <w:vertAlign w:val="superscript"/>
        </w:rPr>
        <w:t>9]</w:t>
      </w:r>
      <w:r>
        <w:rPr>
          <w:rFonts w:ascii="Book Antiqua" w:eastAsia="Book Antiqua" w:hAnsi="Book Antiqua" w:cs="Book Antiqua"/>
          <w:color w:val="000000"/>
        </w:rPr>
        <w:t>. Conversely, in a group of 218 patients with small lesions (23% PDAC, 52% neuroendocrine malignant tumors, 8% metastases, 17% other entities; 66% benign lesions), the high stiffness of the lesion for the diagnosis of malignancy had a sensitivity of 84% (95%CI</w:t>
      </w:r>
      <w:r>
        <w:rPr>
          <w:rFonts w:ascii="Book Antiqua" w:hAnsi="Book Antiqua" w:cs="Book Antiqua"/>
          <w:color w:val="000000"/>
        </w:rPr>
        <w:t>:</w:t>
      </w:r>
      <w:r>
        <w:rPr>
          <w:rFonts w:ascii="Book Antiqua" w:eastAsia="Book Antiqua" w:hAnsi="Book Antiqua" w:cs="Book Antiqua"/>
          <w:color w:val="000000"/>
        </w:rPr>
        <w:t xml:space="preserve"> 73%-91%), a specificity of 67% (58%-74%), positive predictive value of 56% (50%-62%), and negative predictive value of 89% (83%-93%). For the diagnosis of PDAC, the sensitivity, specificity, positive predictive value, and negative predictive value were 96% (87%-100%), 64% (56%-71%), 45% (40%-50%), and 98% (93%-100%), respectively. In a group of neuroendocrine neoplasms, 64% had a soft pattern on elastography</w:t>
      </w:r>
      <w:r>
        <w:rPr>
          <w:rFonts w:ascii="Book Antiqua" w:hAnsi="Book Antiqua" w:cs="Book Antiqua"/>
          <w:color w:val="000000"/>
          <w:vertAlign w:val="superscript"/>
        </w:rPr>
        <w:t>[30]</w:t>
      </w:r>
      <w:r>
        <w:rPr>
          <w:rFonts w:ascii="Book Antiqua" w:eastAsia="Book Antiqua" w:hAnsi="Book Antiqua" w:cs="Book Antiqua"/>
          <w:color w:val="000000"/>
        </w:rPr>
        <w:t>.</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hAnsi="Book Antiqua" w:cs="Book Antiqua"/>
        </w:rPr>
      </w:pPr>
      <w:r>
        <w:rPr>
          <w:rFonts w:ascii="Book Antiqua" w:eastAsia="Book Antiqua" w:hAnsi="Book Antiqua" w:cs="Book Antiqua"/>
          <w:b/>
          <w:bCs/>
          <w:iCs/>
          <w:color w:val="000000"/>
        </w:rPr>
        <w:t>Targeted biopsy:</w:t>
      </w:r>
      <w:r>
        <w:rPr>
          <w:rFonts w:ascii="Book Antiqua" w:hAnsi="Book Antiqua" w:cs="Book Antiqua"/>
        </w:rPr>
        <w:t xml:space="preserve"> </w:t>
      </w:r>
      <w:r>
        <w:rPr>
          <w:rFonts w:ascii="Book Antiqua" w:eastAsia="Book Antiqua" w:hAnsi="Book Antiqua" w:cs="Book Antiqua"/>
          <w:color w:val="000000"/>
        </w:rPr>
        <w:t>Another role of EUS elastography can be the detection of pancreatic areas of increased stiffness within a focal lesion to better target the needle during EUS-FNA or fine needle biopsy. To achieve this aim, the application of qualitative elastography can be considered. Indeed, it allows the clinician to examine the lesion, giving the possibility to the operator to perform the needle insertion in the most suitable region, which usually is the hardest part (the softer is often necrotic tissue)</w:t>
      </w:r>
      <w:r>
        <w:rPr>
          <w:rFonts w:ascii="Book Antiqua" w:hAnsi="Book Antiqua" w:cs="Book Antiqua"/>
          <w:color w:val="000000"/>
          <w:vertAlign w:val="superscript"/>
        </w:rPr>
        <w:t>[31]</w:t>
      </w:r>
      <w:r>
        <w:rPr>
          <w:rFonts w:ascii="Book Antiqua" w:eastAsia="Book Antiqua" w:hAnsi="Book Antiqua" w:cs="Book Antiqua"/>
          <w:color w:val="000000"/>
        </w:rPr>
        <w:t>. Overall, the diagnostic accuracy of EUS-elastography guided FNA is good, with diagnostic accuracy, sensitivity, and specificity for the diagnosis of malignancy of 94%, 93%, and 100%, respectively</w:t>
      </w:r>
      <w:r>
        <w:rPr>
          <w:rFonts w:ascii="Book Antiqua" w:hAnsi="Book Antiqua" w:cs="Book Antiqua"/>
          <w:color w:val="000000"/>
          <w:vertAlign w:val="superscript"/>
        </w:rPr>
        <w:t>[32]</w:t>
      </w:r>
      <w:r>
        <w:rPr>
          <w:rFonts w:ascii="Book Antiqua" w:eastAsia="Book Antiqua" w:hAnsi="Book Antiqua" w:cs="Book Antiqua"/>
          <w:color w:val="000000"/>
        </w:rPr>
        <w:t>. No large studies that compare EUS-FNA/fine needle biopsy with and without elastography guide are available. Thus, this use of elastography remains possible but not mandatory.</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b/>
          <w:caps/>
          <w:color w:val="000000"/>
          <w:u w:val="single"/>
        </w:rPr>
        <w:t>CONCLUSION</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EUS elastography is a technically simple, widely available, risk-free, and cheap exam. Thus, its use should be implemented and encouraged. Among its possible roles, EUS elastography helps the clinicians to add some information to the EUS study of pancreatic diseases, either benign or malignant. Elastography should therefore be considered a complementary tool to B-mode imaging. Notwithstanding its potential, clinicians must be aware that the current application of elastography still has little information</w:t>
      </w:r>
      <w:r>
        <w:rPr>
          <w:rFonts w:ascii="Book Antiqua" w:eastAsia="Book Antiqua" w:hAnsi="Book Antiqua" w:cs="Book Antiqua"/>
          <w:color w:val="000000"/>
          <w:vertAlign w:val="superscript"/>
        </w:rPr>
        <w:t>[13-16]</w:t>
      </w:r>
      <w:r>
        <w:rPr>
          <w:rFonts w:ascii="Book Antiqua" w:eastAsia="Book Antiqua" w:hAnsi="Book Antiqua" w:cs="Book Antiqua"/>
          <w:color w:val="000000"/>
        </w:rPr>
        <w:t>, in particular for concerns of pancreatic diffuse benign diseases</w:t>
      </w:r>
      <w:r>
        <w:rPr>
          <w:rFonts w:ascii="Book Antiqua" w:hAnsi="Book Antiqua" w:cs="Book Antiqua"/>
          <w:color w:val="000000"/>
          <w:vertAlign w:val="superscript"/>
        </w:rPr>
        <w:t>[</w:t>
      </w:r>
      <w:r>
        <w:rPr>
          <w:rFonts w:ascii="Book Antiqua" w:eastAsia="Book Antiqua" w:hAnsi="Book Antiqua" w:cs="Book Antiqua"/>
          <w:color w:val="000000"/>
          <w:vertAlign w:val="superscript"/>
        </w:rPr>
        <w:t>11,15–18</w:t>
      </w:r>
      <w:r>
        <w:rPr>
          <w:rFonts w:ascii="Book Antiqua" w:hAnsi="Book Antiqua" w:cs="Book Antiqua"/>
          <w:color w:val="000000"/>
          <w:vertAlign w:val="superscript"/>
        </w:rPr>
        <w:t>]</w:t>
      </w:r>
      <w:r>
        <w:rPr>
          <w:rFonts w:ascii="Book Antiqua" w:eastAsia="Book Antiqua" w:hAnsi="Book Antiqua" w:cs="Book Antiqua"/>
          <w:color w:val="000000"/>
        </w:rPr>
        <w:t>. A potential application of this technique would be the ability to non-invasively stratify patients according to different risk categories for developing PC, similarly to the application of elastography in liver diseases</w:t>
      </w:r>
      <w:r>
        <w:rPr>
          <w:rFonts w:ascii="Book Antiqua" w:hAnsi="Book Antiqua" w:cs="Book Antiqua"/>
          <w:color w:val="000000"/>
          <w:vertAlign w:val="superscript"/>
        </w:rPr>
        <w:t>[31]</w:t>
      </w:r>
      <w:r>
        <w:rPr>
          <w:rFonts w:ascii="Book Antiqua" w:eastAsia="Book Antiqua" w:hAnsi="Book Antiqua" w:cs="Book Antiqua"/>
          <w:color w:val="000000"/>
        </w:rPr>
        <w:t>. However, so far, no definitive cut-offs have been recognized for the recognition of benign diseases through elastography. One of the main limitations to standardize the PS application is the lack of corresponding histologic samples as a reference standard, both from the healthy pancreas and pancreatic diseases. This happens because performing a pancreatic biopsy in cases of benign conditions would be unethical and risky.</w:t>
      </w:r>
    </w:p>
    <w:p w:rsidR="00735318" w:rsidRDefault="00735318">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Conversely, the use of elastography in the study of solid pancreatic lesions seems to be more informative</w:t>
      </w:r>
      <w:r>
        <w:rPr>
          <w:rFonts w:ascii="Book Antiqua" w:hAnsi="Book Antiqua" w:cs="Book Antiqua"/>
          <w:color w:val="000000"/>
          <w:vertAlign w:val="superscript"/>
        </w:rPr>
        <w:t>[</w:t>
      </w:r>
      <w:r>
        <w:rPr>
          <w:rFonts w:ascii="Book Antiqua" w:eastAsia="Book Antiqua" w:hAnsi="Book Antiqua" w:cs="Book Antiqua"/>
          <w:color w:val="000000"/>
          <w:vertAlign w:val="superscript"/>
        </w:rPr>
        <w:t>2</w:t>
      </w:r>
      <w:r>
        <w:rPr>
          <w:rFonts w:ascii="Book Antiqua" w:hAnsi="Book Antiqua" w:cs="Book Antiqua"/>
          <w:color w:val="000000"/>
          <w:vertAlign w:val="superscript"/>
        </w:rPr>
        <w:t>5-29]</w:t>
      </w:r>
      <w:r>
        <w:rPr>
          <w:rFonts w:ascii="Book Antiqua" w:eastAsia="Book Antiqua" w:hAnsi="Book Antiqua" w:cs="Book Antiqua"/>
          <w:color w:val="000000"/>
        </w:rPr>
        <w:t>, thanks to its high negative predictive value for the diagnosis of PC</w:t>
      </w:r>
      <w:r>
        <w:rPr>
          <w:rFonts w:ascii="Book Antiqua" w:hAnsi="Book Antiqua" w:cs="Book Antiqua"/>
          <w:color w:val="000000"/>
          <w:vertAlign w:val="superscript"/>
        </w:rPr>
        <w:t>[</w:t>
      </w:r>
      <w:r>
        <w:rPr>
          <w:rFonts w:ascii="Book Antiqua" w:eastAsia="Book Antiqua" w:hAnsi="Book Antiqua" w:cs="Book Antiqua"/>
          <w:color w:val="000000"/>
          <w:vertAlign w:val="superscript"/>
        </w:rPr>
        <w:t>2</w:t>
      </w:r>
      <w:r>
        <w:rPr>
          <w:rFonts w:ascii="Book Antiqua" w:hAnsi="Book Antiqua" w:cs="Book Antiqua"/>
          <w:color w:val="000000"/>
          <w:vertAlign w:val="superscript"/>
        </w:rPr>
        <w:t>2-25]</w:t>
      </w:r>
      <w:r>
        <w:rPr>
          <w:rFonts w:ascii="Book Antiqua" w:eastAsia="Book Antiqua" w:hAnsi="Book Antiqua" w:cs="Book Antiqua"/>
          <w:color w:val="000000"/>
        </w:rPr>
        <w:t>. In particular, soft focal solid pancreatic lesions are rarely PDACs, whereas stiff lesions might be malignant or benign</w:t>
      </w:r>
      <w:r>
        <w:rPr>
          <w:rFonts w:ascii="Book Antiqua" w:hAnsi="Book Antiqua" w:cs="Book Antiqua"/>
          <w:color w:val="000000"/>
          <w:vertAlign w:val="superscript"/>
        </w:rPr>
        <w:t>[30]</w:t>
      </w:r>
      <w:r>
        <w:rPr>
          <w:rFonts w:ascii="Book Antiqua" w:eastAsia="Book Antiqua" w:hAnsi="Book Antiqua" w:cs="Book Antiqua"/>
          <w:color w:val="000000"/>
        </w:rPr>
        <w:t>.</w:t>
      </w:r>
    </w:p>
    <w:p w:rsidR="00735318" w:rsidRDefault="00735318">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This makes elastography a fair test to exclude the presence of cancer. Moreover, the combination of elastography with FNA and contrast enhanced EUS could improve the accuracy of the diagnosis, even if no definitive data are available</w:t>
      </w:r>
      <w:r>
        <w:rPr>
          <w:rFonts w:ascii="Book Antiqua" w:hAnsi="Book Antiqua" w:cs="Book Antiqua"/>
          <w:color w:val="000000"/>
          <w:vertAlign w:val="superscript"/>
        </w:rPr>
        <w:t>[32]</w:t>
      </w:r>
      <w:r>
        <w:rPr>
          <w:rFonts w:ascii="Book Antiqua" w:eastAsia="Book Antiqua" w:hAnsi="Book Antiqua" w:cs="Book Antiqua"/>
          <w:color w:val="000000"/>
        </w:rPr>
        <w:t>.</w:t>
      </w:r>
    </w:p>
    <w:p w:rsidR="00735318" w:rsidRDefault="00735318">
      <w:pPr>
        <w:spacing w:line="360" w:lineRule="auto"/>
        <w:ind w:firstLine="480"/>
        <w:jc w:val="both"/>
        <w:rPr>
          <w:rFonts w:ascii="Book Antiqua" w:hAnsi="Book Antiqua" w:cs="Book Antiqua"/>
        </w:rPr>
      </w:pPr>
      <w:r>
        <w:rPr>
          <w:rFonts w:ascii="Book Antiqua" w:eastAsia="Book Antiqua" w:hAnsi="Book Antiqua" w:cs="Book Antiqua"/>
          <w:color w:val="000000"/>
        </w:rPr>
        <w:t xml:space="preserve">Nevertheless, it should also be highlighted that elastography cannot be considered mandatory during EUS examination of the pancreas, and there are no data supporting a higher diagnostic accuracy for the endosonographers that routinely use elastography </w:t>
      </w:r>
      <w:r>
        <w:rPr>
          <w:rFonts w:ascii="Book Antiqua" w:eastAsia="Book Antiqua" w:hAnsi="Book Antiqua" w:cs="Book Antiqua"/>
          <w:i/>
          <w:iCs/>
          <w:color w:val="000000"/>
        </w:rPr>
        <w:t>vs</w:t>
      </w:r>
      <w:r>
        <w:rPr>
          <w:rFonts w:ascii="Book Antiqua" w:hAnsi="Book Antiqua" w:cs="Book Antiqua"/>
          <w:color w:val="000000"/>
        </w:rPr>
        <w:t xml:space="preserve"> </w:t>
      </w:r>
      <w:r>
        <w:rPr>
          <w:rFonts w:ascii="Book Antiqua" w:eastAsia="Book Antiqua" w:hAnsi="Book Antiqua" w:cs="Book Antiqua"/>
          <w:color w:val="000000"/>
        </w:rPr>
        <w:t>who do not use this method. This latter consideration is mainly supported by the low reproducibility of pancreatic elastography, especially for the qualitative methods</w:t>
      </w:r>
      <w:r>
        <w:rPr>
          <w:rFonts w:ascii="Book Antiqua" w:hAnsi="Book Antiqua" w:cs="Book Antiqua"/>
          <w:color w:val="000000"/>
          <w:vertAlign w:val="superscript"/>
        </w:rPr>
        <w:t>[</w:t>
      </w:r>
      <w:r>
        <w:rPr>
          <w:rFonts w:ascii="Book Antiqua" w:eastAsia="Book Antiqua" w:hAnsi="Book Antiqua" w:cs="Book Antiqua"/>
          <w:color w:val="000000"/>
          <w:vertAlign w:val="superscript"/>
        </w:rPr>
        <w:t>2</w:t>
      </w:r>
      <w:r>
        <w:rPr>
          <w:rFonts w:ascii="Book Antiqua" w:hAnsi="Book Antiqua" w:cs="Book Antiqua"/>
          <w:color w:val="000000"/>
          <w:vertAlign w:val="superscript"/>
        </w:rPr>
        <w:t>5-28]</w:t>
      </w:r>
      <w:r>
        <w:rPr>
          <w:rFonts w:ascii="Book Antiqua" w:eastAsia="Book Antiqua" w:hAnsi="Book Antiqua" w:cs="Book Antiqua"/>
          <w:color w:val="000000"/>
        </w:rPr>
        <w:t>. One of the major limitations in the use of elastography is the lack of a standardization of the technique. Moreover, the large use of EUS-FNA/fine needle biopsy has increased the accuracy of the diagnosis of PC, and in the case of inadequate sampling or negative cytology/histology, elastography does not have any key role</w:t>
      </w:r>
      <w:r>
        <w:rPr>
          <w:rFonts w:ascii="Book Antiqua" w:hAnsi="Book Antiqua" w:cs="Book Antiqua"/>
          <w:color w:val="000000"/>
          <w:vertAlign w:val="superscript"/>
        </w:rPr>
        <w:t>[33]</w:t>
      </w:r>
      <w:r>
        <w:rPr>
          <w:rFonts w:ascii="Book Antiqua" w:eastAsia="Book Antiqua" w:hAnsi="Book Antiqua" w:cs="Book Antiqua"/>
          <w:color w:val="000000"/>
        </w:rPr>
        <w:t>.</w:t>
      </w:r>
      <w:r>
        <w:rPr>
          <w:rFonts w:ascii="Book Antiqua" w:hAnsi="Book Antiqua" w:cs="Book Antiqua"/>
          <w:color w:val="000000"/>
        </w:rPr>
        <w:t xml:space="preserve"> </w:t>
      </w:r>
      <w:r>
        <w:rPr>
          <w:rFonts w:ascii="Book Antiqua" w:eastAsia="Book Antiqua" w:hAnsi="Book Antiqua" w:cs="Book Antiqua"/>
          <w:color w:val="000000"/>
        </w:rPr>
        <w:t xml:space="preserve">Summarizing, EUS-related elastography is a tool that should be considered to obtain a complementary evaluation of pancreatic diseases, together with the other imaging tests and clinical data. Elastography can be informative, especially when studying pancreatic masses and help the clinician in the diagnosis. However, further studies are necessary to first standardize the method, increase the reproducibility and establish definitive cut-offs to distinguish between benign and malignant pancreatic lesions. </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REFERENCES</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 </w:t>
      </w:r>
      <w:r>
        <w:rPr>
          <w:rFonts w:ascii="Book Antiqua" w:eastAsia="Book Antiqua" w:hAnsi="Book Antiqua" w:cs="Book Antiqua"/>
          <w:b/>
          <w:bCs/>
          <w:color w:val="000000"/>
        </w:rPr>
        <w:t>Tolunay HE</w:t>
      </w:r>
      <w:r>
        <w:rPr>
          <w:rFonts w:ascii="Book Antiqua" w:eastAsia="Book Antiqua" w:hAnsi="Book Antiqua" w:cs="Book Antiqua"/>
          <w:color w:val="000000"/>
        </w:rPr>
        <w:t xml:space="preserve">, Eroğlu H, Çelik ÖY, Arat Ö, Obut M, Varlı EN, Şahin D, Yücel A. Can placental elasticity predict the time of delivery in cases of threatened preterm labor? </w:t>
      </w:r>
      <w:r>
        <w:rPr>
          <w:rFonts w:ascii="Book Antiqua" w:eastAsia="Book Antiqua" w:hAnsi="Book Antiqua" w:cs="Book Antiqua"/>
          <w:i/>
          <w:iCs/>
          <w:color w:val="000000"/>
        </w:rPr>
        <w:t>J Obstet Gynaecol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47</w:t>
      </w:r>
      <w:r>
        <w:rPr>
          <w:rFonts w:ascii="Book Antiqua" w:eastAsia="Book Antiqua" w:hAnsi="Book Antiqua" w:cs="Book Antiqua"/>
          <w:color w:val="000000"/>
        </w:rPr>
        <w:t>: 606-612 [PMID: 33200568 DOI: 10.1111/jog.14570]</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Pr>
          <w:rFonts w:ascii="Book Antiqua" w:eastAsia="Book Antiqua" w:hAnsi="Book Antiqua" w:cs="Book Antiqua"/>
          <w:b/>
          <w:bCs/>
          <w:color w:val="000000"/>
        </w:rPr>
        <w:t>Tolunay HE</w:t>
      </w:r>
      <w:r>
        <w:rPr>
          <w:rFonts w:ascii="Book Antiqua" w:eastAsia="Book Antiqua" w:hAnsi="Book Antiqua" w:cs="Book Antiqua"/>
          <w:color w:val="000000"/>
        </w:rPr>
        <w:t xml:space="preserve">, Eroğlu H, Kaya O, Şahin D, Yücel A. The effect of placental elasticity on intraoperative bleeding in pregnant women with previous cesarean section. </w:t>
      </w:r>
      <w:r>
        <w:rPr>
          <w:rFonts w:ascii="Book Antiqua" w:eastAsia="Book Antiqua" w:hAnsi="Book Antiqua" w:cs="Book Antiqua"/>
          <w:i/>
          <w:iCs/>
          <w:color w:val="000000"/>
        </w:rPr>
        <w:t>J Perinat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217-221 [PMID: 32045355 DOI: 10.1515/jpm-2019-0448]</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Dietrich CF</w:t>
      </w:r>
      <w:r>
        <w:rPr>
          <w:rFonts w:ascii="Book Antiqua" w:eastAsia="Book Antiqua" w:hAnsi="Book Antiqua" w:cs="Book Antiqua"/>
          <w:color w:val="000000"/>
        </w:rPr>
        <w:t xml:space="preserve">, Hocke M. Elastography of the Pancreas, Current View. </w:t>
      </w:r>
      <w:r>
        <w:rPr>
          <w:rFonts w:ascii="Book Antiqua" w:eastAsia="Book Antiqua" w:hAnsi="Book Antiqua" w:cs="Book Antiqua"/>
          <w:i/>
          <w:iCs/>
          <w:color w:val="000000"/>
        </w:rPr>
        <w:t>Clin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52</w:t>
      </w:r>
      <w:r>
        <w:rPr>
          <w:rFonts w:ascii="Book Antiqua" w:eastAsia="Book Antiqua" w:hAnsi="Book Antiqua" w:cs="Book Antiqua"/>
          <w:color w:val="000000"/>
        </w:rPr>
        <w:t>: 533-540 [PMID: 31311914 DOI: 10.5946/ce.2018.156]</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r>
        <w:rPr>
          <w:rFonts w:ascii="Book Antiqua" w:eastAsia="Book Antiqua" w:hAnsi="Book Antiqua" w:cs="Book Antiqua"/>
          <w:b/>
          <w:bCs/>
          <w:color w:val="000000"/>
        </w:rPr>
        <w:t>Dietrich CF</w:t>
      </w:r>
      <w:r>
        <w:rPr>
          <w:rFonts w:ascii="Book Antiqua" w:eastAsia="Book Antiqua" w:hAnsi="Book Antiqua" w:cs="Book Antiqua"/>
          <w:color w:val="000000"/>
        </w:rPr>
        <w:t xml:space="preserve">, Burmeister S, Hollerbach S, Arcidiacono PG, Braden B, Fusaroli P, Hocke M, Iglesias-Garcia J, Kitano M, Larghi A, Napoleon B, Oppong KW, Rimbas M, Saftoiu A, Sahai AV, Sun S, Dong Y, Carrara S, Hwang JH, Jenssen C. Do we need elastography for EUS?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284-290 [PMID: 32675464 DOI: 10.4103/eus.eus_25_20]</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r>
        <w:rPr>
          <w:rFonts w:ascii="Book Antiqua" w:eastAsia="Book Antiqua" w:hAnsi="Book Antiqua" w:cs="Book Antiqua"/>
          <w:b/>
          <w:bCs/>
          <w:color w:val="000000"/>
        </w:rPr>
        <w:t>Yamashita Y</w:t>
      </w:r>
      <w:r>
        <w:rPr>
          <w:rFonts w:ascii="Book Antiqua" w:eastAsia="Book Antiqua" w:hAnsi="Book Antiqua" w:cs="Book Antiqua"/>
          <w:color w:val="000000"/>
        </w:rPr>
        <w:t xml:space="preserve">, Tanioka K, Kawaji Y, Tamura T, Nuta J, Hatamaru K, Itonaga M, Yoshida T, Ida Y, Maekita T, Iguchi M, Kitano M. Utility of Elastography with Endoscopic Ultrasonography Shear-Wave Measurement for Diagnosing Chronic Pancreatitis.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659-664 [PMID: 31722469 DOI: 10.5009/gnl19170]</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r>
        <w:rPr>
          <w:rFonts w:ascii="Book Antiqua" w:eastAsia="Book Antiqua" w:hAnsi="Book Antiqua" w:cs="Book Antiqua"/>
          <w:b/>
          <w:bCs/>
          <w:color w:val="000000"/>
        </w:rPr>
        <w:t>Costache MI</w:t>
      </w:r>
      <w:r>
        <w:rPr>
          <w:rFonts w:ascii="Book Antiqua" w:eastAsia="Book Antiqua" w:hAnsi="Book Antiqua" w:cs="Book Antiqua"/>
          <w:color w:val="000000"/>
        </w:rPr>
        <w:t xml:space="preserve">, Cazacu IM, Dietrich CF, Petrone MC, Arcidiacono PG, Giovannini M, Bories E, Garcia JI, Siyu S, Santo E, Popescu CF, Constantin A, Bhutani MS, Saftoiu A. Clinical impact of strain histogram EUS elastography and contrast-enhanced EUS for the differential diagnosis of focal pancreatic masses: A prospective multicentric study.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116-121 [PMID: 32295969 DOI: 10.4103/eus.eus_69_19]</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w:t>
      </w:r>
      <w:r>
        <w:rPr>
          <w:rFonts w:ascii="Book Antiqua" w:eastAsia="Book Antiqua" w:hAnsi="Book Antiqua" w:cs="Book Antiqua"/>
          <w:b/>
          <w:bCs/>
          <w:color w:val="000000"/>
        </w:rPr>
        <w:t>Dietrich CF</w:t>
      </w:r>
      <w:r>
        <w:rPr>
          <w:rFonts w:ascii="Book Antiqua" w:eastAsia="Book Antiqua" w:hAnsi="Book Antiqua" w:cs="Book Antiqua"/>
          <w:color w:val="000000"/>
        </w:rPr>
        <w:t xml:space="preserve">, Barr RG, Farrokh A, Dighe M, Hocke M, Jenssen C, Dong Y, Saftoiu A, Havre RF. Strain Elastography - How To Do It? </w:t>
      </w:r>
      <w:r>
        <w:rPr>
          <w:rFonts w:ascii="Book Antiqua" w:eastAsia="Book Antiqua" w:hAnsi="Book Antiqua" w:cs="Book Antiqua"/>
          <w:i/>
          <w:iCs/>
          <w:color w:val="000000"/>
        </w:rPr>
        <w:t>Ultrasound Int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E137-E149 [PMID: 29226273 DOI: 10.1055/s-0043-119412]</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r>
        <w:rPr>
          <w:rFonts w:ascii="Book Antiqua" w:eastAsia="Book Antiqua" w:hAnsi="Book Antiqua" w:cs="Book Antiqua"/>
          <w:b/>
          <w:bCs/>
          <w:color w:val="000000"/>
        </w:rPr>
        <w:t>Conti CB</w:t>
      </w:r>
      <w:r>
        <w:rPr>
          <w:rFonts w:ascii="Book Antiqua" w:eastAsia="Book Antiqua" w:hAnsi="Book Antiqua" w:cs="Book Antiqua"/>
          <w:color w:val="000000"/>
        </w:rPr>
        <w:t xml:space="preserve">, Weiler N, Casazza G, Schrecker C, Schneider M, Mücke MM, Queck A, Herrmann E, Conte D, Colombo M, Zeuzem S, Fraquelli M, Friedrich-Rust M. Feasibility and reproducibility of liver and pancreatic stiffness in patients with alcohol-related liver disease.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1023-1029 [PMID: 30658941 DOI: 10.1016/j.dld.2018.12.017]</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 </w:t>
      </w:r>
      <w:r>
        <w:rPr>
          <w:rFonts w:ascii="Book Antiqua" w:eastAsia="Book Antiqua" w:hAnsi="Book Antiqua" w:cs="Book Antiqua"/>
          <w:b/>
          <w:bCs/>
          <w:color w:val="000000"/>
        </w:rPr>
        <w:t>Kawada N</w:t>
      </w:r>
      <w:r>
        <w:rPr>
          <w:rFonts w:ascii="Book Antiqua" w:eastAsia="Book Antiqua" w:hAnsi="Book Antiqua" w:cs="Book Antiqua"/>
          <w:color w:val="000000"/>
        </w:rPr>
        <w:t xml:space="preserve">, Tanaka S, Uehara H, Ohkawa K, Yamai T, Takada R, Shiroeda H, Arisawa T, Tomita Y. Potential use of point shear wave elastography for the pancreas: a single center prospective study.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83</w:t>
      </w:r>
      <w:r>
        <w:rPr>
          <w:rFonts w:ascii="Book Antiqua" w:eastAsia="Book Antiqua" w:hAnsi="Book Antiqua" w:cs="Book Antiqua"/>
          <w:color w:val="000000"/>
        </w:rPr>
        <w:t>: 620-624 [PMID: 24445135 DOI: 10.1016/j.ejrad.2013.11.029]</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 </w:t>
      </w:r>
      <w:r>
        <w:rPr>
          <w:rFonts w:ascii="Book Antiqua" w:eastAsia="Book Antiqua" w:hAnsi="Book Antiqua" w:cs="Book Antiqua"/>
          <w:b/>
          <w:bCs/>
          <w:color w:val="000000"/>
        </w:rPr>
        <w:t>Ferraioli G</w:t>
      </w:r>
      <w:r>
        <w:rPr>
          <w:rFonts w:ascii="Book Antiqua" w:eastAsia="Book Antiqua" w:hAnsi="Book Antiqua" w:cs="Book Antiqua"/>
          <w:color w:val="000000"/>
        </w:rPr>
        <w:t xml:space="preserve">, Wong VW, Castera L, Berzigotti A, Sporea I, Dietrich CF, Choi BI, Wilson SR, Kudo M, Barr RG. Liver Ultrasound Elastography: An Update to the World Federation for Ultrasound in Medicine and Biology Guidelines and Recommendations.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2419-2440 [PMID: 30209008 DOI: 10.1016/j.ultrasmedbio.2018.07.008]</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11 </w:t>
      </w:r>
      <w:r>
        <w:rPr>
          <w:rFonts w:ascii="Book Antiqua" w:eastAsia="Book Antiqua" w:hAnsi="Book Antiqua" w:cs="Book Antiqua"/>
          <w:b/>
          <w:bCs/>
          <w:color w:val="000000"/>
        </w:rPr>
        <w:t>Janssen J</w:t>
      </w:r>
      <w:r>
        <w:rPr>
          <w:rFonts w:ascii="Book Antiqua" w:eastAsia="Book Antiqua" w:hAnsi="Book Antiqua" w:cs="Book Antiqua"/>
          <w:color w:val="000000"/>
        </w:rPr>
        <w:t xml:space="preserve">, Schlörer E, Greiner L. EUS elastography of the pancreas: feasibility and pattern description of the normal pancreas, chronic pancreatitis, and focal pancreatic lesions.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2007; </w:t>
      </w:r>
      <w:r>
        <w:rPr>
          <w:rFonts w:ascii="Book Antiqua" w:eastAsia="Book Antiqua" w:hAnsi="Book Antiqua" w:cs="Book Antiqua"/>
          <w:b/>
          <w:bCs/>
          <w:color w:val="000000"/>
        </w:rPr>
        <w:t>65</w:t>
      </w:r>
      <w:r>
        <w:rPr>
          <w:rFonts w:ascii="Book Antiqua" w:eastAsia="Book Antiqua" w:hAnsi="Book Antiqua" w:cs="Book Antiqua"/>
          <w:color w:val="000000"/>
        </w:rPr>
        <w:t>: 971-978 [PMID: 17531630 DOI: 10.1016/j.gie.2006.12.057]</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12 </w:t>
      </w:r>
      <w:r>
        <w:rPr>
          <w:rFonts w:ascii="Book Antiqua" w:eastAsia="Book Antiqua" w:hAnsi="Book Antiqua" w:cs="Book Antiqua"/>
          <w:b/>
          <w:bCs/>
          <w:color w:val="000000"/>
        </w:rPr>
        <w:t>Mel Wilcox C</w:t>
      </w:r>
      <w:r>
        <w:rPr>
          <w:rFonts w:ascii="Book Antiqua" w:eastAsia="Book Antiqua" w:hAnsi="Book Antiqua" w:cs="Book Antiqua"/>
          <w:color w:val="000000"/>
        </w:rPr>
        <w:t xml:space="preserve">, Gress T, Boermeester M, Masamune A, Lévy P, Itoi T, Varadarajulu S, Irisawa A, Levy M, Kitano M, Garg P, Isaji S, Shimosegawa T, Sheel ARG, Whitcomb DC, Neoptolemos JP; International (IAP-APA-JPS-EPC) Consensus Guidelines for Chronic Pancreatitis. International consensus guidelines on the role of diagnostic endoscopic ultrasound in the management of chronic pancreatitis. Recommendations from the working group for the international consensus guidelines for chronic pancreatitis in collaboration with the International Association of Pancreatology, the American Pancreatic Association, the Japan Pancreas Society, and European Pancreatic Club.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822-827 [PMID: 32631791 DOI: 10.1016/j.pan.2020.05.025]</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13 </w:t>
      </w:r>
      <w:r>
        <w:rPr>
          <w:rFonts w:ascii="Book Antiqua" w:eastAsia="Book Antiqua" w:hAnsi="Book Antiqua" w:cs="Book Antiqua"/>
          <w:b/>
          <w:bCs/>
          <w:color w:val="000000"/>
        </w:rPr>
        <w:t>Kuwahara T</w:t>
      </w:r>
      <w:r>
        <w:rPr>
          <w:rFonts w:ascii="Book Antiqua" w:eastAsia="Book Antiqua" w:hAnsi="Book Antiqua" w:cs="Book Antiqua"/>
          <w:color w:val="000000"/>
        </w:rPr>
        <w:t xml:space="preserve">, Hirooka Y, Kawashima H, Ohno E, Ishikawa T, Kawai M, Suhara H, Takeyama T, Hashizume K, Koya T, Tanaka H, Sakai D, Yamamura T, Furukawa K, Funasaka K, Nakamura M, Miyahara R, Watanabe O, Ishigami M, Hashimoto S, Goto H. Quantitative diagnosis of chronic pancreatitis using EUS elastography.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868-874 [PMID: 27995327 DOI: 10.1007/s00535-016-1296-8]</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14 </w:t>
      </w:r>
      <w:r>
        <w:rPr>
          <w:rFonts w:ascii="Book Antiqua" w:eastAsia="Book Antiqua" w:hAnsi="Book Antiqua" w:cs="Book Antiqua"/>
          <w:b/>
          <w:bCs/>
          <w:color w:val="000000"/>
        </w:rPr>
        <w:t>Kuwahara T</w:t>
      </w:r>
      <w:r>
        <w:rPr>
          <w:rFonts w:ascii="Book Antiqua" w:eastAsia="Book Antiqua" w:hAnsi="Book Antiqua" w:cs="Book Antiqua"/>
          <w:color w:val="000000"/>
        </w:rPr>
        <w:t xml:space="preserve">, Hirooka Y, Kawashima H, Ohno E, Ishikawa T, Yamamura T, Furukawa K, Funasaka K, Nakamura M, Miyahara R, Watanabe O, Ishigami M, Hashimoto S, Goto H. Usefulness of shear wave elastography as a quantitative diagnosis of chronic pancreatitis.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756-761 [PMID: 28833507 DOI: 10.1111/jgh.13926]</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15 </w:t>
      </w:r>
      <w:r>
        <w:rPr>
          <w:rFonts w:ascii="Book Antiqua" w:eastAsia="Book Antiqua" w:hAnsi="Book Antiqua" w:cs="Book Antiqua"/>
          <w:b/>
          <w:bCs/>
          <w:color w:val="000000"/>
        </w:rPr>
        <w:t>Iglesias-Garcia J</w:t>
      </w:r>
      <w:r>
        <w:rPr>
          <w:rFonts w:ascii="Book Antiqua" w:eastAsia="Book Antiqua" w:hAnsi="Book Antiqua" w:cs="Book Antiqua"/>
          <w:color w:val="000000"/>
        </w:rPr>
        <w:t xml:space="preserve">, Domínguez-Muñoz JE, Castiñeira-Alvariño M, Luaces-Regueira M, Lariño-Noia J. Quantitative elastography associated with endoscopic ultrasound for the diagnosis of chronic pancreatitis.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781-788 [PMID: 24019131 DOI: 10.1055/s-0033-1344614]</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 </w:t>
      </w:r>
      <w:r>
        <w:rPr>
          <w:rFonts w:ascii="Book Antiqua" w:eastAsia="Book Antiqua" w:hAnsi="Book Antiqua" w:cs="Book Antiqua"/>
          <w:b/>
          <w:bCs/>
          <w:color w:val="000000"/>
        </w:rPr>
        <w:t>Itoh Y</w:t>
      </w:r>
      <w:r>
        <w:rPr>
          <w:rFonts w:ascii="Book Antiqua" w:eastAsia="Book Antiqua" w:hAnsi="Book Antiqua" w:cs="Book Antiqua"/>
          <w:color w:val="000000"/>
        </w:rPr>
        <w:t xml:space="preserve">, Itoh A, Kawashima H, Ohno E, Nakamura Y, Hiramatsu T, Sugimoto H, Sumi H, Hayashi D, Kuwahara T, Morishima T, Funasaka K, Nakamura M, Miyahara R, Ohmiya N, Katano Y, Ishigami M, Goto H, Hirooka Y. Quantitative analysis of diagnosing pancreatic fibrosis using EUS-elastography (comparison with surgical specimens).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49</w:t>
      </w:r>
      <w:r>
        <w:rPr>
          <w:rFonts w:ascii="Book Antiqua" w:eastAsia="Book Antiqua" w:hAnsi="Book Antiqua" w:cs="Book Antiqua"/>
          <w:color w:val="000000"/>
        </w:rPr>
        <w:t>: 1183-1192 [PMID: 24026103 DOI: 10.1007/s00535-013-0880-4]</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17 </w:t>
      </w:r>
      <w:r>
        <w:rPr>
          <w:rFonts w:ascii="Book Antiqua" w:eastAsia="Book Antiqua" w:hAnsi="Book Antiqua" w:cs="Book Antiqua"/>
          <w:b/>
          <w:bCs/>
          <w:color w:val="000000"/>
        </w:rPr>
        <w:t>Yamashita Y</w:t>
      </w:r>
      <w:r>
        <w:rPr>
          <w:rFonts w:ascii="Book Antiqua" w:eastAsia="Book Antiqua" w:hAnsi="Book Antiqua" w:cs="Book Antiqua"/>
          <w:color w:val="000000"/>
        </w:rPr>
        <w:t xml:space="preserve">, Tanioka K, Kawaji Y, Tamura T, Nuta J, Hatamaru K, Itonaga M, Ida Y, Maekita T, Iguchi M, Kitano M. Endoscopic ultrasonography shear wave as a predictive factor of endocrine/exocrine dysfunction in chronic pancreatitis.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391-396 [PMID: 32511808 DOI: 10.1111/jgh.15137]</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18 </w:t>
      </w:r>
      <w:r>
        <w:rPr>
          <w:rFonts w:ascii="Book Antiqua" w:eastAsia="Book Antiqua" w:hAnsi="Book Antiqua" w:cs="Book Antiqua"/>
          <w:b/>
          <w:bCs/>
          <w:color w:val="000000"/>
        </w:rPr>
        <w:t>Domínguez-Muñoz JE</w:t>
      </w:r>
      <w:r>
        <w:rPr>
          <w:rFonts w:ascii="Book Antiqua" w:eastAsia="Book Antiqua" w:hAnsi="Book Antiqua" w:cs="Book Antiqua"/>
          <w:color w:val="000000"/>
        </w:rPr>
        <w:t xml:space="preserve">, Alvarez-Castro A, Lariño-Noia J, Nieto L, Iglesias-García J. Endoscopic ultrasonography of the pancreas as an indirect method to predict pancreatic exocrine insufficiency in patients with chronic pancreatitis.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724-728 [PMID: 22228053 DOI: 10.1097/MPA.0b013e31823b5978]</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19 </w:t>
      </w:r>
      <w:r>
        <w:rPr>
          <w:rFonts w:ascii="Book Antiqua" w:eastAsia="Book Antiqua" w:hAnsi="Book Antiqua" w:cs="Book Antiqua"/>
          <w:b/>
          <w:bCs/>
          <w:color w:val="000000"/>
        </w:rPr>
        <w:t>Conti CB</w:t>
      </w:r>
      <w:r>
        <w:rPr>
          <w:rFonts w:ascii="Book Antiqua" w:eastAsia="Book Antiqua" w:hAnsi="Book Antiqua" w:cs="Book Antiqua"/>
          <w:color w:val="000000"/>
        </w:rPr>
        <w:t xml:space="preserve">, Cereatti F, Drago A, Grassia R. Focal Autoimmune Pancreatitis: A Simple Flow Chart for a Challenging Diagnosis. </w:t>
      </w:r>
      <w:r>
        <w:rPr>
          <w:rFonts w:ascii="Book Antiqua" w:eastAsia="Book Antiqua" w:hAnsi="Book Antiqua" w:cs="Book Antiqua"/>
          <w:i/>
          <w:iCs/>
          <w:color w:val="000000"/>
        </w:rPr>
        <w:t>Ultrasound Int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E67-E75 [PMID: 33490857 DOI: 10.1055/a-1323-4906]</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20 </w:t>
      </w:r>
      <w:r>
        <w:rPr>
          <w:rFonts w:ascii="Book Antiqua" w:eastAsia="Book Antiqua" w:hAnsi="Book Antiqua" w:cs="Book Antiqua"/>
          <w:b/>
          <w:bCs/>
          <w:color w:val="000000"/>
        </w:rPr>
        <w:t>Dyrla P</w:t>
      </w:r>
      <w:r>
        <w:rPr>
          <w:rFonts w:ascii="Book Antiqua" w:eastAsia="Book Antiqua" w:hAnsi="Book Antiqua" w:cs="Book Antiqua"/>
          <w:color w:val="000000"/>
        </w:rPr>
        <w:t xml:space="preserve">, Gil J, Niemczyk S, Saracyn M, Kosik K, Czarkowski S, Lubas A. Elastography in the Diagnosis of Pancreatic Malignancies.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1133</w:t>
      </w:r>
      <w:r>
        <w:rPr>
          <w:rFonts w:ascii="Book Antiqua" w:eastAsia="Book Antiqua" w:hAnsi="Book Antiqua" w:cs="Book Antiqua"/>
          <w:color w:val="000000"/>
        </w:rPr>
        <w:t>: 41-48 [PMID: 30443726 DOI: 10.1007/5584_2018_303]</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21 </w:t>
      </w:r>
      <w:r>
        <w:rPr>
          <w:rFonts w:ascii="Book Antiqua" w:eastAsia="Book Antiqua" w:hAnsi="Book Antiqua" w:cs="Book Antiqua"/>
          <w:b/>
          <w:bCs/>
          <w:color w:val="000000"/>
        </w:rPr>
        <w:t>Okasha HH</w:t>
      </w:r>
      <w:r>
        <w:rPr>
          <w:rFonts w:ascii="Book Antiqua" w:eastAsia="Book Antiqua" w:hAnsi="Book Antiqua" w:cs="Book Antiqua"/>
          <w:color w:val="000000"/>
        </w:rPr>
        <w:t xml:space="preserve">, Mahdy RE, Elkholy S, Hassan MS, El-Mazny AN, Hadad KEE, Saeed M, El-Nady M, Elbalky OS, Ashraf A, El-Magd AA, Awad A. Endoscopic ultrasound (EUS) elastography and strain ratio, could it help in differentiating malignant from benign pancreatic lesions?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e11689 [PMID: 30200064 DOI: 10.1097/MD.0000000000011689]</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22 </w:t>
      </w:r>
      <w:r>
        <w:rPr>
          <w:rFonts w:ascii="Book Antiqua" w:eastAsia="Book Antiqua" w:hAnsi="Book Antiqua" w:cs="Book Antiqua"/>
          <w:b/>
          <w:bCs/>
          <w:color w:val="000000"/>
        </w:rPr>
        <w:t>Ishikawa T</w:t>
      </w:r>
      <w:r>
        <w:rPr>
          <w:rFonts w:ascii="Book Antiqua" w:eastAsia="Book Antiqua" w:hAnsi="Book Antiqua" w:cs="Book Antiqua"/>
          <w:color w:val="000000"/>
        </w:rPr>
        <w:t xml:space="preserve">, Kawashima H, Ohno E, Tanaka H, Maeda K, Sawada T, Yamamura T, Furukawa K, Nakamura M, Miyahara R, Ishigami M, Fujishiro M. Usefulness of Endoscopic Ultrasound Elastography Combined With the Strain Ratio in the Estimation of Treatment Effect in Autoimmune Pancreatitis.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2020; </w:t>
      </w:r>
      <w:r>
        <w:rPr>
          <w:rFonts w:ascii="Book Antiqua" w:eastAsia="Book Antiqua" w:hAnsi="Book Antiqua" w:cs="Book Antiqua"/>
          <w:b/>
          <w:bCs/>
          <w:color w:val="000000"/>
        </w:rPr>
        <w:t>49</w:t>
      </w:r>
      <w:r>
        <w:rPr>
          <w:rFonts w:ascii="Book Antiqua" w:eastAsia="Book Antiqua" w:hAnsi="Book Antiqua" w:cs="Book Antiqua"/>
          <w:color w:val="000000"/>
        </w:rPr>
        <w:t>: e21-e22 [PMID: 32049954 DOI: 10.1097/MPA.0000000000001481]</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23 </w:t>
      </w:r>
      <w:r>
        <w:rPr>
          <w:rFonts w:ascii="Book Antiqua" w:eastAsia="Book Antiqua" w:hAnsi="Book Antiqua" w:cs="Book Antiqua"/>
          <w:b/>
          <w:bCs/>
          <w:color w:val="000000"/>
        </w:rPr>
        <w:t>Dawwas MF</w:t>
      </w:r>
      <w:r>
        <w:rPr>
          <w:rFonts w:ascii="Book Antiqua" w:eastAsia="Book Antiqua" w:hAnsi="Book Antiqua" w:cs="Book Antiqua"/>
          <w:color w:val="000000"/>
        </w:rPr>
        <w:t xml:space="preserve">, Taha H, Leeds JS, Nayar MK, Oppong KW. Diagnostic accuracy of quantitative EUS elastography for discriminating malignant from benign solid pancreatic masses: a prospective, single-center study.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2012; </w:t>
      </w:r>
      <w:r>
        <w:rPr>
          <w:rFonts w:ascii="Book Antiqua" w:eastAsia="Book Antiqua" w:hAnsi="Book Antiqua" w:cs="Book Antiqua"/>
          <w:b/>
          <w:bCs/>
          <w:color w:val="000000"/>
        </w:rPr>
        <w:t>76</w:t>
      </w:r>
      <w:r>
        <w:rPr>
          <w:rFonts w:ascii="Book Antiqua" w:eastAsia="Book Antiqua" w:hAnsi="Book Antiqua" w:cs="Book Antiqua"/>
          <w:color w:val="000000"/>
        </w:rPr>
        <w:t>: 953-961 [PMID: 22854060 DOI: 10.1016/j.gie.2012.05.034]</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24 </w:t>
      </w:r>
      <w:r>
        <w:rPr>
          <w:rFonts w:ascii="Book Antiqua" w:eastAsia="Book Antiqua" w:hAnsi="Book Antiqua" w:cs="Book Antiqua"/>
          <w:b/>
          <w:bCs/>
          <w:color w:val="000000"/>
        </w:rPr>
        <w:t>Ying L</w:t>
      </w:r>
      <w:r>
        <w:rPr>
          <w:rFonts w:ascii="Book Antiqua" w:eastAsia="Book Antiqua" w:hAnsi="Book Antiqua" w:cs="Book Antiqua"/>
          <w:color w:val="000000"/>
        </w:rPr>
        <w:t xml:space="preserve">, Lin X, Xie ZL, Hu YP, Tang KF, Shi KQ. Clinical utility of endoscopic ultrasound elastography for identification of malignant pancreatic masses: a meta-analysis.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1434-1443 [PMID: 23731128 DOI: 10.1111/jgh.12292]</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25 </w:t>
      </w:r>
      <w:r>
        <w:rPr>
          <w:rFonts w:ascii="Book Antiqua" w:eastAsia="Book Antiqua" w:hAnsi="Book Antiqua" w:cs="Book Antiqua"/>
          <w:b/>
          <w:bCs/>
          <w:color w:val="000000"/>
        </w:rPr>
        <w:t>Zhang B</w:t>
      </w:r>
      <w:r>
        <w:rPr>
          <w:rFonts w:ascii="Book Antiqua" w:eastAsia="Book Antiqua" w:hAnsi="Book Antiqua" w:cs="Book Antiqua"/>
          <w:color w:val="000000"/>
        </w:rPr>
        <w:t xml:space="preserve">, Zhu F, Li P, Yu S, Zhao Y, Li M. Endoscopic ultrasound elastography in the diagnosis of pancreatic masses: A meta-analysis.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833-840 [PMID: 30093353 DOI: 10.1016/j.pan.2018.07.008]</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26 </w:t>
      </w:r>
      <w:r>
        <w:rPr>
          <w:rFonts w:ascii="Book Antiqua" w:eastAsia="Book Antiqua" w:hAnsi="Book Antiqua" w:cs="Book Antiqua"/>
          <w:b/>
          <w:bCs/>
          <w:color w:val="000000"/>
        </w:rPr>
        <w:t>Mei M</w:t>
      </w:r>
      <w:r>
        <w:rPr>
          <w:rFonts w:ascii="Book Antiqua" w:eastAsia="Book Antiqua" w:hAnsi="Book Antiqua" w:cs="Book Antiqua"/>
          <w:color w:val="000000"/>
        </w:rPr>
        <w:t xml:space="preserve">, Ni J, Liu D, Jin P, Sun L. EUS elastography for diagnosis of solid pancreatic masses: a meta-analysis.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2013; </w:t>
      </w:r>
      <w:r>
        <w:rPr>
          <w:rFonts w:ascii="Book Antiqua" w:eastAsia="Book Antiqua" w:hAnsi="Book Antiqua" w:cs="Book Antiqua"/>
          <w:b/>
          <w:bCs/>
          <w:color w:val="000000"/>
        </w:rPr>
        <w:t>77</w:t>
      </w:r>
      <w:r>
        <w:rPr>
          <w:rFonts w:ascii="Book Antiqua" w:eastAsia="Book Antiqua" w:hAnsi="Book Antiqua" w:cs="Book Antiqua"/>
          <w:color w:val="000000"/>
        </w:rPr>
        <w:t>: 578-589 [PMID: 23199646 DOI: 10.1016/j.gie.2012.09.035]</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27 </w:t>
      </w:r>
      <w:r>
        <w:rPr>
          <w:rFonts w:ascii="Book Antiqua" w:eastAsia="Book Antiqua" w:hAnsi="Book Antiqua" w:cs="Book Antiqua"/>
          <w:b/>
          <w:bCs/>
          <w:color w:val="000000"/>
        </w:rPr>
        <w:t>Lu Y</w:t>
      </w:r>
      <w:r>
        <w:rPr>
          <w:rFonts w:ascii="Book Antiqua" w:eastAsia="Book Antiqua" w:hAnsi="Book Antiqua" w:cs="Book Antiqua"/>
          <w:color w:val="000000"/>
        </w:rPr>
        <w:t xml:space="preserve">, Chen L, Li C, Chen H, Chen J. Diagnostic utility of endoscopic ultrasonography-elastography in the evaluation of solid pancreatic masses: a meta-analysis and systematic review. </w:t>
      </w:r>
      <w:r>
        <w:rPr>
          <w:rFonts w:ascii="Book Antiqua" w:eastAsia="Book Antiqua" w:hAnsi="Book Antiqua" w:cs="Book Antiqua"/>
          <w:i/>
          <w:iCs/>
          <w:color w:val="000000"/>
        </w:rPr>
        <w:t>Med Ultrason</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150-158 [PMID: 28440348 DOI: 10.11152/mu-987]</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28 </w:t>
      </w:r>
      <w:r>
        <w:rPr>
          <w:rFonts w:ascii="Book Antiqua" w:eastAsia="Book Antiqua" w:hAnsi="Book Antiqua" w:cs="Book Antiqua"/>
          <w:b/>
          <w:bCs/>
          <w:color w:val="000000"/>
        </w:rPr>
        <w:t>Chantarojanasiri T</w:t>
      </w:r>
      <w:r>
        <w:rPr>
          <w:rFonts w:ascii="Book Antiqua" w:eastAsia="Book Antiqua" w:hAnsi="Book Antiqua" w:cs="Book Antiqua"/>
          <w:color w:val="000000"/>
        </w:rPr>
        <w:t xml:space="preserve">, Hirooka Y, Kawashima H, Ohno E, Kuwahara T, Yamamura T, Funasaka K, Nakamura M, Miyahara R, Ishigami M, Watanabe O, Hashimoto S, Hirakawa A, Ratanachu-Ek T, Goto H. Endoscopic ultrasound in diagnosis of solid pancreatic lesions: Elastography or contrast-enhanced harmonic alone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combination.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E1136-E1143 [PMID: 29124123 DOI: 10.1055/s-0043-118829]</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29 </w:t>
      </w:r>
      <w:r>
        <w:rPr>
          <w:rFonts w:ascii="Book Antiqua" w:eastAsia="Book Antiqua" w:hAnsi="Book Antiqua" w:cs="Book Antiqua"/>
          <w:b/>
          <w:bCs/>
          <w:color w:val="000000"/>
        </w:rPr>
        <w:t>Iglesias-Garcia J</w:t>
      </w:r>
      <w:r>
        <w:rPr>
          <w:rFonts w:ascii="Book Antiqua" w:eastAsia="Book Antiqua" w:hAnsi="Book Antiqua" w:cs="Book Antiqua"/>
          <w:color w:val="000000"/>
        </w:rPr>
        <w:t xml:space="preserve">, Larino-Noia J, Abdulkader I, Forteza J, Dominguez-Munoz JE. Quantitative endoscopic ultrasound elastography: an accurate method for the differentiation of solid pancreatic masses.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139</w:t>
      </w:r>
      <w:r>
        <w:rPr>
          <w:rFonts w:ascii="Book Antiqua" w:eastAsia="Book Antiqua" w:hAnsi="Book Antiqua" w:cs="Book Antiqua"/>
          <w:color w:val="000000"/>
        </w:rPr>
        <w:t>: 1172-1180 [PMID: 20600020 DOI: 10.1053/j.gastro.2010.06.059]</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30 </w:t>
      </w:r>
      <w:r>
        <w:rPr>
          <w:rFonts w:ascii="Book Antiqua" w:eastAsia="Book Antiqua" w:hAnsi="Book Antiqua" w:cs="Book Antiqua"/>
          <w:b/>
          <w:bCs/>
          <w:color w:val="000000"/>
        </w:rPr>
        <w:t>Ignee A</w:t>
      </w:r>
      <w:r>
        <w:rPr>
          <w:rFonts w:ascii="Book Antiqua" w:eastAsia="Book Antiqua" w:hAnsi="Book Antiqua" w:cs="Book Antiqua"/>
          <w:color w:val="000000"/>
        </w:rPr>
        <w:t xml:space="preserve">, Jenssen C, Arcidiacono PG, Hocke M, Möller K, Saftoiu A, Will U, Fusaroli P, Iglesias-Garcia J, Ponnudurai R, Petrone MC, Braden B, Burmester E, Dong Y, Atkinson NS, Dietrich CF. Endoscopic ultrasound elastography of small solid pancreatic lesions: a multicenter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1071-1079 [PMID: 29689572 DOI: 10.1055/a-0588-4941]</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31 </w:t>
      </w:r>
      <w:r>
        <w:rPr>
          <w:rFonts w:ascii="Book Antiqua" w:eastAsia="Book Antiqua" w:hAnsi="Book Antiqua" w:cs="Book Antiqua"/>
          <w:b/>
          <w:bCs/>
          <w:color w:val="000000"/>
        </w:rPr>
        <w:t>Jafri M</w:t>
      </w:r>
      <w:r>
        <w:rPr>
          <w:rFonts w:ascii="Book Antiqua" w:eastAsia="Book Antiqua" w:hAnsi="Book Antiqua" w:cs="Book Antiqua"/>
          <w:color w:val="000000"/>
        </w:rPr>
        <w:t xml:space="preserve">, Sachdev AH, Khanna L, Gress FG. The Role of Real Time Endoscopic Ultrasound Guided Elastography for Targeting EUS-FNA of Suspicious Pancreatic Masses: A Review of the Literature and A Single Center Experience. </w:t>
      </w:r>
      <w:r>
        <w:rPr>
          <w:rFonts w:ascii="Book Antiqua" w:eastAsia="Book Antiqua" w:hAnsi="Book Antiqua" w:cs="Book Antiqua"/>
          <w:i/>
          <w:iCs/>
          <w:color w:val="000000"/>
        </w:rPr>
        <w:t>JOP</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516-524 [PMID: 28912670]</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32 </w:t>
      </w:r>
      <w:r>
        <w:rPr>
          <w:rFonts w:ascii="Book Antiqua" w:eastAsia="Book Antiqua" w:hAnsi="Book Antiqua" w:cs="Book Antiqua"/>
          <w:b/>
          <w:bCs/>
          <w:color w:val="000000"/>
        </w:rPr>
        <w:t>Facciorusso A</w:t>
      </w:r>
      <w:r>
        <w:rPr>
          <w:rFonts w:ascii="Book Antiqua" w:eastAsia="Book Antiqua" w:hAnsi="Book Antiqua" w:cs="Book Antiqua"/>
          <w:color w:val="000000"/>
        </w:rPr>
        <w:t xml:space="preserve">, Martina M, Buccino RV, Nacchiero MC, Muscatiello N. Diagnostic accuracy of fine-needle aspiration of solid pancreatic lesions guided by endoscopic ultrasound elastography. </w:t>
      </w:r>
      <w:r>
        <w:rPr>
          <w:rFonts w:ascii="Book Antiqua" w:eastAsia="Book Antiqua" w:hAnsi="Book Antiqua" w:cs="Book Antiqua"/>
          <w:i/>
          <w:iCs/>
          <w:color w:val="000000"/>
        </w:rPr>
        <w:t>Ann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513-518 [PMID: 29991898 DOI: 10.20524/aog.2018.0271]</w:t>
      </w:r>
    </w:p>
    <w:p w:rsidR="00735318" w:rsidRDefault="00735318">
      <w:pPr>
        <w:spacing w:line="360" w:lineRule="auto"/>
        <w:jc w:val="both"/>
        <w:rPr>
          <w:rFonts w:ascii="Book Antiqua" w:eastAsia="Book Antiqua" w:hAnsi="Book Antiqua" w:cs="Book Antiqua"/>
          <w:b/>
          <w:color w:val="000000"/>
        </w:rPr>
      </w:pPr>
      <w:r>
        <w:rPr>
          <w:rFonts w:ascii="Book Antiqua" w:eastAsia="Book Antiqua" w:hAnsi="Book Antiqua" w:cs="Book Antiqua"/>
          <w:color w:val="000000"/>
        </w:rPr>
        <w:t xml:space="preserve">33 </w:t>
      </w:r>
      <w:r>
        <w:rPr>
          <w:rFonts w:ascii="Book Antiqua" w:eastAsia="Book Antiqua" w:hAnsi="Book Antiqua" w:cs="Book Antiqua"/>
          <w:b/>
          <w:bCs/>
          <w:color w:val="000000"/>
        </w:rPr>
        <w:t>Polkowski M</w:t>
      </w:r>
      <w:r>
        <w:rPr>
          <w:rFonts w:ascii="Book Antiqua" w:eastAsia="Book Antiqua" w:hAnsi="Book Antiqua" w:cs="Book Antiqua"/>
          <w:color w:val="000000"/>
        </w:rPr>
        <w:t xml:space="preserve">, Jenssen C, Kaye P, Carrara S, Deprez P, Gines A, Fernández-Esparrach G, Eisendrath P, Aithal GP, Arcidiacono P, Barthet M, Bastos P, Fornelli A, Napoleon B, Iglesias-Garcia J, Seicean A, Larghi A, Hassan C, van Hooft JE, Dumonceau JM. Technical aspects of endoscopic ultrasound (EUS)-guided sampling in gastroenterology: European Society of Gastrointestinal Endoscopy (ESGE) Technical Guideline - March 2017.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989-1006 [PMID: 28898917 DOI: 10.1055/s-0043-119219]</w:t>
      </w:r>
    </w:p>
    <w:p w:rsidR="00735318" w:rsidRDefault="00735318">
      <w:pPr>
        <w:pageBreakBefore/>
        <w:spacing w:line="360" w:lineRule="auto"/>
        <w:jc w:val="both"/>
        <w:rPr>
          <w:rFonts w:ascii="Book Antiqua" w:eastAsia="Book Antiqua" w:hAnsi="Book Antiqua" w:cs="Book Antiqua"/>
          <w:b/>
          <w:bCs/>
          <w:color w:val="000000"/>
        </w:rPr>
      </w:pPr>
      <w:r>
        <w:rPr>
          <w:rFonts w:ascii="Book Antiqua" w:eastAsia="Book Antiqua" w:hAnsi="Book Antiqua" w:cs="Book Antiqua"/>
          <w:b/>
          <w:color w:val="000000"/>
        </w:rPr>
        <w:t>Footnotes</w:t>
      </w:r>
    </w:p>
    <w:p w:rsidR="00735318" w:rsidRDefault="00735318">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Clara Benedetta Conti, Giacomo Mulinacci, Raffaele Salerno,</w:t>
      </w:r>
      <w:r>
        <w:rPr>
          <w:rFonts w:ascii="Book Antiqua" w:hAnsi="Book Antiqua" w:cs="Book Antiqua"/>
          <w:color w:val="000000"/>
          <w:vertAlign w:val="superscript"/>
        </w:rPr>
        <w:t xml:space="preserve"> </w:t>
      </w:r>
      <w:r>
        <w:rPr>
          <w:rFonts w:ascii="Book Antiqua" w:eastAsia="Book Antiqua" w:hAnsi="Book Antiqua" w:cs="Book Antiqua"/>
          <w:color w:val="000000"/>
        </w:rPr>
        <w:t>Marco Emilio Dinelli, and Roberto Grassia have no conflict of interest.</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hAnsi="Book Antiqua" w:cs="Book Antiqua"/>
          <w:b/>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rsidR="00735318" w:rsidRDefault="00735318">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27, 2021</w:t>
      </w:r>
    </w:p>
    <w:p w:rsidR="00735318" w:rsidRDefault="0073531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7, 2021</w:t>
      </w:r>
    </w:p>
    <w:p w:rsidR="00735318" w:rsidRDefault="00735318">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CA2468" w:rsidRPr="00315581">
        <w:rPr>
          <w:rFonts w:ascii="Book Antiqua" w:eastAsia="Book Antiqua" w:hAnsi="Book Antiqua" w:cs="Book Antiqua"/>
          <w:bCs/>
          <w:color w:val="000000"/>
        </w:rPr>
        <w:t>January 29, 2022</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color w:val="000000"/>
        </w:rPr>
        <w:t>h</w:t>
      </w:r>
      <w:r>
        <w:rPr>
          <w:rFonts w:ascii="Book Antiqua" w:eastAsia="Book Antiqua" w:hAnsi="Book Antiqua" w:cs="Book Antiqua"/>
          <w:color w:val="000000"/>
        </w:rPr>
        <w:t>epatology</w:t>
      </w:r>
    </w:p>
    <w:p w:rsidR="00735318" w:rsidRDefault="0073531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Peer-review report’s scientific quality classification</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Grade A (Excellent): A</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Grade B (Very good): B</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Grade C (Good): 0</w:t>
      </w:r>
    </w:p>
    <w:p w:rsidR="00735318" w:rsidRDefault="0073531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Grade D (Fair): 0</w:t>
      </w:r>
    </w:p>
    <w:p w:rsidR="00735318" w:rsidRDefault="00735318">
      <w:pPr>
        <w:spacing w:line="360" w:lineRule="auto"/>
        <w:jc w:val="both"/>
        <w:rPr>
          <w:rFonts w:ascii="Book Antiqua" w:hAnsi="Book Antiqua" w:cs="Book Antiqua"/>
        </w:rPr>
      </w:pPr>
      <w:r>
        <w:rPr>
          <w:rFonts w:ascii="Book Antiqua" w:eastAsia="Book Antiqua" w:hAnsi="Book Antiqua" w:cs="Book Antiqua"/>
          <w:color w:val="000000"/>
        </w:rPr>
        <w:t>Grade E (Poor): 0</w:t>
      </w:r>
    </w:p>
    <w:p w:rsidR="00735318" w:rsidRDefault="00735318">
      <w:pPr>
        <w:spacing w:line="360" w:lineRule="auto"/>
        <w:jc w:val="both"/>
        <w:rPr>
          <w:rFonts w:ascii="Book Antiqua" w:hAnsi="Book Antiqua" w:cs="Book Antiqua"/>
        </w:rPr>
      </w:pPr>
    </w:p>
    <w:p w:rsidR="00735318" w:rsidRDefault="0073531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Morozov S, Tolunay HE</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Pr="004154DC">
        <w:rPr>
          <w:rFonts w:ascii="Book Antiqua" w:eastAsia="Book Antiqua" w:hAnsi="Book Antiqua" w:cs="Book Antiqua"/>
          <w:b/>
          <w:color w:val="000000"/>
        </w:rPr>
        <w:t xml:space="preserve"> </w:t>
      </w:r>
      <w:r>
        <w:rPr>
          <w:rFonts w:ascii="Book Antiqua" w:eastAsia="Book Antiqua" w:hAnsi="Book Antiqua" w:cs="Book Antiqua"/>
          <w:color w:val="000000"/>
        </w:rPr>
        <w:t>Fan JR</w:t>
      </w:r>
    </w:p>
    <w:p w:rsidR="00735318" w:rsidRDefault="00735318">
      <w:pPr>
        <w:pageBreakBefore/>
        <w:spacing w:line="360" w:lineRule="auto"/>
        <w:jc w:val="both"/>
      </w:pPr>
      <w:r>
        <w:rPr>
          <w:rFonts w:ascii="Book Antiqua" w:hAnsi="Book Antiqua" w:cs="Book Antiqua"/>
          <w:b/>
        </w:rPr>
        <w:t>Figure Legends</w:t>
      </w:r>
    </w:p>
    <w:p w:rsidR="00735318" w:rsidRDefault="002A0C93">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extent cx="4320540" cy="2758440"/>
            <wp:effectExtent l="0" t="0" r="3810" b="3810"/>
            <wp:docPr id="1" name="图片 1" descr="WJG-28-90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G-28-909-g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540" cy="2758440"/>
                    </a:xfrm>
                    <a:prstGeom prst="rect">
                      <a:avLst/>
                    </a:prstGeom>
                    <a:noFill/>
                    <a:ln>
                      <a:noFill/>
                    </a:ln>
                  </pic:spPr>
                </pic:pic>
              </a:graphicData>
            </a:graphic>
          </wp:inline>
        </w:drawing>
      </w:r>
    </w:p>
    <w:p w:rsidR="00735318" w:rsidRDefault="00735318">
      <w:pPr>
        <w:spacing w:line="360" w:lineRule="auto"/>
        <w:jc w:val="both"/>
        <w:rPr>
          <w:rFonts w:ascii="Book Antiqua" w:hAnsi="Book Antiqua" w:cs="Book Antiqua"/>
          <w:color w:val="000000"/>
        </w:rPr>
      </w:pPr>
      <w:r>
        <w:rPr>
          <w:rFonts w:ascii="Book Antiqua" w:eastAsia="Book Antiqua" w:hAnsi="Book Antiqua" w:cs="Book Antiqua"/>
          <w:b/>
          <w:color w:val="000000"/>
        </w:rPr>
        <w:t>Fig</w:t>
      </w:r>
      <w:r>
        <w:rPr>
          <w:rFonts w:ascii="Book Antiqua" w:hAnsi="Book Antiqua" w:cs="Book Antiqua"/>
          <w:b/>
          <w:color w:val="000000"/>
        </w:rPr>
        <w:t>ure</w:t>
      </w:r>
      <w:r>
        <w:rPr>
          <w:rFonts w:ascii="Book Antiqua" w:eastAsia="Book Antiqua" w:hAnsi="Book Antiqua" w:cs="Book Antiqua"/>
          <w:b/>
          <w:color w:val="000000"/>
        </w:rPr>
        <w:t xml:space="preserve"> 1 Quantitative endoscopic ultrasound elastography of chronic pancreatitis.</w:t>
      </w:r>
      <w:r w:rsidRPr="00315581">
        <w:rPr>
          <w:rFonts w:ascii="Book Antiqua" w:eastAsia="Book Antiqua" w:hAnsi="Book Antiqua" w:cs="Book Antiqua"/>
          <w:b/>
          <w:color w:val="000000"/>
        </w:rPr>
        <w:t xml:space="preserve"> </w:t>
      </w:r>
      <w:r>
        <w:rPr>
          <w:rFonts w:ascii="Book Antiqua" w:eastAsia="Book Antiqua" w:hAnsi="Book Antiqua" w:cs="Book Antiqua"/>
          <w:color w:val="000000"/>
        </w:rPr>
        <w:t xml:space="preserve">A: </w:t>
      </w:r>
      <w:r>
        <w:rPr>
          <w:rFonts w:ascii="Book Antiqua" w:hAnsi="Book Antiqua" w:cs="Book Antiqua"/>
          <w:color w:val="000000"/>
        </w:rPr>
        <w:t>E</w:t>
      </w:r>
      <w:r>
        <w:rPr>
          <w:rFonts w:ascii="Book Antiqua" w:eastAsia="Book Antiqua" w:hAnsi="Book Antiqua" w:cs="Book Antiqua"/>
          <w:color w:val="000000"/>
        </w:rPr>
        <w:t xml:space="preserve">ndoscopic ultrasound B-mode with region of interest square; B: </w:t>
      </w:r>
      <w:r>
        <w:rPr>
          <w:rFonts w:ascii="Book Antiqua" w:hAnsi="Book Antiqua" w:cs="Book Antiqua"/>
          <w:color w:val="000000"/>
        </w:rPr>
        <w:t>E</w:t>
      </w:r>
      <w:r>
        <w:rPr>
          <w:rFonts w:ascii="Book Antiqua" w:eastAsia="Book Antiqua" w:hAnsi="Book Antiqua" w:cs="Book Antiqua"/>
          <w:color w:val="000000"/>
        </w:rPr>
        <w:t>lastographic image</w:t>
      </w:r>
      <w:r>
        <w:rPr>
          <w:rFonts w:ascii="Book Antiqua" w:hAnsi="Book Antiqua" w:cs="Book Antiqua"/>
          <w:color w:val="000000"/>
        </w:rPr>
        <w:t>.</w:t>
      </w:r>
    </w:p>
    <w:p w:rsidR="00735318" w:rsidRDefault="002A0C93">
      <w:pPr>
        <w:pageBreakBefore/>
        <w:spacing w:line="360" w:lineRule="auto"/>
        <w:jc w:val="both"/>
        <w:rPr>
          <w:rFonts w:ascii="Book Antiqua" w:hAnsi="Book Antiqua" w:cs="Book Antiqua"/>
          <w:b/>
          <w:color w:val="000000"/>
        </w:rPr>
      </w:pPr>
      <w:r>
        <w:rPr>
          <w:rFonts w:ascii="Book Antiqua" w:hAnsi="Book Antiqua" w:cs="Book Antiqua"/>
          <w:b/>
          <w:noProof/>
          <w:color w:val="000000"/>
        </w:rPr>
        <w:drawing>
          <wp:inline distT="0" distB="0" distL="0" distR="0">
            <wp:extent cx="4351020" cy="2651760"/>
            <wp:effectExtent l="0" t="0" r="0" b="0"/>
            <wp:docPr id="2" name="图片 2" descr="WJG-28-90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JG-28-909-g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1020" cy="2651760"/>
                    </a:xfrm>
                    <a:prstGeom prst="rect">
                      <a:avLst/>
                    </a:prstGeom>
                    <a:noFill/>
                    <a:ln>
                      <a:noFill/>
                    </a:ln>
                  </pic:spPr>
                </pic:pic>
              </a:graphicData>
            </a:graphic>
          </wp:inline>
        </w:drawing>
      </w:r>
    </w:p>
    <w:p w:rsidR="00735318" w:rsidRDefault="00735318">
      <w:pPr>
        <w:spacing w:line="360" w:lineRule="auto"/>
        <w:jc w:val="both"/>
        <w:rPr>
          <w:rFonts w:ascii="Book Antiqua" w:hAnsi="Book Antiqua" w:cs="Book Antiqua"/>
          <w:color w:val="000000"/>
        </w:rPr>
      </w:pPr>
      <w:r>
        <w:rPr>
          <w:rFonts w:ascii="Book Antiqua" w:hAnsi="Book Antiqua" w:cs="Book Antiqua"/>
          <w:b/>
          <w:color w:val="000000"/>
        </w:rPr>
        <w:t xml:space="preserve">Figure 2 </w:t>
      </w:r>
      <w:r>
        <w:rPr>
          <w:rFonts w:ascii="Book Antiqua" w:eastAsia="Book Antiqua" w:hAnsi="Book Antiqua" w:cs="Book Antiqua"/>
          <w:b/>
          <w:color w:val="000000"/>
        </w:rPr>
        <w:t>Qualitative endoscopic ultrasound elastography of pancreatic adenocarcinoma of the head.</w:t>
      </w:r>
      <w:r>
        <w:rPr>
          <w:rFonts w:ascii="Book Antiqua" w:hAnsi="Book Antiqua" w:cs="Book Antiqua"/>
          <w:b/>
          <w:color w:val="000000"/>
        </w:rPr>
        <w:t xml:space="preserve"> </w:t>
      </w:r>
      <w:r>
        <w:rPr>
          <w:rFonts w:ascii="Book Antiqua" w:eastAsia="Book Antiqua" w:hAnsi="Book Antiqua" w:cs="Book Antiqua"/>
          <w:color w:val="000000"/>
        </w:rPr>
        <w:t xml:space="preserve">A: </w:t>
      </w:r>
      <w:r>
        <w:rPr>
          <w:rFonts w:ascii="Book Antiqua" w:hAnsi="Book Antiqua" w:cs="Book Antiqua"/>
          <w:color w:val="000000"/>
        </w:rPr>
        <w:t>E</w:t>
      </w:r>
      <w:r>
        <w:rPr>
          <w:rFonts w:ascii="Book Antiqua" w:eastAsia="Book Antiqua" w:hAnsi="Book Antiqua" w:cs="Book Antiqua"/>
          <w:color w:val="000000"/>
        </w:rPr>
        <w:t xml:space="preserve">ndoscopic ultrasound B-mode; B: </w:t>
      </w:r>
      <w:r>
        <w:rPr>
          <w:rFonts w:ascii="Book Antiqua" w:hAnsi="Book Antiqua" w:cs="Book Antiqua"/>
          <w:color w:val="000000"/>
        </w:rPr>
        <w:t>E</w:t>
      </w:r>
      <w:r>
        <w:rPr>
          <w:rFonts w:ascii="Book Antiqua" w:eastAsia="Book Antiqua" w:hAnsi="Book Antiqua" w:cs="Book Antiqua"/>
          <w:color w:val="000000"/>
        </w:rPr>
        <w:t>lastographic image</w:t>
      </w:r>
      <w:r>
        <w:rPr>
          <w:rFonts w:ascii="Book Antiqua" w:hAnsi="Book Antiqua" w:cs="Book Antiqua"/>
          <w:color w:val="000000"/>
        </w:rPr>
        <w:t>.</w:t>
      </w:r>
    </w:p>
    <w:p w:rsidR="00735318" w:rsidRDefault="002A0C93">
      <w:pPr>
        <w:pageBreakBefore/>
        <w:spacing w:line="360" w:lineRule="auto"/>
        <w:jc w:val="both"/>
        <w:rPr>
          <w:rFonts w:ascii="Book Antiqua" w:hAnsi="Book Antiqua" w:cs="Book Antiqua"/>
          <w:b/>
          <w:color w:val="000000"/>
        </w:rPr>
      </w:pPr>
      <w:r>
        <w:rPr>
          <w:rFonts w:ascii="Book Antiqua" w:hAnsi="Book Antiqua" w:cs="Book Antiqua"/>
          <w:b/>
          <w:noProof/>
          <w:color w:val="000000"/>
        </w:rPr>
        <w:drawing>
          <wp:inline distT="0" distB="0" distL="0" distR="0">
            <wp:extent cx="5791200" cy="1935480"/>
            <wp:effectExtent l="0" t="0" r="0" b="7620"/>
            <wp:docPr id="3" name="图片 3" descr="WJG-28-90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JG-28-909-g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0" cy="1935480"/>
                    </a:xfrm>
                    <a:prstGeom prst="rect">
                      <a:avLst/>
                    </a:prstGeom>
                    <a:noFill/>
                    <a:ln>
                      <a:noFill/>
                    </a:ln>
                  </pic:spPr>
                </pic:pic>
              </a:graphicData>
            </a:graphic>
          </wp:inline>
        </w:drawing>
      </w:r>
    </w:p>
    <w:p w:rsidR="00735318" w:rsidRDefault="00735318">
      <w:pPr>
        <w:spacing w:line="360" w:lineRule="auto"/>
        <w:jc w:val="both"/>
      </w:pPr>
      <w:r>
        <w:rPr>
          <w:rFonts w:ascii="Book Antiqua" w:hAnsi="Book Antiqua" w:cs="Book Antiqua"/>
          <w:b/>
          <w:color w:val="000000"/>
        </w:rPr>
        <w:t xml:space="preserve">Figure 3 </w:t>
      </w:r>
      <w:r>
        <w:rPr>
          <w:rFonts w:ascii="Book Antiqua" w:eastAsia="Book Antiqua" w:hAnsi="Book Antiqua" w:cs="Book Antiqua"/>
          <w:b/>
          <w:color w:val="000000"/>
        </w:rPr>
        <w:t>Qualitative endoscopic ultrasound elastography of a neuroendocrine malignant tumor of the pancreatic tail.</w:t>
      </w:r>
      <w:r>
        <w:rPr>
          <w:rFonts w:ascii="Book Antiqua" w:hAnsi="Book Antiqua" w:cs="Book Antiqua"/>
          <w:b/>
          <w:color w:val="000000"/>
        </w:rPr>
        <w:t xml:space="preserve"> </w:t>
      </w:r>
      <w:r>
        <w:rPr>
          <w:rFonts w:ascii="Book Antiqua" w:eastAsia="Book Antiqua" w:hAnsi="Book Antiqua" w:cs="Book Antiqua"/>
          <w:color w:val="000000"/>
        </w:rPr>
        <w:t xml:space="preserve">A: </w:t>
      </w:r>
      <w:r>
        <w:rPr>
          <w:rFonts w:ascii="Book Antiqua" w:hAnsi="Book Antiqua" w:cs="Book Antiqua"/>
          <w:color w:val="000000"/>
        </w:rPr>
        <w:t>E</w:t>
      </w:r>
      <w:r>
        <w:rPr>
          <w:rFonts w:ascii="Book Antiqua" w:eastAsia="Book Antiqua" w:hAnsi="Book Antiqua" w:cs="Book Antiqua"/>
          <w:color w:val="000000"/>
        </w:rPr>
        <w:t xml:space="preserve">ndoscopic ultrasound B-mode; B: </w:t>
      </w:r>
      <w:r>
        <w:rPr>
          <w:rFonts w:ascii="Book Antiqua" w:hAnsi="Book Antiqua" w:cs="Book Antiqua"/>
          <w:color w:val="000000"/>
        </w:rPr>
        <w:t>E</w:t>
      </w:r>
      <w:r>
        <w:rPr>
          <w:rFonts w:ascii="Book Antiqua" w:eastAsia="Book Antiqua" w:hAnsi="Book Antiqua" w:cs="Book Antiqua"/>
          <w:color w:val="000000"/>
        </w:rPr>
        <w:t>lastographic image</w:t>
      </w:r>
      <w:r>
        <w:rPr>
          <w:rFonts w:ascii="Book Antiqua" w:hAnsi="Book Antiqua" w:cs="Book Antiqua"/>
          <w:color w:val="000000"/>
        </w:rPr>
        <w:t>.</w:t>
      </w:r>
    </w:p>
    <w:p w:rsidR="00735318" w:rsidRDefault="002A0C93">
      <w:pPr>
        <w:pageBreakBefore/>
        <w:spacing w:line="360" w:lineRule="auto"/>
        <w:jc w:val="both"/>
        <w:rPr>
          <w:rFonts w:ascii="Book Antiqua" w:hAnsi="Book Antiqua" w:cs="Book Antiqua"/>
          <w:b/>
          <w:color w:val="000000"/>
        </w:rPr>
      </w:pPr>
      <w:r>
        <w:rPr>
          <w:rFonts w:ascii="Book Antiqua" w:hAnsi="Book Antiqua" w:cs="Book Antiqua"/>
          <w:b/>
          <w:noProof/>
          <w:color w:val="000000"/>
        </w:rPr>
        <w:drawing>
          <wp:inline distT="0" distB="0" distL="0" distR="0">
            <wp:extent cx="4351020" cy="5090160"/>
            <wp:effectExtent l="0" t="0" r="0" b="0"/>
            <wp:docPr id="4" name="图片 4" descr="WJG-28-90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JG-28-909-g0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1020" cy="5090160"/>
                    </a:xfrm>
                    <a:prstGeom prst="rect">
                      <a:avLst/>
                    </a:prstGeom>
                    <a:noFill/>
                    <a:ln>
                      <a:noFill/>
                    </a:ln>
                  </pic:spPr>
                </pic:pic>
              </a:graphicData>
            </a:graphic>
          </wp:inline>
        </w:drawing>
      </w:r>
    </w:p>
    <w:p w:rsidR="00735318" w:rsidRDefault="00735318">
      <w:pPr>
        <w:spacing w:line="360" w:lineRule="auto"/>
        <w:jc w:val="both"/>
        <w:rPr>
          <w:rFonts w:ascii="Book Antiqua" w:hAnsi="Book Antiqua" w:cs="Book Antiqua"/>
        </w:rPr>
      </w:pPr>
      <w:r>
        <w:rPr>
          <w:rFonts w:ascii="Book Antiqua" w:hAnsi="Book Antiqua" w:cs="Book Antiqua"/>
          <w:b/>
          <w:color w:val="000000"/>
        </w:rPr>
        <w:t xml:space="preserve">Figure 4 </w:t>
      </w:r>
      <w:r>
        <w:rPr>
          <w:rFonts w:ascii="Book Antiqua" w:eastAsia="Book Antiqua" w:hAnsi="Book Antiqua" w:cs="Book Antiqua"/>
          <w:b/>
          <w:color w:val="000000"/>
        </w:rPr>
        <w:t xml:space="preserve">Quantitative endoscopic ultrasound elastography of pancreatic cancers of the body. </w:t>
      </w:r>
      <w:r>
        <w:rPr>
          <w:rFonts w:ascii="Book Antiqua" w:eastAsia="Book Antiqua" w:hAnsi="Book Antiqua" w:cs="Book Antiqua"/>
          <w:color w:val="000000"/>
        </w:rPr>
        <w:t>A</w:t>
      </w:r>
      <w:r>
        <w:rPr>
          <w:rFonts w:ascii="Book Antiqua" w:hAnsi="Book Antiqua" w:cs="Book Antiqua"/>
          <w:color w:val="000000"/>
        </w:rPr>
        <w:t xml:space="preserve"> and </w:t>
      </w:r>
      <w:r>
        <w:rPr>
          <w:rFonts w:ascii="Book Antiqua" w:eastAsia="Book Antiqua" w:hAnsi="Book Antiqua" w:cs="Book Antiqua"/>
          <w:color w:val="000000"/>
        </w:rPr>
        <w:t xml:space="preserve">C: </w:t>
      </w:r>
      <w:r>
        <w:rPr>
          <w:rFonts w:ascii="Book Antiqua" w:hAnsi="Book Antiqua" w:cs="Book Antiqua"/>
          <w:color w:val="000000"/>
        </w:rPr>
        <w:t>B</w:t>
      </w:r>
      <w:r>
        <w:rPr>
          <w:rFonts w:ascii="Book Antiqua" w:eastAsia="Book Antiqua" w:hAnsi="Book Antiqua" w:cs="Book Antiqua"/>
          <w:color w:val="000000"/>
        </w:rPr>
        <w:t>-mode with region of interest circles and square; B</w:t>
      </w:r>
      <w:r>
        <w:rPr>
          <w:rFonts w:ascii="Book Antiqua" w:hAnsi="Book Antiqua" w:cs="Book Antiqua"/>
          <w:color w:val="000000"/>
        </w:rPr>
        <w:t xml:space="preserve"> and </w:t>
      </w:r>
      <w:r>
        <w:rPr>
          <w:rFonts w:ascii="Book Antiqua" w:eastAsia="Book Antiqua" w:hAnsi="Book Antiqua" w:cs="Book Antiqua"/>
          <w:color w:val="000000"/>
        </w:rPr>
        <w:t xml:space="preserve">D: </w:t>
      </w:r>
      <w:r>
        <w:rPr>
          <w:rFonts w:ascii="Book Antiqua" w:hAnsi="Book Antiqua" w:cs="Book Antiqua"/>
          <w:color w:val="000000"/>
        </w:rPr>
        <w:t>E</w:t>
      </w:r>
      <w:r>
        <w:rPr>
          <w:rFonts w:ascii="Book Antiqua" w:eastAsia="Book Antiqua" w:hAnsi="Book Antiqua" w:cs="Book Antiqua"/>
          <w:color w:val="000000"/>
        </w:rPr>
        <w:t>lastographic images</w:t>
      </w:r>
      <w:r>
        <w:rPr>
          <w:rFonts w:ascii="Book Antiqua" w:hAnsi="Book Antiqua" w:cs="Book Antiqua"/>
          <w:color w:val="000000"/>
        </w:rPr>
        <w:t>.</w:t>
      </w:r>
    </w:p>
    <w:p w:rsidR="00735318" w:rsidRDefault="00735318">
      <w:pPr>
        <w:pageBreakBefore/>
        <w:spacing w:line="360" w:lineRule="auto"/>
        <w:jc w:val="both"/>
        <w:rPr>
          <w:rFonts w:ascii="Book Antiqua" w:hAnsi="Book Antiqua" w:cs="Book Antiqua"/>
          <w:b/>
          <w:bCs/>
        </w:rPr>
      </w:pPr>
      <w:r>
        <w:rPr>
          <w:rFonts w:ascii="Book Antiqua" w:hAnsi="Book Antiqua" w:cs="Book Antiqua"/>
          <w:b/>
        </w:rPr>
        <w:t>Table 1 Rosemont criteria for chronic pancreatitis</w:t>
      </w:r>
      <w:r>
        <w:rPr>
          <w:rFonts w:ascii="Book Antiqua" w:hAnsi="Book Antiqua" w:cs="Book Antiqua"/>
          <w:b/>
          <w:vertAlign w:val="superscript"/>
        </w:rPr>
        <w:t>[12]</w:t>
      </w:r>
    </w:p>
    <w:tbl>
      <w:tblPr>
        <w:tblW w:w="0" w:type="auto"/>
        <w:tblLayout w:type="fixed"/>
        <w:tblLook w:val="0000" w:firstRow="0" w:lastRow="0" w:firstColumn="0" w:lastColumn="0" w:noHBand="0" w:noVBand="0"/>
      </w:tblPr>
      <w:tblGrid>
        <w:gridCol w:w="1227"/>
        <w:gridCol w:w="1542"/>
        <w:gridCol w:w="1737"/>
        <w:gridCol w:w="1597"/>
        <w:gridCol w:w="3658"/>
      </w:tblGrid>
      <w:tr w:rsidR="00735318">
        <w:trPr>
          <w:trHeight w:val="71"/>
        </w:trPr>
        <w:tc>
          <w:tcPr>
            <w:tcW w:w="2769" w:type="dxa"/>
            <w:gridSpan w:val="2"/>
            <w:tcBorders>
              <w:top w:val="single" w:sz="4" w:space="0" w:color="000000"/>
              <w:bottom w:val="single" w:sz="4" w:space="0" w:color="000000"/>
            </w:tcBorders>
            <w:shd w:val="clear" w:color="auto" w:fill="FFFFFF"/>
          </w:tcPr>
          <w:p w:rsidR="00735318" w:rsidRDefault="00735318">
            <w:pPr>
              <w:spacing w:line="360" w:lineRule="auto"/>
              <w:jc w:val="both"/>
              <w:rPr>
                <w:rFonts w:ascii="Book Antiqua" w:hAnsi="Book Antiqua" w:cs="Book Antiqua"/>
                <w:b/>
                <w:bCs/>
              </w:rPr>
            </w:pPr>
            <w:r>
              <w:rPr>
                <w:rFonts w:ascii="Book Antiqua" w:hAnsi="Book Antiqua" w:cs="Book Antiqua"/>
                <w:b/>
                <w:bCs/>
              </w:rPr>
              <w:t xml:space="preserve">Diagnostic </w:t>
            </w:r>
            <w:r>
              <w:rPr>
                <w:rFonts w:ascii="Book Antiqua" w:hAnsi="Book Antiqua" w:cs="Book Antiqua"/>
                <w:b/>
              </w:rPr>
              <w:t>criteria</w:t>
            </w:r>
          </w:p>
        </w:tc>
        <w:tc>
          <w:tcPr>
            <w:tcW w:w="1737" w:type="dxa"/>
            <w:tcBorders>
              <w:top w:val="single" w:sz="4" w:space="0" w:color="000000"/>
              <w:bottom w:val="single" w:sz="4" w:space="0" w:color="000000"/>
            </w:tcBorders>
            <w:shd w:val="clear" w:color="auto" w:fill="FFFFFF"/>
          </w:tcPr>
          <w:p w:rsidR="00735318" w:rsidRDefault="00735318">
            <w:pPr>
              <w:spacing w:line="360" w:lineRule="auto"/>
              <w:jc w:val="both"/>
              <w:rPr>
                <w:rFonts w:ascii="Book Antiqua" w:hAnsi="Book Antiqua" w:cs="Book Antiqua"/>
                <w:b/>
                <w:bCs/>
              </w:rPr>
            </w:pPr>
            <w:r>
              <w:rPr>
                <w:rFonts w:ascii="Book Antiqua" w:hAnsi="Book Antiqua" w:cs="Book Antiqua"/>
                <w:b/>
                <w:bCs/>
              </w:rPr>
              <w:t>Major A</w:t>
            </w:r>
          </w:p>
        </w:tc>
        <w:tc>
          <w:tcPr>
            <w:tcW w:w="1597" w:type="dxa"/>
            <w:tcBorders>
              <w:top w:val="single" w:sz="4" w:space="0" w:color="000000"/>
              <w:bottom w:val="single" w:sz="4" w:space="0" w:color="000000"/>
            </w:tcBorders>
            <w:shd w:val="clear" w:color="auto" w:fill="FFFFFF"/>
          </w:tcPr>
          <w:p w:rsidR="00735318" w:rsidRDefault="00735318">
            <w:pPr>
              <w:spacing w:line="360" w:lineRule="auto"/>
              <w:jc w:val="both"/>
              <w:rPr>
                <w:rFonts w:ascii="Book Antiqua" w:hAnsi="Book Antiqua" w:cs="Book Antiqua"/>
                <w:b/>
                <w:bCs/>
              </w:rPr>
            </w:pPr>
            <w:r>
              <w:rPr>
                <w:rFonts w:ascii="Book Antiqua" w:hAnsi="Book Antiqua" w:cs="Book Antiqua"/>
                <w:b/>
                <w:bCs/>
              </w:rPr>
              <w:t>Major B</w:t>
            </w:r>
          </w:p>
        </w:tc>
        <w:tc>
          <w:tcPr>
            <w:tcW w:w="3658" w:type="dxa"/>
            <w:tcBorders>
              <w:top w:val="single" w:sz="4" w:space="0" w:color="000000"/>
              <w:bottom w:val="single" w:sz="4" w:space="0" w:color="000000"/>
            </w:tcBorders>
            <w:shd w:val="clear" w:color="auto" w:fill="FFFFFF"/>
          </w:tcPr>
          <w:p w:rsidR="00735318" w:rsidRDefault="00735318">
            <w:pPr>
              <w:spacing w:line="360" w:lineRule="auto"/>
              <w:jc w:val="both"/>
            </w:pPr>
            <w:r>
              <w:rPr>
                <w:rFonts w:ascii="Book Antiqua" w:hAnsi="Book Antiqua" w:cs="Book Antiqua"/>
                <w:b/>
                <w:bCs/>
              </w:rPr>
              <w:t>Minor</w:t>
            </w:r>
          </w:p>
        </w:tc>
      </w:tr>
      <w:tr w:rsidR="00735318" w:rsidTr="00315581">
        <w:trPr>
          <w:trHeight w:val="71"/>
        </w:trPr>
        <w:tc>
          <w:tcPr>
            <w:tcW w:w="1227" w:type="dxa"/>
            <w:vMerge w:val="restart"/>
            <w:tcBorders>
              <w:top w:val="single" w:sz="4" w:space="0" w:color="000000"/>
              <w:bottom w:val="single" w:sz="4" w:space="0" w:color="auto"/>
            </w:tcBorders>
            <w:shd w:val="clear" w:color="auto" w:fill="FFFFFF"/>
          </w:tcPr>
          <w:p w:rsidR="00735318" w:rsidRDefault="00735318">
            <w:pPr>
              <w:spacing w:line="360" w:lineRule="auto"/>
              <w:jc w:val="both"/>
              <w:rPr>
                <w:rFonts w:ascii="Book Antiqua" w:hAnsi="Book Antiqua" w:cs="Book Antiqua"/>
                <w:bCs/>
              </w:rPr>
            </w:pPr>
            <w:r>
              <w:rPr>
                <w:rFonts w:ascii="Book Antiqua" w:hAnsi="Book Antiqua" w:cs="Book Antiqua"/>
                <w:bCs/>
              </w:rPr>
              <w:t>Pancreas</w:t>
            </w:r>
          </w:p>
        </w:tc>
        <w:tc>
          <w:tcPr>
            <w:tcW w:w="1542" w:type="dxa"/>
            <w:vMerge w:val="restart"/>
            <w:tcBorders>
              <w:top w:val="single" w:sz="4" w:space="0" w:color="000000"/>
            </w:tcBorders>
            <w:shd w:val="clear" w:color="auto" w:fill="FFFFFF"/>
          </w:tcPr>
          <w:p w:rsidR="00735318" w:rsidRDefault="00735318">
            <w:pPr>
              <w:spacing w:line="360" w:lineRule="auto"/>
              <w:jc w:val="both"/>
              <w:rPr>
                <w:rFonts w:ascii="Book Antiqua" w:hAnsi="Book Antiqua" w:cs="Book Antiqua"/>
              </w:rPr>
            </w:pPr>
            <w:r>
              <w:rPr>
                <w:rFonts w:ascii="Book Antiqua" w:hAnsi="Book Antiqua" w:cs="Book Antiqua"/>
                <w:bCs/>
              </w:rPr>
              <w:t>Parenchyma</w:t>
            </w:r>
          </w:p>
        </w:tc>
        <w:tc>
          <w:tcPr>
            <w:tcW w:w="1737" w:type="dxa"/>
            <w:vMerge w:val="restart"/>
            <w:tcBorders>
              <w:top w:val="single" w:sz="4" w:space="0" w:color="000000"/>
            </w:tcBorders>
            <w:shd w:val="clear" w:color="auto" w:fill="FFFFFF"/>
          </w:tcPr>
          <w:p w:rsidR="00735318" w:rsidRDefault="00735318">
            <w:pPr>
              <w:spacing w:line="360" w:lineRule="auto"/>
              <w:jc w:val="both"/>
              <w:rPr>
                <w:rFonts w:ascii="Book Antiqua" w:hAnsi="Book Antiqua" w:cs="Book Antiqua"/>
                <w:color w:val="212529"/>
              </w:rPr>
            </w:pPr>
            <w:r>
              <w:rPr>
                <w:rFonts w:ascii="Book Antiqua" w:hAnsi="Book Antiqua" w:cs="Book Antiqua"/>
              </w:rPr>
              <w:t>Hyperechoic foci with acoustic shadows; body/tail</w:t>
            </w:r>
          </w:p>
        </w:tc>
        <w:tc>
          <w:tcPr>
            <w:tcW w:w="1597" w:type="dxa"/>
            <w:vMerge w:val="restart"/>
            <w:tcBorders>
              <w:top w:val="single" w:sz="4" w:space="0" w:color="000000"/>
            </w:tcBorders>
            <w:shd w:val="clear" w:color="auto" w:fill="FFFFFF"/>
          </w:tcPr>
          <w:p w:rsidR="00735318" w:rsidRDefault="00735318">
            <w:pPr>
              <w:spacing w:line="360" w:lineRule="auto"/>
              <w:jc w:val="both"/>
              <w:rPr>
                <w:rFonts w:ascii="Book Antiqua" w:hAnsi="Book Antiqua" w:cs="Book Antiqua"/>
                <w:color w:val="212529"/>
              </w:rPr>
            </w:pPr>
            <w:r>
              <w:rPr>
                <w:rFonts w:ascii="Book Antiqua" w:hAnsi="Book Antiqua" w:cs="Book Antiqua"/>
                <w:color w:val="212529"/>
              </w:rPr>
              <w:t>Honeycomb-like lobulation; body/tail</w:t>
            </w:r>
          </w:p>
        </w:tc>
        <w:tc>
          <w:tcPr>
            <w:tcW w:w="3658" w:type="dxa"/>
            <w:tcBorders>
              <w:top w:val="single" w:sz="4" w:space="0" w:color="000000"/>
            </w:tcBorders>
            <w:shd w:val="clear" w:color="auto" w:fill="FFFFFF"/>
          </w:tcPr>
          <w:p w:rsidR="00735318" w:rsidRDefault="00735318">
            <w:pPr>
              <w:spacing w:line="360" w:lineRule="auto"/>
              <w:jc w:val="both"/>
            </w:pPr>
            <w:r>
              <w:rPr>
                <w:rFonts w:ascii="Book Antiqua" w:hAnsi="Book Antiqua" w:cs="Book Antiqua"/>
                <w:color w:val="212529"/>
              </w:rPr>
              <w:t>Lobulation without honeycombing; body/tail</w:t>
            </w:r>
          </w:p>
        </w:tc>
      </w:tr>
      <w:tr w:rsidR="00735318" w:rsidTr="00315581">
        <w:trPr>
          <w:trHeight w:val="762"/>
        </w:trPr>
        <w:tc>
          <w:tcPr>
            <w:tcW w:w="1227" w:type="dxa"/>
            <w:vMerge/>
            <w:tcBorders>
              <w:bottom w:val="single" w:sz="4" w:space="0" w:color="auto"/>
            </w:tcBorders>
            <w:shd w:val="clear" w:color="auto" w:fill="FFFFFF"/>
          </w:tcPr>
          <w:p w:rsidR="00735318" w:rsidRDefault="00735318">
            <w:pPr>
              <w:snapToGrid w:val="0"/>
              <w:spacing w:line="360" w:lineRule="auto"/>
              <w:jc w:val="both"/>
              <w:rPr>
                <w:rFonts w:ascii="Book Antiqua" w:hAnsi="Book Antiqua" w:cs="Book Antiqua"/>
              </w:rPr>
            </w:pPr>
          </w:p>
        </w:tc>
        <w:tc>
          <w:tcPr>
            <w:tcW w:w="1542" w:type="dxa"/>
            <w:vMerge/>
            <w:shd w:val="clear" w:color="auto" w:fill="FFFFFF"/>
          </w:tcPr>
          <w:p w:rsidR="00735318" w:rsidRDefault="00735318">
            <w:pPr>
              <w:snapToGrid w:val="0"/>
              <w:spacing w:line="360" w:lineRule="auto"/>
              <w:jc w:val="both"/>
              <w:rPr>
                <w:rFonts w:ascii="Book Antiqua" w:hAnsi="Book Antiqua" w:cs="Book Antiqua"/>
              </w:rPr>
            </w:pPr>
          </w:p>
        </w:tc>
        <w:tc>
          <w:tcPr>
            <w:tcW w:w="1737" w:type="dxa"/>
            <w:vMerge/>
            <w:shd w:val="clear" w:color="auto" w:fill="FFFFFF"/>
          </w:tcPr>
          <w:p w:rsidR="00735318" w:rsidRDefault="00735318">
            <w:pPr>
              <w:snapToGrid w:val="0"/>
              <w:spacing w:line="360" w:lineRule="auto"/>
              <w:jc w:val="both"/>
              <w:rPr>
                <w:rFonts w:ascii="Book Antiqua" w:hAnsi="Book Antiqua" w:cs="Book Antiqua"/>
              </w:rPr>
            </w:pPr>
          </w:p>
        </w:tc>
        <w:tc>
          <w:tcPr>
            <w:tcW w:w="1597" w:type="dxa"/>
            <w:vMerge/>
            <w:shd w:val="clear" w:color="auto" w:fill="FFFFFF"/>
          </w:tcPr>
          <w:p w:rsidR="00735318" w:rsidRDefault="00735318">
            <w:pPr>
              <w:snapToGrid w:val="0"/>
              <w:spacing w:line="360" w:lineRule="auto"/>
              <w:jc w:val="both"/>
              <w:rPr>
                <w:rFonts w:ascii="Book Antiqua" w:hAnsi="Book Antiqua" w:cs="Book Antiqua"/>
              </w:rPr>
            </w:pPr>
          </w:p>
        </w:tc>
        <w:tc>
          <w:tcPr>
            <w:tcW w:w="3658" w:type="dxa"/>
            <w:shd w:val="clear" w:color="auto" w:fill="FFFFFF"/>
          </w:tcPr>
          <w:p w:rsidR="00735318" w:rsidRDefault="00735318">
            <w:pPr>
              <w:spacing w:line="360" w:lineRule="auto"/>
              <w:jc w:val="both"/>
            </w:pPr>
            <w:r>
              <w:rPr>
                <w:rFonts w:ascii="Book Antiqua" w:hAnsi="Book Antiqua" w:cs="Book Antiqua"/>
                <w:color w:val="212529"/>
              </w:rPr>
              <w:t>Hyperechoic foci without acoustic shadows; body/tail</w:t>
            </w:r>
          </w:p>
        </w:tc>
      </w:tr>
      <w:tr w:rsidR="00735318" w:rsidTr="00315581">
        <w:trPr>
          <w:trHeight w:val="71"/>
        </w:trPr>
        <w:tc>
          <w:tcPr>
            <w:tcW w:w="1227" w:type="dxa"/>
            <w:vMerge/>
            <w:tcBorders>
              <w:bottom w:val="single" w:sz="4" w:space="0" w:color="auto"/>
            </w:tcBorders>
            <w:shd w:val="clear" w:color="auto" w:fill="FFFFFF"/>
          </w:tcPr>
          <w:p w:rsidR="00735318" w:rsidRDefault="00735318">
            <w:pPr>
              <w:snapToGrid w:val="0"/>
              <w:spacing w:line="360" w:lineRule="auto"/>
              <w:jc w:val="both"/>
              <w:rPr>
                <w:rFonts w:ascii="Book Antiqua" w:hAnsi="Book Antiqua" w:cs="Book Antiqua"/>
              </w:rPr>
            </w:pPr>
          </w:p>
        </w:tc>
        <w:tc>
          <w:tcPr>
            <w:tcW w:w="1542" w:type="dxa"/>
            <w:vMerge/>
            <w:shd w:val="clear" w:color="auto" w:fill="FFFFFF"/>
          </w:tcPr>
          <w:p w:rsidR="00735318" w:rsidRDefault="00735318">
            <w:pPr>
              <w:snapToGrid w:val="0"/>
              <w:spacing w:line="360" w:lineRule="auto"/>
              <w:jc w:val="both"/>
              <w:rPr>
                <w:rFonts w:ascii="Book Antiqua" w:hAnsi="Book Antiqua" w:cs="Book Antiqua"/>
              </w:rPr>
            </w:pPr>
          </w:p>
        </w:tc>
        <w:tc>
          <w:tcPr>
            <w:tcW w:w="1737" w:type="dxa"/>
            <w:vMerge/>
            <w:shd w:val="clear" w:color="auto" w:fill="FFFFFF"/>
          </w:tcPr>
          <w:p w:rsidR="00735318" w:rsidRDefault="00735318">
            <w:pPr>
              <w:snapToGrid w:val="0"/>
              <w:spacing w:line="360" w:lineRule="auto"/>
              <w:jc w:val="both"/>
              <w:rPr>
                <w:rFonts w:ascii="Book Antiqua" w:hAnsi="Book Antiqua" w:cs="Book Antiqua"/>
              </w:rPr>
            </w:pPr>
          </w:p>
        </w:tc>
        <w:tc>
          <w:tcPr>
            <w:tcW w:w="1597" w:type="dxa"/>
            <w:vMerge/>
            <w:shd w:val="clear" w:color="auto" w:fill="FFFFFF"/>
          </w:tcPr>
          <w:p w:rsidR="00735318" w:rsidRDefault="00735318">
            <w:pPr>
              <w:snapToGrid w:val="0"/>
              <w:spacing w:line="360" w:lineRule="auto"/>
              <w:jc w:val="both"/>
              <w:rPr>
                <w:rFonts w:ascii="Book Antiqua" w:hAnsi="Book Antiqua" w:cs="Book Antiqua"/>
              </w:rPr>
            </w:pPr>
          </w:p>
        </w:tc>
        <w:tc>
          <w:tcPr>
            <w:tcW w:w="3658" w:type="dxa"/>
            <w:shd w:val="clear" w:color="auto" w:fill="FFFFFF"/>
          </w:tcPr>
          <w:p w:rsidR="00735318" w:rsidRDefault="00735318">
            <w:pPr>
              <w:spacing w:line="360" w:lineRule="auto"/>
              <w:jc w:val="both"/>
            </w:pPr>
            <w:r>
              <w:rPr>
                <w:rFonts w:ascii="Book Antiqua" w:hAnsi="Book Antiqua" w:cs="Book Antiqua"/>
                <w:color w:val="212529"/>
              </w:rPr>
              <w:t>Cysts</w:t>
            </w:r>
          </w:p>
        </w:tc>
      </w:tr>
      <w:tr w:rsidR="00735318" w:rsidTr="00315581">
        <w:trPr>
          <w:trHeight w:val="71"/>
        </w:trPr>
        <w:tc>
          <w:tcPr>
            <w:tcW w:w="1227" w:type="dxa"/>
            <w:vMerge/>
            <w:tcBorders>
              <w:bottom w:val="single" w:sz="4" w:space="0" w:color="auto"/>
            </w:tcBorders>
            <w:shd w:val="clear" w:color="auto" w:fill="FFFFFF"/>
          </w:tcPr>
          <w:p w:rsidR="00735318" w:rsidRDefault="00735318">
            <w:pPr>
              <w:snapToGrid w:val="0"/>
              <w:spacing w:line="360" w:lineRule="auto"/>
              <w:jc w:val="both"/>
              <w:rPr>
                <w:rFonts w:ascii="Book Antiqua" w:hAnsi="Book Antiqua" w:cs="Book Antiqua"/>
              </w:rPr>
            </w:pPr>
          </w:p>
        </w:tc>
        <w:tc>
          <w:tcPr>
            <w:tcW w:w="1542" w:type="dxa"/>
            <w:vMerge/>
            <w:shd w:val="clear" w:color="auto" w:fill="FFFFFF"/>
          </w:tcPr>
          <w:p w:rsidR="00735318" w:rsidRDefault="00735318">
            <w:pPr>
              <w:snapToGrid w:val="0"/>
              <w:spacing w:line="360" w:lineRule="auto"/>
              <w:jc w:val="both"/>
              <w:rPr>
                <w:rFonts w:ascii="Book Antiqua" w:hAnsi="Book Antiqua" w:cs="Book Antiqua"/>
              </w:rPr>
            </w:pPr>
          </w:p>
        </w:tc>
        <w:tc>
          <w:tcPr>
            <w:tcW w:w="1737" w:type="dxa"/>
            <w:vMerge/>
            <w:shd w:val="clear" w:color="auto" w:fill="FFFFFF"/>
          </w:tcPr>
          <w:p w:rsidR="00735318" w:rsidRDefault="00735318">
            <w:pPr>
              <w:snapToGrid w:val="0"/>
              <w:spacing w:line="360" w:lineRule="auto"/>
              <w:jc w:val="both"/>
              <w:rPr>
                <w:rFonts w:ascii="Book Antiqua" w:hAnsi="Book Antiqua" w:cs="Book Antiqua"/>
              </w:rPr>
            </w:pPr>
          </w:p>
        </w:tc>
        <w:tc>
          <w:tcPr>
            <w:tcW w:w="1597" w:type="dxa"/>
            <w:vMerge/>
            <w:shd w:val="clear" w:color="auto" w:fill="FFFFFF"/>
          </w:tcPr>
          <w:p w:rsidR="00735318" w:rsidRDefault="00735318">
            <w:pPr>
              <w:snapToGrid w:val="0"/>
              <w:spacing w:line="360" w:lineRule="auto"/>
              <w:jc w:val="both"/>
              <w:rPr>
                <w:rFonts w:ascii="Book Antiqua" w:hAnsi="Book Antiqua" w:cs="Book Antiqua"/>
              </w:rPr>
            </w:pPr>
          </w:p>
        </w:tc>
        <w:tc>
          <w:tcPr>
            <w:tcW w:w="3658" w:type="dxa"/>
            <w:shd w:val="clear" w:color="auto" w:fill="FFFFFF"/>
          </w:tcPr>
          <w:p w:rsidR="00735318" w:rsidRDefault="00735318">
            <w:pPr>
              <w:spacing w:line="360" w:lineRule="auto"/>
              <w:jc w:val="both"/>
            </w:pPr>
            <w:r>
              <w:rPr>
                <w:rFonts w:ascii="Book Antiqua" w:hAnsi="Book Antiqua" w:cs="Book Antiqua"/>
                <w:color w:val="212529"/>
              </w:rPr>
              <w:t>Echo-dense septa; body/tail</w:t>
            </w:r>
          </w:p>
        </w:tc>
      </w:tr>
      <w:tr w:rsidR="00735318" w:rsidTr="00315581">
        <w:trPr>
          <w:trHeight w:val="71"/>
        </w:trPr>
        <w:tc>
          <w:tcPr>
            <w:tcW w:w="1227" w:type="dxa"/>
            <w:vMerge/>
            <w:tcBorders>
              <w:bottom w:val="single" w:sz="4" w:space="0" w:color="auto"/>
            </w:tcBorders>
            <w:shd w:val="clear" w:color="auto" w:fill="FFFFFF"/>
          </w:tcPr>
          <w:p w:rsidR="00735318" w:rsidRDefault="00735318">
            <w:pPr>
              <w:snapToGrid w:val="0"/>
              <w:spacing w:line="360" w:lineRule="auto"/>
              <w:jc w:val="both"/>
              <w:rPr>
                <w:rFonts w:ascii="Book Antiqua" w:hAnsi="Book Antiqua" w:cs="Book Antiqua"/>
                <w:bCs/>
              </w:rPr>
            </w:pPr>
          </w:p>
        </w:tc>
        <w:tc>
          <w:tcPr>
            <w:tcW w:w="1542" w:type="dxa"/>
            <w:vMerge w:val="restart"/>
            <w:tcBorders>
              <w:bottom w:val="single" w:sz="4" w:space="0" w:color="auto"/>
            </w:tcBorders>
            <w:shd w:val="clear" w:color="auto" w:fill="FFFFFF"/>
          </w:tcPr>
          <w:p w:rsidR="00735318" w:rsidRDefault="00735318">
            <w:pPr>
              <w:spacing w:line="360" w:lineRule="auto"/>
              <w:jc w:val="both"/>
              <w:rPr>
                <w:rFonts w:ascii="Book Antiqua" w:hAnsi="Book Antiqua" w:cs="Book Antiqua"/>
              </w:rPr>
            </w:pPr>
            <w:r>
              <w:rPr>
                <w:rFonts w:ascii="Book Antiqua" w:hAnsi="Book Antiqua" w:cs="Book Antiqua"/>
                <w:bCs/>
              </w:rPr>
              <w:t>Duct</w:t>
            </w:r>
          </w:p>
        </w:tc>
        <w:tc>
          <w:tcPr>
            <w:tcW w:w="1737" w:type="dxa"/>
            <w:vMerge w:val="restart"/>
            <w:tcBorders>
              <w:bottom w:val="single" w:sz="4" w:space="0" w:color="auto"/>
            </w:tcBorders>
            <w:shd w:val="clear" w:color="auto" w:fill="FFFFFF"/>
          </w:tcPr>
          <w:p w:rsidR="00735318" w:rsidRDefault="00735318">
            <w:pPr>
              <w:spacing w:line="360" w:lineRule="auto"/>
              <w:jc w:val="both"/>
              <w:rPr>
                <w:rFonts w:ascii="Book Antiqua" w:hAnsi="Book Antiqua" w:cs="Book Antiqua"/>
              </w:rPr>
            </w:pPr>
            <w:r>
              <w:rPr>
                <w:rFonts w:ascii="Book Antiqua" w:hAnsi="Book Antiqua" w:cs="Book Antiqua"/>
              </w:rPr>
              <w:t>Stones in the duct</w:t>
            </w:r>
          </w:p>
        </w:tc>
        <w:tc>
          <w:tcPr>
            <w:tcW w:w="1597" w:type="dxa"/>
            <w:vMerge w:val="restart"/>
            <w:tcBorders>
              <w:bottom w:val="single" w:sz="4" w:space="0" w:color="auto"/>
            </w:tcBorders>
            <w:shd w:val="clear" w:color="auto" w:fill="FFFFFF"/>
          </w:tcPr>
          <w:p w:rsidR="00735318" w:rsidRDefault="00735318">
            <w:pPr>
              <w:spacing w:line="360" w:lineRule="auto"/>
              <w:jc w:val="both"/>
              <w:rPr>
                <w:rFonts w:ascii="Book Antiqua" w:hAnsi="Book Antiqua" w:cs="Book Antiqua"/>
                <w:color w:val="212529"/>
              </w:rPr>
            </w:pPr>
            <w:r>
              <w:rPr>
                <w:rFonts w:ascii="Book Antiqua" w:hAnsi="Book Antiqua" w:cs="Book Antiqua"/>
              </w:rPr>
              <w:t>None</w:t>
            </w:r>
          </w:p>
        </w:tc>
        <w:tc>
          <w:tcPr>
            <w:tcW w:w="3658" w:type="dxa"/>
            <w:shd w:val="clear" w:color="auto" w:fill="FFFFFF"/>
          </w:tcPr>
          <w:p w:rsidR="00735318" w:rsidRDefault="00735318">
            <w:pPr>
              <w:spacing w:line="360" w:lineRule="auto"/>
              <w:jc w:val="both"/>
            </w:pPr>
            <w:r>
              <w:rPr>
                <w:rFonts w:ascii="Book Antiqua" w:hAnsi="Book Antiqua" w:cs="Book Antiqua"/>
                <w:color w:val="212529"/>
              </w:rPr>
              <w:t>Irregular duct; body/tail</w:t>
            </w:r>
          </w:p>
        </w:tc>
      </w:tr>
      <w:tr w:rsidR="00735318" w:rsidTr="00315581">
        <w:trPr>
          <w:trHeight w:val="71"/>
        </w:trPr>
        <w:tc>
          <w:tcPr>
            <w:tcW w:w="1227" w:type="dxa"/>
            <w:vMerge/>
            <w:tcBorders>
              <w:bottom w:val="single" w:sz="4" w:space="0" w:color="auto"/>
            </w:tcBorders>
            <w:shd w:val="clear" w:color="auto" w:fill="FFFFFF"/>
          </w:tcPr>
          <w:p w:rsidR="00735318" w:rsidRDefault="00735318">
            <w:pPr>
              <w:snapToGrid w:val="0"/>
              <w:spacing w:line="360" w:lineRule="auto"/>
              <w:jc w:val="both"/>
              <w:rPr>
                <w:rFonts w:ascii="Book Antiqua" w:hAnsi="Book Antiqua" w:cs="Book Antiqua"/>
              </w:rPr>
            </w:pPr>
          </w:p>
        </w:tc>
        <w:tc>
          <w:tcPr>
            <w:tcW w:w="1542" w:type="dxa"/>
            <w:vMerge/>
            <w:tcBorders>
              <w:bottom w:val="single" w:sz="4" w:space="0" w:color="auto"/>
            </w:tcBorders>
            <w:shd w:val="clear" w:color="auto" w:fill="FFFFFF"/>
          </w:tcPr>
          <w:p w:rsidR="00735318" w:rsidRDefault="00735318">
            <w:pPr>
              <w:snapToGrid w:val="0"/>
              <w:spacing w:line="360" w:lineRule="auto"/>
              <w:jc w:val="both"/>
              <w:rPr>
                <w:rFonts w:ascii="Book Antiqua" w:hAnsi="Book Antiqua" w:cs="Book Antiqua"/>
              </w:rPr>
            </w:pPr>
          </w:p>
        </w:tc>
        <w:tc>
          <w:tcPr>
            <w:tcW w:w="1737" w:type="dxa"/>
            <w:vMerge/>
            <w:tcBorders>
              <w:bottom w:val="single" w:sz="4" w:space="0" w:color="auto"/>
            </w:tcBorders>
            <w:shd w:val="clear" w:color="auto" w:fill="FFFFFF"/>
          </w:tcPr>
          <w:p w:rsidR="00735318" w:rsidRDefault="00735318">
            <w:pPr>
              <w:snapToGrid w:val="0"/>
              <w:spacing w:line="360" w:lineRule="auto"/>
              <w:jc w:val="both"/>
              <w:rPr>
                <w:rFonts w:ascii="Book Antiqua" w:hAnsi="Book Antiqua" w:cs="Book Antiqua"/>
              </w:rPr>
            </w:pPr>
          </w:p>
        </w:tc>
        <w:tc>
          <w:tcPr>
            <w:tcW w:w="1597" w:type="dxa"/>
            <w:vMerge/>
            <w:tcBorders>
              <w:bottom w:val="single" w:sz="4" w:space="0" w:color="auto"/>
            </w:tcBorders>
            <w:shd w:val="clear" w:color="auto" w:fill="FFFFFF"/>
          </w:tcPr>
          <w:p w:rsidR="00735318" w:rsidRDefault="00735318">
            <w:pPr>
              <w:snapToGrid w:val="0"/>
              <w:spacing w:line="360" w:lineRule="auto"/>
              <w:jc w:val="both"/>
              <w:rPr>
                <w:rFonts w:ascii="Book Antiqua" w:hAnsi="Book Antiqua" w:cs="Book Antiqua"/>
              </w:rPr>
            </w:pPr>
          </w:p>
        </w:tc>
        <w:tc>
          <w:tcPr>
            <w:tcW w:w="3658" w:type="dxa"/>
            <w:shd w:val="clear" w:color="auto" w:fill="FFFFFF"/>
          </w:tcPr>
          <w:p w:rsidR="00735318" w:rsidRDefault="00735318">
            <w:pPr>
              <w:spacing w:line="360" w:lineRule="auto"/>
              <w:jc w:val="both"/>
            </w:pPr>
            <w:r>
              <w:rPr>
                <w:rFonts w:ascii="Book Antiqua" w:hAnsi="Book Antiqua" w:cs="Book Antiqua"/>
                <w:color w:val="212529"/>
              </w:rPr>
              <w:t>Dilated side ducts; body/tail</w:t>
            </w:r>
          </w:p>
        </w:tc>
      </w:tr>
      <w:tr w:rsidR="00735318" w:rsidTr="00315581">
        <w:trPr>
          <w:trHeight w:val="71"/>
        </w:trPr>
        <w:tc>
          <w:tcPr>
            <w:tcW w:w="1227" w:type="dxa"/>
            <w:vMerge/>
            <w:tcBorders>
              <w:bottom w:val="single" w:sz="4" w:space="0" w:color="auto"/>
            </w:tcBorders>
            <w:shd w:val="clear" w:color="auto" w:fill="FFFFFF"/>
          </w:tcPr>
          <w:p w:rsidR="00735318" w:rsidRDefault="00735318">
            <w:pPr>
              <w:snapToGrid w:val="0"/>
              <w:spacing w:line="360" w:lineRule="auto"/>
              <w:jc w:val="both"/>
              <w:rPr>
                <w:rFonts w:ascii="Book Antiqua" w:hAnsi="Book Antiqua" w:cs="Book Antiqua"/>
              </w:rPr>
            </w:pPr>
          </w:p>
        </w:tc>
        <w:tc>
          <w:tcPr>
            <w:tcW w:w="1542" w:type="dxa"/>
            <w:vMerge/>
            <w:tcBorders>
              <w:bottom w:val="single" w:sz="4" w:space="0" w:color="auto"/>
            </w:tcBorders>
            <w:shd w:val="clear" w:color="auto" w:fill="FFFFFF"/>
          </w:tcPr>
          <w:p w:rsidR="00735318" w:rsidRDefault="00735318">
            <w:pPr>
              <w:snapToGrid w:val="0"/>
              <w:spacing w:line="360" w:lineRule="auto"/>
              <w:jc w:val="both"/>
              <w:rPr>
                <w:rFonts w:ascii="Book Antiqua" w:hAnsi="Book Antiqua" w:cs="Book Antiqua"/>
              </w:rPr>
            </w:pPr>
          </w:p>
        </w:tc>
        <w:tc>
          <w:tcPr>
            <w:tcW w:w="1737" w:type="dxa"/>
            <w:vMerge/>
            <w:tcBorders>
              <w:bottom w:val="single" w:sz="4" w:space="0" w:color="auto"/>
            </w:tcBorders>
            <w:shd w:val="clear" w:color="auto" w:fill="FFFFFF"/>
          </w:tcPr>
          <w:p w:rsidR="00735318" w:rsidRDefault="00735318">
            <w:pPr>
              <w:snapToGrid w:val="0"/>
              <w:spacing w:line="360" w:lineRule="auto"/>
              <w:jc w:val="both"/>
              <w:rPr>
                <w:rFonts w:ascii="Book Antiqua" w:hAnsi="Book Antiqua" w:cs="Book Antiqua"/>
              </w:rPr>
            </w:pPr>
          </w:p>
        </w:tc>
        <w:tc>
          <w:tcPr>
            <w:tcW w:w="1597" w:type="dxa"/>
            <w:vMerge/>
            <w:tcBorders>
              <w:bottom w:val="single" w:sz="4" w:space="0" w:color="auto"/>
            </w:tcBorders>
            <w:shd w:val="clear" w:color="auto" w:fill="FFFFFF"/>
          </w:tcPr>
          <w:p w:rsidR="00735318" w:rsidRDefault="00735318">
            <w:pPr>
              <w:snapToGrid w:val="0"/>
              <w:spacing w:line="360" w:lineRule="auto"/>
              <w:jc w:val="both"/>
              <w:rPr>
                <w:rFonts w:ascii="Book Antiqua" w:hAnsi="Book Antiqua" w:cs="Book Antiqua"/>
              </w:rPr>
            </w:pPr>
          </w:p>
        </w:tc>
        <w:tc>
          <w:tcPr>
            <w:tcW w:w="3658" w:type="dxa"/>
            <w:shd w:val="clear" w:color="auto" w:fill="FFFFFF"/>
          </w:tcPr>
          <w:p w:rsidR="00735318" w:rsidRDefault="00735318">
            <w:pPr>
              <w:spacing w:line="360" w:lineRule="auto"/>
              <w:jc w:val="both"/>
            </w:pPr>
            <w:r>
              <w:rPr>
                <w:rFonts w:ascii="Book Antiqua" w:hAnsi="Book Antiqua" w:cs="Book Antiqua"/>
                <w:color w:val="212529"/>
              </w:rPr>
              <w:t>Dilated main duct; body/tail</w:t>
            </w:r>
          </w:p>
        </w:tc>
      </w:tr>
      <w:tr w:rsidR="00735318" w:rsidTr="00315581">
        <w:trPr>
          <w:trHeight w:val="71"/>
        </w:trPr>
        <w:tc>
          <w:tcPr>
            <w:tcW w:w="1227" w:type="dxa"/>
            <w:vMerge/>
            <w:tcBorders>
              <w:bottom w:val="single" w:sz="4" w:space="0" w:color="auto"/>
            </w:tcBorders>
            <w:shd w:val="clear" w:color="auto" w:fill="FFFFFF"/>
          </w:tcPr>
          <w:p w:rsidR="00735318" w:rsidRDefault="00735318">
            <w:pPr>
              <w:snapToGrid w:val="0"/>
              <w:spacing w:line="360" w:lineRule="auto"/>
              <w:jc w:val="both"/>
              <w:rPr>
                <w:rFonts w:ascii="Book Antiqua" w:hAnsi="Book Antiqua" w:cs="Book Antiqua"/>
              </w:rPr>
            </w:pPr>
          </w:p>
        </w:tc>
        <w:tc>
          <w:tcPr>
            <w:tcW w:w="1542" w:type="dxa"/>
            <w:vMerge/>
            <w:tcBorders>
              <w:bottom w:val="single" w:sz="4" w:space="0" w:color="auto"/>
            </w:tcBorders>
            <w:shd w:val="clear" w:color="auto" w:fill="FFFFFF"/>
          </w:tcPr>
          <w:p w:rsidR="00735318" w:rsidRDefault="00735318">
            <w:pPr>
              <w:snapToGrid w:val="0"/>
              <w:spacing w:line="360" w:lineRule="auto"/>
              <w:jc w:val="both"/>
              <w:rPr>
                <w:rFonts w:ascii="Book Antiqua" w:hAnsi="Book Antiqua" w:cs="Book Antiqua"/>
              </w:rPr>
            </w:pPr>
          </w:p>
        </w:tc>
        <w:tc>
          <w:tcPr>
            <w:tcW w:w="1737" w:type="dxa"/>
            <w:vMerge/>
            <w:tcBorders>
              <w:bottom w:val="single" w:sz="4" w:space="0" w:color="auto"/>
            </w:tcBorders>
            <w:shd w:val="clear" w:color="auto" w:fill="FFFFFF"/>
          </w:tcPr>
          <w:p w:rsidR="00735318" w:rsidRDefault="00735318">
            <w:pPr>
              <w:snapToGrid w:val="0"/>
              <w:spacing w:line="360" w:lineRule="auto"/>
              <w:jc w:val="both"/>
              <w:rPr>
                <w:rFonts w:ascii="Book Antiqua" w:hAnsi="Book Antiqua" w:cs="Book Antiqua"/>
              </w:rPr>
            </w:pPr>
          </w:p>
        </w:tc>
        <w:tc>
          <w:tcPr>
            <w:tcW w:w="1597" w:type="dxa"/>
            <w:vMerge/>
            <w:tcBorders>
              <w:bottom w:val="single" w:sz="4" w:space="0" w:color="auto"/>
            </w:tcBorders>
            <w:shd w:val="clear" w:color="auto" w:fill="FFFFFF"/>
          </w:tcPr>
          <w:p w:rsidR="00735318" w:rsidRDefault="00735318">
            <w:pPr>
              <w:snapToGrid w:val="0"/>
              <w:spacing w:line="360" w:lineRule="auto"/>
              <w:jc w:val="both"/>
              <w:rPr>
                <w:rFonts w:ascii="Book Antiqua" w:hAnsi="Book Antiqua" w:cs="Book Antiqua"/>
              </w:rPr>
            </w:pPr>
          </w:p>
        </w:tc>
        <w:tc>
          <w:tcPr>
            <w:tcW w:w="3658" w:type="dxa"/>
            <w:tcBorders>
              <w:bottom w:val="single" w:sz="4" w:space="0" w:color="000000"/>
            </w:tcBorders>
            <w:shd w:val="clear" w:color="auto" w:fill="FFFFFF"/>
          </w:tcPr>
          <w:p w:rsidR="00735318" w:rsidRDefault="00735318">
            <w:pPr>
              <w:spacing w:line="360" w:lineRule="auto"/>
              <w:jc w:val="both"/>
            </w:pPr>
            <w:r>
              <w:rPr>
                <w:rFonts w:ascii="Book Antiqua" w:hAnsi="Book Antiqua" w:cs="Book Antiqua"/>
              </w:rPr>
              <w:t>Hyperechoic contours on the main duct; body/tail</w:t>
            </w:r>
          </w:p>
        </w:tc>
      </w:tr>
    </w:tbl>
    <w:p w:rsidR="000F234F" w:rsidRDefault="00735318">
      <w:pPr>
        <w:spacing w:line="360" w:lineRule="auto"/>
        <w:jc w:val="both"/>
        <w:rPr>
          <w:rFonts w:ascii="Book Antiqua" w:hAnsi="Book Antiqua" w:cs="Book Antiqua"/>
        </w:rPr>
      </w:pPr>
      <w:r>
        <w:rPr>
          <w:rFonts w:ascii="Book Antiqua" w:hAnsi="Book Antiqua" w:cs="Book Antiqua"/>
        </w:rPr>
        <w:t>According to them, it is defined as: Definitive: 1 major A + ≥ 3 minor or 1 major A + 1 major B or 2 major A; Suspected: 1 major A + &lt; 3 minor or 1 major B + ≥ 3 minor or ≥ 5 minor; Possible: 3 or 4 minor, no major or major B alone or with &lt; 3 minor; Normal: &lt; 3 minor, no major.</w:t>
      </w:r>
    </w:p>
    <w:p w:rsidR="000F234F" w:rsidRDefault="000F234F" w:rsidP="000F234F">
      <w:pPr>
        <w:jc w:val="center"/>
        <w:rPr>
          <w:rFonts w:ascii="Book Antiqua" w:hAnsi="Book Antiqua"/>
        </w:rPr>
      </w:pPr>
      <w:r>
        <w:rPr>
          <w:rFonts w:ascii="Book Antiqua" w:hAnsi="Book Antiqua" w:cs="Book Antiqua"/>
        </w:rPr>
        <w:br w:type="page"/>
      </w:r>
    </w:p>
    <w:p w:rsidR="000F234F" w:rsidRDefault="000F234F" w:rsidP="000F234F">
      <w:pPr>
        <w:jc w:val="center"/>
        <w:rPr>
          <w:rFonts w:ascii="Book Antiqua" w:hAnsi="Book Antiqua"/>
        </w:rPr>
      </w:pPr>
    </w:p>
    <w:p w:rsidR="000F234F" w:rsidRDefault="000F234F" w:rsidP="000F234F">
      <w:pPr>
        <w:jc w:val="center"/>
        <w:rPr>
          <w:rFonts w:ascii="Book Antiqua" w:hAnsi="Book Antiqua"/>
        </w:rPr>
      </w:pPr>
    </w:p>
    <w:p w:rsidR="000F234F" w:rsidRDefault="000F234F" w:rsidP="000F234F">
      <w:pPr>
        <w:jc w:val="center"/>
        <w:rPr>
          <w:rFonts w:ascii="Book Antiqua" w:hAnsi="Book Antiqua"/>
        </w:rPr>
      </w:pPr>
    </w:p>
    <w:p w:rsidR="000F234F" w:rsidRDefault="000F234F" w:rsidP="000F234F">
      <w:pPr>
        <w:jc w:val="center"/>
        <w:rPr>
          <w:rFonts w:ascii="Book Antiqua" w:hAnsi="Book Antiqua"/>
        </w:rPr>
      </w:pPr>
    </w:p>
    <w:p w:rsidR="000F234F" w:rsidRDefault="002A0C93" w:rsidP="000F234F">
      <w:pPr>
        <w:jc w:val="center"/>
        <w:rPr>
          <w:rFonts w:ascii="Book Antiqua" w:hAnsi="Book Antiqua"/>
        </w:rPr>
      </w:pPr>
      <w:r>
        <w:rPr>
          <w:rFonts w:ascii="Book Antiqua" w:hAnsi="Book Antiqua"/>
          <w:noProof/>
        </w:rPr>
        <w:drawing>
          <wp:inline distT="0" distB="0" distL="0" distR="0">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0F234F" w:rsidRDefault="000F234F" w:rsidP="000F234F">
      <w:pPr>
        <w:jc w:val="center"/>
        <w:rPr>
          <w:rFonts w:ascii="Book Antiqua" w:hAnsi="Book Antiqua"/>
        </w:rPr>
      </w:pPr>
    </w:p>
    <w:p w:rsidR="000F234F" w:rsidRDefault="000F234F" w:rsidP="000F234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rsidR="000F234F" w:rsidRDefault="000F234F" w:rsidP="000F234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0F234F" w:rsidRDefault="000F234F" w:rsidP="000F234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0F234F" w:rsidRDefault="000F234F" w:rsidP="000F234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0F234F" w:rsidRDefault="000F234F" w:rsidP="000F234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0F234F" w:rsidRPr="000F234F" w:rsidRDefault="000F234F" w:rsidP="000F234F">
      <w:pPr>
        <w:jc w:val="center"/>
        <w:rPr>
          <w:rFonts w:ascii="Book Antiqua" w:hAnsi="Book Antiqua" w:cs="Times New Roman"/>
          <w:sz w:val="21"/>
          <w:szCs w:val="22"/>
        </w:rPr>
      </w:pPr>
      <w:r>
        <w:rPr>
          <w:rFonts w:ascii="Book Antiqua" w:eastAsia="TimesNewRomanPSMT" w:hAnsi="Book Antiqua" w:cs="Garamond"/>
          <w:color w:val="D56400"/>
          <w:sz w:val="28"/>
          <w:szCs w:val="28"/>
        </w:rPr>
        <w:t>https://www.wjgnet.com</w:t>
      </w:r>
    </w:p>
    <w:p w:rsidR="000F234F" w:rsidRDefault="000F234F" w:rsidP="000F234F">
      <w:pPr>
        <w:jc w:val="center"/>
        <w:rPr>
          <w:rFonts w:ascii="Book Antiqua" w:hAnsi="Book Antiqua"/>
        </w:rPr>
      </w:pPr>
    </w:p>
    <w:p w:rsidR="000F234F" w:rsidRDefault="000F234F" w:rsidP="000F234F">
      <w:pPr>
        <w:jc w:val="center"/>
        <w:rPr>
          <w:rFonts w:ascii="Book Antiqua" w:hAnsi="Book Antiqua"/>
        </w:rPr>
      </w:pPr>
    </w:p>
    <w:p w:rsidR="000F234F" w:rsidRDefault="000F234F" w:rsidP="000F234F">
      <w:pPr>
        <w:jc w:val="center"/>
        <w:rPr>
          <w:rFonts w:ascii="Book Antiqua" w:hAnsi="Book Antiqua"/>
        </w:rPr>
      </w:pPr>
    </w:p>
    <w:p w:rsidR="000F234F" w:rsidRDefault="002A0C93" w:rsidP="000F234F">
      <w:pPr>
        <w:jc w:val="center"/>
        <w:rPr>
          <w:rFonts w:ascii="Book Antiqua" w:hAnsi="Book Antiqua"/>
        </w:rPr>
      </w:pPr>
      <w:r>
        <w:rPr>
          <w:rFonts w:ascii="Book Antiqua" w:hAnsi="Book Antiqua"/>
          <w:noProof/>
        </w:rPr>
        <w:drawing>
          <wp:inline distT="0" distB="0" distL="0" distR="0">
            <wp:extent cx="1447800" cy="1440180"/>
            <wp:effectExtent l="0" t="0" r="0" b="7620"/>
            <wp:docPr id="6" name="图片 6"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0F234F" w:rsidRDefault="000F234F" w:rsidP="000F234F">
      <w:pPr>
        <w:jc w:val="center"/>
        <w:rPr>
          <w:rFonts w:ascii="Book Antiqua" w:hAnsi="Book Antiqua"/>
        </w:rPr>
      </w:pPr>
    </w:p>
    <w:p w:rsidR="000F234F" w:rsidRDefault="000F234F" w:rsidP="000F234F">
      <w:pPr>
        <w:jc w:val="center"/>
        <w:rPr>
          <w:rFonts w:ascii="Book Antiqua" w:hAnsi="Book Antiqua"/>
        </w:rPr>
      </w:pPr>
    </w:p>
    <w:p w:rsidR="000F234F" w:rsidRDefault="000F234F" w:rsidP="000F234F">
      <w:pPr>
        <w:jc w:val="center"/>
        <w:rPr>
          <w:rFonts w:ascii="Book Antiqua" w:hAnsi="Book Antiqua"/>
        </w:rPr>
      </w:pPr>
    </w:p>
    <w:p w:rsidR="000F234F" w:rsidRDefault="000F234F" w:rsidP="000F234F">
      <w:pPr>
        <w:jc w:val="center"/>
        <w:rPr>
          <w:rFonts w:ascii="Book Antiqua" w:hAnsi="Book Antiqua"/>
        </w:rPr>
      </w:pPr>
    </w:p>
    <w:p w:rsidR="000F234F" w:rsidRDefault="000F234F" w:rsidP="000F234F">
      <w:pPr>
        <w:jc w:val="center"/>
        <w:rPr>
          <w:rFonts w:ascii="Book Antiqua" w:hAnsi="Book Antiqua"/>
        </w:rPr>
      </w:pPr>
    </w:p>
    <w:p w:rsidR="000F234F" w:rsidRDefault="000F234F" w:rsidP="000F234F">
      <w:pPr>
        <w:jc w:val="center"/>
        <w:rPr>
          <w:rFonts w:ascii="Book Antiqua" w:hAnsi="Book Antiqua"/>
        </w:rPr>
      </w:pPr>
    </w:p>
    <w:p w:rsidR="000F234F" w:rsidRDefault="000F234F" w:rsidP="000F234F">
      <w:pPr>
        <w:jc w:val="center"/>
        <w:rPr>
          <w:rFonts w:ascii="Book Antiqua" w:hAnsi="Book Antiqua"/>
        </w:rPr>
      </w:pPr>
    </w:p>
    <w:p w:rsidR="000F234F" w:rsidRDefault="000F234F" w:rsidP="000F234F">
      <w:pPr>
        <w:jc w:val="center"/>
        <w:rPr>
          <w:rFonts w:ascii="Book Antiqua" w:hAnsi="Book Antiqua"/>
        </w:rPr>
      </w:pPr>
    </w:p>
    <w:p w:rsidR="000F234F" w:rsidRDefault="000F234F" w:rsidP="000F234F">
      <w:pPr>
        <w:jc w:val="center"/>
        <w:rPr>
          <w:rFonts w:ascii="Book Antiqua" w:hAnsi="Book Antiqua"/>
        </w:rPr>
      </w:pPr>
    </w:p>
    <w:p w:rsidR="000F234F" w:rsidRPr="000F234F" w:rsidRDefault="000F234F" w:rsidP="000F234F">
      <w:pPr>
        <w:jc w:val="right"/>
        <w:rPr>
          <w:rFonts w:ascii="Book Antiqua" w:hAnsi="Book Antiqua"/>
          <w:color w:val="000000"/>
        </w:rPr>
      </w:pPr>
    </w:p>
    <w:p w:rsidR="000F234F" w:rsidRPr="000F234F" w:rsidRDefault="000F234F" w:rsidP="000F234F">
      <w:pPr>
        <w:jc w:val="center"/>
        <w:rPr>
          <w:rFonts w:ascii="Book Antiqua" w:hAnsi="Book Antiqua"/>
          <w:color w:val="000000"/>
        </w:rPr>
      </w:pPr>
      <w:r w:rsidRPr="000F234F">
        <w:rPr>
          <w:rFonts w:ascii="Book Antiqua" w:eastAsia="BookAntiqua-Bold" w:hAnsi="Book Antiqua" w:cs="BookAntiqua-Bold"/>
          <w:b/>
          <w:bCs/>
          <w:color w:val="000000"/>
        </w:rPr>
        <w:t>© 2022 Baishideng Publishing Group Inc. All rights reserved.</w:t>
      </w:r>
      <w:r w:rsidRPr="000F234F">
        <w:rPr>
          <w:rFonts w:ascii="Book Antiqua" w:hAnsi="Book Antiqua"/>
          <w:color w:val="000000"/>
        </w:rPr>
        <w:fldChar w:fldCharType="begin"/>
      </w:r>
      <w:r w:rsidRPr="000F234F">
        <w:rPr>
          <w:rFonts w:ascii="Book Antiqua" w:hAnsi="Book Antiqua"/>
          <w:color w:val="000000"/>
        </w:rPr>
        <w:instrText xml:space="preserve"> ADDIN EN.REFLIST </w:instrText>
      </w:r>
      <w:r w:rsidRPr="000F234F">
        <w:rPr>
          <w:rFonts w:ascii="Book Antiqua" w:hAnsi="Book Antiqua"/>
          <w:color w:val="000000"/>
        </w:rPr>
        <w:fldChar w:fldCharType="end"/>
      </w:r>
    </w:p>
    <w:p w:rsidR="00735318" w:rsidRDefault="00735318">
      <w:pPr>
        <w:spacing w:line="360" w:lineRule="auto"/>
        <w:jc w:val="both"/>
        <w:rPr>
          <w:rFonts w:ascii="Book Antiqua" w:hAnsi="Book Antiqua" w:cs="Book Antiqua"/>
        </w:rPr>
      </w:pPr>
    </w:p>
    <w:sectPr w:rsidR="00735318">
      <w:footerReference w:type="default" r:id="rId13"/>
      <w:pgSz w:w="12240" w:h="15840"/>
      <w:pgMar w:top="1440" w:right="1440" w:bottom="1440" w:left="1440" w:header="720" w:footer="72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4D1" w:rsidRDefault="006B34D1">
      <w:r>
        <w:separator/>
      </w:r>
    </w:p>
  </w:endnote>
  <w:endnote w:type="continuationSeparator" w:id="0">
    <w:p w:rsidR="006B34D1" w:rsidRDefault="006B3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ont986">
    <w:altName w:val="Times New Roman"/>
    <w:charset w:val="00"/>
    <w:family w:val="auto"/>
    <w:pitch w:val="variable"/>
  </w:font>
  <w:font w:name="Liberation Sans">
    <w:altName w:val="Arial"/>
    <w:charset w:val="00"/>
    <w:family w:val="swiss"/>
    <w:pitch w:val="variable"/>
  </w:font>
  <w:font w:name="微软雅黑">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dale Sans UI">
    <w:altName w:val="Arial Unicode MS"/>
    <w:charset w:val="00"/>
    <w:family w:val="auto"/>
    <w:pitch w:val="variable"/>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318" w:rsidRDefault="00735318">
    <w:pPr>
      <w:pStyle w:val="ab"/>
      <w:jc w:val="right"/>
    </w:pPr>
    <w:r>
      <w:rPr>
        <w:rFonts w:cs="Book Antiqua"/>
        <w:sz w:val="24"/>
        <w:szCs w:val="24"/>
      </w:rPr>
      <w:fldChar w:fldCharType="begin"/>
    </w:r>
    <w:r>
      <w:rPr>
        <w:rFonts w:cs="Book Antiqua"/>
        <w:sz w:val="24"/>
        <w:szCs w:val="24"/>
      </w:rPr>
      <w:instrText xml:space="preserve"> PAGE </w:instrText>
    </w:r>
    <w:r>
      <w:rPr>
        <w:rFonts w:cs="Book Antiqua"/>
        <w:sz w:val="24"/>
        <w:szCs w:val="24"/>
      </w:rPr>
      <w:fldChar w:fldCharType="separate"/>
    </w:r>
    <w:r w:rsidR="002A0C93">
      <w:rPr>
        <w:rFonts w:cs="Book Antiqua"/>
        <w:noProof/>
        <w:sz w:val="24"/>
        <w:szCs w:val="24"/>
      </w:rPr>
      <w:t>1</w:t>
    </w:r>
    <w:r>
      <w:rPr>
        <w:rFonts w:cs="Book Antiqua"/>
        <w:sz w:val="24"/>
        <w:szCs w:val="24"/>
      </w:rPr>
      <w:fldChar w:fldCharType="end"/>
    </w:r>
    <w:r>
      <w:rPr>
        <w:rFonts w:ascii="Book Antiqua" w:eastAsia="Book Antiqua" w:hAnsi="Book Antiqua" w:cs="Book Antiqua"/>
        <w:sz w:val="24"/>
        <w:szCs w:val="24"/>
        <w:lang w:val="zh-CN"/>
      </w:rPr>
      <w:t xml:space="preserve"> </w:t>
    </w:r>
    <w:r>
      <w:rPr>
        <w:rFonts w:ascii="Book Antiqua" w:hAnsi="Book Antiqua" w:cs="Book Antiqua"/>
        <w:sz w:val="24"/>
        <w:szCs w:val="24"/>
        <w:lang w:val="zh-CN"/>
      </w:rPr>
      <w:t xml:space="preserve">/ </w:t>
    </w:r>
    <w:r>
      <w:rPr>
        <w:rFonts w:cs="Book Antiqua"/>
        <w:sz w:val="24"/>
        <w:szCs w:val="24"/>
      </w:rPr>
      <w:fldChar w:fldCharType="begin"/>
    </w:r>
    <w:r>
      <w:rPr>
        <w:rFonts w:cs="Book Antiqua"/>
        <w:sz w:val="24"/>
        <w:szCs w:val="24"/>
      </w:rPr>
      <w:instrText xml:space="preserve"> NUMPAGES \*Arabic </w:instrText>
    </w:r>
    <w:r>
      <w:rPr>
        <w:rFonts w:cs="Book Antiqua"/>
        <w:sz w:val="24"/>
        <w:szCs w:val="24"/>
      </w:rPr>
      <w:fldChar w:fldCharType="separate"/>
    </w:r>
    <w:r w:rsidR="002A0C93">
      <w:rPr>
        <w:rFonts w:cs="Book Antiqua"/>
        <w:noProof/>
        <w:sz w:val="24"/>
        <w:szCs w:val="24"/>
      </w:rPr>
      <w:t>5</w:t>
    </w:r>
    <w:r>
      <w:rPr>
        <w:rFonts w:cs="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4D1" w:rsidRDefault="006B34D1">
      <w:r>
        <w:separator/>
      </w:r>
    </w:p>
  </w:footnote>
  <w:footnote w:type="continuationSeparator" w:id="0">
    <w:p w:rsidR="006B34D1" w:rsidRDefault="006B34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4BA"/>
    <w:rsid w:val="000C642D"/>
    <w:rsid w:val="000F234F"/>
    <w:rsid w:val="00120825"/>
    <w:rsid w:val="00135F4E"/>
    <w:rsid w:val="00293E4E"/>
    <w:rsid w:val="002A0C93"/>
    <w:rsid w:val="002C5586"/>
    <w:rsid w:val="002D3310"/>
    <w:rsid w:val="00315581"/>
    <w:rsid w:val="003E2350"/>
    <w:rsid w:val="00404B5E"/>
    <w:rsid w:val="004154DC"/>
    <w:rsid w:val="0044554C"/>
    <w:rsid w:val="00505C82"/>
    <w:rsid w:val="00534564"/>
    <w:rsid w:val="005C0C9B"/>
    <w:rsid w:val="006A44BA"/>
    <w:rsid w:val="006B34D1"/>
    <w:rsid w:val="006D6EA1"/>
    <w:rsid w:val="00735318"/>
    <w:rsid w:val="008E6878"/>
    <w:rsid w:val="009456DC"/>
    <w:rsid w:val="00990376"/>
    <w:rsid w:val="009E13B7"/>
    <w:rsid w:val="00A0088F"/>
    <w:rsid w:val="00AC3691"/>
    <w:rsid w:val="00AD28C6"/>
    <w:rsid w:val="00AD3DAC"/>
    <w:rsid w:val="00AF4180"/>
    <w:rsid w:val="00B81C44"/>
    <w:rsid w:val="00BA3B44"/>
    <w:rsid w:val="00BD75BD"/>
    <w:rsid w:val="00C22C71"/>
    <w:rsid w:val="00CA2468"/>
    <w:rsid w:val="00CE7572"/>
    <w:rsid w:val="00CF14AB"/>
    <w:rsid w:val="00D94411"/>
    <w:rsid w:val="00DA1C56"/>
    <w:rsid w:val="00DA3690"/>
    <w:rsid w:val="00DB0BCF"/>
    <w:rsid w:val="00FA0B93"/>
    <w:rsid w:val="00FE10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rFonts w:cs="font986"/>
      <w:kern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Default Paragraph Font"/>
  </w:style>
  <w:style w:type="character" w:customStyle="1" w:styleId="DefaultParagraphFont1">
    <w:name w:val="Default Paragraph Font1"/>
  </w:style>
  <w:style w:type="character" w:customStyle="1" w:styleId="15">
    <w:name w:val="15"/>
    <w:basedOn w:val="DefaultParagraphFont1"/>
  </w:style>
  <w:style w:type="character" w:customStyle="1" w:styleId="Char">
    <w:name w:val="页眉 Char"/>
    <w:rPr>
      <w:sz w:val="18"/>
      <w:szCs w:val="18"/>
    </w:rPr>
  </w:style>
  <w:style w:type="character" w:customStyle="1" w:styleId="Char0">
    <w:name w:val="页脚 Char"/>
    <w:rPr>
      <w:sz w:val="18"/>
      <w:szCs w:val="18"/>
    </w:rPr>
  </w:style>
  <w:style w:type="character" w:customStyle="1" w:styleId="Char1">
    <w:name w:val="批注框文本 Char"/>
    <w:rPr>
      <w:sz w:val="18"/>
      <w:szCs w:val="18"/>
    </w:rPr>
  </w:style>
  <w:style w:type="character" w:customStyle="1" w:styleId="annotationreference">
    <w:name w:val="annotation reference"/>
    <w:rPr>
      <w:sz w:val="21"/>
      <w:szCs w:val="21"/>
    </w:rPr>
  </w:style>
  <w:style w:type="character" w:customStyle="1" w:styleId="Char2">
    <w:name w:val="批注文字 Char"/>
    <w:rPr>
      <w:sz w:val="24"/>
      <w:szCs w:val="24"/>
    </w:rPr>
  </w:style>
  <w:style w:type="character" w:customStyle="1" w:styleId="Char3">
    <w:name w:val="批注主题 Char"/>
    <w:rPr>
      <w:b/>
      <w:bCs/>
      <w:sz w:val="24"/>
      <w:szCs w:val="24"/>
    </w:rPr>
  </w:style>
  <w:style w:type="character" w:customStyle="1" w:styleId="jlqj4b">
    <w:name w:val="jlqj4b"/>
    <w:basedOn w:val="DefaultParagraphFont1"/>
  </w:style>
  <w:style w:type="character" w:styleId="a4">
    <w:name w:val="Hyperlink"/>
    <w:rPr>
      <w:color w:val="000080"/>
      <w:u w:val="single"/>
      <w:lang/>
    </w:rPr>
  </w:style>
  <w:style w:type="character" w:customStyle="1" w:styleId="BalloonTextChar">
    <w:name w:val="Balloon Text Char"/>
    <w:rPr>
      <w:rFonts w:eastAsia="宋体" w:cs="font986"/>
      <w:kern w:val="1"/>
      <w:sz w:val="18"/>
      <w:szCs w:val="18"/>
    </w:rPr>
  </w:style>
  <w:style w:type="character" w:styleId="a5">
    <w:name w:val="annotation reference"/>
    <w:rPr>
      <w:sz w:val="16"/>
      <w:szCs w:val="16"/>
    </w:rPr>
  </w:style>
  <w:style w:type="character" w:customStyle="1" w:styleId="CommentTextChar">
    <w:name w:val="Comment Text Char"/>
    <w:rPr>
      <w:rFonts w:cs="font986"/>
      <w:kern w:val="1"/>
    </w:rPr>
  </w:style>
  <w:style w:type="character" w:customStyle="1" w:styleId="CommentSubjectChar">
    <w:name w:val="Comment Subject Char"/>
    <w:rPr>
      <w:rFonts w:cs="font986"/>
      <w:b/>
      <w:bCs/>
      <w:kern w:val="1"/>
    </w:rPr>
  </w:style>
  <w:style w:type="paragraph" w:customStyle="1" w:styleId="Titolo">
    <w:name w:val="Titolo"/>
    <w:basedOn w:val="a"/>
    <w:next w:val="a6"/>
    <w:pPr>
      <w:keepNext/>
      <w:spacing w:before="240" w:after="120"/>
    </w:pPr>
    <w:rPr>
      <w:rFonts w:ascii="Liberation Sans" w:eastAsia="微软雅黑" w:hAnsi="Liberation Sans" w:cs="Mangal"/>
      <w:sz w:val="28"/>
      <w:szCs w:val="28"/>
    </w:rPr>
  </w:style>
  <w:style w:type="paragraph" w:styleId="a6">
    <w:name w:val="Body Text"/>
    <w:basedOn w:val="a"/>
    <w:pPr>
      <w:spacing w:after="120"/>
    </w:pPr>
  </w:style>
  <w:style w:type="paragraph" w:styleId="a7">
    <w:name w:val="List"/>
    <w:basedOn w:val="a6"/>
    <w:rPr>
      <w:rFonts w:cs="Mangal"/>
    </w:rPr>
  </w:style>
  <w:style w:type="paragraph" w:styleId="a8">
    <w:name w:val="caption"/>
    <w:basedOn w:val="a"/>
    <w:qFormat/>
    <w:pPr>
      <w:suppressLineNumbers/>
      <w:spacing w:before="120" w:after="120"/>
    </w:pPr>
    <w:rPr>
      <w:rFonts w:cs="Mangal"/>
      <w:i/>
      <w:iCs/>
    </w:rPr>
  </w:style>
  <w:style w:type="paragraph" w:customStyle="1" w:styleId="Indice">
    <w:name w:val="Indice"/>
    <w:basedOn w:val="a"/>
    <w:pPr>
      <w:suppressLineNumbers/>
    </w:pPr>
    <w:rPr>
      <w:rFonts w:cs="Mangal"/>
    </w:rPr>
  </w:style>
  <w:style w:type="paragraph" w:styleId="a9">
    <w:name w:val="header"/>
    <w:basedOn w:val="a"/>
    <w:next w:val="a6"/>
    <w:pPr>
      <w:keepNext/>
      <w:spacing w:before="240" w:after="120"/>
    </w:pPr>
    <w:rPr>
      <w:rFonts w:ascii="Arial" w:eastAsia="微软雅黑" w:hAnsi="Arial" w:cs="Mangal"/>
      <w:sz w:val="28"/>
      <w:szCs w:val="28"/>
    </w:rPr>
  </w:style>
  <w:style w:type="paragraph" w:styleId="aa">
    <w:name w:val="header"/>
    <w:basedOn w:val="a"/>
    <w:pPr>
      <w:suppressLineNumbers/>
      <w:pBdr>
        <w:bottom w:val="single" w:sz="6" w:space="1" w:color="000000"/>
      </w:pBdr>
      <w:tabs>
        <w:tab w:val="center" w:pos="4153"/>
        <w:tab w:val="right" w:pos="8306"/>
      </w:tabs>
      <w:jc w:val="center"/>
    </w:pPr>
    <w:rPr>
      <w:sz w:val="18"/>
      <w:szCs w:val="18"/>
    </w:rPr>
  </w:style>
  <w:style w:type="paragraph" w:styleId="ab">
    <w:name w:val="footer"/>
    <w:basedOn w:val="a"/>
    <w:pPr>
      <w:suppressLineNumbers/>
      <w:tabs>
        <w:tab w:val="center" w:pos="4153"/>
        <w:tab w:val="right" w:pos="8306"/>
      </w:tabs>
    </w:pPr>
    <w:rPr>
      <w:sz w:val="18"/>
      <w:szCs w:val="18"/>
    </w:rPr>
  </w:style>
  <w:style w:type="paragraph" w:customStyle="1" w:styleId="BalloonText1">
    <w:name w:val="Balloon Text1"/>
    <w:basedOn w:val="a"/>
    <w:rPr>
      <w:sz w:val="18"/>
      <w:szCs w:val="18"/>
    </w:rPr>
  </w:style>
  <w:style w:type="paragraph" w:customStyle="1" w:styleId="caption">
    <w:name w:val="caption"/>
    <w:basedOn w:val="a"/>
    <w:pPr>
      <w:spacing w:after="200"/>
      <w:ind w:left="-1" w:hanging="1"/>
    </w:pPr>
    <w:rPr>
      <w:rFonts w:eastAsia="Andale Sans UI"/>
      <w:i/>
      <w:iCs/>
      <w:color w:val="1F497D"/>
      <w:sz w:val="18"/>
      <w:szCs w:val="18"/>
      <w:lang w:val="it-IT"/>
    </w:rPr>
  </w:style>
  <w:style w:type="paragraph" w:customStyle="1" w:styleId="annotationtext">
    <w:name w:val="annotation text"/>
    <w:basedOn w:val="a"/>
  </w:style>
  <w:style w:type="paragraph" w:customStyle="1" w:styleId="annotationsubject">
    <w:name w:val="annotation subject"/>
    <w:basedOn w:val="annotationtext"/>
    <w:rPr>
      <w:b/>
      <w:bCs/>
    </w:rPr>
  </w:style>
  <w:style w:type="paragraph" w:styleId="ac">
    <w:name w:val="Balloon Text"/>
    <w:basedOn w:val="a"/>
    <w:rPr>
      <w:sz w:val="18"/>
      <w:szCs w:val="18"/>
    </w:rPr>
  </w:style>
  <w:style w:type="paragraph" w:styleId="ad">
    <w:name w:val="Revision"/>
    <w:pPr>
      <w:suppressAutoHyphens/>
    </w:pPr>
    <w:rPr>
      <w:rFonts w:cs="font986"/>
      <w:kern w:val="1"/>
      <w:sz w:val="24"/>
      <w:szCs w:val="24"/>
    </w:rPr>
  </w:style>
  <w:style w:type="paragraph" w:styleId="ae">
    <w:name w:val="annotation text"/>
    <w:basedOn w:val="a"/>
    <w:rPr>
      <w:sz w:val="20"/>
      <w:szCs w:val="20"/>
    </w:rPr>
  </w:style>
  <w:style w:type="paragraph" w:styleId="af">
    <w:name w:val="annotation subject"/>
    <w:basedOn w:val="ae"/>
    <w:next w:val="ae"/>
    <w:rPr>
      <w:b/>
      <w:bCs/>
    </w:rPr>
  </w:style>
  <w:style w:type="paragraph" w:customStyle="1" w:styleId="Contenutotabella">
    <w:name w:val="Contenuto tabella"/>
    <w:basedOn w:val="a"/>
    <w:pPr>
      <w:suppressLineNumbers/>
    </w:pPr>
  </w:style>
  <w:style w:type="paragraph" w:customStyle="1" w:styleId="Titolotabella">
    <w:name w:val="Titolo tabella"/>
    <w:basedOn w:val="Contenutotabella"/>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rFonts w:cs="font986"/>
      <w:kern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Default Paragraph Font"/>
  </w:style>
  <w:style w:type="character" w:customStyle="1" w:styleId="DefaultParagraphFont1">
    <w:name w:val="Default Paragraph Font1"/>
  </w:style>
  <w:style w:type="character" w:customStyle="1" w:styleId="15">
    <w:name w:val="15"/>
    <w:basedOn w:val="DefaultParagraphFont1"/>
  </w:style>
  <w:style w:type="character" w:customStyle="1" w:styleId="Char">
    <w:name w:val="页眉 Char"/>
    <w:rPr>
      <w:sz w:val="18"/>
      <w:szCs w:val="18"/>
    </w:rPr>
  </w:style>
  <w:style w:type="character" w:customStyle="1" w:styleId="Char0">
    <w:name w:val="页脚 Char"/>
    <w:rPr>
      <w:sz w:val="18"/>
      <w:szCs w:val="18"/>
    </w:rPr>
  </w:style>
  <w:style w:type="character" w:customStyle="1" w:styleId="Char1">
    <w:name w:val="批注框文本 Char"/>
    <w:rPr>
      <w:sz w:val="18"/>
      <w:szCs w:val="18"/>
    </w:rPr>
  </w:style>
  <w:style w:type="character" w:customStyle="1" w:styleId="annotationreference">
    <w:name w:val="annotation reference"/>
    <w:rPr>
      <w:sz w:val="21"/>
      <w:szCs w:val="21"/>
    </w:rPr>
  </w:style>
  <w:style w:type="character" w:customStyle="1" w:styleId="Char2">
    <w:name w:val="批注文字 Char"/>
    <w:rPr>
      <w:sz w:val="24"/>
      <w:szCs w:val="24"/>
    </w:rPr>
  </w:style>
  <w:style w:type="character" w:customStyle="1" w:styleId="Char3">
    <w:name w:val="批注主题 Char"/>
    <w:rPr>
      <w:b/>
      <w:bCs/>
      <w:sz w:val="24"/>
      <w:szCs w:val="24"/>
    </w:rPr>
  </w:style>
  <w:style w:type="character" w:customStyle="1" w:styleId="jlqj4b">
    <w:name w:val="jlqj4b"/>
    <w:basedOn w:val="DefaultParagraphFont1"/>
  </w:style>
  <w:style w:type="character" w:styleId="a4">
    <w:name w:val="Hyperlink"/>
    <w:rPr>
      <w:color w:val="000080"/>
      <w:u w:val="single"/>
      <w:lang/>
    </w:rPr>
  </w:style>
  <w:style w:type="character" w:customStyle="1" w:styleId="BalloonTextChar">
    <w:name w:val="Balloon Text Char"/>
    <w:rPr>
      <w:rFonts w:eastAsia="宋体" w:cs="font986"/>
      <w:kern w:val="1"/>
      <w:sz w:val="18"/>
      <w:szCs w:val="18"/>
    </w:rPr>
  </w:style>
  <w:style w:type="character" w:styleId="a5">
    <w:name w:val="annotation reference"/>
    <w:rPr>
      <w:sz w:val="16"/>
      <w:szCs w:val="16"/>
    </w:rPr>
  </w:style>
  <w:style w:type="character" w:customStyle="1" w:styleId="CommentTextChar">
    <w:name w:val="Comment Text Char"/>
    <w:rPr>
      <w:rFonts w:cs="font986"/>
      <w:kern w:val="1"/>
    </w:rPr>
  </w:style>
  <w:style w:type="character" w:customStyle="1" w:styleId="CommentSubjectChar">
    <w:name w:val="Comment Subject Char"/>
    <w:rPr>
      <w:rFonts w:cs="font986"/>
      <w:b/>
      <w:bCs/>
      <w:kern w:val="1"/>
    </w:rPr>
  </w:style>
  <w:style w:type="paragraph" w:customStyle="1" w:styleId="Titolo">
    <w:name w:val="Titolo"/>
    <w:basedOn w:val="a"/>
    <w:next w:val="a6"/>
    <w:pPr>
      <w:keepNext/>
      <w:spacing w:before="240" w:after="120"/>
    </w:pPr>
    <w:rPr>
      <w:rFonts w:ascii="Liberation Sans" w:eastAsia="微软雅黑" w:hAnsi="Liberation Sans" w:cs="Mangal"/>
      <w:sz w:val="28"/>
      <w:szCs w:val="28"/>
    </w:rPr>
  </w:style>
  <w:style w:type="paragraph" w:styleId="a6">
    <w:name w:val="Body Text"/>
    <w:basedOn w:val="a"/>
    <w:pPr>
      <w:spacing w:after="120"/>
    </w:pPr>
  </w:style>
  <w:style w:type="paragraph" w:styleId="a7">
    <w:name w:val="List"/>
    <w:basedOn w:val="a6"/>
    <w:rPr>
      <w:rFonts w:cs="Mangal"/>
    </w:rPr>
  </w:style>
  <w:style w:type="paragraph" w:styleId="a8">
    <w:name w:val="caption"/>
    <w:basedOn w:val="a"/>
    <w:qFormat/>
    <w:pPr>
      <w:suppressLineNumbers/>
      <w:spacing w:before="120" w:after="120"/>
    </w:pPr>
    <w:rPr>
      <w:rFonts w:cs="Mangal"/>
      <w:i/>
      <w:iCs/>
    </w:rPr>
  </w:style>
  <w:style w:type="paragraph" w:customStyle="1" w:styleId="Indice">
    <w:name w:val="Indice"/>
    <w:basedOn w:val="a"/>
    <w:pPr>
      <w:suppressLineNumbers/>
    </w:pPr>
    <w:rPr>
      <w:rFonts w:cs="Mangal"/>
    </w:rPr>
  </w:style>
  <w:style w:type="paragraph" w:styleId="a9">
    <w:name w:val="header"/>
    <w:basedOn w:val="a"/>
    <w:next w:val="a6"/>
    <w:pPr>
      <w:keepNext/>
      <w:spacing w:before="240" w:after="120"/>
    </w:pPr>
    <w:rPr>
      <w:rFonts w:ascii="Arial" w:eastAsia="微软雅黑" w:hAnsi="Arial" w:cs="Mangal"/>
      <w:sz w:val="28"/>
      <w:szCs w:val="28"/>
    </w:rPr>
  </w:style>
  <w:style w:type="paragraph" w:styleId="aa">
    <w:name w:val="header"/>
    <w:basedOn w:val="a"/>
    <w:pPr>
      <w:suppressLineNumbers/>
      <w:pBdr>
        <w:bottom w:val="single" w:sz="6" w:space="1" w:color="000000"/>
      </w:pBdr>
      <w:tabs>
        <w:tab w:val="center" w:pos="4153"/>
        <w:tab w:val="right" w:pos="8306"/>
      </w:tabs>
      <w:jc w:val="center"/>
    </w:pPr>
    <w:rPr>
      <w:sz w:val="18"/>
      <w:szCs w:val="18"/>
    </w:rPr>
  </w:style>
  <w:style w:type="paragraph" w:styleId="ab">
    <w:name w:val="footer"/>
    <w:basedOn w:val="a"/>
    <w:pPr>
      <w:suppressLineNumbers/>
      <w:tabs>
        <w:tab w:val="center" w:pos="4153"/>
        <w:tab w:val="right" w:pos="8306"/>
      </w:tabs>
    </w:pPr>
    <w:rPr>
      <w:sz w:val="18"/>
      <w:szCs w:val="18"/>
    </w:rPr>
  </w:style>
  <w:style w:type="paragraph" w:customStyle="1" w:styleId="BalloonText1">
    <w:name w:val="Balloon Text1"/>
    <w:basedOn w:val="a"/>
    <w:rPr>
      <w:sz w:val="18"/>
      <w:szCs w:val="18"/>
    </w:rPr>
  </w:style>
  <w:style w:type="paragraph" w:customStyle="1" w:styleId="caption">
    <w:name w:val="caption"/>
    <w:basedOn w:val="a"/>
    <w:pPr>
      <w:spacing w:after="200"/>
      <w:ind w:left="-1" w:hanging="1"/>
    </w:pPr>
    <w:rPr>
      <w:rFonts w:eastAsia="Andale Sans UI"/>
      <w:i/>
      <w:iCs/>
      <w:color w:val="1F497D"/>
      <w:sz w:val="18"/>
      <w:szCs w:val="18"/>
      <w:lang w:val="it-IT"/>
    </w:rPr>
  </w:style>
  <w:style w:type="paragraph" w:customStyle="1" w:styleId="annotationtext">
    <w:name w:val="annotation text"/>
    <w:basedOn w:val="a"/>
  </w:style>
  <w:style w:type="paragraph" w:customStyle="1" w:styleId="annotationsubject">
    <w:name w:val="annotation subject"/>
    <w:basedOn w:val="annotationtext"/>
    <w:rPr>
      <w:b/>
      <w:bCs/>
    </w:rPr>
  </w:style>
  <w:style w:type="paragraph" w:styleId="ac">
    <w:name w:val="Balloon Text"/>
    <w:basedOn w:val="a"/>
    <w:rPr>
      <w:sz w:val="18"/>
      <w:szCs w:val="18"/>
    </w:rPr>
  </w:style>
  <w:style w:type="paragraph" w:styleId="ad">
    <w:name w:val="Revision"/>
    <w:pPr>
      <w:suppressAutoHyphens/>
    </w:pPr>
    <w:rPr>
      <w:rFonts w:cs="font986"/>
      <w:kern w:val="1"/>
      <w:sz w:val="24"/>
      <w:szCs w:val="24"/>
    </w:rPr>
  </w:style>
  <w:style w:type="paragraph" w:styleId="ae">
    <w:name w:val="annotation text"/>
    <w:basedOn w:val="a"/>
    <w:rPr>
      <w:sz w:val="20"/>
      <w:szCs w:val="20"/>
    </w:rPr>
  </w:style>
  <w:style w:type="paragraph" w:styleId="af">
    <w:name w:val="annotation subject"/>
    <w:basedOn w:val="ae"/>
    <w:next w:val="ae"/>
    <w:rPr>
      <w:b/>
      <w:bCs/>
    </w:rPr>
  </w:style>
  <w:style w:type="paragraph" w:customStyle="1" w:styleId="Contenutotabella">
    <w:name w:val="Contenuto tabella"/>
    <w:basedOn w:val="a"/>
    <w:pPr>
      <w:suppressLineNumbers/>
    </w:pPr>
  </w:style>
  <w:style w:type="paragraph" w:customStyle="1" w:styleId="Titolotabella">
    <w:name w:val="Titolo tabella"/>
    <w:basedOn w:val="Contenutotabella"/>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354188">
      <w:bodyDiv w:val="1"/>
      <w:marLeft w:val="0"/>
      <w:marRight w:val="0"/>
      <w:marTop w:val="0"/>
      <w:marBottom w:val="0"/>
      <w:divBdr>
        <w:top w:val="none" w:sz="0" w:space="0" w:color="auto"/>
        <w:left w:val="none" w:sz="0" w:space="0" w:color="auto"/>
        <w:bottom w:val="none" w:sz="0" w:space="0" w:color="auto"/>
        <w:right w:val="none" w:sz="0" w:space="0" w:color="auto"/>
      </w:divBdr>
    </w:div>
    <w:div w:id="198797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5590</Words>
  <Characters>31865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HP</cp:lastModifiedBy>
  <cp:revision>2</cp:revision>
  <cp:lastPrinted>1601-01-01T00:00:00Z</cp:lastPrinted>
  <dcterms:created xsi:type="dcterms:W3CDTF">2022-03-03T06:06:00Z</dcterms:created>
  <dcterms:modified xsi:type="dcterms:W3CDTF">2022-03-03T06:06:00Z</dcterms:modified>
</cp:coreProperties>
</file>