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E1FB" w14:textId="4DF80DFE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Name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Journal: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World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Journal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Gastrointestinal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Pharmacology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color w:val="000000"/>
        </w:rPr>
        <w:t>Therapeutics</w:t>
      </w:r>
    </w:p>
    <w:p w14:paraId="3A442497" w14:textId="676FA0EF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Manuscript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NO: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72036</w:t>
      </w:r>
    </w:p>
    <w:p w14:paraId="633C81FE" w14:textId="679D689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Manuscript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Type: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ORIGINAL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ARTICLE</w:t>
      </w:r>
    </w:p>
    <w:p w14:paraId="2353DA3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2E7743A" w14:textId="7BF1960D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462C5C3" w14:textId="533D565D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623F7">
        <w:rPr>
          <w:rFonts w:ascii="Book Antiqua" w:eastAsia="Book Antiqua" w:hAnsi="Book Antiqua" w:cs="Book Antiqua"/>
          <w:b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623F7">
        <w:rPr>
          <w:rFonts w:ascii="Book Antiqua" w:eastAsia="Book Antiqua" w:hAnsi="Book Antiqua" w:cs="Book Antiqua"/>
          <w:b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623F7">
        <w:rPr>
          <w:rFonts w:ascii="Book Antiqua" w:eastAsia="Book Antiqua" w:hAnsi="Book Antiqua" w:cs="Book Antiqua"/>
          <w:b/>
          <w:color w:val="000000"/>
        </w:rPr>
        <w:t>gast</w:t>
      </w:r>
      <w:r w:rsidRPr="002623F7">
        <w:rPr>
          <w:rFonts w:ascii="Book Antiqua" w:eastAsia="Book Antiqua" w:hAnsi="Book Antiqua" w:cs="Book Antiqua"/>
          <w:b/>
          <w:color w:val="000000"/>
        </w:rPr>
        <w:t>rostomy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post-stroke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does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impact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complications</w:t>
      </w:r>
      <w:r w:rsidR="008F1C28" w:rsidRPr="002623F7">
        <w:rPr>
          <w:rFonts w:ascii="Book Antiqua" w:eastAsia="Book Antiqua" w:hAnsi="Book Antiqua" w:cs="Book Antiqua"/>
          <w:b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outcomes</w:t>
      </w:r>
    </w:p>
    <w:p w14:paraId="3C49AADF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12D0F77" w14:textId="0CA414AF" w:rsidR="00A77B3E" w:rsidRPr="002623F7" w:rsidRDefault="00BE59AB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Reddy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</w:t>
      </w:r>
      <w:r w:rsidR="00E17EB9" w:rsidRPr="002623F7">
        <w:rPr>
          <w:rFonts w:ascii="Book Antiqua" w:eastAsia="Book Antiqua" w:hAnsi="Book Antiqua" w:cs="Book Antiqua"/>
          <w:color w:val="000000"/>
        </w:rPr>
        <w:t>ment</w:t>
      </w:r>
    </w:p>
    <w:p w14:paraId="68B73BF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885718A" w14:textId="55D7588E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Kavya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Reddy,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Preston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Parul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B251C4">
        <w:rPr>
          <w:rFonts w:ascii="Book Antiqua" w:eastAsia="Book Antiqua" w:hAnsi="Book Antiqua" w:cs="Book Antiqua"/>
          <w:color w:val="000000"/>
        </w:rPr>
        <w:t>J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Gor,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Antonio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Cheesman,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Al-Hammadi,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David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John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Westrich,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Jason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Taylor</w:t>
      </w:r>
    </w:p>
    <w:p w14:paraId="1261950D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49FC600" w14:textId="2BD2D136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Kavya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M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Vatche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Tamar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Manoukian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Division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Digestive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Diseases,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David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Geffen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School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</w:t>
      </w:r>
      <w:r w:rsidR="0066797E" w:rsidRPr="002623F7">
        <w:rPr>
          <w:rFonts w:ascii="Book Antiqua" w:eastAsia="Book Antiqua" w:hAnsi="Book Antiqua" w:cs="Book Antiqua"/>
          <w:color w:val="000000"/>
        </w:rPr>
        <w:t>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</w:t>
      </w:r>
      <w:r w:rsidR="0066797E" w:rsidRPr="002623F7">
        <w:rPr>
          <w:rFonts w:ascii="Book Antiqua" w:eastAsia="Book Antiqua" w:hAnsi="Book Antiqua" w:cs="Book Antiqua"/>
          <w:color w:val="000000"/>
        </w:rPr>
        <w:t>alifornia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</w:t>
      </w:r>
      <w:r w:rsidR="0066797E" w:rsidRPr="002623F7">
        <w:rPr>
          <w:rFonts w:ascii="Book Antiqua" w:eastAsia="Book Antiqua" w:hAnsi="Book Antiqua" w:cs="Book Antiqua"/>
          <w:color w:val="000000"/>
        </w:rPr>
        <w:t>os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66797E" w:rsidRPr="002623F7">
        <w:rPr>
          <w:rFonts w:ascii="Book Antiqua" w:eastAsia="Book Antiqua" w:hAnsi="Book Antiqua" w:cs="Book Antiqua"/>
          <w:color w:val="000000"/>
        </w:rPr>
        <w:t>ngeles</w:t>
      </w:r>
      <w:r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623F7">
        <w:rPr>
          <w:rFonts w:ascii="Book Antiqua" w:eastAsia="Book Antiqua" w:hAnsi="Book Antiqua" w:cs="Book Antiqua"/>
          <w:color w:val="000000"/>
        </w:rPr>
        <w:t>Los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623F7">
        <w:rPr>
          <w:rFonts w:ascii="Book Antiqua" w:eastAsia="Book Antiqua" w:hAnsi="Book Antiqua" w:cs="Book Antiqua"/>
          <w:color w:val="000000"/>
        </w:rPr>
        <w:t>Angeles</w:t>
      </w:r>
      <w:r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90</w:t>
      </w:r>
      <w:r w:rsidR="0066797E" w:rsidRPr="002623F7">
        <w:rPr>
          <w:rFonts w:ascii="Book Antiqua" w:eastAsia="Book Antiqua" w:hAnsi="Book Antiqua" w:cs="Book Antiqua"/>
          <w:color w:val="000000"/>
        </w:rPr>
        <w:t>09</w:t>
      </w:r>
      <w:r w:rsidRPr="002623F7">
        <w:rPr>
          <w:rFonts w:ascii="Book Antiqua" w:eastAsia="Book Antiqua" w:hAnsi="Book Antiqua" w:cs="Book Antiqua"/>
          <w:color w:val="000000"/>
        </w:rPr>
        <w:t>5,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407BC345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6FEFCAA" w14:textId="6E258EF4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Preston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Department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Medicine,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Santa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Clara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Valley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Center,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Jose,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95128,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5F2FF45A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DBDFE6E" w14:textId="605F3FA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Parul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51C4">
        <w:rPr>
          <w:rFonts w:ascii="Book Antiqua" w:eastAsia="Book Antiqua" w:hAnsi="Book Antiqua" w:cs="Book Antiqua"/>
          <w:b/>
          <w:bCs/>
          <w:color w:val="000000"/>
        </w:rPr>
        <w:t>J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Gor,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Division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Hepatology,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Mercy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63141,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0CD6A4B8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179E9C2" w14:textId="2A80FB94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Cheesman,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Westrich,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Taylor,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Division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Hepatology,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School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Medicine,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63104,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5D0972D1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E86B6BC" w14:textId="4F246478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Al-Hammadi,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Center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Health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Research,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63104,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211D18F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453D7A7" w14:textId="11331F3F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Reddy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KM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Taylor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J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contributed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equally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work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wrote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paper</w:t>
      </w:r>
      <w:r w:rsidR="00E84098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623F7">
        <w:rPr>
          <w:rFonts w:ascii="Book Antiqua" w:eastAsia="Book Antiqua" w:hAnsi="Book Antiqua" w:cs="Book Antiqua"/>
          <w:color w:val="000000"/>
        </w:rPr>
        <w:t>collected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623F7">
        <w:rPr>
          <w:rFonts w:ascii="Book Antiqua" w:eastAsia="Book Antiqua" w:hAnsi="Book Antiqua" w:cs="Book Antiqua"/>
          <w:color w:val="000000"/>
        </w:rPr>
        <w:t>data,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designed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research;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Westrich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DJ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also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contributed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gathering,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writing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portions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paper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critically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revised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paper;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Lee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Gor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P</w:t>
      </w:r>
      <w:r w:rsidR="00B251C4">
        <w:rPr>
          <w:rFonts w:ascii="Book Antiqua" w:eastAsia="Book Antiqua" w:hAnsi="Book Antiqua" w:cs="Book Antiqua"/>
          <w:color w:val="000000"/>
        </w:rPr>
        <w:t>J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collected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contributed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revisions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manuscript;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Cheesman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contributed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revisions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manuscript;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Al-Hammadi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623F7">
        <w:rPr>
          <w:rFonts w:ascii="Book Antiqua" w:eastAsia="Book Antiqua" w:hAnsi="Book Antiqua" w:cs="Book Antiqua"/>
          <w:color w:val="000000"/>
        </w:rPr>
        <w:t>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performed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statistic</w:t>
      </w:r>
      <w:r w:rsidR="00E84098" w:rsidRPr="002623F7">
        <w:rPr>
          <w:rFonts w:ascii="Book Antiqua" w:eastAsia="Book Antiqua" w:hAnsi="Book Antiqua" w:cs="Book Antiqua"/>
          <w:color w:val="000000"/>
        </w:rPr>
        <w:t>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623F7">
        <w:rPr>
          <w:rFonts w:ascii="Book Antiqua" w:eastAsia="Book Antiqua" w:hAnsi="Book Antiqua" w:cs="Book Antiqua"/>
          <w:color w:val="000000"/>
        </w:rPr>
        <w:t>analysis.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</w:p>
    <w:p w14:paraId="4F8521A5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B252C59" w14:textId="16493E66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Kavya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M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Vatche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Tamar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Manoukian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Division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Digestive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Diseases,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David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Geffen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School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</w:t>
      </w:r>
      <w:r w:rsidR="003B2E8C" w:rsidRPr="002623F7">
        <w:rPr>
          <w:rFonts w:ascii="Book Antiqua" w:eastAsia="Book Antiqua" w:hAnsi="Book Antiqua" w:cs="Book Antiqua"/>
          <w:color w:val="000000"/>
        </w:rPr>
        <w:t>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3B2E8C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623F7">
        <w:rPr>
          <w:rFonts w:ascii="Book Antiqua" w:eastAsia="Book Antiqua" w:hAnsi="Book Antiqua" w:cs="Book Antiqua"/>
          <w:color w:val="000000"/>
        </w:rPr>
        <w:t>California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</w:t>
      </w:r>
      <w:r w:rsidR="003B2E8C" w:rsidRPr="002623F7">
        <w:rPr>
          <w:rFonts w:ascii="Book Antiqua" w:eastAsia="Book Antiqua" w:hAnsi="Book Antiqua" w:cs="Book Antiqua"/>
          <w:color w:val="000000"/>
        </w:rPr>
        <w:t>os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3B2E8C" w:rsidRPr="002623F7">
        <w:rPr>
          <w:rFonts w:ascii="Book Antiqua" w:eastAsia="Book Antiqua" w:hAnsi="Book Antiqua" w:cs="Book Antiqua"/>
          <w:color w:val="000000"/>
        </w:rPr>
        <w:t>ngeles</w:t>
      </w:r>
      <w:r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2780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623F7">
        <w:rPr>
          <w:rFonts w:ascii="Book Antiqua" w:eastAsia="Book Antiqua" w:hAnsi="Book Antiqua" w:cs="Book Antiqua"/>
          <w:color w:val="000000"/>
        </w:rPr>
        <w:t>Skypark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Drive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Suite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125,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Torrance,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90505,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</w:t>
      </w:r>
      <w:r w:rsidR="008467AD" w:rsidRPr="002623F7">
        <w:rPr>
          <w:rFonts w:ascii="Book Antiqua" w:eastAsia="Book Antiqua" w:hAnsi="Book Antiqua" w:cs="Book Antiqua"/>
          <w:color w:val="000000"/>
        </w:rPr>
        <w:t>avya036@gmail.com</w:t>
      </w:r>
    </w:p>
    <w:p w14:paraId="1C2328A7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0BDB4BBD" w14:textId="00921FD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October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23,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2021</w:t>
      </w:r>
    </w:p>
    <w:p w14:paraId="76F5468E" w14:textId="3EBC78D2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2623F7">
        <w:rPr>
          <w:rFonts w:ascii="Book Antiqua" w:eastAsia="Book Antiqua" w:hAnsi="Book Antiqua" w:cs="Book Antiqua"/>
          <w:color w:val="000000"/>
        </w:rPr>
        <w:t>January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2623F7">
        <w:rPr>
          <w:rFonts w:ascii="Book Antiqua" w:eastAsia="Book Antiqua" w:hAnsi="Book Antiqua" w:cs="Book Antiqua"/>
          <w:color w:val="000000"/>
        </w:rPr>
        <w:t>22,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2623F7">
        <w:rPr>
          <w:rFonts w:ascii="Book Antiqua" w:eastAsia="Book Antiqua" w:hAnsi="Book Antiqua" w:cs="Book Antiqua"/>
          <w:color w:val="000000"/>
        </w:rPr>
        <w:t>2022</w:t>
      </w:r>
    </w:p>
    <w:p w14:paraId="3AA0BEEE" w14:textId="5E3EBA49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0EB2" w:rsidRPr="002623F7">
        <w:t xml:space="preserve"> </w:t>
      </w:r>
      <w:r w:rsidR="00210EB2" w:rsidRPr="002623F7">
        <w:rPr>
          <w:rFonts w:ascii="Book Antiqua" w:eastAsia="Book Antiqua" w:hAnsi="Book Antiqua" w:cs="Book Antiqua"/>
          <w:color w:val="000000"/>
        </w:rPr>
        <w:t>August 14, 2022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C9885A" w14:textId="629D147C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F3E" w:rsidRPr="002623F7">
        <w:rPr>
          <w:rFonts w:ascii="Book Antiqua" w:hAnsi="Book Antiqua"/>
          <w:color w:val="000000"/>
          <w:shd w:val="clear" w:color="auto" w:fill="FFFFFF"/>
        </w:rPr>
        <w:t>September 5, 2022</w:t>
      </w:r>
    </w:p>
    <w:p w14:paraId="2580C102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  <w:sectPr w:rsidR="00A77B3E" w:rsidRPr="002623F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93B2C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DFF1D5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BACKGROUND</w:t>
      </w:r>
    </w:p>
    <w:p w14:paraId="0A4D52F9" w14:textId="2E322402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(PEG)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often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order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maintain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sufficient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caloric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intake.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weeks,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half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improve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</w:t>
      </w:r>
      <w:r w:rsidR="00092A83" w:rsidRPr="002623F7">
        <w:rPr>
          <w:rFonts w:ascii="Book Antiqua" w:eastAsia="Book Antiqua" w:hAnsi="Book Antiqua" w:cs="Book Antiqua"/>
          <w:color w:val="000000"/>
        </w:rPr>
        <w:t>k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requirements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discharge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rehab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skilled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nursing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facilities.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5374BEB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0C595C0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AIM</w:t>
      </w:r>
    </w:p>
    <w:p w14:paraId="770EB8B8" w14:textId="4927A9A0" w:rsidR="00A77B3E" w:rsidRPr="002623F7" w:rsidRDefault="005F0E86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</w:t>
      </w:r>
      <w:r w:rsidR="00E17EB9" w:rsidRPr="002623F7">
        <w:rPr>
          <w:rFonts w:ascii="Book Antiqua" w:eastAsia="Book Antiqua" w:hAnsi="Book Antiqua" w:cs="Book Antiqua"/>
          <w:color w:val="000000"/>
        </w:rPr>
        <w:t>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assess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(≤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stroke)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(&gt;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stroke)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evaluate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whether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predict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complications.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0AD1601C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D60CFFD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METHODS</w:t>
      </w:r>
    </w:p>
    <w:p w14:paraId="2617F122" w14:textId="68FAE53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January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December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2017.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keyword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search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reports.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25713C" w:rsidRPr="002623F7">
        <w:rPr>
          <w:rFonts w:ascii="Book Antiqua" w:hAnsi="Book Antiqua"/>
          <w:bCs/>
          <w:lang w:eastAsia="zh-CN"/>
        </w:rPr>
        <w:t>Systemic inflammatory response syndrome</w:t>
      </w:r>
      <w:r w:rsidR="0025713C" w:rsidRPr="002623F7">
        <w:rPr>
          <w:rFonts w:ascii="Book Antiqua" w:eastAsia="Book Antiqua" w:hAnsi="Book Antiqua" w:cs="Book Antiqua"/>
          <w:color w:val="000000"/>
        </w:rPr>
        <w:t xml:space="preserve"> (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25713C" w:rsidRPr="002623F7">
        <w:rPr>
          <w:rFonts w:ascii="Book Antiqua" w:eastAsia="Book Antiqua" w:hAnsi="Book Antiqua" w:cs="Book Antiqua"/>
          <w:color w:val="000000"/>
        </w:rPr>
        <w:t>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documented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multivariate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logistic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regression.</w:t>
      </w:r>
    </w:p>
    <w:p w14:paraId="7F8A5F1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A7003D2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RESULTS</w:t>
      </w:r>
    </w:p>
    <w:p w14:paraId="364F8E4B" w14:textId="403CF15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154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procedure.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(12.9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22.34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0.001).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and/or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documented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procedure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complications.</w:t>
      </w:r>
    </w:p>
    <w:p w14:paraId="2512A897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7DA7E6C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CONCLUSION</w:t>
      </w:r>
    </w:p>
    <w:p w14:paraId="7430DFB4" w14:textId="5B5BBF7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higher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decreased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considered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appropriate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potentially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reduce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incurred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costs.</w:t>
      </w:r>
    </w:p>
    <w:p w14:paraId="120300D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844FD86" w14:textId="0DE6812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Gastrostomy/adverse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effect</w:t>
      </w:r>
    </w:p>
    <w:p w14:paraId="29BEABFD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326C883" w14:textId="77777777" w:rsidR="002623F7" w:rsidRPr="002623F7" w:rsidRDefault="002623F7" w:rsidP="00262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2623F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623F7">
        <w:rPr>
          <w:rFonts w:ascii="Book Antiqua" w:eastAsia="Book Antiqua" w:hAnsi="Book Antiqua" w:cs="Book Antiqua"/>
          <w:b/>
          <w:color w:val="000000"/>
        </w:rPr>
        <w:t>The</w:t>
      </w:r>
      <w:r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623F7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2623F7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41E719C3" w14:textId="77777777" w:rsidR="002623F7" w:rsidRPr="002623F7" w:rsidRDefault="002623F7" w:rsidP="002623F7">
      <w:pPr>
        <w:spacing w:line="360" w:lineRule="auto"/>
        <w:jc w:val="both"/>
        <w:rPr>
          <w:lang w:eastAsia="zh-CN"/>
        </w:rPr>
      </w:pPr>
    </w:p>
    <w:p w14:paraId="5CDF2624" w14:textId="1E27AE11" w:rsidR="002623F7" w:rsidRPr="002623F7" w:rsidRDefault="002623F7" w:rsidP="00262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2623F7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2623F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E17EB9" w:rsidRPr="002623F7">
        <w:rPr>
          <w:rFonts w:ascii="Book Antiqua" w:eastAsia="Book Antiqua" w:hAnsi="Book Antiqua" w:cs="Book Antiqua"/>
          <w:color w:val="000000"/>
        </w:rPr>
        <w:t>Reddy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KM,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Lee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Gor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</w:t>
      </w:r>
      <w:r w:rsidR="00B251C4">
        <w:rPr>
          <w:rFonts w:ascii="Book Antiqua" w:eastAsia="Book Antiqua" w:hAnsi="Book Antiqua" w:cs="Book Antiqua"/>
          <w:color w:val="000000"/>
        </w:rPr>
        <w:t>J</w:t>
      </w:r>
      <w:r w:rsidR="00E17EB9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Cheesman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Al-Hammadi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Westrich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DJ,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Taylor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J.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post-stroke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does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impact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2623F7">
        <w:rPr>
          <w:rFonts w:ascii="Book Antiqua" w:eastAsia="Book Antiqua" w:hAnsi="Book Antiqua" w:cs="Book Antiqua"/>
          <w:bCs/>
          <w:color w:val="000000"/>
        </w:rPr>
        <w:t>outcomes</w:t>
      </w:r>
      <w:r w:rsidR="00E17EB9"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2022;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F0533" w:rsidRPr="002623F7">
        <w:rPr>
          <w:rFonts w:ascii="Book Antiqua" w:eastAsia="Book Antiqua" w:hAnsi="Book Antiqua" w:cs="Book Antiqua"/>
          <w:color w:val="000000"/>
        </w:rPr>
        <w:t xml:space="preserve">13(5): </w:t>
      </w:r>
      <w:r w:rsidRPr="002623F7">
        <w:rPr>
          <w:rFonts w:ascii="Book Antiqua" w:eastAsia="Book Antiqua" w:hAnsi="Book Antiqua" w:cs="Book Antiqua"/>
          <w:color w:val="000000"/>
        </w:rPr>
        <w:t>77-87</w:t>
      </w:r>
    </w:p>
    <w:p w14:paraId="7E046022" w14:textId="4F51CB77" w:rsidR="002623F7" w:rsidRPr="002623F7" w:rsidRDefault="001F0533" w:rsidP="00262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623F7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2623F7" w:rsidRPr="002623F7">
          <w:rPr>
            <w:rStyle w:val="ae"/>
            <w:rFonts w:ascii="Book Antiqua" w:eastAsia="Book Antiqua" w:hAnsi="Book Antiqua" w:cs="Book Antiqua"/>
          </w:rPr>
          <w:t>https://www.wjgnet.com/2150-5349/full/v13/i5/77.htm</w:t>
        </w:r>
      </w:hyperlink>
    </w:p>
    <w:p w14:paraId="2135A2D4" w14:textId="2BBFF41A" w:rsidR="00A77B3E" w:rsidRPr="002623F7" w:rsidRDefault="001F0533" w:rsidP="00262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hyperlink r:id="rId8" w:history="1">
        <w:r w:rsidR="002623F7" w:rsidRPr="002623F7">
          <w:rPr>
            <w:rStyle w:val="ae"/>
            <w:rFonts w:ascii="Book Antiqua" w:eastAsia="Book Antiqua" w:hAnsi="Book Antiqua" w:cs="Book Antiqua"/>
          </w:rPr>
          <w:t>https://dx.doi.org/10.4292/wjgpt.v13.i5.77</w:t>
        </w:r>
      </w:hyperlink>
    </w:p>
    <w:p w14:paraId="61372B38" w14:textId="77777777" w:rsidR="001F0533" w:rsidRPr="002623F7" w:rsidRDefault="001F0533" w:rsidP="0022481F">
      <w:pPr>
        <w:spacing w:line="360" w:lineRule="auto"/>
        <w:jc w:val="both"/>
        <w:rPr>
          <w:rFonts w:ascii="Book Antiqua" w:hAnsi="Book Antiqua"/>
        </w:rPr>
      </w:pPr>
    </w:p>
    <w:p w14:paraId="21B45365" w14:textId="2608FB53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(PEG)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often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weeks,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weak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requirements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discharge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rehab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facilities.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first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higher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decreased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stay.</w:t>
      </w:r>
    </w:p>
    <w:p w14:paraId="1DEFFBE5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A9F4E7E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C930A7E" w14:textId="2A589BFF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method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providing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sufficient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calories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tolerate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feeding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commonly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oropharyngeal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65%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cases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improve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first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weeks,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short-term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six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months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34%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cases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942C8" w:rsidRPr="002623F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623F7">
        <w:rPr>
          <w:rFonts w:ascii="Book Antiqua" w:eastAsia="Book Antiqua" w:hAnsi="Book Antiqua" w:cs="Book Antiqua"/>
          <w:color w:val="000000"/>
        </w:rPr>
        <w:t>.</w:t>
      </w:r>
    </w:p>
    <w:p w14:paraId="600671FE" w14:textId="7D2E4AD3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Methods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nasogastric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(NG)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(PEG)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interventional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radiology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surgery.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short-term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d</w:t>
      </w:r>
      <w:r w:rsidR="002E7A87" w:rsidRPr="002623F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According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2-3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61C72" w:rsidRPr="002623F7">
        <w:rPr>
          <w:rFonts w:ascii="Book Antiqua" w:eastAsia="Book Antiqua" w:hAnsi="Book Antiqua" w:cs="Book Antiqua"/>
          <w:color w:val="000000"/>
        </w:rPr>
        <w:t xml:space="preserve">wk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nasoenteric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recommended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1089" w:rsidRPr="002623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graded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quality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authors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suggest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further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needed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strengthen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supporting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2-3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61C72" w:rsidRPr="002623F7">
        <w:rPr>
          <w:rFonts w:ascii="Book Antiqua" w:eastAsia="Book Antiqua" w:hAnsi="Book Antiqua" w:cs="Book Antiqua"/>
          <w:color w:val="000000"/>
        </w:rPr>
        <w:t xml:space="preserve">wk </w:t>
      </w:r>
      <w:r w:rsidRPr="002623F7">
        <w:rPr>
          <w:rFonts w:ascii="Book Antiqua" w:eastAsia="Book Antiqua" w:hAnsi="Book Antiqua" w:cs="Book Antiqua"/>
          <w:color w:val="000000"/>
        </w:rPr>
        <w:t>waiting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period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92BC1" w:rsidRPr="002623F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aims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</w:p>
    <w:p w14:paraId="724FFE9A" w14:textId="5ECB5DD0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original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weeks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seems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derived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about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half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improve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</w:t>
      </w:r>
      <w:r w:rsidR="00092A83" w:rsidRPr="002623F7">
        <w:rPr>
          <w:rFonts w:ascii="Book Antiqua" w:eastAsia="Book Antiqua" w:hAnsi="Book Antiqua" w:cs="Book Antiqua"/>
          <w:color w:val="000000"/>
        </w:rPr>
        <w:t>k</w:t>
      </w:r>
      <w:r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whereas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15%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persistent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BB7A7C" w:rsidRPr="002623F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assessing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published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1990s.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effective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least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61C72" w:rsidRPr="002623F7">
        <w:rPr>
          <w:rFonts w:ascii="Book Antiqua" w:eastAsia="Book Antiqua" w:hAnsi="Book Antiqua" w:cs="Book Antiqua"/>
          <w:color w:val="000000"/>
        </w:rPr>
        <w:t xml:space="preserve">wk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neither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addressed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</w:t>
      </w:r>
      <w:r w:rsidR="00092A83" w:rsidRPr="002623F7">
        <w:rPr>
          <w:rFonts w:ascii="Book Antiqua" w:eastAsia="Book Antiqua" w:hAnsi="Book Antiqua" w:cs="Book Antiqua"/>
          <w:color w:val="000000"/>
        </w:rPr>
        <w:t>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placement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2005,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Dennis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colleagues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first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321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randomized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major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survival,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non-statistically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improvement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functional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first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2-3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243F9" w:rsidRPr="002623F7">
        <w:rPr>
          <w:rFonts w:ascii="Book Antiqua" w:eastAsia="Book Antiqua" w:hAnsi="Book Antiqua" w:cs="Book Antiqua"/>
          <w:color w:val="000000"/>
        </w:rPr>
        <w:t>wk</w:t>
      </w:r>
      <w:r w:rsidR="00651AF6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needed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publication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additional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looking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34623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(10.4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20.5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d)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Furthermore,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overall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01E75847" w14:textId="14F90E6C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primary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objective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underwent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secondary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objectives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hypothesized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hope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contribute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evidence-based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decision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making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regarding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</w:p>
    <w:p w14:paraId="233258DD" w14:textId="77777777" w:rsidR="00A77B3E" w:rsidRPr="002623F7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D87CB2F" w14:textId="4765A41F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F1CD1"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F1CD1"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D8AC40F" w14:textId="7559B3A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bi</w:t>
      </w:r>
      <w:r w:rsidR="008467AD" w:rsidRPr="002623F7">
        <w:rPr>
          <w:rFonts w:ascii="Book Antiqua" w:eastAsia="Book Antiqua" w:hAnsi="Book Antiqua" w:cs="Book Antiqua"/>
          <w:color w:val="000000"/>
        </w:rPr>
        <w:t>-</w:t>
      </w:r>
      <w:r w:rsidRPr="002623F7">
        <w:rPr>
          <w:rFonts w:ascii="Book Antiqua" w:eastAsia="Book Antiqua" w:hAnsi="Book Antiqua" w:cs="Book Antiqua"/>
          <w:color w:val="000000"/>
        </w:rPr>
        <w:t>center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adult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underwent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January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December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Mary’s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Missouri.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approved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institutional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School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Medicine.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keyword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search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upper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reports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(ProVation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Medical,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Minneapolis,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MN)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database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keywords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“gastrostomy”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“PEG.”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Individual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records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reports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confirm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standard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“pull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through”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technique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described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Ponsky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Gauderer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623F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Exclusion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nonstandard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method,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surgery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interventional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radiology.</w:t>
      </w:r>
    </w:p>
    <w:p w14:paraId="0F904234" w14:textId="73F96E0B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standard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management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assessment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neurology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service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speech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therapist.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nasogastric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initiated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immediately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determination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Pr="002623F7">
        <w:rPr>
          <w:rFonts w:ascii="Book Antiqua" w:eastAsia="Book Antiqua" w:hAnsi="Book Antiqua" w:cs="Book Antiqua"/>
          <w:color w:val="000000"/>
        </w:rPr>
        <w:t>If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determined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prolonged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service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consulted.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</w:t>
      </w:r>
      <w:r w:rsidR="008467AD" w:rsidRPr="002623F7">
        <w:rPr>
          <w:rFonts w:ascii="Book Antiqua" w:eastAsia="Book Antiqua" w:hAnsi="Book Antiqua" w:cs="Book Antiqua"/>
          <w:color w:val="000000"/>
        </w:rPr>
        <w:t>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albumin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3.2,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did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procedure.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anti-platelet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anti-coagulant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agents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according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B43566" w:rsidRPr="002623F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interventions.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antibiotics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procedures.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examined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bleeding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initiated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deemed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team.</w:t>
      </w:r>
    </w:p>
    <w:p w14:paraId="2C4874B2" w14:textId="42FFA3B1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collected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patients’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electronic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medical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records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available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two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centers</w:t>
      </w:r>
      <w:r w:rsidR="008467AD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up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 data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Baseline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characteristics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age,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gender,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all-cause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during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 and </w:t>
      </w:r>
      <w:r w:rsidRPr="002623F7">
        <w:rPr>
          <w:rFonts w:ascii="Book Antiqua" w:eastAsia="Book Antiqua" w:hAnsi="Book Antiqua" w:cs="Book Antiqua"/>
          <w:color w:val="000000"/>
        </w:rPr>
        <w:t>includ</w:t>
      </w:r>
      <w:r w:rsidR="008467AD" w:rsidRPr="002623F7">
        <w:rPr>
          <w:rFonts w:ascii="Book Antiqua" w:eastAsia="Book Antiqua" w:hAnsi="Book Antiqua" w:cs="Book Antiqua"/>
          <w:color w:val="000000"/>
        </w:rPr>
        <w:t>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perforation,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</w:t>
      </w:r>
      <w:r w:rsidR="003B2E8C" w:rsidRPr="002623F7">
        <w:rPr>
          <w:rFonts w:ascii="Book Antiqua" w:eastAsia="Book Antiqua" w:hAnsi="Book Antiqua" w:cs="Book Antiqua"/>
          <w:color w:val="000000"/>
        </w:rPr>
        <w:t>ours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 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</w:t>
      </w:r>
      <w:r w:rsidR="008467AD" w:rsidRPr="002623F7">
        <w:rPr>
          <w:rFonts w:ascii="Book Antiqua" w:eastAsia="Book Antiqua" w:hAnsi="Book Antiqua" w:cs="Book Antiqua"/>
          <w:color w:val="000000"/>
        </w:rPr>
        <w:t>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calculated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censored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follow-up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Kaplan-Meier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Method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multivariate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logistic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regression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documentation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albumin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≤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3.2),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outside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current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aortic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aneurysm,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Framingham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CF1CD1"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  <w:shd w:val="clear" w:color="auto" w:fill="FFFFFF"/>
        </w:rPr>
        <w:t>20%)</w:t>
      </w:r>
      <w:r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25713C" w:rsidRPr="002623F7">
        <w:rPr>
          <w:rFonts w:ascii="Book Antiqua" w:hAnsi="Book Antiqua"/>
          <w:bCs/>
          <w:lang w:eastAsia="zh-CN"/>
        </w:rPr>
        <w:t>Systemic inflammatory response syndrome</w:t>
      </w:r>
      <w:r w:rsidR="0025713C" w:rsidRPr="002623F7">
        <w:rPr>
          <w:rFonts w:ascii="Book Antiqua" w:eastAsia="Book Antiqua" w:hAnsi="Book Antiqua" w:cs="Book Antiqua"/>
          <w:color w:val="000000"/>
        </w:rPr>
        <w:t xml:space="preserve"> (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25713C" w:rsidRPr="002623F7">
        <w:rPr>
          <w:rFonts w:ascii="Book Antiqua" w:eastAsia="Book Antiqua" w:hAnsi="Book Antiqua" w:cs="Book Antiqua"/>
          <w:color w:val="000000"/>
        </w:rPr>
        <w:t>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documented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(positive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urine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blood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culture).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9.4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(SAS,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NC)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considered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B43566"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value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51AF6" w:rsidRPr="002623F7">
        <w:rPr>
          <w:rFonts w:ascii="Book Antiqua" w:eastAsia="Book Antiqua" w:hAnsi="Book Antiqua" w:cs="Book Antiqua"/>
          <w:color w:val="000000"/>
        </w:rPr>
        <w:t>≤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51AF6" w:rsidRPr="002623F7">
        <w:rPr>
          <w:rFonts w:ascii="Book Antiqua" w:eastAsia="Book Antiqua" w:hAnsi="Book Antiqua" w:cs="Book Antiqua"/>
          <w:color w:val="000000"/>
        </w:rPr>
        <w:t>0</w:t>
      </w:r>
      <w:r w:rsidRPr="002623F7">
        <w:rPr>
          <w:rFonts w:ascii="Book Antiqua" w:eastAsia="Book Antiqua" w:hAnsi="Book Antiqua" w:cs="Book Antiqua"/>
          <w:color w:val="000000"/>
        </w:rPr>
        <w:t>.05.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biomedical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statistician.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72B1A628" w14:textId="77777777" w:rsidR="00A77B3E" w:rsidRPr="002623F7" w:rsidRDefault="00A77B3E" w:rsidP="0025713C">
      <w:pPr>
        <w:spacing w:line="360" w:lineRule="auto"/>
        <w:jc w:val="both"/>
        <w:rPr>
          <w:rFonts w:ascii="Book Antiqua" w:hAnsi="Book Antiqua"/>
        </w:rPr>
      </w:pPr>
    </w:p>
    <w:p w14:paraId="2440300A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D7FAB80" w14:textId="6437955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Initial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keyword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search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482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cases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report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database.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154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manually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exclude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Among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underwent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remaining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(See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Figure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Baseline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demographics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A905C7" w:rsidRPr="002623F7">
        <w:rPr>
          <w:rFonts w:ascii="Book Antiqua" w:eastAsia="Book Antiqua" w:hAnsi="Book Antiqua" w:cs="Book Antiqua"/>
          <w:color w:val="000000"/>
        </w:rPr>
        <w:t>(Table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A905C7" w:rsidRPr="002623F7">
        <w:rPr>
          <w:rFonts w:ascii="Book Antiqua" w:eastAsia="Book Antiqua" w:hAnsi="Book Antiqua" w:cs="Book Antiqua"/>
          <w:color w:val="000000"/>
        </w:rPr>
        <w:t>1)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clinical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633AD4"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listed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A905C7" w:rsidRPr="002623F7">
        <w:rPr>
          <w:rFonts w:ascii="Book Antiqua" w:eastAsia="Book Antiqua" w:hAnsi="Book Antiqua" w:cs="Book Antiqua"/>
          <w:color w:val="000000"/>
        </w:rPr>
        <w:t>(Table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65F" w:rsidRPr="002623F7">
        <w:rPr>
          <w:rFonts w:ascii="Book Antiqua" w:eastAsia="Book Antiqua" w:hAnsi="Book Antiqua" w:cs="Book Antiqua"/>
          <w:color w:val="000000"/>
        </w:rPr>
        <w:t>2</w:t>
      </w:r>
      <w:r w:rsidR="00A905C7" w:rsidRPr="002623F7">
        <w:rPr>
          <w:rFonts w:ascii="Book Antiqua" w:eastAsia="Book Antiqua" w:hAnsi="Book Antiqua" w:cs="Book Antiqua"/>
          <w:color w:val="000000"/>
        </w:rPr>
        <w:t>)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patient’s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BB7A7C"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(74.7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66.2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years,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=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0.0005).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otherwise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sex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number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described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below.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Among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specific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chronic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kidney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(3.2%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CD6F96"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13.0%)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peripheral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arterial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(8.1%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1.1%)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interventions.</w:t>
      </w:r>
    </w:p>
    <w:p w14:paraId="67299D9C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29061DB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3806F5E3" w14:textId="76142A0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(See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2165F" w:rsidRPr="002623F7">
        <w:rPr>
          <w:rFonts w:ascii="Book Antiqua" w:eastAsia="Book Antiqua" w:hAnsi="Book Antiqua" w:cs="Book Antiqua"/>
          <w:color w:val="000000"/>
        </w:rPr>
        <w:t>3</w:t>
      </w:r>
      <w:r w:rsidRPr="002623F7">
        <w:rPr>
          <w:rFonts w:ascii="Book Antiqua" w:eastAsia="Book Antiqua" w:hAnsi="Book Antiqua" w:cs="Book Antiqua"/>
          <w:color w:val="000000"/>
        </w:rPr>
        <w:t>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19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35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type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(See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6175F" w:rsidRPr="002623F7">
        <w:rPr>
          <w:rFonts w:ascii="Book Antiqua" w:eastAsia="Book Antiqua" w:hAnsi="Book Antiqua" w:cs="Book Antiqua"/>
          <w:color w:val="000000"/>
        </w:rPr>
        <w:t>4</w:t>
      </w:r>
      <w:r w:rsidRPr="002623F7">
        <w:rPr>
          <w:rFonts w:ascii="Book Antiqua" w:eastAsia="Book Antiqua" w:hAnsi="Book Antiqua" w:cs="Book Antiqua"/>
          <w:color w:val="000000"/>
        </w:rPr>
        <w:t>).</w:t>
      </w:r>
    </w:p>
    <w:p w14:paraId="5870C747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999DA29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1E536243" w14:textId="436914D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occurred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5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Kaplan-Meier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Method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perform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(death)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Figure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survival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(log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rank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=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0.593).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7FED787B" w14:textId="3C7A121D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4340636" w14:textId="7FA8CB5E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6ADF2573" w14:textId="7E9C6EB5" w:rsidR="00A77B3E" w:rsidRPr="002623F7" w:rsidRDefault="00E17EB9" w:rsidP="002248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documented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cardiovascular </w:t>
      </w:r>
      <w:r w:rsidRPr="002623F7">
        <w:rPr>
          <w:rFonts w:ascii="Book Antiqua" w:eastAsia="Book Antiqua" w:hAnsi="Book Antiqua" w:cs="Book Antiqua"/>
          <w:color w:val="000000"/>
        </w:rPr>
        <w:t>disease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current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multivariate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regression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impacted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30-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623F7">
        <w:rPr>
          <w:rFonts w:ascii="Book Antiqua" w:eastAsia="Book Antiqua" w:hAnsi="Book Antiqua" w:cs="Book Antiqua"/>
          <w:color w:val="000000"/>
        </w:rPr>
        <w:t>[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1.31,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623F7">
        <w:rPr>
          <w:rFonts w:ascii="Book Antiqua" w:eastAsia="Book Antiqua" w:hAnsi="Book Antiqua" w:cs="Book Antiqua"/>
          <w:color w:val="000000"/>
        </w:rPr>
        <w:t>(</w:t>
      </w:r>
      <w:r w:rsidRPr="002623F7">
        <w:rPr>
          <w:rFonts w:ascii="Book Antiqua" w:eastAsia="Book Antiqua" w:hAnsi="Book Antiqua" w:cs="Book Antiqua"/>
          <w:color w:val="000000"/>
        </w:rPr>
        <w:t>0.37-4.7</w:t>
      </w:r>
      <w:r w:rsidR="00931FB4" w:rsidRPr="002623F7">
        <w:rPr>
          <w:rFonts w:ascii="Book Antiqua" w:eastAsia="Book Antiqua" w:hAnsi="Book Antiqua" w:cs="Book Antiqua"/>
          <w:color w:val="000000"/>
        </w:rPr>
        <w:t>)</w:t>
      </w:r>
      <w:r w:rsidRPr="002623F7">
        <w:rPr>
          <w:rFonts w:ascii="Book Antiqua" w:eastAsia="Book Antiqua" w:hAnsi="Book Antiqua" w:cs="Book Antiqua"/>
          <w:color w:val="000000"/>
        </w:rPr>
        <w:t>]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623F7">
        <w:rPr>
          <w:rFonts w:ascii="Book Antiqua" w:eastAsia="Book Antiqua" w:hAnsi="Book Antiqua" w:cs="Book Antiqua"/>
          <w:color w:val="000000"/>
        </w:rPr>
        <w:t>[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1.55,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623F7">
        <w:rPr>
          <w:rFonts w:ascii="Book Antiqua" w:eastAsia="Book Antiqua" w:hAnsi="Book Antiqua" w:cs="Book Antiqua"/>
          <w:color w:val="000000"/>
        </w:rPr>
        <w:t>(</w:t>
      </w:r>
      <w:r w:rsidRPr="002623F7">
        <w:rPr>
          <w:rFonts w:ascii="Book Antiqua" w:eastAsia="Book Antiqua" w:hAnsi="Book Antiqua" w:cs="Book Antiqua"/>
          <w:color w:val="000000"/>
        </w:rPr>
        <w:t>0.38-6.28</w:t>
      </w:r>
      <w:r w:rsidR="00077F64" w:rsidRPr="002623F7">
        <w:rPr>
          <w:rFonts w:ascii="Book Antiqua" w:eastAsia="Book Antiqua" w:hAnsi="Book Antiqua" w:cs="Book Antiqua"/>
          <w:color w:val="000000"/>
        </w:rPr>
        <w:t>)</w:t>
      </w:r>
      <w:r w:rsidR="00931FB4" w:rsidRPr="002623F7">
        <w:rPr>
          <w:rFonts w:ascii="Book Antiqua" w:eastAsia="Book Antiqua" w:hAnsi="Book Antiqua" w:cs="Book Antiqua"/>
          <w:color w:val="000000"/>
        </w:rPr>
        <w:t>]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reach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(See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6175F" w:rsidRPr="002623F7">
        <w:rPr>
          <w:rFonts w:ascii="Book Antiqua" w:eastAsia="Book Antiqua" w:hAnsi="Book Antiqua" w:cs="Book Antiqua"/>
          <w:color w:val="000000"/>
        </w:rPr>
        <w:t>5</w:t>
      </w:r>
      <w:r w:rsidRPr="002623F7">
        <w:rPr>
          <w:rFonts w:ascii="Book Antiqua" w:eastAsia="Book Antiqua" w:hAnsi="Book Antiqua" w:cs="Book Antiqua"/>
          <w:color w:val="000000"/>
        </w:rPr>
        <w:t>).</w:t>
      </w:r>
    </w:p>
    <w:p w14:paraId="37BFD733" w14:textId="77777777" w:rsidR="009A7834" w:rsidRPr="002623F7" w:rsidRDefault="009A7834" w:rsidP="0022481F">
      <w:pPr>
        <w:spacing w:line="360" w:lineRule="auto"/>
        <w:jc w:val="both"/>
        <w:rPr>
          <w:rFonts w:ascii="Book Antiqua" w:hAnsi="Book Antiqua"/>
        </w:rPr>
      </w:pPr>
    </w:p>
    <w:p w14:paraId="0DAC92D5" w14:textId="110814FC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i/>
          <w:iCs/>
          <w:color w:val="000000"/>
        </w:rPr>
        <w:t>Stay</w:t>
      </w:r>
    </w:p>
    <w:p w14:paraId="3089B824" w14:textId="2CDBCA7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Total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lower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(12.9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22.3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52143E"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0.001).</w:t>
      </w:r>
    </w:p>
    <w:p w14:paraId="2E6A10D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153185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619893D" w14:textId="51E78993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154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8467AD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hypothesized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independent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support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hypothesis.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worse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shorter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stay.</w:t>
      </w:r>
    </w:p>
    <w:p w14:paraId="7CB2E5C3" w14:textId="06F1FE3D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directly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observational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Nationwide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Sample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George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52181" w:rsidRPr="002623F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0E43BB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34623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match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findings.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directly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patients’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nationwide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extends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conclusions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additionally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90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hospitalization.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Finally,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</w:p>
    <w:p w14:paraId="76256CA9" w14:textId="798E7BAB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“early”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“late”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cutoff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cutoff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collection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“post-hoc”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analysis.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cutoff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several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reasons.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First,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clinical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experience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suggested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consulted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neurology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243F9" w:rsidRPr="002623F7">
        <w:rPr>
          <w:rFonts w:ascii="Book Antiqua" w:eastAsia="Book Antiqua" w:hAnsi="Book Antiqua" w:cs="Book Antiqua"/>
          <w:color w:val="000000"/>
        </w:rPr>
        <w:t xml:space="preserve">wk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patients’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course,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usually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Second,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cutoff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George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3566" w:rsidRPr="002623F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direct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comparison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their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results.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Finally,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cutoff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guideline-based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243F9" w:rsidRPr="002623F7">
        <w:rPr>
          <w:rFonts w:ascii="Book Antiqua" w:eastAsia="Book Antiqua" w:hAnsi="Book Antiqua" w:cs="Book Antiqua"/>
          <w:color w:val="000000"/>
        </w:rPr>
        <w:t>wk</w:t>
      </w:r>
      <w:r w:rsidR="00E84098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answer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hypothesis,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</w:t>
      </w:r>
      <w:r w:rsidR="00092A83" w:rsidRPr="002623F7">
        <w:rPr>
          <w:rFonts w:ascii="Book Antiqua" w:eastAsia="Book Antiqua" w:hAnsi="Book Antiqua" w:cs="Book Antiqua"/>
          <w:color w:val="000000"/>
        </w:rPr>
        <w:t>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does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worsened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outcomes.</w:t>
      </w:r>
    </w:p>
    <w:p w14:paraId="14C6954B" w14:textId="0CB30B95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previously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discussed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introduction,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</w:t>
      </w:r>
      <w:r w:rsidR="0011528F" w:rsidRPr="002623F7">
        <w:rPr>
          <w:rFonts w:ascii="Book Antiqua" w:eastAsia="Book Antiqua" w:hAnsi="Book Antiqua" w:cs="Book Antiqua"/>
          <w:color w:val="000000"/>
        </w:rPr>
        <w:t>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B43566" w:rsidRPr="002623F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recently,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2019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management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ischemic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American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Heart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American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also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nasogastric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phase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longer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anticipated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persistent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inability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swallow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(&gt;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wk)”</w:t>
      </w:r>
      <w:r w:rsidR="004655AC" w:rsidRPr="002623F7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4655AC"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graded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moderate,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level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opinion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clinical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experience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10752" w:rsidRPr="002623F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623F7">
        <w:rPr>
          <w:rFonts w:ascii="Book Antiqua" w:eastAsia="Book Antiqua" w:hAnsi="Book Antiqua" w:cs="Book Antiqua"/>
          <w:color w:val="000000"/>
        </w:rPr>
        <w:t>.</w:t>
      </w:r>
    </w:p>
    <w:p w14:paraId="1AD09091" w14:textId="33485703" w:rsidR="00A77B3E" w:rsidRPr="002623F7" w:rsidRDefault="00E17EB9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Despite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wk,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high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initiate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often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intensive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rehab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skilled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nursing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facility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care;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resume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high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nasoenteric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blockage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95A42" w:rsidRPr="002623F7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limit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quickly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begin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intensive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rehabilitation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jeopardize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their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neurologic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recovery.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reason,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determining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optimal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clinically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important,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examined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directly.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2005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“FOOD”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randomized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controlled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trial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nasoenteric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appeared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former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small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absolute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outcomes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55BDE" w:rsidRPr="002623F7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Cochrane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insufficient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offer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definitive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answers,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terms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functional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subacute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Pr="002623F7">
        <w:rPr>
          <w:rFonts w:ascii="Book Antiqua" w:eastAsia="Book Antiqua" w:hAnsi="Book Antiqua" w:cs="Book Antiqua"/>
          <w:color w:val="000000"/>
        </w:rPr>
        <w:t>Instead,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improved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delivery,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treatment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failures,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bleeding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4074" w:rsidRPr="002623F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However,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neither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specifically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looked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George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 w:rsidRPr="002623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043ED" w:rsidRPr="002623F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introduce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discussion.</w:t>
      </w:r>
    </w:p>
    <w:p w14:paraId="66BA5668" w14:textId="7B0441C5" w:rsidR="008467AD" w:rsidRPr="002623F7" w:rsidRDefault="00E17EB9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several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limitations,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notably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relatively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small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population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size,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likely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underpowered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inability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adverse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attempted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account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contributing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patients’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clinical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demographic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broadly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Nevertheless,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remains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possibility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confounding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bias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assessing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possible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sicker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longer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recovery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before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affecting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039D2221" w14:textId="035B298F" w:rsidR="008467AD" w:rsidRPr="002623F7" w:rsidRDefault="00E17EB9" w:rsidP="008467A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623F7"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limitation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 study was its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design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, as </w:t>
      </w:r>
      <w:r w:rsidRPr="002623F7">
        <w:rPr>
          <w:rFonts w:ascii="Book Antiqua" w:eastAsia="Book Antiqua" w:hAnsi="Book Antiqua" w:cs="Book Antiqua"/>
          <w:color w:val="000000"/>
        </w:rPr>
        <w:t>all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health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captured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outside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related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Additionally,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platelet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antiplatelet,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anticoagulant,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immunosuppressant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examined.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65C64244" w14:textId="33BF895F" w:rsidR="00A77B3E" w:rsidRPr="002623F7" w:rsidRDefault="008467AD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 xml:space="preserve">Our study did assess age, which is a risk factor for prolonged dysphagia and poorer outcomes. There was a significant age difference between the early and late PEG placement groups, with the early group trending older (74.65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2623F7">
        <w:rPr>
          <w:rFonts w:ascii="Book Antiqua" w:eastAsia="Book Antiqua" w:hAnsi="Book Antiqua" w:cs="Book Antiqua"/>
          <w:color w:val="000000"/>
        </w:rPr>
        <w:t xml:space="preserve"> 66.24). If this were to affect results, it should have favored the late placement group.  However, this study did not evaluate other </w:t>
      </w:r>
      <w:r w:rsidR="00E17EB9"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prolonged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therefore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need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feeding,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National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Institutes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Health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Scale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(NIHSS),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bilateral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infarction,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clinical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signs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aspiration,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location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frontal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operculum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insular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cortex</w:t>
      </w:r>
      <w:r w:rsidR="00B43566" w:rsidRPr="002623F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E17EB9"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</w:t>
      </w:r>
      <w:r w:rsidR="00E17EB9" w:rsidRPr="002623F7">
        <w:rPr>
          <w:rFonts w:ascii="Book Antiqua" w:eastAsia="Book Antiqua" w:hAnsi="Book Antiqua" w:cs="Book Antiqua"/>
          <w:color w:val="000000"/>
        </w:rPr>
        <w:t>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would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been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assessed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by</w:t>
      </w:r>
      <w:r w:rsidRPr="002623F7">
        <w:rPr>
          <w:rFonts w:ascii="Book Antiqua" w:eastAsia="Book Antiqua" w:hAnsi="Book Antiqua" w:cs="Book Antiqua"/>
          <w:color w:val="000000"/>
        </w:rPr>
        <w:t xml:space="preserve"> 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neurology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service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consulting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service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 </w:t>
      </w:r>
      <w:r w:rsidR="00E17EB9" w:rsidRPr="002623F7">
        <w:rPr>
          <w:rFonts w:ascii="Book Antiqua" w:eastAsia="Book Antiqua" w:hAnsi="Book Antiqua" w:cs="Book Antiqua"/>
          <w:color w:val="000000"/>
        </w:rPr>
        <w:t>Unassessed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these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persistent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contribute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populations’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623F7">
        <w:rPr>
          <w:rFonts w:ascii="Book Antiqua" w:eastAsia="Book Antiqua" w:hAnsi="Book Antiqua" w:cs="Book Antiqua"/>
          <w:color w:val="000000"/>
        </w:rPr>
        <w:t>outcomes.</w:t>
      </w:r>
      <w:r w:rsidR="00CF1CD1" w:rsidRPr="002623F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1E91136" w14:textId="38193040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published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Annals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albumin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positive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urine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cultures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underwent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942373" w:rsidRPr="002623F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abnormal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leukocyte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likely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experience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complications</w:t>
      </w:r>
      <w:r w:rsidR="000E43BB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C304D" w:rsidRPr="002623F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30-d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higher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platelet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100000/μ</w:t>
      </w:r>
      <w:r w:rsidR="008F1C28" w:rsidRPr="002623F7">
        <w:rPr>
          <w:rFonts w:ascii="Book Antiqua" w:eastAsia="Book Antiqua" w:hAnsi="Book Antiqua" w:cs="Book Antiqua"/>
          <w:color w:val="000000"/>
        </w:rPr>
        <w:t>L</w:t>
      </w:r>
      <w:r w:rsidR="008F1C28" w:rsidRPr="002623F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B06BF" w:rsidRPr="002623F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623F7">
        <w:rPr>
          <w:rFonts w:ascii="Book Antiqua" w:eastAsia="Book Antiqua" w:hAnsi="Book Antiqua" w:cs="Book Antiqua"/>
          <w:color w:val="000000"/>
        </w:rPr>
        <w:t>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well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pre-existing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cardiovascular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equivalents,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findings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reached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larger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population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size.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6545E44F" w14:textId="395CD480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lastRenderedPageBreak/>
        <w:t>Overall,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comparable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those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FOOD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trial,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40%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incidence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adverse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4270D" w:rsidRPr="002623F7">
        <w:rPr>
          <w:rFonts w:ascii="Book Antiqua" w:eastAsia="Book Antiqua" w:hAnsi="Book Antiqua" w:cs="Book Antiqua"/>
          <w:i/>
          <w:iCs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pulmonary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embolism,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623F7">
        <w:rPr>
          <w:rFonts w:ascii="Book Antiqua" w:eastAsia="Book Antiqua" w:hAnsi="Book Antiqua" w:cs="Book Antiqua"/>
          <w:color w:val="000000"/>
        </w:rPr>
        <w:t>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over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8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</w:t>
      </w:r>
      <w:r w:rsidR="0011528F" w:rsidRPr="002623F7">
        <w:rPr>
          <w:rFonts w:ascii="Book Antiqua" w:eastAsia="Book Antiqua" w:hAnsi="Book Antiqua" w:cs="Book Antiqua"/>
          <w:color w:val="000000"/>
        </w:rPr>
        <w:t>nth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period,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10%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non-malnourished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623F7">
        <w:rPr>
          <w:rFonts w:ascii="Book Antiqua" w:eastAsia="Book Antiqua" w:hAnsi="Book Antiqua" w:cs="Book Antiqua"/>
          <w:color w:val="000000"/>
        </w:rPr>
        <w:t>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mo,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30%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malnourished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4554A489" w14:textId="395116C1" w:rsidR="00A77B3E" w:rsidRPr="002623F7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conclusion,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fewer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large-scale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favor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concurrent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SIRS,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expected,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reduced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considered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appropriate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candidates.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warranted.</w:t>
      </w:r>
    </w:p>
    <w:p w14:paraId="5B38F396" w14:textId="77777777" w:rsidR="00A77B3E" w:rsidRPr="002623F7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2E596D6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CD86550" w14:textId="1E81AC4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conclusion,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of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fewer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deaths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large-scale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favor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concurrent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SIRS,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expected,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reduced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Given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considered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appropriate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candidates.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cost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warranted.</w:t>
      </w:r>
    </w:p>
    <w:p w14:paraId="04B3722D" w14:textId="77777777" w:rsidR="00A77B3E" w:rsidRPr="002623F7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32FE017" w14:textId="7D387F7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CF1CD1"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623F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EB4D7F5" w14:textId="2FC86B3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ACD8062" w14:textId="304524A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commonly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require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Percutaneous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gastrostomy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(PEG)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nasogastric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options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enteral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feeding,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optimal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timing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determining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should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uncertain.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2011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guidelines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waiting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2E7A87" w:rsidRPr="002623F7">
        <w:rPr>
          <w:rFonts w:ascii="Book Antiqua" w:eastAsia="Book Antiqua" w:hAnsi="Book Antiqua" w:cs="Book Antiqua"/>
          <w:color w:val="000000"/>
        </w:rPr>
        <w:t xml:space="preserve">wk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assessment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resolution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recommendation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quality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evidence.</w:t>
      </w:r>
    </w:p>
    <w:p w14:paraId="48C31A26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FCF08E1" w14:textId="36A3649A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94A137" w14:textId="7C0434F5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facilitate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earlier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discharge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intensive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rehab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neurologic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recovery.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observational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Nationwide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Survey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found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inpatient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following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could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provide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longer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term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post-hospitalization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Further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</w:t>
      </w:r>
      <w:r w:rsidR="008467AD" w:rsidRPr="002623F7">
        <w:rPr>
          <w:rFonts w:ascii="Book Antiqua" w:eastAsia="Book Antiqua" w:hAnsi="Book Antiqua" w:cs="Book Antiqua"/>
          <w:color w:val="000000"/>
        </w:rPr>
        <w:t>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looking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>are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warranted.</w:t>
      </w:r>
    </w:p>
    <w:p w14:paraId="14F99007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517163D" w14:textId="42A2F12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1BCF6C2" w14:textId="60027EA4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aims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Primary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objectives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30-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Secondary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objectives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multivariate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analysis.</w:t>
      </w:r>
    </w:p>
    <w:p w14:paraId="695326B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017487" w14:textId="529FE643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E03967" w14:textId="7B55A6EA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bi</w:t>
      </w:r>
      <w:r w:rsidR="008467AD" w:rsidRPr="002623F7">
        <w:rPr>
          <w:rFonts w:ascii="Book Antiqua" w:eastAsia="Book Antiqua" w:hAnsi="Book Antiqua" w:cs="Book Antiqua"/>
          <w:color w:val="000000"/>
        </w:rPr>
        <w:t>-</w:t>
      </w:r>
      <w:r w:rsidRPr="002623F7">
        <w:rPr>
          <w:rFonts w:ascii="Book Antiqua" w:eastAsia="Book Antiqua" w:hAnsi="Book Antiqua" w:cs="Book Antiqua"/>
          <w:color w:val="000000"/>
        </w:rPr>
        <w:t>center,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482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based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endoscopy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reports.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467AD" w:rsidRPr="002623F7">
        <w:rPr>
          <w:rFonts w:ascii="Book Antiqua" w:eastAsia="Book Antiqua" w:hAnsi="Book Antiqua" w:cs="Book Antiqua"/>
          <w:color w:val="000000"/>
        </w:rPr>
        <w:t xml:space="preserve">patients with </w:t>
      </w:r>
      <w:r w:rsidRPr="002623F7">
        <w:rPr>
          <w:rFonts w:ascii="Book Antiqua" w:eastAsia="Book Antiqua" w:hAnsi="Book Antiqua" w:cs="Book Antiqua"/>
          <w:color w:val="000000"/>
        </w:rPr>
        <w:t>age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18,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surgery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interventional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radiology,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indications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dysphagia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from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154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identified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stroke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92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after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collected,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outcomes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included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all-cause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Demographics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predictors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morbidity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also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collected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multivariate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logistic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regression.</w:t>
      </w:r>
    </w:p>
    <w:p w14:paraId="650726D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E6AF5A1" w14:textId="349BA39F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5DF94E" w14:textId="43A181B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Demographics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comorbidities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similar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</w:t>
      </w:r>
      <w:r w:rsidR="000E43BB" w:rsidRPr="002623F7">
        <w:rPr>
          <w:rFonts w:ascii="Book Antiqua" w:eastAsia="Book Antiqua" w:hAnsi="Book Antiqua" w:cs="Book Antiqua"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except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age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74.7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66.2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years,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=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0.0005).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statistically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peri-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post-procedural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between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groups.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proposed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risk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factors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studies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impacted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30-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90-d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although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protein-calorie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malnutrition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presence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infection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criteria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were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non-significantly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rate.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Finally,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hospital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length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significantly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lower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patients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undergoing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tube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(12.9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22.3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760138" w:rsidRPr="002623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&lt;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0.001).</w:t>
      </w:r>
    </w:p>
    <w:p w14:paraId="5831FAA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06ABAC8" w14:textId="113CCE58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98C4EC4" w14:textId="6213D58D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associated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increase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mortality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complications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compared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suggests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safe.</w:t>
      </w:r>
    </w:p>
    <w:p w14:paraId="46B69350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53E434B" w14:textId="12B34108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 w:rsidRPr="002623F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A88F48" w14:textId="1BCB26AD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Further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evaluate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safety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early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reconsideration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623F7">
        <w:rPr>
          <w:rFonts w:ascii="Book Antiqua" w:eastAsia="Book Antiqua" w:hAnsi="Book Antiqua" w:cs="Book Antiqua"/>
          <w:color w:val="000000"/>
        </w:rPr>
        <w:t>2-w</w:t>
      </w:r>
      <w:r w:rsidR="00092A83" w:rsidRPr="002623F7">
        <w:rPr>
          <w:rFonts w:ascii="Book Antiqua" w:eastAsia="Book Antiqua" w:hAnsi="Book Antiqua" w:cs="Book Antiqua"/>
          <w:color w:val="000000"/>
        </w:rPr>
        <w:t>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delay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PEG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placement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warranted.</w:t>
      </w:r>
    </w:p>
    <w:p w14:paraId="7D8D7A5F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79C77B6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46FBF6" w14:textId="3B2E3B94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ASGE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Standards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of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Practice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Committee</w:t>
      </w:r>
      <w:r w:rsidRPr="002623F7">
        <w:rPr>
          <w:rFonts w:ascii="Book Antiqua" w:eastAsia="宋体" w:hAnsi="Book Antiqua" w:cs="Tahoma"/>
          <w:color w:val="000000"/>
        </w:rPr>
        <w:t>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Jain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Maple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Anderson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Appalaneni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V,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Ben-Menachem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Decker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Fanelli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RD,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Fisher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Fukami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Ikenberry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SO,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Jue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Khan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Krinsky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Malpas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Sharaf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Dominitz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JA.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role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enteral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Gastrointest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Endosc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2011;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74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7-12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21704804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10.1016/j.gie.2010.10.021]</w:t>
      </w:r>
    </w:p>
    <w:p w14:paraId="6A3CC636" w14:textId="3BFEEDF3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lastRenderedPageBreak/>
        <w:t>2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Martino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R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Foley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Bhogal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Diamant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Speechley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Teasell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after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incidence,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diagnosis,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pulmonary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complications.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2005;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36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2756-2763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16269630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10.1161/01.STR.0000190056.76543.eb]</w:t>
      </w:r>
    </w:p>
    <w:p w14:paraId="388CE826" w14:textId="04923C51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Rowat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A</w:t>
      </w:r>
      <w:r w:rsidRPr="002623F7">
        <w:rPr>
          <w:rFonts w:ascii="Book Antiqua" w:eastAsia="宋体" w:hAnsi="Book Antiqua" w:cs="Tahoma"/>
          <w:color w:val="000000"/>
        </w:rPr>
        <w:t>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Enteral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tube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Br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J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Nurs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2015;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24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138,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140,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142-145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25679242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10.12968/bjon.2015.24.3.138]</w:t>
      </w:r>
    </w:p>
    <w:p w14:paraId="10B2CE2D" w14:textId="1370562D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4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Turner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M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Barber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Dodds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Dennis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Langhorne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Macleod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MJ;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Scottish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Care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Audit.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Agreement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between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routine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electronic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hospital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discharge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Scottish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Care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Audit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(SSCA)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data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identifying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Scottish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population.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BMC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Health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Serv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Res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2015;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15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583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26719156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10.1186/s12913-015-1244-y]</w:t>
      </w:r>
    </w:p>
    <w:p w14:paraId="369C5C0E" w14:textId="0EE56876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5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Ojo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O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Brooke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Use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Enteral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Nutrition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Management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Nutrients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2016;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27999383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10.3390/nu8120827]</w:t>
      </w:r>
    </w:p>
    <w:p w14:paraId="27845868" w14:textId="77977CB8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Park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RH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Allison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Lang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Spence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Morris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Danesh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Russell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RI,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Mills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PR.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Randomised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comparison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nasogastric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tube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with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persisting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neurological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dysphagia.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BMJ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1992;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304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1406-1409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1628013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10.1136/bmj.304.6839.1406]</w:t>
      </w:r>
    </w:p>
    <w:p w14:paraId="1B406706" w14:textId="21321943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Norton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B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Homer-Ward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Donnelly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Long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RG,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Holmes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GK.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randomised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prospective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comparison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nasogastric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tube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after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BMJ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1996;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312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13-16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8555849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10.1136/bmj.312.7022.13]</w:t>
      </w:r>
    </w:p>
    <w:p w14:paraId="10BD1179" w14:textId="23357A61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Dennis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MS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Lewis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Warlow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FOOD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Trial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Collaboration.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Effect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timing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method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enteral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tube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(FOOD):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multicentre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randomised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controlled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trial.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Lancet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2005;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365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764-772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15733717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10.1016/S0140-6736(05)17983-5]</w:t>
      </w:r>
    </w:p>
    <w:p w14:paraId="4053FC97" w14:textId="38EC3A83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9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Dennis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M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Lewis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Cranswick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Forbes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FOOD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Trial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Collaboration.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FOOD: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multicentre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randomised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trial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evaluating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policies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admitted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to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hospital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with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recent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Health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Technol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Assess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2006;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10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iii-iiv,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ix-ix,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1-120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16409880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10.3310/hta10020]</w:t>
      </w:r>
    </w:p>
    <w:p w14:paraId="710DF815" w14:textId="5D92111A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George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BP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Kelly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AG,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Albert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Hwang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Holloway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RG.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Timing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Ischemic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Observational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Study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From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lastRenderedPageBreak/>
        <w:t>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Nationwide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Inpatient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Sample.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2017;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48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420-427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27965430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10.1161/STROKEAHA.116.015119]</w:t>
      </w:r>
    </w:p>
    <w:p w14:paraId="3FF3258E" w14:textId="7C2FA6EF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11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Ponsky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JL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Gauderer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MW.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nonoperative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technique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Gastrointest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Endosc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1981;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27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9-11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6783471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10.1016/s0016-5107(81)73133-x]</w:t>
      </w:r>
    </w:p>
    <w:p w14:paraId="6DF49006" w14:textId="613034B2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12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ASGE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Standards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of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Practice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Committee</w:t>
      </w:r>
      <w:r w:rsidRPr="002623F7">
        <w:rPr>
          <w:rFonts w:ascii="Book Antiqua" w:eastAsia="宋体" w:hAnsi="Book Antiqua" w:cs="Tahoma"/>
          <w:color w:val="000000"/>
        </w:rPr>
        <w:t>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Acosta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RD,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Abraham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Chandrasekhara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V,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Chathadi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KV,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Early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Eloubeidi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Evans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Faulx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Fisher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Fonkalsrud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Hwang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Khashab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Lightdale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Muthusamy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VR,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Pasha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SF,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Saltzman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Shaukat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Shergill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AK,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Wang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Cash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BD,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DeWitt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JM.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management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antithrombotic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agents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undergoing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endoscopy.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Gastrointest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Endosc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2016;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83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3-16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26621548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10.1016/j.gie.2015.09.035]</w:t>
      </w:r>
    </w:p>
    <w:p w14:paraId="5A463568" w14:textId="156EF493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Powers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WJ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Rabinstein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Ackerson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Adeoye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Bambakidis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Becker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Biller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Brown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Demaerschalk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Hoh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Jauch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Kidwell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Leslie-Mazwi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Ovbiagele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Scott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Sheth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Southerland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Summers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DV,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Tirschwell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DL.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Guidelines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Early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Management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With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Ischemic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2019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Update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to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Guidelines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Early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Management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Ischemic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Guideline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Healthcare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Professionals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From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American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Heart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Association/American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Association.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Stroke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2019;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50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e344-e418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31662037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10.1161/STR.0000000000000211]</w:t>
      </w:r>
    </w:p>
    <w:p w14:paraId="527BC11B" w14:textId="1196FA74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14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Geeganage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C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Beavan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Ellender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Bath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PM.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Interventions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dysphagia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nutritional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support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subacute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Cochrane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Database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Syst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Rev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2012;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10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CD000323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23076886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10.1002/14651858.CD000323.pub2]</w:t>
      </w:r>
    </w:p>
    <w:p w14:paraId="70ABF8FB" w14:textId="6DBA68F9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15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Galovic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M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Stauber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Leisi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Krammer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Brugger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Vehoff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Balcerak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Müller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Müller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Rosenfeld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Polymeris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Thilemann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Marchis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Niemann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Leifke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Lyrer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Saladin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Kahles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Nedeltchev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Sarikaya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Jung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Fischer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U,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Manno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Cereda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CW,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Sander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JW,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Tettenborn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Weder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Stoeckli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Arnold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Kägi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Development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Validation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Prognostic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Model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Swallowing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Recovery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Enteral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Tube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Feeding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After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Ischemic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Stroke.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JAMA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Neurol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2019;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76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561-570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30742198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10.1001/jamaneurol.2018.4858]</w:t>
      </w:r>
    </w:p>
    <w:p w14:paraId="107B9CAA" w14:textId="3A7A9CAD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lastRenderedPageBreak/>
        <w:t>16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Gumaste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VV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Bhamidimarri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Bansal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Sidhu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Baum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Walfish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Factors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predicting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early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discharge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mortality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post-percutaneous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patients.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Ann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Gastroenterol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2014;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27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42-47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24714451]</w:t>
      </w:r>
    </w:p>
    <w:p w14:paraId="7135D363" w14:textId="5BD6BDE4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17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Lee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SP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KN,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OY,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HL,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Jun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DW,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Yoon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BC,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Choi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HS,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Kim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SH.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Risk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factors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complications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Dig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Dis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Sci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2014;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59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117-125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24142070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10.1007/s10620-013-2891-7]</w:t>
      </w:r>
    </w:p>
    <w:p w14:paraId="38FB6E8F" w14:textId="4CDC43D4" w:rsidR="00901D19" w:rsidRPr="002623F7" w:rsidRDefault="00901D19" w:rsidP="00901D19">
      <w:pPr>
        <w:spacing w:line="360" w:lineRule="auto"/>
        <w:jc w:val="both"/>
        <w:rPr>
          <w:rFonts w:ascii="Book Antiqua" w:eastAsia="宋体" w:hAnsi="Book Antiqua" w:cs="Tahoma"/>
          <w:color w:val="000000"/>
        </w:rPr>
      </w:pPr>
      <w:r w:rsidRPr="002623F7">
        <w:rPr>
          <w:rFonts w:ascii="Book Antiqua" w:eastAsia="宋体" w:hAnsi="Book Antiqua" w:cs="Tahoma"/>
          <w:color w:val="000000"/>
        </w:rPr>
        <w:t>18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Pih</w:t>
      </w:r>
      <w:r w:rsidR="00CF1CD1" w:rsidRPr="002623F7">
        <w:rPr>
          <w:rFonts w:ascii="Book Antiqua" w:eastAsia="宋体" w:hAnsi="Book Antiqua" w:cs="Tahoma"/>
          <w:b/>
          <w:bCs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GY</w:t>
      </w:r>
      <w:r w:rsidRPr="002623F7">
        <w:rPr>
          <w:rFonts w:ascii="Book Antiqua" w:eastAsia="宋体" w:hAnsi="Book Antiqua" w:cs="Tahoma"/>
          <w:color w:val="000000"/>
        </w:rPr>
        <w:t>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Na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HK,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Ahn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JY,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Jung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KW,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Kim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Choi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KD,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Song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HJ,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Lee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GH,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Jung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HY.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Risk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factors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for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complications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and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mortality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of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percutaneous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endoscopic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gastrostomy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insertion.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BMC</w:t>
      </w:r>
      <w:r w:rsidR="00CF1CD1" w:rsidRPr="002623F7">
        <w:rPr>
          <w:rFonts w:ascii="Book Antiqua" w:eastAsia="宋体" w:hAnsi="Book Antiqua" w:cs="Tahoma"/>
          <w:i/>
          <w:iCs/>
          <w:color w:val="000000"/>
        </w:rPr>
        <w:t xml:space="preserve"> </w:t>
      </w:r>
      <w:r w:rsidRPr="002623F7">
        <w:rPr>
          <w:rFonts w:ascii="Book Antiqua" w:eastAsia="宋体" w:hAnsi="Book Antiqua" w:cs="Tahoma"/>
          <w:i/>
          <w:iCs/>
          <w:color w:val="000000"/>
        </w:rPr>
        <w:t>Gastroenterol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2018;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b/>
          <w:bCs/>
          <w:color w:val="000000"/>
        </w:rPr>
        <w:t>18</w:t>
      </w:r>
      <w:r w:rsidRPr="002623F7">
        <w:rPr>
          <w:rFonts w:ascii="Book Antiqua" w:eastAsia="宋体" w:hAnsi="Book Antiqua" w:cs="Tahoma"/>
          <w:color w:val="000000"/>
        </w:rPr>
        <w:t>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101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[PMID: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29954339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DOI:</w:t>
      </w:r>
      <w:r w:rsidR="00CF1CD1" w:rsidRPr="002623F7">
        <w:rPr>
          <w:rFonts w:ascii="Book Antiqua" w:eastAsia="宋体" w:hAnsi="Book Antiqua" w:cs="Tahoma"/>
          <w:color w:val="000000"/>
        </w:rPr>
        <w:t xml:space="preserve"> </w:t>
      </w:r>
      <w:r w:rsidRPr="002623F7">
        <w:rPr>
          <w:rFonts w:ascii="Book Antiqua" w:eastAsia="宋体" w:hAnsi="Book Antiqua" w:cs="Tahoma"/>
          <w:color w:val="000000"/>
        </w:rPr>
        <w:t>10.1186/s12876-018-0825-8]</w:t>
      </w:r>
    </w:p>
    <w:p w14:paraId="6B6D111D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  <w:sectPr w:rsidR="00A77B3E" w:rsidRPr="002623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66345" w14:textId="77777777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8B30E6" w14:textId="66A462E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study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approved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Institutional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(Approval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29062).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</w:p>
    <w:p w14:paraId="75DFB16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1A6CCE9" w14:textId="64AAE9D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Informed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consent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waived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Saint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Louis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University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Institutional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Board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retrospective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chart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review.</w:t>
      </w:r>
    </w:p>
    <w:p w14:paraId="170FDB8B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6660F41" w14:textId="6E90B722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authors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have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conflicts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interest.</w:t>
      </w:r>
    </w:p>
    <w:p w14:paraId="24640D74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D64D0A4" w14:textId="40E33E14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additional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data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available.</w:t>
      </w:r>
    </w:p>
    <w:p w14:paraId="0FA4F195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5D497FA" w14:textId="4F93C4B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F1CD1" w:rsidRPr="002623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article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open-access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article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that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was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selected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in-house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editor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fully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peer-reviewed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external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reviewers.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distributed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accordance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with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Creative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Commons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Attribution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NonCommercial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(CC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BY-NC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4.0)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license,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which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permits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others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to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distribute,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remix,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adapt,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build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upon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work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non-commercially,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license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their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derivative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works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different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terms,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provided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original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work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properly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the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use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is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non-commercial.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See: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7D72A2A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47946A7" w14:textId="43A5411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Provenance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peer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review: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Unsolicited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article;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Externally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peer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reviewed.</w:t>
      </w:r>
    </w:p>
    <w:p w14:paraId="1B9853C1" w14:textId="2E1DBCC0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Peer-review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model: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Single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blind</w:t>
      </w:r>
    </w:p>
    <w:p w14:paraId="3DD1D9D9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9F1F4B" w14:textId="1C2DB57A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Peer-review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started: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October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23,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2021</w:t>
      </w:r>
    </w:p>
    <w:p w14:paraId="11804256" w14:textId="73780F66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First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decision: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December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16,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2021</w:t>
      </w:r>
    </w:p>
    <w:p w14:paraId="007D98AA" w14:textId="4638668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Article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in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press: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0F3E" w:rsidRPr="002623F7">
        <w:rPr>
          <w:rFonts w:ascii="Book Antiqua" w:eastAsia="Book Antiqua" w:hAnsi="Book Antiqua" w:cs="Book Antiqua"/>
          <w:color w:val="000000"/>
        </w:rPr>
        <w:t>August 14, 2022</w:t>
      </w:r>
    </w:p>
    <w:p w14:paraId="6D5666CE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6B2DDC2" w14:textId="24D26F9B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Specialty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type: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Gastroenterology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and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A42C87" w:rsidRPr="002623F7">
        <w:rPr>
          <w:rFonts w:ascii="Book Antiqua" w:eastAsia="Book Antiqua" w:hAnsi="Book Antiqua" w:cs="Book Antiqua"/>
          <w:color w:val="000000"/>
        </w:rPr>
        <w:t>h</w:t>
      </w:r>
      <w:r w:rsidRPr="002623F7">
        <w:rPr>
          <w:rFonts w:ascii="Book Antiqua" w:eastAsia="Book Antiqua" w:hAnsi="Book Antiqua" w:cs="Book Antiqua"/>
          <w:color w:val="000000"/>
        </w:rPr>
        <w:t>epatology</w:t>
      </w:r>
    </w:p>
    <w:p w14:paraId="36F2104D" w14:textId="35AA2623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Country/Territory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of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origin: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States</w:t>
      </w:r>
    </w:p>
    <w:p w14:paraId="7F6835FB" w14:textId="23650B21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Peer-review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report’s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scientific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quality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EBE07C" w14:textId="51D1C6DA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Grade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(Excellent):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</w:t>
      </w:r>
    </w:p>
    <w:p w14:paraId="030FCA18" w14:textId="1D1978BD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(Very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good):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</w:t>
      </w:r>
    </w:p>
    <w:p w14:paraId="0FC8B46B" w14:textId="3CFC663C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Grade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C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(Good):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</w:t>
      </w:r>
    </w:p>
    <w:p w14:paraId="21BE1B1B" w14:textId="0F00FDC5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Grade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(Fair):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D</w:t>
      </w:r>
    </w:p>
    <w:p w14:paraId="1522A810" w14:textId="1427926C" w:rsidR="00A77B3E" w:rsidRPr="002623F7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623F7">
        <w:rPr>
          <w:rFonts w:ascii="Book Antiqua" w:eastAsia="Book Antiqua" w:hAnsi="Book Antiqua" w:cs="Book Antiqua"/>
          <w:color w:val="000000"/>
        </w:rPr>
        <w:t>Grade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E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(Poor):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0</w:t>
      </w:r>
    </w:p>
    <w:p w14:paraId="6D962BB3" w14:textId="77777777" w:rsidR="00A77B3E" w:rsidRPr="002623F7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5177394" w14:textId="482BE55E" w:rsidR="00DF7E0A" w:rsidRPr="002623F7" w:rsidRDefault="00E17EB9" w:rsidP="0022481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623F7">
        <w:rPr>
          <w:rFonts w:ascii="Book Antiqua" w:eastAsia="Book Antiqua" w:hAnsi="Book Antiqua" w:cs="Book Antiqua"/>
          <w:b/>
          <w:color w:val="000000"/>
        </w:rPr>
        <w:t>P-Reviewer: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Byeon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H,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Fagundes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color w:val="000000"/>
        </w:rPr>
        <w:t>RB</w:t>
      </w:r>
      <w:r w:rsidR="00CF1CD1" w:rsidRPr="002623F7">
        <w:rPr>
          <w:rFonts w:ascii="Book Antiqua" w:eastAsia="Book Antiqua" w:hAnsi="Book Antiqua" w:cs="Book Antiqua"/>
          <w:b/>
        </w:rPr>
        <w:t xml:space="preserve"> </w:t>
      </w:r>
      <w:r w:rsidR="00FE6E9A" w:rsidRPr="002623F7">
        <w:rPr>
          <w:rFonts w:ascii="Book Antiqua" w:hAnsi="Book Antiqua"/>
          <w:b/>
          <w:bCs/>
        </w:rPr>
        <w:t>A-Editor: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6E9A" w:rsidRPr="002623F7">
        <w:rPr>
          <w:rFonts w:ascii="Book Antiqua" w:hAnsi="Book Antiqua" w:cs="Tahoma"/>
          <w:color w:val="000000"/>
          <w:shd w:val="clear" w:color="auto" w:fill="FFFFFF"/>
        </w:rPr>
        <w:t>Yao</w:t>
      </w:r>
      <w:r w:rsidR="00CF1CD1" w:rsidRPr="002623F7">
        <w:rPr>
          <w:rFonts w:ascii="Book Antiqua" w:hAnsi="Book Antiqua" w:cs="Tahoma"/>
          <w:color w:val="000000"/>
          <w:shd w:val="clear" w:color="auto" w:fill="FFFFFF"/>
        </w:rPr>
        <w:t xml:space="preserve"> </w:t>
      </w:r>
      <w:r w:rsidR="00FE6E9A" w:rsidRPr="002623F7">
        <w:rPr>
          <w:rFonts w:ascii="Book Antiqua" w:hAnsi="Book Antiqua" w:cs="Tahoma"/>
          <w:color w:val="000000"/>
          <w:shd w:val="clear" w:color="auto" w:fill="FFFFFF"/>
        </w:rPr>
        <w:t>QG</w:t>
      </w:r>
      <w:r w:rsidR="00FE6E9A" w:rsidRPr="002623F7">
        <w:rPr>
          <w:rFonts w:ascii="Book Antiqua" w:eastAsia="Book Antiqua" w:hAnsi="Book Antiqua" w:cs="Book Antiqua"/>
          <w:b/>
          <w:color w:val="000000"/>
        </w:rPr>
        <w:t>,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6E9A" w:rsidRPr="002623F7">
        <w:rPr>
          <w:rFonts w:ascii="Book Antiqua" w:eastAsia="Book Antiqua" w:hAnsi="Book Antiqua" w:cs="Book Antiqua"/>
          <w:bCs/>
          <w:color w:val="000000"/>
        </w:rPr>
        <w:t>United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E6E9A" w:rsidRPr="002623F7">
        <w:rPr>
          <w:rFonts w:ascii="Book Antiqua" w:eastAsia="Book Antiqua" w:hAnsi="Book Antiqua" w:cs="Book Antiqua"/>
          <w:bCs/>
          <w:color w:val="000000"/>
        </w:rPr>
        <w:t>States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S-Editor: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02E" w:rsidRPr="002623F7">
        <w:rPr>
          <w:rFonts w:ascii="Book Antiqua" w:eastAsia="Book Antiqua" w:hAnsi="Book Antiqua" w:cs="Book Antiqua"/>
          <w:color w:val="000000"/>
        </w:rPr>
        <w:t>Ma</w:t>
      </w:r>
      <w:r w:rsidR="00CF1CD1" w:rsidRPr="002623F7">
        <w:rPr>
          <w:rFonts w:ascii="Book Antiqua" w:eastAsia="Book Antiqua" w:hAnsi="Book Antiqua" w:cs="Book Antiqua"/>
          <w:color w:val="000000"/>
        </w:rPr>
        <w:t xml:space="preserve"> </w:t>
      </w:r>
      <w:r w:rsidR="00F2502E" w:rsidRPr="002623F7">
        <w:rPr>
          <w:rFonts w:ascii="Book Antiqua" w:eastAsia="Book Antiqua" w:hAnsi="Book Antiqua" w:cs="Book Antiqua"/>
          <w:color w:val="000000"/>
        </w:rPr>
        <w:t>YJ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L-Editor: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705D" w:rsidRPr="002623F7">
        <w:rPr>
          <w:rFonts w:ascii="Book Antiqua" w:eastAsia="Book Antiqua" w:hAnsi="Book Antiqua" w:cs="Book Antiqua"/>
          <w:bCs/>
          <w:color w:val="000000"/>
        </w:rPr>
        <w:t>A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P-Editor: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705D" w:rsidRPr="002623F7">
        <w:rPr>
          <w:rFonts w:ascii="Book Antiqua" w:eastAsia="Book Antiqua" w:hAnsi="Book Antiqua" w:cs="Book Antiqua"/>
          <w:bCs/>
          <w:color w:val="000000"/>
        </w:rPr>
        <w:t>Ma</w:t>
      </w:r>
      <w:r w:rsidR="00CF1CD1" w:rsidRPr="002623F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705D" w:rsidRPr="002623F7">
        <w:rPr>
          <w:rFonts w:ascii="Book Antiqua" w:eastAsia="Book Antiqua" w:hAnsi="Book Antiqua" w:cs="Book Antiqua"/>
          <w:bCs/>
          <w:color w:val="000000"/>
        </w:rPr>
        <w:t>YJ</w:t>
      </w:r>
    </w:p>
    <w:p w14:paraId="12C10386" w14:textId="6236AD7C" w:rsidR="00A77B3E" w:rsidRPr="002623F7" w:rsidRDefault="00DF7E0A" w:rsidP="0022481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623F7">
        <w:rPr>
          <w:rFonts w:ascii="Book Antiqua" w:eastAsia="Book Antiqua" w:hAnsi="Book Antiqua" w:cs="Book Antiqua"/>
          <w:bCs/>
          <w:color w:val="000000"/>
        </w:rPr>
        <w:br w:type="page"/>
      </w:r>
      <w:r w:rsidRPr="002623F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F1CD1" w:rsidRPr="002623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23F7">
        <w:rPr>
          <w:rFonts w:ascii="Book Antiqua" w:eastAsia="Book Antiqua" w:hAnsi="Book Antiqua" w:cs="Book Antiqua"/>
          <w:b/>
          <w:color w:val="000000"/>
        </w:rPr>
        <w:t>Legends</w:t>
      </w:r>
    </w:p>
    <w:p w14:paraId="18D85C2F" w14:textId="73B53770" w:rsidR="00DF7E0A" w:rsidRPr="002623F7" w:rsidRDefault="00B1749B" w:rsidP="0022481F">
      <w:pPr>
        <w:spacing w:line="360" w:lineRule="auto"/>
        <w:jc w:val="both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692DE0EC" wp14:editId="3FF34BF1">
            <wp:extent cx="3009265" cy="33813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7B36" w14:textId="63B713E8" w:rsidR="009F6ECA" w:rsidRPr="002623F7" w:rsidRDefault="00DF7E0A" w:rsidP="0022481F">
      <w:pPr>
        <w:spacing w:line="360" w:lineRule="auto"/>
        <w:rPr>
          <w:rFonts w:ascii="Book Antiqua" w:eastAsia="Times New Roman" w:hAnsi="Book Antiqua"/>
        </w:rPr>
      </w:pPr>
      <w:r w:rsidRPr="002623F7">
        <w:rPr>
          <w:rFonts w:ascii="Book Antiqua" w:hAnsi="Book Antiqua"/>
          <w:b/>
          <w:lang w:eastAsia="zh-CN"/>
        </w:rPr>
        <w:t>Figure</w:t>
      </w:r>
      <w:r w:rsidR="00CF1CD1" w:rsidRPr="002623F7">
        <w:rPr>
          <w:rFonts w:ascii="Book Antiqua" w:hAnsi="Book Antiqua"/>
          <w:b/>
          <w:lang w:eastAsia="zh-CN"/>
        </w:rPr>
        <w:t xml:space="preserve"> </w:t>
      </w:r>
      <w:r w:rsidRPr="002623F7">
        <w:rPr>
          <w:rFonts w:ascii="Book Antiqua" w:hAnsi="Book Antiqua"/>
          <w:b/>
          <w:lang w:eastAsia="zh-CN"/>
        </w:rPr>
        <w:t>1</w:t>
      </w:r>
      <w:r w:rsidR="00CF1CD1" w:rsidRPr="002623F7">
        <w:rPr>
          <w:rFonts w:ascii="Book Antiqua" w:hAnsi="Book Antiqua"/>
          <w:b/>
          <w:lang w:eastAsia="zh-CN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Assembly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of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study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cohort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based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on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exclusion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and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inclusion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criteria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and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manual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chart</w:t>
      </w:r>
      <w:r w:rsidR="00CF1CD1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623F7">
        <w:rPr>
          <w:rFonts w:ascii="Book Antiqua" w:eastAsia="Times New Roman" w:hAnsi="Book Antiqua"/>
          <w:b/>
          <w:bCs/>
          <w:color w:val="000000"/>
        </w:rPr>
        <w:t>review</w:t>
      </w:r>
      <w:r w:rsidR="009C5B14" w:rsidRPr="002623F7">
        <w:rPr>
          <w:rFonts w:ascii="Book Antiqua" w:eastAsia="Times New Roman" w:hAnsi="Book Antiqua"/>
          <w:b/>
          <w:bCs/>
          <w:color w:val="000000"/>
        </w:rPr>
        <w:t>.</w:t>
      </w:r>
      <w:r w:rsidR="00A770AA" w:rsidRPr="002623F7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A770AA" w:rsidRPr="002623F7">
        <w:rPr>
          <w:rFonts w:ascii="Book Antiqua" w:hAnsi="Book Antiqua"/>
          <w:color w:val="000000" w:themeColor="text1"/>
        </w:rPr>
        <w:t>PEG: Percutaneous endoscopic gastrostomy</w:t>
      </w:r>
      <w:r w:rsidR="00FB554A" w:rsidRPr="002623F7">
        <w:rPr>
          <w:rFonts w:ascii="Book Antiqua" w:hAnsi="Book Antiqua"/>
          <w:color w:val="000000" w:themeColor="text1"/>
        </w:rPr>
        <w:t>;</w:t>
      </w:r>
      <w:r w:rsidR="007A7DB5" w:rsidRPr="002623F7">
        <w:rPr>
          <w:rFonts w:ascii="Book Antiqua" w:hAnsi="Book Antiqua"/>
          <w:color w:val="000000" w:themeColor="text1"/>
        </w:rPr>
        <w:t xml:space="preserve"> SSM: Sisters of Saint Mary’s; CVA: Cerebrovascular accident.</w:t>
      </w:r>
    </w:p>
    <w:p w14:paraId="3D6F8F60" w14:textId="6397232B" w:rsidR="00DF7E0A" w:rsidRPr="002623F7" w:rsidRDefault="00DF7E0A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5D744E5" w14:textId="40C663F0" w:rsidR="0066797E" w:rsidRPr="002623F7" w:rsidRDefault="00B1749B" w:rsidP="0022481F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1A06845" wp14:editId="21367229">
            <wp:extent cx="3806190" cy="208407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FBFB" w14:textId="696E44F1" w:rsidR="0066797E" w:rsidRPr="002623F7" w:rsidRDefault="0066797E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b/>
          <w:bCs/>
          <w:color w:val="000000" w:themeColor="text1"/>
        </w:rPr>
        <w:t>Figure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2</w:t>
      </w:r>
      <w:r w:rsidR="00CF1CD1" w:rsidRPr="002623F7">
        <w:rPr>
          <w:rFonts w:ascii="Book Antiqua" w:hAnsi="Book Antiqua"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Kaplan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Meier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Curve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showing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time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to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event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(death)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analysis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in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early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versus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late</w:t>
      </w:r>
      <w:r w:rsidR="00A770AA" w:rsidRPr="002623F7">
        <w:rPr>
          <w:rFonts w:ascii="Book Antiqua" w:hAnsi="Book Antiqua"/>
          <w:color w:val="000000" w:themeColor="text1"/>
        </w:rPr>
        <w:t xml:space="preserve"> </w:t>
      </w:r>
      <w:r w:rsidR="00246B6C" w:rsidRPr="002623F7">
        <w:rPr>
          <w:rFonts w:ascii="Book Antiqua" w:hAnsi="Book Antiqua"/>
          <w:b/>
          <w:bCs/>
          <w:color w:val="000000" w:themeColor="text1"/>
        </w:rPr>
        <w:t xml:space="preserve">percutaneous </w:t>
      </w:r>
      <w:r w:rsidR="00A770AA" w:rsidRPr="002623F7">
        <w:rPr>
          <w:rFonts w:ascii="Book Antiqua" w:hAnsi="Book Antiqua"/>
          <w:b/>
          <w:bCs/>
          <w:color w:val="000000" w:themeColor="text1"/>
        </w:rPr>
        <w:t>endoscopic gastrostomy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tube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placement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groups</w:t>
      </w:r>
      <w:r w:rsidR="002C42D3" w:rsidRPr="002623F7">
        <w:rPr>
          <w:rFonts w:ascii="Book Antiqua" w:hAnsi="Book Antiqua"/>
          <w:b/>
          <w:bCs/>
          <w:color w:val="000000" w:themeColor="text1"/>
        </w:rPr>
        <w:t>.</w:t>
      </w:r>
    </w:p>
    <w:p w14:paraId="6E022620" w14:textId="77777777" w:rsidR="0066797E" w:rsidRPr="002623F7" w:rsidRDefault="0066797E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4232FDF" w14:textId="6DFE4413" w:rsidR="00121DDF" w:rsidRPr="002623F7" w:rsidRDefault="009D41C8" w:rsidP="0022481F">
      <w:pPr>
        <w:shd w:val="clear" w:color="auto" w:fill="FFFFFF"/>
        <w:spacing w:line="360" w:lineRule="auto"/>
        <w:textAlignment w:val="baseline"/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</w:pPr>
      <w:r w:rsidRPr="002623F7">
        <w:rPr>
          <w:rFonts w:ascii="Book Antiqua" w:hAnsi="Book Antiqua"/>
          <w:b/>
          <w:lang w:eastAsia="zh-CN"/>
        </w:rPr>
        <w:br w:type="page"/>
      </w:r>
      <w:r w:rsidR="00121DDF" w:rsidRPr="002623F7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lastRenderedPageBreak/>
        <w:t>Table</w:t>
      </w:r>
      <w:r w:rsidR="00CF1CD1" w:rsidRPr="002623F7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 xml:space="preserve"> </w:t>
      </w:r>
      <w:r w:rsidR="00121DDF" w:rsidRPr="002623F7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>1</w:t>
      </w:r>
      <w:r w:rsidR="00CF1CD1" w:rsidRPr="002623F7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 xml:space="preserve"> </w:t>
      </w:r>
      <w:r w:rsidR="00CF1CD1" w:rsidRPr="002623F7">
        <w:rPr>
          <w:rFonts w:ascii="Book Antiqua" w:hAnsi="Book Antiqua"/>
          <w:b/>
          <w:bCs/>
          <w:color w:val="000000" w:themeColor="text1"/>
        </w:rPr>
        <w:t>Patient demographics</w:t>
      </w:r>
    </w:p>
    <w:tbl>
      <w:tblPr>
        <w:tblW w:w="92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817"/>
        <w:gridCol w:w="817"/>
        <w:gridCol w:w="980"/>
        <w:gridCol w:w="980"/>
        <w:gridCol w:w="980"/>
        <w:gridCol w:w="980"/>
        <w:gridCol w:w="1137"/>
      </w:tblGrid>
      <w:tr w:rsidR="00E1488E" w:rsidRPr="002623F7" w14:paraId="2553AB34" w14:textId="77777777" w:rsidTr="008A2385">
        <w:trPr>
          <w:trHeight w:val="905"/>
        </w:trPr>
        <w:tc>
          <w:tcPr>
            <w:tcW w:w="252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A119FF" w14:textId="6DE5F610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6F12BE" w14:textId="6A2638E0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All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154)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2EEB53" w14:textId="4A11F21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PEG ≤</w:t>
            </w:r>
            <w:r w:rsidRPr="002623F7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7 </w:t>
            </w:r>
            <w:r w:rsidR="002E7A87" w:rsidRPr="002623F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62, 40.26%)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06A2FE" w14:textId="51C3C56E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PEG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&gt;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7 </w:t>
            </w:r>
            <w:r w:rsidR="002E7A87" w:rsidRPr="002623F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92, 59.74%)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44A" w14:textId="5E80EB1C" w:rsidR="00E1488E" w:rsidRPr="002623F7" w:rsidRDefault="00E1488E" w:rsidP="0022481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E1488E" w:rsidRPr="002623F7" w14:paraId="5175298D" w14:textId="77777777" w:rsidTr="008A2385">
        <w:trPr>
          <w:trHeight w:val="300"/>
        </w:trPr>
        <w:tc>
          <w:tcPr>
            <w:tcW w:w="25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CAB" w14:textId="0C7F5B1B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D1E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F4D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9ED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17A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0FE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ADD" w14:textId="77777777" w:rsidR="00E1488E" w:rsidRPr="002623F7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422AEA" w14:textId="77777777" w:rsidR="00E1488E" w:rsidRPr="002623F7" w:rsidRDefault="00E1488E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7CB2EA4B" w14:textId="77777777" w:rsidTr="008A2385">
        <w:trPr>
          <w:trHeight w:val="345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832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Age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51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69.62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AEC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15.02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6A0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74.65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60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13.89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2A4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66.24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09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14.87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A17" w14:textId="2545A8BD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0.0005</w:t>
            </w:r>
            <w:r w:rsidR="00CF1CD1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1E6B3493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6D34C8F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Sex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2CF9F8" w14:textId="674686EE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7E67DA" w14:textId="51E816C5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62D7FB" w14:textId="58B8666C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E04A475" w14:textId="2A782088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25E21C" w14:textId="4BB3BEE1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60428F" w14:textId="4A4776F2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AE6417C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0.0658</w:t>
            </w:r>
          </w:p>
        </w:tc>
      </w:tr>
      <w:tr w:rsidR="00121DDF" w:rsidRPr="002623F7" w14:paraId="0610190F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1CCAF11" w14:textId="77777777" w:rsidR="00121DDF" w:rsidRPr="002623F7" w:rsidRDefault="00121DDF" w:rsidP="00E1488E">
            <w:pPr>
              <w:spacing w:line="360" w:lineRule="auto"/>
              <w:ind w:firstLineChars="200" w:firstLine="482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Female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64D37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11C0EA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50.65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22C9D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A722F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59.68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F524F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98CDD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44.57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A1E437E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0326DA0A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29E1796" w14:textId="77777777" w:rsidR="00121DDF" w:rsidRPr="002623F7" w:rsidRDefault="00121DDF" w:rsidP="00E1488E">
            <w:pPr>
              <w:spacing w:line="360" w:lineRule="auto"/>
              <w:ind w:firstLineChars="200" w:firstLine="482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Male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FBA5B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12321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1905C2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FEB60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40.32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9ACAA4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5CDF15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55.43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5E6D285" w14:textId="650A46F7" w:rsidR="00121DDF" w:rsidRPr="002623F7" w:rsidRDefault="00CF1CD1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121DDF" w:rsidRPr="002623F7" w14:paraId="3FCF32E7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4876972" w14:textId="08B0077F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Any</w:t>
            </w:r>
            <w:r w:rsidR="00CF1CD1"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comorbidity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E4E35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F37CA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95.45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023C2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4CA9F6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95.16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52EAB8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0371AF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95.65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32CFC13" w14:textId="5DEA9DD3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CF1CD1" w:rsidRPr="002623F7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</w:p>
        </w:tc>
      </w:tr>
      <w:tr w:rsidR="00121DDF" w:rsidRPr="002623F7" w14:paraId="50929455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AE0A522" w14:textId="59C3CB4E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Number</w:t>
            </w:r>
            <w:r w:rsidR="00CF1CD1"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of</w:t>
            </w:r>
            <w:r w:rsidR="00CF1CD1"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comorbidities</w:t>
            </w:r>
            <w:r w:rsidR="00CF1CD1"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2BBB54" w14:textId="18490486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BE6547" w14:textId="4D014D84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400D84" w14:textId="2DFDC195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5347AF" w14:textId="1F785F43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F1F065" w14:textId="4BCE2DCC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A03B25" w14:textId="3CAE1C09" w:rsidR="00121DDF" w:rsidRPr="002623F7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509B5DC" w14:textId="772049C5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0.4339</w:t>
            </w:r>
            <w:r w:rsidR="00CF1CD1" w:rsidRPr="002623F7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</w:p>
        </w:tc>
      </w:tr>
      <w:tr w:rsidR="00121DDF" w:rsidRPr="002623F7" w14:paraId="4CC8DC27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25171CC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876EAF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AE05A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4.55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1C3FA5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C2849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4.84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64909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0C73A8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56BDDCB4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34F4FBB3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0B29A2F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ED1EAF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30FE0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16.88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8DE77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F4F440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4B346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266F0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15.22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37EDD1B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3F99F25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568BFEB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977590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85CAF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24.03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C81B4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CC544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20.97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CB0D6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2CEE76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68FA42C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5DDDC91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FF2E2F4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F95AF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23BC0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26.62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F0390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C859A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27.42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24E1B2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F324B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7D412B0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2F6AAA7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07891C9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7D8D5B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A4C4E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16.88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21F05C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0EE698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B121A5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649B4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15.22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EA5884B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07DEB54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A1A95F0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F6D195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D3203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5.19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87A4B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C6C5F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6.45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A470A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681FEFF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2420580D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25A2DE02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5DD345F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2ED03F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F7A90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1D18FC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545D6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901AC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60F0E8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5.43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306C43B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1875D60A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42BACA5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8B1F7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42024C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5F0C0E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5E44E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857D1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1D109D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F130A0F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4490A0D2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BA10962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F1E6F1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358C95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5F12A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5BB1C3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BF73EA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CE84F6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9CFD0F8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623F7" w14:paraId="18D39A4E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B767340" w14:textId="77777777" w:rsidR="00121DDF" w:rsidRPr="002623F7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304BB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D5BA3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55D129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45CB10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8C155A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1C1727" w14:textId="77777777" w:rsidR="00121DDF" w:rsidRPr="002623F7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FB11DDE" w14:textId="1AFB2B93" w:rsidR="00121DDF" w:rsidRPr="002623F7" w:rsidRDefault="00CF1CD1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</w:tbl>
    <w:p w14:paraId="5EE5A8BF" w14:textId="5FDA4D2B" w:rsidR="00CF1CD1" w:rsidRPr="002623F7" w:rsidRDefault="00CF1CD1" w:rsidP="0022481F">
      <w:pPr>
        <w:spacing w:line="360" w:lineRule="auto"/>
        <w:rPr>
          <w:rFonts w:ascii="Book Antiqua" w:hAnsi="Book Antiqua"/>
          <w:color w:val="000000" w:themeColor="text1"/>
          <w:lang w:eastAsia="zh-CN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1</w:t>
      </w:r>
      <w:r w:rsidRPr="002623F7">
        <w:rPr>
          <w:rFonts w:ascii="Book Antiqua" w:hAnsi="Book Antiqua"/>
          <w:color w:val="000000" w:themeColor="text1"/>
        </w:rPr>
        <w:t xml:space="preserve">Obtained by Student's </w:t>
      </w:r>
      <w:r w:rsidRPr="002623F7">
        <w:rPr>
          <w:rFonts w:ascii="Book Antiqua" w:hAnsi="Book Antiqua"/>
          <w:i/>
          <w:iCs/>
          <w:color w:val="000000" w:themeColor="text1"/>
        </w:rPr>
        <w:t>t</w:t>
      </w:r>
      <w:r w:rsidRPr="002623F7">
        <w:rPr>
          <w:rFonts w:ascii="Book Antiqua" w:hAnsi="Book Antiqua"/>
          <w:color w:val="000000" w:themeColor="text1"/>
        </w:rPr>
        <w:t>-test</w:t>
      </w:r>
      <w:r w:rsidRPr="002623F7">
        <w:rPr>
          <w:rFonts w:ascii="Book Antiqua" w:hAnsi="Book Antiqua" w:hint="eastAsia"/>
          <w:color w:val="000000" w:themeColor="text1"/>
          <w:lang w:eastAsia="zh-CN"/>
        </w:rPr>
        <w:t>;</w:t>
      </w:r>
    </w:p>
    <w:p w14:paraId="54CF5D56" w14:textId="62345005" w:rsidR="00CF1CD1" w:rsidRPr="002623F7" w:rsidRDefault="00CF1CD1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2</w:t>
      </w:r>
      <w:r w:rsidRPr="002623F7">
        <w:rPr>
          <w:rFonts w:ascii="Book Antiqua" w:hAnsi="Book Antiqua"/>
          <w:color w:val="000000" w:themeColor="text1"/>
        </w:rPr>
        <w:t xml:space="preserve">Obtained by Fisher's </w:t>
      </w:r>
      <w:r w:rsidR="00685B37" w:rsidRPr="002623F7">
        <w:rPr>
          <w:rFonts w:ascii="Book Antiqua" w:hAnsi="Book Antiqua"/>
          <w:color w:val="000000" w:themeColor="text1"/>
        </w:rPr>
        <w:t>exact test</w:t>
      </w:r>
      <w:r w:rsidRPr="002623F7">
        <w:rPr>
          <w:rFonts w:ascii="Book Antiqua" w:hAnsi="Book Antiqua"/>
          <w:color w:val="000000" w:themeColor="text1"/>
        </w:rPr>
        <w:t>;</w:t>
      </w:r>
    </w:p>
    <w:p w14:paraId="3D961F7A" w14:textId="51889960" w:rsidR="00CF1CD1" w:rsidRPr="002623F7" w:rsidRDefault="00CF1CD1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3</w:t>
      </w:r>
      <w:r w:rsidRPr="002623F7">
        <w:rPr>
          <w:rFonts w:ascii="Book Antiqua" w:hAnsi="Book Antiqua"/>
          <w:color w:val="000000" w:themeColor="text1"/>
        </w:rPr>
        <w:t>Obtained by Poisson regression</w:t>
      </w:r>
      <w:r w:rsidR="00DB7E63" w:rsidRPr="002623F7">
        <w:rPr>
          <w:rFonts w:ascii="Book Antiqua" w:hAnsi="Book Antiqua"/>
          <w:color w:val="000000" w:themeColor="text1"/>
        </w:rPr>
        <w:t>,</w:t>
      </w:r>
      <w:r w:rsidRPr="002623F7">
        <w:rPr>
          <w:rFonts w:ascii="Book Antiqua" w:hAnsi="Book Antiqua"/>
          <w:color w:val="000000" w:themeColor="text1"/>
        </w:rPr>
        <w:t xml:space="preserve"> </w:t>
      </w:r>
      <w:r w:rsidR="00A770AA" w:rsidRPr="002623F7">
        <w:rPr>
          <w:rFonts w:ascii="Book Antiqua" w:hAnsi="Book Antiqua"/>
          <w:color w:val="000000" w:themeColor="text1"/>
        </w:rPr>
        <w:t xml:space="preserve">PEG: Percutaneous endoscopic gastrostomy, </w:t>
      </w:r>
      <w:r w:rsidRPr="002623F7">
        <w:rPr>
          <w:rFonts w:ascii="Book Antiqua" w:hAnsi="Book Antiqua"/>
          <w:color w:val="000000" w:themeColor="text1"/>
        </w:rPr>
        <w:t xml:space="preserve">Significant </w:t>
      </w:r>
      <w:r w:rsidR="00685B37" w:rsidRPr="002623F7">
        <w:rPr>
          <w:rFonts w:ascii="Book Antiqua" w:hAnsi="Book Antiqua"/>
          <w:i/>
          <w:iCs/>
          <w:color w:val="000000" w:themeColor="text1"/>
        </w:rPr>
        <w:t>P</w:t>
      </w:r>
      <w:r w:rsidR="00685B37" w:rsidRPr="002623F7">
        <w:rPr>
          <w:rFonts w:ascii="Book Antiqua" w:hAnsi="Book Antiqua"/>
          <w:color w:val="000000" w:themeColor="text1"/>
        </w:rPr>
        <w:t xml:space="preserve"> </w:t>
      </w:r>
      <w:r w:rsidRPr="002623F7">
        <w:rPr>
          <w:rFonts w:ascii="Book Antiqua" w:hAnsi="Book Antiqua"/>
          <w:color w:val="000000" w:themeColor="text1"/>
        </w:rPr>
        <w:t>values are in bold.</w:t>
      </w:r>
    </w:p>
    <w:p w14:paraId="11C9E5EB" w14:textId="77777777" w:rsidR="00694A87" w:rsidRPr="002623F7" w:rsidRDefault="00694A87">
      <w:pPr>
        <w:rPr>
          <w:rFonts w:ascii="Book Antiqua" w:hAnsi="Book Antiqua"/>
          <w:b/>
          <w:bCs/>
          <w:color w:val="000000" w:themeColor="text1"/>
        </w:rPr>
      </w:pPr>
      <w:r w:rsidRPr="002623F7">
        <w:rPr>
          <w:rFonts w:ascii="Book Antiqua" w:hAnsi="Book Antiqua"/>
          <w:b/>
          <w:bCs/>
          <w:color w:val="000000" w:themeColor="text1"/>
        </w:rPr>
        <w:br w:type="page"/>
      </w:r>
    </w:p>
    <w:p w14:paraId="2ED377A3" w14:textId="121A30AC" w:rsidR="00CF1CD1" w:rsidRPr="002623F7" w:rsidRDefault="00694A87" w:rsidP="0022481F">
      <w:pPr>
        <w:spacing w:line="360" w:lineRule="auto"/>
        <w:rPr>
          <w:rFonts w:ascii="Book Antiqua" w:hAnsi="Book Antiqua"/>
          <w:color w:val="000000" w:themeColor="text1"/>
          <w:lang w:eastAsia="zh-CN"/>
        </w:rPr>
      </w:pPr>
      <w:r w:rsidRPr="002623F7">
        <w:rPr>
          <w:rFonts w:ascii="Book Antiqua" w:hAnsi="Book Antiqua"/>
          <w:b/>
          <w:bCs/>
          <w:color w:val="000000" w:themeColor="text1"/>
        </w:rPr>
        <w:lastRenderedPageBreak/>
        <w:t>Table 2 Patient comorbidities</w:t>
      </w:r>
    </w:p>
    <w:tbl>
      <w:tblPr>
        <w:tblW w:w="90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17"/>
        <w:gridCol w:w="896"/>
        <w:gridCol w:w="848"/>
        <w:gridCol w:w="1132"/>
        <w:gridCol w:w="828"/>
        <w:gridCol w:w="980"/>
        <w:gridCol w:w="1044"/>
      </w:tblGrid>
      <w:tr w:rsidR="00971323" w:rsidRPr="002623F7" w14:paraId="52DFD2E8" w14:textId="77777777" w:rsidTr="00BA2E70">
        <w:trPr>
          <w:trHeight w:val="1312"/>
        </w:trPr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E130C5" w14:textId="77777777" w:rsidR="00971323" w:rsidRPr="002623F7" w:rsidRDefault="00971323" w:rsidP="00193D4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Types of comorbidities</w:t>
            </w:r>
          </w:p>
          <w:p w14:paraId="076DC3A6" w14:textId="5B18F7CA" w:rsidR="00971323" w:rsidRPr="002623F7" w:rsidRDefault="00971323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F75E92" w14:textId="4EDFBDE8" w:rsidR="00971323" w:rsidRPr="002623F7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All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154)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3C168" w14:textId="05A0B7C3" w:rsidR="00971323" w:rsidRPr="002623F7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PEG ≤ 7 </w:t>
            </w:r>
            <w:r w:rsidR="002E7A87" w:rsidRPr="002623F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62, 40.26%)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F9FB9" w14:textId="4BBAD636" w:rsidR="00971323" w:rsidRPr="002623F7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PEG 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&gt;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7 </w:t>
            </w:r>
            <w:r w:rsidR="002E7A87" w:rsidRPr="002623F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= 92, 59.74%)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AF8074" w14:textId="0A47160C" w:rsidR="00971323" w:rsidRPr="002623F7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971323" w:rsidRPr="002623F7" w14:paraId="0B20213A" w14:textId="77777777" w:rsidTr="00BA2E70">
        <w:trPr>
          <w:trHeight w:val="300"/>
        </w:trPr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7D6" w14:textId="4F9A84B0" w:rsidR="00971323" w:rsidRPr="002623F7" w:rsidRDefault="00971323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652" w14:textId="77777777" w:rsidR="00971323" w:rsidRPr="002623F7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FDD" w14:textId="77777777" w:rsidR="00971323" w:rsidRPr="002623F7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6A9" w14:textId="77777777" w:rsidR="00971323" w:rsidRPr="002623F7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861" w14:textId="77777777" w:rsidR="00971323" w:rsidRPr="002623F7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C2A" w14:textId="77777777" w:rsidR="00971323" w:rsidRPr="002623F7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273" w14:textId="77777777" w:rsidR="00971323" w:rsidRPr="002623F7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04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2972A7" w14:textId="77777777" w:rsidR="00971323" w:rsidRPr="002623F7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121DDF" w:rsidRPr="002623F7" w14:paraId="3E6384ED" w14:textId="77777777" w:rsidTr="00BA2E70">
        <w:trPr>
          <w:trHeight w:val="30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A75628" w14:textId="1DD53DB6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Acute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respiratory distress syn</w:t>
            </w:r>
            <w:r w:rsidRPr="002623F7">
              <w:rPr>
                <w:rFonts w:ascii="Book Antiqua" w:hAnsi="Book Antiqua"/>
                <w:color w:val="000000" w:themeColor="text1"/>
              </w:rPr>
              <w:t>drome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42F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CB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FC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26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72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A9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3E4" w14:textId="50F05026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7FA2C62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EF3C70" w14:textId="6981499F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Acute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kidney i</w:t>
            </w:r>
            <w:r w:rsidRPr="002623F7">
              <w:rPr>
                <w:rFonts w:ascii="Book Antiqua" w:hAnsi="Book Antiqua"/>
                <w:color w:val="000000" w:themeColor="text1"/>
              </w:rPr>
              <w:t>njury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6EE3AF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C595BB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B1F6B1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F5C50B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3920E0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319C5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48192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0.5158</w:t>
            </w:r>
          </w:p>
        </w:tc>
      </w:tr>
      <w:tr w:rsidR="00121DDF" w:rsidRPr="002623F7" w14:paraId="218F0CC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3859A6B" w14:textId="5EB9C335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Alcohol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abuse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781ED9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E8470DA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9EA417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ADE967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83F7FC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164E7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CBE14C" w14:textId="71CC14C5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B2E974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7EB1FC5" w14:textId="1879DAD5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Amyotrophic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lateral sclero</w:t>
            </w:r>
            <w:r w:rsidRPr="002623F7">
              <w:rPr>
                <w:rFonts w:ascii="Book Antiqua" w:hAnsi="Book Antiqua"/>
                <w:color w:val="000000" w:themeColor="text1"/>
              </w:rPr>
              <w:t>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22E6F6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73B987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A128F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5AE4D8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AE1D35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74B40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2A3B37" w14:textId="37F30C8E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3AD14DAB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56F5B96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Anemia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1951A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5E2412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09AAD6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8FBA46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8DF0F0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4FB43E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C27362" w14:textId="57D4BEE2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1EC2642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9D7583" w14:textId="4828CDF8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Aortic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dissection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5B1D4A4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2377E4F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5F5514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F3CBE1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854ED9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2AA78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697CF9" w14:textId="335D86D2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0E4ED9A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B84AEF6" w14:textId="14D203D9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Aortic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stenosis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C38C5F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0E9FB2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1112DEE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B1BDB2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B2486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90289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71802C" w14:textId="676092EB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5BDFEF6C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1FF871A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Arrhythmias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2EE97DC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6449B3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4.55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103FBC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DED6D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6.45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E5A06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4720C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C237B4" w14:textId="067F0C52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0.4403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333E94D5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8F0E5D1" w14:textId="2A78694F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Atrial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fibrillation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CAD45C4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E5A249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20.78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33A1A5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710FD5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27.42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1D3602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1D5DF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16.30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AA886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0.0955</w:t>
            </w:r>
          </w:p>
        </w:tc>
      </w:tr>
      <w:tr w:rsidR="00121DDF" w:rsidRPr="002623F7" w14:paraId="2AA1946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2E06D93" w14:textId="1A8B4CF1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Breast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6D84ABC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B80030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7EC25F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978C66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6113B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3D742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9E9407" w14:textId="0507385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0.5652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27C3F22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3C8092B" w14:textId="7F3E64C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Coronary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artery dise</w:t>
            </w:r>
            <w:r w:rsidRPr="002623F7">
              <w:rPr>
                <w:rFonts w:ascii="Book Antiqua" w:hAnsi="Book Antiqua"/>
                <w:color w:val="000000" w:themeColor="text1"/>
              </w:rPr>
              <w:t>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C147BDA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E0541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18.83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10757A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1BAF60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14.52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C7CC87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22CB2E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21.74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D970A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0.2609</w:t>
            </w:r>
          </w:p>
        </w:tc>
      </w:tr>
      <w:tr w:rsidR="00121DDF" w:rsidRPr="002623F7" w14:paraId="433CD39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232D1464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Cirrhosis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373F47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76D658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409C8A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62C07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57DCE3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5C4CE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FDF8C0" w14:textId="55AB4A9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076283EB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F8EFD3D" w14:textId="604DF89C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Chronic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kidney 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B95C068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035F4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9.09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B6AE64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F10460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5C0C8E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5A876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13.04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08DF1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0.0377</w:t>
            </w:r>
          </w:p>
        </w:tc>
      </w:tr>
      <w:tr w:rsidR="00121DDF" w:rsidRPr="002623F7" w14:paraId="383459A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96B81D8" w14:textId="2326DC5A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Colon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61338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01B54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4934CD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1F79FD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3BC86E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90069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598AF2" w14:textId="2DBB4DF8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0.1605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2944FA8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B61340A" w14:textId="744525A9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Chronic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obstructive pulmonary dis</w:t>
            </w:r>
            <w:r w:rsidRPr="002623F7">
              <w:rPr>
                <w:rFonts w:ascii="Book Antiqua" w:hAnsi="Book Antiqua"/>
                <w:color w:val="000000" w:themeColor="text1"/>
              </w:rPr>
              <w:t>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B16369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38A887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5.84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EA6181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F6E40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E979B7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340ED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8.70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2AAD3E" w14:textId="09F2E2CE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0.0853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165BE91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64B6F5F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Dementia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6FC6C0D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CC9EEB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9.74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D79A9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F52E1A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8.06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A7D07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F4FDF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10.87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BF779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0.5648</w:t>
            </w:r>
          </w:p>
        </w:tc>
      </w:tr>
      <w:tr w:rsidR="00121DDF" w:rsidRPr="002623F7" w14:paraId="59F16A8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F0A269E" w14:textId="6D24672E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Diabetes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mellitus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37860A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C1FC32C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33.77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98F622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CB52C9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30.65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D7D509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89644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35.87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D802D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0.5014</w:t>
            </w:r>
          </w:p>
        </w:tc>
      </w:tr>
      <w:tr w:rsidR="00121DDF" w:rsidRPr="002623F7" w14:paraId="2D023FC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D90FCB6" w14:textId="5C07BE91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Deep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vein thr</w:t>
            </w:r>
            <w:r w:rsidRPr="002623F7">
              <w:rPr>
                <w:rFonts w:ascii="Book Antiqua" w:hAnsi="Book Antiqua"/>
                <w:color w:val="000000" w:themeColor="text1"/>
              </w:rPr>
              <w:t>ombosis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3B9E05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029FFB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644819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D2BB9A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17ECA1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1B763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934672" w14:textId="2F4EB46F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03EAE40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A56AB1C" w14:textId="20504F18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Heart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9EF3E60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38F24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15.58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5B4062F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5DF1E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17.74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D14C5B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F1BED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14.13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240C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0.5445</w:t>
            </w:r>
          </w:p>
        </w:tc>
      </w:tr>
      <w:tr w:rsidR="00121DDF" w:rsidRPr="002623F7" w14:paraId="4EDC06B8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53A195C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lastRenderedPageBreak/>
              <w:t>Hyperlipidemia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0EBC93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09256C8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29.22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9182BC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F54065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32.26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845FC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59ECF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27.17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E3A92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0.4963</w:t>
            </w:r>
          </w:p>
        </w:tc>
      </w:tr>
      <w:tr w:rsidR="00121DDF" w:rsidRPr="002623F7" w14:paraId="2035290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9FA8F5E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Hypertension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C5AF0C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D3BDC9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78.57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124AA6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A9F7D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72.58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196362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A7FC0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82.61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7BDF5F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0.1369</w:t>
            </w:r>
          </w:p>
        </w:tc>
      </w:tr>
      <w:tr w:rsidR="00121DDF" w:rsidRPr="002623F7" w14:paraId="5D35652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2732857" w14:textId="7999E570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Lung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6DF59B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18084BD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A710B4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DCB24C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54E826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ED149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3BABAB" w14:textId="612299F4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4AE5284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477A067" w14:textId="55373EBF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Nonalcoholic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steatohepatitis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51719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7EEC4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F3BD59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57CA06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9222D8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39E1B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9540D5" w14:textId="4AEA80F4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CA1D54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4474A91" w14:textId="4D99CE96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Obstructive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sleep apn</w:t>
            </w:r>
            <w:r w:rsidRPr="002623F7">
              <w:rPr>
                <w:rFonts w:ascii="Book Antiqua" w:hAnsi="Book Antiqua"/>
                <w:color w:val="000000" w:themeColor="text1"/>
              </w:rPr>
              <w:t>ea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E04728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AB1E7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BD225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8DA116F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0DB95E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12C32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D612F3" w14:textId="46CEA6F0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321E51B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7811A27" w14:textId="0752C233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Peripheral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artery 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D53E15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5BB8565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3.90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5F93E6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5DB863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8.06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1B846BF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7EB66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274211" w14:textId="3EDA52FD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3F7">
              <w:rPr>
                <w:rFonts w:ascii="Book Antiqua" w:hAnsi="Book Antiqua"/>
                <w:b/>
                <w:bCs/>
                <w:color w:val="000000" w:themeColor="text1"/>
              </w:rPr>
              <w:t>0.0391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626E7C5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03143D3" w14:textId="5E02EC4E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Parkinson's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D03E2E7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2464F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419E7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469DD9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664B2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5D456B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3D13A1" w14:textId="3C7DD081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0.5158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6256EB9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D965A11" w14:textId="136122FB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Patent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Foramen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Ovale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C0A0E6D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D833AE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436A0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46B9BA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64FD6B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EDACAF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068CDE" w14:textId="4FE4DB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4A20BCE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B9858D2" w14:textId="40C1BA86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Prostate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9431C6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466FB0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737AF5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E4DA45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3A6AFB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AFE11D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5BE302" w14:textId="18D5E6FB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0.5158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1DD5210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4FB1F5D" w14:textId="1CCE8A0A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Pulmonary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623F7">
              <w:rPr>
                <w:rFonts w:ascii="Book Antiqua" w:hAnsi="Book Antiqua"/>
                <w:color w:val="000000" w:themeColor="text1"/>
              </w:rPr>
              <w:t>hypertension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0EF16E4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4DF614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CE6418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6C668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1A53EE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69F351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A81907" w14:textId="7ACA5705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5708DEB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45FAF6E" w14:textId="22E66963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Seizure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disorder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5D9CBCE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6C6431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C4C9B2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E8B149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E60513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5D95A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42E2F0" w14:textId="29D72C55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7464187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55D26E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Stroke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9766A4E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ED8E97B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24.68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28207E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75D1E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22.58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002727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EE407C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2C9530" w14:textId="45B8B5F6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0.6206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041397C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F0C939B" w14:textId="692BD9CF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Substance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abuse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08788A2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A919B33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EFBC00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B02B7D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2539125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F3EA57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720AC1" w14:textId="02884B5B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69F173E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7EB1BAE0" w14:textId="77777777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Thrombocytopenia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35B1592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572E9F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3A4668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FDF79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0F9486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C1B584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5D64D2" w14:textId="6BB932E2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623F7" w14:paraId="1E0AF4A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EF9284E" w14:textId="58FF5B2E" w:rsidR="00121DDF" w:rsidRPr="002623F7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Thyroid</w:t>
            </w:r>
            <w:r w:rsidR="00CF1CD1" w:rsidRPr="002623F7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3F7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78C370A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9285A78" w14:textId="77777777" w:rsidR="00121DDF" w:rsidRPr="002623F7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C236D48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244C2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9897A42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2421E0" w14:textId="77777777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34576F" w14:textId="0BC47154" w:rsidR="00121DDF" w:rsidRPr="002623F7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623F7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2623F7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</w:tbl>
    <w:p w14:paraId="109C0D8C" w14:textId="16CE0BF8" w:rsidR="00BA2E70" w:rsidRPr="002623F7" w:rsidRDefault="00DF2C24" w:rsidP="0022481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1</w:t>
      </w:r>
      <w:r w:rsidRPr="002623F7">
        <w:rPr>
          <w:rFonts w:ascii="Book Antiqua" w:hAnsi="Book Antiqua"/>
          <w:color w:val="000000" w:themeColor="text1"/>
        </w:rPr>
        <w:t>Obtained by Fisher's Exact Test</w:t>
      </w:r>
      <w:r w:rsidR="006040C4" w:rsidRPr="002623F7">
        <w:rPr>
          <w:rFonts w:ascii="Book Antiqua" w:hAnsi="Book Antiqua"/>
          <w:color w:val="000000" w:themeColor="text1"/>
        </w:rPr>
        <w:t>,</w:t>
      </w:r>
      <w:r w:rsidR="006040C4" w:rsidRPr="002623F7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="00A770AA" w:rsidRPr="002623F7">
        <w:rPr>
          <w:rFonts w:ascii="Book Antiqua" w:hAnsi="Book Antiqua"/>
          <w:color w:val="000000" w:themeColor="text1"/>
        </w:rPr>
        <w:t xml:space="preserve">PEG: Percutaneous endoscopic gastrostomy, </w:t>
      </w:r>
      <w:r w:rsidRPr="002623F7">
        <w:rPr>
          <w:rFonts w:ascii="Book Antiqua" w:hAnsi="Book Antiqua"/>
          <w:color w:val="000000" w:themeColor="text1"/>
        </w:rPr>
        <w:t xml:space="preserve">Significant </w:t>
      </w:r>
      <w:r w:rsidRPr="002623F7">
        <w:rPr>
          <w:rFonts w:ascii="Book Antiqua" w:hAnsi="Book Antiqua"/>
          <w:i/>
          <w:iCs/>
          <w:color w:val="000000" w:themeColor="text1"/>
        </w:rPr>
        <w:t>P</w:t>
      </w:r>
      <w:r w:rsidRPr="002623F7">
        <w:rPr>
          <w:rFonts w:ascii="Book Antiqua" w:hAnsi="Book Antiqua"/>
          <w:color w:val="000000" w:themeColor="text1"/>
        </w:rPr>
        <w:t xml:space="preserve"> values are in bold.</w:t>
      </w:r>
    </w:p>
    <w:p w14:paraId="1CCFECF4" w14:textId="77777777" w:rsidR="00BA2E70" w:rsidRPr="002623F7" w:rsidRDefault="00BA2E70">
      <w:pPr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</w:rPr>
        <w:br w:type="page"/>
      </w:r>
    </w:p>
    <w:p w14:paraId="2C75486B" w14:textId="71DFE8F5" w:rsidR="007117D0" w:rsidRPr="002623F7" w:rsidRDefault="007117D0" w:rsidP="0022481F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2623F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="00694A87" w:rsidRPr="002623F7">
        <w:rPr>
          <w:rFonts w:ascii="Book Antiqua" w:hAnsi="Book Antiqua"/>
          <w:b/>
          <w:bCs/>
          <w:color w:val="000000" w:themeColor="text1"/>
        </w:rPr>
        <w:t>3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Mortality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and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="00694A87" w:rsidRPr="002623F7">
        <w:rPr>
          <w:rFonts w:ascii="Book Antiqua" w:hAnsi="Book Antiqua"/>
          <w:b/>
          <w:bCs/>
          <w:color w:val="000000" w:themeColor="text1"/>
        </w:rPr>
        <w:t xml:space="preserve">complications </w:t>
      </w:r>
      <w:r w:rsidRPr="002623F7">
        <w:rPr>
          <w:rFonts w:ascii="Book Antiqua" w:hAnsi="Book Antiqua"/>
          <w:b/>
          <w:bCs/>
          <w:color w:val="000000" w:themeColor="text1"/>
        </w:rPr>
        <w:t>in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="00AB4E3D" w:rsidRPr="002623F7">
        <w:rPr>
          <w:rFonts w:ascii="Book Antiqua" w:hAnsi="Book Antiqua"/>
          <w:b/>
          <w:bCs/>
          <w:color w:val="000000" w:themeColor="text1"/>
        </w:rPr>
        <w:t>percutaneous endoscopic gastrostomy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tubes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placed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="002E7A87" w:rsidRPr="002623F7">
        <w:rPr>
          <w:rFonts w:ascii="Book Antiqua" w:hAnsi="Book Antiqua"/>
          <w:b/>
          <w:bCs/>
          <w:color w:val="000000" w:themeColor="text1"/>
        </w:rPr>
        <w:t>≤</w:t>
      </w:r>
      <w:r w:rsidR="002E7A87" w:rsidRPr="002623F7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7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d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&gt;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7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d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post</w:t>
      </w:r>
      <w:r w:rsidR="00CF1CD1" w:rsidRPr="002623F7">
        <w:rPr>
          <w:rFonts w:ascii="Book Antiqua" w:hAnsi="Book Antiqua"/>
          <w:b/>
          <w:bCs/>
          <w:color w:val="000000" w:themeColor="text1"/>
        </w:rPr>
        <w:t xml:space="preserve"> </w:t>
      </w:r>
      <w:r w:rsidRPr="002623F7">
        <w:rPr>
          <w:rFonts w:ascii="Book Antiqua" w:hAnsi="Book Antiqua"/>
          <w:b/>
          <w:bCs/>
          <w:color w:val="000000" w:themeColor="text1"/>
        </w:rPr>
        <w:t>stroke</w:t>
      </w:r>
    </w:p>
    <w:tbl>
      <w:tblPr>
        <w:tblW w:w="83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545"/>
        <w:gridCol w:w="1176"/>
      </w:tblGrid>
      <w:tr w:rsidR="00CC39F2" w:rsidRPr="002623F7" w14:paraId="1A101762" w14:textId="77777777" w:rsidTr="00CC39F2">
        <w:trPr>
          <w:trHeight w:val="312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08F7" w14:textId="7F1D6D43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741" w14:textId="39C4F3D2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Early PEG group </w:t>
            </w: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(≤ 7 d)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530" w14:textId="14B50214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Late PEG group </w:t>
            </w: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(&gt; 7 d)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4B4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Analysis value (</w:t>
            </w:r>
            <w:r w:rsidRPr="002623F7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</w:tr>
      <w:tr w:rsidR="00CC39F2" w:rsidRPr="002623F7" w14:paraId="6B690956" w14:textId="77777777" w:rsidTr="00CC39F2">
        <w:trPr>
          <w:trHeight w:val="288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D98" w14:textId="4CB14D8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30-d mortality (Number of events)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B55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0ED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DCB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1.00</w:t>
            </w:r>
            <w:r w:rsidRPr="002623F7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CC39F2" w:rsidRPr="002623F7" w14:paraId="2B2525B7" w14:textId="77777777" w:rsidTr="00CC39F2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30CA14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Peri-procedural complications (number of events)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56117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2AAB10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9F15A62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0.53</w:t>
            </w:r>
            <w:r w:rsidRPr="002623F7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CC39F2" w:rsidRPr="002623F7" w14:paraId="3A712DC0" w14:textId="77777777" w:rsidTr="00CC39F2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24953A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Post-procedural complications (number of events)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7DB14E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207D201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1053F2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0.551</w:t>
            </w:r>
          </w:p>
        </w:tc>
      </w:tr>
      <w:tr w:rsidR="00CC39F2" w:rsidRPr="002623F7" w14:paraId="10421B68" w14:textId="77777777" w:rsidTr="00CC39F2">
        <w:trPr>
          <w:trHeight w:val="36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F4F97E" w14:textId="5D090A60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Hospital length of stay (d)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408FA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12.9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AA92D1F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22.34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34D0FD" w14:textId="77777777" w:rsidR="00CC39F2" w:rsidRPr="002623F7" w:rsidRDefault="00CC39F2" w:rsidP="00CC39F2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&lt; 0.001</w:t>
            </w:r>
            <w:r w:rsidRPr="002623F7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2</w:t>
            </w:r>
          </w:p>
        </w:tc>
      </w:tr>
    </w:tbl>
    <w:p w14:paraId="57F8572E" w14:textId="7ECBBA5C" w:rsidR="002E51CA" w:rsidRPr="002623F7" w:rsidRDefault="002E51CA" w:rsidP="002E51CA">
      <w:pPr>
        <w:spacing w:line="360" w:lineRule="auto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1</w:t>
      </w:r>
      <w:r w:rsidRPr="002623F7">
        <w:rPr>
          <w:rFonts w:ascii="Book Antiqua" w:hAnsi="Book Antiqua"/>
          <w:color w:val="000000" w:themeColor="text1"/>
        </w:rPr>
        <w:t>Obtained by Fisher's exact test</w:t>
      </w:r>
      <w:r w:rsidRPr="002623F7">
        <w:rPr>
          <w:rFonts w:ascii="Book Antiqua" w:hAnsi="Book Antiqua" w:hint="eastAsia"/>
          <w:color w:val="000000" w:themeColor="text1"/>
          <w:lang w:eastAsia="zh-CN"/>
        </w:rPr>
        <w:t>;</w:t>
      </w:r>
    </w:p>
    <w:p w14:paraId="661B8F6B" w14:textId="1C7E65DD" w:rsidR="002E51CA" w:rsidRPr="002623F7" w:rsidRDefault="002E51CA" w:rsidP="002E51CA">
      <w:pPr>
        <w:spacing w:line="360" w:lineRule="auto"/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  <w:vertAlign w:val="superscript"/>
        </w:rPr>
        <w:t>2</w:t>
      </w:r>
      <w:r w:rsidRPr="002623F7">
        <w:rPr>
          <w:rFonts w:ascii="Book Antiqua" w:hAnsi="Book Antiqua"/>
          <w:color w:val="000000" w:themeColor="text1"/>
        </w:rPr>
        <w:t xml:space="preserve">Obtained by Student's </w:t>
      </w:r>
      <w:r w:rsidRPr="002623F7">
        <w:rPr>
          <w:rFonts w:ascii="Book Antiqua" w:hAnsi="Book Antiqua"/>
          <w:i/>
          <w:iCs/>
          <w:color w:val="000000" w:themeColor="text1"/>
        </w:rPr>
        <w:t>t</w:t>
      </w:r>
      <w:r w:rsidRPr="002623F7">
        <w:rPr>
          <w:rFonts w:ascii="Book Antiqua" w:hAnsi="Book Antiqua"/>
          <w:color w:val="000000" w:themeColor="text1"/>
        </w:rPr>
        <w:t>-test;</w:t>
      </w:r>
      <w:r w:rsidR="00A770AA" w:rsidRPr="002623F7">
        <w:rPr>
          <w:rFonts w:ascii="Book Antiqua" w:hAnsi="Book Antiqua"/>
          <w:color w:val="000000" w:themeColor="text1"/>
        </w:rPr>
        <w:t xml:space="preserve"> PEG: Percutaneous endoscopic gastrostomy,</w:t>
      </w:r>
      <w:r w:rsidR="00A770AA" w:rsidRPr="002623F7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2623F7">
        <w:rPr>
          <w:rFonts w:ascii="Book Antiqua" w:hAnsi="Book Antiqua"/>
          <w:color w:val="000000" w:themeColor="text1"/>
        </w:rPr>
        <w:t xml:space="preserve">Significant </w:t>
      </w:r>
      <w:r w:rsidRPr="002623F7">
        <w:rPr>
          <w:rFonts w:ascii="Book Antiqua" w:hAnsi="Book Antiqua"/>
          <w:i/>
          <w:iCs/>
          <w:color w:val="000000" w:themeColor="text1"/>
        </w:rPr>
        <w:t>P</w:t>
      </w:r>
      <w:r w:rsidRPr="002623F7">
        <w:rPr>
          <w:rFonts w:ascii="Book Antiqua" w:hAnsi="Book Antiqua"/>
          <w:color w:val="000000" w:themeColor="text1"/>
        </w:rPr>
        <w:t xml:space="preserve"> values are in bold.</w:t>
      </w:r>
    </w:p>
    <w:p w14:paraId="03BBF0FA" w14:textId="77777777" w:rsidR="002E51CA" w:rsidRPr="002623F7" w:rsidRDefault="002E51CA">
      <w:pPr>
        <w:rPr>
          <w:rFonts w:ascii="Book Antiqua" w:hAnsi="Book Antiqua"/>
          <w:color w:val="000000" w:themeColor="text1"/>
        </w:rPr>
      </w:pPr>
      <w:r w:rsidRPr="002623F7">
        <w:rPr>
          <w:rFonts w:ascii="Book Antiqua" w:hAnsi="Book Antiqua"/>
          <w:color w:val="000000" w:themeColor="text1"/>
        </w:rPr>
        <w:br w:type="page"/>
      </w:r>
    </w:p>
    <w:p w14:paraId="35D7C18A" w14:textId="4D458A7C" w:rsidR="007117D0" w:rsidRPr="002623F7" w:rsidRDefault="007117D0" w:rsidP="0022481F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2623F7">
        <w:rPr>
          <w:rFonts w:ascii="Book Antiqua" w:hAnsi="Book Antiqua"/>
          <w:b/>
          <w:color w:val="000000" w:themeColor="text1"/>
        </w:rPr>
        <w:lastRenderedPageBreak/>
        <w:t>Table</w:t>
      </w:r>
      <w:r w:rsidR="00CF1CD1" w:rsidRPr="002623F7">
        <w:rPr>
          <w:rFonts w:ascii="Book Antiqua" w:hAnsi="Book Antiqua"/>
          <w:b/>
          <w:color w:val="000000" w:themeColor="text1"/>
        </w:rPr>
        <w:t xml:space="preserve"> </w:t>
      </w:r>
      <w:r w:rsidR="0056175F" w:rsidRPr="002623F7">
        <w:rPr>
          <w:rFonts w:ascii="Book Antiqua" w:hAnsi="Book Antiqua"/>
          <w:b/>
          <w:color w:val="000000" w:themeColor="text1"/>
        </w:rPr>
        <w:t xml:space="preserve">4 </w:t>
      </w:r>
      <w:r w:rsidRPr="002623F7">
        <w:rPr>
          <w:rFonts w:ascii="Book Antiqua" w:hAnsi="Book Antiqua"/>
          <w:b/>
          <w:color w:val="000000" w:themeColor="text1"/>
        </w:rPr>
        <w:t>Types</w:t>
      </w:r>
      <w:r w:rsidR="00CF1CD1" w:rsidRPr="002623F7">
        <w:rPr>
          <w:rFonts w:ascii="Book Antiqua" w:hAnsi="Book Antiqua"/>
          <w:b/>
          <w:color w:val="000000" w:themeColor="text1"/>
        </w:rPr>
        <w:t xml:space="preserve"> </w:t>
      </w:r>
      <w:r w:rsidRPr="002623F7">
        <w:rPr>
          <w:rFonts w:ascii="Book Antiqua" w:hAnsi="Book Antiqua"/>
          <w:b/>
          <w:color w:val="000000" w:themeColor="text1"/>
        </w:rPr>
        <w:t>of</w:t>
      </w:r>
      <w:r w:rsidR="00B27950" w:rsidRPr="002623F7">
        <w:rPr>
          <w:rFonts w:ascii="Book Antiqua" w:hAnsi="Book Antiqua"/>
          <w:b/>
          <w:color w:val="000000" w:themeColor="text1"/>
        </w:rPr>
        <w:t xml:space="preserve"> peri-procedural and post procedural complic</w:t>
      </w:r>
      <w:r w:rsidRPr="002623F7">
        <w:rPr>
          <w:rFonts w:ascii="Book Antiqua" w:hAnsi="Book Antiqua"/>
          <w:b/>
          <w:color w:val="000000" w:themeColor="text1"/>
        </w:rPr>
        <w:t>ations</w:t>
      </w:r>
    </w:p>
    <w:tbl>
      <w:tblPr>
        <w:tblW w:w="70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960"/>
        <w:gridCol w:w="1222"/>
        <w:gridCol w:w="1701"/>
      </w:tblGrid>
      <w:tr w:rsidR="00B27950" w:rsidRPr="002623F7" w14:paraId="014C85BA" w14:textId="77777777" w:rsidTr="00B27950">
        <w:trPr>
          <w:trHeight w:val="31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3E8" w14:textId="39BCD51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84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Early PEG group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28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Late PEG group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49E" w14:textId="42599375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Analysis value (</w:t>
            </w:r>
            <w:r w:rsidRPr="002623F7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) Fisher’s exact</w:t>
            </w:r>
          </w:p>
        </w:tc>
      </w:tr>
      <w:tr w:rsidR="00B27950" w:rsidRPr="002623F7" w14:paraId="4561C8EC" w14:textId="77777777" w:rsidTr="00C873DE">
        <w:trPr>
          <w:trHeight w:val="288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73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Peri procedural complication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4C3A35" w14:textId="72E797F0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61E111" w14:textId="580FD83E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040C89" w14:textId="55347240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B27950" w:rsidRPr="002623F7" w14:paraId="1070854D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365E7D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Pulled PEG tube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B0DD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6CF1E45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C8E7C7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509EA3B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7B6A3C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Pulmonary edema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6DE97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6862F0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625A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6F46A219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0FCC5CD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NSTEMI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D4D7F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6D2DD13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7F6E0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778633C3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3C5982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Bleeding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B392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27B97D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C8EFC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0.15</w:t>
            </w:r>
          </w:p>
        </w:tc>
      </w:tr>
      <w:tr w:rsidR="00B27950" w:rsidRPr="002623F7" w14:paraId="7460DAC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27CA4F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Pneumonia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2868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17EE1CC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92E4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4D9DC30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2B578E7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Evolving stroke/herniation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C1EB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B643D48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FE053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0.4</w:t>
            </w:r>
          </w:p>
        </w:tc>
      </w:tr>
      <w:tr w:rsidR="00B27950" w:rsidRPr="002623F7" w14:paraId="05D8FF47" w14:textId="77777777" w:rsidTr="00C873DE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84F5BD3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Post procedural complications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8292A8" w14:textId="78A928BE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14:paraId="47410B2D" w14:textId="00EF5554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569684" w14:textId="1C47936C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B27950" w:rsidRPr="002623F7" w14:paraId="129D544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0C5F88B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Aspiration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CDDB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5327AA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7B23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0.69</w:t>
            </w:r>
          </w:p>
        </w:tc>
      </w:tr>
      <w:tr w:rsidR="00B27950" w:rsidRPr="002623F7" w14:paraId="37C03D40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8B80A48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Pneumonia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F2CC0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F1464E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F5FEF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0.84</w:t>
            </w:r>
          </w:p>
        </w:tc>
      </w:tr>
      <w:tr w:rsidR="00B27950" w:rsidRPr="002623F7" w14:paraId="22716FEE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4FA8987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Bleeding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AF29B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9BA1A18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7F93D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2276B4D8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DFBDF9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Buried bumper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7E25B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603A249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5B39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0.4</w:t>
            </w:r>
          </w:p>
        </w:tc>
      </w:tr>
      <w:tr w:rsidR="00B27950" w:rsidRPr="002623F7" w14:paraId="2E1B3496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F047CE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Cardiac arrest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8EA8F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48B49B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7BC2F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0.57</w:t>
            </w:r>
          </w:p>
        </w:tc>
      </w:tr>
      <w:tr w:rsidR="00B27950" w:rsidRPr="002623F7" w14:paraId="0912E40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4BD2C57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Death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AFB3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5655A1B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E9CD0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0.59</w:t>
            </w:r>
          </w:p>
        </w:tc>
      </w:tr>
      <w:tr w:rsidR="00B27950" w:rsidRPr="002623F7" w14:paraId="6D9D597B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C3B6B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Ileus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65FB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DD25D9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C9A6F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77E6481D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87EB6A0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Infection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0E42D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EAE7A33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2C6EC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0.49</w:t>
            </w:r>
          </w:p>
        </w:tc>
      </w:tr>
      <w:tr w:rsidR="00B27950" w:rsidRPr="002623F7" w14:paraId="21617E2B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696E7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Necrotizing pancreatitis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F43F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79F1CD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15FB5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  <w:tr w:rsidR="00B27950" w:rsidRPr="002623F7" w14:paraId="13D24AA2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32022D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Pulled PEG tube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A47EB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CF5FED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DD99E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0.36</w:t>
            </w:r>
          </w:p>
        </w:tc>
      </w:tr>
      <w:tr w:rsidR="00B27950" w:rsidRPr="002623F7" w14:paraId="6B719A68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585E03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Pulmonary embolism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7CD7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C92112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873DC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0.27</w:t>
            </w:r>
          </w:p>
        </w:tc>
      </w:tr>
      <w:tr w:rsidR="00B27950" w:rsidRPr="002623F7" w14:paraId="54313CA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3D7FAC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Respiratory failure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78E93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40573E0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B0B6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0.65</w:t>
            </w:r>
          </w:p>
        </w:tc>
      </w:tr>
      <w:tr w:rsidR="00B27950" w:rsidRPr="002623F7" w14:paraId="658AA363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FF051B1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Seroma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AE5A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2C8A59D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63422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0.4</w:t>
            </w:r>
          </w:p>
        </w:tc>
      </w:tr>
      <w:tr w:rsidR="00B27950" w:rsidRPr="002623F7" w14:paraId="1BA909CE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2AAFF29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Stroke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B747A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804914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07F86" w14:textId="77777777" w:rsidR="00B27950" w:rsidRPr="002623F7" w:rsidRDefault="00B27950" w:rsidP="00B27950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623F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</w:tbl>
    <w:p w14:paraId="6CE5A092" w14:textId="04A899C8" w:rsidR="000F30F8" w:rsidRPr="002623F7" w:rsidRDefault="000F30F8" w:rsidP="000F30F8">
      <w:pPr>
        <w:shd w:val="clear" w:color="auto" w:fill="FFFFFF"/>
        <w:spacing w:line="360" w:lineRule="auto"/>
        <w:textAlignment w:val="baseline"/>
        <w:rPr>
          <w:rFonts w:ascii="Book Antiqua" w:hAnsi="Book Antiqua"/>
          <w:color w:val="000000" w:themeColor="text1"/>
          <w:bdr w:val="none" w:sz="0" w:space="0" w:color="auto" w:frame="1"/>
          <w:lang w:eastAsia="zh-CN"/>
        </w:rPr>
      </w:pPr>
      <w:r w:rsidRPr="002623F7">
        <w:rPr>
          <w:rFonts w:ascii="Book Antiqua" w:hAnsi="Book Antiqua"/>
          <w:color w:val="000000" w:themeColor="text1"/>
        </w:rPr>
        <w:lastRenderedPageBreak/>
        <w:t>PEG</w:t>
      </w:r>
      <w:r w:rsidRPr="002623F7">
        <w:rPr>
          <w:rFonts w:ascii="Book Antiqua" w:hAnsi="Book Antiqua"/>
          <w:color w:val="000000" w:themeColor="text1"/>
          <w:lang w:eastAsia="zh-CN"/>
        </w:rPr>
        <w:t xml:space="preserve">: </w:t>
      </w:r>
      <w:r w:rsidRPr="002623F7">
        <w:rPr>
          <w:rFonts w:ascii="Book Antiqua" w:hAnsi="Book Antiqua"/>
          <w:color w:val="000000" w:themeColor="text1"/>
        </w:rPr>
        <w:t>Percutaneous endoscopic gastrostomy;</w:t>
      </w:r>
      <w:r w:rsidR="009E5525" w:rsidRPr="002623F7">
        <w:rPr>
          <w:rFonts w:ascii="Book Antiqua" w:hAnsi="Book Antiqua"/>
          <w:color w:val="000000" w:themeColor="text1"/>
        </w:rPr>
        <w:t xml:space="preserve"> </w:t>
      </w:r>
      <w:r w:rsidRPr="002623F7">
        <w:rPr>
          <w:rFonts w:ascii="Book Antiqua" w:hAnsi="Book Antiqua"/>
          <w:color w:val="000000" w:themeColor="text1"/>
        </w:rPr>
        <w:t>NSTEMI</w:t>
      </w:r>
      <w:r w:rsidR="009E5525" w:rsidRPr="002623F7">
        <w:rPr>
          <w:rFonts w:ascii="Book Antiqua" w:hAnsi="Book Antiqua"/>
          <w:color w:val="000000" w:themeColor="text1"/>
        </w:rPr>
        <w:t>: Non</w:t>
      </w:r>
      <w:r w:rsidRPr="002623F7">
        <w:rPr>
          <w:rFonts w:ascii="Book Antiqua" w:hAnsi="Book Antiqua"/>
          <w:color w:val="000000" w:themeColor="text1"/>
        </w:rPr>
        <w:t>-ST elevation myocardial infarction</w:t>
      </w:r>
      <w:r w:rsidR="00FB6F40" w:rsidRPr="002623F7">
        <w:rPr>
          <w:rFonts w:ascii="Book Antiqua" w:hAnsi="Book Antiqua"/>
          <w:color w:val="000000" w:themeColor="text1"/>
        </w:rPr>
        <w:t>,</w:t>
      </w:r>
      <w:r w:rsidRPr="002623F7">
        <w:rPr>
          <w:rFonts w:ascii="Book Antiqua" w:hAnsi="Book Antiqua"/>
          <w:color w:val="000000" w:themeColor="text1"/>
        </w:rPr>
        <w:t xml:space="preserve"> Significant </w:t>
      </w:r>
      <w:r w:rsidRPr="002623F7">
        <w:rPr>
          <w:rFonts w:ascii="Book Antiqua" w:hAnsi="Book Antiqua"/>
          <w:i/>
          <w:iCs/>
          <w:color w:val="000000" w:themeColor="text1"/>
        </w:rPr>
        <w:t>P</w:t>
      </w:r>
      <w:r w:rsidRPr="002623F7">
        <w:rPr>
          <w:rFonts w:ascii="Book Antiqua" w:hAnsi="Book Antiqua"/>
          <w:color w:val="000000" w:themeColor="text1"/>
        </w:rPr>
        <w:t xml:space="preserve"> values are in bold</w:t>
      </w:r>
      <w:r w:rsidRPr="002623F7"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0EAB71B9" w14:textId="77777777" w:rsidR="0056175F" w:rsidRPr="002623F7" w:rsidRDefault="0056175F">
      <w:pPr>
        <w:rPr>
          <w:rFonts w:ascii="Book Antiqua" w:hAnsi="Book Antiqua"/>
          <w:b/>
          <w:bCs/>
          <w:color w:val="000000" w:themeColor="text1"/>
        </w:rPr>
      </w:pPr>
      <w:r w:rsidRPr="002623F7">
        <w:rPr>
          <w:rFonts w:ascii="Book Antiqua" w:hAnsi="Book Antiqua"/>
          <w:b/>
          <w:bCs/>
          <w:color w:val="000000" w:themeColor="text1"/>
        </w:rPr>
        <w:br w:type="page"/>
      </w:r>
    </w:p>
    <w:p w14:paraId="44095542" w14:textId="4CD7D24B" w:rsidR="0056175F" w:rsidRPr="002623F7" w:rsidRDefault="0056175F" w:rsidP="0056175F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2623F7">
        <w:rPr>
          <w:rFonts w:ascii="Book Antiqua" w:hAnsi="Book Antiqua"/>
          <w:b/>
          <w:bCs/>
          <w:color w:val="000000" w:themeColor="text1"/>
        </w:rPr>
        <w:lastRenderedPageBreak/>
        <w:t>Table 5 Predictors of mortality: Mult</w:t>
      </w:r>
      <w:r w:rsidRPr="002623F7">
        <w:rPr>
          <w:rFonts w:ascii="Book Antiqua" w:hAnsi="Book Antiqua"/>
          <w:b/>
          <w:color w:val="000000" w:themeColor="text1"/>
        </w:rPr>
        <w:t xml:space="preserve">ivariate logistic regression analysis </w:t>
      </w:r>
    </w:p>
    <w:tbl>
      <w:tblPr>
        <w:tblStyle w:val="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386"/>
        <w:gridCol w:w="1134"/>
        <w:gridCol w:w="1842"/>
        <w:gridCol w:w="1843"/>
      </w:tblGrid>
      <w:tr w:rsidR="0056175F" w:rsidRPr="002623F7" w14:paraId="26BB854A" w14:textId="77777777" w:rsidTr="003E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8978D" w14:textId="77777777" w:rsidR="0056175F" w:rsidRPr="002623F7" w:rsidRDefault="0056175F" w:rsidP="003E610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AC488" w14:textId="77777777" w:rsidR="0056175F" w:rsidRPr="002623F7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  <w:bCs w:val="0"/>
              </w:rPr>
              <w:t>Death in 30 d, OR [95%CI]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253BE" w14:textId="77777777" w:rsidR="0056175F" w:rsidRPr="002623F7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  <w:bCs w:val="0"/>
              </w:rPr>
              <w:t>Death in 90 d, OR [95%CI]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A505" w14:textId="77777777" w:rsidR="0056175F" w:rsidRPr="002623F7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  <w:bCs w:val="0"/>
              </w:rPr>
              <w:t>Peri-procedural complication, OR [95%CI]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9A8B" w14:textId="77777777" w:rsidR="0056175F" w:rsidRPr="002623F7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  <w:bCs w:val="0"/>
              </w:rPr>
              <w:t>Post-procedural complications, OR [95%CI]</w:t>
            </w:r>
          </w:p>
        </w:tc>
      </w:tr>
      <w:tr w:rsidR="0056175F" w:rsidRPr="002623F7" w14:paraId="69479551" w14:textId="77777777" w:rsidTr="003E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</w:tcBorders>
            <w:shd w:val="clear" w:color="auto" w:fill="auto"/>
          </w:tcPr>
          <w:p w14:paraId="02F5239B" w14:textId="77777777" w:rsidR="0056175F" w:rsidRPr="002623F7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 xml:space="preserve">Protein calorie malnutrition (albumin ≤ </w:t>
            </w:r>
            <w:r w:rsidRPr="002623F7">
              <w:rPr>
                <w:rFonts w:ascii="Book Antiqua" w:eastAsiaTheme="minorEastAsia" w:hAnsi="Book Antiqua"/>
                <w:bCs w:val="0"/>
              </w:rPr>
              <w:t>3.2)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11639BDF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0.757 [0.179-3.21]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5F7416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0.854 [0.289-2.527]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9F531B5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1.31 [0.37-4.7]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80ABB2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1.07 [0.54-2.11]</w:t>
            </w:r>
          </w:p>
        </w:tc>
      </w:tr>
      <w:tr w:rsidR="0056175F" w:rsidRPr="002623F7" w14:paraId="33CA7FF8" w14:textId="77777777" w:rsidTr="003E6102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auto"/>
          </w:tcPr>
          <w:p w14:paraId="7A383377" w14:textId="77777777" w:rsidR="0056175F" w:rsidRPr="002623F7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Documented SIRS crite</w:t>
            </w:r>
            <w:r w:rsidRPr="002623F7">
              <w:rPr>
                <w:rFonts w:ascii="Book Antiqua" w:hAnsi="Book Antiqua"/>
                <w:bCs w:val="0"/>
              </w:rPr>
              <w:t xml:space="preserve">ria or infection </w:t>
            </w:r>
          </w:p>
          <w:p w14:paraId="591B63C6" w14:textId="77777777" w:rsidR="0056175F" w:rsidRPr="002623F7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  <w:bCs w:val="0"/>
              </w:rPr>
              <w:t>pre-procedure</w:t>
            </w:r>
          </w:p>
        </w:tc>
        <w:tc>
          <w:tcPr>
            <w:tcW w:w="1386" w:type="dxa"/>
            <w:shd w:val="clear" w:color="auto" w:fill="auto"/>
          </w:tcPr>
          <w:p w14:paraId="0ACF9367" w14:textId="77777777" w:rsidR="0056175F" w:rsidRPr="002623F7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0.524 [0.06-4.52]</w:t>
            </w:r>
          </w:p>
        </w:tc>
        <w:tc>
          <w:tcPr>
            <w:tcW w:w="1134" w:type="dxa"/>
            <w:shd w:val="clear" w:color="auto" w:fill="auto"/>
          </w:tcPr>
          <w:p w14:paraId="58567C2E" w14:textId="77777777" w:rsidR="0056175F" w:rsidRPr="002623F7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0.56 [0.12-2.67]</w:t>
            </w:r>
          </w:p>
        </w:tc>
        <w:tc>
          <w:tcPr>
            <w:tcW w:w="1842" w:type="dxa"/>
            <w:shd w:val="clear" w:color="auto" w:fill="auto"/>
          </w:tcPr>
          <w:p w14:paraId="08E6DF89" w14:textId="77777777" w:rsidR="0056175F" w:rsidRPr="002623F7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1.55 [0.38-6.28]</w:t>
            </w:r>
          </w:p>
        </w:tc>
        <w:tc>
          <w:tcPr>
            <w:tcW w:w="1843" w:type="dxa"/>
            <w:shd w:val="clear" w:color="auto" w:fill="auto"/>
          </w:tcPr>
          <w:p w14:paraId="1C1A30B0" w14:textId="77777777" w:rsidR="0056175F" w:rsidRPr="002623F7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1.92 [0.85-4.35]</w:t>
            </w:r>
          </w:p>
        </w:tc>
      </w:tr>
      <w:tr w:rsidR="0056175F" w:rsidRPr="002623F7" w14:paraId="6903C6B1" w14:textId="77777777" w:rsidTr="003E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auto"/>
          </w:tcPr>
          <w:p w14:paraId="7A9C1120" w14:textId="77777777" w:rsidR="0056175F" w:rsidRPr="002623F7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Presence of Cardiovascular risk equivalent independent of this stroke</w:t>
            </w:r>
          </w:p>
        </w:tc>
        <w:tc>
          <w:tcPr>
            <w:tcW w:w="1386" w:type="dxa"/>
            <w:shd w:val="clear" w:color="auto" w:fill="auto"/>
          </w:tcPr>
          <w:p w14:paraId="5049F621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0.24 [0.05-1.24]</w:t>
            </w:r>
          </w:p>
        </w:tc>
        <w:tc>
          <w:tcPr>
            <w:tcW w:w="1134" w:type="dxa"/>
            <w:shd w:val="clear" w:color="auto" w:fill="auto"/>
          </w:tcPr>
          <w:p w14:paraId="4074336B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0.35 [0.11-1.09]</w:t>
            </w:r>
          </w:p>
        </w:tc>
        <w:tc>
          <w:tcPr>
            <w:tcW w:w="1842" w:type="dxa"/>
            <w:shd w:val="clear" w:color="auto" w:fill="auto"/>
          </w:tcPr>
          <w:p w14:paraId="44E56B22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0.65 [0.19-2.23]</w:t>
            </w:r>
          </w:p>
        </w:tc>
        <w:tc>
          <w:tcPr>
            <w:tcW w:w="1843" w:type="dxa"/>
            <w:shd w:val="clear" w:color="auto" w:fill="auto"/>
          </w:tcPr>
          <w:p w14:paraId="304BDA55" w14:textId="77777777" w:rsidR="0056175F" w:rsidRPr="002623F7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623F7">
              <w:rPr>
                <w:rFonts w:ascii="Book Antiqua" w:hAnsi="Book Antiqua"/>
              </w:rPr>
              <w:t>1.63 [0.82-3.24]</w:t>
            </w:r>
          </w:p>
        </w:tc>
      </w:tr>
    </w:tbl>
    <w:p w14:paraId="50EA7002" w14:textId="77777777" w:rsidR="0056175F" w:rsidRPr="002623F7" w:rsidRDefault="0056175F" w:rsidP="0056175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623F7">
        <w:rPr>
          <w:rFonts w:ascii="Book Antiqua" w:hAnsi="Book Antiqua"/>
          <w:bCs/>
          <w:lang w:eastAsia="zh-CN"/>
        </w:rPr>
        <w:t>SIRS: Systemic inflammatory response syndrome</w:t>
      </w:r>
      <w:r w:rsidRPr="002623F7">
        <w:rPr>
          <w:rFonts w:ascii="Book Antiqua" w:hAnsi="Book Antiqua"/>
          <w:color w:val="000000" w:themeColor="text1"/>
        </w:rPr>
        <w:t xml:space="preserve">; PEG: Percutaneous endoscopic gastrostomy, Significant </w:t>
      </w:r>
      <w:r w:rsidRPr="002623F7">
        <w:rPr>
          <w:rFonts w:ascii="Book Antiqua" w:hAnsi="Book Antiqua"/>
          <w:i/>
          <w:iCs/>
          <w:color w:val="000000" w:themeColor="text1"/>
        </w:rPr>
        <w:t xml:space="preserve">P </w:t>
      </w:r>
      <w:r w:rsidRPr="002623F7">
        <w:rPr>
          <w:rFonts w:ascii="Book Antiqua" w:hAnsi="Book Antiqua"/>
          <w:color w:val="000000" w:themeColor="text1"/>
        </w:rPr>
        <w:t>values are in bold</w:t>
      </w:r>
      <w:r w:rsidRPr="002623F7"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17816D6B" w14:textId="305BA566" w:rsidR="002623F7" w:rsidRPr="002623F7" w:rsidRDefault="002623F7">
      <w:pPr>
        <w:rPr>
          <w:rFonts w:ascii="Book Antiqua" w:hAnsi="Book Antiqua"/>
          <w:b/>
          <w:lang w:eastAsia="zh-CN"/>
        </w:rPr>
      </w:pPr>
      <w:r w:rsidRPr="002623F7">
        <w:rPr>
          <w:rFonts w:ascii="Book Antiqua" w:hAnsi="Book Antiqua"/>
          <w:b/>
          <w:lang w:eastAsia="zh-CN"/>
        </w:rPr>
        <w:br w:type="page"/>
      </w:r>
    </w:p>
    <w:p w14:paraId="5DB4A44D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761005F8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FC1FFCA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07EDC99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DE1A8DC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  <w:r w:rsidRPr="002623F7">
        <w:rPr>
          <w:rFonts w:ascii="Book Antiqua" w:hAnsi="Book Antiqua"/>
          <w:noProof/>
          <w:lang w:eastAsia="zh-CN"/>
        </w:rPr>
        <w:drawing>
          <wp:inline distT="0" distB="0" distL="0" distR="0" wp14:anchorId="6FEFF62F" wp14:editId="63C4669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BA25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4CD617" w14:textId="77777777" w:rsidR="002623F7" w:rsidRPr="002623F7" w:rsidRDefault="002623F7" w:rsidP="002623F7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623F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2623F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0BDF01F" w14:textId="77777777" w:rsidR="002623F7" w:rsidRPr="002623F7" w:rsidRDefault="002623F7" w:rsidP="002623F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623F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1B19ED7" w14:textId="77777777" w:rsidR="002623F7" w:rsidRPr="002623F7" w:rsidRDefault="002623F7" w:rsidP="002623F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623F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623F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627862E" w14:textId="77777777" w:rsidR="002623F7" w:rsidRPr="002623F7" w:rsidRDefault="002623F7" w:rsidP="002623F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623F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623F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5537803" w14:textId="77777777" w:rsidR="002623F7" w:rsidRPr="002623F7" w:rsidRDefault="002623F7" w:rsidP="002623F7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623F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623F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E2FFB1B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  <w:r w:rsidRPr="002623F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C129DB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6F7162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5D6044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42FC3A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  <w:r w:rsidRPr="002623F7">
        <w:rPr>
          <w:rFonts w:ascii="Book Antiqua" w:hAnsi="Book Antiqua"/>
          <w:noProof/>
          <w:lang w:eastAsia="zh-CN"/>
        </w:rPr>
        <w:drawing>
          <wp:inline distT="0" distB="0" distL="0" distR="0" wp14:anchorId="00A01F33" wp14:editId="19D99C6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09B9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28D114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E9C20F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C69277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EDB0FA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AB472E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D679D1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0C130E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43C88B" w14:textId="77777777" w:rsidR="002623F7" w:rsidRPr="002623F7" w:rsidRDefault="002623F7" w:rsidP="002623F7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7148C6" w14:textId="77777777" w:rsidR="002623F7" w:rsidRPr="002623F7" w:rsidRDefault="002623F7" w:rsidP="002623F7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901AA53" w14:textId="77777777" w:rsidR="002623F7" w:rsidRPr="00763D22" w:rsidRDefault="002623F7" w:rsidP="002623F7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2623F7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2623F7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623F7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623F7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46E5171E" w14:textId="77777777" w:rsidR="007117D0" w:rsidRPr="002623F7" w:rsidRDefault="007117D0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7117D0" w:rsidRPr="0026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13E7" w14:textId="77777777" w:rsidR="00496904" w:rsidRDefault="00496904" w:rsidP="00B66AB6">
      <w:r>
        <w:separator/>
      </w:r>
    </w:p>
  </w:endnote>
  <w:endnote w:type="continuationSeparator" w:id="0">
    <w:p w14:paraId="0E4A75EC" w14:textId="77777777" w:rsidR="00496904" w:rsidRDefault="00496904" w:rsidP="00B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EB89" w14:textId="77777777" w:rsidR="005F0E86" w:rsidRPr="004B367F" w:rsidRDefault="005F0E86" w:rsidP="004B367F">
    <w:pPr>
      <w:pStyle w:val="a5"/>
      <w:jc w:val="right"/>
      <w:rPr>
        <w:rFonts w:ascii="Book Antiqua" w:hAnsi="Book Antiqua"/>
        <w:sz w:val="24"/>
        <w:szCs w:val="24"/>
      </w:rPr>
    </w:pPr>
    <w:r w:rsidRPr="004B367F">
      <w:rPr>
        <w:rFonts w:ascii="Book Antiqua" w:hAnsi="Book Antiqua"/>
        <w:sz w:val="24"/>
        <w:szCs w:val="24"/>
        <w:lang w:val="zh-CN" w:eastAsia="zh-CN"/>
      </w:rPr>
      <w:t xml:space="preserve"> </w:t>
    </w:r>
    <w:r w:rsidRPr="004B367F">
      <w:rPr>
        <w:rFonts w:ascii="Book Antiqua" w:hAnsi="Book Antiqua"/>
        <w:sz w:val="24"/>
        <w:szCs w:val="24"/>
      </w:rPr>
      <w:fldChar w:fldCharType="begin"/>
    </w:r>
    <w:r w:rsidRPr="004B367F">
      <w:rPr>
        <w:rFonts w:ascii="Book Antiqua" w:hAnsi="Book Antiqua"/>
        <w:sz w:val="24"/>
        <w:szCs w:val="24"/>
      </w:rPr>
      <w:instrText>PAGE  \* Arabic  \* MERGEFORMAT</w:instrText>
    </w:r>
    <w:r w:rsidRPr="004B367F">
      <w:rPr>
        <w:rFonts w:ascii="Book Antiqua" w:hAnsi="Book Antiqua"/>
        <w:sz w:val="24"/>
        <w:szCs w:val="24"/>
      </w:rPr>
      <w:fldChar w:fldCharType="separate"/>
    </w:r>
    <w:r w:rsidRPr="004B367F">
      <w:rPr>
        <w:rFonts w:ascii="Book Antiqua" w:hAnsi="Book Antiqua"/>
        <w:sz w:val="24"/>
        <w:szCs w:val="24"/>
        <w:lang w:val="zh-CN" w:eastAsia="zh-CN"/>
      </w:rPr>
      <w:t>2</w:t>
    </w:r>
    <w:r w:rsidRPr="004B367F">
      <w:rPr>
        <w:rFonts w:ascii="Book Antiqua" w:hAnsi="Book Antiqua"/>
        <w:sz w:val="24"/>
        <w:szCs w:val="24"/>
      </w:rPr>
      <w:fldChar w:fldCharType="end"/>
    </w:r>
    <w:r w:rsidRPr="004B367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B367F">
      <w:rPr>
        <w:rFonts w:ascii="Book Antiqua" w:hAnsi="Book Antiqua"/>
        <w:sz w:val="24"/>
        <w:szCs w:val="24"/>
      </w:rPr>
      <w:fldChar w:fldCharType="begin"/>
    </w:r>
    <w:r w:rsidRPr="004B367F">
      <w:rPr>
        <w:rFonts w:ascii="Book Antiqua" w:hAnsi="Book Antiqua"/>
        <w:sz w:val="24"/>
        <w:szCs w:val="24"/>
      </w:rPr>
      <w:instrText>NUMPAGES  \* Arabic  \* MERGEFORMAT</w:instrText>
    </w:r>
    <w:r w:rsidRPr="004B367F">
      <w:rPr>
        <w:rFonts w:ascii="Book Antiqua" w:hAnsi="Book Antiqua"/>
        <w:sz w:val="24"/>
        <w:szCs w:val="24"/>
      </w:rPr>
      <w:fldChar w:fldCharType="separate"/>
    </w:r>
    <w:r w:rsidRPr="004B367F">
      <w:rPr>
        <w:rFonts w:ascii="Book Antiqua" w:hAnsi="Book Antiqua"/>
        <w:sz w:val="24"/>
        <w:szCs w:val="24"/>
        <w:lang w:val="zh-CN" w:eastAsia="zh-CN"/>
      </w:rPr>
      <w:t>2</w:t>
    </w:r>
    <w:r w:rsidRPr="004B367F">
      <w:rPr>
        <w:rFonts w:ascii="Book Antiqua" w:hAnsi="Book Antiqua"/>
        <w:sz w:val="24"/>
        <w:szCs w:val="24"/>
      </w:rPr>
      <w:fldChar w:fldCharType="end"/>
    </w:r>
  </w:p>
  <w:p w14:paraId="4E316254" w14:textId="77777777" w:rsidR="005F0E86" w:rsidRDefault="005F0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ECFD" w14:textId="77777777" w:rsidR="00496904" w:rsidRDefault="00496904" w:rsidP="00B66AB6">
      <w:r>
        <w:separator/>
      </w:r>
    </w:p>
  </w:footnote>
  <w:footnote w:type="continuationSeparator" w:id="0">
    <w:p w14:paraId="3C4EA3DE" w14:textId="77777777" w:rsidR="00496904" w:rsidRDefault="00496904" w:rsidP="00B6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DDC"/>
    <w:rsid w:val="00073E92"/>
    <w:rsid w:val="000747B9"/>
    <w:rsid w:val="00077F64"/>
    <w:rsid w:val="000926B4"/>
    <w:rsid w:val="00092A83"/>
    <w:rsid w:val="00095A42"/>
    <w:rsid w:val="000A1A40"/>
    <w:rsid w:val="000E11EA"/>
    <w:rsid w:val="000E19F6"/>
    <w:rsid w:val="000E43BB"/>
    <w:rsid w:val="000F30F8"/>
    <w:rsid w:val="0011528F"/>
    <w:rsid w:val="001215EF"/>
    <w:rsid w:val="00121DDF"/>
    <w:rsid w:val="001243F9"/>
    <w:rsid w:val="00135A96"/>
    <w:rsid w:val="00137DC5"/>
    <w:rsid w:val="00141AF3"/>
    <w:rsid w:val="00146043"/>
    <w:rsid w:val="001507C4"/>
    <w:rsid w:val="0015246F"/>
    <w:rsid w:val="00166D18"/>
    <w:rsid w:val="0016713A"/>
    <w:rsid w:val="00177CD1"/>
    <w:rsid w:val="001805D0"/>
    <w:rsid w:val="00193D41"/>
    <w:rsid w:val="001A4A7B"/>
    <w:rsid w:val="001C151F"/>
    <w:rsid w:val="001F0533"/>
    <w:rsid w:val="00202F06"/>
    <w:rsid w:val="002065F8"/>
    <w:rsid w:val="00207541"/>
    <w:rsid w:val="00210EB2"/>
    <w:rsid w:val="00214AF9"/>
    <w:rsid w:val="00215305"/>
    <w:rsid w:val="0022481F"/>
    <w:rsid w:val="00235E06"/>
    <w:rsid w:val="00246B6C"/>
    <w:rsid w:val="0025713C"/>
    <w:rsid w:val="002623F7"/>
    <w:rsid w:val="0028201F"/>
    <w:rsid w:val="002B28CA"/>
    <w:rsid w:val="002B2BEC"/>
    <w:rsid w:val="002B6416"/>
    <w:rsid w:val="002C304D"/>
    <w:rsid w:val="002C42D3"/>
    <w:rsid w:val="002E51CA"/>
    <w:rsid w:val="002E7A87"/>
    <w:rsid w:val="00310752"/>
    <w:rsid w:val="0031705D"/>
    <w:rsid w:val="003234D4"/>
    <w:rsid w:val="00343A4C"/>
    <w:rsid w:val="00344074"/>
    <w:rsid w:val="003567B7"/>
    <w:rsid w:val="00384452"/>
    <w:rsid w:val="003848EE"/>
    <w:rsid w:val="003A7202"/>
    <w:rsid w:val="003B06BF"/>
    <w:rsid w:val="003B2E8C"/>
    <w:rsid w:val="00453606"/>
    <w:rsid w:val="004655AC"/>
    <w:rsid w:val="00467A81"/>
    <w:rsid w:val="004807FF"/>
    <w:rsid w:val="004967A1"/>
    <w:rsid w:val="00496904"/>
    <w:rsid w:val="004A4044"/>
    <w:rsid w:val="004A5E95"/>
    <w:rsid w:val="004B367F"/>
    <w:rsid w:val="004B7B1C"/>
    <w:rsid w:val="004D0044"/>
    <w:rsid w:val="004D0123"/>
    <w:rsid w:val="004E2A4C"/>
    <w:rsid w:val="004F1200"/>
    <w:rsid w:val="005043ED"/>
    <w:rsid w:val="0052143E"/>
    <w:rsid w:val="00555BDE"/>
    <w:rsid w:val="0056175F"/>
    <w:rsid w:val="00571361"/>
    <w:rsid w:val="00577CCD"/>
    <w:rsid w:val="005942C8"/>
    <w:rsid w:val="005A6222"/>
    <w:rsid w:val="005C2952"/>
    <w:rsid w:val="005C432F"/>
    <w:rsid w:val="005D673D"/>
    <w:rsid w:val="005F0E86"/>
    <w:rsid w:val="0060165C"/>
    <w:rsid w:val="006040C4"/>
    <w:rsid w:val="00611089"/>
    <w:rsid w:val="00633AD4"/>
    <w:rsid w:val="00651AF6"/>
    <w:rsid w:val="0066797E"/>
    <w:rsid w:val="00671774"/>
    <w:rsid w:val="00685B37"/>
    <w:rsid w:val="00694A87"/>
    <w:rsid w:val="006A436B"/>
    <w:rsid w:val="006E3E5E"/>
    <w:rsid w:val="006E66B5"/>
    <w:rsid w:val="007117D0"/>
    <w:rsid w:val="00715743"/>
    <w:rsid w:val="0074270D"/>
    <w:rsid w:val="00747B44"/>
    <w:rsid w:val="00760138"/>
    <w:rsid w:val="00781D88"/>
    <w:rsid w:val="00785BF7"/>
    <w:rsid w:val="00786D7D"/>
    <w:rsid w:val="0079621E"/>
    <w:rsid w:val="007A7DB5"/>
    <w:rsid w:val="007D442D"/>
    <w:rsid w:val="00815057"/>
    <w:rsid w:val="008313ED"/>
    <w:rsid w:val="008467AD"/>
    <w:rsid w:val="008547DC"/>
    <w:rsid w:val="008A2385"/>
    <w:rsid w:val="008B3EA6"/>
    <w:rsid w:val="008C48F7"/>
    <w:rsid w:val="008E5A7E"/>
    <w:rsid w:val="008F1C28"/>
    <w:rsid w:val="008F4681"/>
    <w:rsid w:val="00901D19"/>
    <w:rsid w:val="0091498E"/>
    <w:rsid w:val="009151E4"/>
    <w:rsid w:val="0092128E"/>
    <w:rsid w:val="0092165F"/>
    <w:rsid w:val="00931FB4"/>
    <w:rsid w:val="00942373"/>
    <w:rsid w:val="00952181"/>
    <w:rsid w:val="00960F58"/>
    <w:rsid w:val="00961C72"/>
    <w:rsid w:val="00971323"/>
    <w:rsid w:val="00973905"/>
    <w:rsid w:val="00992BC1"/>
    <w:rsid w:val="00993E55"/>
    <w:rsid w:val="0099463F"/>
    <w:rsid w:val="009969D7"/>
    <w:rsid w:val="009A0F14"/>
    <w:rsid w:val="009A0FAD"/>
    <w:rsid w:val="009A44A0"/>
    <w:rsid w:val="009A7834"/>
    <w:rsid w:val="009C0F3E"/>
    <w:rsid w:val="009C5B14"/>
    <w:rsid w:val="009D16B1"/>
    <w:rsid w:val="009D41C8"/>
    <w:rsid w:val="009E5525"/>
    <w:rsid w:val="009F2AAC"/>
    <w:rsid w:val="009F3D15"/>
    <w:rsid w:val="009F6ECA"/>
    <w:rsid w:val="00A05E8B"/>
    <w:rsid w:val="00A36D6E"/>
    <w:rsid w:val="00A42C87"/>
    <w:rsid w:val="00A52F59"/>
    <w:rsid w:val="00A770AA"/>
    <w:rsid w:val="00A77B3E"/>
    <w:rsid w:val="00A905C7"/>
    <w:rsid w:val="00A967C8"/>
    <w:rsid w:val="00AA6916"/>
    <w:rsid w:val="00AB1CCB"/>
    <w:rsid w:val="00AB4E3D"/>
    <w:rsid w:val="00B1749B"/>
    <w:rsid w:val="00B251C4"/>
    <w:rsid w:val="00B27950"/>
    <w:rsid w:val="00B43566"/>
    <w:rsid w:val="00B50715"/>
    <w:rsid w:val="00B53406"/>
    <w:rsid w:val="00B66AB6"/>
    <w:rsid w:val="00B748CE"/>
    <w:rsid w:val="00B84D7C"/>
    <w:rsid w:val="00B946E7"/>
    <w:rsid w:val="00B95031"/>
    <w:rsid w:val="00BA2E70"/>
    <w:rsid w:val="00BB7A7C"/>
    <w:rsid w:val="00BC02E2"/>
    <w:rsid w:val="00BC4564"/>
    <w:rsid w:val="00BC7499"/>
    <w:rsid w:val="00BE0649"/>
    <w:rsid w:val="00BE59AB"/>
    <w:rsid w:val="00C42E85"/>
    <w:rsid w:val="00C759B0"/>
    <w:rsid w:val="00C873DE"/>
    <w:rsid w:val="00CA2A55"/>
    <w:rsid w:val="00CC39F2"/>
    <w:rsid w:val="00CD28CE"/>
    <w:rsid w:val="00CD6F96"/>
    <w:rsid w:val="00CF0AA0"/>
    <w:rsid w:val="00CF1CD1"/>
    <w:rsid w:val="00D04252"/>
    <w:rsid w:val="00D0769C"/>
    <w:rsid w:val="00D16B82"/>
    <w:rsid w:val="00D3742A"/>
    <w:rsid w:val="00D7699A"/>
    <w:rsid w:val="00D90042"/>
    <w:rsid w:val="00DB7E63"/>
    <w:rsid w:val="00DC29E0"/>
    <w:rsid w:val="00DC709A"/>
    <w:rsid w:val="00DF2C24"/>
    <w:rsid w:val="00DF2FC9"/>
    <w:rsid w:val="00DF7E0A"/>
    <w:rsid w:val="00E10EEC"/>
    <w:rsid w:val="00E1488E"/>
    <w:rsid w:val="00E16E5E"/>
    <w:rsid w:val="00E17EB9"/>
    <w:rsid w:val="00E47F49"/>
    <w:rsid w:val="00E54879"/>
    <w:rsid w:val="00E616B4"/>
    <w:rsid w:val="00E6431E"/>
    <w:rsid w:val="00E7152D"/>
    <w:rsid w:val="00E84098"/>
    <w:rsid w:val="00E92EBC"/>
    <w:rsid w:val="00E949F2"/>
    <w:rsid w:val="00E96187"/>
    <w:rsid w:val="00E97714"/>
    <w:rsid w:val="00EB1417"/>
    <w:rsid w:val="00ED2F22"/>
    <w:rsid w:val="00EF2269"/>
    <w:rsid w:val="00EF32BC"/>
    <w:rsid w:val="00F01D4B"/>
    <w:rsid w:val="00F20DE0"/>
    <w:rsid w:val="00F22B87"/>
    <w:rsid w:val="00F2502E"/>
    <w:rsid w:val="00F45D63"/>
    <w:rsid w:val="00FB554A"/>
    <w:rsid w:val="00FB6F40"/>
    <w:rsid w:val="00FC1562"/>
    <w:rsid w:val="00FC63EF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9F00D"/>
  <w15:docId w15:val="{1DC218B4-C6C7-4658-ABDC-6AD1BB7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6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AB6"/>
    <w:rPr>
      <w:sz w:val="18"/>
      <w:szCs w:val="18"/>
    </w:rPr>
  </w:style>
  <w:style w:type="character" w:styleId="a7">
    <w:name w:val="annotation reference"/>
    <w:basedOn w:val="a0"/>
    <w:semiHidden/>
    <w:unhideWhenUsed/>
    <w:rsid w:val="00BE59AB"/>
    <w:rPr>
      <w:sz w:val="21"/>
      <w:szCs w:val="21"/>
    </w:rPr>
  </w:style>
  <w:style w:type="paragraph" w:styleId="a8">
    <w:name w:val="annotation text"/>
    <w:basedOn w:val="a"/>
    <w:link w:val="a9"/>
    <w:unhideWhenUsed/>
    <w:rsid w:val="00BE59AB"/>
  </w:style>
  <w:style w:type="character" w:customStyle="1" w:styleId="a9">
    <w:name w:val="批注文字 字符"/>
    <w:basedOn w:val="a0"/>
    <w:link w:val="a8"/>
    <w:rsid w:val="00BE59A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E59AB"/>
    <w:rPr>
      <w:b/>
      <w:bCs/>
    </w:rPr>
  </w:style>
  <w:style w:type="character" w:customStyle="1" w:styleId="ab">
    <w:name w:val="批注主题 字符"/>
    <w:basedOn w:val="a9"/>
    <w:link w:val="aa"/>
    <w:semiHidden/>
    <w:rsid w:val="00BE59AB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B2E8C"/>
    <w:rPr>
      <w:sz w:val="24"/>
      <w:szCs w:val="24"/>
    </w:rPr>
  </w:style>
  <w:style w:type="table" w:styleId="6">
    <w:name w:val="Grid Table 6 Colorful"/>
    <w:basedOn w:val="a1"/>
    <w:uiPriority w:val="51"/>
    <w:rsid w:val="007117D0"/>
    <w:rPr>
      <w:rFonts w:asciiTheme="minorHAnsi" w:eastAsia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d">
    <w:name w:val="Table Grid"/>
    <w:basedOn w:val="a1"/>
    <w:uiPriority w:val="39"/>
    <w:rsid w:val="007117D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1F05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F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4292/wjgpt.v13.i5.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150-5349/full/v13/i5/77.ht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 Jia-Hui</cp:lastModifiedBy>
  <cp:revision>7</cp:revision>
  <dcterms:created xsi:type="dcterms:W3CDTF">2022-08-14T06:25:00Z</dcterms:created>
  <dcterms:modified xsi:type="dcterms:W3CDTF">2022-09-08T01:43:00Z</dcterms:modified>
</cp:coreProperties>
</file>