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3105" w14:textId="77777777" w:rsidR="005C6294" w:rsidRDefault="00771FC7">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14:paraId="50DE7FAE" w14:textId="77777777" w:rsidR="005C6294" w:rsidRDefault="00771FC7">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73634</w:t>
      </w:r>
    </w:p>
    <w:p w14:paraId="02D52196" w14:textId="77777777" w:rsidR="005C6294" w:rsidRDefault="00771FC7">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45763622" w14:textId="77777777" w:rsidR="005C6294" w:rsidRDefault="005C6294">
      <w:pPr>
        <w:spacing w:line="360" w:lineRule="auto"/>
        <w:jc w:val="both"/>
        <w:rPr>
          <w:rFonts w:ascii="Book Antiqua" w:hAnsi="Book Antiqua"/>
        </w:rPr>
      </w:pPr>
    </w:p>
    <w:p w14:paraId="63078A7F" w14:textId="77777777" w:rsidR="005C6294" w:rsidRDefault="00771FC7">
      <w:pPr>
        <w:spacing w:line="360" w:lineRule="auto"/>
        <w:jc w:val="both"/>
        <w:rPr>
          <w:rFonts w:ascii="Book Antiqua" w:hAnsi="Book Antiqua"/>
        </w:rPr>
      </w:pPr>
      <w:r>
        <w:rPr>
          <w:rFonts w:ascii="Book Antiqua" w:eastAsia="Book Antiqua" w:hAnsi="Book Antiqua" w:cs="Book Antiqua"/>
          <w:b/>
          <w:color w:val="000000"/>
        </w:rPr>
        <w:t xml:space="preserve">Single-use duodenoscopes for the prevention of endoscopic retrograde cholangiopancreatography -related cross-infection – from bench studies to </w:t>
      </w:r>
      <w:r>
        <w:rPr>
          <w:rFonts w:ascii="Book Antiqua" w:eastAsia="Book Antiqua" w:hAnsi="Book Antiqua" w:cs="Book Antiqua"/>
          <w:b/>
          <w:color w:val="000000"/>
        </w:rPr>
        <w:t>clinical evidence</w:t>
      </w:r>
    </w:p>
    <w:p w14:paraId="33591A4E" w14:textId="77777777" w:rsidR="005C6294" w:rsidRDefault="005C6294">
      <w:pPr>
        <w:spacing w:line="360" w:lineRule="auto"/>
        <w:jc w:val="both"/>
        <w:rPr>
          <w:rFonts w:ascii="Book Antiqua" w:hAnsi="Book Antiqua"/>
        </w:rPr>
      </w:pPr>
    </w:p>
    <w:p w14:paraId="7C52F8F3" w14:textId="77777777" w:rsidR="005C6294" w:rsidRDefault="00771FC7">
      <w:pPr>
        <w:spacing w:line="360" w:lineRule="auto"/>
        <w:jc w:val="both"/>
        <w:rPr>
          <w:rFonts w:ascii="Book Antiqua" w:hAnsi="Book Antiqua"/>
          <w:lang w:val="it-IT"/>
        </w:rPr>
      </w:pPr>
      <w:r>
        <w:rPr>
          <w:rFonts w:ascii="Book Antiqua" w:eastAsia="Book Antiqua" w:hAnsi="Book Antiqua" w:cs="Book Antiqua"/>
          <w:color w:val="000000"/>
          <w:lang w:val="it-IT"/>
        </w:rPr>
        <w:t xml:space="preserve">Lisotti A </w:t>
      </w:r>
      <w:r>
        <w:rPr>
          <w:rFonts w:ascii="Book Antiqua" w:eastAsia="Book Antiqua" w:hAnsi="Book Antiqua" w:cs="Book Antiqua"/>
          <w:i/>
          <w:color w:val="000000"/>
          <w:lang w:val="it-IT"/>
        </w:rPr>
        <w:t>et al</w:t>
      </w:r>
      <w:r>
        <w:rPr>
          <w:rFonts w:ascii="Book Antiqua" w:eastAsia="Book Antiqua" w:hAnsi="Book Antiqua" w:cs="Book Antiqua"/>
          <w:color w:val="000000"/>
          <w:lang w:val="it-IT"/>
        </w:rPr>
        <w:t>. ERCP with single-use duodenoscopes</w:t>
      </w:r>
    </w:p>
    <w:p w14:paraId="16258195" w14:textId="77777777" w:rsidR="005C6294" w:rsidRDefault="005C6294">
      <w:pPr>
        <w:spacing w:line="360" w:lineRule="auto"/>
        <w:jc w:val="both"/>
        <w:rPr>
          <w:rFonts w:ascii="Book Antiqua" w:hAnsi="Book Antiqua"/>
          <w:lang w:val="it-IT"/>
        </w:rPr>
      </w:pPr>
    </w:p>
    <w:p w14:paraId="37E8FBFC" w14:textId="77777777" w:rsidR="005C6294" w:rsidRDefault="00771FC7">
      <w:pPr>
        <w:spacing w:line="360" w:lineRule="auto"/>
        <w:jc w:val="both"/>
        <w:rPr>
          <w:rFonts w:ascii="Book Antiqua" w:hAnsi="Book Antiqua"/>
          <w:lang w:val="it-IT"/>
        </w:rPr>
      </w:pPr>
      <w:r>
        <w:rPr>
          <w:rFonts w:ascii="Book Antiqua" w:eastAsia="Book Antiqua" w:hAnsi="Book Antiqua" w:cs="Book Antiqua"/>
          <w:color w:val="000000"/>
          <w:lang w:val="it-IT"/>
        </w:rPr>
        <w:t>Andrea Lisotti, Pietro Fusaroli, Bertrand Napoleon, Anna Cominardi, Rocco Maurizio Zagari</w:t>
      </w:r>
    </w:p>
    <w:p w14:paraId="0017B7A3" w14:textId="77777777" w:rsidR="005C6294" w:rsidRDefault="005C6294">
      <w:pPr>
        <w:spacing w:line="360" w:lineRule="auto"/>
        <w:jc w:val="both"/>
        <w:rPr>
          <w:rFonts w:ascii="Book Antiqua" w:hAnsi="Book Antiqua"/>
          <w:lang w:val="it-IT"/>
        </w:rPr>
      </w:pPr>
    </w:p>
    <w:p w14:paraId="28EC8776" w14:textId="77777777" w:rsidR="005C6294" w:rsidRDefault="00771FC7">
      <w:pPr>
        <w:spacing w:line="360" w:lineRule="auto"/>
        <w:jc w:val="both"/>
        <w:rPr>
          <w:rFonts w:ascii="Book Antiqua" w:hAnsi="Book Antiqua"/>
          <w:lang w:val="it-IT"/>
        </w:rPr>
      </w:pPr>
      <w:r>
        <w:rPr>
          <w:rFonts w:ascii="Book Antiqua" w:eastAsia="Book Antiqua" w:hAnsi="Book Antiqua" w:cs="Book Antiqua"/>
          <w:b/>
          <w:bCs/>
          <w:color w:val="000000"/>
          <w:lang w:val="it-IT"/>
        </w:rPr>
        <w:t xml:space="preserve">Andrea Lisotti, Pietro Fusaroli, Anna Cominardi, </w:t>
      </w:r>
      <w:r>
        <w:rPr>
          <w:rFonts w:ascii="Book Antiqua" w:eastAsia="Book Antiqua" w:hAnsi="Book Antiqua" w:cs="Book Antiqua"/>
          <w:color w:val="000000"/>
          <w:lang w:val="it-IT"/>
        </w:rPr>
        <w:t>Gastroenterology Unit, Hospital of Imola, Un</w:t>
      </w:r>
      <w:r>
        <w:rPr>
          <w:rFonts w:ascii="Book Antiqua" w:eastAsia="Book Antiqua" w:hAnsi="Book Antiqua" w:cs="Book Antiqua"/>
          <w:color w:val="000000"/>
          <w:lang w:val="it-IT"/>
        </w:rPr>
        <w:t>iversity of Bologna, Imola 40026, BO, Italy</w:t>
      </w:r>
    </w:p>
    <w:p w14:paraId="151589E5" w14:textId="77777777" w:rsidR="005C6294" w:rsidRDefault="005C6294">
      <w:pPr>
        <w:spacing w:line="360" w:lineRule="auto"/>
        <w:jc w:val="both"/>
        <w:rPr>
          <w:rFonts w:ascii="Book Antiqua" w:hAnsi="Book Antiqua"/>
          <w:lang w:val="it-IT"/>
        </w:rPr>
      </w:pPr>
    </w:p>
    <w:p w14:paraId="7657D700" w14:textId="77777777" w:rsidR="005C6294" w:rsidRDefault="00771FC7">
      <w:pPr>
        <w:spacing w:line="360" w:lineRule="auto"/>
        <w:jc w:val="both"/>
        <w:rPr>
          <w:rFonts w:ascii="Book Antiqua" w:hAnsi="Book Antiqua"/>
          <w:lang w:val="it-IT"/>
        </w:rPr>
      </w:pPr>
      <w:r>
        <w:rPr>
          <w:rFonts w:ascii="Book Antiqua" w:eastAsia="Book Antiqua" w:hAnsi="Book Antiqua" w:cs="Book Antiqua"/>
          <w:b/>
          <w:bCs/>
          <w:color w:val="000000"/>
          <w:lang w:val="it-IT"/>
        </w:rPr>
        <w:t xml:space="preserve">Bertrand Napoleon, </w:t>
      </w:r>
      <w:r>
        <w:rPr>
          <w:rFonts w:ascii="Book Antiqua" w:eastAsia="Book Antiqua" w:hAnsi="Book Antiqua" w:cs="Book Antiqua"/>
          <w:color w:val="000000"/>
          <w:lang w:val="it-IT"/>
        </w:rPr>
        <w:t>Gastroenterology Unit, Hôpital privé Jean Mermoz - Ramsay Générale de Santé, Lyon 69008, FR, France</w:t>
      </w:r>
    </w:p>
    <w:p w14:paraId="22E01FC6" w14:textId="77777777" w:rsidR="005C6294" w:rsidRDefault="005C6294">
      <w:pPr>
        <w:spacing w:line="360" w:lineRule="auto"/>
        <w:jc w:val="both"/>
        <w:rPr>
          <w:rFonts w:ascii="Book Antiqua" w:hAnsi="Book Antiqua"/>
          <w:lang w:val="it-IT"/>
        </w:rPr>
      </w:pPr>
    </w:p>
    <w:p w14:paraId="0B2FC3AD" w14:textId="77777777" w:rsidR="005C6294" w:rsidRDefault="00771FC7">
      <w:pPr>
        <w:spacing w:line="360" w:lineRule="auto"/>
        <w:jc w:val="both"/>
        <w:rPr>
          <w:rFonts w:ascii="Book Antiqua" w:hAnsi="Book Antiqua"/>
          <w:lang w:val="it-IT"/>
        </w:rPr>
      </w:pPr>
      <w:r>
        <w:rPr>
          <w:rFonts w:ascii="Book Antiqua" w:eastAsia="Book Antiqua" w:hAnsi="Book Antiqua" w:cs="Book Antiqua"/>
          <w:b/>
          <w:bCs/>
          <w:color w:val="000000"/>
          <w:lang w:val="it-IT"/>
        </w:rPr>
        <w:t xml:space="preserve">Rocco Maurizio Zagari, </w:t>
      </w:r>
      <w:r>
        <w:rPr>
          <w:rFonts w:ascii="Book Antiqua" w:eastAsia="Book Antiqua" w:hAnsi="Book Antiqua" w:cs="Book Antiqua"/>
          <w:color w:val="000000"/>
          <w:lang w:val="it-IT"/>
        </w:rPr>
        <w:t>Dipertimento Di Scienze Mediche e Chirurgiche, Università di Bologna</w:t>
      </w:r>
      <w:r>
        <w:rPr>
          <w:rFonts w:ascii="Book Antiqua" w:eastAsia="Book Antiqua" w:hAnsi="Book Antiqua" w:cs="Book Antiqua"/>
          <w:color w:val="000000"/>
          <w:lang w:val="it-IT"/>
        </w:rPr>
        <w:t>, Policlinico San Orsola Malpighi, Bologna 40138, Italy</w:t>
      </w:r>
    </w:p>
    <w:p w14:paraId="42728808" w14:textId="77777777" w:rsidR="005C6294" w:rsidRDefault="005C6294">
      <w:pPr>
        <w:spacing w:line="360" w:lineRule="auto"/>
        <w:jc w:val="both"/>
        <w:rPr>
          <w:rFonts w:ascii="Book Antiqua" w:hAnsi="Book Antiqua"/>
          <w:lang w:val="it-IT"/>
        </w:rPr>
      </w:pPr>
    </w:p>
    <w:p w14:paraId="3ED97FFC" w14:textId="77777777" w:rsidR="005C6294" w:rsidRDefault="00771FC7">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Lisotti A and Fusaroli P wrote the paper; Napoléon B, Cominardi A and Zagari RM performed data collection for systematic review; all authors reviewed manuscript for pivotal inte</w:t>
      </w:r>
      <w:r>
        <w:rPr>
          <w:rFonts w:ascii="Book Antiqua" w:eastAsia="Book Antiqua" w:hAnsi="Book Antiqua" w:cs="Book Antiqua"/>
          <w:color w:val="000000"/>
        </w:rPr>
        <w:t>llectual content.</w:t>
      </w:r>
    </w:p>
    <w:p w14:paraId="390FC1A9" w14:textId="77777777" w:rsidR="005C6294" w:rsidRDefault="005C6294">
      <w:pPr>
        <w:spacing w:line="360" w:lineRule="auto"/>
        <w:jc w:val="both"/>
        <w:rPr>
          <w:rFonts w:ascii="Book Antiqua" w:hAnsi="Book Antiqua"/>
        </w:rPr>
      </w:pPr>
    </w:p>
    <w:p w14:paraId="2C854571" w14:textId="77777777" w:rsidR="005C6294" w:rsidRDefault="00771FC7">
      <w:pPr>
        <w:spacing w:line="360" w:lineRule="auto"/>
        <w:jc w:val="both"/>
        <w:rPr>
          <w:rFonts w:ascii="Book Antiqua" w:hAnsi="Book Antiqua"/>
        </w:rPr>
      </w:pPr>
      <w:r>
        <w:rPr>
          <w:rFonts w:ascii="Book Antiqua" w:eastAsia="Book Antiqua" w:hAnsi="Book Antiqua" w:cs="Book Antiqua"/>
          <w:b/>
          <w:bCs/>
          <w:color w:val="000000"/>
        </w:rPr>
        <w:t xml:space="preserve">Corresponding author: Andrea Lisotti, MD, MSc, Adjunct Professor, </w:t>
      </w:r>
      <w:r>
        <w:rPr>
          <w:rFonts w:ascii="Book Antiqua" w:eastAsia="Book Antiqua" w:hAnsi="Book Antiqua" w:cs="Book Antiqua"/>
          <w:color w:val="000000"/>
        </w:rPr>
        <w:t xml:space="preserve">Gastroenterology Unit, Hospital of Imola, University of Bologna, </w:t>
      </w:r>
      <w:r>
        <w:rPr>
          <w:rFonts w:ascii="Book Antiqua" w:eastAsia="Book Antiqua" w:hAnsi="Book Antiqua" w:cs="Book Antiqua"/>
          <w:i/>
          <w:iCs/>
          <w:color w:val="000000"/>
        </w:rPr>
        <w:t>via</w:t>
      </w:r>
      <w:r>
        <w:rPr>
          <w:rFonts w:ascii="Book Antiqua" w:eastAsia="Book Antiqua" w:hAnsi="Book Antiqua" w:cs="Book Antiqua"/>
          <w:color w:val="000000"/>
        </w:rPr>
        <w:t xml:space="preserve"> Montericco 4, Imola 40026, BO, Italy. lisotti.andrea@gmail.com</w:t>
      </w:r>
    </w:p>
    <w:p w14:paraId="0FC5B9C0" w14:textId="77777777" w:rsidR="005C6294" w:rsidRDefault="005C6294">
      <w:pPr>
        <w:spacing w:line="360" w:lineRule="auto"/>
        <w:jc w:val="both"/>
        <w:rPr>
          <w:rFonts w:ascii="Book Antiqua" w:hAnsi="Book Antiqua"/>
        </w:rPr>
      </w:pPr>
    </w:p>
    <w:p w14:paraId="2F73A8FB" w14:textId="77777777" w:rsidR="005C6294" w:rsidRDefault="00771FC7">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28, 2021</w:t>
      </w:r>
    </w:p>
    <w:p w14:paraId="032681CD" w14:textId="77777777" w:rsidR="005C6294" w:rsidRDefault="00771FC7">
      <w:pPr>
        <w:spacing w:line="360" w:lineRule="auto"/>
        <w:jc w:val="both"/>
        <w:rPr>
          <w:rFonts w:ascii="Book Antiqua" w:hAnsi="Book Antiqua"/>
          <w:lang w:eastAsia="zh-CN"/>
        </w:rPr>
      </w:pPr>
      <w:r>
        <w:rPr>
          <w:rFonts w:ascii="Book Antiqua" w:eastAsia="Book Antiqua" w:hAnsi="Book Antiqua" w:cs="Book Antiqua"/>
          <w:b/>
          <w:bCs/>
          <w:color w:val="000000"/>
        </w:rPr>
        <w:t>Revised:</w:t>
      </w:r>
      <w:r>
        <w:rPr>
          <w:rFonts w:ascii="Book Antiqua" w:eastAsia="Book Antiqua" w:hAnsi="Book Antiqua" w:cs="Book Antiqua"/>
          <w:bCs/>
          <w:color w:val="000000"/>
        </w:rPr>
        <w:t xml:space="preserve"> January 16</w:t>
      </w:r>
      <w:r>
        <w:rPr>
          <w:rFonts w:ascii="Book Antiqua" w:hAnsi="Book Antiqua" w:cs="Book Antiqua"/>
          <w:bCs/>
          <w:color w:val="000000"/>
          <w:lang w:eastAsia="zh-CN"/>
        </w:rPr>
        <w:t>, 2022</w:t>
      </w:r>
    </w:p>
    <w:p w14:paraId="774E3610" w14:textId="77777777" w:rsidR="005C6294" w:rsidRDefault="00771FC7">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16, 2022</w:t>
      </w:r>
    </w:p>
    <w:p w14:paraId="0E7D048C" w14:textId="77777777" w:rsidR="005C6294" w:rsidRDefault="00771FC7">
      <w:pPr>
        <w:spacing w:line="360" w:lineRule="auto"/>
        <w:jc w:val="both"/>
        <w:rPr>
          <w:rFonts w:ascii="Book Antiqua" w:eastAsia="宋体" w:hAnsi="Book Antiqua"/>
          <w:lang w:eastAsia="zh-CN"/>
        </w:rPr>
        <w:sectPr w:rsidR="005C6294">
          <w:footerReference w:type="default" r:id="rId6"/>
          <w:pgSz w:w="12240" w:h="15840"/>
          <w:pgMar w:top="1440" w:right="1440" w:bottom="1440" w:left="1440" w:header="0" w:footer="720" w:gutter="0"/>
          <w:cols w:space="720"/>
          <w:formProt w:val="0"/>
          <w:docGrid w:linePitch="360"/>
        </w:sectPr>
      </w:pPr>
      <w:r>
        <w:rPr>
          <w:rFonts w:ascii="Book Antiqua" w:eastAsia="Book Antiqua" w:hAnsi="Book Antiqua" w:cs="Book Antiqua"/>
          <w:b/>
          <w:bCs/>
          <w:color w:val="000000"/>
        </w:rPr>
        <w:t xml:space="preserve">Published online: </w:t>
      </w:r>
      <w:r>
        <w:rPr>
          <w:rFonts w:ascii="Book Antiqua" w:eastAsia="宋体" w:hAnsi="Book Antiqua" w:cs="Book Antiqua" w:hint="eastAsia"/>
          <w:color w:val="000000"/>
          <w:lang w:eastAsia="zh-CN"/>
        </w:rPr>
        <w:t>May 20, 2022</w:t>
      </w:r>
    </w:p>
    <w:p w14:paraId="6D24154C" w14:textId="77777777" w:rsidR="005C6294" w:rsidRDefault="00771FC7">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C51E56B"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BACKGROUND</w:t>
      </w:r>
    </w:p>
    <w:p w14:paraId="0CDB076D"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Several strategies have been implemented to reduce or abolish the life-threatening risk of endoscopic retrograde cholangiopancreatography (ERCP)-related multidrug-resistant infections due to duodenoscopes contaminations; among those strategies, serial micr</w:t>
      </w:r>
      <w:r>
        <w:rPr>
          <w:rFonts w:ascii="Book Antiqua" w:eastAsia="Book Antiqua" w:hAnsi="Book Antiqua" w:cs="Book Antiqua"/>
          <w:color w:val="000000"/>
        </w:rPr>
        <w:t xml:space="preserve">obiologic tests, thorough reprocessing schedules, and use of removable scope cap have been adopted, but the potential cross-infection risk was not eliminated. </w:t>
      </w:r>
    </w:p>
    <w:p w14:paraId="49B89400" w14:textId="77777777" w:rsidR="005C6294" w:rsidRDefault="005C6294">
      <w:pPr>
        <w:spacing w:line="360" w:lineRule="auto"/>
        <w:jc w:val="both"/>
        <w:rPr>
          <w:rFonts w:ascii="Book Antiqua" w:hAnsi="Book Antiqua"/>
        </w:rPr>
      </w:pPr>
    </w:p>
    <w:p w14:paraId="49128EB4"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AIM</w:t>
      </w:r>
    </w:p>
    <w:p w14:paraId="67F96CE6"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To review available evidence in the field of single-use duodenoscopes (SUD) use for ERCP. </w:t>
      </w:r>
    </w:p>
    <w:p w14:paraId="66D3A7C4" w14:textId="77777777" w:rsidR="005C6294" w:rsidRDefault="005C6294">
      <w:pPr>
        <w:spacing w:line="360" w:lineRule="auto"/>
        <w:jc w:val="both"/>
        <w:rPr>
          <w:rFonts w:ascii="Book Antiqua" w:hAnsi="Book Antiqua"/>
        </w:rPr>
      </w:pPr>
    </w:p>
    <w:p w14:paraId="60D7FFD7"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METHODS</w:t>
      </w:r>
    </w:p>
    <w:p w14:paraId="597EBBB0"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An overview on ongoing clinical studies was also performed to delineate which data will become available in the next future. </w:t>
      </w:r>
    </w:p>
    <w:p w14:paraId="6DF32DF2" w14:textId="77777777" w:rsidR="005C6294" w:rsidRDefault="005C6294">
      <w:pPr>
        <w:spacing w:line="360" w:lineRule="auto"/>
        <w:jc w:val="both"/>
        <w:rPr>
          <w:rFonts w:ascii="Book Antiqua" w:hAnsi="Book Antiqua"/>
        </w:rPr>
      </w:pPr>
    </w:p>
    <w:p w14:paraId="2536830B"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RESULTS</w:t>
      </w:r>
    </w:p>
    <w:p w14:paraId="374E06A7"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One bench comparative study and four clinical trials performed with EXALT model-D (Boston Scientific Corp., Unit</w:t>
      </w:r>
      <w:r>
        <w:rPr>
          <w:rFonts w:ascii="Book Antiqua" w:eastAsia="Book Antiqua" w:hAnsi="Book Antiqua" w:cs="Book Antiqua"/>
          <w:color w:val="000000"/>
        </w:rPr>
        <w:t>ed States) have been identified. Of them, one is a randomized controlled trial, while the other three studies are prospective single-arm, cross-over studies. Pooled technical success rate (4 studies, 368 patients) was 92.9% [95% confidence interval (CI): 8</w:t>
      </w:r>
      <w:r>
        <w:rPr>
          <w:rFonts w:ascii="Book Antiqua" w:eastAsia="Book Antiqua" w:hAnsi="Book Antiqua" w:cs="Book Antiqua"/>
          <w:color w:val="000000"/>
        </w:rPr>
        <w:t xml:space="preserve">9.9-95.5;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11.8%]. Pooled serious adverse event (4 studies, 381 patients) rate was 5.9% [3.7%-8.5%;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0.0%].</w:t>
      </w:r>
    </w:p>
    <w:p w14:paraId="4761FD59" w14:textId="77777777" w:rsidR="005C6294" w:rsidRDefault="005C6294">
      <w:pPr>
        <w:spacing w:line="360" w:lineRule="auto"/>
        <w:jc w:val="both"/>
        <w:rPr>
          <w:rFonts w:ascii="Book Antiqua" w:hAnsi="Book Antiqua"/>
        </w:rPr>
      </w:pPr>
    </w:p>
    <w:p w14:paraId="15412084"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CONCLUSION</w:t>
      </w:r>
    </w:p>
    <w:p w14:paraId="7E8931FB"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Although few clinical trials are available, evidence is concordant in identifying an absolute feasibility and safety and feasibili</w:t>
      </w:r>
      <w:r>
        <w:rPr>
          <w:rFonts w:ascii="Book Antiqua" w:eastAsia="Book Antiqua" w:hAnsi="Book Antiqua" w:cs="Book Antiqua"/>
          <w:color w:val="000000"/>
        </w:rPr>
        <w:t>ty for SUD use for ERCP. The expertise and quality of evidence in this field are going to be improved by further large clinical trials;</w:t>
      </w:r>
    </w:p>
    <w:p w14:paraId="704F55B4" w14:textId="77777777" w:rsidR="005C6294" w:rsidRDefault="00771FC7">
      <w:pPr>
        <w:pStyle w:val="ad"/>
        <w:rPr>
          <w:rFonts w:ascii="Book Antiqua" w:hAnsi="Book Antiqua"/>
        </w:rPr>
      </w:pPr>
      <w:r>
        <w:rPr>
          <w:rFonts w:ascii="Book Antiqua" w:eastAsia="Book Antiqua" w:hAnsi="Book Antiqua" w:cs="Book Antiqua"/>
          <w:color w:val="000000"/>
        </w:rPr>
        <w:lastRenderedPageBreak/>
        <w:t xml:space="preserve">data on cost-effectiveness and environmental impact will be needed for a worldwide spread of SUD use for </w:t>
      </w:r>
      <w:r>
        <w:t>endoscopic retr</w:t>
      </w:r>
      <w:r>
        <w:t>ograde cholangiopancreatography (ERCP)</w:t>
      </w:r>
      <w:r>
        <w:rPr>
          <w:rFonts w:ascii="Book Antiqua" w:eastAsia="Book Antiqua" w:hAnsi="Book Antiqua" w:cs="Book Antiqua"/>
          <w:color w:val="000000"/>
        </w:rPr>
        <w:t>.</w:t>
      </w:r>
    </w:p>
    <w:p w14:paraId="2E97CD68" w14:textId="77777777" w:rsidR="005C6294" w:rsidRDefault="005C6294">
      <w:pPr>
        <w:spacing w:line="360" w:lineRule="auto"/>
        <w:jc w:val="both"/>
        <w:rPr>
          <w:rFonts w:ascii="Book Antiqua" w:hAnsi="Book Antiqua"/>
        </w:rPr>
      </w:pPr>
    </w:p>
    <w:p w14:paraId="10AFE1BB" w14:textId="77777777" w:rsidR="005C6294" w:rsidRDefault="00771FC7">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Multidrug; Resistance; Contamination; Infection; Reprocessing; Guidelines</w:t>
      </w:r>
    </w:p>
    <w:p w14:paraId="46737955" w14:textId="77777777" w:rsidR="005C6294" w:rsidRDefault="005C6294">
      <w:pPr>
        <w:spacing w:line="360" w:lineRule="auto"/>
        <w:jc w:val="both"/>
        <w:rPr>
          <w:rFonts w:ascii="Book Antiqua" w:hAnsi="Book Antiqua"/>
        </w:rPr>
      </w:pPr>
    </w:p>
    <w:p w14:paraId="570286C6" w14:textId="77777777" w:rsidR="005C6294" w:rsidRDefault="00771FC7">
      <w:pPr>
        <w:spacing w:line="360" w:lineRule="auto"/>
        <w:jc w:val="both"/>
        <w:rPr>
          <w:rFonts w:ascii="Book Antiqua" w:eastAsia="Book Antiqua" w:hAnsi="Book Antiqua" w:cs="Book Antiqua"/>
          <w:color w:val="000000"/>
        </w:rPr>
      </w:pPr>
      <w:r>
        <w:rPr>
          <w:rFonts w:ascii="Book Antiqua" w:eastAsia="宋体" w:hAnsi="Book Antiqua" w:cs="Book Antiqua" w:hint="eastAsia"/>
          <w:b/>
          <w:bCs/>
          <w:color w:val="000000"/>
          <w:lang w:eastAsia="zh-CN"/>
        </w:rPr>
        <w:t>Citation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it-IT"/>
        </w:rPr>
        <w:t xml:space="preserve">Lisotti A, Fusaroli P, Napoleon B, Cominardi A, Zagari RM. </w:t>
      </w:r>
      <w:r>
        <w:rPr>
          <w:rFonts w:ascii="Book Antiqua" w:eastAsia="Book Antiqua" w:hAnsi="Book Antiqua" w:cs="Book Antiqua"/>
          <w:color w:val="000000"/>
        </w:rPr>
        <w:t xml:space="preserve">Single-use duodenoscopes for the prevention of endoscopic retrograde cholangiopancreatography -related cross-infection – from bench studies to clinical evidence. </w:t>
      </w:r>
      <w:r>
        <w:rPr>
          <w:rFonts w:ascii="Book Antiqua" w:eastAsia="Book Antiqua" w:hAnsi="Book Antiqua" w:cs="Book Antiqua"/>
          <w:i/>
          <w:iCs/>
          <w:color w:val="000000"/>
        </w:rPr>
        <w:t>World J Methodol</w:t>
      </w:r>
      <w:r>
        <w:rPr>
          <w:rFonts w:ascii="Book Antiqua" w:eastAsia="Book Antiqua" w:hAnsi="Book Antiqua" w:cs="Book Antiqua"/>
          <w:color w:val="000000"/>
        </w:rPr>
        <w:t xml:space="preserve"> 2022; </w:t>
      </w:r>
      <w:r>
        <w:rPr>
          <w:rFonts w:ascii="Book Antiqua" w:eastAsia="Book Antiqua" w:hAnsi="Book Antiqua" w:cs="Book Antiqua" w:hint="eastAsia"/>
          <w:color w:val="000000"/>
        </w:rPr>
        <w:t>1</w:t>
      </w:r>
      <w:r>
        <w:rPr>
          <w:rFonts w:ascii="Book Antiqua" w:eastAsia="Book Antiqua" w:hAnsi="Book Antiqua" w:cs="Book Antiqua"/>
          <w:color w:val="000000"/>
          <w:lang w:eastAsia="zh-CN"/>
        </w:rPr>
        <w:t>2</w:t>
      </w:r>
      <w:r>
        <w:rPr>
          <w:rFonts w:ascii="Book Antiqua" w:eastAsia="Book Antiqua" w:hAnsi="Book Antiqua" w:cs="Book Antiqua" w:hint="eastAsia"/>
          <w:color w:val="000000"/>
        </w:rPr>
        <w:t>(</w:t>
      </w:r>
      <w:r>
        <w:rPr>
          <w:rFonts w:ascii="Book Antiqua" w:eastAsia="Book Antiqua" w:hAnsi="Book Antiqua" w:cs="Book Antiqua"/>
          <w:color w:val="000000"/>
          <w:lang w:eastAsia="zh-CN"/>
        </w:rPr>
        <w:t>3</w:t>
      </w:r>
      <w:r>
        <w:rPr>
          <w:rFonts w:ascii="Book Antiqua" w:eastAsia="Book Antiqua" w:hAnsi="Book Antiqua" w:cs="Book Antiqua" w:hint="eastAsia"/>
          <w:color w:val="000000"/>
        </w:rPr>
        <w:t xml:space="preserve">): </w:t>
      </w:r>
      <w:r>
        <w:rPr>
          <w:rFonts w:ascii="Book Antiqua" w:eastAsia="Book Antiqua" w:hAnsi="Book Antiqua" w:cs="Book Antiqua"/>
          <w:color w:val="000000"/>
          <w:lang w:eastAsia="zh-CN" w:bidi="ar"/>
        </w:rPr>
        <w:t>122-131</w:t>
      </w:r>
      <w:r>
        <w:rPr>
          <w:rFonts w:ascii="Book Antiqua" w:eastAsia="Book Antiqua" w:hAnsi="Book Antiqua" w:cs="Book Antiqua" w:hint="eastAsia"/>
          <w:color w:val="000000"/>
        </w:rPr>
        <w:t xml:space="preserve"> </w:t>
      </w:r>
    </w:p>
    <w:p w14:paraId="16F92C0E" w14:textId="77777777" w:rsidR="005C6294" w:rsidRDefault="00771FC7">
      <w:pPr>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https://www.wjgnet.com/2222-0682/full/v1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Pr>
          <w:rFonts w:ascii="Book Antiqua" w:eastAsia="Book Antiqua" w:hAnsi="Book Antiqua" w:cs="Book Antiqua"/>
          <w:color w:val="000000"/>
          <w:lang w:eastAsia="zh-CN" w:bidi="ar"/>
        </w:rPr>
        <w:t>122</w:t>
      </w:r>
      <w:r>
        <w:rPr>
          <w:rFonts w:ascii="Book Antiqua" w:eastAsia="Book Antiqua" w:hAnsi="Book Antiqua" w:cs="Book Antiqua" w:hint="eastAsia"/>
          <w:color w:val="000000"/>
        </w:rPr>
        <w:t xml:space="preserve">.htm </w:t>
      </w:r>
    </w:p>
    <w:p w14:paraId="701BCB8E" w14:textId="77777777" w:rsidR="005C6294" w:rsidRDefault="00771FC7">
      <w:pPr>
        <w:spacing w:line="360" w:lineRule="auto"/>
        <w:jc w:val="both"/>
        <w:rPr>
          <w:rFonts w:ascii="Book Antiqua" w:hAnsi="Book Antiqua"/>
        </w:rPr>
      </w:pPr>
      <w:r>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https://dx.doi.org/10.5662/wjm.v1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Pr>
          <w:rFonts w:ascii="Book Antiqua" w:eastAsia="Book Antiqua" w:hAnsi="Book Antiqua" w:cs="Book Antiqua"/>
          <w:color w:val="000000"/>
          <w:lang w:eastAsia="zh-CN" w:bidi="ar"/>
        </w:rPr>
        <w:t>122</w:t>
      </w:r>
    </w:p>
    <w:p w14:paraId="755D08CF" w14:textId="77777777" w:rsidR="005C6294" w:rsidRDefault="005C6294">
      <w:pPr>
        <w:spacing w:line="360" w:lineRule="auto"/>
        <w:jc w:val="both"/>
        <w:rPr>
          <w:rFonts w:ascii="Book Antiqua" w:hAnsi="Book Antiqua"/>
        </w:rPr>
      </w:pPr>
    </w:p>
    <w:p w14:paraId="0D27E1B7" w14:textId="77777777" w:rsidR="005C6294" w:rsidRDefault="00771FC7">
      <w:pPr>
        <w:pStyle w:val="ad"/>
        <w:spacing w:beforeAutospacing="0" w:afterAutospacing="0"/>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Endoscopic retrograde cholangiopancreatography (ERCP) has significantly changed the management and natural history of patients with biliary and </w:t>
      </w:r>
      <w:r>
        <w:rPr>
          <w:rFonts w:ascii="Book Antiqua" w:eastAsia="Book Antiqua" w:hAnsi="Book Antiqua" w:cs="Book Antiqua"/>
          <w:color w:val="000000"/>
        </w:rPr>
        <w:t xml:space="preserve">pancreatic diseases. While in the past decades ERCP procedure were considered safe and bearing low-risk for exogenous pathogens transmission, the risk of duodenoscopes contaminations and related cross-infection was recently demonstrated and quantified. To </w:t>
      </w:r>
      <w:r>
        <w:rPr>
          <w:rFonts w:ascii="Book Antiqua" w:eastAsia="Book Antiqua" w:hAnsi="Book Antiqua" w:cs="Book Antiqua"/>
          <w:color w:val="000000"/>
        </w:rPr>
        <w:t>overcome this issue, two different single-use duodenoscopes (SUD) have been developed and are commercially available. The sterile packaging and the disposable intent guarantee to avoid exogenous patient-to-patient cross-infections. A systematic review of a</w:t>
      </w:r>
      <w:r>
        <w:rPr>
          <w:rFonts w:ascii="Book Antiqua" w:eastAsia="Book Antiqua" w:hAnsi="Book Antiqua" w:cs="Book Antiqua"/>
          <w:color w:val="000000"/>
        </w:rPr>
        <w:t>ll available clinical evidence on the use of SUD for ERCP was performed, demonstrating an overall pooled safety and efficacy. Although few clinical trials are available, evidence is concordant in identifying an absolute feasibility and safety and feasibili</w:t>
      </w:r>
      <w:r>
        <w:rPr>
          <w:rFonts w:ascii="Book Antiqua" w:eastAsia="Book Antiqua" w:hAnsi="Book Antiqua" w:cs="Book Antiqua"/>
          <w:color w:val="000000"/>
        </w:rPr>
        <w:t xml:space="preserve">ty for </w:t>
      </w:r>
      <w:r>
        <w:t>single-use duodenoscopes (SUD)</w:t>
      </w:r>
    </w:p>
    <w:p w14:paraId="4E0AEE57"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 use for ERCP. Future large clinical trials are ongoing to increase the knowledge and quality of evidence in the field; data on cost-effectiveness and environmental impact will be needed for a worldwide spread of SUD use for ERCP.</w:t>
      </w:r>
    </w:p>
    <w:p w14:paraId="146656AD" w14:textId="77777777" w:rsidR="005C6294" w:rsidRDefault="005C6294">
      <w:pPr>
        <w:spacing w:line="360" w:lineRule="auto"/>
        <w:jc w:val="both"/>
        <w:rPr>
          <w:rFonts w:ascii="Book Antiqua" w:hAnsi="Book Antiqua"/>
        </w:rPr>
      </w:pPr>
    </w:p>
    <w:p w14:paraId="3517E0DF" w14:textId="77777777" w:rsidR="005C6294" w:rsidRDefault="00771FC7">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01AA36D"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Endoscopic </w:t>
      </w:r>
      <w:r>
        <w:rPr>
          <w:rFonts w:ascii="Book Antiqua" w:eastAsia="Book Antiqua" w:hAnsi="Book Antiqua" w:cs="Book Antiqua"/>
          <w:color w:val="000000"/>
        </w:rPr>
        <w:t>retrograde cholangiopancreatography (ERCP) has significantly changed the management and natural history of patients with biliary and pancreatic diseases</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48FC7353"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Millions of ERCP procedures have been performed annually and this worldwide amount is going to co</w:t>
      </w:r>
      <w:r>
        <w:rPr>
          <w:rFonts w:ascii="Book Antiqua" w:eastAsia="Book Antiqua" w:hAnsi="Book Antiqua" w:cs="Book Antiqua"/>
          <w:color w:val="000000"/>
        </w:rPr>
        <w:t xml:space="preserve">nstantly increase due to epidemiological trends of main indications </w:t>
      </w:r>
      <w:r>
        <w:rPr>
          <w:rFonts w:ascii="Book Antiqua" w:eastAsia="Book Antiqua" w:hAnsi="Book Antiqua" w:cs="Book Antiqua"/>
          <w:color w:val="000000"/>
        </w:rPr>
        <w:lastRenderedPageBreak/>
        <w:t>(</w:t>
      </w:r>
      <w:r>
        <w:rPr>
          <w:rFonts w:ascii="Book Antiqua" w:eastAsia="Book Antiqua" w:hAnsi="Book Antiqua" w:cs="Book Antiqua"/>
          <w:i/>
          <w:color w:val="000000"/>
        </w:rPr>
        <w:t>i.e</w:t>
      </w:r>
      <w:r>
        <w:rPr>
          <w:rFonts w:ascii="Book Antiqua" w:eastAsia="Book Antiqua" w:hAnsi="Book Antiqua" w:cs="Book Antiqua"/>
          <w:color w:val="000000"/>
        </w:rPr>
        <w:t>., biliary stone disease, malignant biliary obstruction), aging of population, and increasing therapeutic applications</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t>
      </w:r>
    </w:p>
    <w:p w14:paraId="17E11231"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In recent years, several outbreaks of multi-drug resistant</w:t>
      </w:r>
      <w:r>
        <w:rPr>
          <w:rFonts w:ascii="Book Antiqua" w:eastAsia="Book Antiqua" w:hAnsi="Book Antiqua" w:cs="Book Antiqua"/>
          <w:color w:val="000000"/>
        </w:rPr>
        <w:t xml:space="preserve"> ERCP-related infections have been reported; main risk factors for ERCP-related infections are patients’ immunocompromised status and interventional procedures, such as biliary stenting for intrahepatic strictures</w:t>
      </w:r>
      <w:r>
        <w:rPr>
          <w:rFonts w:ascii="Book Antiqua" w:eastAsia="Book Antiqua" w:hAnsi="Book Antiqua" w:cs="Book Antiqua"/>
          <w:color w:val="000000"/>
          <w:vertAlign w:val="superscript"/>
        </w:rPr>
        <w:t>[6,7]</w:t>
      </w:r>
      <w:r>
        <w:rPr>
          <w:rFonts w:ascii="Book Antiqua" w:eastAsia="Book Antiqua" w:hAnsi="Book Antiqua" w:cs="Book Antiqua"/>
          <w:color w:val="000000"/>
        </w:rPr>
        <w:t>. Contamination of the biliary tract f</w:t>
      </w:r>
      <w:r>
        <w:rPr>
          <w:rFonts w:ascii="Book Antiqua" w:eastAsia="Book Antiqua" w:hAnsi="Book Antiqua" w:cs="Book Antiqua"/>
          <w:color w:val="000000"/>
        </w:rPr>
        <w:t>rom endogenous gut microbiota bacteria is responsible for the vast majority of post-ERCP infections. However, several issues related to multidrug resistant infections related to duodenoscope contaminations have been reported (</w:t>
      </w:r>
      <w:r>
        <w:rPr>
          <w:rFonts w:ascii="Book Antiqua" w:eastAsia="Book Antiqua" w:hAnsi="Book Antiqua" w:cs="Book Antiqua"/>
          <w:i/>
          <w:color w:val="000000"/>
        </w:rPr>
        <w:t>i.e</w:t>
      </w:r>
      <w:r>
        <w:rPr>
          <w:rFonts w:ascii="Book Antiqua" w:eastAsia="Book Antiqua" w:hAnsi="Book Antiqua" w:cs="Book Antiqua"/>
          <w:color w:val="000000"/>
        </w:rPr>
        <w:t xml:space="preserve">. </w:t>
      </w:r>
      <w:r>
        <w:rPr>
          <w:rFonts w:ascii="Book Antiqua" w:eastAsia="Book Antiqua" w:hAnsi="Book Antiqua" w:cs="Book Antiqua"/>
          <w:i/>
          <w:iCs/>
          <w:color w:val="000000"/>
        </w:rPr>
        <w:t>P. aeruginosa</w:t>
      </w:r>
      <w:r>
        <w:rPr>
          <w:rFonts w:ascii="Book Antiqua" w:eastAsia="Book Antiqua" w:hAnsi="Book Antiqua" w:cs="Book Antiqua"/>
          <w:color w:val="000000"/>
        </w:rPr>
        <w:t xml:space="preserve"> and carbape</w:t>
      </w:r>
      <w:r>
        <w:rPr>
          <w:rFonts w:ascii="Book Antiqua" w:eastAsia="Book Antiqua" w:hAnsi="Book Antiqua" w:cs="Book Antiqua"/>
          <w:color w:val="000000"/>
        </w:rPr>
        <w:t>nem-resistant enterobacteriaceae)</w:t>
      </w:r>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3083AFE1"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 xml:space="preserve">While in the past decades ERCP procedure were considered safe and bearing low-risk for exogenous pathogens transmission, the risk of duodenoscopes contaminations and related cross-infection was recently demonstrated </w:t>
      </w:r>
      <w:r>
        <w:rPr>
          <w:rFonts w:ascii="Book Antiqua" w:eastAsia="Book Antiqua" w:hAnsi="Book Antiqua" w:cs="Book Antiqua"/>
          <w:color w:val="000000"/>
        </w:rPr>
        <w:t>and quantified</w:t>
      </w:r>
      <w:r>
        <w:rPr>
          <w:rFonts w:ascii="Book Antiqua" w:eastAsia="Book Antiqua" w:hAnsi="Book Antiqua" w:cs="Book Antiqua"/>
          <w:color w:val="000000"/>
          <w:vertAlign w:val="superscript"/>
        </w:rPr>
        <w:t>[10-12]</w:t>
      </w:r>
      <w:r>
        <w:rPr>
          <w:rFonts w:ascii="Book Antiqua" w:eastAsia="Book Antiqua" w:hAnsi="Book Antiqua" w:cs="Book Antiqua"/>
          <w:color w:val="000000"/>
        </w:rPr>
        <w:t>.</w:t>
      </w:r>
    </w:p>
    <w:p w14:paraId="46FF088E"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 xml:space="preserve">Food and Drug Administration alerted physicians’ community about duodenoscope-related infections in 2015. The peculiar design of these side-viewing instruments was identified as the potential sources of contamination. Indeed, in the </w:t>
      </w:r>
      <w:r>
        <w:rPr>
          <w:rFonts w:ascii="Book Antiqua" w:eastAsia="Book Antiqua" w:hAnsi="Book Antiqua" w:cs="Book Antiqua"/>
          <w:color w:val="000000"/>
        </w:rPr>
        <w:t>tip of the scope is allocated the elevator mechanism with his dedicated cable passing through the scope body; this complex mechanism, despite adequate procedures, is difficult to accurately clean making reprocessing more challenging due to the possible for</w:t>
      </w:r>
      <w:r>
        <w:rPr>
          <w:rFonts w:ascii="Book Antiqua" w:eastAsia="Book Antiqua" w:hAnsi="Book Antiqua" w:cs="Book Antiqua"/>
          <w:color w:val="000000"/>
        </w:rPr>
        <w:t>mation of bacteria-containing biofilm</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40F803CE"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Post-market studies conducted by main manufacturers demonstrated an unexpected higher rate of duodenoscope contamination. A recent meta-analysis tried to overcome the lack of data and quantify the risk of cross-in</w:t>
      </w:r>
      <w:r>
        <w:rPr>
          <w:rFonts w:ascii="Book Antiqua" w:eastAsia="Book Antiqua" w:hAnsi="Book Antiqua" w:cs="Book Antiqua"/>
          <w:color w:val="000000"/>
        </w:rPr>
        <w:t>fection in ready-to-use duodenoscopes. A pooled contamination rates up to 15% was identified and none of the available standard reprocessing protocols are able to correctly clean these instruments</w:t>
      </w:r>
      <w:r>
        <w:rPr>
          <w:rFonts w:ascii="Book Antiqua" w:eastAsia="Book Antiqua" w:hAnsi="Book Antiqua" w:cs="Book Antiqua"/>
          <w:color w:val="000000"/>
          <w:vertAlign w:val="superscript"/>
        </w:rPr>
        <w:t>[14,15]</w:t>
      </w:r>
      <w:r>
        <w:rPr>
          <w:rFonts w:ascii="Book Antiqua" w:eastAsia="Book Antiqua" w:hAnsi="Book Antiqua" w:cs="Book Antiqua"/>
          <w:color w:val="000000"/>
        </w:rPr>
        <w:t>.</w:t>
      </w:r>
    </w:p>
    <w:p w14:paraId="05B6D5F9"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Several strategies have been proposed to overcome d</w:t>
      </w:r>
      <w:r>
        <w:rPr>
          <w:rFonts w:ascii="Book Antiqua" w:eastAsia="Book Antiqua" w:hAnsi="Book Antiqua" w:cs="Book Antiqua"/>
          <w:color w:val="000000"/>
        </w:rPr>
        <w:t>uodenoscope-related infections, such as deep bacterial coltures, improved protocol for reprocessing, and avoiding the use of scopes with fixed cap to allow decontamination. Unfortunately, duodenoscope contaminations could not be avoided with these strategi</w:t>
      </w:r>
      <w:r>
        <w:rPr>
          <w:rFonts w:ascii="Book Antiqua" w:eastAsia="Book Antiqua" w:hAnsi="Book Antiqua" w:cs="Book Antiqua"/>
          <w:color w:val="000000"/>
        </w:rPr>
        <w:t>es</w:t>
      </w:r>
      <w:r>
        <w:rPr>
          <w:rFonts w:ascii="Book Antiqua" w:eastAsia="Book Antiqua" w:hAnsi="Book Antiqua" w:cs="Book Antiqua"/>
          <w:color w:val="000000"/>
          <w:vertAlign w:val="superscript"/>
        </w:rPr>
        <w:t>[16-19]</w:t>
      </w:r>
      <w:r>
        <w:rPr>
          <w:rFonts w:ascii="Book Antiqua" w:eastAsia="Book Antiqua" w:hAnsi="Book Antiqua" w:cs="Book Antiqua"/>
          <w:color w:val="000000"/>
        </w:rPr>
        <w:t>.</w:t>
      </w:r>
    </w:p>
    <w:p w14:paraId="523B66A8"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lastRenderedPageBreak/>
        <w:t>Four reusable duodenoscopes with detachable cap are available, from three manufacturers. For a detailed focus on this field, a recent American Society for Gastrointestinal Endoscopy (ASGE) practice guideline was published</w:t>
      </w:r>
      <w:r>
        <w:rPr>
          <w:rFonts w:ascii="Book Antiqua" w:eastAsia="Book Antiqua" w:hAnsi="Book Antiqua" w:cs="Book Antiqua"/>
          <w:color w:val="000000"/>
          <w:vertAlign w:val="superscript"/>
        </w:rPr>
        <w:t>[4,20]</w:t>
      </w:r>
      <w:r>
        <w:rPr>
          <w:rFonts w:ascii="Book Antiqua" w:eastAsia="Book Antiqua" w:hAnsi="Book Antiqua" w:cs="Book Antiqua"/>
          <w:color w:val="000000"/>
        </w:rPr>
        <w:t xml:space="preserve">. </w:t>
      </w:r>
    </w:p>
    <w:p w14:paraId="4BDE1385"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Two different s</w:t>
      </w:r>
      <w:r>
        <w:rPr>
          <w:rFonts w:ascii="Book Antiqua" w:eastAsia="Book Antiqua" w:hAnsi="Book Antiqua" w:cs="Book Antiqua"/>
          <w:color w:val="000000"/>
        </w:rPr>
        <w:t>ingle-use duodenoscopes (SUD) are commercially available in the US. The sterile single-use package allow the avoidance of exogenous contaminations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219FC303"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The aim of this study was to perform a systematic review of all available clinical evidence on the use of</w:t>
      </w:r>
      <w:r>
        <w:rPr>
          <w:rFonts w:ascii="Book Antiqua" w:eastAsia="Book Antiqua" w:hAnsi="Book Antiqua" w:cs="Book Antiqua"/>
          <w:color w:val="000000"/>
        </w:rPr>
        <w:t xml:space="preserve"> SUD for ERCP.</w:t>
      </w:r>
    </w:p>
    <w:p w14:paraId="090920EF" w14:textId="77777777" w:rsidR="005C6294" w:rsidRDefault="005C6294">
      <w:pPr>
        <w:spacing w:line="360" w:lineRule="auto"/>
        <w:jc w:val="both"/>
        <w:rPr>
          <w:rFonts w:ascii="Book Antiqua" w:hAnsi="Book Antiqua"/>
        </w:rPr>
      </w:pPr>
    </w:p>
    <w:p w14:paraId="3E41384E" w14:textId="77777777" w:rsidR="005C6294" w:rsidRDefault="00771FC7">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6719ED1D" w14:textId="77777777" w:rsidR="005C6294" w:rsidRDefault="00771FC7">
      <w:pPr>
        <w:spacing w:line="360" w:lineRule="auto"/>
        <w:jc w:val="both"/>
        <w:rPr>
          <w:rFonts w:ascii="Book Antiqua" w:hAnsi="Book Antiqua"/>
        </w:rPr>
      </w:pPr>
      <w:r>
        <w:rPr>
          <w:rFonts w:ascii="Book Antiqua" w:eastAsia="Book Antiqua" w:hAnsi="Book Antiqua" w:cs="Book Antiqua"/>
          <w:b/>
          <w:bCs/>
          <w:i/>
          <w:iCs/>
          <w:color w:val="000000"/>
        </w:rPr>
        <w:t>Study selection</w:t>
      </w:r>
    </w:p>
    <w:p w14:paraId="68AA5723"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A systematic literature research was performed through MEDLINE using Pubmed, Google Scholar, and Embase interfaces at the end of November 2021. The search queries were ("duodenoscope"[all fields] OR "si</w:t>
      </w:r>
      <w:r>
        <w:rPr>
          <w:rFonts w:ascii="Book Antiqua" w:eastAsia="Book Antiqua" w:hAnsi="Book Antiqua" w:cs="Book Antiqua"/>
          <w:color w:val="000000"/>
        </w:rPr>
        <w:t>ngle-use"[all fields] OR "disposable"[all fields]) AND "ERCP"[all fields]). Institutional Review Board evaluation for this purpose was not required. Relevant studies were independently analyzed by two authors (AL, RMZ).</w:t>
      </w:r>
    </w:p>
    <w:p w14:paraId="69DDBF3E"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Inclusion criteria were: (1) Populat</w:t>
      </w:r>
      <w:r>
        <w:rPr>
          <w:rFonts w:ascii="Book Antiqua" w:eastAsia="Book Antiqua" w:hAnsi="Book Antiqua" w:cs="Book Antiqua"/>
          <w:color w:val="000000"/>
        </w:rPr>
        <w:t xml:space="preserve">ion: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ll adult individuals who underwent ERCP; (2) Interventions: SUD use for ERCP; (3) Objectives: Technical success (amount of successfully-completed procedures with SUD among all procedures); and (4) safety: Incidence of ERCP-related </w:t>
      </w:r>
      <w:r>
        <w:rPr>
          <w:rFonts w:ascii="Book Antiqua" w:eastAsia="Book Antiqua" w:hAnsi="Book Antiqua" w:cs="Book Antiqua"/>
          <w:color w:val="000000"/>
        </w:rPr>
        <w:t>complications.</w:t>
      </w:r>
    </w:p>
    <w:p w14:paraId="7AFE8C14" w14:textId="77777777" w:rsidR="005C6294" w:rsidRDefault="005C6294">
      <w:pPr>
        <w:spacing w:line="360" w:lineRule="auto"/>
        <w:jc w:val="both"/>
        <w:rPr>
          <w:rFonts w:ascii="Book Antiqua" w:hAnsi="Book Antiqua"/>
        </w:rPr>
      </w:pPr>
    </w:p>
    <w:p w14:paraId="1250E450" w14:textId="77777777" w:rsidR="005C6294" w:rsidRDefault="00771FC7">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44538D15"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Technical success rate and other aims were pooled through a random-effects model based on DerSimonian and Laird test. Heterogeneity was estimated using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tests: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less than 30% was considered low, while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&gt; 30% but &lt; 60% was considered weak. Funnel plot</w:t>
      </w:r>
      <w:r>
        <w:rPr>
          <w:rFonts w:ascii="Book Antiqua" w:eastAsia="Book Antiqua" w:hAnsi="Book Antiqua" w:cs="Book Antiqua"/>
          <w:color w:val="000000"/>
        </w:rPr>
        <w:t>s inspection was used to assess possible publication bias.</w:t>
      </w:r>
    </w:p>
    <w:p w14:paraId="54582510"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 xml:space="preserve">Main objective was the technical success, (completed ERCP using SUD among the entire amount conducted). Secondary objectives were adverse events (AEs). </w:t>
      </w:r>
    </w:p>
    <w:p w14:paraId="5492A6C3"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Statistical analysis was performed with MedC</w:t>
      </w:r>
      <w:r>
        <w:rPr>
          <w:rFonts w:ascii="Book Antiqua" w:eastAsia="Book Antiqua" w:hAnsi="Book Antiqua" w:cs="Book Antiqua"/>
          <w:color w:val="000000"/>
        </w:rPr>
        <w:t>alc package v20 (MedCalc Software Ltd, Ostend, Belgium; https://www.medcalc.org; 2021).</w:t>
      </w:r>
    </w:p>
    <w:p w14:paraId="1914596A" w14:textId="77777777" w:rsidR="005C6294" w:rsidRDefault="005C6294">
      <w:pPr>
        <w:spacing w:line="360" w:lineRule="auto"/>
        <w:jc w:val="both"/>
        <w:rPr>
          <w:rFonts w:ascii="Book Antiqua" w:hAnsi="Book Antiqua"/>
        </w:rPr>
      </w:pPr>
    </w:p>
    <w:p w14:paraId="3CB6F16E" w14:textId="77777777" w:rsidR="005C6294" w:rsidRDefault="00771FC7">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158CC19" w14:textId="77777777" w:rsidR="005C6294" w:rsidRDefault="00771FC7">
      <w:pPr>
        <w:spacing w:line="360" w:lineRule="auto"/>
        <w:jc w:val="both"/>
        <w:rPr>
          <w:rFonts w:ascii="Book Antiqua" w:hAnsi="Book Antiqua"/>
        </w:rPr>
      </w:pPr>
      <w:r>
        <w:rPr>
          <w:rFonts w:ascii="Book Antiqua" w:eastAsia="Book Antiqua" w:hAnsi="Book Antiqua" w:cs="Book Antiqua"/>
          <w:b/>
          <w:bCs/>
          <w:i/>
          <w:iCs/>
          <w:color w:val="000000"/>
        </w:rPr>
        <w:t>Development of single use duodenoscopes</w:t>
      </w:r>
    </w:p>
    <w:p w14:paraId="569AAB54"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In 2017, several animal studies on porcine and canine models have been conducted with ERCP experts, to evaluate duodeno</w:t>
      </w:r>
      <w:r>
        <w:rPr>
          <w:rFonts w:ascii="Book Antiqua" w:eastAsia="Book Antiqua" w:hAnsi="Book Antiqua" w:cs="Book Antiqua"/>
          <w:color w:val="000000"/>
        </w:rPr>
        <w:t>scope prototypes. Simulated ERCP procedures have been tested with the SUD prototype (Boston Scientific, United States) and a reusable duodenoscope. Involved physicians were asked to rate specific endoscopes tasks qualitatively and quantitatively. These pre</w:t>
      </w:r>
      <w:r>
        <w:rPr>
          <w:rFonts w:ascii="Book Antiqua" w:eastAsia="Book Antiqua" w:hAnsi="Book Antiqua" w:cs="Book Antiqua"/>
          <w:color w:val="000000"/>
        </w:rPr>
        <w:t>-clinical tests allowed the development of the EXALT model-D by Boston Scientific</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06ABA3F7" w14:textId="77777777" w:rsidR="005C6294" w:rsidRDefault="005C6294">
      <w:pPr>
        <w:spacing w:line="360" w:lineRule="auto"/>
        <w:jc w:val="both"/>
        <w:rPr>
          <w:rFonts w:ascii="Book Antiqua" w:hAnsi="Book Antiqua"/>
        </w:rPr>
      </w:pPr>
    </w:p>
    <w:p w14:paraId="01BDE42C" w14:textId="77777777" w:rsidR="005C6294" w:rsidRDefault="00771FC7">
      <w:pPr>
        <w:spacing w:line="360" w:lineRule="auto"/>
        <w:jc w:val="both"/>
        <w:rPr>
          <w:rFonts w:ascii="Book Antiqua" w:hAnsi="Book Antiqua"/>
        </w:rPr>
      </w:pPr>
      <w:r>
        <w:rPr>
          <w:rFonts w:ascii="Book Antiqua" w:eastAsia="Book Antiqua" w:hAnsi="Book Antiqua" w:cs="Book Antiqua"/>
          <w:b/>
          <w:bCs/>
          <w:i/>
          <w:iCs/>
          <w:color w:val="000000"/>
        </w:rPr>
        <w:t>Bench model comparison</w:t>
      </w:r>
    </w:p>
    <w:p w14:paraId="6CE70A41"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In 2019, ERCP experts from United States completed the first comparative study on two simulators. Three reusable duodenoscopes from the major com</w:t>
      </w:r>
      <w:r>
        <w:rPr>
          <w:rFonts w:ascii="Book Antiqua" w:eastAsia="Book Antiqua" w:hAnsi="Book Antiqua" w:cs="Book Antiqua"/>
          <w:color w:val="000000"/>
        </w:rPr>
        <w:t>panies in the field (Olympus Corp., Japan, Pentax Corp., Japan and Fujifilm Holdings Corp., Japan) were compared to EXALT-D using a 0-10 score in four different tasks (and 14 sub-tasks): Guidewire locking with elevator, plastic and metal stents placement a</w:t>
      </w:r>
      <w:r>
        <w:rPr>
          <w:rFonts w:ascii="Book Antiqua" w:eastAsia="Book Antiqua" w:hAnsi="Book Antiqua" w:cs="Book Antiqua"/>
          <w:color w:val="000000"/>
        </w:rPr>
        <w:t xml:space="preserve">nd removal, and Dormia Basket passage. The technical success rate for each task and time to achieve the completion was recorded and compared. </w:t>
      </w:r>
    </w:p>
    <w:p w14:paraId="76814823"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The results of this bench study showed that EXALT-D SUD showed similar overall performance, task completion times</w:t>
      </w:r>
      <w:r>
        <w:rPr>
          <w:rFonts w:ascii="Book Antiqua" w:eastAsia="Book Antiqua" w:hAnsi="Book Antiqua" w:cs="Book Antiqua"/>
          <w:color w:val="000000"/>
        </w:rPr>
        <w:t>, tip control and guidewire locking to three different reusable duodenoscopes. Moreover, mechanical scope navigation and image quality was considered excellent (≥ 8 on a scale of 10)</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p>
    <w:p w14:paraId="58B96677" w14:textId="77777777" w:rsidR="005C6294" w:rsidRDefault="005C6294">
      <w:pPr>
        <w:spacing w:line="360" w:lineRule="auto"/>
        <w:jc w:val="both"/>
        <w:rPr>
          <w:rFonts w:ascii="Book Antiqua" w:hAnsi="Book Antiqua"/>
        </w:rPr>
      </w:pPr>
    </w:p>
    <w:p w14:paraId="5B9CD7E4" w14:textId="77777777" w:rsidR="005C6294" w:rsidRDefault="00771FC7">
      <w:pPr>
        <w:spacing w:line="360" w:lineRule="auto"/>
        <w:jc w:val="both"/>
        <w:rPr>
          <w:rFonts w:ascii="Book Antiqua" w:hAnsi="Book Antiqua"/>
        </w:rPr>
      </w:pPr>
      <w:r>
        <w:rPr>
          <w:rFonts w:ascii="Book Antiqua" w:eastAsia="Book Antiqua" w:hAnsi="Book Antiqua" w:cs="Book Antiqua"/>
          <w:b/>
          <w:bCs/>
          <w:i/>
          <w:iCs/>
          <w:color w:val="000000"/>
        </w:rPr>
        <w:t>Clinical studies</w:t>
      </w:r>
    </w:p>
    <w:p w14:paraId="2B133EEA"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Four studies have been conducted since the introd</w:t>
      </w:r>
      <w:r>
        <w:rPr>
          <w:rFonts w:ascii="Book Antiqua" w:eastAsia="Book Antiqua" w:hAnsi="Book Antiqua" w:cs="Book Antiqua"/>
          <w:color w:val="000000"/>
        </w:rPr>
        <w:t>uction of SUD (study flow diagram according to PRISMA 2009 guidelines is shown in Figure 1); studies are summarized in Table 1.</w:t>
      </w:r>
    </w:p>
    <w:p w14:paraId="1C615EDE"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 xml:space="preserve">Muthusamy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conducted in April-May 2019 a multicenter study involving ten US centers and seven ERCP experts; 73 consecut</w:t>
      </w:r>
      <w:r>
        <w:rPr>
          <w:rFonts w:ascii="Book Antiqua" w:eastAsia="Book Antiqua" w:hAnsi="Book Antiqua" w:cs="Book Antiqua"/>
          <w:color w:val="000000"/>
        </w:rPr>
        <w:t xml:space="preserve">ive patients undergoing ERCP have been </w:t>
      </w:r>
      <w:r>
        <w:rPr>
          <w:rFonts w:ascii="Book Antiqua" w:eastAsia="Book Antiqua" w:hAnsi="Book Antiqua" w:cs="Book Antiqua"/>
          <w:color w:val="000000"/>
        </w:rPr>
        <w:lastRenderedPageBreak/>
        <w:t>enrolled. Thirteen patients entered a running “first-in-men study” evaluating the feasibility of ERCP maneuvers. All these “roll-in” procedures (100%) have been successfully completed and the operators stated that the</w:t>
      </w:r>
      <w:r>
        <w:rPr>
          <w:rFonts w:ascii="Book Antiqua" w:eastAsia="Book Antiqua" w:hAnsi="Book Antiqua" w:cs="Book Antiqua"/>
          <w:color w:val="000000"/>
        </w:rPr>
        <w:t>y feel confident to extremely-confident in performing ERCP with the SUD.</w:t>
      </w:r>
    </w:p>
    <w:p w14:paraId="5E81258A"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Sixty consecutive patients have been subsequently enrolled in the study. Most patients (61.7%) were male with a mean age of 64.4 ± 14.1 years. Most cases (73.3%) had a medical history</w:t>
      </w:r>
      <w:r>
        <w:rPr>
          <w:rFonts w:ascii="Book Antiqua" w:eastAsia="Book Antiqua" w:hAnsi="Book Antiqua" w:cs="Book Antiqua"/>
          <w:color w:val="000000"/>
        </w:rPr>
        <w:t xml:space="preserve"> of previous ERCP. In two cases (3.3%), cross-over to a reusable duodenoscope was required due to ERCP technical failure. In one case (tight intrahepatic stricture dilation in a patient with sclerosing cholangitis) the use of a reusable duodenoscope allowe</w:t>
      </w:r>
      <w:r>
        <w:rPr>
          <w:rFonts w:ascii="Book Antiqua" w:eastAsia="Book Antiqua" w:hAnsi="Book Antiqua" w:cs="Book Antiqua"/>
          <w:color w:val="000000"/>
        </w:rPr>
        <w:t>d a successful ERCP completion; in one case, papilla showed neoplastic infiltration.</w:t>
      </w:r>
    </w:p>
    <w:p w14:paraId="1B8A167F"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 xml:space="preserve">Between January and March 2020, Bang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randomized 98 patients to underwent ERCP with a reusable duodenoscope (TJF-180, Olympus America Inc., United States) or a SU</w:t>
      </w:r>
      <w:r>
        <w:rPr>
          <w:rFonts w:ascii="Book Antiqua" w:eastAsia="Book Antiqua" w:hAnsi="Book Antiqua" w:cs="Book Antiqua"/>
          <w:color w:val="000000"/>
        </w:rPr>
        <w:t>D (EXALT-D, Boston Scientific, United States). Forty-eight patients (54.2% male, 67.2 ± 14.1-year-old) were allocated to the SUD arm and compared to 50 patients (46.0% male, 60.8 ± 18.2-year-old) of the reusable duodenoscope arm; no patient had previous ER</w:t>
      </w:r>
      <w:r>
        <w:rPr>
          <w:rFonts w:ascii="Book Antiqua" w:eastAsia="Book Antiqua" w:hAnsi="Book Antiqua" w:cs="Book Antiqua"/>
          <w:color w:val="000000"/>
        </w:rPr>
        <w:t xml:space="preserve">CP or bilio-pancreatic intervention. The Authors observed comparable selective cannulation rate (95.8% </w:t>
      </w:r>
      <w:r>
        <w:rPr>
          <w:rFonts w:ascii="Book Antiqua" w:eastAsia="Book Antiqua" w:hAnsi="Book Antiqua" w:cs="Book Antiqua"/>
          <w:i/>
          <w:color w:val="000000"/>
        </w:rPr>
        <w:t>vs</w:t>
      </w:r>
      <w:r>
        <w:rPr>
          <w:rFonts w:ascii="Book Antiqua" w:eastAsia="Book Antiqua" w:hAnsi="Book Antiqua" w:cs="Book Antiqua"/>
          <w:color w:val="000000"/>
        </w:rPr>
        <w:t xml:space="preserve"> 100%), with similar time to reach the papilla (20 </w:t>
      </w:r>
      <w:r>
        <w:rPr>
          <w:rFonts w:ascii="Book Antiqua" w:eastAsia="Book Antiqua" w:hAnsi="Book Antiqua" w:cs="Book Antiqua"/>
          <w:i/>
          <w:color w:val="000000"/>
        </w:rPr>
        <w:t>vs</w:t>
      </w:r>
      <w:r>
        <w:rPr>
          <w:rFonts w:ascii="Book Antiqua" w:eastAsia="Book Antiqua" w:hAnsi="Book Antiqua" w:cs="Book Antiqua"/>
          <w:color w:val="000000"/>
        </w:rPr>
        <w:t xml:space="preserve"> 20 sec); the authors observed that the number of attempt (2 </w:t>
      </w:r>
      <w:r>
        <w:rPr>
          <w:rFonts w:ascii="Book Antiqua" w:eastAsia="Book Antiqua" w:hAnsi="Book Antiqua" w:cs="Book Antiqua"/>
          <w:i/>
          <w:color w:val="000000"/>
        </w:rPr>
        <w:t>vs</w:t>
      </w:r>
      <w:r>
        <w:rPr>
          <w:rFonts w:ascii="Book Antiqua" w:eastAsia="Book Antiqua" w:hAnsi="Book Antiqua" w:cs="Book Antiqua"/>
          <w:color w:val="000000"/>
        </w:rPr>
        <w:t xml:space="preserve"> 5) and time to achieve selective biliary cannulation (35 </w:t>
      </w:r>
      <w:r>
        <w:rPr>
          <w:rFonts w:ascii="Book Antiqua" w:eastAsia="Book Antiqua" w:hAnsi="Book Antiqua" w:cs="Book Antiqua"/>
          <w:i/>
          <w:color w:val="000000"/>
        </w:rPr>
        <w:t>vs</w:t>
      </w:r>
      <w:r>
        <w:rPr>
          <w:rFonts w:ascii="Book Antiqua" w:eastAsia="Book Antiqua" w:hAnsi="Book Antiqua" w:cs="Book Antiqua"/>
          <w:color w:val="000000"/>
        </w:rPr>
        <w:t xml:space="preserve"> 99 sec) were significantly lower in the SUD group.</w:t>
      </w:r>
    </w:p>
    <w:p w14:paraId="1B8DC72D"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 xml:space="preserve">Napoléon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have recently published the first study conducted outside the </w:t>
      </w:r>
      <w:r>
        <w:rPr>
          <w:rFonts w:ascii="Book Antiqua" w:eastAsia="Book Antiqua" w:hAnsi="Book Antiqua" w:cs="Book Antiqua"/>
          <w:color w:val="000000"/>
        </w:rPr>
        <w:t>US. In this French multicenter study involving six centres, 60 patients (43.3% male, median 65.5</w:t>
      </w:r>
      <w:r>
        <w:rPr>
          <w:rFonts w:ascii="Book Antiqua" w:eastAsia="Book Antiqua" w:hAnsi="Book Antiqua" w:cs="Book Antiqua"/>
          <w:color w:val="000000"/>
          <w:vertAlign w:val="superscript"/>
        </w:rPr>
        <w:t>[55-76]</w:t>
      </w:r>
      <w:r>
        <w:rPr>
          <w:rFonts w:ascii="Book Antiqua" w:eastAsia="Book Antiqua" w:hAnsi="Book Antiqua" w:cs="Book Antiqua"/>
          <w:color w:val="000000"/>
        </w:rPr>
        <w:t xml:space="preserve"> year-old) were prospectively enrolled. 95% of the procedures were successfully completed with the SUD, while in three cases the Authors switched to a re</w:t>
      </w:r>
      <w:r>
        <w:rPr>
          <w:rFonts w:ascii="Book Antiqua" w:eastAsia="Book Antiqua" w:hAnsi="Book Antiqua" w:cs="Book Antiqua"/>
          <w:color w:val="000000"/>
        </w:rPr>
        <w:t>usable duodenoscope. In these 3 cases, ERCP could not be completed even with the use of a reusable duodenoscope because of a complete duodenal stricture, a neoplastic infiltration of the ampullary region and a complete biliary stricture; these patients wer</w:t>
      </w:r>
      <w:r>
        <w:rPr>
          <w:rFonts w:ascii="Book Antiqua" w:eastAsia="Book Antiqua" w:hAnsi="Book Antiqua" w:cs="Book Antiqua"/>
          <w:color w:val="000000"/>
        </w:rPr>
        <w:t xml:space="preserve">e treated with surgery, EUS- hepaticogastrostomy and percutaneous trans-hepatic drainage, respectively. In this study, 46.7% of patients had previous ERCP. Among the remaining </w:t>
      </w:r>
      <w:r>
        <w:rPr>
          <w:rFonts w:ascii="Book Antiqua" w:eastAsia="Book Antiqua" w:hAnsi="Book Antiqua" w:cs="Book Antiqua"/>
          <w:color w:val="000000"/>
        </w:rPr>
        <w:lastRenderedPageBreak/>
        <w:t>cases, selective biliary cannulation was achieved in 93.8% of cases, after a med</w:t>
      </w:r>
      <w:r>
        <w:rPr>
          <w:rFonts w:ascii="Book Antiqua" w:eastAsia="Book Antiqua" w:hAnsi="Book Antiqua" w:cs="Book Antiqua"/>
          <w:color w:val="000000"/>
        </w:rPr>
        <w:t>ian of 1 minute and 1.5 guidewire attempts</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291ED64D"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 xml:space="preserve">The results of a large prospective study, conducted in United States, have been published by Slivka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The Authors enrolled 200 patients undergoing ERCP for various indications; in fact, 40.5% of ERCP</w:t>
      </w:r>
      <w:r>
        <w:rPr>
          <w:rFonts w:ascii="Book Antiqua" w:eastAsia="Book Antiqua" w:hAnsi="Book Antiqua" w:cs="Book Antiqua"/>
          <w:color w:val="000000"/>
        </w:rPr>
        <w:t xml:space="preserve"> procedures presented high complexity (ASGE 3-4). The Authors reported an overall 90.5% technical success rate. Interestingly, this is the first study that included not only expert operators (defined as &gt; 2000 lifetime ERCP performed), but also five “non-e</w:t>
      </w:r>
      <w:r>
        <w:rPr>
          <w:rFonts w:ascii="Book Antiqua" w:eastAsia="Book Antiqua" w:hAnsi="Book Antiqua" w:cs="Book Antiqua"/>
          <w:color w:val="000000"/>
        </w:rPr>
        <w:t xml:space="preserve">xpert” operators. The Authors observed that the crossover to a reusable duodenoscope rate (2.5% </w:t>
      </w:r>
      <w:r>
        <w:rPr>
          <w:rFonts w:ascii="Book Antiqua" w:eastAsia="Book Antiqua" w:hAnsi="Book Antiqua" w:cs="Book Antiqua"/>
          <w:i/>
          <w:iCs/>
          <w:color w:val="000000"/>
        </w:rPr>
        <w:t>vs</w:t>
      </w:r>
      <w:r>
        <w:rPr>
          <w:rFonts w:ascii="Book Antiqua" w:eastAsia="Book Antiqua" w:hAnsi="Book Antiqua" w:cs="Book Antiqua"/>
          <w:color w:val="000000"/>
        </w:rPr>
        <w:t xml:space="preserve"> 11.3%), the ERCP completion rate (97.5% </w:t>
      </w:r>
      <w:r>
        <w:rPr>
          <w:rFonts w:ascii="Book Antiqua" w:eastAsia="Book Antiqua" w:hAnsi="Book Antiqua" w:cs="Book Antiqua"/>
          <w:i/>
          <w:iCs/>
          <w:color w:val="000000"/>
        </w:rPr>
        <w:t>vs</w:t>
      </w:r>
      <w:r>
        <w:rPr>
          <w:rFonts w:ascii="Book Antiqua" w:eastAsia="Book Antiqua" w:hAnsi="Book Antiqua" w:cs="Book Antiqua"/>
          <w:color w:val="000000"/>
        </w:rPr>
        <w:t xml:space="preserve"> 96.3%) and procedure time (28.5 </w:t>
      </w:r>
      <w:r>
        <w:rPr>
          <w:rFonts w:ascii="Book Antiqua" w:eastAsia="Book Antiqua" w:hAnsi="Book Antiqua" w:cs="Book Antiqua"/>
          <w:i/>
          <w:iCs/>
          <w:color w:val="000000"/>
        </w:rPr>
        <w:t>vs</w:t>
      </w:r>
      <w:r>
        <w:rPr>
          <w:rFonts w:ascii="Book Antiqua" w:eastAsia="Book Antiqua" w:hAnsi="Book Antiqua" w:cs="Book Antiqua"/>
          <w:color w:val="000000"/>
        </w:rPr>
        <w:t xml:space="preserve"> 25.0 min) were similar among expert and non-expert groups</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1F10105B" w14:textId="77777777" w:rsidR="005C6294" w:rsidRDefault="005C6294">
      <w:pPr>
        <w:spacing w:line="360" w:lineRule="auto"/>
        <w:jc w:val="both"/>
        <w:rPr>
          <w:rFonts w:ascii="Book Antiqua" w:hAnsi="Book Antiqua"/>
        </w:rPr>
      </w:pPr>
    </w:p>
    <w:p w14:paraId="4650385E" w14:textId="77777777" w:rsidR="005C6294" w:rsidRDefault="00771FC7">
      <w:pPr>
        <w:spacing w:line="360" w:lineRule="auto"/>
        <w:jc w:val="both"/>
        <w:rPr>
          <w:rFonts w:ascii="Book Antiqua" w:hAnsi="Book Antiqua"/>
        </w:rPr>
      </w:pPr>
      <w:r>
        <w:rPr>
          <w:rFonts w:ascii="Book Antiqua" w:eastAsia="Book Antiqua" w:hAnsi="Book Antiqua" w:cs="Book Antiqua"/>
          <w:b/>
          <w:bCs/>
          <w:i/>
          <w:iCs/>
          <w:color w:val="000000"/>
        </w:rPr>
        <w:t>Safety profile</w:t>
      </w:r>
    </w:p>
    <w:p w14:paraId="0E8F48AA"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Muthusamy reported a case of post-ERCP pancreatitis in 1 out of 13 patients involved in the roll-in study. Moreover, they reported 2 post-ERCP pancreatitis (3.3%), one post-sphincterotomy bleeding (1.7%) and one infection of a walled-off pancreatic necrosi</w:t>
      </w:r>
      <w:r>
        <w:rPr>
          <w:rFonts w:ascii="Book Antiqua" w:eastAsia="Book Antiqua" w:hAnsi="Book Antiqua" w:cs="Book Antiqua"/>
          <w:color w:val="000000"/>
        </w:rPr>
        <w:t>s in the 60 patients included in the main study. The overall serious adverse event rate was 6.7%</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29E3656B"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No difference was observed in term of adverse event (AE) and mortality, when ERCPs performed with the SUD were compared to those performed with a reusable</w:t>
      </w:r>
      <w:r>
        <w:rPr>
          <w:rFonts w:ascii="Book Antiqua" w:eastAsia="Book Antiqua" w:hAnsi="Book Antiqua" w:cs="Book Antiqua"/>
          <w:color w:val="000000"/>
        </w:rPr>
        <w:t xml:space="preserve"> duodenoscope. The authors observed two adverse events in the SUD arm (4.2%) compared to 8% adverse event rate in the control group. The Authors reported an ERCP-related mortality of 2.1% and 2%in the two groups, respectively</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13B6948A"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 xml:space="preserve">Napoléon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report</w:t>
      </w:r>
      <w:r>
        <w:rPr>
          <w:rFonts w:ascii="Book Antiqua" w:eastAsia="Book Antiqua" w:hAnsi="Book Antiqua" w:cs="Book Antiqua"/>
          <w:color w:val="000000"/>
        </w:rPr>
        <w:t>ed 3 ERCP-related adverse events (5.0%). Of them, two cases were mild (biliary pain and one mild pancreatitis), while one patient (1.7%) presented worsening of underlying condition due to pancreatic cancer and died one week after the procedure</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5E6D1D5D"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 xml:space="preserve">Slivka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reported 13 serious adverse events (6.5%); of them, 5 bleeding, 3 post-ERCP pancreatitis and 2 cholangitis. The incidence of adverse events was similar in </w:t>
      </w:r>
      <w:r>
        <w:rPr>
          <w:rFonts w:ascii="Book Antiqua" w:eastAsia="Book Antiqua" w:hAnsi="Book Antiqua" w:cs="Book Antiqua"/>
          <w:color w:val="000000"/>
        </w:rPr>
        <w:lastRenderedPageBreak/>
        <w:t xml:space="preserve">expert and non-expert groups (5.0% </w:t>
      </w:r>
      <w:r>
        <w:rPr>
          <w:rFonts w:ascii="Book Antiqua" w:eastAsia="Book Antiqua" w:hAnsi="Book Antiqua" w:cs="Book Antiqua"/>
          <w:i/>
          <w:iCs/>
          <w:color w:val="000000"/>
        </w:rPr>
        <w:t>vs</w:t>
      </w:r>
      <w:r>
        <w:rPr>
          <w:rFonts w:ascii="Book Antiqua" w:eastAsia="Book Antiqua" w:hAnsi="Book Antiqua" w:cs="Book Antiqua"/>
          <w:color w:val="000000"/>
        </w:rPr>
        <w:t xml:space="preserve"> 6.9%) and was independent by ASGE complexity grade (l</w:t>
      </w:r>
      <w:r>
        <w:rPr>
          <w:rFonts w:ascii="Book Antiqua" w:eastAsia="Book Antiqua" w:hAnsi="Book Antiqua" w:cs="Book Antiqua"/>
          <w:color w:val="000000"/>
        </w:rPr>
        <w:t xml:space="preserve">ow – ASGE 1-2: 7.0% </w:t>
      </w:r>
      <w:r>
        <w:rPr>
          <w:rFonts w:ascii="Book Antiqua" w:eastAsia="Book Antiqua" w:hAnsi="Book Antiqua" w:cs="Book Antiqua"/>
          <w:i/>
          <w:iCs/>
          <w:color w:val="000000"/>
        </w:rPr>
        <w:t>vs</w:t>
      </w:r>
      <w:r>
        <w:rPr>
          <w:rFonts w:ascii="Book Antiqua" w:eastAsia="Book Antiqua" w:hAnsi="Book Antiqua" w:cs="Book Antiqua"/>
          <w:color w:val="000000"/>
        </w:rPr>
        <w:t xml:space="preserve"> high – ASGE 3-4: 6.2%).</w:t>
      </w:r>
    </w:p>
    <w:p w14:paraId="1B0C7192"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All studies reported no SUD-related adverse event.</w:t>
      </w:r>
    </w:p>
    <w:p w14:paraId="476DC063"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No data on specific SUD contamination after ERCP has been provided in the included studies.</w:t>
      </w:r>
    </w:p>
    <w:p w14:paraId="587A6157" w14:textId="77777777" w:rsidR="005C6294" w:rsidRDefault="005C6294">
      <w:pPr>
        <w:spacing w:line="360" w:lineRule="auto"/>
        <w:jc w:val="both"/>
        <w:rPr>
          <w:rFonts w:ascii="Book Antiqua" w:hAnsi="Book Antiqua"/>
        </w:rPr>
      </w:pPr>
    </w:p>
    <w:p w14:paraId="69F53C77" w14:textId="77777777" w:rsidR="005C6294" w:rsidRDefault="00771FC7">
      <w:pPr>
        <w:spacing w:line="360" w:lineRule="auto"/>
        <w:jc w:val="both"/>
        <w:rPr>
          <w:rFonts w:ascii="Book Antiqua" w:hAnsi="Book Antiqua"/>
        </w:rPr>
      </w:pPr>
      <w:r>
        <w:rPr>
          <w:rFonts w:ascii="Book Antiqua" w:eastAsia="Book Antiqua" w:hAnsi="Book Antiqua" w:cs="Book Antiqua"/>
          <w:b/>
          <w:bCs/>
          <w:i/>
          <w:iCs/>
          <w:color w:val="000000"/>
        </w:rPr>
        <w:t>Operators’ satisfaction.</w:t>
      </w:r>
    </w:p>
    <w:p w14:paraId="001D96B9"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Muthusamy reported a median </w:t>
      </w:r>
      <w:r>
        <w:rPr>
          <w:rFonts w:ascii="Book Antiqua" w:eastAsia="Book Antiqua" w:hAnsi="Book Antiqua" w:cs="Book Antiqua"/>
          <w:color w:val="000000"/>
        </w:rPr>
        <w:t>overall satisfaction with the SUD of 9 (range, 1-10). In 4 cases (6.7%) the Authors observed a poor satisfaction (4 or less), due to difficulty of stent insertion, low image quality, and technical issue with the device (turning off during the procedure)</w:t>
      </w:r>
      <w:r>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0A2BE37E"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 xml:space="preserve">Bang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observed that the SUD present lower image quality and stability comparing to a reusable duodenoscope. From a mechanical point of view, the Authors reported a lower ease to pass into the stomach and frequent dysfunction of air-water valve.</w:t>
      </w:r>
    </w:p>
    <w:p w14:paraId="50C319A9"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 xml:space="preserve">Napoléon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reported a median overall satisfaction of 9 on a scale of 10. In two cases (3.3%), the operator reported a low satisfaction (less than 5) due to malfunction of the insufflation valve leading to irrigation water in the lumen, limiting the visibility. Amo</w:t>
      </w:r>
      <w:r>
        <w:rPr>
          <w:rFonts w:ascii="Book Antiqua" w:eastAsia="Book Antiqua" w:hAnsi="Book Antiqua" w:cs="Book Antiqua"/>
          <w:color w:val="000000"/>
        </w:rPr>
        <w:t>ng 22 different tasks, the authors considered the SUD clinically-satisfactory in 100% and comparable to a reusable duodenoscope in 97.9%of cases.</w:t>
      </w:r>
    </w:p>
    <w:p w14:paraId="67BC5C26"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 xml:space="preserve">The recently published study by Slivka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confirmed an optimal overall satisfaction with the SUD [media</w:t>
      </w:r>
      <w:r>
        <w:rPr>
          <w:rFonts w:ascii="Book Antiqua" w:eastAsia="Book Antiqua" w:hAnsi="Book Antiqua" w:cs="Book Antiqua"/>
          <w:color w:val="000000"/>
        </w:rPr>
        <w:t>n 8 (range VAS 1-10)]. Among 23 evaluated maneuvers, all obtained a median of at least 4 (range 1 to 5).</w:t>
      </w:r>
    </w:p>
    <w:p w14:paraId="402800B6" w14:textId="77777777" w:rsidR="005C6294" w:rsidRDefault="005C6294">
      <w:pPr>
        <w:spacing w:line="360" w:lineRule="auto"/>
        <w:jc w:val="both"/>
        <w:rPr>
          <w:rFonts w:ascii="Book Antiqua" w:hAnsi="Book Antiqua"/>
        </w:rPr>
      </w:pPr>
    </w:p>
    <w:p w14:paraId="59B016F7" w14:textId="77777777" w:rsidR="005C6294" w:rsidRDefault="00771FC7">
      <w:pPr>
        <w:spacing w:line="360" w:lineRule="auto"/>
        <w:jc w:val="both"/>
        <w:rPr>
          <w:rFonts w:ascii="Book Antiqua" w:hAnsi="Book Antiqua"/>
        </w:rPr>
      </w:pPr>
      <w:r>
        <w:rPr>
          <w:rFonts w:ascii="Book Antiqua" w:eastAsia="Book Antiqua" w:hAnsi="Book Antiqua" w:cs="Book Antiqua"/>
          <w:b/>
          <w:bCs/>
          <w:i/>
          <w:iCs/>
          <w:color w:val="000000"/>
        </w:rPr>
        <w:t>Pooled safety ed efficacy</w:t>
      </w:r>
    </w:p>
    <w:p w14:paraId="536DDB32"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Our study group recently conducted a meta-analysis including all clinical studies assessing the safety and efficacy of SUD u</w:t>
      </w:r>
      <w:r>
        <w:rPr>
          <w:rFonts w:ascii="Book Antiqua" w:eastAsia="Book Antiqua" w:hAnsi="Book Antiqua" w:cs="Book Antiqua"/>
          <w:color w:val="000000"/>
        </w:rPr>
        <w:t xml:space="preserve">se for ERCP, identifying 4 studies (368 patients) </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We observed a 92.9% [89.9 – 95.5;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11.8%] overall success rate and 5.9% [3.7 – 8.5;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0%] overall incidence of serious AEs. Overall incidence of pancreatitis (2.5%), infections </w:t>
      </w:r>
      <w:r>
        <w:rPr>
          <w:rFonts w:ascii="Book Antiqua" w:eastAsia="Book Antiqua" w:hAnsi="Book Antiqua" w:cs="Book Antiqua"/>
          <w:color w:val="000000"/>
        </w:rPr>
        <w:lastRenderedPageBreak/>
        <w:t xml:space="preserve">(1.8%) and bleeding </w:t>
      </w:r>
      <w:r>
        <w:rPr>
          <w:rFonts w:ascii="Book Antiqua" w:eastAsia="Book Antiqua" w:hAnsi="Book Antiqua" w:cs="Book Antiqua"/>
          <w:color w:val="000000"/>
        </w:rPr>
        <w:t>(1.8%) was very low, in line with suggested threshold and confirming the optimal safety</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p>
    <w:p w14:paraId="387EE25C" w14:textId="77777777" w:rsidR="005C6294" w:rsidRDefault="005C6294">
      <w:pPr>
        <w:spacing w:line="360" w:lineRule="auto"/>
        <w:jc w:val="both"/>
        <w:rPr>
          <w:rFonts w:ascii="Book Antiqua" w:hAnsi="Book Antiqua"/>
        </w:rPr>
      </w:pPr>
    </w:p>
    <w:p w14:paraId="76BEAB0D" w14:textId="77777777" w:rsidR="005C6294" w:rsidRDefault="00771FC7">
      <w:pPr>
        <w:spacing w:line="360" w:lineRule="auto"/>
        <w:jc w:val="both"/>
        <w:rPr>
          <w:rFonts w:ascii="Book Antiqua" w:hAnsi="Book Antiqua"/>
        </w:rPr>
      </w:pPr>
      <w:r>
        <w:rPr>
          <w:rFonts w:ascii="Book Antiqua" w:eastAsia="Book Antiqua" w:hAnsi="Book Antiqua" w:cs="Book Antiqua"/>
          <w:b/>
          <w:bCs/>
          <w:i/>
          <w:iCs/>
          <w:color w:val="000000"/>
        </w:rPr>
        <w:t>Study pipeline</w:t>
      </w:r>
    </w:p>
    <w:p w14:paraId="0BB50471"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Five clinical studies on the use of SUD for ERCP are ongoing (no. 2) or ready to start recruitment (no. 3); these studies and contact information </w:t>
      </w:r>
      <w:r>
        <w:rPr>
          <w:rFonts w:ascii="Book Antiqua" w:eastAsia="Book Antiqua" w:hAnsi="Book Antiqua" w:cs="Book Antiqua"/>
          <w:color w:val="000000"/>
        </w:rPr>
        <w:t>are summarized in Table 2.</w:t>
      </w:r>
    </w:p>
    <w:p w14:paraId="3A781A20"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Two of them are planned to be conducted in US, while the remaining two studies in Europe (Italy and UK) and one in China.</w:t>
      </w:r>
    </w:p>
    <w:p w14:paraId="2C8F0482"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Following the feasibility and safety studies performed in high-volume centers by extremely experienced oper</w:t>
      </w:r>
      <w:r>
        <w:rPr>
          <w:rFonts w:ascii="Book Antiqua" w:eastAsia="Book Antiqua" w:hAnsi="Book Antiqua" w:cs="Book Antiqua"/>
          <w:color w:val="000000"/>
        </w:rPr>
        <w:t>ators, one study (NCT04103749) will include large real-life experience with operators with various expertise.</w:t>
      </w:r>
    </w:p>
    <w:p w14:paraId="05ACC2A0"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Interestingly, an Italian study is going to assess the performance of SUD in combination with single-use digital cholangioscope in a tertiary refe</w:t>
      </w:r>
      <w:r>
        <w:rPr>
          <w:rFonts w:ascii="Book Antiqua" w:eastAsia="Book Antiqua" w:hAnsi="Book Antiqua" w:cs="Book Antiqua"/>
          <w:color w:val="000000"/>
        </w:rPr>
        <w:t>rral center.</w:t>
      </w:r>
    </w:p>
    <w:p w14:paraId="4FB32DF8"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Finally, a large multicenter study is testing the performance of another SUD, namely the aScope™ Duodeno, manufactured by Ambu A/S (Denmark) on 550 patients undergoing ERCP. In less than 12 mo, the knowledge and quality of evidence in the fiel</w:t>
      </w:r>
      <w:r>
        <w:rPr>
          <w:rFonts w:ascii="Book Antiqua" w:eastAsia="Book Antiqua" w:hAnsi="Book Antiqua" w:cs="Book Antiqua"/>
          <w:color w:val="000000"/>
        </w:rPr>
        <w:t>d of SUD use for ERCP is going to be strongly expanded. The introduction of a validated tool for duodenoscope assessment will allow physician to utilize a reproducible and reliable tool for the assessment of technical performance of duodenoscopes</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27F765A0" w14:textId="77777777" w:rsidR="005C6294" w:rsidRDefault="005C6294">
      <w:pPr>
        <w:spacing w:line="360" w:lineRule="auto"/>
        <w:jc w:val="both"/>
        <w:rPr>
          <w:rFonts w:ascii="Book Antiqua" w:hAnsi="Book Antiqua"/>
        </w:rPr>
      </w:pPr>
    </w:p>
    <w:p w14:paraId="59027F7E" w14:textId="77777777" w:rsidR="005C6294" w:rsidRDefault="00771FC7">
      <w:pPr>
        <w:spacing w:line="360" w:lineRule="auto"/>
        <w:jc w:val="both"/>
        <w:rPr>
          <w:rFonts w:ascii="Book Antiqua" w:hAnsi="Book Antiqua"/>
          <w:b/>
        </w:rPr>
      </w:pPr>
      <w:r>
        <w:rPr>
          <w:rFonts w:ascii="Book Antiqua" w:eastAsia="Book Antiqua" w:hAnsi="Book Antiqua" w:cs="Book Antiqua"/>
          <w:b/>
          <w:i/>
          <w:iCs/>
          <w:color w:val="000000"/>
        </w:rPr>
        <w:t>Cos</w:t>
      </w:r>
      <w:r>
        <w:rPr>
          <w:rFonts w:ascii="Book Antiqua" w:eastAsia="Book Antiqua" w:hAnsi="Book Antiqua" w:cs="Book Antiqua"/>
          <w:b/>
          <w:i/>
          <w:iCs/>
          <w:color w:val="000000"/>
        </w:rPr>
        <w:t>t-effectiveness</w:t>
      </w:r>
    </w:p>
    <w:p w14:paraId="4FE1F2D8"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A recently published study, based on a “Montecarlo model” assessed the cost-effectiveness of different approaches adopted for the reduction of duodenoscope-related cross-infections</w:t>
      </w:r>
      <w:r>
        <w:rPr>
          <w:rFonts w:ascii="Book Antiqua" w:eastAsia="Book Antiqua" w:hAnsi="Book Antiqua" w:cs="Book Antiqua"/>
          <w:color w:val="000000"/>
          <w:vertAlign w:val="superscript"/>
        </w:rPr>
        <w:t>[28]</w:t>
      </w:r>
      <w:r>
        <w:rPr>
          <w:rFonts w:ascii="Book Antiqua" w:eastAsia="Book Antiqua" w:hAnsi="Book Antiqua" w:cs="Book Antiqua"/>
          <w:color w:val="000000"/>
        </w:rPr>
        <w:t>. The cost for each ERCP procedure, based on United Stat</w:t>
      </w:r>
      <w:r>
        <w:rPr>
          <w:rFonts w:ascii="Book Antiqua" w:eastAsia="Book Antiqua" w:hAnsi="Book Antiqua" w:cs="Book Antiqua"/>
          <w:color w:val="000000"/>
        </w:rPr>
        <w:t>es data, performed with SUD has been estimated in $2991. The analysis, based on an estimated &lt; 1% risk of duodenoscope-related cross-infections did not identified routinely SUD use as a cost-effective strategy. The Authors acknowledged that these results s</w:t>
      </w:r>
      <w:r>
        <w:rPr>
          <w:rFonts w:ascii="Book Antiqua" w:eastAsia="Book Antiqua" w:hAnsi="Book Antiqua" w:cs="Book Antiqua"/>
          <w:color w:val="000000"/>
        </w:rPr>
        <w:t>hould be contextualized based on duodenoscope-related cross-infection rate, local ERCP volume, quality adjusted life years, post-ERCP lifespan and environmental costs</w:t>
      </w:r>
      <w:r>
        <w:rPr>
          <w:rFonts w:ascii="Book Antiqua" w:eastAsia="Book Antiqua" w:hAnsi="Book Antiqua" w:cs="Book Antiqua"/>
          <w:color w:val="000000"/>
          <w:vertAlign w:val="superscript"/>
        </w:rPr>
        <w:t>[28,29]</w:t>
      </w:r>
      <w:r>
        <w:rPr>
          <w:rFonts w:ascii="Book Antiqua" w:eastAsia="Book Antiqua" w:hAnsi="Book Antiqua" w:cs="Book Antiqua"/>
          <w:color w:val="000000"/>
        </w:rPr>
        <w:t>.</w:t>
      </w:r>
    </w:p>
    <w:p w14:paraId="2A2E1BCA" w14:textId="77777777" w:rsidR="005C6294" w:rsidRDefault="005C6294">
      <w:pPr>
        <w:spacing w:line="360" w:lineRule="auto"/>
        <w:jc w:val="both"/>
        <w:rPr>
          <w:rFonts w:ascii="Book Antiqua" w:hAnsi="Book Antiqua"/>
        </w:rPr>
      </w:pPr>
    </w:p>
    <w:p w14:paraId="45ECED9F" w14:textId="77777777" w:rsidR="005C6294" w:rsidRDefault="00771FC7">
      <w:pPr>
        <w:spacing w:line="360" w:lineRule="auto"/>
        <w:jc w:val="both"/>
        <w:rPr>
          <w:rFonts w:ascii="Book Antiqua" w:hAnsi="Book Antiqua"/>
          <w:b/>
        </w:rPr>
      </w:pPr>
      <w:r>
        <w:rPr>
          <w:rFonts w:ascii="Book Antiqua" w:eastAsia="Book Antiqua" w:hAnsi="Book Antiqua" w:cs="Book Antiqua"/>
          <w:b/>
          <w:i/>
          <w:iCs/>
          <w:color w:val="000000"/>
        </w:rPr>
        <w:t>Limitations</w:t>
      </w:r>
    </w:p>
    <w:p w14:paraId="2D64D36A"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The lack of a reliable quantification of the impact of duodenoscope </w:t>
      </w:r>
      <w:r>
        <w:rPr>
          <w:rFonts w:ascii="Book Antiqua" w:eastAsia="Book Antiqua" w:hAnsi="Book Antiqua" w:cs="Book Antiqua"/>
          <w:color w:val="000000"/>
        </w:rPr>
        <w:t>contamination-related infections does not allow to correctly evaluate the benefit of the systematic use of a SUD.</w:t>
      </w:r>
    </w:p>
    <w:p w14:paraId="100F5D81"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 xml:space="preserve">Indeed, all the published studies have been designed to compare SUD to standard reusable duodenoscopes with a non-inferiority purpose, in </w:t>
      </w:r>
      <w:r>
        <w:rPr>
          <w:rFonts w:ascii="Book Antiqua" w:eastAsia="Book Antiqua" w:hAnsi="Book Antiqua" w:cs="Book Antiqua"/>
          <w:color w:val="000000"/>
        </w:rPr>
        <w:t>terms of technical and clinical success rate. Since the estimated rate of duodenoscope-related cross-infection was &lt; 8% published studies are underpowered to detect any clinical difference.</w:t>
      </w:r>
    </w:p>
    <w:p w14:paraId="3882E918" w14:textId="77777777" w:rsidR="005C6294" w:rsidRDefault="005C6294">
      <w:pPr>
        <w:spacing w:line="360" w:lineRule="auto"/>
        <w:jc w:val="both"/>
        <w:rPr>
          <w:rFonts w:ascii="Book Antiqua" w:hAnsi="Book Antiqua"/>
        </w:rPr>
      </w:pPr>
    </w:p>
    <w:p w14:paraId="1134FF49" w14:textId="77777777" w:rsidR="005C6294" w:rsidRDefault="00771FC7">
      <w:pPr>
        <w:spacing w:line="360" w:lineRule="auto"/>
        <w:jc w:val="both"/>
        <w:rPr>
          <w:rFonts w:ascii="Book Antiqua" w:hAnsi="Book Antiqua"/>
          <w:b/>
        </w:rPr>
      </w:pPr>
      <w:r>
        <w:rPr>
          <w:rFonts w:ascii="Book Antiqua" w:eastAsia="Book Antiqua" w:hAnsi="Book Antiqua" w:cs="Book Antiqua"/>
          <w:b/>
          <w:i/>
          <w:iCs/>
          <w:color w:val="000000"/>
        </w:rPr>
        <w:t>Environmental sustainability</w:t>
      </w:r>
    </w:p>
    <w:p w14:paraId="39324486"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Another point of critical discussion will be the ecological impact of production and wasting of a single-use endoscope. </w:t>
      </w:r>
    </w:p>
    <w:p w14:paraId="587B9A93"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A recent international named “Green Endoscopy” (Twitter account @GreenEndoscopy) wrote an inspiring editorial on this issue. The Author</w:t>
      </w:r>
      <w:r>
        <w:rPr>
          <w:rFonts w:ascii="Book Antiqua" w:eastAsia="Book Antiqua" w:hAnsi="Book Antiqua" w:cs="Book Antiqua"/>
          <w:color w:val="000000"/>
        </w:rPr>
        <w:t xml:space="preserve">s estimated a mean 1.5 kg of waste for each single endoscopic procedure, with very-low amount of recyclable materials. </w:t>
      </w:r>
    </w:p>
    <w:p w14:paraId="18E5E7B3"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The disposal SUD is equivalent up to 400</w:t>
      </w:r>
      <w:r>
        <w:rPr>
          <w:rFonts w:eastAsia="Book Antiqua"/>
          <w:color w:val="000000"/>
        </w:rPr>
        <w:t> </w:t>
      </w:r>
      <w:r>
        <w:rPr>
          <w:rFonts w:ascii="Book Antiqua" w:eastAsia="Book Antiqua" w:hAnsi="Book Antiqua" w:cs="Book Antiqua"/>
          <w:color w:val="000000"/>
        </w:rPr>
        <w:t>g of household waste and this weight should be added to this waste. The Authors considered “unt</w:t>
      </w:r>
      <w:r>
        <w:rPr>
          <w:rFonts w:ascii="Book Antiqua" w:eastAsia="Book Antiqua" w:hAnsi="Book Antiqua" w:cs="Book Antiqua"/>
          <w:color w:val="000000"/>
        </w:rPr>
        <w:t>hinkable” that each ERCP could be performed with SUD based both on cost and environmental burdens.</w:t>
      </w:r>
    </w:p>
    <w:p w14:paraId="46F67FE4"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 xml:space="preserve">A comparative study on two different approaches adopted with bronchoscopes [http://ambu.co.uk/pulmonology/environmental-impact] has reported that single-use </w:t>
      </w:r>
      <w:r>
        <w:rPr>
          <w:rFonts w:ascii="Book Antiqua" w:eastAsia="Book Antiqua" w:hAnsi="Book Antiqua" w:cs="Book Antiqua"/>
          <w:color w:val="000000"/>
        </w:rPr>
        <w:t>endoscopy does not much differ since the cost of disposing plastic endoscopes should be balanced with sterilization process, disinfecting equipment and consumable costs.</w:t>
      </w:r>
    </w:p>
    <w:p w14:paraId="79951AB4"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On the other hand, SUDs are made from recycled plastic and are claimed to be recyclabl</w:t>
      </w:r>
      <w:r>
        <w:rPr>
          <w:rFonts w:ascii="Book Antiqua" w:eastAsia="Book Antiqua" w:hAnsi="Book Antiqua" w:cs="Book Antiqua"/>
          <w:color w:val="000000"/>
        </w:rPr>
        <w:t>e through third party companies, even if material from these duodenoscopes will not be used for production of medical devices</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682E532A" w14:textId="77777777" w:rsidR="005C6294" w:rsidRDefault="005C6294">
      <w:pPr>
        <w:spacing w:line="360" w:lineRule="auto"/>
        <w:jc w:val="both"/>
        <w:rPr>
          <w:rFonts w:ascii="Book Antiqua" w:hAnsi="Book Antiqua"/>
        </w:rPr>
      </w:pPr>
    </w:p>
    <w:p w14:paraId="54396220" w14:textId="77777777" w:rsidR="005C6294" w:rsidRDefault="00771FC7">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87646BC"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lastRenderedPageBreak/>
        <w:t xml:space="preserve">In conclusion, the recent identification of several cluster of exogenous multidrug-resistant bacterial infection </w:t>
      </w:r>
      <w:r>
        <w:rPr>
          <w:rFonts w:ascii="Book Antiqua" w:eastAsia="Book Antiqua" w:hAnsi="Book Antiqua" w:cs="Book Antiqua"/>
          <w:color w:val="000000"/>
        </w:rPr>
        <w:t>caused by duodenoscope cross-contamination necessitated the implementation of various strategies for at least prevention or abolition of that life-threatening risk. Among those strategies, the introduction of sterile, disposable duodenoscopes is able to co</w:t>
      </w:r>
      <w:r>
        <w:rPr>
          <w:rFonts w:ascii="Book Antiqua" w:eastAsia="Book Antiqua" w:hAnsi="Book Antiqua" w:cs="Book Antiqua"/>
          <w:color w:val="000000"/>
        </w:rPr>
        <w:t>mpletely abolish the contamination and cross-transmission of bacteria.</w:t>
      </w:r>
    </w:p>
    <w:p w14:paraId="2C845D5C"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 xml:space="preserve">Although there are only few clinical trials available, evidence is concordant in identifying an absolute safety and feasibility. Indeed, no SUD-related adverse event is still reported, </w:t>
      </w:r>
      <w:r>
        <w:rPr>
          <w:rFonts w:ascii="Book Antiqua" w:eastAsia="Book Antiqua" w:hAnsi="Book Antiqua" w:cs="Book Antiqua"/>
          <w:color w:val="000000"/>
        </w:rPr>
        <w:t>and overall risk of adverse events and mortality is comparable to ERCP performed with reusable duodenoscopes. Moreover, the pooled technical success rate in expert hands stands at optimal values, with no significant heterogeneity among studies.</w:t>
      </w:r>
    </w:p>
    <w:p w14:paraId="6CFE5BB3"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Future stud</w:t>
      </w:r>
      <w:r>
        <w:rPr>
          <w:rFonts w:ascii="Book Antiqua" w:eastAsia="Book Antiqua" w:hAnsi="Book Antiqua" w:cs="Book Antiqua"/>
          <w:color w:val="000000"/>
        </w:rPr>
        <w:t>ies will deepen the knowledge in this field; data on cost-effectiveness and environmental impact will be needed for a worldwide spread of SUD use for ERCP.</w:t>
      </w:r>
    </w:p>
    <w:p w14:paraId="7510D497" w14:textId="77777777" w:rsidR="005C6294" w:rsidRDefault="005C6294">
      <w:pPr>
        <w:spacing w:line="360" w:lineRule="auto"/>
        <w:jc w:val="both"/>
        <w:rPr>
          <w:rFonts w:ascii="Book Antiqua" w:hAnsi="Book Antiqua"/>
        </w:rPr>
      </w:pPr>
    </w:p>
    <w:p w14:paraId="21B89AB8" w14:textId="77777777" w:rsidR="005C6294" w:rsidRDefault="00771FC7">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214540B"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In conclusion, the recent identification of several cluster of exogenous multidrug-resis</w:t>
      </w:r>
      <w:r>
        <w:rPr>
          <w:rFonts w:ascii="Book Antiqua" w:eastAsia="Book Antiqua" w:hAnsi="Book Antiqua" w:cs="Book Antiqua"/>
          <w:color w:val="000000"/>
        </w:rPr>
        <w:t>tant bacterial infection caused by duodenoscope cross-contamination necessitated the implementation of various strategies for at least prevention or abolition of that life-threatening risk. Among those strategies, the introduction of sterile, disposable du</w:t>
      </w:r>
      <w:r>
        <w:rPr>
          <w:rFonts w:ascii="Book Antiqua" w:eastAsia="Book Antiqua" w:hAnsi="Book Antiqua" w:cs="Book Antiqua"/>
          <w:color w:val="000000"/>
        </w:rPr>
        <w:t>odenoscopes is able to completely abolish the contamination and cross-transmission of bacteria.</w:t>
      </w:r>
    </w:p>
    <w:p w14:paraId="20E9039D"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 xml:space="preserve">Although there are only few clinical trials available, evidence is concordant in identifying an absolute safety and feasibility. Indeed, no SUD-related adverse </w:t>
      </w:r>
      <w:r>
        <w:rPr>
          <w:rFonts w:ascii="Book Antiqua" w:eastAsia="Book Antiqua" w:hAnsi="Book Antiqua" w:cs="Book Antiqua"/>
          <w:color w:val="000000"/>
        </w:rPr>
        <w:t>event is still reported, and overall risk of adverse events and mortality is comparable to ERCP performed with reusable duodenoscopes. Moreover, the pooled technical success rate in expert hands stands at optimal values, with no significant heterogeneity a</w:t>
      </w:r>
      <w:r>
        <w:rPr>
          <w:rFonts w:ascii="Book Antiqua" w:eastAsia="Book Antiqua" w:hAnsi="Book Antiqua" w:cs="Book Antiqua"/>
          <w:color w:val="000000"/>
        </w:rPr>
        <w:t>mong studies.</w:t>
      </w:r>
    </w:p>
    <w:p w14:paraId="263C5ACE" w14:textId="77777777" w:rsidR="005C6294" w:rsidRDefault="00771FC7">
      <w:pPr>
        <w:spacing w:line="360" w:lineRule="auto"/>
        <w:ind w:firstLine="480"/>
        <w:jc w:val="both"/>
        <w:rPr>
          <w:rFonts w:ascii="Book Antiqua" w:hAnsi="Book Antiqua"/>
        </w:rPr>
      </w:pPr>
      <w:r>
        <w:rPr>
          <w:rFonts w:ascii="Book Antiqua" w:eastAsia="Book Antiqua" w:hAnsi="Book Antiqua" w:cs="Book Antiqua"/>
          <w:color w:val="000000"/>
        </w:rPr>
        <w:t>However, further studies are needed to provide high-quality data, in terms of cost-effectiveness and environmental impact, potentially allowing a worldwide spread of SUD use for ERCP.</w:t>
      </w:r>
    </w:p>
    <w:p w14:paraId="74745039" w14:textId="77777777" w:rsidR="005C6294" w:rsidRDefault="005C6294">
      <w:pPr>
        <w:spacing w:line="360" w:lineRule="auto"/>
        <w:jc w:val="both"/>
        <w:rPr>
          <w:rFonts w:ascii="Book Antiqua" w:hAnsi="Book Antiqua"/>
        </w:rPr>
      </w:pPr>
    </w:p>
    <w:p w14:paraId="2D368E2C" w14:textId="77777777" w:rsidR="005C6294" w:rsidRDefault="00771FC7">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0F90461" w14:textId="77777777" w:rsidR="005C6294" w:rsidRDefault="00771FC7">
      <w:pPr>
        <w:spacing w:line="360" w:lineRule="auto"/>
        <w:jc w:val="both"/>
        <w:rPr>
          <w:rFonts w:ascii="Book Antiqua" w:hAnsi="Book Antiqua"/>
        </w:rPr>
      </w:pPr>
      <w:r>
        <w:rPr>
          <w:rFonts w:ascii="Book Antiqua" w:eastAsia="Book Antiqua" w:hAnsi="Book Antiqua" w:cs="Book Antiqua"/>
          <w:b/>
          <w:i/>
          <w:color w:val="000000"/>
        </w:rPr>
        <w:t>Research background</w:t>
      </w:r>
    </w:p>
    <w:p w14:paraId="0C29C147" w14:textId="77777777" w:rsidR="005C6294" w:rsidRDefault="00771FC7">
      <w:pPr>
        <w:pStyle w:val="ad"/>
        <w:rPr>
          <w:rFonts w:ascii="Book Antiqua" w:hAnsi="Book Antiqua"/>
        </w:rPr>
      </w:pPr>
      <w:r>
        <w:rPr>
          <w:rFonts w:ascii="Book Antiqua" w:eastAsia="Book Antiqua" w:hAnsi="Book Antiqua" w:cs="Book Antiqua"/>
          <w:color w:val="000000"/>
        </w:rPr>
        <w:t>Single-use duodeno</w:t>
      </w:r>
      <w:r>
        <w:rPr>
          <w:rFonts w:ascii="Book Antiqua" w:eastAsia="Book Antiqua" w:hAnsi="Book Antiqua" w:cs="Book Antiqua"/>
          <w:color w:val="000000"/>
        </w:rPr>
        <w:t xml:space="preserve">scope use has been proposed as an effective strategy to avoid the risk of duodenoscope-related cross-infections in patients undergoing </w:t>
      </w:r>
      <w:r>
        <w:t>endoscopic retrograde cholangiopancreatography (ERCP)</w:t>
      </w:r>
      <w:r>
        <w:rPr>
          <w:rFonts w:ascii="Book Antiqua" w:eastAsia="Book Antiqua" w:hAnsi="Book Antiqua" w:cs="Book Antiqua"/>
          <w:color w:val="000000"/>
        </w:rPr>
        <w:t>.</w:t>
      </w:r>
    </w:p>
    <w:p w14:paraId="38E87192" w14:textId="77777777" w:rsidR="005C6294" w:rsidRDefault="005C6294">
      <w:pPr>
        <w:spacing w:line="360" w:lineRule="auto"/>
        <w:jc w:val="both"/>
        <w:rPr>
          <w:rFonts w:ascii="Book Antiqua" w:hAnsi="Book Antiqua"/>
        </w:rPr>
      </w:pPr>
    </w:p>
    <w:p w14:paraId="4859D165" w14:textId="77777777" w:rsidR="005C6294" w:rsidRDefault="00771FC7">
      <w:pPr>
        <w:spacing w:line="360" w:lineRule="auto"/>
        <w:jc w:val="both"/>
        <w:rPr>
          <w:rFonts w:ascii="Book Antiqua" w:hAnsi="Book Antiqua"/>
        </w:rPr>
      </w:pPr>
      <w:r>
        <w:rPr>
          <w:rFonts w:ascii="Book Antiqua" w:eastAsia="Book Antiqua" w:hAnsi="Book Antiqua" w:cs="Book Antiqua"/>
          <w:b/>
          <w:i/>
          <w:color w:val="000000"/>
        </w:rPr>
        <w:t>Research motivation</w:t>
      </w:r>
    </w:p>
    <w:p w14:paraId="38C2E3FD"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Recentaly, several manuscript have been publi</w:t>
      </w:r>
      <w:r>
        <w:rPr>
          <w:rFonts w:ascii="Book Antiqua" w:eastAsia="Book Antiqua" w:hAnsi="Book Antiqua" w:cs="Book Antiqua"/>
          <w:color w:val="000000"/>
        </w:rPr>
        <w:t>shed reporting the ouctomes of clinical studies on single-use duodenoscope use for ERCP.</w:t>
      </w:r>
    </w:p>
    <w:p w14:paraId="27B121A6" w14:textId="77777777" w:rsidR="005C6294" w:rsidRDefault="005C6294">
      <w:pPr>
        <w:spacing w:line="360" w:lineRule="auto"/>
        <w:jc w:val="both"/>
        <w:rPr>
          <w:rFonts w:ascii="Book Antiqua" w:hAnsi="Book Antiqua"/>
        </w:rPr>
      </w:pPr>
    </w:p>
    <w:p w14:paraId="5164B4BF" w14:textId="77777777" w:rsidR="005C6294" w:rsidRDefault="00771FC7">
      <w:pPr>
        <w:spacing w:line="360" w:lineRule="auto"/>
        <w:jc w:val="both"/>
        <w:rPr>
          <w:rFonts w:ascii="Book Antiqua" w:hAnsi="Book Antiqua"/>
        </w:rPr>
      </w:pPr>
      <w:r>
        <w:rPr>
          <w:rFonts w:ascii="Book Antiqua" w:eastAsia="Book Antiqua" w:hAnsi="Book Antiqua" w:cs="Book Antiqua"/>
          <w:b/>
          <w:i/>
          <w:color w:val="000000"/>
        </w:rPr>
        <w:t>Research objectives</w:t>
      </w:r>
    </w:p>
    <w:p w14:paraId="1F76DC41"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To perform a systematic review of the literature and report qualitative and quantitative results in terms of technical success rate, clinical succ</w:t>
      </w:r>
      <w:r>
        <w:rPr>
          <w:rFonts w:ascii="Book Antiqua" w:eastAsia="Book Antiqua" w:hAnsi="Book Antiqua" w:cs="Book Antiqua"/>
          <w:color w:val="000000"/>
        </w:rPr>
        <w:t>ess, and safety.</w:t>
      </w:r>
    </w:p>
    <w:p w14:paraId="2DEC6D6D" w14:textId="77777777" w:rsidR="005C6294" w:rsidRDefault="005C6294">
      <w:pPr>
        <w:spacing w:line="360" w:lineRule="auto"/>
        <w:jc w:val="both"/>
        <w:rPr>
          <w:rFonts w:ascii="Book Antiqua" w:hAnsi="Book Antiqua"/>
        </w:rPr>
      </w:pPr>
    </w:p>
    <w:p w14:paraId="622EB0D5" w14:textId="77777777" w:rsidR="005C6294" w:rsidRDefault="00771FC7">
      <w:pPr>
        <w:spacing w:line="360" w:lineRule="auto"/>
        <w:jc w:val="both"/>
        <w:rPr>
          <w:rFonts w:ascii="Book Antiqua" w:hAnsi="Book Antiqua"/>
        </w:rPr>
      </w:pPr>
      <w:r>
        <w:rPr>
          <w:rFonts w:ascii="Book Antiqua" w:eastAsia="Book Antiqua" w:hAnsi="Book Antiqua" w:cs="Book Antiqua"/>
          <w:b/>
          <w:i/>
          <w:color w:val="000000"/>
        </w:rPr>
        <w:t>Research methods</w:t>
      </w:r>
    </w:p>
    <w:p w14:paraId="3442CB19"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Systematic review and quantitative analysis.</w:t>
      </w:r>
    </w:p>
    <w:p w14:paraId="01765142" w14:textId="77777777" w:rsidR="005C6294" w:rsidRDefault="005C6294">
      <w:pPr>
        <w:spacing w:line="360" w:lineRule="auto"/>
        <w:jc w:val="both"/>
        <w:rPr>
          <w:rFonts w:ascii="Book Antiqua" w:hAnsi="Book Antiqua"/>
        </w:rPr>
      </w:pPr>
    </w:p>
    <w:p w14:paraId="3317F5EB" w14:textId="77777777" w:rsidR="005C6294" w:rsidRDefault="00771FC7">
      <w:pPr>
        <w:spacing w:line="360" w:lineRule="auto"/>
        <w:jc w:val="both"/>
        <w:rPr>
          <w:rFonts w:ascii="Book Antiqua" w:hAnsi="Book Antiqua"/>
        </w:rPr>
      </w:pPr>
      <w:r>
        <w:rPr>
          <w:rFonts w:ascii="Book Antiqua" w:eastAsia="Book Antiqua" w:hAnsi="Book Antiqua" w:cs="Book Antiqua"/>
          <w:b/>
          <w:i/>
          <w:color w:val="000000"/>
        </w:rPr>
        <w:t>Research results</w:t>
      </w:r>
    </w:p>
    <w:p w14:paraId="394200E7"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Five original articles have been identified. One bench comparative study and four clinical trials performed with EXALT model-D (Boston Scientific Corp., United States) have been identified. Of them, one is a randomized controlled trial, while the other thr</w:t>
      </w:r>
      <w:r>
        <w:rPr>
          <w:rFonts w:ascii="Book Antiqua" w:eastAsia="Book Antiqua" w:hAnsi="Book Antiqua" w:cs="Book Antiqua"/>
          <w:color w:val="000000"/>
        </w:rPr>
        <w:t xml:space="preserve">ee studies are prospective single-arm, cross-over studies. Pooled technical success rate (4 studies, 368 patients) was 92.9% [95% confidence interval (CI): 89.9-95.5;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11.8%]. Pooled serious adverse event (4 studies, 381 patients) rate was 5.9% [3.7%-8.5%;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0.0%].</w:t>
      </w:r>
    </w:p>
    <w:p w14:paraId="34297CAA" w14:textId="77777777" w:rsidR="005C6294" w:rsidRDefault="005C6294">
      <w:pPr>
        <w:spacing w:line="360" w:lineRule="auto"/>
        <w:jc w:val="both"/>
        <w:rPr>
          <w:rFonts w:ascii="Book Antiqua" w:hAnsi="Book Antiqua"/>
        </w:rPr>
      </w:pPr>
    </w:p>
    <w:p w14:paraId="36A066B7" w14:textId="77777777" w:rsidR="005C6294" w:rsidRDefault="00771FC7">
      <w:pPr>
        <w:spacing w:line="360" w:lineRule="auto"/>
        <w:jc w:val="both"/>
        <w:rPr>
          <w:rFonts w:ascii="Book Antiqua" w:hAnsi="Book Antiqua"/>
        </w:rPr>
      </w:pPr>
      <w:r>
        <w:rPr>
          <w:rFonts w:ascii="Book Antiqua" w:eastAsia="Book Antiqua" w:hAnsi="Book Antiqua" w:cs="Book Antiqua"/>
          <w:b/>
          <w:i/>
          <w:color w:val="000000"/>
        </w:rPr>
        <w:t>Research conclusions</w:t>
      </w:r>
    </w:p>
    <w:p w14:paraId="429155F8" w14:textId="77777777" w:rsidR="005C6294" w:rsidRDefault="00771FC7">
      <w:pPr>
        <w:pStyle w:val="ad"/>
        <w:jc w:val="both"/>
        <w:rPr>
          <w:rFonts w:ascii="Book Antiqua" w:hAnsi="Book Antiqua"/>
        </w:rPr>
      </w:pPr>
      <w:r>
        <w:rPr>
          <w:rFonts w:ascii="Book Antiqua" w:eastAsia="Book Antiqua" w:hAnsi="Book Antiqua" w:cs="Book Antiqua"/>
          <w:color w:val="000000"/>
        </w:rPr>
        <w:lastRenderedPageBreak/>
        <w:t>Although few clinical trials are available, evidence is concordant in identifying an absolute feasibility and safety and feasibility</w:t>
      </w:r>
      <w:r>
        <w:rPr>
          <w:rFonts w:ascii="Book Antiqua" w:eastAsia="Book Antiqua" w:hAnsi="Book Antiqua" w:cs="Book Antiqua"/>
          <w:color w:val="000000"/>
        </w:rPr>
        <w:t xml:space="preserve"> for </w:t>
      </w:r>
      <w:r>
        <w:t>single-use duodenoscopes (SUD)</w:t>
      </w:r>
      <w:r>
        <w:rPr>
          <w:rFonts w:ascii="Book Antiqua" w:eastAsia="Book Antiqua" w:hAnsi="Book Antiqua" w:cs="Book Antiqua"/>
          <w:color w:val="000000"/>
        </w:rPr>
        <w:t xml:space="preserve"> use for ERCP. Data on cost-effectiveness and environmental impact will be needed for a worldwide spread of SUD use for ERCP.</w:t>
      </w:r>
    </w:p>
    <w:p w14:paraId="5C9BDC9D" w14:textId="77777777" w:rsidR="005C6294" w:rsidRDefault="005C6294">
      <w:pPr>
        <w:spacing w:line="360" w:lineRule="auto"/>
        <w:jc w:val="both"/>
        <w:rPr>
          <w:rFonts w:ascii="Book Antiqua" w:hAnsi="Book Antiqua"/>
        </w:rPr>
      </w:pPr>
    </w:p>
    <w:p w14:paraId="626B64D9" w14:textId="77777777" w:rsidR="005C6294" w:rsidRDefault="00771FC7">
      <w:pPr>
        <w:spacing w:line="360" w:lineRule="auto"/>
        <w:jc w:val="both"/>
        <w:rPr>
          <w:rFonts w:ascii="Book Antiqua" w:hAnsi="Book Antiqua"/>
        </w:rPr>
      </w:pPr>
      <w:r>
        <w:rPr>
          <w:rFonts w:ascii="Book Antiqua" w:eastAsia="Book Antiqua" w:hAnsi="Book Antiqua" w:cs="Book Antiqua"/>
          <w:b/>
          <w:i/>
          <w:color w:val="000000"/>
        </w:rPr>
        <w:t>Research perspectives</w:t>
      </w:r>
    </w:p>
    <w:p w14:paraId="4D08D5A9"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Future perspective and study pipelines should assess the use of other mo</w:t>
      </w:r>
      <w:r>
        <w:rPr>
          <w:rFonts w:ascii="Book Antiqua" w:eastAsia="Book Antiqua" w:hAnsi="Book Antiqua" w:cs="Book Antiqua"/>
          <w:color w:val="000000"/>
        </w:rPr>
        <w:t>dels of single-use duodenoscope, cost-effectiveness of single-use duodenoscope use for ERCP and environmental sustainability.</w:t>
      </w:r>
    </w:p>
    <w:p w14:paraId="66F9A5C2" w14:textId="77777777" w:rsidR="005C6294" w:rsidRDefault="005C6294">
      <w:pPr>
        <w:spacing w:line="360" w:lineRule="auto"/>
        <w:jc w:val="both"/>
        <w:rPr>
          <w:rFonts w:ascii="Book Antiqua" w:hAnsi="Book Antiqua"/>
        </w:rPr>
      </w:pPr>
    </w:p>
    <w:p w14:paraId="1258FCDD" w14:textId="77777777" w:rsidR="005C6294" w:rsidRDefault="00771FC7">
      <w:pPr>
        <w:spacing w:line="360" w:lineRule="auto"/>
        <w:jc w:val="both"/>
        <w:rPr>
          <w:rFonts w:ascii="Book Antiqua" w:hAnsi="Book Antiqua"/>
        </w:rPr>
      </w:pPr>
      <w:r>
        <w:rPr>
          <w:rFonts w:ascii="Book Antiqua" w:eastAsia="Book Antiqua" w:hAnsi="Book Antiqua" w:cs="Book Antiqua"/>
          <w:b/>
          <w:color w:val="000000"/>
        </w:rPr>
        <w:t>REFERENCES</w:t>
      </w:r>
    </w:p>
    <w:p w14:paraId="7AE967A6"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Boxhoorn L</w:t>
      </w:r>
      <w:r>
        <w:rPr>
          <w:rFonts w:ascii="Book Antiqua" w:eastAsia="Book Antiqua" w:hAnsi="Book Antiqua" w:cs="Book Antiqua"/>
          <w:color w:val="000000"/>
        </w:rPr>
        <w:t>, Voermans RP, Bouwense SA, Bruno MJ, Verdonk RC, Boermeester MA, van Santvoort HC, Besselink MG. Acute pa</w:t>
      </w:r>
      <w:r>
        <w:rPr>
          <w:rFonts w:ascii="Book Antiqua" w:eastAsia="Book Antiqua" w:hAnsi="Book Antiqua" w:cs="Book Antiqua"/>
          <w:color w:val="000000"/>
        </w:rPr>
        <w:t xml:space="preserve">ncreatitis.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726-734 [PMID: 32891214 DOI: 10.1016/S0140-6736(20)31310-6]</w:t>
      </w:r>
    </w:p>
    <w:p w14:paraId="673A4270"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Williams E</w:t>
      </w:r>
      <w:r>
        <w:rPr>
          <w:rFonts w:ascii="Book Antiqua" w:eastAsia="Book Antiqua" w:hAnsi="Book Antiqua" w:cs="Book Antiqua"/>
          <w:color w:val="000000"/>
        </w:rPr>
        <w:t xml:space="preserve">, Beckingham I, El Sayed G, Gurusamy K, Sturgess R, Webster G, Young T. Updated guideline on the management of common bile duct stones (CBDS).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b/>
          <w:bCs/>
          <w:color w:val="000000"/>
        </w:rPr>
        <w:t>6</w:t>
      </w:r>
      <w:r>
        <w:rPr>
          <w:rFonts w:ascii="Book Antiqua" w:eastAsia="Book Antiqua" w:hAnsi="Book Antiqua" w:cs="Book Antiqua"/>
          <w:color w:val="000000"/>
        </w:rPr>
        <w:t>: 765-782 [PMID: 28122906 DOI: 10.1136/gutjnl-2016-312317]</w:t>
      </w:r>
    </w:p>
    <w:p w14:paraId="4113BBB2"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Dumonceau JM</w:t>
      </w:r>
      <w:r>
        <w:rPr>
          <w:rFonts w:ascii="Book Antiqua" w:eastAsia="Book Antiqua" w:hAnsi="Book Antiqua" w:cs="Book Antiqua"/>
          <w:color w:val="000000"/>
        </w:rPr>
        <w:t>, Kapral C, Aabakken L, Papanikolaou IS, Tringali A, Vanbiervliet G, Beyna T, Dinis-Ribeiro M, Hritz I, Mariani A, Paspatis G, Radaelli F, Lakhtakia S, Veitch AM, van Hooft JE. ERCP-</w:t>
      </w:r>
      <w:r>
        <w:rPr>
          <w:rFonts w:ascii="Book Antiqua" w:eastAsia="Book Antiqua" w:hAnsi="Book Antiqua" w:cs="Book Antiqua"/>
          <w:color w:val="000000"/>
        </w:rPr>
        <w:t xml:space="preserve">related adverse events: European Society of Gastrointestinal Endoscopy (ESGE) Guideline.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127-149 [PMID: 31863440 DOI: 10.1055/a-1075-4080]</w:t>
      </w:r>
    </w:p>
    <w:p w14:paraId="2D1482EB"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Ehrlich D</w:t>
      </w:r>
      <w:r>
        <w:rPr>
          <w:rFonts w:ascii="Book Antiqua" w:eastAsia="Book Antiqua" w:hAnsi="Book Antiqua" w:cs="Book Antiqua"/>
          <w:color w:val="000000"/>
        </w:rPr>
        <w:t>, Muthusamy VR. Device profile of the EXALT Model D single-use duodenoscope for endosc</w:t>
      </w:r>
      <w:r>
        <w:rPr>
          <w:rFonts w:ascii="Book Antiqua" w:eastAsia="Book Antiqua" w:hAnsi="Book Antiqua" w:cs="Book Antiqua"/>
          <w:color w:val="000000"/>
        </w:rPr>
        <w:t xml:space="preserve">opic retrograde cholangiopancreatography: overview of its safety and efficacy. </w:t>
      </w:r>
      <w:r>
        <w:rPr>
          <w:rFonts w:ascii="Book Antiqua" w:eastAsia="Book Antiqua" w:hAnsi="Book Antiqua" w:cs="Book Antiqua"/>
          <w:i/>
          <w:iCs/>
          <w:color w:val="000000"/>
        </w:rPr>
        <w:t>Expert Rev Med Devices</w:t>
      </w:r>
      <w:r>
        <w:rPr>
          <w:rFonts w:ascii="Book Antiqua" w:eastAsia="Book Antiqua" w:hAnsi="Book Antiqua" w:cs="Book Antiqua"/>
          <w:color w:val="000000"/>
        </w:rPr>
        <w:t>. 2021; 18: 421-427 [PMID: 33855920 DOI: 10.1080/17434440.2021.1917990]</w:t>
      </w:r>
    </w:p>
    <w:p w14:paraId="06EF3064"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Beilenhoff U</w:t>
      </w:r>
      <w:r>
        <w:rPr>
          <w:rFonts w:ascii="Book Antiqua" w:eastAsia="Book Antiqua" w:hAnsi="Book Antiqua" w:cs="Book Antiqua"/>
          <w:color w:val="000000"/>
        </w:rPr>
        <w:t>, Biering H, Blum R, Brljak J, Cimbro M, Dumonceau JM, Hassan C, Jung</w:t>
      </w:r>
      <w:r>
        <w:rPr>
          <w:rFonts w:ascii="Book Antiqua" w:eastAsia="Book Antiqua" w:hAnsi="Book Antiqua" w:cs="Book Antiqua"/>
          <w:color w:val="000000"/>
        </w:rPr>
        <w:t xml:space="preserve"> M, Neumann C, Pietsch M, Pineau L, Ponchon T, Rejchrt S, Rey JF, Schmidt V, Tillett J, van Hooft J. ESGE-ESGENA technical specification for process validation and routine testing of endoscope reprocessing in washer-disinfectors according to EN ISO 15883, </w:t>
      </w:r>
      <w:r>
        <w:rPr>
          <w:rFonts w:ascii="Book Antiqua" w:eastAsia="Book Antiqua" w:hAnsi="Book Antiqua" w:cs="Book Antiqua"/>
          <w:color w:val="000000"/>
        </w:rPr>
        <w:lastRenderedPageBreak/>
        <w:t xml:space="preserve">parts 1, 4, and ISO/TS 15883-5.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1262-1275 [PMID: 29145674 DOI: 10.1055/s-0043-122073]</w:t>
      </w:r>
    </w:p>
    <w:p w14:paraId="21201697"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Akshintala VS</w:t>
      </w:r>
      <w:r>
        <w:rPr>
          <w:rFonts w:ascii="Book Antiqua" w:eastAsia="Book Antiqua" w:hAnsi="Book Antiqua" w:cs="Book Antiqua"/>
          <w:color w:val="000000"/>
        </w:rPr>
        <w:t>, Sperna Weiland CJ, Bhullar FA, Kamal A, Kanthasamy K, Kuo A, Tomasetti C, Gurakar M, Drenth JPH, Yadav D, Elmunzer BJ, Reddy DN, Goenka MK, Kochhar R, Kalloo AN, Khashab MA, van Geenen EJM, Singh VK. Non-steroidal anti-inflammatory drugs, intravenous flu</w:t>
      </w:r>
      <w:r>
        <w:rPr>
          <w:rFonts w:ascii="Book Antiqua" w:eastAsia="Book Antiqua" w:hAnsi="Book Antiqua" w:cs="Book Antiqua"/>
          <w:color w:val="000000"/>
        </w:rPr>
        <w:t xml:space="preserve">ids, pancreatic stents, or their combinations for the prevention of post-endoscopic retrograde cholangiopancreatography pancreatitis: a systematic review and network meta-analysis.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733-742 [PMID: 34214449 DOI: 10.1016/</w:t>
      </w:r>
      <w:r>
        <w:rPr>
          <w:rFonts w:ascii="Book Antiqua" w:eastAsia="Book Antiqua" w:hAnsi="Book Antiqua" w:cs="Book Antiqua"/>
          <w:color w:val="000000"/>
        </w:rPr>
        <w:t>S2468-1253(21)00170-9]</w:t>
      </w:r>
    </w:p>
    <w:p w14:paraId="670F636A"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Higa JT</w:t>
      </w:r>
      <w:r>
        <w:rPr>
          <w:rFonts w:ascii="Book Antiqua" w:eastAsia="Book Antiqua" w:hAnsi="Book Antiqua" w:cs="Book Antiqua"/>
          <w:color w:val="000000"/>
        </w:rPr>
        <w:t xml:space="preserve">, Ross AS. Duodenoscope as a Vector for Transmission. </w:t>
      </w:r>
      <w:r>
        <w:rPr>
          <w:rFonts w:ascii="Book Antiqua" w:eastAsia="Book Antiqua" w:hAnsi="Book Antiqua" w:cs="Book Antiqua"/>
          <w:i/>
          <w:iCs/>
          <w:color w:val="000000"/>
        </w:rPr>
        <w:t>Gastrointest Endosc Clin N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653-663 [PMID: 32891223 DOI: 10.1016/j.giec.2020.05.002]</w:t>
      </w:r>
    </w:p>
    <w:p w14:paraId="5465BB10"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Humphries RM</w:t>
      </w:r>
      <w:r>
        <w:rPr>
          <w:rFonts w:ascii="Book Antiqua" w:eastAsia="Book Antiqua" w:hAnsi="Book Antiqua" w:cs="Book Antiqua"/>
          <w:color w:val="000000"/>
        </w:rPr>
        <w:t xml:space="preserve">, Yang S, Kim S, Muthusamy VR, Russell D, Trout AM, Zaroda </w:t>
      </w:r>
      <w:r>
        <w:rPr>
          <w:rFonts w:ascii="Book Antiqua" w:eastAsia="Book Antiqua" w:hAnsi="Book Antiqua" w:cs="Book Antiqua"/>
          <w:color w:val="000000"/>
        </w:rPr>
        <w:t xml:space="preserve">T, Cheng QJ, Aldrovandi G, Uslan DZ, Hemarajata P, Rubin ZA. Duodenoscope-Related Outbreak of a Carbapenem-Resistant Klebsiella pneumoniae Identified Using Advanced Molecular Diagnostics.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1159-1166 [PMID: 29579235 DOI: 10.1093/cid</w:t>
      </w:r>
      <w:r>
        <w:rPr>
          <w:rFonts w:ascii="Book Antiqua" w:eastAsia="Book Antiqua" w:hAnsi="Book Antiqua" w:cs="Book Antiqua"/>
          <w:color w:val="000000"/>
        </w:rPr>
        <w:t>/cix527]</w:t>
      </w:r>
    </w:p>
    <w:p w14:paraId="5DC641AF"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Ofstead CL</w:t>
      </w:r>
      <w:r>
        <w:rPr>
          <w:rFonts w:ascii="Book Antiqua" w:eastAsia="Book Antiqua" w:hAnsi="Book Antiqua" w:cs="Book Antiqua"/>
          <w:color w:val="000000"/>
        </w:rPr>
        <w:t xml:space="preserve">, Buro BL, Hopkins KM, Eiland JE, Wetzler HP, Lichtenstein DR. Duodenoscope-associated infection prevention: A call for evidence-based decision making.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E1769-E1781 [PMID: 33269310 DOI: 10.1055/a-1264-7173]</w:t>
      </w:r>
    </w:p>
    <w:p w14:paraId="19D2AD7E"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H</w:t>
      </w:r>
      <w:r>
        <w:rPr>
          <w:rFonts w:ascii="Book Antiqua" w:eastAsia="Book Antiqua" w:hAnsi="Book Antiqua" w:cs="Book Antiqua"/>
          <w:b/>
          <w:bCs/>
          <w:color w:val="000000"/>
        </w:rPr>
        <w:t>olzwanger EA</w:t>
      </w:r>
      <w:r>
        <w:rPr>
          <w:rFonts w:ascii="Book Antiqua" w:eastAsia="Book Antiqua" w:hAnsi="Book Antiqua" w:cs="Book Antiqua"/>
          <w:color w:val="000000"/>
        </w:rPr>
        <w:t xml:space="preserve">, Bilal M, Saperia J, Cohen J, Sawhney MS, Berzin TM, Pleskow DK. Duodenoscope-related infections and potential role of single-use duodenoscopes. </w:t>
      </w:r>
      <w:r>
        <w:rPr>
          <w:rFonts w:ascii="Book Antiqua" w:eastAsia="Book Antiqua" w:hAnsi="Book Antiqua" w:cs="Book Antiqua"/>
          <w:i/>
          <w:iCs/>
          <w:color w:val="000000"/>
        </w:rPr>
        <w:t>VideoGIE</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628-629 [PMID: 33024906 DOI: 10.1016/j.vgie.2020.08.011]</w:t>
      </w:r>
    </w:p>
    <w:p w14:paraId="42568939"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Rubin ZA</w:t>
      </w:r>
      <w:r>
        <w:rPr>
          <w:rFonts w:ascii="Book Antiqua" w:eastAsia="Book Antiqua" w:hAnsi="Book Antiqua" w:cs="Book Antiqua"/>
          <w:color w:val="000000"/>
        </w:rPr>
        <w:t>, Kim S, Tha</w:t>
      </w:r>
      <w:r>
        <w:rPr>
          <w:rFonts w:ascii="Book Antiqua" w:eastAsia="Book Antiqua" w:hAnsi="Book Antiqua" w:cs="Book Antiqua"/>
          <w:color w:val="000000"/>
        </w:rPr>
        <w:t xml:space="preserve">ker AM, Muthusamy VR. Safely reprocessing duodenoscopes: current evidence and future directions.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499-508 [PMID: 29893234 DOI: 10.1016/S2468-1253(18)30122-5]</w:t>
      </w:r>
    </w:p>
    <w:p w14:paraId="0CDB305E"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Ellison PL Jr</w:t>
      </w:r>
      <w:r>
        <w:rPr>
          <w:rFonts w:ascii="Book Antiqua" w:eastAsia="Book Antiqua" w:hAnsi="Book Antiqua" w:cs="Book Antiqua"/>
          <w:color w:val="000000"/>
        </w:rPr>
        <w:t xml:space="preserve">, Freeman J, Elmunzer BJ, Cote GA, Brock AS. </w:t>
      </w:r>
      <w:r>
        <w:rPr>
          <w:rFonts w:ascii="Book Antiqua" w:eastAsia="Book Antiqua" w:hAnsi="Book Antiqua" w:cs="Book Antiqua"/>
          <w:color w:val="000000"/>
        </w:rPr>
        <w:t xml:space="preserve">Review of Duodenoscope Infection Prevention Practices at the Medical University of South Carolina. </w:t>
      </w:r>
      <w:r>
        <w:rPr>
          <w:rFonts w:ascii="Book Antiqua" w:eastAsia="Book Antiqua" w:hAnsi="Book Antiqua" w:cs="Book Antiqua"/>
          <w:i/>
          <w:iCs/>
          <w:color w:val="000000"/>
        </w:rPr>
        <w:t>Gastroenterol Nurs</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E214-E216 [PMID: 33055545 DOI: 10.1097/SGA.0000000000000499]</w:t>
      </w:r>
    </w:p>
    <w:p w14:paraId="4FDB45C3"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Bomman S</w:t>
      </w:r>
      <w:r>
        <w:rPr>
          <w:rFonts w:ascii="Book Antiqua" w:eastAsia="Book Antiqua" w:hAnsi="Book Antiqua" w:cs="Book Antiqua"/>
          <w:color w:val="000000"/>
        </w:rPr>
        <w:t>, Kozarek RA, Thaker AM, Kodama C, Muthusamy VR, Ross AS</w:t>
      </w:r>
      <w:r>
        <w:rPr>
          <w:rFonts w:ascii="Book Antiqua" w:eastAsia="Book Antiqua" w:hAnsi="Book Antiqua" w:cs="Book Antiqua"/>
          <w:color w:val="000000"/>
        </w:rPr>
        <w:t xml:space="preserve">, Krishnamoorthi R. Economic burden of enhanced practices of duodenoscopes </w:t>
      </w:r>
      <w:r>
        <w:rPr>
          <w:rFonts w:ascii="Book Antiqua" w:eastAsia="Book Antiqua" w:hAnsi="Book Antiqua" w:cs="Book Antiqua"/>
          <w:color w:val="000000"/>
        </w:rPr>
        <w:lastRenderedPageBreak/>
        <w:t xml:space="preserve">reprocessing and surveillance: balancing risk and cost containment.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E1404-E1412 [PMID: 34466366 DOI: 10.1055/a-1515-2591]</w:t>
      </w:r>
    </w:p>
    <w:p w14:paraId="2A102BD9"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Larsen S</w:t>
      </w:r>
      <w:r>
        <w:rPr>
          <w:rFonts w:ascii="Book Antiqua" w:eastAsia="Book Antiqua" w:hAnsi="Book Antiqua" w:cs="Book Antiqua"/>
          <w:color w:val="000000"/>
        </w:rPr>
        <w:t>, Russell RV, Ockert LK</w:t>
      </w:r>
      <w:r>
        <w:rPr>
          <w:rFonts w:ascii="Book Antiqua" w:eastAsia="Book Antiqua" w:hAnsi="Book Antiqua" w:cs="Book Antiqua"/>
          <w:color w:val="000000"/>
        </w:rPr>
        <w:t xml:space="preserve">, Spanos S, Travis HS, Ehlers LH, Mærkedahl A. Rate and impact of duodenoscope contamination: A systematic review and meta-analysis. </w:t>
      </w:r>
      <w:r>
        <w:rPr>
          <w:rFonts w:ascii="Book Antiqua" w:eastAsia="Book Antiqua" w:hAnsi="Book Antiqua" w:cs="Book Antiqua"/>
          <w:i/>
          <w:iCs/>
          <w:color w:val="000000"/>
        </w:rPr>
        <w:t>EClinicalMedicine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100451 [PMID: 32954234 DOI: 10.1016/j.eclinm.2020.100451]</w:t>
      </w:r>
    </w:p>
    <w:p w14:paraId="496EEDC9"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Hutfless S</w:t>
      </w:r>
      <w:r>
        <w:rPr>
          <w:rFonts w:ascii="Book Antiqua" w:eastAsia="Book Antiqua" w:hAnsi="Book Antiqua" w:cs="Book Antiqua"/>
          <w:color w:val="000000"/>
        </w:rPr>
        <w:t>. Endoscope infection tr</w:t>
      </w:r>
      <w:r>
        <w:rPr>
          <w:rFonts w:ascii="Book Antiqua" w:eastAsia="Book Antiqua" w:hAnsi="Book Antiqua" w:cs="Book Antiqua"/>
          <w:color w:val="000000"/>
        </w:rPr>
        <w:t xml:space="preserve">ansmission state-of-the-art: beyond duodenoscopes to a culture of infection prevention. </w:t>
      </w:r>
      <w:r>
        <w:rPr>
          <w:rFonts w:ascii="Book Antiqua" w:eastAsia="Book Antiqua" w:hAnsi="Book Antiqua" w:cs="Book Antiqua"/>
          <w:i/>
          <w:iCs/>
          <w:color w:val="000000"/>
        </w:rPr>
        <w:t>Curr Opin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366-369 [PMID: 32739998 DOI: 10.1097/MOG.0000000000000669]</w:t>
      </w:r>
    </w:p>
    <w:p w14:paraId="3FA51C93"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Mehrotra P</w:t>
      </w:r>
      <w:r>
        <w:rPr>
          <w:rFonts w:ascii="Book Antiqua" w:eastAsia="Book Antiqua" w:hAnsi="Book Antiqua" w:cs="Book Antiqua"/>
          <w:color w:val="000000"/>
        </w:rPr>
        <w:t xml:space="preserve">, Weber DJ, Sarpatwari A. Preventing medical-device-borne outbreaks: High-level disinfection policy for duodenoscopes. </w:t>
      </w:r>
      <w:r>
        <w:rPr>
          <w:rFonts w:ascii="Book Antiqua" w:eastAsia="Book Antiqua" w:hAnsi="Book Antiqua" w:cs="Book Antiqua"/>
          <w:i/>
          <w:iCs/>
          <w:color w:val="000000"/>
        </w:rPr>
        <w:t>Infect Control Hosp Epidemiol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42</w:t>
      </w:r>
      <w:r>
        <w:rPr>
          <w:rFonts w:ascii="Book Antiqua" w:eastAsia="Book Antiqua" w:hAnsi="Book Antiqua" w:cs="Book Antiqua"/>
          <w:color w:val="000000"/>
        </w:rPr>
        <w:t>: 334-337 [PMID: 33308347 DOI: 10.1017/ice.2020.1338]</w:t>
      </w:r>
    </w:p>
    <w:p w14:paraId="3C46041A"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Snyder GM</w:t>
      </w:r>
      <w:r>
        <w:rPr>
          <w:rFonts w:ascii="Book Antiqua" w:eastAsia="Book Antiqua" w:hAnsi="Book Antiqua" w:cs="Book Antiqua"/>
          <w:color w:val="000000"/>
        </w:rPr>
        <w:t xml:space="preserve">, Wright SB, Smithey A, Mizrahi M, Sheppard M, Hirsch EB, Chuttani R, Heroux R, Yassa DS, Olafsdottir LB, Davis RB, Anastasiou J, Bapat V, Bidari K, Pleskow DK, Leffler D, Lane B, Chen A, Gold HS, Bartley A, King AD, Sawhney MS. Randomized Comparison of 3 </w:t>
      </w:r>
      <w:r>
        <w:rPr>
          <w:rFonts w:ascii="Book Antiqua" w:eastAsia="Book Antiqua" w:hAnsi="Book Antiqua" w:cs="Book Antiqua"/>
          <w:color w:val="000000"/>
        </w:rPr>
        <w:t xml:space="preserve">High-Level Disinfection and Sterilization Procedures for Duodenoscopes.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1018-1025 [PMID: 28711629 DOI: 10.1053/j.gastro.2017.06.052]</w:t>
      </w:r>
    </w:p>
    <w:p w14:paraId="651824F9"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Benowitz I</w:t>
      </w:r>
      <w:r>
        <w:rPr>
          <w:rFonts w:ascii="Book Antiqua" w:eastAsia="Book Antiqua" w:hAnsi="Book Antiqua" w:cs="Book Antiqua"/>
          <w:color w:val="000000"/>
        </w:rPr>
        <w:t xml:space="preserve">, Moulton-Meissner HA, Epstein L, Arduino MJ. The Centers for Disease Control and </w:t>
      </w:r>
      <w:r>
        <w:rPr>
          <w:rFonts w:ascii="Book Antiqua" w:eastAsia="Book Antiqua" w:hAnsi="Book Antiqua" w:cs="Book Antiqua"/>
          <w:color w:val="000000"/>
        </w:rPr>
        <w:t xml:space="preserve">Prevention Guidance on Flexible Gastrointestinal Endoscopes: Lessons Learned from Outbreaks, Infection Control. </w:t>
      </w:r>
      <w:r>
        <w:rPr>
          <w:rFonts w:ascii="Book Antiqua" w:eastAsia="Book Antiqua" w:hAnsi="Book Antiqua" w:cs="Book Antiqua"/>
          <w:i/>
          <w:iCs/>
          <w:color w:val="000000"/>
        </w:rPr>
        <w:t>Gastrointest Endosc Clin N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723-733 [PMID: 32891228 DOI: 10.1016/j.giec.2020.06.009]</w:t>
      </w:r>
    </w:p>
    <w:p w14:paraId="6A4F41E4"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Haugen SP</w:t>
      </w:r>
      <w:r>
        <w:rPr>
          <w:rFonts w:ascii="Book Antiqua" w:eastAsia="Book Antiqua" w:hAnsi="Book Antiqua" w:cs="Book Antiqua"/>
          <w:color w:val="000000"/>
        </w:rPr>
        <w:t>, Ferriter A, Connell J, Min LJ, Wi</w:t>
      </w:r>
      <w:r>
        <w:rPr>
          <w:rFonts w:ascii="Book Antiqua" w:eastAsia="Book Antiqua" w:hAnsi="Book Antiqua" w:cs="Book Antiqua"/>
          <w:color w:val="000000"/>
        </w:rPr>
        <w:t xml:space="preserve">yor HD, Cole S. Recent Actions by the US Food and Drug Administration: Reducing the Risk of Infection from Reprocessed Duodenoscopes. </w:t>
      </w:r>
      <w:r>
        <w:rPr>
          <w:rFonts w:ascii="Book Antiqua" w:eastAsia="Book Antiqua" w:hAnsi="Book Antiqua" w:cs="Book Antiqua"/>
          <w:i/>
          <w:iCs/>
          <w:color w:val="000000"/>
        </w:rPr>
        <w:t>Gastrointest Endosc Clin N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711-721 [PMID: 32891227 DOI: 10.1016/j.giec.2020.06.010]</w:t>
      </w:r>
    </w:p>
    <w:p w14:paraId="7D9FB512"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Edmundowicz SA</w:t>
      </w:r>
      <w:r>
        <w:rPr>
          <w:rFonts w:ascii="Book Antiqua" w:eastAsia="Book Antiqua" w:hAnsi="Book Antiqua" w:cs="Book Antiqua"/>
          <w:color w:val="000000"/>
        </w:rPr>
        <w:t>. Is a S</w:t>
      </w:r>
      <w:r>
        <w:rPr>
          <w:rFonts w:ascii="Book Antiqua" w:eastAsia="Book Antiqua" w:hAnsi="Book Antiqua" w:cs="Book Antiqua"/>
          <w:color w:val="000000"/>
        </w:rPr>
        <w:t xml:space="preserve">olution to Duodenoscope-transmitted Infections Good Enough and Can We Afford it?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1933-1934 [PMID: 32302708 DOI: 10.1016/j.cgh.2020.04.026]</w:t>
      </w:r>
    </w:p>
    <w:p w14:paraId="72F26D4B"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Ross AS</w:t>
      </w:r>
      <w:r>
        <w:rPr>
          <w:rFonts w:ascii="Book Antiqua" w:eastAsia="Book Antiqua" w:hAnsi="Book Antiqua" w:cs="Book Antiqua"/>
          <w:color w:val="000000"/>
        </w:rPr>
        <w:t xml:space="preserve">, Bruno MJ, Kozarek RA, Petersen BT, Pleskow DK, Sejpal DV, Slivka A, </w:t>
      </w:r>
      <w:r>
        <w:rPr>
          <w:rFonts w:ascii="Book Antiqua" w:eastAsia="Book Antiqua" w:hAnsi="Book Antiqua" w:cs="Book Antiqua"/>
          <w:color w:val="000000"/>
        </w:rPr>
        <w:t xml:space="preserve">Moore D, Panduro K, Peetermans JA, Insull J, Rousseau MJ, Tirrell GP, Muthusamy VR. Novel single-use duodenoscope compared with 3 models of reusable duodenoscopes for ERCP: a randomized bench-model comparison.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396-403 [PMID: 3</w:t>
      </w:r>
      <w:r>
        <w:rPr>
          <w:rFonts w:ascii="Book Antiqua" w:eastAsia="Book Antiqua" w:hAnsi="Book Antiqua" w:cs="Book Antiqua"/>
          <w:color w:val="000000"/>
        </w:rPr>
        <w:t>1679738 DOI: 10.1016/j.gie.2019.08.032]</w:t>
      </w:r>
    </w:p>
    <w:p w14:paraId="5957DCE4"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Muthusamy VR</w:t>
      </w:r>
      <w:r>
        <w:rPr>
          <w:rFonts w:ascii="Book Antiqua" w:eastAsia="Book Antiqua" w:hAnsi="Book Antiqua" w:cs="Book Antiqua"/>
          <w:color w:val="000000"/>
        </w:rPr>
        <w:t>, Bruno MJ, Kozarek RA, Petersen BT, Pleskow DK, Sejpal DV, Slivka A, Peetermans JA, Rousseau MJ, Tirrell GP, Ross AS. Clinical Evaluation of a Single-Use Duodenoscope for Endoscopic Retrograde Cholang</w:t>
      </w:r>
      <w:r>
        <w:rPr>
          <w:rFonts w:ascii="Book Antiqua" w:eastAsia="Book Antiqua" w:hAnsi="Book Antiqua" w:cs="Book Antiqua"/>
          <w:color w:val="000000"/>
        </w:rPr>
        <w:t xml:space="preserve">iopancreatography.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2108-2117.e3 [PMID: 31706060 DOI: 10.1016/j.cgh.2019.10.052]</w:t>
      </w:r>
    </w:p>
    <w:p w14:paraId="1AC20068"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Bang JY</w:t>
      </w:r>
      <w:r>
        <w:rPr>
          <w:rFonts w:ascii="Book Antiqua" w:eastAsia="Book Antiqua" w:hAnsi="Book Antiqua" w:cs="Book Antiqua"/>
          <w:color w:val="000000"/>
        </w:rPr>
        <w:t xml:space="preserve">, Hawes R, Varadarajulu S. Equivalent performance of single-use and reusable duodenoscopes in a randomised trial.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8</w:t>
      </w:r>
      <w:r>
        <w:rPr>
          <w:rFonts w:ascii="Book Antiqua" w:eastAsia="Book Antiqua" w:hAnsi="Book Antiqua" w:cs="Book Antiqua"/>
          <w:color w:val="000000"/>
        </w:rPr>
        <w:t>38-844 [PMID: 32895332 DOI: 10.1136/gutjnl-2020-321836]</w:t>
      </w:r>
    </w:p>
    <w:p w14:paraId="1F9646A3"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Napoléon B</w:t>
      </w:r>
      <w:r>
        <w:rPr>
          <w:rFonts w:ascii="Book Antiqua" w:eastAsia="Book Antiqua" w:hAnsi="Book Antiqua" w:cs="Book Antiqua"/>
          <w:bCs/>
          <w:color w:val="000000"/>
        </w:rPr>
        <w:t>, Gonzalez JM, Grandval P, Lisotti A, Laquière AE, Boustière C, Barthet M, Prat F, Ponchon T, Donatelli G, Vanbiervliet G. Evaluation of the performances of a single-use duodenoscope: Pro</w:t>
      </w:r>
      <w:r>
        <w:rPr>
          <w:rFonts w:ascii="Book Antiqua" w:eastAsia="Book Antiqua" w:hAnsi="Book Antiqua" w:cs="Book Antiqua"/>
          <w:bCs/>
          <w:color w:val="000000"/>
        </w:rPr>
        <w:t xml:space="preserve">spective multi-center national study. </w:t>
      </w:r>
      <w:r>
        <w:rPr>
          <w:rFonts w:ascii="Book Antiqua" w:eastAsia="Book Antiqua" w:hAnsi="Book Antiqua" w:cs="Book Antiqua"/>
          <w:bCs/>
          <w:i/>
          <w:color w:val="000000"/>
        </w:rPr>
        <w:t>Dig Endosc</w:t>
      </w:r>
      <w:r>
        <w:rPr>
          <w:rFonts w:ascii="Book Antiqua" w:eastAsia="Book Antiqua" w:hAnsi="Book Antiqua" w:cs="Book Antiqua"/>
          <w:bCs/>
          <w:color w:val="000000"/>
        </w:rPr>
        <w:t xml:space="preserve"> 2022; </w:t>
      </w:r>
      <w:r>
        <w:rPr>
          <w:rFonts w:ascii="Book Antiqua" w:eastAsia="Book Antiqua" w:hAnsi="Book Antiqua" w:cs="Book Antiqua"/>
          <w:b/>
          <w:bCs/>
          <w:color w:val="000000"/>
        </w:rPr>
        <w:t>34:</w:t>
      </w:r>
      <w:r>
        <w:rPr>
          <w:rFonts w:ascii="Book Antiqua" w:eastAsia="Book Antiqua" w:hAnsi="Book Antiqua" w:cs="Book Antiqua"/>
          <w:bCs/>
          <w:color w:val="000000"/>
        </w:rPr>
        <w:t xml:space="preserve"> 215-221 [PMID: 33666280 DOI: 10.1111/den.13965]</w:t>
      </w:r>
    </w:p>
    <w:p w14:paraId="63209F2C"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Slivka A</w:t>
      </w:r>
      <w:r>
        <w:rPr>
          <w:rFonts w:ascii="Book Antiqua" w:eastAsia="Book Antiqua" w:hAnsi="Book Antiqua" w:cs="Book Antiqua"/>
          <w:color w:val="000000"/>
        </w:rPr>
        <w:t xml:space="preserve">, Ross AS, Sejpal DV, Petersen BT, Bruno MJ, Pleskow DK, Muthusamy VR, Chennat JS, Krishnamoorthi R, Lee C, Martin JA, Poley JW, Cohen JM, Thaker AM, Peetermans JA, Rousseau MJ, Tirrell GP, Kozarek RA; EXALT Single-use Duodenoscope Study Group. Single-use </w:t>
      </w:r>
      <w:r>
        <w:rPr>
          <w:rFonts w:ascii="Book Antiqua" w:eastAsia="Book Antiqua" w:hAnsi="Book Antiqua" w:cs="Book Antiqua"/>
          <w:color w:val="000000"/>
        </w:rPr>
        <w:t xml:space="preserve">duodenoscope for ERCP performed by endoscopists with a range of experience in procedures of variable complexity.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94</w:t>
      </w:r>
      <w:r>
        <w:rPr>
          <w:rFonts w:ascii="Book Antiqua" w:eastAsia="Book Antiqua" w:hAnsi="Book Antiqua" w:cs="Book Antiqua"/>
          <w:color w:val="000000"/>
        </w:rPr>
        <w:t>: 1046-1055 [PMID: 34186052 DOI: 10.1016/j.gie.2021.06.017]</w:t>
      </w:r>
    </w:p>
    <w:p w14:paraId="75875185" w14:textId="77777777" w:rsidR="005C6294" w:rsidRDefault="00771FC7">
      <w:pPr>
        <w:spacing w:line="360" w:lineRule="auto"/>
        <w:jc w:val="both"/>
        <w:rPr>
          <w:rFonts w:ascii="Book Antiqua" w:eastAsia="Book Antiqua" w:hAnsi="Book Antiqua" w:cs="Book Antiqua"/>
          <w:bCs/>
          <w:color w:val="000000"/>
        </w:rPr>
      </w:pPr>
      <w:r>
        <w:rPr>
          <w:rFonts w:ascii="Book Antiqua" w:eastAsia="Book Antiqua" w:hAnsi="Book Antiqua" w:cs="Book Antiqua"/>
          <w:color w:val="000000"/>
        </w:rPr>
        <w:t xml:space="preserve">26 </w:t>
      </w:r>
      <w:r>
        <w:rPr>
          <w:rFonts w:ascii="Book Antiqua" w:eastAsia="Book Antiqua" w:hAnsi="Book Antiqua" w:cs="Book Antiqua"/>
          <w:b/>
          <w:bCs/>
          <w:color w:val="000000"/>
        </w:rPr>
        <w:t>Lisotti A</w:t>
      </w:r>
      <w:r>
        <w:rPr>
          <w:rFonts w:ascii="Book Antiqua" w:eastAsia="Book Antiqua" w:hAnsi="Book Antiqua" w:cs="Book Antiqua"/>
          <w:bCs/>
          <w:color w:val="000000"/>
        </w:rPr>
        <w:t>, Zagari RM, Fusaroli P, Napoléon B. Optima</w:t>
      </w:r>
      <w:r>
        <w:rPr>
          <w:rFonts w:ascii="Book Antiqua" w:eastAsia="Book Antiqua" w:hAnsi="Book Antiqua" w:cs="Book Antiqua"/>
          <w:bCs/>
          <w:color w:val="000000"/>
        </w:rPr>
        <w:t xml:space="preserve">l safety and pooled technical success rate for ERCP performed with single-use duodenoscopes. </w:t>
      </w:r>
      <w:r>
        <w:rPr>
          <w:rFonts w:ascii="Book Antiqua" w:eastAsia="Book Antiqua" w:hAnsi="Book Antiqua" w:cs="Book Antiqua"/>
          <w:bCs/>
          <w:i/>
          <w:color w:val="000000"/>
        </w:rPr>
        <w:t>Dig Liver Dis</w:t>
      </w:r>
      <w:r>
        <w:rPr>
          <w:rFonts w:ascii="Book Antiqua" w:eastAsia="Book Antiqua" w:hAnsi="Book Antiqua" w:cs="Book Antiqua"/>
          <w:bCs/>
          <w:color w:val="000000"/>
        </w:rPr>
        <w:t xml:space="preserve"> 2022; </w:t>
      </w:r>
      <w:r>
        <w:rPr>
          <w:rFonts w:ascii="Book Antiqua" w:eastAsia="Book Antiqua" w:hAnsi="Book Antiqua" w:cs="Book Antiqua"/>
          <w:b/>
          <w:bCs/>
          <w:color w:val="000000"/>
        </w:rPr>
        <w:t>54:</w:t>
      </w:r>
      <w:r>
        <w:rPr>
          <w:rFonts w:ascii="Book Antiqua" w:eastAsia="Book Antiqua" w:hAnsi="Book Antiqua" w:cs="Book Antiqua"/>
          <w:bCs/>
          <w:color w:val="000000"/>
        </w:rPr>
        <w:t xml:space="preserve"> 291-292 [PMID: 34838478 DOI: 10.1016/j.dld.2021.11.003]</w:t>
      </w:r>
    </w:p>
    <w:p w14:paraId="634F42CA"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Bang JY</w:t>
      </w:r>
      <w:r>
        <w:rPr>
          <w:rFonts w:ascii="Book Antiqua" w:eastAsia="Book Antiqua" w:hAnsi="Book Antiqua" w:cs="Book Antiqua"/>
          <w:color w:val="000000"/>
        </w:rPr>
        <w:t>, Rösch T, Kim HM, Thakkar S, Robalino Gonzaga E, Tharian B, Inamdar S, L</w:t>
      </w:r>
      <w:r>
        <w:rPr>
          <w:rFonts w:ascii="Book Antiqua" w:eastAsia="Book Antiqua" w:hAnsi="Book Antiqua" w:cs="Book Antiqua"/>
          <w:color w:val="000000"/>
        </w:rPr>
        <w:t xml:space="preserve">ee LS, Yachimski P, Jamidar P, Muniraj T, DiMaio C, Kumta N, Sethi A, Draganov P, Yang D, Seoud T, Perisetti A, Bondi G, Kirtane S, Hawes R, Wilcox CM, Kozarek R, Reddy DN, Varadarajulu S. Prospective evaluation of an assessment tool for technical </w:t>
      </w:r>
      <w:r>
        <w:rPr>
          <w:rFonts w:ascii="Book Antiqua" w:eastAsia="Book Antiqua" w:hAnsi="Book Antiqua" w:cs="Book Antiqua"/>
          <w:color w:val="000000"/>
        </w:rPr>
        <w:lastRenderedPageBreak/>
        <w:t>performa</w:t>
      </w:r>
      <w:r>
        <w:rPr>
          <w:rFonts w:ascii="Book Antiqua" w:eastAsia="Book Antiqua" w:hAnsi="Book Antiqua" w:cs="Book Antiqua"/>
          <w:color w:val="000000"/>
        </w:rPr>
        <w:t xml:space="preserve">nce of duodenoscopes.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822-828 [PMID: 33007136 DOI: 10.1111/den.13856]</w:t>
      </w:r>
    </w:p>
    <w:p w14:paraId="72C239BD"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Barakat MT</w:t>
      </w:r>
      <w:r>
        <w:rPr>
          <w:rFonts w:ascii="Book Antiqua" w:eastAsia="Book Antiqua" w:hAnsi="Book Antiqua" w:cs="Book Antiqua"/>
          <w:bCs/>
          <w:color w:val="000000"/>
        </w:rPr>
        <w:t xml:space="preserve">, Ghosh S, Banerjee S. Cost utility analysis of strategies for minimizing risk of duodenoscope related infections. </w:t>
      </w:r>
      <w:r>
        <w:rPr>
          <w:rFonts w:ascii="Book Antiqua" w:eastAsia="Book Antiqua" w:hAnsi="Book Antiqua" w:cs="Book Antiqua"/>
          <w:bCs/>
          <w:i/>
          <w:color w:val="000000"/>
        </w:rPr>
        <w:t>Gastrointest Endosc</w:t>
      </w:r>
      <w:r>
        <w:rPr>
          <w:rFonts w:ascii="Book Antiqua" w:eastAsia="Book Antiqua" w:hAnsi="Book Antiqua" w:cs="Book Antiqua"/>
          <w:bCs/>
          <w:color w:val="000000"/>
        </w:rPr>
        <w:t xml:space="preserve"> 2022 [PMID: 35026</w:t>
      </w:r>
      <w:r>
        <w:rPr>
          <w:rFonts w:ascii="Book Antiqua" w:eastAsia="Book Antiqua" w:hAnsi="Book Antiqua" w:cs="Book Antiqua"/>
          <w:bCs/>
          <w:color w:val="000000"/>
        </w:rPr>
        <w:t>281 DOI: 10.1016/j.gie.2022.01.002]</w:t>
      </w:r>
    </w:p>
    <w:p w14:paraId="202DF941" w14:textId="77777777" w:rsidR="005C6294" w:rsidRDefault="00771FC7">
      <w:pPr>
        <w:spacing w:line="360" w:lineRule="auto"/>
        <w:jc w:val="both"/>
        <w:rPr>
          <w:rFonts w:ascii="Book Antiqua" w:hAnsi="Book Antiqua"/>
        </w:rPr>
        <w:sectPr w:rsidR="005C6294">
          <w:footerReference w:type="default" r:id="rId7"/>
          <w:pgSz w:w="12240" w:h="15840"/>
          <w:pgMar w:top="1440" w:right="1440" w:bottom="1440" w:left="1440" w:header="0" w:footer="720" w:gutter="0"/>
          <w:cols w:space="720"/>
          <w:formProt w:val="0"/>
          <w:docGrid w:linePitch="360"/>
        </w:sectPr>
      </w:pPr>
      <w:r>
        <w:rPr>
          <w:rFonts w:ascii="Book Antiqua" w:eastAsia="Book Antiqua" w:hAnsi="Book Antiqua" w:cs="Book Antiqua"/>
          <w:color w:val="000000"/>
        </w:rPr>
        <w:t xml:space="preserve">29 </w:t>
      </w:r>
      <w:r>
        <w:rPr>
          <w:rFonts w:ascii="Book Antiqua" w:eastAsia="Book Antiqua" w:hAnsi="Book Antiqua" w:cs="Book Antiqua"/>
          <w:b/>
          <w:bCs/>
          <w:color w:val="000000"/>
        </w:rPr>
        <w:t>Dhar A</w:t>
      </w:r>
      <w:r>
        <w:rPr>
          <w:rFonts w:ascii="Book Antiqua" w:eastAsia="Book Antiqua" w:hAnsi="Book Antiqua" w:cs="Book Antiqua"/>
          <w:bCs/>
          <w:color w:val="000000"/>
        </w:rPr>
        <w:t xml:space="preserve">, Hayee B, Wesley E, Stableforth W, Sebastian S. Reducing low risk of transmissible infection in duodenoscopes: at what cost to the planet? </w:t>
      </w:r>
      <w:r>
        <w:rPr>
          <w:rFonts w:ascii="Book Antiqua" w:eastAsia="Book Antiqua" w:hAnsi="Book Antiqua" w:cs="Book Antiqua"/>
          <w:bCs/>
          <w:i/>
          <w:color w:val="000000"/>
        </w:rPr>
        <w:t>Gut</w:t>
      </w:r>
      <w:r>
        <w:rPr>
          <w:rFonts w:ascii="Book Antiqua" w:eastAsia="Book Antiqua" w:hAnsi="Book Antiqua" w:cs="Book Antiqua"/>
          <w:bCs/>
          <w:color w:val="000000"/>
        </w:rPr>
        <w:t xml:space="preserve"> 2022; </w:t>
      </w:r>
      <w:r>
        <w:rPr>
          <w:rFonts w:ascii="Book Antiqua" w:eastAsia="Book Antiqua" w:hAnsi="Book Antiqua" w:cs="Book Antiqua"/>
          <w:b/>
          <w:bCs/>
          <w:color w:val="000000"/>
        </w:rPr>
        <w:t>71:</w:t>
      </w:r>
      <w:r>
        <w:rPr>
          <w:rFonts w:ascii="Book Antiqua" w:eastAsia="Book Antiqua" w:hAnsi="Book Antiqua" w:cs="Book Antiqua"/>
          <w:bCs/>
          <w:color w:val="000000"/>
        </w:rPr>
        <w:t xml:space="preserve"> 655-656 [PMID: 33972356 DOI: 10.1136/gutjnl-2021-324821]</w:t>
      </w:r>
    </w:p>
    <w:p w14:paraId="1EBFF42E" w14:textId="77777777" w:rsidR="005C6294" w:rsidRDefault="00771FC7">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50739B7" w14:textId="77777777" w:rsidR="005C6294" w:rsidRDefault="00771FC7">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w:t>
      </w:r>
      <w:r>
        <w:rPr>
          <w:rFonts w:ascii="Book Antiqua" w:eastAsia="Book Antiqua" w:hAnsi="Book Antiqua" w:cs="Book Antiqua"/>
          <w:color w:val="000000"/>
        </w:rPr>
        <w:t>hors declare no conflicts of interest for this article.</w:t>
      </w:r>
    </w:p>
    <w:p w14:paraId="413DF361" w14:textId="77777777" w:rsidR="005C6294" w:rsidRDefault="005C6294">
      <w:pPr>
        <w:spacing w:line="360" w:lineRule="auto"/>
        <w:jc w:val="both"/>
        <w:rPr>
          <w:rFonts w:ascii="Book Antiqua" w:hAnsi="Book Antiqua"/>
        </w:rPr>
      </w:pPr>
    </w:p>
    <w:p w14:paraId="00AE982C" w14:textId="77777777" w:rsidR="005C6294" w:rsidRDefault="00771FC7">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rPr>
        <w:t>The authors have read the PRISMA 2009 Checklist, and the manuscript was prepared and revised according to the PRISMA 2009 Checklist.</w:t>
      </w:r>
    </w:p>
    <w:p w14:paraId="451091D9" w14:textId="77777777" w:rsidR="005C6294" w:rsidRDefault="005C6294">
      <w:pPr>
        <w:spacing w:line="360" w:lineRule="auto"/>
        <w:jc w:val="both"/>
        <w:rPr>
          <w:rFonts w:ascii="Book Antiqua" w:hAnsi="Book Antiqua"/>
        </w:rPr>
      </w:pPr>
    </w:p>
    <w:p w14:paraId="27B7FEB6" w14:textId="77777777" w:rsidR="005C6294" w:rsidRDefault="00771FC7">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w:t>
      </w:r>
      <w:r>
        <w:rPr>
          <w:rFonts w:ascii="Book Antiqua" w:eastAsia="Book Antiqua" w:hAnsi="Book Antiqua" w:cs="Book Antiqua"/>
          <w:color w:val="000000"/>
        </w:rPr>
        <w:t>open-access article that was selected by an in-house editor and fully peer-reviewed by external reviewers. It is distributed in accordance with the Creative Commons Attribution NonCommercial (CC BY-NC 4.0) license, which permits others to distribute, remix</w:t>
      </w:r>
      <w:r>
        <w:rPr>
          <w:rFonts w:ascii="Book Antiqua" w:eastAsia="Book Antiqua" w:hAnsi="Book Antiqua" w:cs="Book Antiqua"/>
          <w:color w:val="000000"/>
        </w:rPr>
        <w:t>, adapt, build upon this work non-commercially, and license their derivative works on different terms, provided the original work is properly cited and the use is non-commercial. See: https://creativecommons.org/Licenses/by-nc/4.0/</w:t>
      </w:r>
    </w:p>
    <w:p w14:paraId="58B358FE" w14:textId="77777777" w:rsidR="005C6294" w:rsidRDefault="005C6294">
      <w:pPr>
        <w:spacing w:line="360" w:lineRule="auto"/>
        <w:jc w:val="both"/>
        <w:rPr>
          <w:rFonts w:ascii="Book Antiqua" w:hAnsi="Book Antiqua"/>
        </w:rPr>
      </w:pPr>
    </w:p>
    <w:p w14:paraId="7369F00C" w14:textId="77777777" w:rsidR="005C6294" w:rsidRDefault="00771FC7">
      <w:pPr>
        <w:spacing w:line="360" w:lineRule="auto"/>
        <w:jc w:val="both"/>
        <w:rPr>
          <w:rFonts w:ascii="Book Antiqua" w:hAnsi="Book Antiqua"/>
        </w:rPr>
      </w:pPr>
      <w:r>
        <w:rPr>
          <w:rFonts w:ascii="Book Antiqua" w:eastAsia="Book Antiqua" w:hAnsi="Book Antiqua" w:cs="Book Antiqua"/>
          <w:b/>
          <w:color w:val="000000"/>
        </w:rPr>
        <w:t>Provenance and peer rev</w:t>
      </w:r>
      <w:r>
        <w:rPr>
          <w:rFonts w:ascii="Book Antiqua" w:eastAsia="Book Antiqua" w:hAnsi="Book Antiqua" w:cs="Book Antiqua"/>
          <w:b/>
          <w:color w:val="000000"/>
        </w:rPr>
        <w:t xml:space="preserve">iew: </w:t>
      </w:r>
      <w:r>
        <w:rPr>
          <w:rFonts w:ascii="Book Antiqua" w:eastAsia="Book Antiqua" w:hAnsi="Book Antiqua" w:cs="Book Antiqua"/>
          <w:color w:val="000000"/>
        </w:rPr>
        <w:t xml:space="preserve">Invited article; </w:t>
      </w:r>
      <w:r>
        <w:rPr>
          <w:rFonts w:ascii="Book Antiqua" w:eastAsia="宋体" w:hAnsi="Book Antiqua" w:cs="Book Antiqua" w:hint="eastAsia"/>
          <w:color w:val="000000"/>
          <w:lang w:eastAsia="zh-CN"/>
        </w:rPr>
        <w:t>E</w:t>
      </w:r>
      <w:r>
        <w:rPr>
          <w:rFonts w:ascii="Book Antiqua" w:eastAsia="Book Antiqua" w:hAnsi="Book Antiqua" w:cs="Book Antiqua"/>
          <w:color w:val="000000"/>
        </w:rPr>
        <w:t>xternally peer reviewed.</w:t>
      </w:r>
    </w:p>
    <w:p w14:paraId="422AEC27" w14:textId="77777777" w:rsidR="005C6294" w:rsidRDefault="00771FC7">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3B26E50" w14:textId="77777777" w:rsidR="005C6294" w:rsidRDefault="005C6294">
      <w:pPr>
        <w:spacing w:line="360" w:lineRule="auto"/>
        <w:jc w:val="both"/>
        <w:rPr>
          <w:rFonts w:ascii="Book Antiqua" w:hAnsi="Book Antiqua"/>
        </w:rPr>
      </w:pPr>
    </w:p>
    <w:p w14:paraId="6F3E93E1" w14:textId="77777777" w:rsidR="005C6294" w:rsidRDefault="00771FC7">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28, 2021</w:t>
      </w:r>
    </w:p>
    <w:p w14:paraId="4EBC0E02" w14:textId="77777777" w:rsidR="005C6294" w:rsidRDefault="00771FC7">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12, 2022</w:t>
      </w:r>
    </w:p>
    <w:p w14:paraId="1F723287" w14:textId="77777777" w:rsidR="005C6294" w:rsidRDefault="00771FC7">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March 16, 2022</w:t>
      </w:r>
    </w:p>
    <w:p w14:paraId="7B0929AD" w14:textId="77777777" w:rsidR="005C6294" w:rsidRDefault="005C6294">
      <w:pPr>
        <w:spacing w:line="360" w:lineRule="auto"/>
        <w:jc w:val="both"/>
        <w:rPr>
          <w:rFonts w:ascii="Book Antiqua" w:hAnsi="Book Antiqua"/>
        </w:rPr>
      </w:pPr>
    </w:p>
    <w:p w14:paraId="2990BA60" w14:textId="77777777" w:rsidR="005C6294" w:rsidRDefault="00771FC7">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304AB756" w14:textId="77777777" w:rsidR="005C6294" w:rsidRDefault="00771FC7">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D683C81" w14:textId="77777777" w:rsidR="005C6294" w:rsidRDefault="00771FC7">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2E5E7AB"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Grade A (Excellent): 0</w:t>
      </w:r>
    </w:p>
    <w:p w14:paraId="28F57DEA"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Grade B (Very good): B, B</w:t>
      </w:r>
    </w:p>
    <w:p w14:paraId="6CEC37F9"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Grade C (Good): C</w:t>
      </w:r>
    </w:p>
    <w:p w14:paraId="3D2C2D9D"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Grade D (Fair): 0</w:t>
      </w:r>
    </w:p>
    <w:p w14:paraId="62DEB813" w14:textId="77777777" w:rsidR="005C6294" w:rsidRDefault="00771FC7">
      <w:pPr>
        <w:spacing w:line="360" w:lineRule="auto"/>
        <w:jc w:val="both"/>
        <w:rPr>
          <w:rFonts w:ascii="Book Antiqua" w:hAnsi="Book Antiqua"/>
        </w:rPr>
      </w:pPr>
      <w:r>
        <w:rPr>
          <w:rFonts w:ascii="Book Antiqua" w:eastAsia="Book Antiqua" w:hAnsi="Book Antiqua" w:cs="Book Antiqua"/>
          <w:color w:val="000000"/>
        </w:rPr>
        <w:t>Grade E (Poor): 0</w:t>
      </w:r>
    </w:p>
    <w:p w14:paraId="15489B27" w14:textId="77777777" w:rsidR="005C6294" w:rsidRDefault="005C6294">
      <w:pPr>
        <w:spacing w:line="360" w:lineRule="auto"/>
        <w:jc w:val="both"/>
        <w:rPr>
          <w:rFonts w:ascii="Book Antiqua" w:hAnsi="Book Antiqua"/>
        </w:rPr>
      </w:pPr>
    </w:p>
    <w:p w14:paraId="1D74F060" w14:textId="77777777" w:rsidR="005C6294" w:rsidRDefault="00771FC7">
      <w:pPr>
        <w:spacing w:line="360" w:lineRule="auto"/>
        <w:jc w:val="both"/>
        <w:rPr>
          <w:rFonts w:ascii="Book Antiqua" w:hAnsi="Book Antiqua"/>
        </w:rPr>
        <w:sectPr w:rsidR="005C6294">
          <w:footerReference w:type="default" r:id="rId8"/>
          <w:pgSz w:w="12240" w:h="15840"/>
          <w:pgMar w:top="1440" w:right="1440" w:bottom="1440" w:left="1440" w:header="0" w:footer="720" w:gutter="0"/>
          <w:cols w:space="720"/>
          <w:formProt w:val="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Tang J,</w:t>
      </w:r>
      <w:r>
        <w:rPr>
          <w:rFonts w:ascii="Book Antiqua" w:hAnsi="Book Antiqua"/>
        </w:rPr>
        <w:t xml:space="preserve"> </w:t>
      </w:r>
      <w:r>
        <w:rPr>
          <w:rFonts w:ascii="Book Antiqua" w:eastAsia="Book Antiqua" w:hAnsi="Book Antiqua" w:cs="Book Antiqua"/>
          <w:color w:val="000000"/>
        </w:rPr>
        <w:t>China</w:t>
      </w:r>
      <w:r>
        <w:rPr>
          <w:rFonts w:ascii="Book Antiqua" w:hAnsi="Book Antiqua" w:cs="Book Antiqua"/>
          <w:color w:val="000000"/>
          <w:lang w:eastAsia="zh-CN"/>
        </w:rPr>
        <w:t>;</w:t>
      </w:r>
      <w:r>
        <w:rPr>
          <w:rFonts w:ascii="Book Antiqua" w:eastAsia="Book Antiqua" w:hAnsi="Book Antiqua" w:cs="Book Antiqua"/>
          <w:color w:val="000000"/>
        </w:rPr>
        <w:t xml:space="preserve"> Yang X, China; Yao D,</w:t>
      </w:r>
      <w:r>
        <w:rPr>
          <w:rFonts w:ascii="Book Antiqua" w:hAnsi="Book Antiqua"/>
        </w:rPr>
        <w:t xml:space="preserve"> </w:t>
      </w:r>
      <w:r>
        <w:rPr>
          <w:rFonts w:ascii="Book Antiqua" w:eastAsia="Book Antiqua" w:hAnsi="Book Antiqua" w:cs="Book Antiqua"/>
          <w:color w:val="000000"/>
        </w:rPr>
        <w:t>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P-Editor: </w:t>
      </w:r>
      <w:r>
        <w:rPr>
          <w:rFonts w:ascii="Book Antiqua" w:eastAsia="Book Antiqua" w:hAnsi="Book Antiqua" w:cs="Book Antiqua"/>
          <w:color w:val="000000"/>
        </w:rPr>
        <w:t>Liu JH</w:t>
      </w:r>
    </w:p>
    <w:p w14:paraId="2A36581C" w14:textId="77777777" w:rsidR="005C6294" w:rsidRDefault="00771FC7">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01DEFDB9" w14:textId="6A43FE7D" w:rsidR="005C6294" w:rsidRDefault="008544A8">
      <w:pPr>
        <w:spacing w:line="360" w:lineRule="auto"/>
        <w:jc w:val="both"/>
        <w:rPr>
          <w:rFonts w:ascii="Book Antiqua" w:eastAsia="Book Antiqua" w:hAnsi="Book Antiqua" w:cs="Book Antiqua"/>
          <w:b/>
          <w:color w:val="000000"/>
        </w:rPr>
      </w:pPr>
      <w:r w:rsidRPr="008544A8">
        <w:t xml:space="preserve"> </w:t>
      </w:r>
      <w:r>
        <w:rPr>
          <w:noProof/>
        </w:rPr>
        <w:drawing>
          <wp:inline distT="0" distB="0" distL="0" distR="0" wp14:anchorId="6B6AEF84" wp14:editId="56D5480E">
            <wp:extent cx="4465320" cy="35661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5320" cy="3566160"/>
                    </a:xfrm>
                    <a:prstGeom prst="rect">
                      <a:avLst/>
                    </a:prstGeom>
                    <a:noFill/>
                    <a:ln>
                      <a:noFill/>
                    </a:ln>
                  </pic:spPr>
                </pic:pic>
              </a:graphicData>
            </a:graphic>
          </wp:inline>
        </w:drawing>
      </w:r>
    </w:p>
    <w:p w14:paraId="62B843A0" w14:textId="77777777" w:rsidR="005C6294" w:rsidRDefault="00771FC7">
      <w:pPr>
        <w:spacing w:line="360" w:lineRule="auto"/>
        <w:jc w:val="both"/>
        <w:rPr>
          <w:rFonts w:ascii="Book Antiqua" w:eastAsia="Book Antiqua" w:hAnsi="Book Antiqua" w:cs="Book Antiqua"/>
          <w:b/>
          <w:color w:val="000000"/>
        </w:rPr>
        <w:sectPr w:rsidR="005C6294">
          <w:footerReference w:type="default" r:id="rId10"/>
          <w:pgSz w:w="12240" w:h="15840"/>
          <w:pgMar w:top="1440" w:right="1440" w:bottom="1440" w:left="1440" w:header="0" w:footer="720" w:gutter="0"/>
          <w:cols w:space="720"/>
          <w:formProt w:val="0"/>
          <w:docGrid w:linePitch="360"/>
        </w:sectPr>
      </w:pPr>
      <w:r>
        <w:rPr>
          <w:rFonts w:ascii="Book Antiqua" w:eastAsia="Book Antiqua" w:hAnsi="Book Antiqua" w:cs="Book Antiqua"/>
          <w:b/>
          <w:color w:val="000000"/>
        </w:rPr>
        <w:t>Figure 1 Study flow diagram according to PRISMA 2009 guidelines.</w:t>
      </w:r>
    </w:p>
    <w:p w14:paraId="52072B6A" w14:textId="77777777" w:rsidR="005C6294" w:rsidRDefault="00771FC7">
      <w:pPr>
        <w:spacing w:line="360" w:lineRule="auto"/>
        <w:jc w:val="both"/>
        <w:rPr>
          <w:rFonts w:ascii="Book Antiqua" w:eastAsia="Times New Roman" w:hAnsi="Book Antiqua" w:cstheme="minorHAnsi"/>
          <w:b/>
          <w:lang w:eastAsia="it-IT"/>
        </w:rPr>
      </w:pPr>
      <w:bookmarkStart w:id="0" w:name="_Hlk89008962"/>
      <w:r>
        <w:rPr>
          <w:rFonts w:ascii="Book Antiqua" w:eastAsia="Times New Roman" w:hAnsi="Book Antiqua" w:cstheme="minorHAnsi"/>
          <w:b/>
          <w:bCs/>
          <w:lang w:eastAsia="it-IT"/>
        </w:rPr>
        <w:lastRenderedPageBreak/>
        <w:t>Table 1</w:t>
      </w:r>
      <w:r>
        <w:rPr>
          <w:rFonts w:ascii="Book Antiqua" w:eastAsia="Times New Roman" w:hAnsi="Book Antiqua" w:cstheme="minorHAnsi"/>
          <w:b/>
          <w:lang w:eastAsia="it-IT"/>
        </w:rPr>
        <w:t xml:space="preserve"> Characteristics of studies assessing the performance of single-use duodenoscope for endoscopic retrograde cholangiopancreatography</w:t>
      </w:r>
    </w:p>
    <w:tbl>
      <w:tblPr>
        <w:tblW w:w="9460" w:type="dxa"/>
        <w:tblInd w:w="-10" w:type="dxa"/>
        <w:tblBorders>
          <w:top w:val="single" w:sz="4" w:space="0" w:color="auto"/>
          <w:bottom w:val="single" w:sz="4" w:space="0" w:color="auto"/>
        </w:tblBorders>
        <w:tblLook w:val="04A0" w:firstRow="1" w:lastRow="0" w:firstColumn="1" w:lastColumn="0" w:noHBand="0" w:noVBand="1"/>
      </w:tblPr>
      <w:tblGrid>
        <w:gridCol w:w="1518"/>
        <w:gridCol w:w="1453"/>
        <w:gridCol w:w="1430"/>
        <w:gridCol w:w="657"/>
        <w:gridCol w:w="989"/>
        <w:gridCol w:w="1430"/>
        <w:gridCol w:w="1283"/>
        <w:gridCol w:w="1043"/>
        <w:gridCol w:w="1476"/>
      </w:tblGrid>
      <w:tr w:rsidR="005C6294" w14:paraId="3AE25134" w14:textId="77777777">
        <w:trPr>
          <w:trHeight w:val="1452"/>
        </w:trPr>
        <w:tc>
          <w:tcPr>
            <w:tcW w:w="1220" w:type="dxa"/>
            <w:tcBorders>
              <w:top w:val="single" w:sz="4" w:space="0" w:color="auto"/>
              <w:bottom w:val="single" w:sz="4" w:space="0" w:color="auto"/>
            </w:tcBorders>
            <w:shd w:val="clear" w:color="auto" w:fill="auto"/>
            <w:vAlign w:val="center"/>
          </w:tcPr>
          <w:p w14:paraId="78196DA0" w14:textId="77777777" w:rsidR="005C6294" w:rsidRDefault="00771FC7">
            <w:pPr>
              <w:suppressAutoHyphens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it-IT" w:eastAsia="zh-CN"/>
              </w:rPr>
              <w:t>Ref.</w:t>
            </w:r>
          </w:p>
        </w:tc>
        <w:tc>
          <w:tcPr>
            <w:tcW w:w="1520" w:type="dxa"/>
            <w:tcBorders>
              <w:top w:val="single" w:sz="4" w:space="0" w:color="auto"/>
              <w:bottom w:val="single" w:sz="4" w:space="0" w:color="auto"/>
            </w:tcBorders>
            <w:shd w:val="clear" w:color="auto" w:fill="auto"/>
            <w:vAlign w:val="center"/>
          </w:tcPr>
          <w:p w14:paraId="028F9774" w14:textId="77777777" w:rsidR="005C6294" w:rsidRDefault="00771FC7">
            <w:pPr>
              <w:suppressAutoHyphens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it-IT" w:eastAsia="zh-CN"/>
              </w:rPr>
              <w:t>Region, Study design</w:t>
            </w:r>
          </w:p>
        </w:tc>
        <w:tc>
          <w:tcPr>
            <w:tcW w:w="960" w:type="dxa"/>
            <w:tcBorders>
              <w:top w:val="single" w:sz="4" w:space="0" w:color="auto"/>
              <w:bottom w:val="single" w:sz="4" w:space="0" w:color="auto"/>
            </w:tcBorders>
            <w:shd w:val="clear" w:color="auto" w:fill="auto"/>
            <w:vAlign w:val="center"/>
          </w:tcPr>
          <w:p w14:paraId="59B1E839" w14:textId="77777777" w:rsidR="005C6294" w:rsidRDefault="00771FC7">
            <w:pPr>
              <w:suppressAutoHyphens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it-IT" w:eastAsia="zh-CN"/>
              </w:rPr>
              <w:t>Population (no.); male gender (%)</w:t>
            </w:r>
          </w:p>
        </w:tc>
        <w:tc>
          <w:tcPr>
            <w:tcW w:w="960" w:type="dxa"/>
            <w:tcBorders>
              <w:top w:val="single" w:sz="4" w:space="0" w:color="auto"/>
              <w:bottom w:val="single" w:sz="4" w:space="0" w:color="auto"/>
            </w:tcBorders>
            <w:shd w:val="clear" w:color="auto" w:fill="auto"/>
            <w:vAlign w:val="center"/>
          </w:tcPr>
          <w:p w14:paraId="1926BD8F" w14:textId="77777777" w:rsidR="005C6294" w:rsidRDefault="00771FC7">
            <w:pPr>
              <w:suppressAutoHyphens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it-IT" w:eastAsia="zh-CN"/>
              </w:rPr>
              <w:t>Age (yr, SD)</w:t>
            </w:r>
          </w:p>
        </w:tc>
        <w:tc>
          <w:tcPr>
            <w:tcW w:w="960" w:type="dxa"/>
            <w:tcBorders>
              <w:top w:val="single" w:sz="4" w:space="0" w:color="auto"/>
              <w:bottom w:val="single" w:sz="4" w:space="0" w:color="auto"/>
            </w:tcBorders>
            <w:shd w:val="clear" w:color="auto" w:fill="auto"/>
            <w:vAlign w:val="center"/>
          </w:tcPr>
          <w:p w14:paraId="7E42E22C" w14:textId="77777777" w:rsidR="005C6294" w:rsidRDefault="00771FC7">
            <w:pPr>
              <w:suppressAutoHyphens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it-IT" w:eastAsia="zh-CN"/>
              </w:rPr>
              <w:t>Naïve papilla (%)</w:t>
            </w:r>
          </w:p>
        </w:tc>
        <w:tc>
          <w:tcPr>
            <w:tcW w:w="960" w:type="dxa"/>
            <w:tcBorders>
              <w:top w:val="single" w:sz="4" w:space="0" w:color="auto"/>
              <w:bottom w:val="single" w:sz="4" w:space="0" w:color="auto"/>
            </w:tcBorders>
            <w:shd w:val="clear" w:color="auto" w:fill="auto"/>
            <w:vAlign w:val="center"/>
          </w:tcPr>
          <w:p w14:paraId="66EBC045" w14:textId="77777777" w:rsidR="005C6294" w:rsidRDefault="00771FC7">
            <w:pPr>
              <w:suppressAutoHyphens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it-IT" w:eastAsia="zh-CN"/>
              </w:rPr>
              <w:t>ASGE complexity 3-4 (%)</w:t>
            </w:r>
          </w:p>
        </w:tc>
        <w:tc>
          <w:tcPr>
            <w:tcW w:w="960" w:type="dxa"/>
            <w:tcBorders>
              <w:top w:val="single" w:sz="4" w:space="0" w:color="auto"/>
              <w:bottom w:val="single" w:sz="4" w:space="0" w:color="auto"/>
            </w:tcBorders>
            <w:shd w:val="clear" w:color="auto" w:fill="auto"/>
            <w:vAlign w:val="center"/>
          </w:tcPr>
          <w:p w14:paraId="7D3C14DE" w14:textId="77777777" w:rsidR="005C6294" w:rsidRDefault="00771FC7">
            <w:pPr>
              <w:suppressAutoHyphens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it-IT" w:eastAsia="zh-CN"/>
              </w:rPr>
              <w:t>Technical success (%)</w:t>
            </w:r>
          </w:p>
        </w:tc>
        <w:tc>
          <w:tcPr>
            <w:tcW w:w="960" w:type="dxa"/>
            <w:tcBorders>
              <w:top w:val="single" w:sz="4" w:space="0" w:color="auto"/>
              <w:bottom w:val="single" w:sz="4" w:space="0" w:color="auto"/>
            </w:tcBorders>
            <w:shd w:val="clear" w:color="auto" w:fill="auto"/>
            <w:vAlign w:val="center"/>
          </w:tcPr>
          <w:p w14:paraId="04F987E1" w14:textId="77777777" w:rsidR="005C6294" w:rsidRDefault="00771FC7">
            <w:pPr>
              <w:suppressAutoHyphens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it-IT" w:eastAsia="zh-CN"/>
              </w:rPr>
              <w:t>Serious AEs (%)</w:t>
            </w:r>
          </w:p>
        </w:tc>
        <w:tc>
          <w:tcPr>
            <w:tcW w:w="960" w:type="dxa"/>
            <w:tcBorders>
              <w:top w:val="single" w:sz="4" w:space="0" w:color="auto"/>
              <w:bottom w:val="single" w:sz="4" w:space="0" w:color="auto"/>
            </w:tcBorders>
            <w:shd w:val="clear" w:color="auto" w:fill="auto"/>
            <w:vAlign w:val="center"/>
          </w:tcPr>
          <w:p w14:paraId="73DE86B2" w14:textId="77777777" w:rsidR="005C6294" w:rsidRDefault="00771FC7">
            <w:pPr>
              <w:suppressAutoHyphens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it-IT" w:eastAsia="zh-CN"/>
              </w:rPr>
              <w:t>Note</w:t>
            </w:r>
          </w:p>
        </w:tc>
      </w:tr>
      <w:tr w:rsidR="005C6294" w14:paraId="7AA972F0" w14:textId="77777777">
        <w:trPr>
          <w:trHeight w:val="2016"/>
        </w:trPr>
        <w:tc>
          <w:tcPr>
            <w:tcW w:w="1220" w:type="dxa"/>
            <w:tcBorders>
              <w:top w:val="single" w:sz="4" w:space="0" w:color="auto"/>
            </w:tcBorders>
            <w:shd w:val="clear" w:color="auto" w:fill="auto"/>
            <w:vAlign w:val="center"/>
          </w:tcPr>
          <w:p w14:paraId="1751F928"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 xml:space="preserve">Muthusamy </w:t>
            </w:r>
            <w:r>
              <w:rPr>
                <w:rFonts w:ascii="Book Antiqua" w:eastAsia="等线" w:hAnsi="Book Antiqua" w:cs="宋体"/>
                <w:i/>
                <w:iCs/>
                <w:color w:val="000000"/>
                <w:lang w:val="it-IT" w:eastAsia="zh-CN"/>
              </w:rPr>
              <w:t>et al</w:t>
            </w:r>
            <w:r>
              <w:rPr>
                <w:rFonts w:ascii="Book Antiqua" w:eastAsia="等线" w:hAnsi="Book Antiqua" w:cs="宋体"/>
                <w:color w:val="000000"/>
                <w:vertAlign w:val="superscript"/>
                <w:lang w:val="it-IT" w:eastAsia="zh-CN"/>
              </w:rPr>
              <w:t>[22]</w:t>
            </w:r>
            <w:r>
              <w:rPr>
                <w:rFonts w:ascii="Book Antiqua" w:eastAsia="等线" w:hAnsi="Book Antiqua" w:cs="宋体"/>
                <w:color w:val="000000"/>
                <w:lang w:val="it-IT" w:eastAsia="zh-CN"/>
              </w:rPr>
              <w:t>, 2020</w:t>
            </w:r>
          </w:p>
        </w:tc>
        <w:tc>
          <w:tcPr>
            <w:tcW w:w="1520" w:type="dxa"/>
            <w:tcBorders>
              <w:top w:val="single" w:sz="4" w:space="0" w:color="auto"/>
            </w:tcBorders>
            <w:shd w:val="clear" w:color="auto" w:fill="auto"/>
            <w:vAlign w:val="center"/>
          </w:tcPr>
          <w:p w14:paraId="3ED02F06"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United States, Case-series</w:t>
            </w:r>
          </w:p>
        </w:tc>
        <w:tc>
          <w:tcPr>
            <w:tcW w:w="960" w:type="dxa"/>
            <w:tcBorders>
              <w:top w:val="single" w:sz="4" w:space="0" w:color="auto"/>
            </w:tcBorders>
            <w:shd w:val="clear" w:color="auto" w:fill="auto"/>
            <w:vAlign w:val="center"/>
          </w:tcPr>
          <w:p w14:paraId="53A8DB8F"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No. 60, Male 61.7%</w:t>
            </w:r>
          </w:p>
        </w:tc>
        <w:tc>
          <w:tcPr>
            <w:tcW w:w="960" w:type="dxa"/>
            <w:tcBorders>
              <w:top w:val="single" w:sz="4" w:space="0" w:color="auto"/>
            </w:tcBorders>
            <w:shd w:val="clear" w:color="auto" w:fill="auto"/>
            <w:vAlign w:val="center"/>
          </w:tcPr>
          <w:p w14:paraId="0FFBE9C0"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64.4 ± 14.1</w:t>
            </w:r>
          </w:p>
        </w:tc>
        <w:tc>
          <w:tcPr>
            <w:tcW w:w="960" w:type="dxa"/>
            <w:tcBorders>
              <w:top w:val="single" w:sz="4" w:space="0" w:color="auto"/>
            </w:tcBorders>
            <w:shd w:val="clear" w:color="auto" w:fill="auto"/>
            <w:vAlign w:val="center"/>
          </w:tcPr>
          <w:p w14:paraId="4E431456"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26.70%</w:t>
            </w:r>
          </w:p>
        </w:tc>
        <w:tc>
          <w:tcPr>
            <w:tcW w:w="960" w:type="dxa"/>
            <w:tcBorders>
              <w:top w:val="single" w:sz="4" w:space="0" w:color="auto"/>
            </w:tcBorders>
            <w:shd w:val="clear" w:color="auto" w:fill="auto"/>
            <w:vAlign w:val="center"/>
          </w:tcPr>
          <w:p w14:paraId="7E6FF9CF"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45.00%</w:t>
            </w:r>
          </w:p>
        </w:tc>
        <w:tc>
          <w:tcPr>
            <w:tcW w:w="960" w:type="dxa"/>
            <w:tcBorders>
              <w:top w:val="single" w:sz="4" w:space="0" w:color="auto"/>
            </w:tcBorders>
            <w:shd w:val="clear" w:color="auto" w:fill="auto"/>
            <w:vAlign w:val="center"/>
          </w:tcPr>
          <w:p w14:paraId="28CF80D9"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96.70%</w:t>
            </w:r>
          </w:p>
        </w:tc>
        <w:tc>
          <w:tcPr>
            <w:tcW w:w="960" w:type="dxa"/>
            <w:tcBorders>
              <w:top w:val="single" w:sz="4" w:space="0" w:color="auto"/>
            </w:tcBorders>
            <w:shd w:val="clear" w:color="auto" w:fill="auto"/>
            <w:vAlign w:val="center"/>
          </w:tcPr>
          <w:p w14:paraId="3B8EC80B"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6.70%</w:t>
            </w:r>
          </w:p>
        </w:tc>
        <w:tc>
          <w:tcPr>
            <w:tcW w:w="960" w:type="dxa"/>
            <w:tcBorders>
              <w:top w:val="single" w:sz="4" w:space="0" w:color="auto"/>
            </w:tcBorders>
            <w:shd w:val="clear" w:color="auto" w:fill="auto"/>
            <w:vAlign w:val="center"/>
          </w:tcPr>
          <w:p w14:paraId="6F9D2536"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The study included a roll-in phase with 13 patients</w:t>
            </w:r>
          </w:p>
        </w:tc>
      </w:tr>
      <w:tr w:rsidR="005C6294" w14:paraId="41C92E5B" w14:textId="77777777">
        <w:trPr>
          <w:trHeight w:val="3744"/>
        </w:trPr>
        <w:tc>
          <w:tcPr>
            <w:tcW w:w="1220" w:type="dxa"/>
            <w:shd w:val="clear" w:color="auto" w:fill="auto"/>
            <w:vAlign w:val="center"/>
          </w:tcPr>
          <w:p w14:paraId="51AB57CC"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fr-FR" w:eastAsia="zh-CN"/>
              </w:rPr>
              <w:t xml:space="preserve">Bang JY </w:t>
            </w:r>
            <w:r>
              <w:rPr>
                <w:rFonts w:ascii="Book Antiqua" w:eastAsia="等线" w:hAnsi="Book Antiqua" w:cs="宋体"/>
                <w:i/>
                <w:iCs/>
                <w:color w:val="000000"/>
                <w:lang w:val="fr-FR" w:eastAsia="zh-CN"/>
              </w:rPr>
              <w:t>et al</w:t>
            </w:r>
            <w:r>
              <w:rPr>
                <w:rFonts w:ascii="Book Antiqua" w:eastAsia="等线" w:hAnsi="Book Antiqua" w:cs="宋体"/>
                <w:color w:val="000000"/>
                <w:vertAlign w:val="superscript"/>
                <w:lang w:val="fr-FR" w:eastAsia="zh-CN"/>
              </w:rPr>
              <w:t>[23]</w:t>
            </w:r>
            <w:r>
              <w:rPr>
                <w:rFonts w:ascii="Book Antiqua" w:eastAsia="等线" w:hAnsi="Book Antiqua" w:cs="宋体"/>
                <w:color w:val="000000"/>
                <w:lang w:val="fr-FR" w:eastAsia="zh-CN"/>
              </w:rPr>
              <w:t>, 2020</w:t>
            </w:r>
          </w:p>
        </w:tc>
        <w:tc>
          <w:tcPr>
            <w:tcW w:w="1520" w:type="dxa"/>
            <w:shd w:val="clear" w:color="auto" w:fill="auto"/>
            <w:vAlign w:val="center"/>
          </w:tcPr>
          <w:p w14:paraId="35541BA1"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United States, RCT</w:t>
            </w:r>
          </w:p>
        </w:tc>
        <w:tc>
          <w:tcPr>
            <w:tcW w:w="960" w:type="dxa"/>
            <w:shd w:val="clear" w:color="auto" w:fill="auto"/>
            <w:vAlign w:val="center"/>
          </w:tcPr>
          <w:p w14:paraId="76B4C641"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No. 48, Male 54.2%</w:t>
            </w:r>
          </w:p>
        </w:tc>
        <w:tc>
          <w:tcPr>
            <w:tcW w:w="960" w:type="dxa"/>
            <w:shd w:val="clear" w:color="auto" w:fill="auto"/>
            <w:vAlign w:val="center"/>
          </w:tcPr>
          <w:p w14:paraId="1026927E"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67.2 ± 14.4</w:t>
            </w:r>
          </w:p>
        </w:tc>
        <w:tc>
          <w:tcPr>
            <w:tcW w:w="960" w:type="dxa"/>
            <w:shd w:val="clear" w:color="auto" w:fill="auto"/>
            <w:vAlign w:val="center"/>
          </w:tcPr>
          <w:p w14:paraId="32CEAE63"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100%</w:t>
            </w:r>
          </w:p>
        </w:tc>
        <w:tc>
          <w:tcPr>
            <w:tcW w:w="960" w:type="dxa"/>
            <w:shd w:val="clear" w:color="auto" w:fill="auto"/>
            <w:vAlign w:val="center"/>
          </w:tcPr>
          <w:p w14:paraId="3E04D1CC"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16.70%</w:t>
            </w:r>
          </w:p>
        </w:tc>
        <w:tc>
          <w:tcPr>
            <w:tcW w:w="960" w:type="dxa"/>
            <w:shd w:val="clear" w:color="auto" w:fill="auto"/>
            <w:vAlign w:val="center"/>
          </w:tcPr>
          <w:p w14:paraId="59F16409"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SUD: 95.8%; Reusable: 100%</w:t>
            </w:r>
          </w:p>
        </w:tc>
        <w:tc>
          <w:tcPr>
            <w:tcW w:w="960" w:type="dxa"/>
            <w:shd w:val="clear" w:color="auto" w:fill="auto"/>
            <w:vAlign w:val="center"/>
          </w:tcPr>
          <w:p w14:paraId="1C97A0D0"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4.20%</w:t>
            </w:r>
          </w:p>
        </w:tc>
        <w:tc>
          <w:tcPr>
            <w:tcW w:w="960" w:type="dxa"/>
            <w:shd w:val="clear" w:color="auto" w:fill="auto"/>
            <w:vAlign w:val="center"/>
          </w:tcPr>
          <w:p w14:paraId="0001027D"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 xml:space="preserve">Primary outcome was no. attempts to achieve cannulation (SUD median 2; reusable 5; </w:t>
            </w:r>
            <w:r>
              <w:rPr>
                <w:rFonts w:ascii="Book Antiqua" w:eastAsia="等线" w:hAnsi="Book Antiqua" w:cs="宋体"/>
                <w:i/>
                <w:iCs/>
                <w:color w:val="000000"/>
                <w:lang w:val="it-IT" w:eastAsia="zh-CN"/>
              </w:rPr>
              <w:t>P</w:t>
            </w:r>
            <w:r>
              <w:rPr>
                <w:rFonts w:ascii="Book Antiqua" w:eastAsia="等线" w:hAnsi="Book Antiqua" w:cs="宋体"/>
                <w:color w:val="000000"/>
                <w:lang w:val="it-IT" w:eastAsia="zh-CN"/>
              </w:rPr>
              <w:t xml:space="preserve"> = 0.013)</w:t>
            </w:r>
          </w:p>
        </w:tc>
      </w:tr>
      <w:tr w:rsidR="005C6294" w14:paraId="21CF4B32" w14:textId="77777777">
        <w:trPr>
          <w:trHeight w:val="2304"/>
        </w:trPr>
        <w:tc>
          <w:tcPr>
            <w:tcW w:w="1220" w:type="dxa"/>
            <w:shd w:val="clear" w:color="auto" w:fill="auto"/>
            <w:vAlign w:val="center"/>
          </w:tcPr>
          <w:p w14:paraId="5E0434B2"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lastRenderedPageBreak/>
              <w:t xml:space="preserve">Napoléon </w:t>
            </w:r>
            <w:r>
              <w:rPr>
                <w:rFonts w:ascii="Book Antiqua" w:eastAsia="等线" w:hAnsi="Book Antiqua" w:cs="宋体"/>
                <w:i/>
                <w:iCs/>
                <w:color w:val="000000"/>
                <w:lang w:val="it-IT" w:eastAsia="zh-CN"/>
              </w:rPr>
              <w:t>et al</w:t>
            </w:r>
            <w:r>
              <w:rPr>
                <w:rFonts w:ascii="Book Antiqua" w:eastAsia="等线" w:hAnsi="Book Antiqua" w:cs="宋体"/>
                <w:color w:val="000000"/>
                <w:vertAlign w:val="superscript"/>
                <w:lang w:val="it-IT" w:eastAsia="zh-CN"/>
              </w:rPr>
              <w:t>[24]</w:t>
            </w:r>
            <w:r>
              <w:rPr>
                <w:rFonts w:ascii="Book Antiqua" w:eastAsia="等线" w:hAnsi="Book Antiqua" w:cs="宋体"/>
                <w:color w:val="000000"/>
                <w:lang w:val="it-IT" w:eastAsia="zh-CN"/>
              </w:rPr>
              <w:t>, 2022</w:t>
            </w:r>
          </w:p>
        </w:tc>
        <w:tc>
          <w:tcPr>
            <w:tcW w:w="1520" w:type="dxa"/>
            <w:shd w:val="clear" w:color="auto" w:fill="auto"/>
            <w:vAlign w:val="center"/>
          </w:tcPr>
          <w:p w14:paraId="62667DFC"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France, Prospective</w:t>
            </w:r>
          </w:p>
        </w:tc>
        <w:tc>
          <w:tcPr>
            <w:tcW w:w="960" w:type="dxa"/>
            <w:shd w:val="clear" w:color="auto" w:fill="auto"/>
            <w:vAlign w:val="center"/>
          </w:tcPr>
          <w:p w14:paraId="10FC06EA"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No. 60, Male 43.3%</w:t>
            </w:r>
          </w:p>
        </w:tc>
        <w:tc>
          <w:tcPr>
            <w:tcW w:w="960" w:type="dxa"/>
            <w:shd w:val="clear" w:color="auto" w:fill="auto"/>
            <w:vAlign w:val="center"/>
          </w:tcPr>
          <w:p w14:paraId="2FA1F4BC"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65.5 ± 13.6</w:t>
            </w:r>
          </w:p>
        </w:tc>
        <w:tc>
          <w:tcPr>
            <w:tcW w:w="960" w:type="dxa"/>
            <w:shd w:val="clear" w:color="auto" w:fill="auto"/>
            <w:vAlign w:val="center"/>
          </w:tcPr>
          <w:p w14:paraId="73368CD6"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53.30%</w:t>
            </w:r>
          </w:p>
        </w:tc>
        <w:tc>
          <w:tcPr>
            <w:tcW w:w="960" w:type="dxa"/>
            <w:shd w:val="clear" w:color="auto" w:fill="auto"/>
            <w:vAlign w:val="center"/>
          </w:tcPr>
          <w:p w14:paraId="0EC5E4F5"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40.00%</w:t>
            </w:r>
          </w:p>
        </w:tc>
        <w:tc>
          <w:tcPr>
            <w:tcW w:w="960" w:type="dxa"/>
            <w:shd w:val="clear" w:color="auto" w:fill="auto"/>
            <w:vAlign w:val="center"/>
          </w:tcPr>
          <w:p w14:paraId="58ED3E2E"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95%</w:t>
            </w:r>
          </w:p>
        </w:tc>
        <w:tc>
          <w:tcPr>
            <w:tcW w:w="960" w:type="dxa"/>
            <w:shd w:val="clear" w:color="auto" w:fill="auto"/>
            <w:vAlign w:val="center"/>
          </w:tcPr>
          <w:p w14:paraId="207746E0"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1.70%</w:t>
            </w:r>
          </w:p>
        </w:tc>
        <w:tc>
          <w:tcPr>
            <w:tcW w:w="960" w:type="dxa"/>
            <w:shd w:val="clear" w:color="auto" w:fill="auto"/>
            <w:vAlign w:val="center"/>
          </w:tcPr>
          <w:p w14:paraId="1AE6C2E3"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96.7% of cases with optimal operators’ satisfaction</w:t>
            </w:r>
          </w:p>
        </w:tc>
      </w:tr>
      <w:tr w:rsidR="005C6294" w14:paraId="6ACE54C7" w14:textId="77777777">
        <w:trPr>
          <w:trHeight w:val="3468"/>
        </w:trPr>
        <w:tc>
          <w:tcPr>
            <w:tcW w:w="1220" w:type="dxa"/>
            <w:shd w:val="clear" w:color="auto" w:fill="auto"/>
            <w:vAlign w:val="center"/>
          </w:tcPr>
          <w:p w14:paraId="288470A4"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 xml:space="preserve">Slivka </w:t>
            </w:r>
            <w:r>
              <w:rPr>
                <w:rFonts w:ascii="Book Antiqua" w:eastAsia="等线" w:hAnsi="Book Antiqua" w:cs="宋体"/>
                <w:i/>
                <w:iCs/>
                <w:color w:val="000000"/>
                <w:lang w:val="it-IT" w:eastAsia="zh-CN"/>
              </w:rPr>
              <w:t>et al</w:t>
            </w:r>
            <w:r>
              <w:rPr>
                <w:rFonts w:ascii="Book Antiqua" w:eastAsia="等线" w:hAnsi="Book Antiqua" w:cs="宋体"/>
                <w:color w:val="000000"/>
                <w:vertAlign w:val="superscript"/>
                <w:lang w:val="it-IT" w:eastAsia="zh-CN"/>
              </w:rPr>
              <w:t>[25]</w:t>
            </w:r>
            <w:r>
              <w:rPr>
                <w:rFonts w:ascii="Book Antiqua" w:eastAsia="等线" w:hAnsi="Book Antiqua" w:cs="宋体"/>
                <w:color w:val="000000"/>
                <w:lang w:val="it-IT" w:eastAsia="zh-CN"/>
              </w:rPr>
              <w:t>, 2021</w:t>
            </w:r>
          </w:p>
        </w:tc>
        <w:tc>
          <w:tcPr>
            <w:tcW w:w="1520" w:type="dxa"/>
            <w:shd w:val="clear" w:color="auto" w:fill="auto"/>
            <w:vAlign w:val="center"/>
          </w:tcPr>
          <w:p w14:paraId="7BE2153F"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United States, Prospective</w:t>
            </w:r>
          </w:p>
        </w:tc>
        <w:tc>
          <w:tcPr>
            <w:tcW w:w="960" w:type="dxa"/>
            <w:shd w:val="clear" w:color="auto" w:fill="auto"/>
            <w:vAlign w:val="center"/>
          </w:tcPr>
          <w:p w14:paraId="2B5611A4"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No. 200, Male 48.5%</w:t>
            </w:r>
          </w:p>
        </w:tc>
        <w:tc>
          <w:tcPr>
            <w:tcW w:w="960" w:type="dxa"/>
            <w:shd w:val="clear" w:color="auto" w:fill="auto"/>
            <w:vAlign w:val="center"/>
          </w:tcPr>
          <w:p w14:paraId="1FEF8EE1"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62.6 ± 14.0</w:t>
            </w:r>
          </w:p>
        </w:tc>
        <w:tc>
          <w:tcPr>
            <w:tcW w:w="960" w:type="dxa"/>
            <w:shd w:val="clear" w:color="auto" w:fill="auto"/>
            <w:vAlign w:val="center"/>
          </w:tcPr>
          <w:p w14:paraId="44492076"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45.50%</w:t>
            </w:r>
          </w:p>
        </w:tc>
        <w:tc>
          <w:tcPr>
            <w:tcW w:w="960" w:type="dxa"/>
            <w:shd w:val="clear" w:color="auto" w:fill="auto"/>
            <w:vAlign w:val="center"/>
          </w:tcPr>
          <w:p w14:paraId="446F16B9"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40.50%</w:t>
            </w:r>
          </w:p>
        </w:tc>
        <w:tc>
          <w:tcPr>
            <w:tcW w:w="960" w:type="dxa"/>
            <w:shd w:val="clear" w:color="auto" w:fill="auto"/>
            <w:vAlign w:val="center"/>
          </w:tcPr>
          <w:p w14:paraId="74C79876"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90.50%</w:t>
            </w:r>
          </w:p>
        </w:tc>
        <w:tc>
          <w:tcPr>
            <w:tcW w:w="960" w:type="dxa"/>
            <w:shd w:val="clear" w:color="auto" w:fill="auto"/>
            <w:vAlign w:val="center"/>
          </w:tcPr>
          <w:p w14:paraId="2830DE3B" w14:textId="77777777" w:rsidR="005C6294" w:rsidRDefault="00771FC7">
            <w:pPr>
              <w:suppressAutoHyphens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val="it-IT" w:eastAsia="zh-CN"/>
              </w:rPr>
              <w:t>6.50%</w:t>
            </w:r>
          </w:p>
        </w:tc>
        <w:tc>
          <w:tcPr>
            <w:tcW w:w="960" w:type="dxa"/>
            <w:shd w:val="clear" w:color="auto" w:fill="auto"/>
            <w:vAlign w:val="center"/>
          </w:tcPr>
          <w:p w14:paraId="75CA3E8B" w14:textId="77777777" w:rsidR="005C6294" w:rsidRDefault="00771FC7">
            <w:pPr>
              <w:suppressAutoHyphens w:val="0"/>
              <w:spacing w:line="360" w:lineRule="auto"/>
              <w:jc w:val="both"/>
              <w:rPr>
                <w:rFonts w:ascii="Book Antiqua" w:eastAsia="等线" w:hAnsi="Book Antiqua" w:cs="宋体"/>
                <w:color w:val="000000"/>
                <w:lang w:eastAsia="zh-CN"/>
              </w:rPr>
            </w:pPr>
            <w:bookmarkStart w:id="1" w:name="RANGE!M45"/>
            <w:r>
              <w:rPr>
                <w:rFonts w:ascii="Book Antiqua" w:eastAsia="等线" w:hAnsi="Book Antiqua" w:cs="宋体"/>
                <w:color w:val="000000"/>
                <w:lang w:val="it-IT" w:eastAsia="zh-CN"/>
              </w:rPr>
              <w:t xml:space="preserve">Included 14 expert and 5 “non-expert” ERCP operators with </w:t>
            </w:r>
            <w:r>
              <w:rPr>
                <w:rFonts w:ascii="Book Antiqua" w:eastAsia="等线" w:hAnsi="Book Antiqua" w:cs="宋体"/>
                <w:color w:val="000000"/>
                <w:lang w:val="it-IT" w:eastAsia="zh-CN"/>
              </w:rPr>
              <w:t>similar outcomes</w:t>
            </w:r>
            <w:bookmarkEnd w:id="1"/>
          </w:p>
        </w:tc>
      </w:tr>
    </w:tbl>
    <w:p w14:paraId="089740EB" w14:textId="77777777" w:rsidR="005C6294" w:rsidRDefault="00771FC7">
      <w:pPr>
        <w:spacing w:line="360" w:lineRule="auto"/>
        <w:jc w:val="both"/>
        <w:rPr>
          <w:rFonts w:ascii="Book Antiqua" w:eastAsia="Times New Roman" w:hAnsi="Book Antiqua" w:cstheme="minorHAnsi"/>
          <w:lang w:eastAsia="it-IT"/>
        </w:rPr>
      </w:pPr>
      <w:r>
        <w:rPr>
          <w:rFonts w:ascii="Book Antiqua" w:eastAsia="Times New Roman" w:hAnsi="Book Antiqua" w:cstheme="minorHAnsi"/>
          <w:lang w:eastAsia="it-IT"/>
        </w:rPr>
        <w:t>ASGE: American society for gastrointestinal endoscopy; AEs: Adverse events; SD: Standard deviation; SUD: Single-use duodenoscope; RCT: Randomized controlled trial.</w:t>
      </w:r>
      <w:r>
        <w:rPr>
          <w:rFonts w:ascii="Book Antiqua" w:hAnsi="Book Antiqua" w:cstheme="minorHAnsi"/>
          <w:lang w:eastAsia="zh-CN"/>
        </w:rPr>
        <w:t xml:space="preserve"> </w:t>
      </w:r>
      <w:r>
        <w:rPr>
          <w:rFonts w:ascii="Book Antiqua" w:eastAsia="Times New Roman" w:hAnsi="Book Antiqua" w:cstheme="minorHAnsi"/>
          <w:lang w:eastAsia="it-IT"/>
        </w:rPr>
        <w:t xml:space="preserve">ASGE complexity score refers to </w:t>
      </w:r>
      <w:bookmarkEnd w:id="0"/>
      <w:r>
        <w:rPr>
          <w:rFonts w:ascii="Book Antiqua" w:eastAsia="Times New Roman" w:hAnsi="Book Antiqua" w:cstheme="minorHAnsi"/>
          <w:lang w:eastAsia="it-IT"/>
        </w:rPr>
        <w:t>Cotton PB, Eisen G, Romagnuolo J, Vargo J,</w:t>
      </w:r>
      <w:r>
        <w:rPr>
          <w:rFonts w:ascii="Book Antiqua" w:eastAsia="Times New Roman" w:hAnsi="Book Antiqua" w:cstheme="minorHAnsi"/>
          <w:lang w:eastAsia="it-IT"/>
        </w:rPr>
        <w:t xml:space="preserve"> Baron T, Tarnasky P, Schutz S, Jacobson B, Bott C, Petersen B. Grading the complexity of endoscopic procedures: results of an ASGE working party. </w:t>
      </w:r>
      <w:r>
        <w:rPr>
          <w:rFonts w:ascii="Book Antiqua" w:eastAsia="Times New Roman" w:hAnsi="Book Antiqua" w:cstheme="minorHAnsi"/>
          <w:i/>
          <w:lang w:eastAsia="it-IT"/>
        </w:rPr>
        <w:t>Gastrointest Endosc</w:t>
      </w:r>
      <w:r>
        <w:rPr>
          <w:rFonts w:ascii="Book Antiqua" w:eastAsia="Times New Roman" w:hAnsi="Book Antiqua" w:cstheme="minorHAnsi"/>
          <w:lang w:eastAsia="it-IT"/>
        </w:rPr>
        <w:t xml:space="preserve"> 2011; 73: 868-874 [PMID: 21377673 DOI: 10.1016/j.gie.2010.12.036].</w:t>
      </w:r>
      <w:r>
        <w:rPr>
          <w:rFonts w:ascii="Book Antiqua" w:hAnsi="Book Antiqua"/>
        </w:rPr>
        <w:br w:type="page"/>
      </w:r>
    </w:p>
    <w:p w14:paraId="2DA23D21" w14:textId="77777777" w:rsidR="005C6294" w:rsidRDefault="00771FC7">
      <w:pPr>
        <w:spacing w:line="360" w:lineRule="auto"/>
        <w:jc w:val="both"/>
        <w:rPr>
          <w:rFonts w:ascii="Book Antiqua" w:eastAsia="Times New Roman" w:hAnsi="Book Antiqua" w:cstheme="minorHAnsi"/>
          <w:lang w:eastAsia="it-IT"/>
        </w:rPr>
      </w:pPr>
      <w:bookmarkStart w:id="2" w:name="_Hlk89008994"/>
      <w:r>
        <w:rPr>
          <w:rFonts w:ascii="Book Antiqua" w:eastAsia="Times New Roman" w:hAnsi="Book Antiqua" w:cstheme="minorHAnsi"/>
          <w:b/>
          <w:bCs/>
          <w:lang w:eastAsia="it-IT"/>
        </w:rPr>
        <w:lastRenderedPageBreak/>
        <w:t>Table 2</w:t>
      </w:r>
      <w:r>
        <w:rPr>
          <w:rFonts w:ascii="Book Antiqua" w:eastAsia="Times New Roman" w:hAnsi="Book Antiqua" w:cstheme="minorHAnsi"/>
          <w:b/>
          <w:lang w:eastAsia="it-IT"/>
        </w:rPr>
        <w:t xml:space="preserve"> Summary of ongoing registered studies assessing the performance of single-use duodenoscope for American society for gastrointestinal endoscopy, registered on clinicaltrial.gov portal</w:t>
      </w:r>
    </w:p>
    <w:tbl>
      <w:tblPr>
        <w:tblStyle w:val="af0"/>
        <w:tblW w:w="15594" w:type="dxa"/>
        <w:tblInd w:w="-1314" w:type="dxa"/>
        <w:tblLayout w:type="fixed"/>
        <w:tblLook w:val="04A0" w:firstRow="1" w:lastRow="0" w:firstColumn="1" w:lastColumn="0" w:noHBand="0" w:noVBand="1"/>
      </w:tblPr>
      <w:tblGrid>
        <w:gridCol w:w="4220"/>
        <w:gridCol w:w="1577"/>
        <w:gridCol w:w="4371"/>
        <w:gridCol w:w="2412"/>
        <w:gridCol w:w="1686"/>
        <w:gridCol w:w="1328"/>
      </w:tblGrid>
      <w:tr w:rsidR="005C6294" w14:paraId="5BE77984" w14:textId="77777777">
        <w:trPr>
          <w:trHeight w:val="770"/>
        </w:trPr>
        <w:tc>
          <w:tcPr>
            <w:tcW w:w="4219" w:type="dxa"/>
            <w:tcBorders>
              <w:right w:val="nil"/>
            </w:tcBorders>
            <w:vAlign w:val="center"/>
          </w:tcPr>
          <w:p w14:paraId="440FF8F3" w14:textId="77777777" w:rsidR="005C6294" w:rsidRDefault="00771FC7">
            <w:pPr>
              <w:spacing w:line="360" w:lineRule="auto"/>
              <w:jc w:val="both"/>
              <w:rPr>
                <w:rFonts w:ascii="Book Antiqua" w:eastAsia="Times New Roman" w:hAnsi="Book Antiqua" w:cstheme="minorHAnsi"/>
                <w:b/>
                <w:bCs/>
                <w:lang w:val="it-IT" w:eastAsia="it-IT"/>
              </w:rPr>
            </w:pPr>
            <w:r>
              <w:rPr>
                <w:rFonts w:ascii="Book Antiqua" w:eastAsia="Times New Roman" w:hAnsi="Book Antiqua" w:cstheme="minorHAnsi"/>
                <w:b/>
                <w:bCs/>
                <w:lang w:val="it-IT" w:eastAsia="it-IT"/>
              </w:rPr>
              <w:t>Title, reference</w:t>
            </w:r>
          </w:p>
        </w:tc>
        <w:tc>
          <w:tcPr>
            <w:tcW w:w="1577" w:type="dxa"/>
            <w:tcBorders>
              <w:left w:val="nil"/>
              <w:right w:val="nil"/>
            </w:tcBorders>
            <w:vAlign w:val="center"/>
          </w:tcPr>
          <w:p w14:paraId="33CE5393" w14:textId="77777777" w:rsidR="005C6294" w:rsidRDefault="00771FC7">
            <w:pPr>
              <w:spacing w:line="360" w:lineRule="auto"/>
              <w:jc w:val="both"/>
              <w:rPr>
                <w:rFonts w:ascii="Book Antiqua" w:eastAsia="Times New Roman" w:hAnsi="Book Antiqua" w:cstheme="minorHAnsi"/>
                <w:b/>
                <w:bCs/>
                <w:lang w:val="it-IT" w:eastAsia="it-IT"/>
              </w:rPr>
            </w:pPr>
            <w:r>
              <w:rPr>
                <w:rFonts w:ascii="Book Antiqua" w:eastAsia="Times New Roman" w:hAnsi="Book Antiqua" w:cstheme="minorHAnsi"/>
                <w:b/>
                <w:bCs/>
                <w:lang w:val="it-IT" w:eastAsia="it-IT"/>
              </w:rPr>
              <w:t>Region</w:t>
            </w:r>
          </w:p>
        </w:tc>
        <w:tc>
          <w:tcPr>
            <w:tcW w:w="4371" w:type="dxa"/>
            <w:tcBorders>
              <w:left w:val="nil"/>
              <w:right w:val="nil"/>
            </w:tcBorders>
            <w:vAlign w:val="center"/>
          </w:tcPr>
          <w:p w14:paraId="0D690B51" w14:textId="77777777" w:rsidR="005C6294" w:rsidRDefault="00771FC7">
            <w:pPr>
              <w:spacing w:line="360" w:lineRule="auto"/>
              <w:jc w:val="both"/>
              <w:rPr>
                <w:rFonts w:ascii="Book Antiqua" w:eastAsia="Times New Roman" w:hAnsi="Book Antiqua" w:cstheme="minorHAnsi"/>
                <w:b/>
                <w:bCs/>
                <w:lang w:val="it-IT" w:eastAsia="it-IT"/>
              </w:rPr>
            </w:pPr>
            <w:r>
              <w:rPr>
                <w:rFonts w:ascii="Book Antiqua" w:eastAsia="Times New Roman" w:hAnsi="Book Antiqua" w:cstheme="minorHAnsi"/>
                <w:b/>
                <w:bCs/>
                <w:lang w:val="it-IT" w:eastAsia="it-IT"/>
              </w:rPr>
              <w:t>Investigators</w:t>
            </w:r>
          </w:p>
        </w:tc>
        <w:tc>
          <w:tcPr>
            <w:tcW w:w="2412" w:type="dxa"/>
            <w:tcBorders>
              <w:left w:val="nil"/>
              <w:right w:val="nil"/>
            </w:tcBorders>
            <w:vAlign w:val="center"/>
          </w:tcPr>
          <w:p w14:paraId="11E3DEE5" w14:textId="77777777" w:rsidR="005C6294" w:rsidRDefault="00771FC7">
            <w:pPr>
              <w:spacing w:line="360" w:lineRule="auto"/>
              <w:jc w:val="both"/>
              <w:rPr>
                <w:rFonts w:ascii="Book Antiqua" w:eastAsia="Times New Roman" w:hAnsi="Book Antiqua" w:cstheme="minorHAnsi"/>
                <w:b/>
                <w:bCs/>
                <w:lang w:val="it-IT" w:eastAsia="it-IT"/>
              </w:rPr>
            </w:pPr>
            <w:r>
              <w:rPr>
                <w:rFonts w:ascii="Book Antiqua" w:eastAsia="Times New Roman" w:hAnsi="Book Antiqua" w:cstheme="minorHAnsi"/>
                <w:b/>
                <w:bCs/>
                <w:lang w:val="it-IT" w:eastAsia="it-IT"/>
              </w:rPr>
              <w:t>Design, population,</w:t>
            </w:r>
            <w:r>
              <w:rPr>
                <w:rFonts w:ascii="Book Antiqua" w:hAnsi="Book Antiqua" w:cstheme="minorHAnsi"/>
                <w:b/>
                <w:bCs/>
                <w:lang w:val="it-IT" w:eastAsia="zh-CN"/>
              </w:rPr>
              <w:t xml:space="preserve"> </w:t>
            </w:r>
            <w:r>
              <w:rPr>
                <w:rFonts w:ascii="Book Antiqua" w:eastAsia="Times New Roman" w:hAnsi="Book Antiqua" w:cstheme="minorHAnsi"/>
                <w:b/>
                <w:bCs/>
                <w:lang w:val="it-IT" w:eastAsia="it-IT"/>
              </w:rPr>
              <w:t>Duodenoscope</w:t>
            </w:r>
          </w:p>
        </w:tc>
        <w:tc>
          <w:tcPr>
            <w:tcW w:w="1686" w:type="dxa"/>
            <w:tcBorders>
              <w:left w:val="nil"/>
              <w:right w:val="nil"/>
            </w:tcBorders>
            <w:vAlign w:val="center"/>
          </w:tcPr>
          <w:p w14:paraId="6DEAC111" w14:textId="77777777" w:rsidR="005C6294" w:rsidRDefault="00771FC7">
            <w:pPr>
              <w:spacing w:line="360" w:lineRule="auto"/>
              <w:jc w:val="both"/>
              <w:rPr>
                <w:rFonts w:ascii="Book Antiqua" w:eastAsia="Times New Roman" w:hAnsi="Book Antiqua" w:cstheme="minorHAnsi"/>
                <w:b/>
                <w:bCs/>
                <w:lang w:val="it-IT" w:eastAsia="it-IT"/>
              </w:rPr>
            </w:pPr>
            <w:r>
              <w:rPr>
                <w:rFonts w:ascii="Book Antiqua" w:eastAsia="Times New Roman" w:hAnsi="Book Antiqua" w:cstheme="minorHAnsi"/>
                <w:b/>
                <w:bCs/>
                <w:lang w:val="it-IT" w:eastAsia="it-IT"/>
              </w:rPr>
              <w:t>Primary outcome</w:t>
            </w:r>
          </w:p>
        </w:tc>
        <w:tc>
          <w:tcPr>
            <w:tcW w:w="1328" w:type="dxa"/>
            <w:tcBorders>
              <w:left w:val="nil"/>
            </w:tcBorders>
            <w:vAlign w:val="center"/>
          </w:tcPr>
          <w:p w14:paraId="61FDAD1F" w14:textId="77777777" w:rsidR="005C6294" w:rsidRDefault="00771FC7">
            <w:pPr>
              <w:spacing w:line="360" w:lineRule="auto"/>
              <w:jc w:val="both"/>
              <w:rPr>
                <w:rFonts w:ascii="Book Antiqua" w:eastAsia="Times New Roman" w:hAnsi="Book Antiqua" w:cstheme="minorHAnsi"/>
                <w:b/>
                <w:bCs/>
                <w:lang w:val="it-IT" w:eastAsia="it-IT"/>
              </w:rPr>
            </w:pPr>
            <w:r>
              <w:rPr>
                <w:rFonts w:ascii="Book Antiqua" w:eastAsia="Times New Roman" w:hAnsi="Book Antiqua" w:cstheme="minorHAnsi"/>
                <w:b/>
                <w:bCs/>
                <w:lang w:val="it-IT" w:eastAsia="it-IT"/>
              </w:rPr>
              <w:t>Status</w:t>
            </w:r>
          </w:p>
        </w:tc>
      </w:tr>
      <w:tr w:rsidR="005C6294" w14:paraId="32B01B22" w14:textId="77777777">
        <w:trPr>
          <w:trHeight w:val="477"/>
        </w:trPr>
        <w:tc>
          <w:tcPr>
            <w:tcW w:w="4219" w:type="dxa"/>
            <w:tcBorders>
              <w:top w:val="nil"/>
              <w:bottom w:val="nil"/>
              <w:right w:val="nil"/>
            </w:tcBorders>
            <w:vAlign w:val="center"/>
          </w:tcPr>
          <w:p w14:paraId="5A2DB570"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Single Use ERCP -SURE Study (SURE). NCT04671095</w:t>
            </w:r>
          </w:p>
        </w:tc>
        <w:tc>
          <w:tcPr>
            <w:tcW w:w="1577" w:type="dxa"/>
            <w:tcBorders>
              <w:top w:val="nil"/>
              <w:left w:val="nil"/>
              <w:bottom w:val="nil"/>
              <w:right w:val="nil"/>
            </w:tcBorders>
            <w:vAlign w:val="center"/>
          </w:tcPr>
          <w:p w14:paraId="26966687"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Nottingham, United Kingdom</w:t>
            </w:r>
          </w:p>
        </w:tc>
        <w:tc>
          <w:tcPr>
            <w:tcW w:w="4371" w:type="dxa"/>
            <w:tcBorders>
              <w:top w:val="nil"/>
              <w:left w:val="nil"/>
              <w:bottom w:val="nil"/>
              <w:right w:val="nil"/>
            </w:tcBorders>
            <w:vAlign w:val="center"/>
          </w:tcPr>
          <w:p w14:paraId="72E7FE8A" w14:textId="77777777" w:rsidR="005C6294" w:rsidRDefault="00771FC7">
            <w:pPr>
              <w:spacing w:line="360" w:lineRule="auto"/>
              <w:jc w:val="both"/>
              <w:rPr>
                <w:rFonts w:ascii="Book Antiqua" w:eastAsia="Times New Roman" w:hAnsi="Book Antiqua" w:cstheme="minorHAnsi"/>
                <w:lang w:eastAsia="it-IT"/>
              </w:rPr>
            </w:pPr>
            <w:r>
              <w:rPr>
                <w:rFonts w:ascii="Book Antiqua" w:eastAsia="Times New Roman" w:hAnsi="Book Antiqua" w:cstheme="minorHAnsi"/>
                <w:lang w:val="it-IT" w:eastAsia="it-IT"/>
              </w:rPr>
              <w:t>Dr. Suresh Vasan Venkatachalapathy;</w:t>
            </w:r>
            <w:r>
              <w:rPr>
                <w:rFonts w:ascii="Book Antiqua" w:hAnsi="Book Antiqua" w:cstheme="minorHAnsi"/>
                <w:lang w:val="it-IT" w:eastAsia="zh-CN"/>
              </w:rPr>
              <w:t xml:space="preserve"> </w:t>
            </w:r>
            <w:r>
              <w:rPr>
                <w:rFonts w:ascii="Book Antiqua" w:eastAsia="Times New Roman" w:hAnsi="Book Antiqua" w:cstheme="minorHAnsi"/>
                <w:lang w:val="it-IT" w:eastAsia="it-IT"/>
              </w:rPr>
              <w:t>suresh.venkatachalapathy@nuh.nhs.uk</w:t>
            </w:r>
          </w:p>
        </w:tc>
        <w:tc>
          <w:tcPr>
            <w:tcW w:w="2412" w:type="dxa"/>
            <w:tcBorders>
              <w:top w:val="nil"/>
              <w:left w:val="nil"/>
              <w:bottom w:val="nil"/>
              <w:right w:val="nil"/>
            </w:tcBorders>
            <w:vAlign w:val="center"/>
          </w:tcPr>
          <w:p w14:paraId="491CE87F"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Prospective, 50 patients,</w:t>
            </w:r>
            <w:r>
              <w:rPr>
                <w:rFonts w:ascii="Book Antiqua" w:hAnsi="Book Antiqua" w:cstheme="minorHAnsi"/>
                <w:lang w:val="it-IT" w:eastAsia="zh-CN"/>
              </w:rPr>
              <w:t xml:space="preserve"> </w:t>
            </w:r>
            <w:r>
              <w:rPr>
                <w:rFonts w:ascii="Book Antiqua" w:eastAsia="Times New Roman" w:hAnsi="Book Antiqua" w:cstheme="minorHAnsi"/>
                <w:lang w:val="it-IT" w:eastAsia="it-IT"/>
              </w:rPr>
              <w:t>EXALT-D</w:t>
            </w:r>
            <w:r>
              <w:rPr>
                <w:rFonts w:ascii="Book Antiqua" w:eastAsia="Times New Roman" w:hAnsi="Book Antiqua" w:cstheme="minorHAnsi"/>
                <w:vertAlign w:val="superscript"/>
                <w:lang w:val="it-IT" w:eastAsia="it-IT"/>
              </w:rPr>
              <w:t>1</w:t>
            </w:r>
          </w:p>
        </w:tc>
        <w:tc>
          <w:tcPr>
            <w:tcW w:w="1686" w:type="dxa"/>
            <w:tcBorders>
              <w:top w:val="nil"/>
              <w:left w:val="nil"/>
              <w:bottom w:val="nil"/>
              <w:right w:val="nil"/>
            </w:tcBorders>
            <w:vAlign w:val="center"/>
          </w:tcPr>
          <w:p w14:paraId="75102D6B"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Technical success (ERCP completion)</w:t>
            </w:r>
          </w:p>
        </w:tc>
        <w:tc>
          <w:tcPr>
            <w:tcW w:w="1328" w:type="dxa"/>
            <w:tcBorders>
              <w:top w:val="nil"/>
              <w:left w:val="nil"/>
              <w:bottom w:val="nil"/>
            </w:tcBorders>
            <w:vAlign w:val="center"/>
          </w:tcPr>
          <w:p w14:paraId="08AB678C"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N</w:t>
            </w:r>
            <w:r>
              <w:rPr>
                <w:rFonts w:ascii="Book Antiqua" w:eastAsia="Times New Roman" w:hAnsi="Book Antiqua" w:cstheme="minorHAnsi"/>
                <w:lang w:val="it-IT" w:eastAsia="it-IT"/>
              </w:rPr>
              <w:t>ot yet recruiting</w:t>
            </w:r>
          </w:p>
        </w:tc>
      </w:tr>
      <w:tr w:rsidR="005C6294" w14:paraId="54AC01B0" w14:textId="77777777">
        <w:trPr>
          <w:trHeight w:val="524"/>
        </w:trPr>
        <w:tc>
          <w:tcPr>
            <w:tcW w:w="4219" w:type="dxa"/>
            <w:tcBorders>
              <w:top w:val="nil"/>
              <w:bottom w:val="nil"/>
              <w:right w:val="nil"/>
            </w:tcBorders>
            <w:vAlign w:val="center"/>
          </w:tcPr>
          <w:p w14:paraId="290DC6D0"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International Study to Evaluate Outcomes and Safety of Patients Undergoing ERCP Using a Single-use Cholangioscope and Single-use Duodenoscope (MESE). NCT04712253</w:t>
            </w:r>
          </w:p>
        </w:tc>
        <w:tc>
          <w:tcPr>
            <w:tcW w:w="1577" w:type="dxa"/>
            <w:tcBorders>
              <w:top w:val="nil"/>
              <w:left w:val="nil"/>
              <w:bottom w:val="nil"/>
              <w:right w:val="nil"/>
            </w:tcBorders>
            <w:vAlign w:val="center"/>
          </w:tcPr>
          <w:p w14:paraId="1090DCC7"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Rozzano (MI), Italy</w:t>
            </w:r>
          </w:p>
        </w:tc>
        <w:tc>
          <w:tcPr>
            <w:tcW w:w="4371" w:type="dxa"/>
            <w:tcBorders>
              <w:top w:val="nil"/>
              <w:left w:val="nil"/>
              <w:bottom w:val="nil"/>
              <w:right w:val="nil"/>
            </w:tcBorders>
            <w:vAlign w:val="center"/>
          </w:tcPr>
          <w:p w14:paraId="20726F26"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 xml:space="preserve">Prof. Alessandro Repici </w:t>
            </w:r>
            <w:r>
              <w:rPr>
                <w:rFonts w:ascii="Book Antiqua" w:eastAsia="Times New Roman" w:hAnsi="Book Antiqua" w:cstheme="minorHAnsi"/>
                <w:lang w:val="it-IT" w:eastAsia="it-IT"/>
              </w:rPr>
              <w:t>alessandro.repici@hunimed.eu;</w:t>
            </w:r>
            <w:r>
              <w:rPr>
                <w:rFonts w:ascii="Book Antiqua" w:hAnsi="Book Antiqua" w:cstheme="minorHAnsi"/>
                <w:lang w:val="it-IT" w:eastAsia="zh-CN"/>
              </w:rPr>
              <w:t xml:space="preserve"> </w:t>
            </w:r>
            <w:r>
              <w:rPr>
                <w:rFonts w:ascii="Book Antiqua" w:eastAsia="Times New Roman" w:hAnsi="Book Antiqua" w:cstheme="minorHAnsi"/>
                <w:lang w:val="it-IT" w:eastAsia="it-IT"/>
              </w:rPr>
              <w:t>Dr. Andrea Anderloni andrea.anderloni@humanitas.it</w:t>
            </w:r>
          </w:p>
        </w:tc>
        <w:tc>
          <w:tcPr>
            <w:tcW w:w="2412" w:type="dxa"/>
            <w:tcBorders>
              <w:top w:val="nil"/>
              <w:left w:val="nil"/>
              <w:bottom w:val="nil"/>
              <w:right w:val="nil"/>
            </w:tcBorders>
            <w:vAlign w:val="center"/>
          </w:tcPr>
          <w:p w14:paraId="611EC8C3"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Retrospective,</w:t>
            </w:r>
            <w:r>
              <w:rPr>
                <w:rFonts w:ascii="Book Antiqua" w:hAnsi="Book Antiqua" w:cstheme="minorHAnsi"/>
                <w:lang w:val="it-IT" w:eastAsia="zh-CN"/>
              </w:rPr>
              <w:t xml:space="preserve"> </w:t>
            </w:r>
            <w:r>
              <w:rPr>
                <w:rFonts w:ascii="Book Antiqua" w:eastAsia="Times New Roman" w:hAnsi="Book Antiqua" w:cstheme="minorHAnsi"/>
                <w:lang w:val="it-IT" w:eastAsia="it-IT"/>
              </w:rPr>
              <w:t>50 patients,</w:t>
            </w:r>
            <w:r>
              <w:rPr>
                <w:rFonts w:ascii="Book Antiqua" w:hAnsi="Book Antiqua" w:cstheme="minorHAnsi"/>
                <w:lang w:val="it-IT" w:eastAsia="zh-CN"/>
              </w:rPr>
              <w:t xml:space="preserve"> </w:t>
            </w:r>
            <w:r>
              <w:rPr>
                <w:rFonts w:ascii="Book Antiqua" w:eastAsia="Times New Roman" w:hAnsi="Book Antiqua" w:cstheme="minorHAnsi"/>
                <w:lang w:val="it-IT" w:eastAsia="it-IT"/>
              </w:rPr>
              <w:t>EXALT-D</w:t>
            </w:r>
            <w:r>
              <w:rPr>
                <w:rFonts w:ascii="Book Antiqua" w:eastAsia="Times New Roman" w:hAnsi="Book Antiqua" w:cstheme="minorHAnsi"/>
                <w:vertAlign w:val="superscript"/>
                <w:lang w:val="it-IT" w:eastAsia="it-IT"/>
              </w:rPr>
              <w:t>1</w:t>
            </w:r>
          </w:p>
        </w:tc>
        <w:tc>
          <w:tcPr>
            <w:tcW w:w="1686" w:type="dxa"/>
            <w:tcBorders>
              <w:top w:val="nil"/>
              <w:left w:val="nil"/>
              <w:bottom w:val="nil"/>
              <w:right w:val="nil"/>
            </w:tcBorders>
            <w:vAlign w:val="center"/>
          </w:tcPr>
          <w:p w14:paraId="7508D760"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Technical success, clinical outcomes</w:t>
            </w:r>
          </w:p>
        </w:tc>
        <w:tc>
          <w:tcPr>
            <w:tcW w:w="1328" w:type="dxa"/>
            <w:tcBorders>
              <w:top w:val="nil"/>
              <w:left w:val="nil"/>
              <w:bottom w:val="nil"/>
            </w:tcBorders>
            <w:vAlign w:val="center"/>
          </w:tcPr>
          <w:p w14:paraId="6F3B6559"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Recruiting</w:t>
            </w:r>
          </w:p>
        </w:tc>
      </w:tr>
      <w:tr w:rsidR="005C6294" w14:paraId="10BAF6BB" w14:textId="77777777">
        <w:trPr>
          <w:trHeight w:val="473"/>
        </w:trPr>
        <w:tc>
          <w:tcPr>
            <w:tcW w:w="4219" w:type="dxa"/>
            <w:tcBorders>
              <w:top w:val="nil"/>
              <w:bottom w:val="nil"/>
              <w:right w:val="nil"/>
            </w:tcBorders>
            <w:vAlign w:val="center"/>
          </w:tcPr>
          <w:p w14:paraId="65C9AE9A"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Global Prospective Case Series Using a Single-Use Duodenoscope. NCT04103749</w:t>
            </w:r>
          </w:p>
        </w:tc>
        <w:tc>
          <w:tcPr>
            <w:tcW w:w="1577" w:type="dxa"/>
            <w:tcBorders>
              <w:top w:val="nil"/>
              <w:left w:val="nil"/>
              <w:bottom w:val="nil"/>
              <w:right w:val="nil"/>
            </w:tcBorders>
            <w:vAlign w:val="center"/>
          </w:tcPr>
          <w:p w14:paraId="053C38D8"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 xml:space="preserve">United </w:t>
            </w:r>
            <w:r>
              <w:rPr>
                <w:rFonts w:ascii="Book Antiqua" w:eastAsia="Times New Roman" w:hAnsi="Book Antiqua" w:cstheme="minorHAnsi"/>
                <w:lang w:val="it-IT" w:eastAsia="it-IT"/>
              </w:rPr>
              <w:t>States</w:t>
            </w:r>
          </w:p>
        </w:tc>
        <w:tc>
          <w:tcPr>
            <w:tcW w:w="4371" w:type="dxa"/>
            <w:tcBorders>
              <w:top w:val="nil"/>
              <w:left w:val="nil"/>
              <w:bottom w:val="nil"/>
              <w:right w:val="nil"/>
            </w:tcBorders>
            <w:vAlign w:val="center"/>
          </w:tcPr>
          <w:p w14:paraId="725D6359" w14:textId="77777777" w:rsidR="005C6294" w:rsidRDefault="00771FC7">
            <w:pPr>
              <w:spacing w:line="360" w:lineRule="auto"/>
              <w:jc w:val="both"/>
              <w:rPr>
                <w:rFonts w:ascii="Book Antiqua" w:eastAsia="Times New Roman" w:hAnsi="Book Antiqua" w:cstheme="minorHAnsi"/>
                <w:lang w:eastAsia="it-IT"/>
              </w:rPr>
            </w:pPr>
            <w:r>
              <w:rPr>
                <w:rFonts w:ascii="Book Antiqua" w:eastAsia="Times New Roman" w:hAnsi="Book Antiqua" w:cstheme="minorHAnsi"/>
                <w:lang w:val="it-IT" w:eastAsia="it-IT"/>
              </w:rPr>
              <w:t>Gregory Tirrell</w:t>
            </w:r>
            <w:r>
              <w:rPr>
                <w:rFonts w:ascii="Book Antiqua" w:hAnsi="Book Antiqua" w:cstheme="minorHAnsi"/>
                <w:lang w:val="it-IT" w:eastAsia="zh-CN"/>
              </w:rPr>
              <w:t xml:space="preserve">; </w:t>
            </w:r>
            <w:r>
              <w:rPr>
                <w:rFonts w:ascii="Book Antiqua" w:eastAsia="Times New Roman" w:hAnsi="Book Antiqua" w:cstheme="minorHAnsi"/>
                <w:lang w:val="it-IT" w:eastAsia="it-IT"/>
              </w:rPr>
              <w:t>gregory.tirrell@bsci.com;</w:t>
            </w:r>
            <w:r>
              <w:rPr>
                <w:rFonts w:ascii="Book Antiqua" w:hAnsi="Book Antiqua" w:cstheme="minorHAnsi"/>
                <w:lang w:val="it-IT" w:eastAsia="zh-CN"/>
              </w:rPr>
              <w:t xml:space="preserve"> </w:t>
            </w:r>
            <w:r>
              <w:rPr>
                <w:rFonts w:ascii="Book Antiqua" w:eastAsia="Times New Roman" w:hAnsi="Book Antiqua" w:cstheme="minorHAnsi"/>
                <w:lang w:val="it-IT" w:eastAsia="it-IT"/>
              </w:rPr>
              <w:t>Pooja Goswamy;</w:t>
            </w:r>
            <w:r>
              <w:rPr>
                <w:rFonts w:ascii="Book Antiqua" w:hAnsi="Book Antiqua" w:cstheme="minorHAnsi"/>
                <w:lang w:val="it-IT" w:eastAsia="zh-CN"/>
              </w:rPr>
              <w:t xml:space="preserve"> </w:t>
            </w:r>
            <w:r>
              <w:rPr>
                <w:rFonts w:ascii="Book Antiqua" w:eastAsia="Times New Roman" w:hAnsi="Book Antiqua" w:cstheme="minorHAnsi"/>
                <w:lang w:val="it-IT" w:eastAsia="it-IT"/>
              </w:rPr>
              <w:t>pooja.goswamy@bsci.com</w:t>
            </w:r>
          </w:p>
        </w:tc>
        <w:tc>
          <w:tcPr>
            <w:tcW w:w="2412" w:type="dxa"/>
            <w:tcBorders>
              <w:top w:val="nil"/>
              <w:left w:val="nil"/>
              <w:bottom w:val="nil"/>
              <w:right w:val="nil"/>
            </w:tcBorders>
            <w:vAlign w:val="center"/>
          </w:tcPr>
          <w:p w14:paraId="03B945F8"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Prospective, 1000 patients,</w:t>
            </w:r>
            <w:r>
              <w:rPr>
                <w:rFonts w:ascii="Book Antiqua" w:hAnsi="Book Antiqua" w:cstheme="minorHAnsi"/>
                <w:lang w:val="it-IT" w:eastAsia="zh-CN"/>
              </w:rPr>
              <w:t xml:space="preserve"> </w:t>
            </w:r>
            <w:r>
              <w:rPr>
                <w:rFonts w:ascii="Book Antiqua" w:eastAsia="Times New Roman" w:hAnsi="Book Antiqua" w:cstheme="minorHAnsi"/>
                <w:lang w:val="it-IT" w:eastAsia="it-IT"/>
              </w:rPr>
              <w:t>EXALT-D</w:t>
            </w:r>
            <w:r>
              <w:rPr>
                <w:rFonts w:ascii="Book Antiqua" w:eastAsia="Times New Roman" w:hAnsi="Book Antiqua" w:cstheme="minorHAnsi"/>
                <w:vertAlign w:val="superscript"/>
                <w:lang w:val="it-IT" w:eastAsia="it-IT"/>
              </w:rPr>
              <w:t>1</w:t>
            </w:r>
          </w:p>
        </w:tc>
        <w:tc>
          <w:tcPr>
            <w:tcW w:w="1686" w:type="dxa"/>
            <w:tcBorders>
              <w:top w:val="nil"/>
              <w:left w:val="nil"/>
              <w:bottom w:val="nil"/>
              <w:right w:val="nil"/>
            </w:tcBorders>
            <w:vAlign w:val="center"/>
          </w:tcPr>
          <w:p w14:paraId="75BDFFA6"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Technical success (ERCP completion)</w:t>
            </w:r>
          </w:p>
        </w:tc>
        <w:tc>
          <w:tcPr>
            <w:tcW w:w="1328" w:type="dxa"/>
            <w:tcBorders>
              <w:top w:val="nil"/>
              <w:left w:val="nil"/>
              <w:bottom w:val="nil"/>
            </w:tcBorders>
            <w:vAlign w:val="center"/>
          </w:tcPr>
          <w:p w14:paraId="15058B3A"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Not yet recruiting</w:t>
            </w:r>
          </w:p>
        </w:tc>
      </w:tr>
      <w:tr w:rsidR="005C6294" w14:paraId="46D07883" w14:textId="77777777">
        <w:trPr>
          <w:trHeight w:val="534"/>
        </w:trPr>
        <w:tc>
          <w:tcPr>
            <w:tcW w:w="4219" w:type="dxa"/>
            <w:tcBorders>
              <w:top w:val="nil"/>
              <w:bottom w:val="nil"/>
              <w:right w:val="nil"/>
            </w:tcBorders>
            <w:vAlign w:val="center"/>
          </w:tcPr>
          <w:p w14:paraId="6F98226C"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lastRenderedPageBreak/>
              <w:t xml:space="preserve">Exalt D Single-use Duodenoscope in ERCP Procedures in China </w:t>
            </w:r>
            <w:r>
              <w:rPr>
                <w:rFonts w:ascii="Book Antiqua" w:eastAsia="Times New Roman" w:hAnsi="Book Antiqua" w:cstheme="minorHAnsi"/>
                <w:lang w:val="it-IT" w:eastAsia="it-IT"/>
              </w:rPr>
              <w:t>(ExaltDScope). NCT04687774</w:t>
            </w:r>
          </w:p>
        </w:tc>
        <w:tc>
          <w:tcPr>
            <w:tcW w:w="1577" w:type="dxa"/>
            <w:tcBorders>
              <w:top w:val="nil"/>
              <w:left w:val="nil"/>
              <w:bottom w:val="nil"/>
              <w:right w:val="nil"/>
            </w:tcBorders>
            <w:vAlign w:val="center"/>
          </w:tcPr>
          <w:p w14:paraId="3A6D75CE"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China</w:t>
            </w:r>
          </w:p>
        </w:tc>
        <w:tc>
          <w:tcPr>
            <w:tcW w:w="4371" w:type="dxa"/>
            <w:tcBorders>
              <w:top w:val="nil"/>
              <w:left w:val="nil"/>
              <w:bottom w:val="nil"/>
              <w:right w:val="nil"/>
            </w:tcBorders>
            <w:vAlign w:val="center"/>
          </w:tcPr>
          <w:p w14:paraId="144D4152" w14:textId="77777777" w:rsidR="005C6294" w:rsidRDefault="00771FC7">
            <w:pPr>
              <w:spacing w:line="360" w:lineRule="auto"/>
              <w:jc w:val="both"/>
              <w:rPr>
                <w:rFonts w:ascii="Book Antiqua" w:eastAsia="Times New Roman" w:hAnsi="Book Antiqua" w:cstheme="minorHAnsi"/>
                <w:lang w:eastAsia="it-IT"/>
              </w:rPr>
            </w:pPr>
            <w:r>
              <w:rPr>
                <w:rFonts w:ascii="Book Antiqua" w:eastAsia="Times New Roman" w:hAnsi="Book Antiqua" w:cstheme="minorHAnsi"/>
                <w:lang w:val="it-IT" w:eastAsia="it-IT"/>
              </w:rPr>
              <w:t>Zhiwei Gu</w:t>
            </w:r>
          </w:p>
          <w:p w14:paraId="72CFA653" w14:textId="77777777" w:rsidR="005C6294" w:rsidRDefault="00771FC7">
            <w:pPr>
              <w:spacing w:line="360" w:lineRule="auto"/>
              <w:jc w:val="both"/>
              <w:rPr>
                <w:rFonts w:ascii="Book Antiqua" w:eastAsia="Times New Roman" w:hAnsi="Book Antiqua" w:cstheme="minorHAnsi"/>
                <w:lang w:eastAsia="it-IT"/>
              </w:rPr>
            </w:pPr>
            <w:r>
              <w:rPr>
                <w:rFonts w:ascii="Book Antiqua" w:eastAsia="Times New Roman" w:hAnsi="Book Antiqua" w:cstheme="minorHAnsi"/>
                <w:lang w:val="it-IT" w:eastAsia="it-IT"/>
              </w:rPr>
              <w:t>zhiwei.gu@bsci.com</w:t>
            </w:r>
            <w:r>
              <w:rPr>
                <w:rFonts w:ascii="Book Antiqua" w:hAnsi="Book Antiqua" w:cstheme="minorHAnsi"/>
                <w:lang w:val="it-IT" w:eastAsia="zh-CN"/>
              </w:rPr>
              <w:t xml:space="preserve">; </w:t>
            </w:r>
            <w:r>
              <w:rPr>
                <w:rFonts w:ascii="Book Antiqua" w:eastAsia="Times New Roman" w:hAnsi="Book Antiqua" w:cstheme="minorHAnsi"/>
                <w:lang w:val="it-IT" w:eastAsia="it-IT"/>
              </w:rPr>
              <w:t>Jingjing Gu</w:t>
            </w:r>
          </w:p>
        </w:tc>
        <w:tc>
          <w:tcPr>
            <w:tcW w:w="2412" w:type="dxa"/>
            <w:tcBorders>
              <w:top w:val="nil"/>
              <w:left w:val="nil"/>
              <w:bottom w:val="nil"/>
              <w:right w:val="nil"/>
            </w:tcBorders>
            <w:vAlign w:val="center"/>
          </w:tcPr>
          <w:p w14:paraId="232CBF8E"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Observational, 30 patients,</w:t>
            </w:r>
            <w:r>
              <w:rPr>
                <w:rFonts w:ascii="Book Antiqua" w:hAnsi="Book Antiqua" w:cstheme="minorHAnsi"/>
                <w:lang w:val="it-IT" w:eastAsia="zh-CN"/>
              </w:rPr>
              <w:t xml:space="preserve"> </w:t>
            </w:r>
            <w:r>
              <w:rPr>
                <w:rFonts w:ascii="Book Antiqua" w:eastAsia="Times New Roman" w:hAnsi="Book Antiqua" w:cstheme="minorHAnsi"/>
                <w:lang w:val="it-IT" w:eastAsia="it-IT"/>
              </w:rPr>
              <w:t>EXALT-D</w:t>
            </w:r>
            <w:r>
              <w:rPr>
                <w:rFonts w:ascii="Book Antiqua" w:eastAsia="Times New Roman" w:hAnsi="Book Antiqua" w:cstheme="minorHAnsi"/>
                <w:vertAlign w:val="superscript"/>
                <w:lang w:val="it-IT" w:eastAsia="it-IT"/>
              </w:rPr>
              <w:t>1</w:t>
            </w:r>
          </w:p>
        </w:tc>
        <w:tc>
          <w:tcPr>
            <w:tcW w:w="1686" w:type="dxa"/>
            <w:tcBorders>
              <w:top w:val="nil"/>
              <w:left w:val="nil"/>
              <w:bottom w:val="nil"/>
              <w:right w:val="nil"/>
            </w:tcBorders>
            <w:vAlign w:val="center"/>
          </w:tcPr>
          <w:p w14:paraId="06BD78BD"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Technical success (ERCP completion)</w:t>
            </w:r>
          </w:p>
        </w:tc>
        <w:tc>
          <w:tcPr>
            <w:tcW w:w="1328" w:type="dxa"/>
            <w:tcBorders>
              <w:top w:val="nil"/>
              <w:left w:val="nil"/>
              <w:bottom w:val="nil"/>
            </w:tcBorders>
            <w:vAlign w:val="center"/>
          </w:tcPr>
          <w:p w14:paraId="2DCDAF72"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Not yet recruiting</w:t>
            </w:r>
          </w:p>
        </w:tc>
      </w:tr>
      <w:tr w:rsidR="005C6294" w14:paraId="2D7FD5BD" w14:textId="77777777">
        <w:trPr>
          <w:trHeight w:val="579"/>
        </w:trPr>
        <w:tc>
          <w:tcPr>
            <w:tcW w:w="4219" w:type="dxa"/>
            <w:tcBorders>
              <w:top w:val="nil"/>
              <w:right w:val="nil"/>
            </w:tcBorders>
            <w:vAlign w:val="center"/>
          </w:tcPr>
          <w:p w14:paraId="46AC1A19"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A Single-Use Duodenoscope in a Real-World Setting. NCT04628949</w:t>
            </w:r>
          </w:p>
        </w:tc>
        <w:tc>
          <w:tcPr>
            <w:tcW w:w="1577" w:type="dxa"/>
            <w:tcBorders>
              <w:top w:val="nil"/>
              <w:left w:val="nil"/>
              <w:right w:val="nil"/>
            </w:tcBorders>
            <w:vAlign w:val="center"/>
          </w:tcPr>
          <w:p w14:paraId="5372091F"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United States</w:t>
            </w:r>
          </w:p>
        </w:tc>
        <w:tc>
          <w:tcPr>
            <w:tcW w:w="4371" w:type="dxa"/>
            <w:tcBorders>
              <w:top w:val="nil"/>
              <w:left w:val="nil"/>
              <w:right w:val="nil"/>
            </w:tcBorders>
            <w:vAlign w:val="center"/>
          </w:tcPr>
          <w:p w14:paraId="58D4D482" w14:textId="77777777" w:rsidR="005C6294" w:rsidRDefault="00771FC7">
            <w:pPr>
              <w:spacing w:line="360" w:lineRule="auto"/>
              <w:jc w:val="both"/>
              <w:rPr>
                <w:rFonts w:ascii="Book Antiqua" w:eastAsia="宋体" w:hAnsi="Book Antiqua" w:cstheme="minorHAnsi"/>
                <w:lang w:eastAsia="zh-CN"/>
              </w:rPr>
            </w:pPr>
            <w:r>
              <w:rPr>
                <w:rFonts w:ascii="Book Antiqua" w:eastAsia="Times New Roman" w:hAnsi="Book Antiqua" w:cstheme="minorHAnsi"/>
                <w:lang w:val="it-IT" w:eastAsia="it-IT"/>
              </w:rPr>
              <w:t>Elizabeth Smith;</w:t>
            </w:r>
            <w:r>
              <w:rPr>
                <w:rFonts w:ascii="Book Antiqua" w:hAnsi="Book Antiqua" w:cstheme="minorHAnsi"/>
                <w:lang w:val="it-IT" w:eastAsia="zh-CN"/>
              </w:rPr>
              <w:t xml:space="preserve"> </w:t>
            </w:r>
            <w:r>
              <w:rPr>
                <w:rFonts w:ascii="Book Antiqua" w:eastAsia="Times New Roman" w:hAnsi="Book Antiqua" w:cstheme="minorHAnsi"/>
                <w:lang w:val="it-IT" w:eastAsia="it-IT"/>
              </w:rPr>
              <w:t>elsm@ambu.com</w:t>
            </w:r>
            <w:r>
              <w:rPr>
                <w:rFonts w:ascii="Book Antiqua" w:eastAsia="宋体" w:hAnsi="Book Antiqua" w:cstheme="minorHAnsi" w:hint="eastAsia"/>
                <w:lang w:eastAsia="zh-CN"/>
              </w:rPr>
              <w:t>;</w:t>
            </w:r>
          </w:p>
          <w:p w14:paraId="77E96ECB" w14:textId="77777777" w:rsidR="005C6294" w:rsidRDefault="00771FC7">
            <w:pPr>
              <w:spacing w:line="360" w:lineRule="auto"/>
              <w:jc w:val="both"/>
              <w:rPr>
                <w:rFonts w:ascii="Book Antiqua" w:eastAsia="Times New Roman" w:hAnsi="Book Antiqua" w:cstheme="minorHAnsi"/>
                <w:lang w:eastAsia="it-IT"/>
              </w:rPr>
            </w:pPr>
            <w:r>
              <w:rPr>
                <w:rFonts w:ascii="Book Antiqua" w:eastAsia="Times New Roman" w:hAnsi="Book Antiqua" w:cstheme="minorHAnsi"/>
                <w:lang w:val="it-IT" w:eastAsia="it-IT"/>
              </w:rPr>
              <w:t>Trine Højgaard Tølbøll</w:t>
            </w:r>
            <w:r>
              <w:rPr>
                <w:rFonts w:ascii="Book Antiqua" w:hAnsi="Book Antiqua" w:cstheme="minorHAnsi"/>
                <w:lang w:val="it-IT" w:eastAsia="zh-CN"/>
              </w:rPr>
              <w:t xml:space="preserve">; </w:t>
            </w:r>
            <w:r>
              <w:rPr>
                <w:rFonts w:ascii="Book Antiqua" w:eastAsia="Times New Roman" w:hAnsi="Book Antiqua" w:cstheme="minorHAnsi"/>
                <w:lang w:val="it-IT" w:eastAsia="it-IT"/>
              </w:rPr>
              <w:t>trht@ambu.com</w:t>
            </w:r>
          </w:p>
        </w:tc>
        <w:tc>
          <w:tcPr>
            <w:tcW w:w="2412" w:type="dxa"/>
            <w:tcBorders>
              <w:top w:val="nil"/>
              <w:left w:val="nil"/>
              <w:right w:val="nil"/>
            </w:tcBorders>
            <w:vAlign w:val="center"/>
          </w:tcPr>
          <w:p w14:paraId="514C4D58"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Prospective,</w:t>
            </w:r>
            <w:r>
              <w:rPr>
                <w:rFonts w:ascii="Book Antiqua" w:hAnsi="Book Antiqua" w:cstheme="minorHAnsi"/>
                <w:lang w:val="it-IT" w:eastAsia="zh-CN"/>
              </w:rPr>
              <w:t xml:space="preserve"> </w:t>
            </w:r>
            <w:r>
              <w:rPr>
                <w:rFonts w:ascii="Book Antiqua" w:eastAsia="Times New Roman" w:hAnsi="Book Antiqua" w:cstheme="minorHAnsi"/>
                <w:lang w:val="it-IT" w:eastAsia="it-IT"/>
              </w:rPr>
              <w:t>550 patients,</w:t>
            </w:r>
            <w:r>
              <w:rPr>
                <w:rFonts w:ascii="Book Antiqua" w:hAnsi="Book Antiqua" w:cstheme="minorHAnsi"/>
                <w:lang w:val="it-IT" w:eastAsia="zh-CN"/>
              </w:rPr>
              <w:t xml:space="preserve"> </w:t>
            </w:r>
            <w:r>
              <w:rPr>
                <w:rFonts w:ascii="Book Antiqua" w:eastAsia="Times New Roman" w:hAnsi="Book Antiqua" w:cstheme="minorHAnsi"/>
                <w:lang w:val="it-IT" w:eastAsia="it-IT"/>
              </w:rPr>
              <w:t>aScope</w:t>
            </w:r>
          </w:p>
        </w:tc>
        <w:tc>
          <w:tcPr>
            <w:tcW w:w="1686" w:type="dxa"/>
            <w:tcBorders>
              <w:top w:val="nil"/>
              <w:left w:val="nil"/>
              <w:right w:val="nil"/>
            </w:tcBorders>
            <w:vAlign w:val="center"/>
          </w:tcPr>
          <w:p w14:paraId="773FFC83"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Technical success (ERCP completion)</w:t>
            </w:r>
          </w:p>
        </w:tc>
        <w:tc>
          <w:tcPr>
            <w:tcW w:w="1328" w:type="dxa"/>
            <w:tcBorders>
              <w:top w:val="nil"/>
              <w:left w:val="nil"/>
            </w:tcBorders>
            <w:vAlign w:val="center"/>
          </w:tcPr>
          <w:p w14:paraId="6CC71BBB" w14:textId="77777777" w:rsidR="005C6294" w:rsidRDefault="00771FC7">
            <w:pPr>
              <w:spacing w:line="360" w:lineRule="auto"/>
              <w:jc w:val="both"/>
              <w:rPr>
                <w:rFonts w:ascii="Book Antiqua" w:eastAsia="Times New Roman" w:hAnsi="Book Antiqua" w:cstheme="minorHAnsi"/>
                <w:lang w:val="it-IT" w:eastAsia="it-IT"/>
              </w:rPr>
            </w:pPr>
            <w:r>
              <w:rPr>
                <w:rFonts w:ascii="Book Antiqua" w:eastAsia="Times New Roman" w:hAnsi="Book Antiqua" w:cstheme="minorHAnsi"/>
                <w:lang w:val="it-IT" w:eastAsia="it-IT"/>
              </w:rPr>
              <w:t>Recruiting</w:t>
            </w:r>
          </w:p>
        </w:tc>
      </w:tr>
    </w:tbl>
    <w:p w14:paraId="1C37706E" w14:textId="77777777" w:rsidR="005C6294" w:rsidRDefault="00771FC7">
      <w:pPr>
        <w:spacing w:line="360" w:lineRule="auto"/>
        <w:jc w:val="both"/>
        <w:rPr>
          <w:rFonts w:ascii="Book Antiqua" w:eastAsia="Times New Roman" w:hAnsi="Book Antiqua" w:cstheme="minorHAnsi"/>
          <w:lang w:eastAsia="it-IT"/>
        </w:rPr>
        <w:sectPr w:rsidR="005C6294">
          <w:footerReference w:type="default" r:id="rId11"/>
          <w:pgSz w:w="15840" w:h="12240" w:orient="landscape"/>
          <w:pgMar w:top="1440" w:right="1440" w:bottom="1440" w:left="1440" w:header="0" w:footer="720" w:gutter="0"/>
          <w:cols w:space="720"/>
          <w:formProt w:val="0"/>
          <w:docGrid w:linePitch="360"/>
        </w:sectPr>
      </w:pPr>
      <w:r>
        <w:rPr>
          <w:rFonts w:ascii="Book Antiqua" w:eastAsia="Times New Roman" w:hAnsi="Book Antiqua" w:cstheme="minorHAnsi"/>
          <w:vertAlign w:val="superscript"/>
          <w:lang w:eastAsia="it-IT"/>
        </w:rPr>
        <w:t>1</w:t>
      </w:r>
      <w:r>
        <w:rPr>
          <w:rFonts w:ascii="Book Antiqua" w:eastAsia="Times New Roman" w:hAnsi="Book Antiqua" w:cstheme="minorHAnsi"/>
          <w:lang w:eastAsia="it-IT"/>
        </w:rPr>
        <w:t xml:space="preserve">EXALT-D is manufactured by Boston Scientific (MA, </w:t>
      </w:r>
      <w:r>
        <w:rPr>
          <w:rFonts w:ascii="Book Antiqua" w:eastAsia="Times New Roman" w:hAnsi="Book Antiqua" w:cstheme="minorHAnsi"/>
          <w:lang w:eastAsia="it-IT"/>
        </w:rPr>
        <w:t>United States).</w:t>
      </w:r>
      <w:r>
        <w:rPr>
          <w:rFonts w:ascii="Book Antiqua" w:hAnsi="Book Antiqua" w:cstheme="minorHAnsi"/>
        </w:rPr>
        <w:t xml:space="preserve"> </w:t>
      </w:r>
      <w:bookmarkStart w:id="3" w:name="_Hlk67218709"/>
      <w:r>
        <w:rPr>
          <w:rFonts w:ascii="Book Antiqua" w:eastAsia="Times New Roman" w:hAnsi="Book Antiqua" w:cstheme="minorHAnsi"/>
          <w:lang w:eastAsia="it-IT"/>
        </w:rPr>
        <w:t>The aScope™ Duodeno is manufactured by Ambu A/S (Denmark).</w:t>
      </w:r>
      <w:bookmarkEnd w:id="2"/>
      <w:bookmarkEnd w:id="3"/>
      <w:r>
        <w:rPr>
          <w:rFonts w:ascii="Book Antiqua" w:eastAsia="Times New Roman" w:hAnsi="Book Antiqua" w:cstheme="minorHAnsi"/>
          <w:lang w:eastAsia="it-IT"/>
        </w:rPr>
        <w:t xml:space="preserve"> ASGE: American Society for Gastrointestinal Endoscopy.</w:t>
      </w:r>
    </w:p>
    <w:p w14:paraId="15E0EB5A" w14:textId="77777777" w:rsidR="005C6294" w:rsidRDefault="005C6294">
      <w:pPr>
        <w:snapToGrid w:val="0"/>
        <w:ind w:leftChars="100" w:left="240"/>
        <w:jc w:val="center"/>
        <w:rPr>
          <w:rFonts w:ascii="Book Antiqua" w:hAnsi="Book Antiqua"/>
          <w:lang w:eastAsia="zh-CN"/>
        </w:rPr>
      </w:pPr>
    </w:p>
    <w:p w14:paraId="70B1A8CB" w14:textId="77777777" w:rsidR="005C6294" w:rsidRDefault="005C6294">
      <w:pPr>
        <w:snapToGrid w:val="0"/>
        <w:ind w:leftChars="100" w:left="240"/>
        <w:jc w:val="center"/>
        <w:rPr>
          <w:rFonts w:ascii="Book Antiqua" w:hAnsi="Book Antiqua"/>
          <w:lang w:eastAsia="zh-CN"/>
        </w:rPr>
      </w:pPr>
    </w:p>
    <w:p w14:paraId="6AA5706D" w14:textId="77777777" w:rsidR="005C6294" w:rsidRDefault="00771FC7">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07C01C8C" wp14:editId="7013DCE1">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7D6E907" w14:textId="77777777" w:rsidR="005C6294" w:rsidRDefault="005C6294">
      <w:pPr>
        <w:snapToGrid w:val="0"/>
        <w:ind w:leftChars="100" w:left="240"/>
        <w:jc w:val="center"/>
        <w:rPr>
          <w:rFonts w:ascii="Book Antiqua" w:hAnsi="Book Antiqua"/>
          <w:lang w:eastAsia="zh-CN"/>
        </w:rPr>
      </w:pPr>
    </w:p>
    <w:p w14:paraId="3AB68CCE" w14:textId="77777777" w:rsidR="005C6294" w:rsidRDefault="00771FC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8449DD2" w14:textId="77777777" w:rsidR="005C6294" w:rsidRDefault="00771FC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B6732BE" w14:textId="77777777" w:rsidR="005C6294" w:rsidRDefault="00771FC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112785E" w14:textId="77777777" w:rsidR="005C6294" w:rsidRDefault="00771FC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CA083B7" w14:textId="77777777" w:rsidR="005C6294" w:rsidRDefault="00771FC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4E9EDF4" w14:textId="77777777" w:rsidR="005C6294" w:rsidRDefault="00771FC7">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5D5A87C0" w14:textId="77777777" w:rsidR="005C6294" w:rsidRDefault="005C6294">
      <w:pPr>
        <w:snapToGrid w:val="0"/>
        <w:ind w:leftChars="100" w:left="240"/>
        <w:jc w:val="center"/>
        <w:rPr>
          <w:rFonts w:ascii="Book Antiqua" w:hAnsi="Book Antiqua"/>
          <w:lang w:eastAsia="zh-CN"/>
        </w:rPr>
      </w:pPr>
    </w:p>
    <w:p w14:paraId="7516AFFB" w14:textId="77777777" w:rsidR="005C6294" w:rsidRDefault="005C6294">
      <w:pPr>
        <w:snapToGrid w:val="0"/>
        <w:ind w:leftChars="100" w:left="240"/>
        <w:jc w:val="center"/>
        <w:rPr>
          <w:rFonts w:ascii="Book Antiqua" w:hAnsi="Book Antiqua"/>
          <w:lang w:eastAsia="zh-CN"/>
        </w:rPr>
      </w:pPr>
    </w:p>
    <w:p w14:paraId="026A2B38" w14:textId="77777777" w:rsidR="005C6294" w:rsidRDefault="005C6294">
      <w:pPr>
        <w:snapToGrid w:val="0"/>
        <w:ind w:leftChars="100" w:left="240"/>
        <w:jc w:val="center"/>
        <w:rPr>
          <w:rFonts w:ascii="Book Antiqua" w:hAnsi="Book Antiqua"/>
          <w:lang w:eastAsia="zh-CN"/>
        </w:rPr>
      </w:pPr>
    </w:p>
    <w:p w14:paraId="3E08C0B6" w14:textId="77777777" w:rsidR="005C6294" w:rsidRDefault="00771FC7">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450DA284" wp14:editId="372088A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0D5D6E4" w14:textId="77777777" w:rsidR="005C6294" w:rsidRDefault="005C6294">
      <w:pPr>
        <w:snapToGrid w:val="0"/>
        <w:ind w:leftChars="100" w:left="240"/>
        <w:jc w:val="center"/>
        <w:rPr>
          <w:rFonts w:ascii="Book Antiqua" w:hAnsi="Book Antiqua"/>
          <w:lang w:eastAsia="zh-CN"/>
        </w:rPr>
      </w:pPr>
    </w:p>
    <w:p w14:paraId="56A1D253" w14:textId="77777777" w:rsidR="005C6294" w:rsidRDefault="005C6294">
      <w:pPr>
        <w:snapToGrid w:val="0"/>
        <w:ind w:leftChars="100" w:left="240"/>
        <w:jc w:val="center"/>
        <w:rPr>
          <w:rFonts w:ascii="Book Antiqua" w:hAnsi="Book Antiqua"/>
          <w:lang w:eastAsia="zh-CN"/>
        </w:rPr>
      </w:pPr>
    </w:p>
    <w:p w14:paraId="190EB0C4" w14:textId="77777777" w:rsidR="005C6294" w:rsidRDefault="005C6294">
      <w:pPr>
        <w:snapToGrid w:val="0"/>
        <w:ind w:leftChars="100" w:left="240"/>
        <w:jc w:val="center"/>
        <w:rPr>
          <w:rFonts w:ascii="Book Antiqua" w:hAnsi="Book Antiqua"/>
          <w:lang w:eastAsia="zh-CN"/>
        </w:rPr>
      </w:pPr>
    </w:p>
    <w:p w14:paraId="63A01748" w14:textId="77777777" w:rsidR="005C6294" w:rsidRDefault="005C6294">
      <w:pPr>
        <w:snapToGrid w:val="0"/>
        <w:ind w:leftChars="100" w:left="240"/>
        <w:jc w:val="center"/>
        <w:rPr>
          <w:rFonts w:ascii="Book Antiqua" w:hAnsi="Book Antiqua"/>
          <w:lang w:eastAsia="zh-CN"/>
        </w:rPr>
      </w:pPr>
    </w:p>
    <w:p w14:paraId="0FAA1B52" w14:textId="77777777" w:rsidR="005C6294" w:rsidRDefault="005C6294">
      <w:pPr>
        <w:snapToGrid w:val="0"/>
        <w:ind w:leftChars="100" w:left="240"/>
        <w:jc w:val="center"/>
        <w:rPr>
          <w:rFonts w:ascii="Book Antiqua" w:hAnsi="Book Antiqua"/>
          <w:lang w:eastAsia="zh-CN"/>
        </w:rPr>
      </w:pPr>
    </w:p>
    <w:p w14:paraId="0BE6DD6D" w14:textId="77777777" w:rsidR="005C6294" w:rsidRDefault="005C6294">
      <w:pPr>
        <w:snapToGrid w:val="0"/>
        <w:ind w:leftChars="100" w:left="240"/>
        <w:jc w:val="center"/>
        <w:rPr>
          <w:rFonts w:ascii="Book Antiqua" w:hAnsi="Book Antiqua"/>
          <w:lang w:eastAsia="zh-CN"/>
        </w:rPr>
      </w:pPr>
    </w:p>
    <w:p w14:paraId="32C960C3" w14:textId="77777777" w:rsidR="005C6294" w:rsidRDefault="005C6294">
      <w:pPr>
        <w:snapToGrid w:val="0"/>
        <w:ind w:leftChars="100" w:left="240"/>
        <w:jc w:val="center"/>
        <w:rPr>
          <w:rFonts w:ascii="Book Antiqua" w:hAnsi="Book Antiqua"/>
          <w:lang w:eastAsia="zh-CN"/>
        </w:rPr>
      </w:pPr>
    </w:p>
    <w:p w14:paraId="7291DB39" w14:textId="77777777" w:rsidR="005C6294" w:rsidRDefault="005C6294">
      <w:pPr>
        <w:snapToGrid w:val="0"/>
        <w:ind w:leftChars="100" w:left="240"/>
        <w:jc w:val="center"/>
        <w:rPr>
          <w:rFonts w:ascii="Book Antiqua" w:hAnsi="Book Antiqua"/>
          <w:lang w:eastAsia="zh-CN"/>
        </w:rPr>
      </w:pPr>
    </w:p>
    <w:p w14:paraId="6094175C" w14:textId="77777777" w:rsidR="005C6294" w:rsidRDefault="005C6294">
      <w:pPr>
        <w:snapToGrid w:val="0"/>
        <w:ind w:leftChars="100" w:left="240"/>
        <w:jc w:val="center"/>
        <w:rPr>
          <w:rFonts w:ascii="Book Antiqua" w:hAnsi="Book Antiqua"/>
          <w:lang w:eastAsia="zh-CN"/>
        </w:rPr>
      </w:pPr>
    </w:p>
    <w:p w14:paraId="2C5115CA" w14:textId="77777777" w:rsidR="005C6294" w:rsidRDefault="005C6294">
      <w:pPr>
        <w:snapToGrid w:val="0"/>
        <w:ind w:leftChars="100" w:left="240"/>
        <w:jc w:val="right"/>
        <w:rPr>
          <w:rFonts w:ascii="Book Antiqua" w:hAnsi="Book Antiqua"/>
          <w:color w:val="000000" w:themeColor="text1"/>
          <w:lang w:eastAsia="zh-CN"/>
        </w:rPr>
      </w:pPr>
    </w:p>
    <w:p w14:paraId="3DBDB967" w14:textId="77777777" w:rsidR="005C6294" w:rsidRDefault="00771FC7">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327E8826" w14:textId="77777777" w:rsidR="005C6294" w:rsidRDefault="005C6294">
      <w:pPr>
        <w:spacing w:line="360" w:lineRule="auto"/>
        <w:jc w:val="both"/>
        <w:rPr>
          <w:rFonts w:ascii="Book Antiqua" w:eastAsia="Times New Roman" w:hAnsi="Book Antiqua" w:cstheme="minorHAnsi"/>
          <w:lang w:eastAsia="it-IT"/>
        </w:rPr>
        <w:sectPr w:rsidR="005C6294">
          <w:pgSz w:w="12240" w:h="15840"/>
          <w:pgMar w:top="1440" w:right="1440" w:bottom="1440" w:left="1440" w:header="0" w:footer="720" w:gutter="0"/>
          <w:cols w:space="720"/>
          <w:formProt w:val="0"/>
          <w:docGrid w:linePitch="360"/>
        </w:sectPr>
      </w:pPr>
    </w:p>
    <w:p w14:paraId="3B39EA94" w14:textId="77777777" w:rsidR="005C6294" w:rsidRDefault="005C6294">
      <w:pPr>
        <w:spacing w:line="360" w:lineRule="auto"/>
        <w:jc w:val="both"/>
        <w:rPr>
          <w:rFonts w:ascii="Book Antiqua" w:eastAsia="Times New Roman" w:hAnsi="Book Antiqua" w:cstheme="minorHAnsi"/>
          <w:lang w:eastAsia="it-IT"/>
        </w:rPr>
      </w:pPr>
    </w:p>
    <w:p w14:paraId="37E90243" w14:textId="77777777" w:rsidR="005C6294" w:rsidRDefault="005C6294">
      <w:pPr>
        <w:spacing w:line="360" w:lineRule="auto"/>
        <w:jc w:val="both"/>
        <w:rPr>
          <w:rFonts w:ascii="Book Antiqua" w:eastAsia="Times New Roman" w:hAnsi="Book Antiqua"/>
          <w:lang w:eastAsia="it-IT"/>
        </w:rPr>
      </w:pPr>
    </w:p>
    <w:p w14:paraId="01089DA9" w14:textId="77777777" w:rsidR="005C6294" w:rsidRDefault="005C6294">
      <w:pPr>
        <w:spacing w:line="360" w:lineRule="auto"/>
        <w:jc w:val="both"/>
        <w:rPr>
          <w:rFonts w:ascii="Book Antiqua" w:hAnsi="Book Antiqua"/>
        </w:rPr>
      </w:pPr>
    </w:p>
    <w:sectPr w:rsidR="005C6294">
      <w:pgSz w:w="15840" w:h="12240" w:orient="landscape"/>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641F" w14:textId="77777777" w:rsidR="00771FC7" w:rsidRDefault="00771FC7">
      <w:r>
        <w:separator/>
      </w:r>
    </w:p>
  </w:endnote>
  <w:endnote w:type="continuationSeparator" w:id="0">
    <w:p w14:paraId="05EA04EB" w14:textId="77777777" w:rsidR="00771FC7" w:rsidRDefault="0077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default"/>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888435"/>
    </w:sdtPr>
    <w:sdtEndPr/>
    <w:sdtContent>
      <w:p w14:paraId="4C003883" w14:textId="77777777" w:rsidR="005C6294" w:rsidRDefault="00771FC7">
        <w:pPr>
          <w:pStyle w:val="a9"/>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p>
      <w:p w14:paraId="3F84CF4F" w14:textId="77777777" w:rsidR="005C6294" w:rsidRDefault="00771FC7">
        <w:pPr>
          <w:pStyle w:val="a9"/>
          <w:rPr>
            <w:rFonts w:ascii="Book Antiqua" w:hAnsi="Book Antiqua"/>
            <w:sz w:val="24"/>
            <w:szCs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356231"/>
    </w:sdtPr>
    <w:sdtEndPr/>
    <w:sdtContent>
      <w:p w14:paraId="79280440" w14:textId="77777777" w:rsidR="005C6294" w:rsidRDefault="00771FC7">
        <w:pPr>
          <w:pStyle w:val="a9"/>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p>
      <w:p w14:paraId="0F38119A" w14:textId="77777777" w:rsidR="005C6294" w:rsidRDefault="00771FC7">
        <w:pPr>
          <w:pStyle w:val="a9"/>
          <w:rPr>
            <w:rFonts w:ascii="Book Antiqua" w:hAnsi="Book Antiqua"/>
            <w:sz w:val="24"/>
            <w:szCs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840379"/>
    </w:sdtPr>
    <w:sdtEndPr/>
    <w:sdtContent>
      <w:p w14:paraId="4B66F9DB" w14:textId="77777777" w:rsidR="005C6294" w:rsidRDefault="00771FC7">
        <w:pPr>
          <w:pStyle w:val="a9"/>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p>
      <w:p w14:paraId="488C2F62" w14:textId="77777777" w:rsidR="005C6294" w:rsidRDefault="00771FC7">
        <w:pPr>
          <w:pStyle w:val="a9"/>
          <w:rPr>
            <w:rFonts w:ascii="Book Antiqua" w:hAnsi="Book Antiqua"/>
            <w:sz w:val="24"/>
            <w:szCs w:val="24"/>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585760"/>
    </w:sdtPr>
    <w:sdtEndPr/>
    <w:sdtContent>
      <w:p w14:paraId="10E20518" w14:textId="77777777" w:rsidR="005C6294" w:rsidRDefault="00771FC7">
        <w:pPr>
          <w:pStyle w:val="a9"/>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p>
      <w:p w14:paraId="49EA3625" w14:textId="77777777" w:rsidR="005C6294" w:rsidRDefault="00771FC7">
        <w:pPr>
          <w:pStyle w:val="a9"/>
          <w:rPr>
            <w:rFonts w:ascii="Book Antiqua" w:hAnsi="Book Antiqua"/>
            <w:sz w:val="24"/>
            <w:szCs w:val="24"/>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43141"/>
    </w:sdtPr>
    <w:sdtEndPr/>
    <w:sdtContent>
      <w:p w14:paraId="6A1920B8" w14:textId="77777777" w:rsidR="005C6294" w:rsidRDefault="00771FC7">
        <w:pPr>
          <w:pStyle w:val="a9"/>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26</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26</w:t>
        </w:r>
        <w:r>
          <w:rPr>
            <w:rFonts w:ascii="Book Antiqua" w:hAnsi="Book Antiqua"/>
            <w:sz w:val="24"/>
            <w:szCs w:val="24"/>
          </w:rPr>
          <w:fldChar w:fldCharType="end"/>
        </w:r>
      </w:p>
    </w:sdtContent>
  </w:sdt>
  <w:p w14:paraId="61093119" w14:textId="77777777" w:rsidR="005C6294" w:rsidRDefault="005C62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06EF" w14:textId="77777777" w:rsidR="00771FC7" w:rsidRDefault="00771FC7">
      <w:r>
        <w:separator/>
      </w:r>
    </w:p>
  </w:footnote>
  <w:footnote w:type="continuationSeparator" w:id="0">
    <w:p w14:paraId="3209B0CF" w14:textId="77777777" w:rsidR="00771FC7" w:rsidRDefault="00771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283"/>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ZlZTc0NGUyNWIwZjE2NjIyNTdhZTc1NTM4ZTUwOTUifQ=="/>
  </w:docVars>
  <w:rsids>
    <w:rsidRoot w:val="00037891"/>
    <w:rsid w:val="0001214A"/>
    <w:rsid w:val="00037891"/>
    <w:rsid w:val="00066EC4"/>
    <w:rsid w:val="000D671F"/>
    <w:rsid w:val="00114A60"/>
    <w:rsid w:val="00125BF7"/>
    <w:rsid w:val="001302C8"/>
    <w:rsid w:val="00181333"/>
    <w:rsid w:val="001A3E5C"/>
    <w:rsid w:val="001C7D42"/>
    <w:rsid w:val="00215B0D"/>
    <w:rsid w:val="002C1CCB"/>
    <w:rsid w:val="00320960"/>
    <w:rsid w:val="00357B54"/>
    <w:rsid w:val="003E5E9A"/>
    <w:rsid w:val="003F3FAD"/>
    <w:rsid w:val="005169E2"/>
    <w:rsid w:val="005A350D"/>
    <w:rsid w:val="005A3DCE"/>
    <w:rsid w:val="005C6294"/>
    <w:rsid w:val="005D6B41"/>
    <w:rsid w:val="006118DF"/>
    <w:rsid w:val="00731FF0"/>
    <w:rsid w:val="00771850"/>
    <w:rsid w:val="00771FC7"/>
    <w:rsid w:val="007921A3"/>
    <w:rsid w:val="007A7925"/>
    <w:rsid w:val="007C2C19"/>
    <w:rsid w:val="007C42E5"/>
    <w:rsid w:val="007E2806"/>
    <w:rsid w:val="00806685"/>
    <w:rsid w:val="008544A8"/>
    <w:rsid w:val="00855743"/>
    <w:rsid w:val="00885A06"/>
    <w:rsid w:val="009737EF"/>
    <w:rsid w:val="009A69F3"/>
    <w:rsid w:val="009B7880"/>
    <w:rsid w:val="00A35EEF"/>
    <w:rsid w:val="00AD6425"/>
    <w:rsid w:val="00AD7752"/>
    <w:rsid w:val="00B04D1A"/>
    <w:rsid w:val="00BF0D6E"/>
    <w:rsid w:val="00C468AF"/>
    <w:rsid w:val="00C6473E"/>
    <w:rsid w:val="00CE6353"/>
    <w:rsid w:val="00D221D1"/>
    <w:rsid w:val="00D612C6"/>
    <w:rsid w:val="00D643E6"/>
    <w:rsid w:val="00DD02E1"/>
    <w:rsid w:val="00DF12BC"/>
    <w:rsid w:val="00E21941"/>
    <w:rsid w:val="00E93FFA"/>
    <w:rsid w:val="00EA0DE2"/>
    <w:rsid w:val="00EA7BDE"/>
    <w:rsid w:val="00F519B3"/>
    <w:rsid w:val="00FC2C6A"/>
    <w:rsid w:val="00FF132F"/>
    <w:rsid w:val="1F0D4093"/>
    <w:rsid w:val="364E3C2B"/>
    <w:rsid w:val="369A7C11"/>
    <w:rsid w:val="49362C01"/>
    <w:rsid w:val="6252414B"/>
    <w:rsid w:val="6A386233"/>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AF00C"/>
  <w15:docId w15:val="{96CC9682-641A-4387-B46D-FB61CC89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rFonts w:cs="Arial"/>
      <w:i/>
      <w:iCs/>
    </w:rPr>
  </w:style>
  <w:style w:type="paragraph" w:styleId="a4">
    <w:name w:val="annotation text"/>
    <w:basedOn w:val="a"/>
    <w:link w:val="a5"/>
    <w:semiHidden/>
    <w:unhideWhenUsed/>
    <w:qFormat/>
  </w:style>
  <w:style w:type="paragraph" w:styleId="a6">
    <w:name w:val="Body Text"/>
    <w:basedOn w:val="a"/>
    <w:qFormat/>
    <w:pPr>
      <w:spacing w:after="140" w:line="276" w:lineRule="auto"/>
    </w:pPr>
  </w:style>
  <w:style w:type="paragraph" w:styleId="a7">
    <w:name w:val="Balloon Text"/>
    <w:basedOn w:val="a"/>
    <w:link w:val="a8"/>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unhideWhenUsed/>
    <w:qFormat/>
    <w:pPr>
      <w:pBdr>
        <w:bottom w:val="single" w:sz="6" w:space="1" w:color="000000"/>
      </w:pBdr>
      <w:tabs>
        <w:tab w:val="center" w:pos="4153"/>
        <w:tab w:val="right" w:pos="8306"/>
      </w:tabs>
      <w:snapToGrid w:val="0"/>
      <w:jc w:val="center"/>
    </w:pPr>
    <w:rPr>
      <w:sz w:val="18"/>
      <w:szCs w:val="18"/>
    </w:rPr>
  </w:style>
  <w:style w:type="paragraph" w:styleId="ac">
    <w:name w:val="List"/>
    <w:basedOn w:val="a6"/>
    <w:qFormat/>
    <w:rPr>
      <w:rFonts w:cs="Arial"/>
    </w:rPr>
  </w:style>
  <w:style w:type="paragraph" w:styleId="ad">
    <w:name w:val="Normal (Web)"/>
    <w:basedOn w:val="a"/>
    <w:semiHidden/>
    <w:unhideWhenUsed/>
    <w:pPr>
      <w:spacing w:beforeAutospacing="1" w:afterAutospacing="1"/>
    </w:pPr>
    <w:rPr>
      <w:lang w:eastAsia="zh-CN"/>
    </w:rPr>
  </w:style>
  <w:style w:type="paragraph" w:styleId="ae">
    <w:name w:val="annotation subject"/>
    <w:basedOn w:val="a4"/>
    <w:next w:val="a4"/>
    <w:link w:val="af"/>
    <w:semiHidden/>
    <w:unhideWhenUsed/>
    <w:qFormat/>
    <w:rPr>
      <w:b/>
      <w:bCs/>
    </w:rPr>
  </w:style>
  <w:style w:type="table" w:styleId="af0">
    <w:name w:val="Table Grid"/>
    <w:basedOn w:val="a1"/>
    <w:uiPriority w:val="39"/>
    <w:qFormat/>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semiHidden/>
    <w:unhideWhenUsed/>
    <w:qFormat/>
    <w:rPr>
      <w:sz w:val="21"/>
      <w:szCs w:val="21"/>
    </w:rPr>
  </w:style>
  <w:style w:type="character" w:customStyle="1" w:styleId="aa">
    <w:name w:val="页脚 字符"/>
    <w:basedOn w:val="a0"/>
    <w:link w:val="a9"/>
    <w:uiPriority w:val="99"/>
    <w:qFormat/>
    <w:rPr>
      <w:sz w:val="18"/>
      <w:szCs w:val="18"/>
    </w:rPr>
  </w:style>
  <w:style w:type="character" w:customStyle="1" w:styleId="a5">
    <w:name w:val="批注文字 字符"/>
    <w:basedOn w:val="a0"/>
    <w:link w:val="a4"/>
    <w:qFormat/>
    <w:rPr>
      <w:sz w:val="18"/>
      <w:szCs w:val="18"/>
    </w:rPr>
  </w:style>
  <w:style w:type="character" w:customStyle="1" w:styleId="af">
    <w:name w:val="批注主题 字符"/>
    <w:basedOn w:val="a0"/>
    <w:link w:val="ae"/>
    <w:semiHidden/>
    <w:qFormat/>
    <w:rPr>
      <w:sz w:val="24"/>
      <w:szCs w:val="24"/>
    </w:rPr>
  </w:style>
  <w:style w:type="character" w:customStyle="1" w:styleId="a8">
    <w:name w:val="批注框文本 字符"/>
    <w:basedOn w:val="af"/>
    <w:link w:val="a7"/>
    <w:semiHidden/>
    <w:qFormat/>
    <w:rPr>
      <w:b/>
      <w:bCs/>
      <w:sz w:val="24"/>
      <w:szCs w:val="24"/>
    </w:rPr>
  </w:style>
  <w:style w:type="character" w:customStyle="1" w:styleId="Char">
    <w:name w:val="批注框文本 Char"/>
    <w:basedOn w:val="a0"/>
    <w:semiHidden/>
    <w:qFormat/>
    <w:rPr>
      <w:sz w:val="18"/>
      <w:szCs w:val="18"/>
    </w:rPr>
  </w:style>
  <w:style w:type="character" w:customStyle="1" w:styleId="CollegamentoInternet">
    <w:name w:val="Collegamento Internet"/>
    <w:basedOn w:val="a0"/>
    <w:unhideWhenUsed/>
    <w:qFormat/>
    <w:rPr>
      <w:color w:val="0000FF" w:themeColor="hyperlink"/>
      <w:u w:val="single"/>
    </w:rPr>
  </w:style>
  <w:style w:type="character" w:customStyle="1" w:styleId="Numerazionerighe">
    <w:name w:val="Numerazione righe"/>
    <w:qFormat/>
  </w:style>
  <w:style w:type="paragraph" w:customStyle="1" w:styleId="Titolo1">
    <w:name w:val="Titolo1"/>
    <w:basedOn w:val="a"/>
    <w:next w:val="a6"/>
    <w:qFormat/>
    <w:pPr>
      <w:keepNext/>
      <w:spacing w:before="240" w:after="120"/>
    </w:pPr>
    <w:rPr>
      <w:rFonts w:ascii="Liberation Sans" w:eastAsia="微软雅黑" w:hAnsi="Liberation Sans" w:cs="Arial"/>
      <w:sz w:val="28"/>
      <w:szCs w:val="28"/>
    </w:rPr>
  </w:style>
  <w:style w:type="paragraph" w:customStyle="1" w:styleId="Indice">
    <w:name w:val="Indice"/>
    <w:basedOn w:val="a"/>
    <w:qFormat/>
    <w:pPr>
      <w:suppressLineNumbers/>
    </w:pPr>
    <w:rPr>
      <w:rFonts w:cs="Arial"/>
    </w:rPr>
  </w:style>
  <w:style w:type="paragraph" w:customStyle="1" w:styleId="Intestazioneepidipagina">
    <w:name w:val="Intestazione e piè di pagina"/>
    <w:basedOn w:val="a"/>
    <w:qFormat/>
  </w:style>
  <w:style w:type="paragraph" w:customStyle="1" w:styleId="1">
    <w:name w:val="修订1"/>
    <w:hidden/>
    <w:uiPriority w:val="99"/>
    <w:semiHidden/>
    <w:qFormat/>
    <w:rPr>
      <w:rFonts w:eastAsiaTheme="minorEastAsia"/>
      <w:sz w:val="24"/>
      <w:szCs w:val="24"/>
      <w:lang w:eastAsia="en-US"/>
    </w:rPr>
  </w:style>
  <w:style w:type="paragraph" w:styleId="af2">
    <w:name w:val="Revision"/>
    <w:hidden/>
    <w:uiPriority w:val="99"/>
    <w:semiHidden/>
    <w:rsid w:val="008544A8"/>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28</Pages>
  <Words>5687</Words>
  <Characters>32420</Characters>
  <Application>Microsoft Office Word</Application>
  <DocSecurity>0</DocSecurity>
  <Lines>270</Lines>
  <Paragraphs>76</Paragraphs>
  <ScaleCrop>false</ScaleCrop>
  <Company>HP</Company>
  <LinksUpToDate>false</LinksUpToDate>
  <CharactersWithSpaces>38031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li xiang</cp:lastModifiedBy>
  <cp:revision>3</cp:revision>
  <dcterms:created xsi:type="dcterms:W3CDTF">2022-03-16T00:54:00Z</dcterms:created>
  <dcterms:modified xsi:type="dcterms:W3CDTF">2022-05-18T16:40:00Z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C3D21D068D49451B95358C37A7ECC522</vt:lpwstr>
  </property>
</Properties>
</file>