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E02E2" w14:textId="16225CBE" w:rsidR="00A77B3E" w:rsidRPr="00F77746" w:rsidRDefault="001257B7" w:rsidP="00F77746">
      <w:pPr>
        <w:spacing w:line="360" w:lineRule="auto"/>
        <w:jc w:val="both"/>
      </w:pPr>
      <w:bookmarkStart w:id="0" w:name="_Hlk104814558"/>
      <w:r w:rsidRPr="00F77746">
        <w:rPr>
          <w:rFonts w:ascii="Book Antiqua" w:eastAsia="Book Antiqua" w:hAnsi="Book Antiqua" w:cs="Book Antiqua"/>
          <w:b/>
          <w:color w:val="000000"/>
        </w:rPr>
        <w:t>Name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Journal: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color w:val="000000"/>
        </w:rPr>
        <w:t>World</w:t>
      </w:r>
      <w:r w:rsidR="009C3C7D" w:rsidRPr="00F7774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color w:val="000000"/>
        </w:rPr>
        <w:t>Journal</w:t>
      </w:r>
      <w:r w:rsidR="009C3C7D" w:rsidRPr="00F7774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color w:val="000000"/>
        </w:rPr>
        <w:t>Cardiology</w:t>
      </w:r>
    </w:p>
    <w:p w14:paraId="58E178FC" w14:textId="0A326D42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olor w:val="000000"/>
        </w:rPr>
        <w:t>Manuscript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NO: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74436</w:t>
      </w:r>
    </w:p>
    <w:p w14:paraId="5CEB3011" w14:textId="4FDE6669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olor w:val="000000"/>
        </w:rPr>
        <w:t>Manuscript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Type: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ORIGINAL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ARTICLE</w:t>
      </w:r>
    </w:p>
    <w:bookmarkEnd w:id="0"/>
    <w:p w14:paraId="459FD1D2" w14:textId="77777777" w:rsidR="00A77B3E" w:rsidRPr="00F77746" w:rsidRDefault="00A77B3E" w:rsidP="00F77746">
      <w:pPr>
        <w:spacing w:line="360" w:lineRule="auto"/>
        <w:jc w:val="both"/>
      </w:pPr>
    </w:p>
    <w:p w14:paraId="1F41305F" w14:textId="051C45DE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9C3C7D" w:rsidRPr="00F7774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9C3C7D" w:rsidRPr="00F7774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2E96024" w14:textId="0A423840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olor w:val="000000"/>
        </w:rPr>
        <w:t>Is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there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window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opportunity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optimize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monitoring?</w:t>
      </w:r>
    </w:p>
    <w:p w14:paraId="6E19FE52" w14:textId="77777777" w:rsidR="00A77B3E" w:rsidRPr="00F77746" w:rsidRDefault="00A77B3E" w:rsidP="00F77746">
      <w:pPr>
        <w:spacing w:line="360" w:lineRule="auto"/>
        <w:jc w:val="both"/>
      </w:pPr>
    </w:p>
    <w:p w14:paraId="763E874C" w14:textId="5EE05396" w:rsidR="00A77B3E" w:rsidRPr="00F77746" w:rsidRDefault="00DC474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Rala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Paula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BH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D73334" w:rsidRPr="00F77746">
        <w:rPr>
          <w:rFonts w:ascii="Book Antiqua" w:eastAsia="Book Antiqua" w:hAnsi="Book Antiqua" w:cs="Book Antiqua"/>
          <w:color w:val="000000"/>
        </w:rPr>
        <w:t>Could</w:t>
      </w:r>
      <w:r w:rsidR="00B04A81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F77746">
        <w:rPr>
          <w:rFonts w:ascii="Book Antiqua" w:eastAsia="Book Antiqua" w:hAnsi="Book Antiqua" w:cs="Book Antiqua"/>
          <w:color w:val="000000"/>
        </w:rPr>
        <w:t>monitoring</w:t>
      </w:r>
      <w:r w:rsidR="00D73334" w:rsidRPr="00F77746">
        <w:rPr>
          <w:rFonts w:ascii="Book Antiqua" w:eastAsia="Book Antiqua" w:hAnsi="Book Antiqua" w:cs="Book Antiqua"/>
          <w:color w:val="000000"/>
        </w:rPr>
        <w:t xml:space="preserve"> be optimized</w:t>
      </w:r>
      <w:r w:rsidR="001257B7" w:rsidRPr="00F77746">
        <w:rPr>
          <w:rFonts w:ascii="Book Antiqua" w:eastAsia="Book Antiqua" w:hAnsi="Book Antiqua" w:cs="Book Antiqua"/>
          <w:color w:val="000000"/>
        </w:rPr>
        <w:t>?</w:t>
      </w:r>
    </w:p>
    <w:p w14:paraId="57D96405" w14:textId="77777777" w:rsidR="00A77B3E" w:rsidRPr="00F77746" w:rsidRDefault="00A77B3E" w:rsidP="00F77746">
      <w:pPr>
        <w:spacing w:line="360" w:lineRule="auto"/>
        <w:jc w:val="both"/>
      </w:pPr>
    </w:p>
    <w:p w14:paraId="49DF05EF" w14:textId="59CA36F2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Bruno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Henrique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Rala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Paula,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Maria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Eduarda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Teixeira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Ferro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Costa,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Carlos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Augusto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Moreira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Sousa,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Jos</w:t>
      </w:r>
      <w:r w:rsidR="00B04A81" w:rsidRPr="00F77746">
        <w:rPr>
          <w:rFonts w:ascii="Book Antiqua" w:eastAsia="Book Antiqua" w:hAnsi="Book Antiqua" w:cs="Book Antiqua"/>
          <w:color w:val="000000"/>
        </w:rPr>
        <w:t>é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Bines</w:t>
      </w:r>
    </w:p>
    <w:p w14:paraId="0BF36DCE" w14:textId="77777777" w:rsidR="00A77B3E" w:rsidRPr="00F77746" w:rsidRDefault="00A77B3E" w:rsidP="00F77746">
      <w:pPr>
        <w:spacing w:line="360" w:lineRule="auto"/>
        <w:jc w:val="both"/>
      </w:pPr>
    </w:p>
    <w:p w14:paraId="14C8325C" w14:textId="67F5A75E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t>Bruno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Henrique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Rala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Paula,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Sarah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Cannon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Research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Institute,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London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W1G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6AD,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United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Kingdom</w:t>
      </w:r>
    </w:p>
    <w:p w14:paraId="5F40A193" w14:textId="77777777" w:rsidR="00A77B3E" w:rsidRPr="00F77746" w:rsidRDefault="00A77B3E" w:rsidP="00F77746">
      <w:pPr>
        <w:spacing w:line="360" w:lineRule="auto"/>
        <w:jc w:val="both"/>
      </w:pPr>
    </w:p>
    <w:p w14:paraId="4D838068" w14:textId="00B3299B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Eduarda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Teixeira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Ferro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Costa,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5864B9" w:rsidRPr="00F77746">
        <w:rPr>
          <w:rFonts w:ascii="Book Antiqua" w:eastAsia="Book Antiqua" w:hAnsi="Book Antiqua" w:cs="Book Antiqua"/>
          <w:color w:val="000000"/>
        </w:rPr>
        <w:t>Department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5864B9"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Cardiology,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Hospital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426D40" w:rsidRPr="00F77746">
        <w:rPr>
          <w:rFonts w:ascii="Book Antiqua" w:eastAsia="Book Antiqua" w:hAnsi="Book Antiqua" w:cs="Book Antiqua"/>
          <w:color w:val="000000"/>
        </w:rPr>
        <w:t>Câncer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III</w:t>
      </w:r>
      <w:r w:rsidR="00C11743" w:rsidRPr="00F77746">
        <w:rPr>
          <w:rFonts w:ascii="Book Antiqua" w:eastAsia="Book Antiqua" w:hAnsi="Book Antiqua" w:cs="Book Antiqua"/>
          <w:color w:val="000000"/>
        </w:rPr>
        <w:t>-</w:t>
      </w:r>
      <w:r w:rsidRPr="00F77746">
        <w:rPr>
          <w:rFonts w:ascii="Book Antiqua" w:eastAsia="Book Antiqua" w:hAnsi="Book Antiqua" w:cs="Book Antiqua"/>
          <w:color w:val="000000"/>
        </w:rPr>
        <w:t>Instituto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Nacional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B04A81" w:rsidRPr="00F77746">
        <w:rPr>
          <w:rFonts w:ascii="Book Antiqua" w:eastAsia="Book Antiqua" w:hAnsi="Book Antiqua" w:cs="Book Antiqua"/>
          <w:color w:val="000000"/>
        </w:rPr>
        <w:t>Câncer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Rio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Janeiro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20560-121,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Brazil</w:t>
      </w:r>
    </w:p>
    <w:p w14:paraId="48E20739" w14:textId="77777777" w:rsidR="00A77B3E" w:rsidRPr="00F77746" w:rsidRDefault="00A77B3E" w:rsidP="00F77746">
      <w:pPr>
        <w:spacing w:line="360" w:lineRule="auto"/>
        <w:jc w:val="both"/>
      </w:pPr>
    </w:p>
    <w:p w14:paraId="223BEFB3" w14:textId="08A88A57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t>Carlos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Augusto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Moreira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Sousa,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Clinical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Research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Unit,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Hospital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B04A81" w:rsidRPr="00F77746">
        <w:rPr>
          <w:rFonts w:ascii="Book Antiqua" w:eastAsia="Book Antiqua" w:hAnsi="Book Antiqua" w:cs="Book Antiqua"/>
          <w:color w:val="000000"/>
        </w:rPr>
        <w:t>Câncer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III</w:t>
      </w:r>
      <w:r w:rsidR="005C00F4" w:rsidRPr="00F77746">
        <w:rPr>
          <w:rFonts w:ascii="Book Antiqua" w:eastAsia="Book Antiqua" w:hAnsi="Book Antiqua" w:cs="Book Antiqua"/>
          <w:color w:val="000000"/>
        </w:rPr>
        <w:t>-</w:t>
      </w:r>
      <w:r w:rsidRPr="00F77746">
        <w:rPr>
          <w:rFonts w:ascii="Book Antiqua" w:eastAsia="Book Antiqua" w:hAnsi="Book Antiqua" w:cs="Book Antiqua"/>
          <w:color w:val="000000"/>
        </w:rPr>
        <w:t>Instituto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Nacional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B04A81" w:rsidRPr="00F77746">
        <w:rPr>
          <w:rFonts w:ascii="Book Antiqua" w:eastAsia="Book Antiqua" w:hAnsi="Book Antiqua" w:cs="Book Antiqua"/>
          <w:color w:val="000000"/>
        </w:rPr>
        <w:t>Câncer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Rio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Janeiro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20560-121,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Brazil</w:t>
      </w:r>
    </w:p>
    <w:p w14:paraId="70675F45" w14:textId="77777777" w:rsidR="00A77B3E" w:rsidRPr="00F77746" w:rsidRDefault="00A77B3E" w:rsidP="00F77746">
      <w:pPr>
        <w:spacing w:line="360" w:lineRule="auto"/>
        <w:jc w:val="both"/>
      </w:pPr>
    </w:p>
    <w:p w14:paraId="48BED194" w14:textId="2F56711D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t>Jos</w:t>
      </w:r>
      <w:r w:rsidR="00F77746">
        <w:rPr>
          <w:rFonts w:ascii="Book Antiqua" w:eastAsia="Book Antiqua" w:hAnsi="Book Antiqua" w:cs="Book Antiqua"/>
          <w:b/>
          <w:bCs/>
          <w:color w:val="000000"/>
        </w:rPr>
        <w:t>é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Bines,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Department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Medical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Oncology,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Instituto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Nacional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B04A81" w:rsidRPr="00F77746">
        <w:rPr>
          <w:rFonts w:ascii="Book Antiqua" w:eastAsia="Book Antiqua" w:hAnsi="Book Antiqua" w:cs="Book Antiqua"/>
          <w:color w:val="000000"/>
        </w:rPr>
        <w:t>Câncer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Rio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Janeiro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20560-121,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Brazil</w:t>
      </w:r>
    </w:p>
    <w:p w14:paraId="5B7AE9D0" w14:textId="77777777" w:rsidR="00A77B3E" w:rsidRPr="00F77746" w:rsidRDefault="00A77B3E" w:rsidP="00F77746">
      <w:pPr>
        <w:spacing w:line="360" w:lineRule="auto"/>
        <w:jc w:val="both"/>
      </w:pPr>
    </w:p>
    <w:p w14:paraId="1F96107A" w14:textId="144CF5CC" w:rsidR="00065589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Rala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Paula</w:t>
      </w:r>
      <w:r w:rsidR="00F77746">
        <w:rPr>
          <w:rFonts w:ascii="Book Antiqua" w:eastAsia="Book Antiqua" w:hAnsi="Book Antiqua" w:cs="Book Antiqua"/>
          <w:color w:val="000000"/>
        </w:rPr>
        <w:t xml:space="preserve"> BH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Costa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F77746">
        <w:rPr>
          <w:rFonts w:ascii="Book Antiqua" w:eastAsia="Book Antiqua" w:hAnsi="Book Antiqua" w:cs="Book Antiqua"/>
          <w:color w:val="000000"/>
        </w:rPr>
        <w:t xml:space="preserve">METF </w:t>
      </w:r>
      <w:r w:rsidR="00EE66E2"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Bines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F77746">
        <w:rPr>
          <w:rFonts w:ascii="Book Antiqua" w:eastAsia="Book Antiqua" w:hAnsi="Book Antiqua" w:cs="Book Antiqua"/>
          <w:color w:val="000000"/>
        </w:rPr>
        <w:t>J contributed 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61FD8" w:rsidRPr="00F77746">
        <w:rPr>
          <w:rFonts w:ascii="Book Antiqua" w:eastAsia="Book Antiqua" w:hAnsi="Book Antiqua" w:cs="Book Antiqua"/>
          <w:color w:val="000000"/>
        </w:rPr>
        <w:t>data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61FD8" w:rsidRPr="00F77746">
        <w:rPr>
          <w:rFonts w:ascii="Book Antiqua" w:eastAsia="Book Antiqua" w:hAnsi="Book Antiqua" w:cs="Book Antiqua"/>
          <w:color w:val="000000"/>
        </w:rPr>
        <w:t>collection;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F77746">
        <w:rPr>
          <w:rFonts w:ascii="Book Antiqua" w:eastAsia="Book Antiqua" w:hAnsi="Book Antiqua" w:cs="Book Antiqua"/>
          <w:color w:val="000000"/>
        </w:rPr>
        <w:t>Rala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F77746">
        <w:rPr>
          <w:rFonts w:ascii="Book Antiqua" w:eastAsia="Book Antiqua" w:hAnsi="Book Antiqua" w:cs="Book Antiqua"/>
          <w:color w:val="000000"/>
        </w:rPr>
        <w:t>Paula</w:t>
      </w:r>
      <w:r w:rsidR="00F77746">
        <w:rPr>
          <w:rFonts w:ascii="Book Antiqua" w:eastAsia="Book Antiqua" w:hAnsi="Book Antiqua" w:cs="Book Antiqua"/>
          <w:color w:val="000000"/>
        </w:rPr>
        <w:t xml:space="preserve"> BH</w:t>
      </w:r>
      <w:r w:rsidR="00065589"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F77746">
        <w:rPr>
          <w:rFonts w:ascii="Book Antiqua" w:eastAsia="Book Antiqua" w:hAnsi="Book Antiqua" w:cs="Book Antiqua"/>
          <w:color w:val="000000"/>
        </w:rPr>
        <w:t>Sousa</w:t>
      </w:r>
      <w:r w:rsidR="00F77746">
        <w:rPr>
          <w:rFonts w:ascii="Book Antiqua" w:eastAsia="Book Antiqua" w:hAnsi="Book Antiqua" w:cs="Book Antiqua"/>
          <w:color w:val="000000"/>
        </w:rPr>
        <w:t xml:space="preserve"> CA</w:t>
      </w:r>
      <w:r w:rsidR="009C0368">
        <w:rPr>
          <w:rFonts w:ascii="Book Antiqua" w:eastAsia="Book Antiqua" w:hAnsi="Book Antiqua" w:cs="Book Antiqua"/>
          <w:color w:val="000000"/>
        </w:rPr>
        <w:t>M</w:t>
      </w:r>
      <w:r w:rsidR="00F77746">
        <w:rPr>
          <w:rFonts w:ascii="Book Antiqua" w:eastAsia="Book Antiqua" w:hAnsi="Book Antiqua" w:cs="Book Antiqua"/>
          <w:color w:val="000000"/>
        </w:rPr>
        <w:t xml:space="preserve"> 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F77746">
        <w:rPr>
          <w:rFonts w:ascii="Book Antiqua" w:eastAsia="Book Antiqua" w:hAnsi="Book Antiqua" w:cs="Book Antiqua"/>
          <w:color w:val="000000"/>
        </w:rPr>
        <w:t>Bines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F77746">
        <w:rPr>
          <w:rFonts w:ascii="Book Antiqua" w:eastAsia="Book Antiqua" w:hAnsi="Book Antiqua" w:cs="Book Antiqua"/>
          <w:color w:val="000000"/>
        </w:rPr>
        <w:t xml:space="preserve">J </w:t>
      </w:r>
      <w:r w:rsidR="00065589" w:rsidRPr="00F77746">
        <w:rPr>
          <w:rFonts w:ascii="Book Antiqua" w:eastAsia="Book Antiqua" w:hAnsi="Book Antiqua" w:cs="Book Antiqua"/>
          <w:color w:val="000000"/>
        </w:rPr>
        <w:t>were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C901A7"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C901A7" w:rsidRPr="00F77746">
        <w:rPr>
          <w:rFonts w:ascii="Book Antiqua" w:eastAsia="Book Antiqua" w:hAnsi="Book Antiqua" w:cs="Book Antiqua"/>
          <w:color w:val="000000"/>
        </w:rPr>
        <w:t>charge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C901A7"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F77746">
        <w:rPr>
          <w:rFonts w:ascii="Book Antiqua" w:eastAsia="Book Antiqua" w:hAnsi="Book Antiqua" w:cs="Book Antiqua"/>
          <w:color w:val="000000"/>
        </w:rPr>
        <w:t>statistical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F77746">
        <w:rPr>
          <w:rFonts w:ascii="Book Antiqua" w:eastAsia="Book Antiqua" w:hAnsi="Book Antiqua" w:cs="Book Antiqua"/>
          <w:color w:val="000000"/>
        </w:rPr>
        <w:t>analysis;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833A6">
        <w:rPr>
          <w:rFonts w:ascii="Book Antiqua" w:eastAsia="Book Antiqua" w:hAnsi="Book Antiqua" w:cs="Book Antiqua"/>
          <w:color w:val="000000"/>
        </w:rPr>
        <w:t>A</w:t>
      </w:r>
      <w:r w:rsidR="00065589" w:rsidRPr="00F77746">
        <w:rPr>
          <w:rFonts w:ascii="Book Antiqua" w:eastAsia="Book Antiqua" w:hAnsi="Book Antiqua" w:cs="Book Antiqua"/>
          <w:color w:val="000000"/>
        </w:rPr>
        <w:t>ll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F77746">
        <w:rPr>
          <w:rFonts w:ascii="Book Antiqua" w:eastAsia="Book Antiqua" w:hAnsi="Book Antiqua" w:cs="Book Antiqua"/>
          <w:color w:val="000000"/>
        </w:rPr>
        <w:t>authors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F77746">
        <w:rPr>
          <w:rFonts w:ascii="Book Antiqua" w:eastAsia="Book Antiqua" w:hAnsi="Book Antiqua" w:cs="Book Antiqua"/>
          <w:color w:val="000000"/>
        </w:rPr>
        <w:t>participated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F77746">
        <w:rPr>
          <w:rFonts w:ascii="Book Antiqua" w:eastAsia="Book Antiqua" w:hAnsi="Book Antiqua" w:cs="Book Antiqua"/>
          <w:color w:val="000000"/>
        </w:rPr>
        <w:t xml:space="preserve">the </w:t>
      </w:r>
      <w:r w:rsidR="00FE0CC9" w:rsidRPr="00F77746">
        <w:rPr>
          <w:rFonts w:ascii="Book Antiqua" w:eastAsia="Book Antiqua" w:hAnsi="Book Antiqua" w:cs="Book Antiqua"/>
          <w:color w:val="000000"/>
        </w:rPr>
        <w:t>study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FE0CC9" w:rsidRPr="00F77746">
        <w:rPr>
          <w:rFonts w:ascii="Book Antiqua" w:eastAsia="Book Antiqua" w:hAnsi="Book Antiqua" w:cs="Book Antiqua"/>
          <w:color w:val="000000"/>
        </w:rPr>
        <w:t>plan,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FE0CC9" w:rsidRPr="00F77746">
        <w:rPr>
          <w:rFonts w:ascii="Book Antiqua" w:eastAsia="Book Antiqua" w:hAnsi="Book Antiqua" w:cs="Book Antiqua"/>
          <w:color w:val="000000"/>
        </w:rPr>
        <w:t>paper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FE0CC9" w:rsidRPr="00F77746">
        <w:rPr>
          <w:rFonts w:ascii="Book Antiqua" w:eastAsia="Book Antiqua" w:hAnsi="Book Antiqua" w:cs="Book Antiqua"/>
          <w:color w:val="000000"/>
        </w:rPr>
        <w:t>writing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FE0CC9"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FE0CC9" w:rsidRPr="00F77746">
        <w:rPr>
          <w:rFonts w:ascii="Book Antiqua" w:eastAsia="Book Antiqua" w:hAnsi="Book Antiqua" w:cs="Book Antiqua"/>
          <w:color w:val="000000"/>
        </w:rPr>
        <w:t>reviewing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FE0CC9"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FE0CC9" w:rsidRPr="00F77746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9C3C7D" w:rsidRPr="00F777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E0CC9" w:rsidRPr="00F777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E0CC9" w:rsidRPr="00F77746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9C3C7D" w:rsidRPr="00F777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E0CC9" w:rsidRPr="00F77746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34368DF0" w14:textId="77777777" w:rsidR="00A77B3E" w:rsidRPr="00F77746" w:rsidRDefault="00A77B3E" w:rsidP="00F77746">
      <w:pPr>
        <w:spacing w:line="360" w:lineRule="auto"/>
        <w:jc w:val="both"/>
      </w:pPr>
    </w:p>
    <w:p w14:paraId="2BEFF2CD" w14:textId="59DE5614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Bruno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Henrique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Rala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Paula,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Sarah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Cannon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Research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Institute,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93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Harley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Street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Central</w:t>
      </w:r>
      <w:r w:rsidR="00E623D1"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London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W1G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6AD,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United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Kingdom.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brunobhrp@hotmail.com</w:t>
      </w:r>
    </w:p>
    <w:p w14:paraId="2F42684F" w14:textId="77777777" w:rsidR="00A77B3E" w:rsidRPr="00F77746" w:rsidRDefault="00A77B3E" w:rsidP="00F77746">
      <w:pPr>
        <w:spacing w:line="360" w:lineRule="auto"/>
        <w:jc w:val="both"/>
      </w:pPr>
    </w:p>
    <w:p w14:paraId="21A85D44" w14:textId="78AA0929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December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23,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2021</w:t>
      </w:r>
    </w:p>
    <w:p w14:paraId="530EC6E1" w14:textId="2CE5EDA1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3DC9" w:rsidRPr="00F77746">
        <w:rPr>
          <w:rFonts w:ascii="Book Antiqua" w:eastAsia="Book Antiqua" w:hAnsi="Book Antiqua" w:cs="Book Antiqua"/>
          <w:color w:val="000000"/>
        </w:rPr>
        <w:t>March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063DC9" w:rsidRPr="00F77746">
        <w:rPr>
          <w:rFonts w:ascii="Book Antiqua" w:eastAsia="Book Antiqua" w:hAnsi="Book Antiqua" w:cs="Book Antiqua"/>
          <w:color w:val="000000"/>
        </w:rPr>
        <w:t>29,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063DC9" w:rsidRPr="00F77746">
        <w:rPr>
          <w:rFonts w:ascii="Book Antiqua" w:eastAsia="Book Antiqua" w:hAnsi="Book Antiqua" w:cs="Book Antiqua"/>
          <w:color w:val="000000"/>
        </w:rPr>
        <w:t>2022</w:t>
      </w:r>
    </w:p>
    <w:p w14:paraId="78F08305" w14:textId="45C05A85" w:rsidR="00A77B3E" w:rsidRPr="00F77746" w:rsidRDefault="001257B7" w:rsidP="00F77746">
      <w:pPr>
        <w:spacing w:line="360" w:lineRule="auto"/>
        <w:jc w:val="both"/>
        <w:rPr>
          <w:lang w:eastAsia="zh-CN"/>
        </w:rPr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F36D1B" w:rsidRPr="00F77746">
        <w:rPr>
          <w:rFonts w:ascii="Book Antiqua" w:eastAsia="Book Antiqua" w:hAnsi="Book Antiqua" w:cs="Book Antiqua"/>
          <w:color w:val="000000"/>
        </w:rPr>
        <w:t>June 17, 2022</w:t>
      </w:r>
    </w:p>
    <w:p w14:paraId="3DDF5C7D" w14:textId="1A1C022C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6E90E726" w14:textId="77777777" w:rsidR="00F77746" w:rsidRDefault="00F77746" w:rsidP="00F7774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53DC2D1" w14:textId="718AA2B5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olor w:val="000000"/>
        </w:rPr>
        <w:t>Abstract</w:t>
      </w:r>
    </w:p>
    <w:p w14:paraId="6D67B57F" w14:textId="77777777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BACKGROUND</w:t>
      </w:r>
    </w:p>
    <w:p w14:paraId="3EAAC6B8" w14:textId="712D6842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It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remains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unclear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whether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current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arbitrary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screening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recommendations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trastuzumab-related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provides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adequate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balance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between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preventing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heart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damage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curtailing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curative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treatment.</w:t>
      </w:r>
    </w:p>
    <w:p w14:paraId="389644CE" w14:textId="77777777" w:rsidR="00A77B3E" w:rsidRPr="00F77746" w:rsidRDefault="00A77B3E" w:rsidP="00F77746">
      <w:pPr>
        <w:spacing w:line="360" w:lineRule="auto"/>
        <w:jc w:val="both"/>
      </w:pPr>
    </w:p>
    <w:p w14:paraId="77DA6302" w14:textId="77777777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AIM</w:t>
      </w:r>
    </w:p>
    <w:p w14:paraId="10152B35" w14:textId="1314FAE6" w:rsidR="00A77B3E" w:rsidRPr="00F77746" w:rsidRDefault="00F630FA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T</w:t>
      </w:r>
      <w:r w:rsidR="001257B7" w:rsidRPr="00F77746">
        <w:rPr>
          <w:rFonts w:ascii="Book Antiqua" w:eastAsia="Book Antiqua" w:hAnsi="Book Antiqua" w:cs="Book Antiqua"/>
          <w:color w:val="000000"/>
        </w:rPr>
        <w:t>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F77746">
        <w:rPr>
          <w:rFonts w:ascii="Book Antiqua" w:eastAsia="Book Antiqua" w:hAnsi="Book Antiqua" w:cs="Book Antiqua"/>
          <w:color w:val="000000"/>
        </w:rPr>
        <w:t>determine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F77746">
        <w:rPr>
          <w:rFonts w:ascii="Book Antiqua" w:eastAsia="Book Antiqua" w:hAnsi="Book Antiqua" w:cs="Book Antiqua"/>
          <w:color w:val="000000"/>
        </w:rPr>
        <w:t>incidence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F77746">
        <w:rPr>
          <w:rFonts w:ascii="Book Antiqua" w:eastAsia="Book Antiqua" w:hAnsi="Book Antiqua" w:cs="Book Antiqua"/>
          <w:color w:val="000000"/>
        </w:rPr>
        <w:t>rate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F77746">
        <w:rPr>
          <w:rFonts w:ascii="Book Antiqua" w:eastAsia="Book Antiqua" w:hAnsi="Book Antiqua" w:cs="Book Antiqua"/>
          <w:color w:val="000000"/>
        </w:rPr>
        <w:t>consequences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F77746">
        <w:rPr>
          <w:rFonts w:ascii="Book Antiqua" w:eastAsia="Book Antiqua" w:hAnsi="Book Antiqua" w:cs="Book Antiqua"/>
          <w:color w:val="000000"/>
        </w:rPr>
        <w:t>trastuzumab-induced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F77746">
        <w:rPr>
          <w:rFonts w:ascii="Book Antiqua" w:eastAsia="Book Antiqua" w:hAnsi="Book Antiqua" w:cs="Book Antiqua"/>
          <w:color w:val="000000"/>
        </w:rPr>
        <w:t>adjuvant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F77746">
        <w:rPr>
          <w:rFonts w:ascii="Book Antiqua" w:eastAsia="Book Antiqua" w:hAnsi="Book Antiqua" w:cs="Book Antiqua"/>
          <w:color w:val="000000"/>
        </w:rPr>
        <w:t>real-world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F77746">
        <w:rPr>
          <w:rFonts w:ascii="Book Antiqua" w:eastAsia="Book Antiqua" w:hAnsi="Book Antiqua" w:cs="Book Antiqua"/>
          <w:color w:val="000000"/>
        </w:rPr>
        <w:t>scenario.</w:t>
      </w:r>
    </w:p>
    <w:p w14:paraId="17273DE3" w14:textId="77777777" w:rsidR="00A77B3E" w:rsidRPr="00F77746" w:rsidRDefault="00A77B3E" w:rsidP="00F77746">
      <w:pPr>
        <w:spacing w:line="360" w:lineRule="auto"/>
        <w:jc w:val="both"/>
      </w:pPr>
    </w:p>
    <w:p w14:paraId="577DF8B1" w14:textId="77777777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METHODS</w:t>
      </w:r>
    </w:p>
    <w:p w14:paraId="16BA863B" w14:textId="7605A090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We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present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retrospective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analysis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function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measured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echocardiogram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baseline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every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3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during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defined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drop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2E1546">
        <w:rPr>
          <w:rFonts w:ascii="Book Antiqua" w:eastAsia="Book Antiqua" w:hAnsi="Book Antiqua" w:cs="Book Antiqua"/>
          <w:color w:val="000000"/>
        </w:rPr>
        <w:t>i</w:t>
      </w:r>
      <w:r w:rsidRPr="00F77746">
        <w:rPr>
          <w:rFonts w:ascii="Book Antiqua" w:eastAsia="Book Antiqua" w:hAnsi="Book Antiqua" w:cs="Book Antiqua"/>
          <w:color w:val="000000"/>
        </w:rPr>
        <w:t>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left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ventricular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ejection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fraction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(LVEF)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≥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10%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from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baseline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and/or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drop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&lt;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50%.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</w:p>
    <w:p w14:paraId="0CBC3671" w14:textId="77777777" w:rsidR="00A77B3E" w:rsidRPr="00F77746" w:rsidRDefault="00A77B3E" w:rsidP="00F77746">
      <w:pPr>
        <w:spacing w:line="360" w:lineRule="auto"/>
        <w:jc w:val="both"/>
      </w:pPr>
    </w:p>
    <w:p w14:paraId="2B813896" w14:textId="77777777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RESULTS</w:t>
      </w:r>
    </w:p>
    <w:p w14:paraId="17649A6D" w14:textId="12C1FA6B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Between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January</w:t>
      </w:r>
      <w:r w:rsidR="007D1539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2011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December</w:t>
      </w:r>
      <w:r w:rsidR="007D1539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2014,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407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selected</w:t>
      </w:r>
      <w:r w:rsidR="002E1546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2E1546">
        <w:rPr>
          <w:rFonts w:ascii="Book Antiqua" w:eastAsia="Book Antiqua" w:hAnsi="Book Antiqua" w:cs="Book Antiqua"/>
          <w:color w:val="000000"/>
        </w:rPr>
        <w:t>M</w:t>
      </w:r>
      <w:r w:rsidRPr="00F77746">
        <w:rPr>
          <w:rFonts w:ascii="Book Antiqua" w:eastAsia="Book Antiqua" w:hAnsi="Book Antiqua" w:cs="Book Antiqua"/>
          <w:color w:val="000000"/>
        </w:rPr>
        <w:t>ost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(93.6%)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anthracycline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followed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taxane</w:t>
      </w:r>
      <w:r w:rsidR="002E1546">
        <w:rPr>
          <w:rFonts w:ascii="Book Antiqua" w:eastAsia="Book Antiqua" w:hAnsi="Book Antiqua" w:cs="Book Antiqua"/>
          <w:color w:val="000000"/>
        </w:rPr>
        <w:t>-</w:t>
      </w:r>
      <w:r w:rsidRPr="00F77746">
        <w:rPr>
          <w:rFonts w:ascii="Book Antiqua" w:eastAsia="Book Antiqua" w:hAnsi="Book Antiqua" w:cs="Book Antiqua"/>
          <w:color w:val="000000"/>
        </w:rPr>
        <w:t>based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regimen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(9.8%)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2E1546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E62167">
        <w:rPr>
          <w:rFonts w:ascii="Book Antiqua" w:eastAsia="Book Antiqua" w:hAnsi="Book Antiqua" w:cs="Book Antiqua"/>
          <w:color w:val="000000"/>
        </w:rPr>
        <w:t>N</w:t>
      </w:r>
      <w:r w:rsidRPr="00F77746">
        <w:rPr>
          <w:rFonts w:ascii="Book Antiqua" w:eastAsia="Book Antiqua" w:hAnsi="Book Antiqua" w:cs="Book Antiqua"/>
          <w:color w:val="000000"/>
        </w:rPr>
        <w:t>one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E62167">
        <w:rPr>
          <w:rFonts w:ascii="Book Antiqua" w:eastAsia="Book Antiqua" w:hAnsi="Book Antiqua" w:cs="Book Antiqua"/>
          <w:color w:val="000000"/>
        </w:rPr>
        <w:t xml:space="preserve">were </w:t>
      </w:r>
      <w:r w:rsidRPr="00F77746">
        <w:rPr>
          <w:rFonts w:ascii="Book Antiqua" w:eastAsia="Book Antiqua" w:hAnsi="Book Antiqua" w:cs="Book Antiqua"/>
          <w:color w:val="000000"/>
        </w:rPr>
        <w:t>symptomatic</w:t>
      </w:r>
      <w:r w:rsidR="00E62167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28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(72.5%)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completely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recovered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LVEF.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happened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early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shown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LVEF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lastRenderedPageBreak/>
        <w:t>measured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echocardiogram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4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compared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5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7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E62167">
        <w:rPr>
          <w:rFonts w:ascii="Book Antiqua" w:eastAsia="Book Antiqua" w:hAnsi="Book Antiqua" w:cs="Book Antiqua"/>
          <w:color w:val="000000"/>
        </w:rPr>
        <w:t>(</w:t>
      </w:r>
      <w:r w:rsidR="00D20C04" w:rsidRPr="00F77746">
        <w:rPr>
          <w:rFonts w:ascii="Book Antiqua" w:eastAsia="Book Antiqua" w:hAnsi="Book Antiqua" w:cs="Book Antiqua"/>
          <w:color w:val="000000"/>
        </w:rPr>
        <w:t xml:space="preserve">odds ratio </w:t>
      </w:r>
      <w:r w:rsidR="00E62167">
        <w:rPr>
          <w:rFonts w:ascii="Book Antiqua" w:eastAsia="Book Antiqua" w:hAnsi="Book Antiqua" w:cs="Book Antiqua"/>
          <w:color w:val="000000"/>
        </w:rPr>
        <w:t>=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2.47,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95%</w:t>
      </w:r>
      <w:r w:rsidR="00E62167">
        <w:rPr>
          <w:rFonts w:ascii="Book Antiqua" w:eastAsia="Book Antiqua" w:hAnsi="Book Antiqua" w:cs="Book Antiqua"/>
          <w:color w:val="000000"/>
        </w:rPr>
        <w:t xml:space="preserve"> confidence interval: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1.09,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5.63,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=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0.024</w:t>
      </w:r>
      <w:r w:rsidR="00E62167">
        <w:rPr>
          <w:rFonts w:ascii="Book Antiqua" w:eastAsia="Book Antiqua" w:hAnsi="Book Antiqua" w:cs="Book Antiqua"/>
          <w:color w:val="000000"/>
        </w:rPr>
        <w:t>)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54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deaths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(13.3%)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during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70-mo</w:t>
      </w:r>
      <w:r w:rsidR="001E07EA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follow-up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period</w:t>
      </w:r>
      <w:r w:rsidR="00E62167">
        <w:rPr>
          <w:rFonts w:ascii="Book Antiqua" w:eastAsia="Book Antiqua" w:hAnsi="Book Antiqua" w:cs="Book Antiqua"/>
          <w:color w:val="000000"/>
        </w:rPr>
        <w:t>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(0.2%)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E62167">
        <w:rPr>
          <w:rFonts w:ascii="Book Antiqua" w:eastAsia="Book Antiqua" w:hAnsi="Book Antiqua" w:cs="Book Antiqua"/>
          <w:color w:val="000000"/>
        </w:rPr>
        <w:t xml:space="preserve">was </w:t>
      </w:r>
      <w:r w:rsidRPr="00F77746">
        <w:rPr>
          <w:rFonts w:ascii="Book Antiqua" w:eastAsia="Book Antiqua" w:hAnsi="Book Antiqua" w:cs="Book Antiqua"/>
          <w:color w:val="000000"/>
        </w:rPr>
        <w:t>attributed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(4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years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after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treatment).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absence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symptomatic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during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moreover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early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occurrence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period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may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translate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strategy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evaluate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less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frequent</w:t>
      </w:r>
      <w:r w:rsidR="00E62167">
        <w:rPr>
          <w:rFonts w:ascii="Book Antiqua" w:eastAsia="Book Antiqua" w:hAnsi="Book Antiqua" w:cs="Book Antiqua"/>
          <w:color w:val="000000"/>
        </w:rPr>
        <w:t>ly</w:t>
      </w:r>
      <w:r w:rsidR="00A56440" w:rsidRPr="00F77746">
        <w:rPr>
          <w:rFonts w:ascii="Book Antiqua" w:eastAsia="Book Antiqua" w:hAnsi="Book Antiqua" w:cs="Book Antiqua"/>
          <w:color w:val="000000"/>
        </w:rPr>
        <w:t>.</w:t>
      </w:r>
    </w:p>
    <w:p w14:paraId="09850977" w14:textId="77777777" w:rsidR="00A77B3E" w:rsidRPr="00F77746" w:rsidRDefault="00A77B3E" w:rsidP="00F77746">
      <w:pPr>
        <w:spacing w:line="360" w:lineRule="auto"/>
        <w:jc w:val="both"/>
      </w:pPr>
    </w:p>
    <w:p w14:paraId="4FC8C0BE" w14:textId="77777777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CONCLUSION</w:t>
      </w:r>
    </w:p>
    <w:p w14:paraId="639720CC" w14:textId="7FDE5206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We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observed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B46204" w:rsidRPr="00F77746">
        <w:rPr>
          <w:rFonts w:ascii="Book Antiqua" w:eastAsia="Book Antiqua" w:hAnsi="Book Antiqua" w:cs="Book Antiqua"/>
          <w:color w:val="000000"/>
        </w:rPr>
        <w:t>10</w:t>
      </w:r>
      <w:r w:rsidRPr="00F77746">
        <w:rPr>
          <w:rFonts w:ascii="Book Antiqua" w:eastAsia="Book Antiqua" w:hAnsi="Book Antiqua" w:cs="Book Antiqua"/>
          <w:color w:val="000000"/>
        </w:rPr>
        <w:t>%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asymptomatic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which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mirrors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results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from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large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adjuvant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trials.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Despite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being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transient,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E62167">
        <w:rPr>
          <w:rFonts w:ascii="Book Antiqua" w:eastAsia="Book Antiqua" w:hAnsi="Book Antiqua" w:cs="Book Antiqua"/>
          <w:color w:val="000000"/>
        </w:rPr>
        <w:t xml:space="preserve">an </w:t>
      </w:r>
      <w:r w:rsidRPr="00F77746">
        <w:rPr>
          <w:rFonts w:ascii="Book Antiqua" w:eastAsia="Book Antiqua" w:hAnsi="Book Antiqua" w:cs="Book Antiqua"/>
          <w:color w:val="000000"/>
        </w:rPr>
        <w:t>LVEF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drop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frequent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delays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interruptions.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remains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unclear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whether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LVEF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decline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predictive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E62167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efficacy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compromised.</w:t>
      </w:r>
    </w:p>
    <w:p w14:paraId="37D221E7" w14:textId="77777777" w:rsidR="00A77B3E" w:rsidRPr="00F77746" w:rsidRDefault="00A77B3E" w:rsidP="00F77746">
      <w:pPr>
        <w:spacing w:line="360" w:lineRule="auto"/>
        <w:jc w:val="both"/>
      </w:pPr>
    </w:p>
    <w:p w14:paraId="136B750F" w14:textId="0E773C0C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</w:t>
      </w:r>
      <w:r w:rsidR="002C2DDD" w:rsidRPr="00F77746">
        <w:rPr>
          <w:rFonts w:ascii="Book Antiqua" w:eastAsia="Book Antiqua" w:hAnsi="Book Antiqua" w:cs="Book Antiqua"/>
          <w:color w:val="000000"/>
        </w:rPr>
        <w:t>c tox</w:t>
      </w:r>
      <w:r w:rsidRPr="00F77746">
        <w:rPr>
          <w:rFonts w:ascii="Book Antiqua" w:eastAsia="Book Antiqua" w:hAnsi="Book Antiqua" w:cs="Book Antiqua"/>
          <w:color w:val="000000"/>
        </w:rPr>
        <w:t>icity;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Ventricular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Dysfunction;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Hea</w:t>
      </w:r>
      <w:r w:rsidR="00C122E6" w:rsidRPr="00F77746">
        <w:rPr>
          <w:rFonts w:ascii="Book Antiqua" w:eastAsia="Book Antiqua" w:hAnsi="Book Antiqua" w:cs="Book Antiqua"/>
          <w:color w:val="000000"/>
        </w:rPr>
        <w:t>rt fail</w:t>
      </w:r>
      <w:r w:rsidRPr="00F77746">
        <w:rPr>
          <w:rFonts w:ascii="Book Antiqua" w:eastAsia="Book Antiqua" w:hAnsi="Book Antiqua" w:cs="Book Antiqua"/>
          <w:color w:val="000000"/>
        </w:rPr>
        <w:t>ure;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</w:t>
      </w:r>
      <w:r w:rsidR="00917B05" w:rsidRPr="00F77746">
        <w:rPr>
          <w:rFonts w:ascii="Book Antiqua" w:eastAsia="Book Antiqua" w:hAnsi="Book Antiqua" w:cs="Book Antiqua"/>
          <w:color w:val="000000"/>
        </w:rPr>
        <w:t>ast can</w:t>
      </w:r>
      <w:r w:rsidRPr="00F77746">
        <w:rPr>
          <w:rFonts w:ascii="Book Antiqua" w:eastAsia="Book Antiqua" w:hAnsi="Book Antiqua" w:cs="Book Antiqua"/>
          <w:color w:val="000000"/>
        </w:rPr>
        <w:t>cer</w:t>
      </w:r>
    </w:p>
    <w:p w14:paraId="1C7687A2" w14:textId="77777777" w:rsidR="00A77B3E" w:rsidRPr="00F77746" w:rsidRDefault="00A77B3E" w:rsidP="00F77746">
      <w:pPr>
        <w:spacing w:line="360" w:lineRule="auto"/>
        <w:jc w:val="both"/>
      </w:pPr>
    </w:p>
    <w:p w14:paraId="0A3E1AC3" w14:textId="34CA66D8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Rala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Paula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BH,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Costa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METF,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Sousa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Bines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window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opportunity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optimize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monitoring?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2022;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press</w:t>
      </w:r>
    </w:p>
    <w:p w14:paraId="0B955434" w14:textId="77777777" w:rsidR="00A77B3E" w:rsidRPr="00F77746" w:rsidRDefault="00A77B3E" w:rsidP="00F77746">
      <w:pPr>
        <w:spacing w:line="360" w:lineRule="auto"/>
        <w:jc w:val="both"/>
      </w:pPr>
    </w:p>
    <w:p w14:paraId="7ACC0C8E" w14:textId="36B09863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remains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unclear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whether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current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arbitrary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screening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recommendations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E62167">
        <w:rPr>
          <w:rFonts w:ascii="Book Antiqua" w:eastAsia="Book Antiqua" w:hAnsi="Book Antiqua" w:cs="Book Antiqua"/>
          <w:color w:val="000000"/>
        </w:rPr>
        <w:t>-</w:t>
      </w:r>
      <w:r w:rsidRPr="00F77746">
        <w:rPr>
          <w:rFonts w:ascii="Book Antiqua" w:eastAsia="Book Antiqua" w:hAnsi="Book Antiqua" w:cs="Book Antiqua"/>
          <w:color w:val="000000"/>
        </w:rPr>
        <w:t>related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early-stage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HER2-positive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provides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adequate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balance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between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preventing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heart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damage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curtailing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curative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world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data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showed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that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despite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low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mainly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early,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asymptomatic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transient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delays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interruptions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occur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due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findings.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study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results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suggest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optimization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monitoring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after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initial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period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without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decrease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function.</w:t>
      </w:r>
    </w:p>
    <w:p w14:paraId="010A903C" w14:textId="77777777" w:rsidR="00A77B3E" w:rsidRPr="00F77746" w:rsidRDefault="00A77B3E" w:rsidP="00F77746">
      <w:pPr>
        <w:spacing w:line="360" w:lineRule="auto"/>
        <w:jc w:val="both"/>
      </w:pPr>
    </w:p>
    <w:p w14:paraId="0D4C0FF6" w14:textId="77777777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3BFCBFB" w14:textId="665E1EDC" w:rsidR="00444FCB" w:rsidRDefault="001257B7" w:rsidP="00F77746">
      <w:pPr>
        <w:spacing w:line="360" w:lineRule="auto"/>
        <w:jc w:val="both"/>
        <w:rPr>
          <w:rFonts w:ascii="Book Antiqua" w:eastAsia="Book Antiqua" w:hAnsi="Book Antiqua" w:cs="Book Antiqua"/>
          <w:color w:val="000000"/>
          <w:vertAlign w:val="superscript"/>
        </w:rPr>
      </w:pPr>
      <w:r w:rsidRPr="00F77746">
        <w:rPr>
          <w:rFonts w:ascii="Book Antiqua" w:eastAsia="Book Antiqua" w:hAnsi="Book Antiqua" w:cs="Book Antiqua"/>
          <w:color w:val="000000"/>
        </w:rPr>
        <w:t>Trastuzumab,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monoclonal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antibody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targeting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HER2,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represents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milestone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drug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improves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progression-free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overall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survival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lastRenderedPageBreak/>
        <w:t>metastatic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localized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HER2-positive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</w:t>
      </w:r>
      <w:r w:rsidR="009D43CF" w:rsidRPr="00F77746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60402C" w:rsidRPr="00F77746">
        <w:rPr>
          <w:lang w:eastAsia="zh-CN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remains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compromising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side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effect</w:t>
      </w:r>
      <w:r w:rsidR="009D43CF" w:rsidRPr="00F77746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9D43CF" w:rsidRPr="00F77746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Myocardial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HER2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receptors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associated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function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protection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physiologically</w:t>
      </w:r>
      <w:r w:rsidR="00E13BD2" w:rsidRPr="00F77746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E13BD2" w:rsidRPr="00F77746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Therefore</w:t>
      </w:r>
      <w:r w:rsidR="00E62167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drug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administration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could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lead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decrease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left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ventricular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ejection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fraction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(LVEF),</w:t>
      </w:r>
      <w:r w:rsidR="00E02462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usually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reversible,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although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few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need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delay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permanently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stop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their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ongoing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7B043C" w:rsidRPr="00F77746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="007B043C" w:rsidRPr="00F77746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incidence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around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quarter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receiving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drug,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small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percentage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experiencing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heart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failure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(1</w:t>
      </w:r>
      <w:r w:rsidR="00BC33A1" w:rsidRPr="00F77746">
        <w:rPr>
          <w:rFonts w:ascii="Book Antiqua" w:eastAsia="Book Antiqua" w:hAnsi="Book Antiqua" w:cs="Book Antiqua"/>
          <w:color w:val="000000"/>
        </w:rPr>
        <w:t>%</w:t>
      </w:r>
      <w:r w:rsidRPr="00F77746">
        <w:rPr>
          <w:rFonts w:ascii="Book Antiqua" w:eastAsia="Book Antiqua" w:hAnsi="Book Antiqua" w:cs="Book Antiqua"/>
          <w:color w:val="000000"/>
        </w:rPr>
        <w:t>-4%)</w:t>
      </w:r>
      <w:r w:rsidR="00BC33A1" w:rsidRPr="00F77746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BC33A1" w:rsidRPr="00F77746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Several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factors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contribute,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chemotherapy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regimen,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particularly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anthracycline,</w:t>
      </w:r>
      <w:r w:rsidR="00444FCB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characteristics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age,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previous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cardiovascular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disease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low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ejection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fraction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prior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initiation</w:t>
      </w:r>
      <w:r w:rsidR="008F26CE" w:rsidRPr="00F77746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8F26CE" w:rsidRPr="00F77746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</w:p>
    <w:p w14:paraId="1E035553" w14:textId="0A0DD568" w:rsidR="00A77B3E" w:rsidRPr="00F77746" w:rsidRDefault="001257B7" w:rsidP="00B57AD7">
      <w:pPr>
        <w:spacing w:line="360" w:lineRule="auto"/>
        <w:ind w:firstLine="450"/>
        <w:jc w:val="both"/>
      </w:pP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anti-cancer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includes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affecting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heart</w:t>
      </w:r>
      <w:r w:rsidR="00B9184A" w:rsidRPr="00F777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45E93" w:rsidRPr="00F77746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B9184A" w:rsidRPr="00F7774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36E8A" w:rsidRPr="00F7774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suggested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biomarkers,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decrease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</w:t>
      </w:r>
      <w:r w:rsidR="00444FCB">
        <w:rPr>
          <w:rFonts w:ascii="Book Antiqua" w:eastAsia="Book Antiqua" w:hAnsi="Book Antiqua" w:cs="Book Antiqua"/>
          <w:color w:val="000000"/>
        </w:rPr>
        <w:t>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LVEF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signs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heart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failure</w:t>
      </w:r>
      <w:r w:rsidR="00245E93" w:rsidRPr="00F77746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245E93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Guidelines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suggest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baseline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pre-treatment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evaluation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risk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stratification,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during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monitoring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post-treatment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surveillance</w:t>
      </w:r>
      <w:r w:rsidR="00E50141" w:rsidRPr="00F77746">
        <w:rPr>
          <w:rFonts w:ascii="Book Antiqua" w:eastAsia="Book Antiqua" w:hAnsi="Book Antiqua" w:cs="Book Antiqua"/>
          <w:color w:val="000000"/>
          <w:vertAlign w:val="superscript"/>
        </w:rPr>
        <w:t>[2,10]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E50141" w:rsidRPr="00F7774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Although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recommendations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mimic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schedules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used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clinical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trials,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assessment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not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supported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prospective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data.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Our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study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aimed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evaluate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function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during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early-stage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real-world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scenario.</w:t>
      </w:r>
    </w:p>
    <w:p w14:paraId="00ED108C" w14:textId="77777777" w:rsidR="00A77B3E" w:rsidRPr="00F77746" w:rsidRDefault="00A77B3E" w:rsidP="00F77746">
      <w:pPr>
        <w:spacing w:line="360" w:lineRule="auto"/>
        <w:jc w:val="both"/>
      </w:pPr>
    </w:p>
    <w:p w14:paraId="2332D0E7" w14:textId="2D63E36D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C3C7D" w:rsidRPr="00F7774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7774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C3C7D" w:rsidRPr="00F7774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77746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AF0DCF5" w14:textId="05C4CA3F" w:rsidR="00A77B3E" w:rsidRPr="00F77746" w:rsidRDefault="001257B7" w:rsidP="00F77746">
      <w:pPr>
        <w:spacing w:line="360" w:lineRule="auto"/>
        <w:jc w:val="both"/>
        <w:rPr>
          <w:i/>
          <w:iCs/>
        </w:rPr>
      </w:pPr>
      <w:r w:rsidRPr="00F77746">
        <w:rPr>
          <w:rFonts w:ascii="Book Antiqua" w:eastAsia="Book Antiqua" w:hAnsi="Book Antiqua" w:cs="Book Antiqua"/>
          <w:b/>
          <w:bCs/>
          <w:i/>
          <w:iCs/>
          <w:color w:val="000000"/>
        </w:rPr>
        <w:t>Materials</w:t>
      </w:r>
      <w:r w:rsidR="009C3C7D" w:rsidRPr="00F777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6559866F" w14:textId="2D78B5D7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retrospective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chart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review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performed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using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medical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files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from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January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2010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December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2014,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Instituto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Nacional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C343E5" w:rsidRPr="00F77746">
        <w:rPr>
          <w:rFonts w:ascii="Book Antiqua" w:eastAsia="Book Antiqua" w:hAnsi="Book Antiqua" w:cs="Book Antiqua"/>
          <w:color w:val="000000"/>
        </w:rPr>
        <w:t>Cancer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Brazil.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tissue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confirmation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HER2-positive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stage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III,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chemotherapy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combined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followed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Exclusion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criteria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included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loss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follow-up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less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3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after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initiation.</w:t>
      </w:r>
    </w:p>
    <w:p w14:paraId="7709D245" w14:textId="4765CADA" w:rsidR="00A77B3E" w:rsidRPr="00F77746" w:rsidRDefault="001257B7" w:rsidP="00F77746">
      <w:pPr>
        <w:spacing w:line="360" w:lineRule="auto"/>
        <w:ind w:firstLineChars="200" w:firstLine="480"/>
        <w:jc w:val="both"/>
      </w:pPr>
      <w:r w:rsidRPr="00F77746">
        <w:rPr>
          <w:rFonts w:ascii="Book Antiqua" w:eastAsia="Book Antiqua" w:hAnsi="Book Antiqua" w:cs="Book Antiqua"/>
          <w:color w:val="000000"/>
        </w:rPr>
        <w:t>Echocardiogram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performed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baseline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every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3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during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performed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same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examiner</w:t>
      </w:r>
      <w:r w:rsidR="00B94024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device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444FCB">
        <w:rPr>
          <w:rFonts w:ascii="Book Antiqua" w:eastAsia="Book Antiqua" w:hAnsi="Book Antiqua" w:cs="Book Antiqua"/>
          <w:color w:val="000000"/>
        </w:rPr>
        <w:t>[</w:t>
      </w:r>
      <w:r w:rsidRPr="00F77746">
        <w:rPr>
          <w:rFonts w:ascii="Book Antiqua" w:eastAsia="Book Antiqua" w:hAnsi="Book Antiqua" w:cs="Book Antiqua"/>
          <w:color w:val="000000"/>
        </w:rPr>
        <w:t>Siemens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SONOLINE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60,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4-2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probe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(4</w:t>
      </w:r>
      <w:r w:rsidR="00B94024" w:rsidRPr="00F77746">
        <w:rPr>
          <w:rFonts w:ascii="Book Antiqua" w:eastAsia="Book Antiqua" w:hAnsi="Book Antiqua" w:cs="Book Antiqua"/>
          <w:color w:val="000000"/>
        </w:rPr>
        <w:t>.</w:t>
      </w:r>
      <w:r w:rsidRPr="00F77746">
        <w:rPr>
          <w:rFonts w:ascii="Book Antiqua" w:eastAsia="Book Antiqua" w:hAnsi="Book Antiqua" w:cs="Book Antiqua"/>
          <w:color w:val="000000"/>
        </w:rPr>
        <w:t>0</w:t>
      </w:r>
      <w:r w:rsidR="00B94024" w:rsidRPr="00F77746">
        <w:rPr>
          <w:rFonts w:ascii="Book Antiqua" w:eastAsia="Book Antiqua" w:hAnsi="Book Antiqua" w:cs="Book Antiqua"/>
          <w:color w:val="000000"/>
        </w:rPr>
        <w:t>-</w:t>
      </w:r>
      <w:r w:rsidRPr="00F77746">
        <w:rPr>
          <w:rFonts w:ascii="Book Antiqua" w:eastAsia="Book Antiqua" w:hAnsi="Book Antiqua" w:cs="Book Antiqua"/>
          <w:color w:val="000000"/>
        </w:rPr>
        <w:t>2</w:t>
      </w:r>
      <w:r w:rsidR="00B94024" w:rsidRPr="00F77746">
        <w:rPr>
          <w:rFonts w:ascii="Book Antiqua" w:eastAsia="Book Antiqua" w:hAnsi="Book Antiqua" w:cs="Book Antiqua"/>
          <w:color w:val="000000"/>
        </w:rPr>
        <w:t>.</w:t>
      </w:r>
      <w:r w:rsidRPr="00F77746">
        <w:rPr>
          <w:rFonts w:ascii="Book Antiqua" w:eastAsia="Book Antiqua" w:hAnsi="Book Antiqua" w:cs="Book Antiqua"/>
          <w:color w:val="000000"/>
        </w:rPr>
        <w:t>0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MHz)</w:t>
      </w:r>
      <w:r w:rsidR="00444FCB">
        <w:rPr>
          <w:rFonts w:ascii="Book Antiqua" w:eastAsia="Book Antiqua" w:hAnsi="Book Antiqua" w:cs="Book Antiqua"/>
          <w:color w:val="000000"/>
        </w:rPr>
        <w:t>]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analyses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performed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included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M-mode,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2D-mode,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spectral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doppler,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color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Doppler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tissue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doppler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imaging.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cavities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dimensions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obtained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according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recommendation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American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Society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Echocardiography</w:t>
      </w:r>
      <w:r w:rsidR="00E162B0" w:rsidRPr="00F77746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E162B0" w:rsidRPr="00F7774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LVEF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calculated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though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Teichholz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Formulae.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lastRenderedPageBreak/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defined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444FCB">
        <w:rPr>
          <w:rFonts w:ascii="Book Antiqua" w:eastAsia="Book Antiqua" w:hAnsi="Book Antiqua" w:cs="Book Antiqua"/>
          <w:color w:val="000000"/>
        </w:rPr>
        <w:t xml:space="preserve">a </w:t>
      </w:r>
      <w:r w:rsidRPr="00F77746">
        <w:rPr>
          <w:rFonts w:ascii="Book Antiqua" w:eastAsia="Book Antiqua" w:hAnsi="Book Antiqua" w:cs="Book Antiqua"/>
          <w:color w:val="000000"/>
        </w:rPr>
        <w:t>10%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drop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LVEF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from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baseline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echo,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drop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below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50%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symptoms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according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New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York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Heart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Association</w:t>
      </w:r>
      <w:r w:rsidR="00C123A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class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III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IV</w:t>
      </w:r>
      <w:r w:rsidR="00C123AD" w:rsidRPr="00F77746">
        <w:rPr>
          <w:rFonts w:ascii="Book Antiqua" w:eastAsia="Book Antiqua" w:hAnsi="Book Antiqua" w:cs="Book Antiqua"/>
          <w:color w:val="000000"/>
          <w:vertAlign w:val="superscript"/>
        </w:rPr>
        <w:t>[12,30]</w:t>
      </w:r>
      <w:r w:rsidRPr="00F77746">
        <w:rPr>
          <w:rFonts w:ascii="Book Antiqua" w:eastAsia="Book Antiqua" w:hAnsi="Book Antiqua" w:cs="Book Antiqua"/>
          <w:color w:val="000000"/>
        </w:rPr>
        <w:t>.</w:t>
      </w:r>
    </w:p>
    <w:p w14:paraId="4D97CD42" w14:textId="29E4191A" w:rsidR="00A77B3E" w:rsidRPr="00F77746" w:rsidRDefault="001257B7" w:rsidP="00F77746">
      <w:pPr>
        <w:spacing w:line="360" w:lineRule="auto"/>
        <w:ind w:firstLineChars="200" w:firstLine="480"/>
        <w:jc w:val="both"/>
      </w:pP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study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approved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institutional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review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board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conducted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accordance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444FCB">
        <w:rPr>
          <w:rFonts w:ascii="Book Antiqua" w:eastAsia="Book Antiqua" w:hAnsi="Book Antiqua" w:cs="Book Antiqua"/>
          <w:color w:val="000000"/>
        </w:rPr>
        <w:t xml:space="preserve">with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Good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Clinical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Practice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Guidelines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Helsinki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declaration.</w:t>
      </w:r>
    </w:p>
    <w:p w14:paraId="53AA4906" w14:textId="77777777" w:rsidR="00A77B3E" w:rsidRPr="00F77746" w:rsidRDefault="00A77B3E" w:rsidP="00F77746">
      <w:pPr>
        <w:spacing w:line="360" w:lineRule="auto"/>
        <w:jc w:val="both"/>
      </w:pPr>
    </w:p>
    <w:p w14:paraId="58B76767" w14:textId="65C4ED60" w:rsidR="00A77B3E" w:rsidRPr="00F77746" w:rsidRDefault="001257B7" w:rsidP="00F77746">
      <w:pPr>
        <w:spacing w:line="360" w:lineRule="auto"/>
        <w:jc w:val="both"/>
        <w:rPr>
          <w:i/>
          <w:iCs/>
        </w:rPr>
      </w:pPr>
      <w:r w:rsidRPr="00F77746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9C3C7D" w:rsidRPr="00F777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E51B2C2" w14:textId="49F69B2E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Numerical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variables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reported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central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tendency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measures</w:t>
      </w:r>
      <w:r w:rsidR="00444FCB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categorical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variables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represented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absolute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frequency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percentages.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plot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containing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percentage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detected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echocardiograms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each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scheduled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measurement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performed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describe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differences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between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that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developed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cardiotoxicity.</w:t>
      </w:r>
      <w:r w:rsidR="004C15CC" w:rsidRPr="00F77746">
        <w:rPr>
          <w:lang w:eastAsia="zh-CN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univariate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analysis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using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444FCB">
        <w:rPr>
          <w:rFonts w:ascii="Book Antiqua" w:eastAsia="Book Antiqua" w:hAnsi="Book Antiqua" w:cs="Book Antiqua"/>
          <w:color w:val="000000"/>
        </w:rPr>
        <w:t>χ</w:t>
      </w:r>
      <w:r w:rsidR="00444FC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method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categorical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variables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95527E">
        <w:rPr>
          <w:rFonts w:ascii="Book Antiqua" w:eastAsia="Book Antiqua" w:hAnsi="Book Antiqua" w:cs="Book Antiqua"/>
          <w:color w:val="000000"/>
        </w:rPr>
        <w:t>t</w:t>
      </w:r>
      <w:r w:rsidRPr="00F77746">
        <w:rPr>
          <w:rFonts w:ascii="Book Antiqua" w:eastAsia="Book Antiqua" w:hAnsi="Book Antiqua" w:cs="Book Antiqua"/>
          <w:color w:val="000000"/>
        </w:rPr>
        <w:t>wo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95527E">
        <w:rPr>
          <w:rFonts w:ascii="Book Antiqua" w:eastAsia="Book Antiqua" w:hAnsi="Book Antiqua" w:cs="Book Antiqua"/>
          <w:color w:val="000000"/>
        </w:rPr>
        <w:t>s</w:t>
      </w:r>
      <w:r w:rsidRPr="00F77746">
        <w:rPr>
          <w:rFonts w:ascii="Book Antiqua" w:eastAsia="Book Antiqua" w:hAnsi="Book Antiqua" w:cs="Book Antiqua"/>
          <w:color w:val="000000"/>
        </w:rPr>
        <w:t>ample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95527E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F77746">
        <w:rPr>
          <w:rFonts w:ascii="Book Antiqua" w:eastAsia="Book Antiqua" w:hAnsi="Book Antiqua" w:cs="Book Antiqua"/>
          <w:color w:val="000000"/>
        </w:rPr>
        <w:t>-test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continuous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variables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</w:t>
      </w:r>
      <w:r w:rsidR="0095527E">
        <w:rPr>
          <w:rFonts w:ascii="Book Antiqua" w:eastAsia="Book Antiqua" w:hAnsi="Book Antiqua" w:cs="Book Antiqua"/>
          <w:color w:val="000000"/>
        </w:rPr>
        <w:t>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initially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performed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test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association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between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potential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confounders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clinical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practice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95527E">
        <w:rPr>
          <w:rFonts w:ascii="Book Antiqua" w:eastAsia="Book Antiqua" w:hAnsi="Book Antiqua" w:cs="Book Antiqua"/>
          <w:color w:val="000000"/>
        </w:rPr>
        <w:t>(</w:t>
      </w:r>
      <w:r w:rsidRPr="00F77746">
        <w:rPr>
          <w:rFonts w:ascii="Book Antiqua" w:eastAsia="Book Antiqua" w:hAnsi="Book Antiqua" w:cs="Book Antiqua"/>
          <w:color w:val="000000"/>
        </w:rPr>
        <w:t>age,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comorbidities,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body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mass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index).</w:t>
      </w:r>
    </w:p>
    <w:p w14:paraId="5F324FDD" w14:textId="01801119" w:rsidR="00A77B3E" w:rsidRPr="00F77746" w:rsidRDefault="001257B7" w:rsidP="00F77746">
      <w:pPr>
        <w:spacing w:line="360" w:lineRule="auto"/>
        <w:ind w:firstLineChars="200" w:firstLine="480"/>
        <w:jc w:val="both"/>
      </w:pP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verify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statistical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differences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during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follow-up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time,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D20C04" w:rsidRPr="00F77746">
        <w:rPr>
          <w:rFonts w:ascii="Book Antiqua" w:eastAsia="Book Antiqua" w:hAnsi="Book Antiqua" w:cs="Book Antiqua"/>
          <w:color w:val="000000"/>
        </w:rPr>
        <w:t>odds ratio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95527E">
        <w:rPr>
          <w:rFonts w:ascii="Book Antiqua" w:eastAsia="Book Antiqua" w:hAnsi="Book Antiqua" w:cs="Book Antiqua"/>
          <w:color w:val="000000"/>
        </w:rPr>
        <w:t>calculated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show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differences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event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odds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beginning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screening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period.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prevalence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ratio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calculated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using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Wald</w:t>
      </w:r>
      <w:r w:rsidR="005A2EEB" w:rsidRPr="00F77746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Score</w:t>
      </w:r>
      <w:r w:rsidR="00162503" w:rsidRPr="00F77746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methods.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statistical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software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used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calculate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odds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ratio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prevalence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measures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using</w:t>
      </w:r>
      <w:r w:rsidR="0095527E">
        <w:rPr>
          <w:rFonts w:ascii="Book Antiqua" w:eastAsia="Book Antiqua" w:hAnsi="Book Antiqua" w:cs="Book Antiqua"/>
          <w:color w:val="000000"/>
        </w:rPr>
        <w:t xml:space="preserve"> 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epiR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package</w:t>
      </w:r>
      <w:r w:rsidR="009E0331" w:rsidRPr="00F77746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9E0331" w:rsidRPr="00F77746">
        <w:rPr>
          <w:rFonts w:ascii="Book Antiqua" w:eastAsia="Book Antiqua" w:hAnsi="Book Antiqua" w:cs="Book Antiqua"/>
          <w:color w:val="000000"/>
        </w:rPr>
        <w:t>.</w:t>
      </w:r>
    </w:p>
    <w:p w14:paraId="282EB6D1" w14:textId="77777777" w:rsidR="00A77B3E" w:rsidRPr="00F77746" w:rsidRDefault="00A77B3E" w:rsidP="00F77746">
      <w:pPr>
        <w:spacing w:line="360" w:lineRule="auto"/>
        <w:jc w:val="both"/>
      </w:pPr>
    </w:p>
    <w:p w14:paraId="23282820" w14:textId="77777777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34B2163" w14:textId="0EF20411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From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423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eligible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95527E">
        <w:rPr>
          <w:rFonts w:ascii="Book Antiqua" w:eastAsia="Book Antiqua" w:hAnsi="Book Antiqua" w:cs="Book Antiqua"/>
          <w:color w:val="000000"/>
        </w:rPr>
        <w:t>16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excluded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(7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metastatic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disease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9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95527E">
        <w:rPr>
          <w:rFonts w:ascii="Book Antiqua" w:eastAsia="Book Antiqua" w:hAnsi="Book Antiqua" w:cs="Book Antiqua"/>
          <w:color w:val="000000"/>
        </w:rPr>
        <w:t>l</w:t>
      </w:r>
      <w:r w:rsidRPr="00F77746">
        <w:rPr>
          <w:rFonts w:ascii="Book Antiqua" w:eastAsia="Book Antiqua" w:hAnsi="Book Antiqua" w:cs="Book Antiqua"/>
          <w:color w:val="000000"/>
        </w:rPr>
        <w:t>ost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follow-up),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407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remaining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final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analysis.</w:t>
      </w:r>
      <w:r w:rsidR="00412E3E" w:rsidRPr="00F77746">
        <w:rPr>
          <w:lang w:eastAsia="zh-CN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median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52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years</w:t>
      </w:r>
      <w:r w:rsidR="0095527E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95527E" w:rsidRPr="00F77746">
        <w:rPr>
          <w:rFonts w:ascii="Book Antiqua" w:eastAsia="Book Antiqua" w:hAnsi="Book Antiqua" w:cs="Book Antiqua"/>
          <w:color w:val="000000"/>
        </w:rPr>
        <w:t>body mass index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95527E">
        <w:rPr>
          <w:rFonts w:ascii="Book Antiqua" w:eastAsia="Book Antiqua" w:hAnsi="Book Antiqua" w:cs="Book Antiqua"/>
          <w:color w:val="000000"/>
        </w:rPr>
        <w:t xml:space="preserve">was </w:t>
      </w:r>
      <w:r w:rsidRPr="00F77746">
        <w:rPr>
          <w:rFonts w:ascii="Book Antiqua" w:eastAsia="Book Antiqua" w:hAnsi="Book Antiqua" w:cs="Book Antiqua"/>
          <w:color w:val="000000"/>
        </w:rPr>
        <w:t>27.54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kg/m</w:t>
      </w:r>
      <w:r w:rsidRPr="00F7774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stage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presentation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predominantly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stage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III: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59.47%.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tumors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invasive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ductal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carcinoma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(98</w:t>
      </w:r>
      <w:r w:rsidR="00D76E64" w:rsidRPr="00F77746">
        <w:rPr>
          <w:rFonts w:ascii="Book Antiqua" w:eastAsia="Book Antiqua" w:hAnsi="Book Antiqua" w:cs="Book Antiqua"/>
          <w:color w:val="000000"/>
        </w:rPr>
        <w:t>.</w:t>
      </w:r>
      <w:r w:rsidRPr="00F77746">
        <w:rPr>
          <w:rFonts w:ascii="Book Antiqua" w:eastAsia="Book Antiqua" w:hAnsi="Book Antiqua" w:cs="Book Antiqua"/>
          <w:color w:val="000000"/>
        </w:rPr>
        <w:t>64%)</w:t>
      </w:r>
      <w:r w:rsidR="0095527E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anthracycline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followed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taxane</w:t>
      </w:r>
      <w:r w:rsidR="0095527E">
        <w:rPr>
          <w:rFonts w:ascii="Book Antiqua" w:eastAsia="Book Antiqua" w:hAnsi="Book Antiqua" w:cs="Book Antiqua"/>
          <w:color w:val="000000"/>
        </w:rPr>
        <w:t>-</w:t>
      </w:r>
      <w:r w:rsidRPr="00F77746">
        <w:rPr>
          <w:rFonts w:ascii="Book Antiqua" w:eastAsia="Book Antiqua" w:hAnsi="Book Antiqua" w:cs="Book Antiqua"/>
          <w:color w:val="000000"/>
        </w:rPr>
        <w:t>based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regimen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common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(93.6%).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Almost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all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received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whole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95527E">
        <w:rPr>
          <w:rFonts w:ascii="Book Antiqua" w:eastAsia="Book Antiqua" w:hAnsi="Book Antiqua" w:cs="Book Antiqua"/>
          <w:color w:val="000000"/>
        </w:rPr>
        <w:t>1</w:t>
      </w:r>
      <w:r w:rsidRPr="00F77746">
        <w:rPr>
          <w:rFonts w:ascii="Book Antiqua" w:eastAsia="Book Antiqua" w:hAnsi="Book Antiqua" w:cs="Book Antiqua"/>
          <w:color w:val="000000"/>
        </w:rPr>
        <w:t>-year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period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(97</w:t>
      </w:r>
      <w:r w:rsidR="0095527E">
        <w:rPr>
          <w:rFonts w:ascii="Book Antiqua" w:eastAsia="Book Antiqua" w:hAnsi="Book Antiqua" w:cs="Book Antiqua"/>
          <w:color w:val="000000"/>
        </w:rPr>
        <w:t>.0</w:t>
      </w:r>
      <w:r w:rsidRPr="00F77746">
        <w:rPr>
          <w:rFonts w:ascii="Book Antiqua" w:eastAsia="Book Antiqua" w:hAnsi="Book Antiqua" w:cs="Book Antiqua"/>
          <w:color w:val="000000"/>
        </w:rPr>
        <w:t>%)</w:t>
      </w:r>
      <w:r w:rsidR="00D76E64" w:rsidRPr="00F77746">
        <w:rPr>
          <w:rFonts w:ascii="Book Antiqua" w:eastAsia="Book Antiqua" w:hAnsi="Book Antiqua" w:cs="Book Antiqua"/>
          <w:color w:val="000000"/>
        </w:rPr>
        <w:t xml:space="preserve"> (Table 1)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</w:p>
    <w:p w14:paraId="6BB0D677" w14:textId="1AA0A136" w:rsidR="00A77B3E" w:rsidRPr="00F77746" w:rsidRDefault="001257B7" w:rsidP="00F77746">
      <w:pPr>
        <w:spacing w:line="360" w:lineRule="auto"/>
        <w:ind w:firstLineChars="200" w:firstLine="480"/>
        <w:jc w:val="both"/>
      </w:pPr>
      <w:r w:rsidRPr="00F77746">
        <w:rPr>
          <w:rFonts w:ascii="Book Antiqua" w:eastAsia="Book Antiqua" w:hAnsi="Book Antiqua" w:cs="Book Antiqua"/>
          <w:color w:val="000000"/>
        </w:rPr>
        <w:t>Forty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(9.8%)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median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time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289</w:t>
      </w:r>
      <w:r w:rsidR="00642577" w:rsidRPr="00F77746">
        <w:rPr>
          <w:rFonts w:ascii="Book Antiqua" w:eastAsia="Book Antiqua" w:hAnsi="Book Antiqua" w:cs="Book Antiqua"/>
          <w:color w:val="000000"/>
        </w:rPr>
        <w:t xml:space="preserve"> 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(114</w:t>
      </w:r>
      <w:r w:rsidR="004C3206" w:rsidRPr="00F77746">
        <w:rPr>
          <w:rFonts w:ascii="Book Antiqua" w:eastAsia="Book Antiqua" w:hAnsi="Book Antiqua" w:cs="Book Antiqua"/>
          <w:color w:val="000000"/>
        </w:rPr>
        <w:t>-</w:t>
      </w:r>
      <w:r w:rsidRPr="00F77746">
        <w:rPr>
          <w:rFonts w:ascii="Book Antiqua" w:eastAsia="Book Antiqua" w:hAnsi="Book Antiqua" w:cs="Book Antiqua"/>
          <w:color w:val="000000"/>
        </w:rPr>
        <w:t>680</w:t>
      </w:r>
      <w:r w:rsidR="007A2DBC" w:rsidRPr="00F77746">
        <w:rPr>
          <w:rFonts w:ascii="Book Antiqua" w:eastAsia="Book Antiqua" w:hAnsi="Book Antiqua" w:cs="Book Antiqua"/>
          <w:color w:val="000000"/>
        </w:rPr>
        <w:t xml:space="preserve"> d</w:t>
      </w:r>
      <w:r w:rsidR="00D85A97" w:rsidRPr="00F77746">
        <w:rPr>
          <w:rFonts w:ascii="Book Antiqua" w:eastAsia="Book Antiqua" w:hAnsi="Book Antiqua" w:cs="Book Antiqua"/>
          <w:color w:val="000000"/>
        </w:rPr>
        <w:t>c</w:t>
      </w:r>
      <w:r w:rsidRPr="00F77746">
        <w:rPr>
          <w:rFonts w:ascii="Book Antiqua" w:eastAsia="Book Antiqua" w:hAnsi="Book Antiqua" w:cs="Book Antiqua"/>
          <w:color w:val="000000"/>
        </w:rPr>
        <w:t>)</w:t>
      </w:r>
      <w:r w:rsidR="008E59A2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from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initiation</w:t>
      </w:r>
      <w:r w:rsidR="00BF3659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wider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variation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LVEF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seen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BF3659">
        <w:rPr>
          <w:rFonts w:ascii="Book Antiqua" w:eastAsia="Book Antiqua" w:hAnsi="Book Antiqua" w:cs="Book Antiqua"/>
          <w:color w:val="000000"/>
        </w:rPr>
        <w:t>i</w:t>
      </w:r>
      <w:r w:rsidRPr="00F77746">
        <w:rPr>
          <w:rFonts w:ascii="Book Antiqua" w:eastAsia="Book Antiqua" w:hAnsi="Book Antiqua" w:cs="Book Antiqua"/>
          <w:color w:val="000000"/>
        </w:rPr>
        <w:t>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shown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Figure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Although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none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symptomatic,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all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lastRenderedPageBreak/>
        <w:t>their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delayed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due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echocardiogram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findings.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Twenty-nine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(72.5%)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recovered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LVEF,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which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drug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restarted,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11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(27.5%)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suspended.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rates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not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vary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according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=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0.58),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comorbidities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=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0.81)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95527E" w:rsidRPr="00F77746">
        <w:rPr>
          <w:rFonts w:ascii="Book Antiqua" w:eastAsia="Book Antiqua" w:hAnsi="Book Antiqua" w:cs="Book Antiqua"/>
          <w:color w:val="000000"/>
        </w:rPr>
        <w:t>body mass index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=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0.64).</w:t>
      </w:r>
    </w:p>
    <w:p w14:paraId="6C5F11EA" w14:textId="41B618A6" w:rsidR="00A77B3E" w:rsidRPr="00F77746" w:rsidRDefault="001257B7" w:rsidP="00F77746">
      <w:pPr>
        <w:spacing w:line="360" w:lineRule="auto"/>
        <w:ind w:firstLineChars="200" w:firstLine="480"/>
        <w:jc w:val="both"/>
      </w:pP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occurred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early,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shown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7C3EC1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Figure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prevalence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echocardiograms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4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2.7%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against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1.1%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prevalence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ratio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echocardiograms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5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7.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odds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2.5</w:t>
      </w:r>
      <w:r w:rsidR="007C3EC1">
        <w:rPr>
          <w:rFonts w:ascii="Book Antiqua" w:eastAsia="Book Antiqua" w:hAnsi="Book Antiqua" w:cs="Book Antiqua"/>
          <w:color w:val="000000"/>
        </w:rPr>
        <w:t xml:space="preserve"> times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higher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when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echocardiogram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4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compared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echocardiogram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5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7</w:t>
      </w:r>
      <w:r w:rsidR="003C2AE6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7C3EC1">
        <w:rPr>
          <w:rFonts w:ascii="Book Antiqua" w:eastAsia="Book Antiqua" w:hAnsi="Book Antiqua" w:cs="Book Antiqua"/>
          <w:color w:val="000000"/>
        </w:rPr>
        <w:t>(o</w:t>
      </w:r>
      <w:r w:rsidR="0095527E" w:rsidRPr="00F77746">
        <w:rPr>
          <w:rFonts w:ascii="Book Antiqua" w:eastAsia="Book Antiqua" w:hAnsi="Book Antiqua" w:cs="Book Antiqua"/>
          <w:color w:val="000000"/>
        </w:rPr>
        <w:t>dds ratio</w:t>
      </w:r>
      <w:r w:rsidR="007C3EC1">
        <w:rPr>
          <w:rFonts w:ascii="Book Antiqua" w:eastAsia="Book Antiqua" w:hAnsi="Book Antiqua" w:cs="Book Antiqua"/>
          <w:color w:val="000000"/>
        </w:rPr>
        <w:t xml:space="preserve"> =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2.47,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95%</w:t>
      </w:r>
      <w:r w:rsidR="007C3EC1">
        <w:rPr>
          <w:rFonts w:ascii="Book Antiqua" w:eastAsia="Book Antiqua" w:hAnsi="Book Antiqua" w:cs="Book Antiqua"/>
          <w:color w:val="000000"/>
        </w:rPr>
        <w:t xml:space="preserve"> confidence interval: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1.09,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5.63,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=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0.024</w:t>
      </w:r>
      <w:r w:rsidR="007C3EC1">
        <w:rPr>
          <w:rFonts w:ascii="Book Antiqua" w:eastAsia="Book Antiqua" w:hAnsi="Book Antiqua" w:cs="Book Antiqua"/>
          <w:color w:val="000000"/>
        </w:rPr>
        <w:t>)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3C2AE6" w:rsidRPr="00F77746">
        <w:rPr>
          <w:lang w:eastAsia="zh-CN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median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follow-up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time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70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</w:t>
      </w:r>
      <w:r w:rsidR="007C3EC1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54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deaths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(13.3%).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Overall,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survival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not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vary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according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=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0.08).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death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(0.2%)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attributed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heart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failure.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However,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occurred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7C3EC1">
        <w:rPr>
          <w:rFonts w:ascii="Book Antiqua" w:eastAsia="Book Antiqua" w:hAnsi="Book Antiqua" w:cs="Book Antiqua"/>
          <w:color w:val="000000"/>
        </w:rPr>
        <w:t>4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years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after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possibly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related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anthracycline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cardiotoxicity.</w:t>
      </w:r>
    </w:p>
    <w:p w14:paraId="163F3FDD" w14:textId="77777777" w:rsidR="00A77B3E" w:rsidRPr="00F77746" w:rsidRDefault="00A77B3E" w:rsidP="00F77746">
      <w:pPr>
        <w:spacing w:line="360" w:lineRule="auto"/>
        <w:jc w:val="both"/>
      </w:pPr>
    </w:p>
    <w:p w14:paraId="1381AC86" w14:textId="77777777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35AF102" w14:textId="20BA5CAA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We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showed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9.8%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detected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routine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echocardiogram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during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trastuzumab-based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early-stage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our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knowledge,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largest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real-world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cohort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reported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South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America.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Our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results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similar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presented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large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adjuvant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clinical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trial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3</w:t>
      </w:r>
      <w:r w:rsidR="00824417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which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varied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from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6.0%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35.4%</w:t>
      </w:r>
      <w:r w:rsidR="00AB4CB4" w:rsidRPr="00F77746">
        <w:rPr>
          <w:rFonts w:ascii="Book Antiqua" w:eastAsia="Book Antiqua" w:hAnsi="Book Antiqua" w:cs="Book Antiqua"/>
          <w:color w:val="000000"/>
          <w:vertAlign w:val="superscript"/>
        </w:rPr>
        <w:t>[16,17]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AB4CB4" w:rsidRPr="00F7774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variation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could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explained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different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chemotherapy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regimens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but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likely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attributed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selection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diverse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definitions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AB4CB4" w:rsidRPr="00F77746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7B1F8C" w:rsidRPr="00F7774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Whilst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contemporary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studies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focus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predictive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biomarkers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i</w:t>
      </w:r>
      <w:r w:rsidR="00072E6B" w:rsidRPr="00F77746">
        <w:rPr>
          <w:rFonts w:ascii="Book Antiqua" w:eastAsia="Book Antiqua" w:hAnsi="Book Antiqua" w:cs="Book Antiqua"/>
          <w:i/>
          <w:iCs/>
          <w:color w:val="000000"/>
        </w:rPr>
        <w:t>.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e</w:t>
      </w:r>
      <w:r w:rsidR="00072E6B" w:rsidRPr="00F77746">
        <w:rPr>
          <w:rFonts w:ascii="Book Antiqua" w:eastAsia="Book Antiqua" w:hAnsi="Book Antiqua" w:cs="Book Antiqua"/>
          <w:i/>
          <w:iCs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plasma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levels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troponin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and/or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  <w:shd w:val="clear" w:color="auto" w:fill="FFFFFF"/>
        </w:rPr>
        <w:t>brain</w:t>
      </w:r>
      <w:r w:rsidR="009C3C7D" w:rsidRPr="00F777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  <w:shd w:val="clear" w:color="auto" w:fill="FFFFFF"/>
        </w:rPr>
        <w:t>natriuretic</w:t>
      </w:r>
      <w:r w:rsidR="009C3C7D" w:rsidRPr="00F777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  <w:shd w:val="clear" w:color="auto" w:fill="FFFFFF"/>
        </w:rPr>
        <w:t>peptide</w:t>
      </w:r>
      <w:r w:rsidRPr="00F77746">
        <w:rPr>
          <w:rFonts w:ascii="Book Antiqua" w:eastAsia="Book Antiqua" w:hAnsi="Book Antiqua" w:cs="Book Antiqua"/>
          <w:color w:val="000000"/>
        </w:rPr>
        <w:t>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costly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imaging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studies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</w:t>
      </w:r>
      <w:r w:rsidR="00F31E70" w:rsidRPr="00F77746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magnetic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resonance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imaging),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transthoracic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echocardiogram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widely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available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affordable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cost,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which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allows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widespread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use</w:t>
      </w:r>
      <w:r w:rsidR="009B4B21" w:rsidRPr="00F77746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9B4B21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Although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pathophysiology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being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elucidated</w:t>
      </w:r>
      <w:r w:rsidR="00824417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players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neuregulin</w:t>
      </w:r>
      <w:r w:rsidR="007F5472" w:rsidRPr="00F77746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been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suggested</w:t>
      </w:r>
      <w:r w:rsidR="00824417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824417">
        <w:rPr>
          <w:rFonts w:ascii="Book Antiqua" w:eastAsia="Book Antiqua" w:hAnsi="Book Antiqua" w:cs="Book Antiqua"/>
          <w:color w:val="000000"/>
        </w:rPr>
        <w:t>R</w:t>
      </w:r>
      <w:r w:rsidRPr="00F77746">
        <w:rPr>
          <w:rFonts w:ascii="Book Antiqua" w:eastAsia="Book Antiqua" w:hAnsi="Book Antiqua" w:cs="Book Antiqua"/>
          <w:color w:val="000000"/>
        </w:rPr>
        <w:t>eliable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validated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biomarkers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better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cost-effectiveness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LVEF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estimation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awaited</w:t>
      </w:r>
      <w:r w:rsidR="00DA5BFB" w:rsidRPr="00F77746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F77746">
        <w:rPr>
          <w:rFonts w:ascii="Book Antiqua" w:eastAsia="Book Antiqua" w:hAnsi="Book Antiqua" w:cs="Book Antiqua"/>
          <w:color w:val="000000"/>
        </w:rPr>
        <w:t>.</w:t>
      </w:r>
    </w:p>
    <w:p w14:paraId="25B9AC2E" w14:textId="2EFB3491" w:rsidR="00A77B3E" w:rsidRPr="00F77746" w:rsidRDefault="001257B7" w:rsidP="00F77746">
      <w:pPr>
        <w:spacing w:line="360" w:lineRule="auto"/>
        <w:ind w:firstLineChars="200" w:firstLine="480"/>
        <w:jc w:val="both"/>
      </w:pPr>
      <w:r w:rsidRPr="00F77746">
        <w:rPr>
          <w:rFonts w:ascii="Book Antiqua" w:eastAsia="Book Antiqua" w:hAnsi="Book Antiqua" w:cs="Book Antiqua"/>
          <w:color w:val="000000"/>
        </w:rPr>
        <w:t>Recommendations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withhold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824417">
        <w:rPr>
          <w:rFonts w:ascii="Book Antiqua" w:eastAsia="Book Antiqua" w:hAnsi="Book Antiqua" w:cs="Book Antiqua"/>
          <w:color w:val="000000"/>
        </w:rPr>
        <w:t>t</w:t>
      </w:r>
      <w:r w:rsidRPr="00F77746">
        <w:rPr>
          <w:rFonts w:ascii="Book Antiqua" w:eastAsia="Book Antiqua" w:hAnsi="Book Antiqua" w:cs="Book Antiqua"/>
          <w:color w:val="000000"/>
        </w:rPr>
        <w:t>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Europe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(absolute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LVEF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decrease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&gt;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20%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&gt;</w:t>
      </w:r>
      <w:r w:rsidR="000F2980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10%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&lt;</w:t>
      </w:r>
      <w:r w:rsidR="000F2980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50%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symptomatic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heart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failure)</w:t>
      </w:r>
      <w:r w:rsidR="000F2980" w:rsidRPr="00F77746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9C3C7D" w:rsidRPr="00F7774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America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(LVEF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decrease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≥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16%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from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baseline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LVEF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below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institutional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limits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normality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≥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10%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absolute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lastRenderedPageBreak/>
        <w:t>LVEF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decreased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from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baseline)</w:t>
      </w:r>
      <w:r w:rsidR="00CD2B73" w:rsidRPr="00F77746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roughly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similar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not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considering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borderline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asymptomatic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decrease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824417">
        <w:rPr>
          <w:rFonts w:ascii="Book Antiqua" w:eastAsia="Book Antiqua" w:hAnsi="Book Antiqua" w:cs="Book Antiqua"/>
          <w:color w:val="000000"/>
        </w:rPr>
        <w:t>i</w:t>
      </w:r>
      <w:r w:rsidRPr="00F77746">
        <w:rPr>
          <w:rFonts w:ascii="Book Antiqua" w:eastAsia="Book Antiqua" w:hAnsi="Book Antiqua" w:cs="Book Antiqua"/>
          <w:color w:val="000000"/>
        </w:rPr>
        <w:t>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LVEF.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None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824417">
        <w:rPr>
          <w:rFonts w:ascii="Book Antiqua" w:eastAsia="Book Antiqua" w:hAnsi="Book Antiqua" w:cs="Book Antiqua"/>
          <w:color w:val="000000"/>
        </w:rPr>
        <w:t>i</w:t>
      </w:r>
      <w:r w:rsidRPr="00F77746">
        <w:rPr>
          <w:rFonts w:ascii="Book Antiqua" w:eastAsia="Book Antiqua" w:hAnsi="Book Antiqua" w:cs="Book Antiqua"/>
          <w:color w:val="000000"/>
        </w:rPr>
        <w:t>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cohort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symptoms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time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abnormal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echocardiographic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findings.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Notwithstanding,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delays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interruptions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based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guidelines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available.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consequences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asymptomatic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LVEF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drop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unknown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well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whether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early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interruption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may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compromise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efficacy</w:t>
      </w:r>
      <w:r w:rsidR="00E67C44" w:rsidRPr="00F77746">
        <w:rPr>
          <w:rFonts w:ascii="Book Antiqua" w:eastAsia="Book Antiqua" w:hAnsi="Book Antiqua" w:cs="Book Antiqua"/>
          <w:color w:val="000000"/>
          <w:vertAlign w:val="superscript"/>
        </w:rPr>
        <w:t>[24,25]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E67C44" w:rsidRPr="00F7774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recent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trials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showed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less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clinical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dysfunction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shorter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824417">
        <w:rPr>
          <w:rFonts w:ascii="Book Antiqua" w:eastAsia="Book Antiqua" w:hAnsi="Book Antiqua" w:cs="Book Antiqua"/>
          <w:color w:val="000000"/>
        </w:rPr>
        <w:t xml:space="preserve">trastuzumab treatment duration </w:t>
      </w:r>
      <w:r w:rsidRPr="00F77746">
        <w:rPr>
          <w:rFonts w:ascii="Book Antiqua" w:eastAsia="Book Antiqua" w:hAnsi="Book Antiqua" w:cs="Book Antiqua"/>
          <w:color w:val="000000"/>
        </w:rPr>
        <w:t>compared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longer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duration</w:t>
      </w:r>
      <w:r w:rsidR="0029292D" w:rsidRPr="00F77746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F77746">
        <w:rPr>
          <w:rFonts w:ascii="Book Antiqua" w:eastAsia="Book Antiqua" w:hAnsi="Book Antiqua" w:cs="Book Antiqua"/>
          <w:color w:val="000000"/>
        </w:rPr>
        <w:t>.</w:t>
      </w:r>
    </w:p>
    <w:p w14:paraId="5F0F2BB6" w14:textId="761C7750" w:rsidR="00A77B3E" w:rsidRPr="00F77746" w:rsidRDefault="001257B7" w:rsidP="00F77746">
      <w:pPr>
        <w:spacing w:line="360" w:lineRule="auto"/>
        <w:ind w:firstLineChars="200" w:firstLine="480"/>
        <w:jc w:val="both"/>
      </w:pPr>
      <w:r w:rsidRPr="00F77746">
        <w:rPr>
          <w:rFonts w:ascii="Book Antiqua" w:eastAsia="Book Antiqua" w:hAnsi="Book Antiqua" w:cs="Book Antiqua"/>
          <w:color w:val="000000"/>
        </w:rPr>
        <w:t>There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known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risk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factors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associated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trastuzumab-related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above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65,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Ile655Val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HER2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polymorphism,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previous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cardiovascular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disease,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radiation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therapy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anthracycline,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especially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high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cumulative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doses</w:t>
      </w:r>
      <w:r w:rsidR="001141A6" w:rsidRPr="00F77746">
        <w:rPr>
          <w:rFonts w:ascii="Book Antiqua" w:eastAsia="Book Antiqua" w:hAnsi="Book Antiqua" w:cs="Book Antiqua"/>
          <w:color w:val="000000"/>
          <w:vertAlign w:val="superscript"/>
        </w:rPr>
        <w:t>[27,28]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5946FC" w:rsidRPr="00F7774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our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cohort,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unable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show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correlation.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studies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other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conflicting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about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other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factors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other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comorbidities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(diabetes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kidney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function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impaired)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baseline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LVEF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(high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low)</w:t>
      </w:r>
      <w:r w:rsidR="004E36B6" w:rsidRPr="00F77746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interpret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factors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caution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standard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population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significantly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heterogeneous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frequently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differs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from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subjects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included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AA3629">
        <w:rPr>
          <w:rFonts w:ascii="Book Antiqua" w:eastAsia="Book Antiqua" w:hAnsi="Book Antiqua" w:cs="Book Antiqua"/>
          <w:color w:val="000000"/>
        </w:rPr>
        <w:t>i</w:t>
      </w:r>
      <w:r w:rsidRPr="00F77746">
        <w:rPr>
          <w:rFonts w:ascii="Book Antiqua" w:eastAsia="Book Antiqua" w:hAnsi="Book Antiqua" w:cs="Book Antiqua"/>
          <w:color w:val="000000"/>
        </w:rPr>
        <w:t>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clinical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trials.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Moreover,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specific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recommendation</w:t>
      </w:r>
      <w:r w:rsidR="00AA3629">
        <w:rPr>
          <w:rFonts w:ascii="Book Antiqua" w:eastAsia="Book Antiqua" w:hAnsi="Book Antiqua" w:cs="Book Antiqua"/>
          <w:color w:val="000000"/>
        </w:rPr>
        <w:t>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adapt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monitoring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lacking,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unless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high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risk</w:t>
      </w:r>
      <w:r w:rsidR="004E36B6" w:rsidRPr="00F77746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F77746">
        <w:rPr>
          <w:rFonts w:ascii="Book Antiqua" w:eastAsia="Book Antiqua" w:hAnsi="Book Antiqua" w:cs="Book Antiqua"/>
          <w:color w:val="000000"/>
        </w:rPr>
        <w:t>.</w:t>
      </w:r>
    </w:p>
    <w:p w14:paraId="0C0B43C1" w14:textId="313E026A" w:rsidR="00A77B3E" w:rsidRPr="00F77746" w:rsidRDefault="001257B7" w:rsidP="00F77746">
      <w:pPr>
        <w:spacing w:line="360" w:lineRule="auto"/>
        <w:ind w:firstLineChars="200" w:firstLine="480"/>
        <w:jc w:val="both"/>
      </w:pP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note,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showed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increased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incidence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early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monitoring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compared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later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function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evaluation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through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echocardiogram.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lack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prospective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randomized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clinical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trials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optimal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monitoring</w:t>
      </w:r>
      <w:r w:rsidR="00F77AE0" w:rsidRPr="00F77746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our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results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provide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opportunity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endeavor.</w:t>
      </w:r>
      <w:r w:rsidR="00B325E3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Our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study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limitations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included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retrospective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nature,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limited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number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lack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standard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reporting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comorbidities.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other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hand,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similar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studies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suggest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that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population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optimize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monitoring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might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exist</w:t>
      </w:r>
      <w:r w:rsidR="00CF6B1F" w:rsidRPr="00F77746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F77746">
        <w:rPr>
          <w:rFonts w:ascii="Book Antiqua" w:eastAsia="Book Antiqua" w:hAnsi="Book Antiqua" w:cs="Book Antiqua"/>
          <w:color w:val="000000"/>
        </w:rPr>
        <w:t>.</w:t>
      </w:r>
    </w:p>
    <w:p w14:paraId="2732F611" w14:textId="77777777" w:rsidR="00A77B3E" w:rsidRPr="00F77746" w:rsidRDefault="00A77B3E" w:rsidP="00F77746">
      <w:pPr>
        <w:spacing w:line="360" w:lineRule="auto"/>
        <w:jc w:val="both"/>
      </w:pPr>
    </w:p>
    <w:p w14:paraId="6916B16E" w14:textId="77777777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6A1BF33" w14:textId="0DE11323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rates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real-world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population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8A08D5" w:rsidRPr="00F77746">
        <w:rPr>
          <w:rFonts w:ascii="Book Antiqua" w:eastAsia="Book Antiqua" w:hAnsi="Book Antiqua" w:cs="Book Antiqua"/>
          <w:color w:val="000000"/>
        </w:rPr>
        <w:t>were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similar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tho</w:t>
      </w:r>
      <w:r w:rsidR="00AA3629">
        <w:rPr>
          <w:rFonts w:ascii="Book Antiqua" w:eastAsia="Book Antiqua" w:hAnsi="Book Antiqua" w:cs="Book Antiqua"/>
          <w:color w:val="000000"/>
        </w:rPr>
        <w:t>s</w:t>
      </w:r>
      <w:r w:rsidRPr="00F77746">
        <w:rPr>
          <w:rFonts w:ascii="Book Antiqua" w:eastAsia="Book Antiqua" w:hAnsi="Book Antiqua" w:cs="Book Antiqua"/>
          <w:color w:val="000000"/>
        </w:rPr>
        <w:t>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reported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large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adjuvant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trials.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events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occurred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early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during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initial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monitoring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examinations.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findings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changes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unknown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lastRenderedPageBreak/>
        <w:t>long-term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consequences</w:t>
      </w:r>
      <w:r w:rsidR="00AA3629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AA3629">
        <w:rPr>
          <w:rFonts w:ascii="Book Antiqua" w:eastAsia="Book Antiqua" w:hAnsi="Book Antiqua" w:cs="Book Antiqua"/>
          <w:color w:val="000000"/>
        </w:rPr>
        <w:t>T</w:t>
      </w:r>
      <w:r w:rsidRPr="00F77746">
        <w:rPr>
          <w:rFonts w:ascii="Book Antiqua" w:eastAsia="Book Antiqua" w:hAnsi="Book Antiqua" w:cs="Book Antiqua"/>
          <w:color w:val="000000"/>
        </w:rPr>
        <w:t>hese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results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deserve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prospective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confirmation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assess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optimal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monitor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manage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trastuzumab-related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events.</w:t>
      </w:r>
    </w:p>
    <w:p w14:paraId="2630D322" w14:textId="77777777" w:rsidR="00A77B3E" w:rsidRPr="00F77746" w:rsidRDefault="00A77B3E" w:rsidP="00F77746">
      <w:pPr>
        <w:spacing w:line="360" w:lineRule="auto"/>
        <w:jc w:val="both"/>
      </w:pPr>
    </w:p>
    <w:p w14:paraId="3A207D65" w14:textId="233E6049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C3C7D" w:rsidRPr="00F7774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77746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B774E75" w14:textId="50F69B3A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C3C7D" w:rsidRPr="00F7774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B098BE8" w14:textId="0EA7DF1D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It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remains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unclear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whether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current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arbitrary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screening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recommendations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trastuzumab-related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provides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adequate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balance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between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preventing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heart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damage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curtailing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curative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treatment.</w:t>
      </w:r>
    </w:p>
    <w:p w14:paraId="38494655" w14:textId="77777777" w:rsidR="00A77B3E" w:rsidRPr="00F77746" w:rsidRDefault="00A77B3E" w:rsidP="00F77746">
      <w:pPr>
        <w:spacing w:line="360" w:lineRule="auto"/>
        <w:jc w:val="both"/>
      </w:pPr>
    </w:p>
    <w:p w14:paraId="6E1BF8E0" w14:textId="3C800881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C3C7D" w:rsidRPr="00F7774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227ACF3" w14:textId="26EE23E1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There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urgent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need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optimize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monitoring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cardiotoxicity.</w:t>
      </w:r>
    </w:p>
    <w:p w14:paraId="0722BE9F" w14:textId="77777777" w:rsidR="00A77B3E" w:rsidRPr="00F77746" w:rsidRDefault="00A77B3E" w:rsidP="00F77746">
      <w:pPr>
        <w:spacing w:line="360" w:lineRule="auto"/>
        <w:jc w:val="both"/>
      </w:pPr>
    </w:p>
    <w:p w14:paraId="5AF79328" w14:textId="61F9CC39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C3C7D" w:rsidRPr="00F7774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6D5449D" w14:textId="0C7FC4FA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This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study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aimed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determine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incidence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consequences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trastuzumab-induced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adjuvant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real-world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scenario.</w:t>
      </w:r>
    </w:p>
    <w:p w14:paraId="1EB62822" w14:textId="77777777" w:rsidR="00A77B3E" w:rsidRPr="00F77746" w:rsidRDefault="00A77B3E" w:rsidP="00F77746">
      <w:pPr>
        <w:spacing w:line="360" w:lineRule="auto"/>
        <w:jc w:val="both"/>
      </w:pPr>
    </w:p>
    <w:p w14:paraId="4D2E65CF" w14:textId="4EB4D9BB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C3C7D" w:rsidRPr="00F7774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8049EA7" w14:textId="59271441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retrospective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chart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review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performed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using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medical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files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during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5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years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single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institution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Brazil.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tissue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confirmation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HER2-positive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stage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III,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chemotherapy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combined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followed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Exclusion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criteria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included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loss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follow-up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less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3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after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initiation.</w:t>
      </w:r>
    </w:p>
    <w:p w14:paraId="34472816" w14:textId="77777777" w:rsidR="00A77B3E" w:rsidRPr="00F77746" w:rsidRDefault="00A77B3E" w:rsidP="00F77746">
      <w:pPr>
        <w:spacing w:line="360" w:lineRule="auto"/>
        <w:jc w:val="both"/>
      </w:pPr>
    </w:p>
    <w:p w14:paraId="28D9AF68" w14:textId="60D738F2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C3C7D" w:rsidRPr="00F7774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22AF356" w14:textId="4C071071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Forty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(9.8%)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(out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407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included)</w:t>
      </w:r>
      <w:r w:rsidR="00AA3629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AA3629">
        <w:rPr>
          <w:rFonts w:ascii="Book Antiqua" w:eastAsia="Book Antiqua" w:hAnsi="Book Antiqua" w:cs="Book Antiqua"/>
          <w:color w:val="000000"/>
        </w:rPr>
        <w:t>N</w:t>
      </w:r>
      <w:r w:rsidRPr="00F77746">
        <w:rPr>
          <w:rFonts w:ascii="Book Antiqua" w:eastAsia="Book Antiqua" w:hAnsi="Book Antiqua" w:cs="Book Antiqua"/>
          <w:color w:val="000000"/>
        </w:rPr>
        <w:t>one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AA3629">
        <w:rPr>
          <w:rFonts w:ascii="Book Antiqua" w:eastAsia="Book Antiqua" w:hAnsi="Book Antiqua" w:cs="Book Antiqua"/>
          <w:color w:val="000000"/>
        </w:rPr>
        <w:t xml:space="preserve">were </w:t>
      </w:r>
      <w:r w:rsidRPr="00F77746">
        <w:rPr>
          <w:rFonts w:ascii="Book Antiqua" w:eastAsia="Book Antiqua" w:hAnsi="Book Antiqua" w:cs="Book Antiqua"/>
          <w:color w:val="000000"/>
        </w:rPr>
        <w:t>symptomatic</w:t>
      </w:r>
      <w:r w:rsidR="00AA3629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28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(72.5%)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completely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recovered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B66B9B" w:rsidRPr="00F77746">
        <w:rPr>
          <w:rFonts w:ascii="Book Antiqua" w:eastAsia="Book Antiqua" w:hAnsi="Book Antiqua" w:cs="Book Antiqua"/>
          <w:color w:val="000000"/>
        </w:rPr>
        <w:t>left ventricular ejection fraction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happened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early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shown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AA3629" w:rsidRPr="00F77746">
        <w:rPr>
          <w:rFonts w:ascii="Book Antiqua" w:eastAsia="Book Antiqua" w:hAnsi="Book Antiqua" w:cs="Book Antiqua"/>
          <w:color w:val="000000"/>
        </w:rPr>
        <w:t>left ventricular ejection fraction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measured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echocardiogram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4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compared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5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7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AA3629">
        <w:rPr>
          <w:rFonts w:ascii="Book Antiqua" w:eastAsia="Book Antiqua" w:hAnsi="Book Antiqua" w:cs="Book Antiqua"/>
          <w:color w:val="000000"/>
        </w:rPr>
        <w:t>(o</w:t>
      </w:r>
      <w:r w:rsidR="0095527E" w:rsidRPr="00F77746">
        <w:rPr>
          <w:rFonts w:ascii="Book Antiqua" w:eastAsia="Book Antiqua" w:hAnsi="Book Antiqua" w:cs="Book Antiqua"/>
          <w:color w:val="000000"/>
        </w:rPr>
        <w:t>dds ratio</w:t>
      </w:r>
      <w:r w:rsidR="00AA3629">
        <w:rPr>
          <w:rFonts w:ascii="Book Antiqua" w:eastAsia="Book Antiqua" w:hAnsi="Book Antiqua" w:cs="Book Antiqua"/>
          <w:color w:val="000000"/>
        </w:rPr>
        <w:t xml:space="preserve"> =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2.47,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95%</w:t>
      </w:r>
      <w:r w:rsidR="00AA3629">
        <w:rPr>
          <w:rFonts w:ascii="Book Antiqua" w:eastAsia="Book Antiqua" w:hAnsi="Book Antiqua" w:cs="Book Antiqua"/>
          <w:color w:val="000000"/>
        </w:rPr>
        <w:t xml:space="preserve"> confidence interval: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1.09,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5.63,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=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0.024</w:t>
      </w:r>
      <w:r w:rsidR="00AA3629">
        <w:rPr>
          <w:rFonts w:ascii="Book Antiqua" w:eastAsia="Book Antiqua" w:hAnsi="Book Antiqua" w:cs="Book Antiqua"/>
          <w:color w:val="000000"/>
        </w:rPr>
        <w:t>)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were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54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deaths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(13.3%)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during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70-mo</w:t>
      </w:r>
      <w:r w:rsidR="002A715F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follow-up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period</w:t>
      </w:r>
      <w:r w:rsidR="009C0368">
        <w:rPr>
          <w:rFonts w:ascii="Book Antiqua" w:eastAsia="Book Antiqua" w:hAnsi="Book Antiqua" w:cs="Book Antiqua"/>
          <w:color w:val="000000"/>
        </w:rPr>
        <w:t>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(0.2%)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9C0368">
        <w:rPr>
          <w:rFonts w:ascii="Book Antiqua" w:eastAsia="Book Antiqua" w:hAnsi="Book Antiqua" w:cs="Book Antiqua"/>
          <w:color w:val="000000"/>
        </w:rPr>
        <w:t xml:space="preserve">was </w:t>
      </w:r>
      <w:r w:rsidRPr="00F77746">
        <w:rPr>
          <w:rFonts w:ascii="Book Antiqua" w:eastAsia="Book Antiqua" w:hAnsi="Book Antiqua" w:cs="Book Antiqua"/>
          <w:color w:val="000000"/>
        </w:rPr>
        <w:t>attributed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(4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years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after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treatment).</w:t>
      </w:r>
    </w:p>
    <w:p w14:paraId="04C5F9D2" w14:textId="77777777" w:rsidR="00A77B3E" w:rsidRPr="00F77746" w:rsidRDefault="00A77B3E" w:rsidP="00F77746">
      <w:pPr>
        <w:spacing w:line="360" w:lineRule="auto"/>
        <w:jc w:val="both"/>
      </w:pPr>
    </w:p>
    <w:p w14:paraId="3A0D9D05" w14:textId="732C94A8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C3C7D" w:rsidRPr="00F7774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74D9758" w14:textId="460E9AC3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absence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symptomatic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during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moreover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early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occurrence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period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may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translate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strategy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evaluate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less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frequent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monitoring</w:t>
      </w:r>
      <w:r w:rsidR="00E623D1" w:rsidRPr="00F77746">
        <w:rPr>
          <w:rFonts w:ascii="Book Antiqua" w:eastAsia="Book Antiqua" w:hAnsi="Book Antiqua" w:cs="Book Antiqua"/>
          <w:color w:val="000000"/>
        </w:rPr>
        <w:t>.</w:t>
      </w:r>
    </w:p>
    <w:p w14:paraId="36B3CC3B" w14:textId="77777777" w:rsidR="00A77B3E" w:rsidRPr="00F77746" w:rsidRDefault="00A77B3E" w:rsidP="00F77746">
      <w:pPr>
        <w:spacing w:line="360" w:lineRule="auto"/>
        <w:jc w:val="both"/>
      </w:pPr>
    </w:p>
    <w:p w14:paraId="2AAED54B" w14:textId="07329CA0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C3C7D" w:rsidRPr="00F7774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0395A44" w14:textId="061EAB38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This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data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alon</w:t>
      </w:r>
      <w:r w:rsidR="004A1B9B" w:rsidRPr="00F77746">
        <w:rPr>
          <w:rFonts w:ascii="Book Antiqua" w:eastAsia="Book Antiqua" w:hAnsi="Book Antiqua" w:cs="Book Antiqua"/>
          <w:color w:val="000000"/>
        </w:rPr>
        <w:t>g</w:t>
      </w:r>
      <w:r w:rsidRPr="00F77746">
        <w:rPr>
          <w:rFonts w:ascii="Book Antiqua" w:eastAsia="Book Antiqua" w:hAnsi="Book Antiqua" w:cs="Book Antiqua"/>
          <w:color w:val="000000"/>
        </w:rPr>
        <w:t>side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similar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studies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0368">
        <w:rPr>
          <w:rFonts w:ascii="Book Antiqua" w:eastAsia="Book Antiqua" w:hAnsi="Book Antiqua" w:cs="Book Antiqua"/>
          <w:color w:val="000000"/>
        </w:rPr>
        <w:t xml:space="preserve"> 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literature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warrants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9C0368">
        <w:rPr>
          <w:rFonts w:ascii="Book Antiqua" w:eastAsia="Book Antiqua" w:hAnsi="Book Antiqua" w:cs="Book Antiqua"/>
          <w:color w:val="000000"/>
        </w:rPr>
        <w:t xml:space="preserve">a </w:t>
      </w:r>
      <w:r w:rsidRPr="00F77746">
        <w:rPr>
          <w:rFonts w:ascii="Book Antiqua" w:eastAsia="Book Antiqua" w:hAnsi="Book Antiqua" w:cs="Book Antiqua"/>
          <w:color w:val="000000"/>
        </w:rPr>
        <w:t>prospective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evaluation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de-escalation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</w:t>
      </w:r>
      <w:r w:rsidR="004A1B9B" w:rsidRPr="00F77746">
        <w:rPr>
          <w:rFonts w:ascii="Book Antiqua" w:eastAsia="Book Antiqua" w:hAnsi="Book Antiqua" w:cs="Book Antiqua"/>
          <w:color w:val="000000"/>
        </w:rPr>
        <w:t>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monitoring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selected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population.</w:t>
      </w:r>
    </w:p>
    <w:p w14:paraId="0348A924" w14:textId="77777777" w:rsidR="00A77B3E" w:rsidRPr="00F77746" w:rsidRDefault="00A77B3E" w:rsidP="00F77746">
      <w:pPr>
        <w:spacing w:line="360" w:lineRule="auto"/>
        <w:jc w:val="both"/>
      </w:pPr>
    </w:p>
    <w:p w14:paraId="158D73AB" w14:textId="77777777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olor w:val="000000"/>
        </w:rPr>
        <w:t>REFERENCES</w:t>
      </w:r>
    </w:p>
    <w:p w14:paraId="6E9B1354" w14:textId="6730CD59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1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Slamon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Leyland-Jones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Shak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Fuchs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Bajamonde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Fleming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Eiermann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Wolter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Pegram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Baselga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Norton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chemotherapy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plus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monoclonal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antibody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against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HER2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metastatic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that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overexpresses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HER2.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2001;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344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783-792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11248153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10.1056/NEJM200103153441101]</w:t>
      </w:r>
    </w:p>
    <w:p w14:paraId="4E4174CD" w14:textId="581E4D71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National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Comprehensive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Network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(nccn)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NCCN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Clinical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Practice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Guidelines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Oncology: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Ver.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1.2019.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(2019)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Washington,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NCCN.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Available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from: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https://www.nccn.org/professionals/physician_gls/pdf/breast.pdf</w:t>
      </w:r>
    </w:p>
    <w:p w14:paraId="402ABCE8" w14:textId="4E9C2047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3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Onitilo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Engel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Stankowski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RV.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Cardiovascular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associated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adjuvant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therapy: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prevalence,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characteristics,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risk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factors.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Saf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2014;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154-166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25083270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10.1177/2042098614529603]</w:t>
      </w:r>
    </w:p>
    <w:p w14:paraId="429DE15B" w14:textId="74A8CD15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4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Hudis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Trastuzumab--mechanism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action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clinical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practice.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2007;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357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39-51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17611206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10.1056/NEJMra043186]</w:t>
      </w:r>
    </w:p>
    <w:p w14:paraId="3DDB2811" w14:textId="016D8A80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5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Florescu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Cinteza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Vinereanu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Chemotherapy-induced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Maedica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(Bucur)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2013;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59-67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24023601]</w:t>
      </w:r>
    </w:p>
    <w:p w14:paraId="1B9CDD02" w14:textId="0C28E2C1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6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Yu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AF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Flynn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JR,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Moskowitz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Scott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Oeffinger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KC,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Dang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Liu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Jones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LW,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Steingart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RM.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Long-term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Cardiopulmonary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Consequences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Treatment-Induced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Survivors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ERBB2-Positive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2020;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309-317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31939997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10.1001/jamacardio.2019.5586]</w:t>
      </w:r>
    </w:p>
    <w:p w14:paraId="6BD75E7B" w14:textId="2418E27B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lastRenderedPageBreak/>
        <w:t>7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Armenian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Lacchetti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Lenihan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Prevention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Monitoring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Dysfunction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Survivors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Adult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Cancers: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American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Society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Clinical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Oncology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Clinical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Practice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Guideline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Summary.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2017;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270-275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27922796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10.1200/JOP.2016.018770]</w:t>
      </w:r>
    </w:p>
    <w:p w14:paraId="40507CD6" w14:textId="68E07B00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8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National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Institute.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Bethesda,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NCI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Dictionaries;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[cited</w:t>
      </w:r>
      <w:r w:rsidR="00735EAA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Mar</w:t>
      </w:r>
      <w:r w:rsidR="00735EAA" w:rsidRPr="00F77746">
        <w:rPr>
          <w:rFonts w:ascii="Book Antiqua" w:eastAsia="Book Antiqua" w:hAnsi="Book Antiqua" w:cs="Book Antiqua"/>
          <w:color w:val="000000"/>
        </w:rPr>
        <w:t>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29</w:t>
      </w:r>
      <w:r w:rsidR="00735EAA" w:rsidRPr="00F77746">
        <w:rPr>
          <w:rFonts w:ascii="Book Antiqua" w:eastAsia="Book Antiqua" w:hAnsi="Book Antiqua" w:cs="Book Antiqua"/>
          <w:color w:val="000000"/>
        </w:rPr>
        <w:t xml:space="preserve"> 2022</w:t>
      </w:r>
      <w:r w:rsidRPr="00F77746">
        <w:rPr>
          <w:rFonts w:ascii="Book Antiqua" w:eastAsia="Book Antiqua" w:hAnsi="Book Antiqua" w:cs="Book Antiqua"/>
          <w:color w:val="000000"/>
        </w:rPr>
        <w:t>].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Available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B447CB" w:rsidRPr="00F77746">
        <w:rPr>
          <w:rFonts w:ascii="Book Antiqua" w:eastAsia="Book Antiqua" w:hAnsi="Book Antiqua" w:cs="Book Antiqua"/>
          <w:color w:val="000000"/>
        </w:rPr>
        <w:t>from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https://www.cancer.gov/publications/dictionaries/cancer-terms/def/cardiotoxicity</w:t>
      </w:r>
    </w:p>
    <w:p w14:paraId="6AD1E3CC" w14:textId="72280A47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9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Bovelli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Plataniotis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Roila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ESMO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Guidelines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Working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Group.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chemotherapeutic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agents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radiotherapy-related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heart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disease: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ESMO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Clinical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Practice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Guidelines.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2010;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21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v277-v282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20555097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10.1093/annonc/mdq200]</w:t>
      </w:r>
      <w:r w:rsidR="005300F8" w:rsidRPr="00F77746">
        <w:rPr>
          <w:rFonts w:ascii="Book Antiqua" w:eastAsia="Book Antiqua" w:hAnsi="Book Antiqua" w:cs="Book Antiqua"/>
          <w:color w:val="000000"/>
        </w:rPr>
        <w:t>]</w:t>
      </w:r>
    </w:p>
    <w:p w14:paraId="111D02F2" w14:textId="33E47EDB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10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Zamorano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Lancellotti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Rodriguez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Muñoz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Aboyans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Asteggiano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Galderisi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Habib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Lenihan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DJ,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Lip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GY,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Lyon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Lopez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Fernandez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Mohty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Piepoli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MF,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Tamargo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Torbicki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Suter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Zamorano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JL,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Aboyans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Achenbach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Agewall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Badimon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Barón-Esquivias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Baumgartner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Bax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JJ,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Bueno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Carerj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Erol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Ç,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Fitzsimons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Gaemperli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Kirchhof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Kolh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Lancellotti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Lip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GY,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Nihoyannopoulos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Piepoli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MF,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Ponikowski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Roffi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Torbicki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Vaz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Carneiro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Windecker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Authors/Task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Members;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ESC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Committee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Practice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Guidelines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(CPG);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Document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Reviewers.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2016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ESC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Position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Paper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cardiovascular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developed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under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auspices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ESC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Committee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Practice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Guidelines: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Task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cardiovascular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European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Society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Cardiology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(ESC).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2017;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9-42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27565769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10.1002/ejhf.654]</w:t>
      </w:r>
    </w:p>
    <w:p w14:paraId="2106BEE1" w14:textId="0BE86401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11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Lang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Badano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LP,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Mor-Avi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Afilalo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Armstrong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Ernande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Flachskampf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Foster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Goldstein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Kuznetsova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Lancellotti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Muraru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Picard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MH,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Rietzschel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ER,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Rudski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Spencer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Tsang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Voigt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JU.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Recommendations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chamber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quantification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echocardiography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adults: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update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from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American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Society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Echocardiography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European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Association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Cardiovascular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Imaging.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2015;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233-270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25712077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10.1093/ehjci/jev014]</w:t>
      </w:r>
    </w:p>
    <w:p w14:paraId="1AD583B9" w14:textId="6DD27C03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lastRenderedPageBreak/>
        <w:t>12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Dolgin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Association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NYH,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Fox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AC,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Gorlin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Levin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RI,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New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York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Heart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Association.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Criteria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Committee.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Nomenclature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criteria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diagnosis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diseases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heart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great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vessels.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9th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ed.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Boston,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MA: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Lippincott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Williams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Wilkins;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1994</w:t>
      </w:r>
    </w:p>
    <w:p w14:paraId="0C2B1CB6" w14:textId="46A975FB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13</w:t>
      </w:r>
      <w:r w:rsidR="00197495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Wald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Tests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statistical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hypotheses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concerning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several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parameters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when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number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observations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large.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31F54" w:rsidRPr="00F77746">
        <w:rPr>
          <w:rFonts w:ascii="Book Antiqua" w:eastAsia="Book Antiqua" w:hAnsi="Book Antiqua" w:cs="Book Antiqua"/>
          <w:i/>
          <w:iCs/>
          <w:color w:val="000000"/>
        </w:rPr>
        <w:t>Trans Am Math Soc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6608DC" w:rsidRPr="00F77746">
        <w:rPr>
          <w:rFonts w:ascii="Book Antiqua" w:eastAsia="Book Antiqua" w:hAnsi="Book Antiqua" w:cs="Book Antiqua"/>
          <w:color w:val="000000"/>
        </w:rPr>
        <w:t xml:space="preserve">1943;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426</w:t>
      </w:r>
      <w:r w:rsidR="006E3A31" w:rsidRPr="00F77746">
        <w:rPr>
          <w:rFonts w:ascii="Book Antiqua" w:eastAsia="Book Antiqua" w:hAnsi="Book Antiqua" w:cs="Book Antiqua"/>
          <w:color w:val="000000"/>
        </w:rPr>
        <w:t>-</w:t>
      </w:r>
      <w:r w:rsidRPr="00F77746">
        <w:rPr>
          <w:rFonts w:ascii="Book Antiqua" w:eastAsia="Book Antiqua" w:hAnsi="Book Antiqua" w:cs="Book Antiqua"/>
          <w:color w:val="000000"/>
        </w:rPr>
        <w:t>482</w:t>
      </w:r>
      <w:r w:rsidR="006E3A31" w:rsidRPr="00F77746">
        <w:rPr>
          <w:rFonts w:ascii="Book Antiqua" w:eastAsia="Book Antiqua" w:hAnsi="Book Antiqua" w:cs="Book Antiqua"/>
          <w:color w:val="000000"/>
        </w:rPr>
        <w:t xml:space="preserve"> [DOI: 10.1090/S0002-9947-1943-0012401-3]</w:t>
      </w:r>
    </w:p>
    <w:p w14:paraId="6CF9370C" w14:textId="2A61C1E8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14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Miettinen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Nurminen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Comparative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analysis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two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rates.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Stat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1985;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213-226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4023479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10.1002/sim.4780040211]</w:t>
      </w:r>
    </w:p>
    <w:p w14:paraId="2FC1CBC2" w14:textId="5FB46C9E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15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R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Team.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language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environment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statistical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computing.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Foundation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Statistical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Computing,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Vienna,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Austria.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(2019).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Available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5667D6" w:rsidRPr="00F77746">
        <w:rPr>
          <w:rFonts w:ascii="Book Antiqua" w:eastAsia="Book Antiqua" w:hAnsi="Book Antiqua" w:cs="Book Antiqua"/>
          <w:color w:val="000000"/>
        </w:rPr>
        <w:t>from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https://www.Rproject.org/</w:t>
      </w:r>
    </w:p>
    <w:p w14:paraId="38B2A9D1" w14:textId="1CF85C79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16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Joensuu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Kellokumpu-Lehtinen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PL,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Bono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Alanko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Kataja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Asola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Utriainen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Kokko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Hemminki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Tarkkanen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Turpeenniemi-Hujanen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Jyrkkiö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Flander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Helle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Ingalsuo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Johansson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Jääskeläinen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Pajunen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Rauhala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Kaleva-Kerola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Salminen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Leinonen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Elomaa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Isola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FinHer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Study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Investigators.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Adjuvant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docetaxel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vinorelbine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without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2006;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354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809-820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16495393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10.1056/NEJMoa053028]</w:t>
      </w:r>
    </w:p>
    <w:p w14:paraId="392996AF" w14:textId="5E1BB267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17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Spielmann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Roché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Delozier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JL,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Romieu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Bourgeois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Extra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Serin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Kerbrat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Machiels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JP,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Lortholary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Orfeuvre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Campone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Hardy-Bessard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AC,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Coudert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Maerevoet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Piot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Kramar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Martin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AL,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Penault-Llorca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axillary-node-positive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results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FNCLCC-PACS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04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trial.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2009;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6129-6134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19917839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10.1200/JCO.2009.23.0946]</w:t>
      </w:r>
    </w:p>
    <w:p w14:paraId="0B8696A9" w14:textId="39ED9180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18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Ghosh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AK,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Banerjee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precision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medicine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imprecise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definitions.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2018;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e000774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30094034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10.1136/openhrt-2018-000774]</w:t>
      </w:r>
    </w:p>
    <w:p w14:paraId="454E9820" w14:textId="4795F568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19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Dang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CT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Yu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AF,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Jones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LW,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Liu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Steingart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Argolo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DF,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Norton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Hudis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Surveillance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Guidelines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Trastuzumab-Containing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Therapy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Early-Stage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Getting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Heart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Matter.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2016;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1030-1033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26834055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10.1200/JCO.2015.64.5515]</w:t>
      </w:r>
    </w:p>
    <w:p w14:paraId="732EEF72" w14:textId="19222A4B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lastRenderedPageBreak/>
        <w:t>20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Cote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GM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Sawyer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DB,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Chabner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ERBB2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inhibition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heart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failure.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2012;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367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2150-2153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23190227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10.1056/NEJMcibr1203156]</w:t>
      </w:r>
    </w:p>
    <w:p w14:paraId="6AA4D0DD" w14:textId="492D7E8B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21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Paula</w:t>
      </w:r>
      <w:r w:rsidR="00AE3550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BDHR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Bandeira,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LLB,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Ramos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AP,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Pinheiro</w:t>
      </w:r>
      <w:r w:rsidR="00AE3550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BLM,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Ferreira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Oliveira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Araújo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II,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Costa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PCV</w:t>
      </w:r>
      <w:r w:rsidR="00AE3550" w:rsidRPr="00F77746">
        <w:rPr>
          <w:rFonts w:ascii="Book Antiqua" w:eastAsia="Book Antiqua" w:hAnsi="Book Antiqua" w:cs="Book Antiqua"/>
          <w:color w:val="000000"/>
        </w:rPr>
        <w:t xml:space="preserve">, </w:t>
      </w:r>
      <w:r w:rsidRPr="00F77746">
        <w:rPr>
          <w:rFonts w:ascii="Book Antiqua" w:eastAsia="Book Antiqua" w:hAnsi="Book Antiqua" w:cs="Book Antiqua"/>
          <w:color w:val="000000"/>
        </w:rPr>
        <w:t>Crocamo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Contemporaneous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Screening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Options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Related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Oncological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Revista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Brasileira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Cancerologia</w:t>
      </w:r>
      <w:r w:rsidR="00340EB6" w:rsidRPr="00F77746">
        <w:rPr>
          <w:rFonts w:ascii="Book Antiqua" w:eastAsia="Book Antiqua" w:hAnsi="Book Antiqua" w:cs="Book Antiqua"/>
          <w:color w:val="000000"/>
        </w:rPr>
        <w:t xml:space="preserve"> 2019</w:t>
      </w:r>
      <w:r w:rsidR="00F07F9E" w:rsidRPr="00F77746">
        <w:rPr>
          <w:rFonts w:ascii="Book Antiqua" w:eastAsia="Book Antiqua" w:hAnsi="Book Antiqua" w:cs="Book Antiqua"/>
          <w:color w:val="000000"/>
        </w:rPr>
        <w:t>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65</w:t>
      </w:r>
      <w:r w:rsidR="00F33A4B"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07388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</w:t>
      </w:r>
      <w:r w:rsidR="00055E6D" w:rsidRPr="00F77746">
        <w:rPr>
          <w:rFonts w:ascii="Book Antiqua" w:eastAsia="Book Antiqua" w:hAnsi="Book Antiqua" w:cs="Book Antiqua"/>
          <w:color w:val="000000"/>
        </w:rPr>
        <w:t xml:space="preserve">DOI: </w:t>
      </w:r>
      <w:r w:rsidRPr="00F77746">
        <w:rPr>
          <w:rFonts w:ascii="Book Antiqua" w:eastAsia="Book Antiqua" w:hAnsi="Book Antiqua" w:cs="Book Antiqua"/>
          <w:color w:val="000000"/>
        </w:rPr>
        <w:t>10.32635/2176-9745.RBC.2019v65n3.388]</w:t>
      </w:r>
    </w:p>
    <w:p w14:paraId="4FED9037" w14:textId="305BDE50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22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Curigliano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Lenihan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Fradley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Ganatra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Barac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Blaes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Herrmann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Porter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Lyon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Lancellotti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Patel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DeCara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Mitchell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Harrison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Moslehi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Witteles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Calabro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MG,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Orecchia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Azambuja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Zamorano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JL,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Krone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Iakobishvili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Z,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Carver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Armenian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Cardinale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Cipolla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Jordan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ESMO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Guidelines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Committee.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Electronic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address: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clinicalguidelines@esmo.org.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Management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disease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throughout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oncological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treatment: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ESMO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consensus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recommendations.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2020;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171-190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31959335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10.1016/j.annonc.2019.10.023]</w:t>
      </w:r>
    </w:p>
    <w:p w14:paraId="67C27754" w14:textId="715C827E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23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K</w:t>
      </w:r>
      <w:r w:rsidR="005300F8" w:rsidRPr="00F77746">
        <w:rPr>
          <w:rFonts w:ascii="Book Antiqua" w:eastAsia="Book Antiqua" w:hAnsi="Book Antiqua" w:cs="Book Antiqua"/>
          <w:b/>
          <w:bCs/>
          <w:color w:val="000000"/>
        </w:rPr>
        <w:t xml:space="preserve">ondapalli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77746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unexpected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consequence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HER2-targeted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therapies.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2021.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F07F9E" w:rsidRPr="00F77746">
        <w:rPr>
          <w:rFonts w:ascii="Book Antiqua" w:eastAsia="Book Antiqua" w:hAnsi="Book Antiqua" w:cs="Book Antiqua"/>
          <w:color w:val="000000"/>
        </w:rPr>
        <w:t>Available from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https://www.acc.org/Latest-in-cardiology/articles/2016/06/06/09/32/cardiotoxicity</w:t>
      </w:r>
    </w:p>
    <w:p w14:paraId="2A68BA31" w14:textId="29AC6C5C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24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Moilanen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Jokimäki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Tenhunen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Koivunen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JP.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Trastuzumab-induced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risk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factors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real-world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setting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2018;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1613-1621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29872916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10.1007/s00432-018-2682-9</w:t>
      </w:r>
      <w:r w:rsidR="005300F8" w:rsidRPr="00F77746">
        <w:rPr>
          <w:rFonts w:ascii="Book Antiqua" w:eastAsia="Book Antiqua" w:hAnsi="Book Antiqua" w:cs="Book Antiqua"/>
          <w:color w:val="000000"/>
        </w:rPr>
        <w:t>]</w:t>
      </w:r>
    </w:p>
    <w:p w14:paraId="0EBBBA21" w14:textId="1987F114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25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Gong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IY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Verma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Yan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Earle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CC,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Tomlinson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Trudeau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Krahn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MD,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Krzyzanowska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MK,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Brezden-Masley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CB,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Gavura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Peacock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KK.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Long-term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cardiovascular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outcomes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overall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survival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early-stage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early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discontinuation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population-based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study.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2016;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157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535-544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27271767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10.1007/s10549-016-3823-y]</w:t>
      </w:r>
    </w:p>
    <w:p w14:paraId="52E02CAC" w14:textId="054FCC35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26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Earl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HM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Hiller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Vallier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AL,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Loi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McAdam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Hughes-Davies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Harnett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Ah-See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ML,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Simcock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Raj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Woodings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Harries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Howe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Raynes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Higgins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HB,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Wilcox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Plummer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Mansi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Gounaris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Mahler-Araujo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Provenzano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Chhabra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Abraham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Caldas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Hall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McCabe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Hulme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Miles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Wardley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Cameron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Dunn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JA;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PERSEPHONE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Steering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Committee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Trial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Investigators.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6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lastRenderedPageBreak/>
        <w:t>adjuvant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HER2-positive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early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(PERSEPHONE):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4-year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disease-free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survival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results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randomised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phase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3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non-inferiority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trial.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2019;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393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2599-2612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31178152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10.1016/S0140-6736(19)30650-6]</w:t>
      </w:r>
    </w:p>
    <w:p w14:paraId="7D1EB486" w14:textId="051F27A7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27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Pondé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NF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Lambertini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Azambuja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Twenty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years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anti-HER2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therapy-associated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ESMO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2016;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e000073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27843627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10.1136/esmoopen-2016-000073]</w:t>
      </w:r>
    </w:p>
    <w:p w14:paraId="1E00640E" w14:textId="52B7A25B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28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5300F8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L</w:t>
      </w:r>
      <w:r w:rsidR="005300F8" w:rsidRPr="00F77746">
        <w:rPr>
          <w:rFonts w:ascii="Book Antiqua" w:eastAsia="Book Antiqua" w:hAnsi="Book Antiqua" w:cs="Book Antiqua"/>
          <w:color w:val="000000"/>
        </w:rPr>
        <w:t>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Searching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Key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HER2+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Targeted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therapies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oncology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February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2017,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published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online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March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2017.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="000E4E30" w:rsidRPr="00F77746">
        <w:rPr>
          <w:rFonts w:ascii="Book Antiqua" w:eastAsia="Book Antiqua" w:hAnsi="Book Antiqua" w:cs="Book Antiqua"/>
          <w:color w:val="000000"/>
        </w:rPr>
        <w:t>Available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from</w:t>
      </w:r>
      <w:r w:rsidR="00F7645D"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https://www.targetedonc.com/publications/targeted-therapynews/2017/february-2017/searching-for-the-key-totrastuzumab-cardiotoxicityin-her2-breast-cancer</w:t>
      </w:r>
    </w:p>
    <w:p w14:paraId="100B2BCE" w14:textId="69C75027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29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DY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Park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Youn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JC,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Choi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JH,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Jung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MH,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Kim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Kim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SH,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Ryu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KH.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Development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Validation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Risk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Score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Model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Predicting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Cardiovascular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Outcomes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After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Therapy: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CHEMO-RADIAT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Score.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2021;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e021931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34369199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10.1161/JAHA.121.02193]</w:t>
      </w:r>
    </w:p>
    <w:p w14:paraId="179C3297" w14:textId="0D317B4D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30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Curigliano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Cardinale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Suter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Plataniotis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Azambuja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Sandri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Criscitiello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Goldhirsch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Cipolla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Roila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ESMO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Guidelines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Working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Group.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Cardiovascular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induced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chemotherapy,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targeted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agents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radiotherapy: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ESMO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Clinical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Practice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Guidelines.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2012;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23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vii155-vii166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22997448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10.1093/annonc/mds293]</w:t>
      </w:r>
    </w:p>
    <w:p w14:paraId="5E4D7989" w14:textId="1E6A00B1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31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Bouwer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NI</w:t>
      </w:r>
      <w:r w:rsidRPr="00F77746">
        <w:rPr>
          <w:rFonts w:ascii="Book Antiqua" w:eastAsia="Book Antiqua" w:hAnsi="Book Antiqua" w:cs="Book Antiqua"/>
          <w:color w:val="000000"/>
        </w:rPr>
        <w:t>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Steenbruggen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TG,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Rosmalen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Rier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HN,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Kitzen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JJEM,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van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Bekkum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ML,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Tije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AJT,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Jong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PC,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Drooger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JC,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Holterhues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Smorenburg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Kofflard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MJM,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Boersma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Sonke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Levin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MD,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Jager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Cardiotoxicity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during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long-term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trastuzumab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patients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HER2-positive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metastatic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who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needs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cardiac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monitoring?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Breast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C3C7D" w:rsidRPr="00F777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2021;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186</w:t>
      </w:r>
      <w:r w:rsidRPr="00F77746">
        <w:rPr>
          <w:rFonts w:ascii="Book Antiqua" w:eastAsia="Book Antiqua" w:hAnsi="Book Antiqua" w:cs="Book Antiqua"/>
          <w:color w:val="000000"/>
        </w:rPr>
        <w:t>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851-862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[PMID: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33394273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DOI: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10.1007/s10549-020-06039-w</w:t>
      </w:r>
      <w:r w:rsidR="005300F8" w:rsidRPr="00F77746">
        <w:rPr>
          <w:rFonts w:ascii="Book Antiqua" w:eastAsia="Book Antiqua" w:hAnsi="Book Antiqua" w:cs="Book Antiqua"/>
          <w:color w:val="000000"/>
        </w:rPr>
        <w:t>]</w:t>
      </w:r>
    </w:p>
    <w:p w14:paraId="03854AAD" w14:textId="77777777" w:rsidR="00A77B3E" w:rsidRDefault="00A77B3E" w:rsidP="00F77746">
      <w:pPr>
        <w:spacing w:line="360" w:lineRule="auto"/>
        <w:jc w:val="both"/>
      </w:pPr>
    </w:p>
    <w:p w14:paraId="6FC2059B" w14:textId="77777777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olor w:val="000000"/>
        </w:rPr>
        <w:t>Footnotes</w:t>
      </w:r>
    </w:p>
    <w:p w14:paraId="015E0E4A" w14:textId="5781833E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3550" w:rsidRPr="00F77746">
        <w:rPr>
          <w:rFonts w:ascii="Book Antiqua" w:eastAsia="Book Antiqua" w:hAnsi="Book Antiqua" w:cs="Book Antiqua"/>
          <w:color w:val="000000"/>
        </w:rPr>
        <w:t xml:space="preserve">This </w:t>
      </w:r>
      <w:r w:rsidRPr="00F77746">
        <w:rPr>
          <w:rFonts w:ascii="Book Antiqua" w:eastAsia="Book Antiqua" w:hAnsi="Book Antiqua" w:cs="Book Antiqua"/>
          <w:color w:val="000000"/>
        </w:rPr>
        <w:t>work</w:t>
      </w:r>
      <w:r w:rsidR="00AE3550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approved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Instituto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Nacional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</w:t>
      </w:r>
      <w:r w:rsidR="002D76B4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under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number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2.789.267.</w:t>
      </w:r>
    </w:p>
    <w:p w14:paraId="1056CD7B" w14:textId="77777777" w:rsidR="00A77B3E" w:rsidRPr="00F77746" w:rsidRDefault="00A77B3E" w:rsidP="00F77746">
      <w:pPr>
        <w:spacing w:line="360" w:lineRule="auto"/>
        <w:jc w:val="both"/>
      </w:pPr>
    </w:p>
    <w:p w14:paraId="6D159BAF" w14:textId="56F729A8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4C7A" w:rsidRPr="00F77746">
        <w:rPr>
          <w:rFonts w:ascii="Book Antiqua" w:eastAsia="Book Antiqua" w:hAnsi="Book Antiqua" w:cs="Book Antiqua"/>
          <w:color w:val="000000"/>
        </w:rPr>
        <w:t>All authors report no relevant conflict</w:t>
      </w:r>
      <w:r w:rsidR="0095527E">
        <w:rPr>
          <w:rFonts w:ascii="Book Antiqua" w:eastAsia="Book Antiqua" w:hAnsi="Book Antiqua" w:cs="Book Antiqua"/>
          <w:color w:val="000000"/>
        </w:rPr>
        <w:t>s</w:t>
      </w:r>
      <w:r w:rsidR="004E4C7A" w:rsidRPr="00F77746">
        <w:rPr>
          <w:rFonts w:ascii="Book Antiqua" w:eastAsia="Book Antiqua" w:hAnsi="Book Antiqua" w:cs="Book Antiqua"/>
          <w:color w:val="000000"/>
        </w:rPr>
        <w:t xml:space="preserve"> of interest for this article.</w:t>
      </w:r>
    </w:p>
    <w:p w14:paraId="71027029" w14:textId="77777777" w:rsidR="00A77B3E" w:rsidRPr="00F77746" w:rsidRDefault="00A77B3E" w:rsidP="00F77746">
      <w:pPr>
        <w:spacing w:line="360" w:lineRule="auto"/>
        <w:jc w:val="both"/>
      </w:pPr>
    </w:p>
    <w:p w14:paraId="0595C691" w14:textId="7C936CF0" w:rsidR="00A77B3E" w:rsidRPr="00F77746" w:rsidRDefault="001257B7" w:rsidP="00F7774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Data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shared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under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regulations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Instituto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Nacional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Cancer</w:t>
      </w:r>
      <w:r w:rsidR="00B708AE" w:rsidRPr="00F77746">
        <w:rPr>
          <w:rFonts w:ascii="Book Antiqua" w:eastAsia="Book Antiqua" w:hAnsi="Book Antiqua" w:cs="Book Antiqua"/>
          <w:color w:val="000000"/>
        </w:rPr>
        <w:t>.</w:t>
      </w:r>
    </w:p>
    <w:p w14:paraId="3EC72A06" w14:textId="77777777" w:rsidR="00666DB7" w:rsidRPr="00F77746" w:rsidRDefault="00666DB7" w:rsidP="00F77746">
      <w:pPr>
        <w:spacing w:line="360" w:lineRule="auto"/>
        <w:jc w:val="both"/>
      </w:pPr>
    </w:p>
    <w:p w14:paraId="5DEF4AEB" w14:textId="79A40550" w:rsidR="00A77B3E" w:rsidRPr="00F77746" w:rsidRDefault="00666DB7" w:rsidP="00F7774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t xml:space="preserve">STROBE statement: </w:t>
      </w:r>
      <w:r w:rsidRPr="00F77746">
        <w:rPr>
          <w:rFonts w:ascii="Book Antiqua" w:eastAsia="Book Antiqua" w:hAnsi="Book Antiqua" w:cs="Book Antiqua"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246CC5CD" w14:textId="77777777" w:rsidR="00666DB7" w:rsidRPr="00F77746" w:rsidRDefault="00666DB7" w:rsidP="00F77746">
      <w:pPr>
        <w:spacing w:line="360" w:lineRule="auto"/>
        <w:jc w:val="both"/>
      </w:pPr>
    </w:p>
    <w:p w14:paraId="4019F396" w14:textId="5100C635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C3C7D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article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open-access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article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that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selected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in-house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editor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fully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peer-reviewed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external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reviewers.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distributed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accordance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with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Creative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Commons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Attribution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NonCommercial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(CC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BY-NC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4.0)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license,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which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permits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others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to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distribute,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remix,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adapt,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build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upon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work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non-commercially,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license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their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derivative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works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different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terms,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provided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original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work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properly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cited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the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use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is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non-commercial.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See: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EA28FA5" w14:textId="77777777" w:rsidR="00A77B3E" w:rsidRPr="00F77746" w:rsidRDefault="00A77B3E" w:rsidP="00F77746">
      <w:pPr>
        <w:spacing w:line="360" w:lineRule="auto"/>
        <w:jc w:val="both"/>
      </w:pPr>
    </w:p>
    <w:p w14:paraId="7D6D71B9" w14:textId="786DE6A3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olor w:val="000000"/>
        </w:rPr>
        <w:t>Provenance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and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peer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review: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Invited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article;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Externally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peer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reviewed.</w:t>
      </w:r>
    </w:p>
    <w:p w14:paraId="6AB0BCAB" w14:textId="1287FD96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olor w:val="000000"/>
        </w:rPr>
        <w:t>Peer-review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model: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Single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blind</w:t>
      </w:r>
    </w:p>
    <w:p w14:paraId="1942CCB5" w14:textId="77777777" w:rsidR="00A77B3E" w:rsidRPr="00F77746" w:rsidRDefault="00A77B3E" w:rsidP="00F77746">
      <w:pPr>
        <w:spacing w:line="360" w:lineRule="auto"/>
        <w:jc w:val="both"/>
      </w:pPr>
    </w:p>
    <w:p w14:paraId="32B3F467" w14:textId="3B6C00DA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olor w:val="000000"/>
        </w:rPr>
        <w:t>Peer-review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started: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December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23,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2021</w:t>
      </w:r>
    </w:p>
    <w:p w14:paraId="3CB3D32F" w14:textId="6DA3459A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olor w:val="000000"/>
        </w:rPr>
        <w:t>First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decision: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February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15,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2022</w:t>
      </w:r>
    </w:p>
    <w:p w14:paraId="59B97BA7" w14:textId="3F8C0456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olor w:val="000000"/>
        </w:rPr>
        <w:t>Article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in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press: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BC99DBE" w14:textId="77777777" w:rsidR="00A77B3E" w:rsidRPr="00F77746" w:rsidRDefault="00A77B3E" w:rsidP="00F77746">
      <w:pPr>
        <w:spacing w:line="360" w:lineRule="auto"/>
        <w:jc w:val="both"/>
      </w:pPr>
    </w:p>
    <w:p w14:paraId="40B56754" w14:textId="5476DDE6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olor w:val="000000"/>
        </w:rPr>
        <w:t>Specialty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type: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Oncology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</w:p>
    <w:p w14:paraId="0A49CB2C" w14:textId="07463BC8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olor w:val="000000"/>
        </w:rPr>
        <w:t>Country/Territory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of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origin: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Brazil</w:t>
      </w:r>
    </w:p>
    <w:p w14:paraId="4C041FAA" w14:textId="68ABED58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b/>
          <w:color w:val="000000"/>
        </w:rPr>
        <w:t>Peer-review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report’s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scientific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quality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53F9DF0" w14:textId="256D0597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Grade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(Excellent):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0</w:t>
      </w:r>
    </w:p>
    <w:p w14:paraId="049AF095" w14:textId="110DD583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Grade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B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(Very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good):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0</w:t>
      </w:r>
    </w:p>
    <w:p w14:paraId="470C494A" w14:textId="7906732F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(Good):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</w:t>
      </w:r>
    </w:p>
    <w:p w14:paraId="3D646876" w14:textId="11498580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Grade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D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(Fair):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0</w:t>
      </w:r>
    </w:p>
    <w:p w14:paraId="500842C5" w14:textId="3BA37211" w:rsidR="00A77B3E" w:rsidRPr="00F77746" w:rsidRDefault="001257B7" w:rsidP="00F77746">
      <w:pPr>
        <w:spacing w:line="360" w:lineRule="auto"/>
        <w:jc w:val="both"/>
      </w:pPr>
      <w:r w:rsidRPr="00F77746">
        <w:rPr>
          <w:rFonts w:ascii="Book Antiqua" w:eastAsia="Book Antiqua" w:hAnsi="Book Antiqua" w:cs="Book Antiqua"/>
          <w:color w:val="000000"/>
        </w:rPr>
        <w:t>Grade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E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(Poor):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0</w:t>
      </w:r>
    </w:p>
    <w:p w14:paraId="67F6597A" w14:textId="77777777" w:rsidR="00A77B3E" w:rsidRPr="00F77746" w:rsidRDefault="00A77B3E" w:rsidP="00F77746">
      <w:pPr>
        <w:spacing w:line="360" w:lineRule="auto"/>
        <w:jc w:val="both"/>
      </w:pPr>
    </w:p>
    <w:p w14:paraId="70D39C52" w14:textId="313B7F9E" w:rsidR="00A77B3E" w:rsidRPr="00F77746" w:rsidRDefault="001257B7" w:rsidP="00F7774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77746">
        <w:rPr>
          <w:rFonts w:ascii="Book Antiqua" w:eastAsia="Book Antiqua" w:hAnsi="Book Antiqua" w:cs="Book Antiqua"/>
          <w:b/>
          <w:color w:val="000000"/>
        </w:rPr>
        <w:t>P-Reviewer: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Pradhan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A,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India;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Wang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Y,</w:t>
      </w:r>
      <w:r w:rsidR="009C3C7D" w:rsidRPr="00F77746">
        <w:rPr>
          <w:rFonts w:ascii="Book Antiqua" w:eastAsia="Book Antiqua" w:hAnsi="Book Antiqua" w:cs="Book Antiqua"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color w:val="000000"/>
        </w:rPr>
        <w:t>China</w:t>
      </w:r>
      <w:r w:rsidR="00866919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4043" w:rsidRPr="00F77746">
        <w:rPr>
          <w:rFonts w:ascii="Book Antiqua" w:eastAsia="Book Antiqua" w:hAnsi="Book Antiqua" w:cs="Book Antiqua"/>
          <w:b/>
          <w:color w:val="000000"/>
        </w:rPr>
        <w:t xml:space="preserve">S-Editor: </w:t>
      </w:r>
      <w:r w:rsidR="00A34043" w:rsidRPr="00F77746">
        <w:rPr>
          <w:rFonts w:ascii="Book Antiqua" w:eastAsia="Book Antiqua" w:hAnsi="Book Antiqua" w:cs="Book Antiqua"/>
          <w:bCs/>
          <w:color w:val="000000"/>
        </w:rPr>
        <w:t xml:space="preserve">Wu YXJ </w:t>
      </w:r>
      <w:r w:rsidRPr="00F77746">
        <w:rPr>
          <w:rFonts w:ascii="Book Antiqua" w:eastAsia="Book Antiqua" w:hAnsi="Book Antiqua" w:cs="Book Antiqua"/>
          <w:b/>
          <w:color w:val="000000"/>
        </w:rPr>
        <w:t>L-Editor:</w:t>
      </w:r>
      <w:r w:rsidR="00803CA2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03CA2" w:rsidRPr="00F77746">
        <w:rPr>
          <w:rFonts w:ascii="Book Antiqua" w:eastAsia="Book Antiqua" w:hAnsi="Book Antiqua" w:cs="Book Antiqua"/>
          <w:bCs/>
          <w:color w:val="000000"/>
        </w:rPr>
        <w:t>Filipodia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3537" w:rsidRPr="00F77746">
        <w:rPr>
          <w:rFonts w:ascii="Book Antiqua" w:eastAsia="Book Antiqua" w:hAnsi="Book Antiqua" w:cs="Book Antiqua"/>
          <w:bCs/>
          <w:color w:val="000000"/>
        </w:rPr>
        <w:t>A</w:t>
      </w:r>
      <w:r w:rsidR="00C33537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color w:val="000000"/>
        </w:rPr>
        <w:t>P-Editor:</w:t>
      </w:r>
      <w:r w:rsidR="009C3C7D" w:rsidRPr="00F777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B4195" w:rsidRPr="00F77746">
        <w:rPr>
          <w:rFonts w:ascii="Book Antiqua" w:eastAsia="Book Antiqua" w:hAnsi="Book Antiqua" w:cs="Book Antiqua"/>
          <w:bCs/>
          <w:color w:val="000000"/>
        </w:rPr>
        <w:t>Wu YXJ</w:t>
      </w:r>
    </w:p>
    <w:p w14:paraId="149AA28E" w14:textId="77777777" w:rsidR="00497732" w:rsidRDefault="00497732" w:rsidP="00F7774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3206F2E" w14:textId="01FFFA39" w:rsidR="00037985" w:rsidRPr="00F77746" w:rsidRDefault="00497732" w:rsidP="00F7774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77746">
        <w:rPr>
          <w:rFonts w:ascii="Book Antiqua" w:eastAsia="Book Antiqua" w:hAnsi="Book Antiqua" w:cs="Book Antiqua"/>
          <w:b/>
          <w:color w:val="000000"/>
        </w:rPr>
        <w:t>Figure Legends</w:t>
      </w:r>
    </w:p>
    <w:p w14:paraId="777BF45D" w14:textId="7DB6882B" w:rsidR="00A60748" w:rsidRPr="00F77746" w:rsidRDefault="00062FB9" w:rsidP="00F7774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F77746">
        <w:rPr>
          <w:noProof/>
        </w:rPr>
        <w:drawing>
          <wp:inline distT="0" distB="0" distL="0" distR="0" wp14:anchorId="4DFC7D37" wp14:editId="7F97CD93">
            <wp:extent cx="4686300" cy="3333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570B5" w14:textId="3DF5FBF8" w:rsidR="00A14EFE" w:rsidRDefault="00A14EFE" w:rsidP="00F7774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t>Figure 1</w:t>
      </w:r>
      <w:r w:rsidR="00C64F5B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Lef</w:t>
      </w:r>
      <w:r w:rsidR="00897D1A" w:rsidRPr="00F77746">
        <w:rPr>
          <w:rFonts w:ascii="Book Antiqua" w:eastAsia="Book Antiqua" w:hAnsi="Book Antiqua" w:cs="Book Antiqua"/>
          <w:b/>
          <w:bCs/>
          <w:color w:val="000000"/>
        </w:rPr>
        <w:t>t ventricular ejection fractio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n</w:t>
      </w:r>
      <w:r w:rsidR="00897D1A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over trastuzumab cardiotoxicity monitor</w:t>
      </w:r>
      <w:r w:rsidR="00271B57" w:rsidRPr="00F77746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Pr="00F77746">
        <w:rPr>
          <w:rFonts w:ascii="Book Antiqua" w:eastAsia="Book Antiqua" w:hAnsi="Book Antiqua" w:cs="Book Antiqua"/>
          <w:color w:val="000000"/>
        </w:rPr>
        <w:t>A</w:t>
      </w:r>
      <w:r w:rsidR="00271B57" w:rsidRPr="00F77746">
        <w:rPr>
          <w:rFonts w:ascii="Book Antiqua" w:eastAsia="Book Antiqua" w:hAnsi="Book Antiqua" w:cs="Book Antiqua"/>
          <w:color w:val="000000"/>
        </w:rPr>
        <w:t>: T</w:t>
      </w:r>
      <w:r w:rsidRPr="00F77746">
        <w:rPr>
          <w:rFonts w:ascii="Book Antiqua" w:eastAsia="Book Antiqua" w:hAnsi="Book Antiqua" w:cs="Book Antiqua"/>
          <w:color w:val="000000"/>
        </w:rPr>
        <w:t>otal sample</w:t>
      </w:r>
      <w:r w:rsidR="00271B57" w:rsidRPr="00F77746">
        <w:rPr>
          <w:rFonts w:ascii="Book Antiqua" w:eastAsia="Book Antiqua" w:hAnsi="Book Antiqua" w:cs="Book Antiqua"/>
          <w:color w:val="000000"/>
        </w:rPr>
        <w:t xml:space="preserve">; </w:t>
      </w:r>
      <w:r w:rsidRPr="00F77746">
        <w:rPr>
          <w:rFonts w:ascii="Book Antiqua" w:eastAsia="Book Antiqua" w:hAnsi="Book Antiqua" w:cs="Book Antiqua"/>
          <w:color w:val="000000"/>
        </w:rPr>
        <w:t>B</w:t>
      </w:r>
      <w:r w:rsidR="00271B57" w:rsidRPr="00F77746">
        <w:rPr>
          <w:rFonts w:ascii="Book Antiqua" w:eastAsia="Book Antiqua" w:hAnsi="Book Antiqua" w:cs="Book Antiqua"/>
          <w:color w:val="000000"/>
        </w:rPr>
        <w:t>: C</w:t>
      </w:r>
      <w:r w:rsidRPr="00F77746">
        <w:rPr>
          <w:rFonts w:ascii="Book Antiqua" w:eastAsia="Book Antiqua" w:hAnsi="Book Antiqua" w:cs="Book Antiqua"/>
          <w:color w:val="000000"/>
        </w:rPr>
        <w:t>ardiotoxicity group.</w:t>
      </w:r>
      <w:r w:rsidR="00BF3659">
        <w:rPr>
          <w:rFonts w:ascii="Book Antiqua" w:eastAsia="Book Antiqua" w:hAnsi="Book Antiqua" w:cs="Book Antiqua"/>
          <w:color w:val="000000"/>
        </w:rPr>
        <w:t xml:space="preserve"> LVEF: Left ventricular ejection fraction.</w:t>
      </w:r>
    </w:p>
    <w:p w14:paraId="20D021B4" w14:textId="77777777" w:rsidR="007C3EC1" w:rsidRPr="00F77746" w:rsidRDefault="007C3EC1" w:rsidP="00F77746">
      <w:pPr>
        <w:spacing w:line="360" w:lineRule="auto"/>
        <w:jc w:val="both"/>
        <w:rPr>
          <w:b/>
          <w:bCs/>
        </w:rPr>
      </w:pPr>
    </w:p>
    <w:p w14:paraId="6FB1B6ED" w14:textId="0DAE07C2" w:rsidR="00A14EFE" w:rsidRPr="00F77746" w:rsidRDefault="00062FB9" w:rsidP="00F77746">
      <w:pPr>
        <w:spacing w:line="360" w:lineRule="auto"/>
        <w:jc w:val="both"/>
      </w:pPr>
      <w:r w:rsidRPr="00F77746">
        <w:rPr>
          <w:noProof/>
        </w:rPr>
        <w:lastRenderedPageBreak/>
        <w:drawing>
          <wp:inline distT="0" distB="0" distL="0" distR="0" wp14:anchorId="24AD0C67" wp14:editId="1B0AF036">
            <wp:extent cx="5876925" cy="42100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3A6F3" w14:textId="52A2327D" w:rsidR="00A14EFE" w:rsidRPr="00B57AD7" w:rsidRDefault="00A14EFE" w:rsidP="00F7774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t>Figure 2</w:t>
      </w:r>
      <w:r w:rsidR="00A60748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Percentage of cardiac event over time.</w:t>
      </w:r>
      <w:r w:rsidR="007C3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3EC1">
        <w:rPr>
          <w:rFonts w:ascii="Book Antiqua" w:eastAsia="Book Antiqua" w:hAnsi="Book Antiqua" w:cs="Book Antiqua"/>
          <w:color w:val="000000"/>
        </w:rPr>
        <w:t>OR: Odds ratio; CI: Confidence interval.</w:t>
      </w:r>
    </w:p>
    <w:p w14:paraId="250EBCCA" w14:textId="77777777" w:rsidR="00A60748" w:rsidRPr="00F77746" w:rsidRDefault="00A60748" w:rsidP="00F77746">
      <w:pPr>
        <w:spacing w:line="360" w:lineRule="auto"/>
        <w:jc w:val="both"/>
        <w:rPr>
          <w:b/>
          <w:bCs/>
        </w:rPr>
      </w:pPr>
    </w:p>
    <w:p w14:paraId="29089362" w14:textId="352DBF88" w:rsidR="00497732" w:rsidRPr="00F77746" w:rsidRDefault="00497732" w:rsidP="00F77746">
      <w:pPr>
        <w:spacing w:line="360" w:lineRule="auto"/>
        <w:jc w:val="both"/>
        <w:rPr>
          <w:b/>
          <w:bCs/>
        </w:rPr>
      </w:pPr>
      <w:r w:rsidRPr="00F77746">
        <w:rPr>
          <w:rFonts w:ascii="Book Antiqua" w:eastAsia="Book Antiqua" w:hAnsi="Book Antiqua" w:cs="Book Antiqua"/>
          <w:b/>
          <w:bCs/>
          <w:color w:val="000000"/>
        </w:rPr>
        <w:t>Table 1</w:t>
      </w:r>
      <w:r w:rsidR="00A60748" w:rsidRPr="00F777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746">
        <w:rPr>
          <w:rFonts w:ascii="Book Antiqua" w:eastAsia="Book Antiqua" w:hAnsi="Book Antiqua" w:cs="Book Antiqua"/>
          <w:b/>
          <w:bCs/>
          <w:color w:val="000000"/>
        </w:rPr>
        <w:t>Patients and treatment characteristics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07"/>
        <w:gridCol w:w="2594"/>
        <w:gridCol w:w="3259"/>
      </w:tblGrid>
      <w:tr w:rsidR="00610550" w:rsidRPr="00F77746" w14:paraId="6A4D677F" w14:textId="77777777" w:rsidTr="00C9239E">
        <w:trPr>
          <w:trHeight w:val="312"/>
        </w:trPr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78F80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Variable 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8C70B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Absolute number 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78A48B" w14:textId="39541144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Percentage</w:t>
            </w:r>
          </w:p>
        </w:tc>
      </w:tr>
      <w:tr w:rsidR="00610550" w:rsidRPr="00F77746" w14:paraId="5FC5A822" w14:textId="77777777" w:rsidTr="00C9239E">
        <w:trPr>
          <w:trHeight w:val="312"/>
        </w:trPr>
        <w:tc>
          <w:tcPr>
            <w:tcW w:w="18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86ED8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Age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12A0A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685BE" w14:textId="77777777" w:rsidR="00610550" w:rsidRPr="00F77746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F77746" w14:paraId="718CF527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FFF96" w14:textId="6927432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Minim</w:t>
            </w:r>
            <w:r w:rsidR="00BF3659">
              <w:rPr>
                <w:rFonts w:ascii="Book Antiqua" w:eastAsia="DengXian" w:hAnsi="Book Antiqua" w:cs="SimSun"/>
                <w:color w:val="000000"/>
                <w:lang w:eastAsia="zh-CN"/>
              </w:rPr>
              <w:t>um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CF22A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18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2F279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610550" w:rsidRPr="00F77746" w14:paraId="0163DEC9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5DA45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Median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361B5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52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83206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610550" w:rsidRPr="00F77746" w14:paraId="50ADBA62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666E2" w14:textId="22482D20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Maxim</w:t>
            </w:r>
            <w:r w:rsidR="00BF3659">
              <w:rPr>
                <w:rFonts w:ascii="Book Antiqua" w:eastAsia="DengXian" w:hAnsi="Book Antiqua" w:cs="SimSun"/>
                <w:color w:val="000000"/>
                <w:lang w:eastAsia="zh-CN"/>
              </w:rPr>
              <w:t>um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5F034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79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CC2E6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610550" w:rsidRPr="00F77746" w14:paraId="218E0678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430B9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Body mass index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DEAFE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CFE8C" w14:textId="77777777" w:rsidR="00610550" w:rsidRPr="00F77746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F77746" w14:paraId="2C52FA35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AF99E" w14:textId="45F7E510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Minim</w:t>
            </w:r>
            <w:r w:rsidR="00BF3659">
              <w:rPr>
                <w:rFonts w:ascii="Book Antiqua" w:eastAsia="DengXian" w:hAnsi="Book Antiqua" w:cs="SimSun"/>
                <w:color w:val="000000"/>
                <w:lang w:eastAsia="zh-CN"/>
              </w:rPr>
              <w:t>um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6FBF0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14.27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C0259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610550" w:rsidRPr="00F77746" w14:paraId="357D89CA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5900F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Median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449E5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27.54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3A3BE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610550" w:rsidRPr="00F77746" w14:paraId="29C8EFC2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BD516" w14:textId="521B78BE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Maxim</w:t>
            </w:r>
            <w:r w:rsidR="00BF3659">
              <w:rPr>
                <w:rFonts w:ascii="Book Antiqua" w:eastAsia="DengXian" w:hAnsi="Book Antiqua" w:cs="SimSun"/>
                <w:color w:val="000000"/>
                <w:lang w:eastAsia="zh-CN"/>
              </w:rPr>
              <w:t>um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A8A81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50.58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044B6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610550" w:rsidRPr="00F77746" w14:paraId="1D61AB06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29FD9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Comorbidities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B0E6B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4D664" w14:textId="77777777" w:rsidR="00610550" w:rsidRPr="00F77746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F77746" w14:paraId="681C2A58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ABFD9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Hypertension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ECA4A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56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34649" w14:textId="6A4F883D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13.75</w:t>
            </w:r>
          </w:p>
        </w:tc>
      </w:tr>
      <w:tr w:rsidR="00610550" w:rsidRPr="00F77746" w14:paraId="7C0E03CD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16B48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Diabetes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D5F8E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19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79F7B" w14:textId="082A7716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4.66</w:t>
            </w:r>
          </w:p>
        </w:tc>
      </w:tr>
      <w:tr w:rsidR="00610550" w:rsidRPr="00F77746" w14:paraId="15BE6422" w14:textId="77777777" w:rsidTr="00610550">
        <w:trPr>
          <w:trHeight w:val="624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4D2AC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Lack of other comorbidities reported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2EC6B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330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4C034" w14:textId="6027422F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81.10</w:t>
            </w:r>
          </w:p>
        </w:tc>
      </w:tr>
      <w:tr w:rsidR="00610550" w:rsidRPr="00F77746" w14:paraId="43250D6A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2CA4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Menopausal status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16392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5C9A2" w14:textId="77777777" w:rsidR="00610550" w:rsidRPr="00F77746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F77746" w14:paraId="26E49798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072DF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Post-menopausal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3CD45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304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6BE6F" w14:textId="5D22F1F2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74.69</w:t>
            </w:r>
          </w:p>
        </w:tc>
      </w:tr>
      <w:tr w:rsidR="00610550" w:rsidRPr="00F77746" w14:paraId="03321486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871F2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Pre-menopausal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80E95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103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4306A" w14:textId="20A8A7D5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25.31</w:t>
            </w:r>
          </w:p>
        </w:tc>
      </w:tr>
      <w:tr w:rsidR="00610550" w:rsidRPr="00F77746" w14:paraId="43694350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A0D21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Histological subtypes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68A86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D17DD" w14:textId="77777777" w:rsidR="00610550" w:rsidRPr="00F77746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F77746" w14:paraId="073188F8" w14:textId="77777777" w:rsidTr="00610550">
        <w:trPr>
          <w:trHeight w:val="624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83F96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Invasive ductal carcinoma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C2A12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400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6C071" w14:textId="081FE9E2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98.2</w:t>
            </w:r>
            <w:r w:rsidR="005166C6"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8</w:t>
            </w:r>
          </w:p>
        </w:tc>
      </w:tr>
      <w:tr w:rsidR="00610550" w:rsidRPr="00F77746" w14:paraId="62F9A435" w14:textId="77777777" w:rsidTr="00610550">
        <w:trPr>
          <w:trHeight w:val="624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04460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Invasive lobular carcinoma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BC5C9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5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F5842" w14:textId="2BA32B61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1.22</w:t>
            </w:r>
          </w:p>
        </w:tc>
      </w:tr>
      <w:tr w:rsidR="00610550" w:rsidRPr="00F77746" w14:paraId="0B53219E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D62FE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Others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B66AA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2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E7107" w14:textId="075221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0.50</w:t>
            </w:r>
          </w:p>
        </w:tc>
      </w:tr>
      <w:tr w:rsidR="00610550" w:rsidRPr="00F77746" w14:paraId="05E08261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D587C" w14:textId="66C43E48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Clin</w:t>
            </w:r>
            <w:r w:rsidR="00A41BDF"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ical sta</w:t>
            </w: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ge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8355C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3D9A0" w14:textId="77777777" w:rsidR="00610550" w:rsidRPr="00F77746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F77746" w14:paraId="55DCA3ED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68002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I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9979D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36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A362A" w14:textId="74DA9956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8.86</w:t>
            </w:r>
          </w:p>
        </w:tc>
      </w:tr>
      <w:tr w:rsidR="00610550" w:rsidRPr="00F77746" w14:paraId="0E50AB9C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99D8F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II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E1DFD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129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13EBE" w14:textId="0139608C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31.69</w:t>
            </w:r>
          </w:p>
        </w:tc>
      </w:tr>
      <w:tr w:rsidR="00610550" w:rsidRPr="00F77746" w14:paraId="763A233F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43612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III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B256F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242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7E573" w14:textId="11398858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59.45</w:t>
            </w:r>
          </w:p>
        </w:tc>
      </w:tr>
      <w:tr w:rsidR="00610550" w:rsidRPr="00F77746" w14:paraId="2F11454F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72A1D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Chemotherapy regimen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768B0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7ECB9" w14:textId="77777777" w:rsidR="00610550" w:rsidRPr="00F77746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F77746" w14:paraId="2E164D87" w14:textId="77777777" w:rsidTr="00610550">
        <w:trPr>
          <w:trHeight w:val="624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CA1D8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Anthracycline and taxane based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9B382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381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86C79" w14:textId="67305542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93.61</w:t>
            </w:r>
          </w:p>
        </w:tc>
      </w:tr>
      <w:tr w:rsidR="00610550" w:rsidRPr="00F77746" w14:paraId="329EE968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8F947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Non-anthracycline based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FEC56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26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A8D63" w14:textId="4443C0A5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6.39</w:t>
            </w:r>
          </w:p>
        </w:tc>
      </w:tr>
      <w:tr w:rsidR="00610550" w:rsidRPr="00F77746" w14:paraId="6981FBD4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CF77A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Chemotherapy purpose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EBBBF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3940" w14:textId="77777777" w:rsidR="00610550" w:rsidRPr="00F77746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F77746" w14:paraId="7CEE2C5C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6DAF8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Neoadjuvant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B259A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204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E3FB0" w14:textId="76425F3E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50.12</w:t>
            </w:r>
          </w:p>
        </w:tc>
      </w:tr>
      <w:tr w:rsidR="00610550" w:rsidRPr="00F77746" w14:paraId="4FE9AEB2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8B510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Adjuvant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71987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203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B2D68" w14:textId="6B4CBD8A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48.88</w:t>
            </w:r>
          </w:p>
        </w:tc>
      </w:tr>
      <w:tr w:rsidR="00610550" w:rsidRPr="00F77746" w14:paraId="43E5FBFC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FBA2E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Adjuvant radiotherapy 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6568B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2F88C" w14:textId="77777777" w:rsidR="00610550" w:rsidRPr="00F77746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F77746" w14:paraId="1152311D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0C651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Yes 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4EE1C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213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F9C75" w14:textId="7A104640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52.33</w:t>
            </w:r>
          </w:p>
        </w:tc>
      </w:tr>
      <w:tr w:rsidR="00610550" w:rsidRPr="00F77746" w14:paraId="029DC7C2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2DBA3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No 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0B53C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194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5A167" w14:textId="5D63ED79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47.67</w:t>
            </w:r>
          </w:p>
        </w:tc>
      </w:tr>
      <w:tr w:rsidR="00610550" w:rsidRPr="00F77746" w14:paraId="5F2B0442" w14:textId="77777777" w:rsidTr="00610550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5210F" w14:textId="02F3FA60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Trastuzumab duration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23683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205F2" w14:textId="77777777" w:rsidR="00610550" w:rsidRPr="00F77746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F77746" w14:paraId="5762542A" w14:textId="77777777" w:rsidTr="00A41BDF">
        <w:trPr>
          <w:trHeight w:val="312"/>
        </w:trPr>
        <w:tc>
          <w:tcPr>
            <w:tcW w:w="18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04F2EAC" w14:textId="0F496AE5" w:rsidR="00610550" w:rsidRPr="00F77746" w:rsidRDefault="00BF3659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>
              <w:rPr>
                <w:rFonts w:ascii="Book Antiqua" w:eastAsia="DengXian" w:hAnsi="Book Antiqua" w:cs="SimSun"/>
                <w:color w:val="000000"/>
                <w:lang w:eastAsia="zh-CN"/>
              </w:rPr>
              <w:t>1</w:t>
            </w:r>
            <w:r w:rsidR="00A41BDF"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y</w:t>
            </w:r>
            <w:r w:rsidR="00610550"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r</w:t>
            </w:r>
          </w:p>
        </w:tc>
        <w:tc>
          <w:tcPr>
            <w:tcW w:w="138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8BE3607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395</w:t>
            </w:r>
          </w:p>
        </w:tc>
        <w:tc>
          <w:tcPr>
            <w:tcW w:w="174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42B9790" w14:textId="769E4692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97.06</w:t>
            </w:r>
          </w:p>
        </w:tc>
      </w:tr>
      <w:tr w:rsidR="00610550" w:rsidRPr="00F77746" w14:paraId="31BC63C8" w14:textId="77777777" w:rsidTr="00A41BDF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3BBD3" w14:textId="1C21E9D5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Less than </w:t>
            </w:r>
            <w:r w:rsidR="00BF3659">
              <w:rPr>
                <w:rFonts w:ascii="Book Antiqua" w:eastAsia="DengXian" w:hAnsi="Book Antiqua" w:cs="SimSun"/>
                <w:color w:val="000000"/>
                <w:lang w:eastAsia="zh-CN"/>
              </w:rPr>
              <w:t>1</w:t>
            </w: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yr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9956D" w14:textId="77777777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12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62F2B" w14:textId="31064BF2" w:rsidR="00610550" w:rsidRPr="00F77746" w:rsidRDefault="00610550" w:rsidP="00F7774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77746">
              <w:rPr>
                <w:rFonts w:ascii="Book Antiqua" w:eastAsia="DengXian" w:hAnsi="Book Antiqua" w:cs="SimSun"/>
                <w:color w:val="000000"/>
                <w:lang w:eastAsia="zh-CN"/>
              </w:rPr>
              <w:t>2.94</w:t>
            </w:r>
          </w:p>
        </w:tc>
      </w:tr>
    </w:tbl>
    <w:p w14:paraId="4C57040A" w14:textId="77777777" w:rsidR="00D76E64" w:rsidRPr="00F77746" w:rsidRDefault="00D76E64" w:rsidP="00F77746">
      <w:pPr>
        <w:spacing w:line="360" w:lineRule="auto"/>
        <w:jc w:val="both"/>
      </w:pPr>
    </w:p>
    <w:sectPr w:rsidR="00D76E64" w:rsidRPr="00F777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1BBD4" w14:textId="77777777" w:rsidR="00D50CCF" w:rsidRDefault="00D50CCF" w:rsidP="00711CBD">
      <w:r>
        <w:separator/>
      </w:r>
    </w:p>
  </w:endnote>
  <w:endnote w:type="continuationSeparator" w:id="0">
    <w:p w14:paraId="4FDD91A0" w14:textId="77777777" w:rsidR="00D50CCF" w:rsidRDefault="00D50CCF" w:rsidP="007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77D31" w14:textId="7C2C35D5" w:rsidR="00711CBD" w:rsidRPr="00C0092E" w:rsidRDefault="00711CBD" w:rsidP="00C0092E">
    <w:pPr>
      <w:pStyle w:val="Footer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 w:rsidR="00F77746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t>/</w:t>
    </w:r>
    <w:r w:rsidR="00F77746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006CCA10" w14:textId="77777777" w:rsidR="00711CBD" w:rsidRDefault="00711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38F28" w14:textId="77777777" w:rsidR="00D50CCF" w:rsidRDefault="00D50CCF" w:rsidP="00711CBD">
      <w:r>
        <w:separator/>
      </w:r>
    </w:p>
  </w:footnote>
  <w:footnote w:type="continuationSeparator" w:id="0">
    <w:p w14:paraId="244617CA" w14:textId="77777777" w:rsidR="00D50CCF" w:rsidRDefault="00D50CCF" w:rsidP="0071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B8B"/>
    <w:rsid w:val="00011127"/>
    <w:rsid w:val="00036CA1"/>
    <w:rsid w:val="00037985"/>
    <w:rsid w:val="0004115A"/>
    <w:rsid w:val="00055E6D"/>
    <w:rsid w:val="00062FB9"/>
    <w:rsid w:val="00063DC9"/>
    <w:rsid w:val="00065589"/>
    <w:rsid w:val="00072E6B"/>
    <w:rsid w:val="000B25D2"/>
    <w:rsid w:val="000C460D"/>
    <w:rsid w:val="000E4E30"/>
    <w:rsid w:val="000F2118"/>
    <w:rsid w:val="000F2980"/>
    <w:rsid w:val="001141A6"/>
    <w:rsid w:val="001257B7"/>
    <w:rsid w:val="00155B89"/>
    <w:rsid w:val="00161FD8"/>
    <w:rsid w:val="00162503"/>
    <w:rsid w:val="001833A6"/>
    <w:rsid w:val="00197495"/>
    <w:rsid w:val="001A7A58"/>
    <w:rsid w:val="001C156C"/>
    <w:rsid w:val="001E07EA"/>
    <w:rsid w:val="00217C83"/>
    <w:rsid w:val="00245E93"/>
    <w:rsid w:val="00271B57"/>
    <w:rsid w:val="00284B66"/>
    <w:rsid w:val="0029292D"/>
    <w:rsid w:val="00294F02"/>
    <w:rsid w:val="002A715F"/>
    <w:rsid w:val="002B2F0F"/>
    <w:rsid w:val="002B7474"/>
    <w:rsid w:val="002C2DDD"/>
    <w:rsid w:val="002D1CEE"/>
    <w:rsid w:val="002D47CD"/>
    <w:rsid w:val="002D76B4"/>
    <w:rsid w:val="002E1546"/>
    <w:rsid w:val="002F395E"/>
    <w:rsid w:val="002F49C7"/>
    <w:rsid w:val="00312C44"/>
    <w:rsid w:val="0032267A"/>
    <w:rsid w:val="003227A2"/>
    <w:rsid w:val="00340EB6"/>
    <w:rsid w:val="003566D5"/>
    <w:rsid w:val="00357071"/>
    <w:rsid w:val="00357A23"/>
    <w:rsid w:val="00382719"/>
    <w:rsid w:val="003C2AE6"/>
    <w:rsid w:val="003C397D"/>
    <w:rsid w:val="003C3DD1"/>
    <w:rsid w:val="003D4D18"/>
    <w:rsid w:val="003F06E5"/>
    <w:rsid w:val="003F1EA3"/>
    <w:rsid w:val="003F61C6"/>
    <w:rsid w:val="00412E3E"/>
    <w:rsid w:val="00414616"/>
    <w:rsid w:val="00426D40"/>
    <w:rsid w:val="00444FCB"/>
    <w:rsid w:val="00451BD2"/>
    <w:rsid w:val="004742DA"/>
    <w:rsid w:val="00481043"/>
    <w:rsid w:val="004901D2"/>
    <w:rsid w:val="00497732"/>
    <w:rsid w:val="00497950"/>
    <w:rsid w:val="004A1B9B"/>
    <w:rsid w:val="004C15CC"/>
    <w:rsid w:val="004C3206"/>
    <w:rsid w:val="004D31CF"/>
    <w:rsid w:val="004E36B6"/>
    <w:rsid w:val="004E4C7A"/>
    <w:rsid w:val="005165C5"/>
    <w:rsid w:val="005166C6"/>
    <w:rsid w:val="00517B56"/>
    <w:rsid w:val="005300F8"/>
    <w:rsid w:val="00535C67"/>
    <w:rsid w:val="005438F7"/>
    <w:rsid w:val="00561E06"/>
    <w:rsid w:val="00566026"/>
    <w:rsid w:val="005667D6"/>
    <w:rsid w:val="005864B9"/>
    <w:rsid w:val="005946FC"/>
    <w:rsid w:val="005A2EEB"/>
    <w:rsid w:val="005C00F4"/>
    <w:rsid w:val="005C6539"/>
    <w:rsid w:val="005D10BA"/>
    <w:rsid w:val="005D5FD1"/>
    <w:rsid w:val="005F2B73"/>
    <w:rsid w:val="006009C8"/>
    <w:rsid w:val="0060402C"/>
    <w:rsid w:val="006042EB"/>
    <w:rsid w:val="00610550"/>
    <w:rsid w:val="00626926"/>
    <w:rsid w:val="00631F54"/>
    <w:rsid w:val="00637379"/>
    <w:rsid w:val="00642577"/>
    <w:rsid w:val="00643D85"/>
    <w:rsid w:val="006449F6"/>
    <w:rsid w:val="006470E3"/>
    <w:rsid w:val="00654B0E"/>
    <w:rsid w:val="006608DC"/>
    <w:rsid w:val="00666DB7"/>
    <w:rsid w:val="00675B79"/>
    <w:rsid w:val="006941C8"/>
    <w:rsid w:val="006B5698"/>
    <w:rsid w:val="006D1A1E"/>
    <w:rsid w:val="006D77A7"/>
    <w:rsid w:val="006E3A31"/>
    <w:rsid w:val="00711CBD"/>
    <w:rsid w:val="00735EAA"/>
    <w:rsid w:val="00760887"/>
    <w:rsid w:val="00764E49"/>
    <w:rsid w:val="0078701E"/>
    <w:rsid w:val="007A2DBC"/>
    <w:rsid w:val="007A3810"/>
    <w:rsid w:val="007B043C"/>
    <w:rsid w:val="007B07A3"/>
    <w:rsid w:val="007B1F8C"/>
    <w:rsid w:val="007B7730"/>
    <w:rsid w:val="007C3EC1"/>
    <w:rsid w:val="007D1539"/>
    <w:rsid w:val="007F5472"/>
    <w:rsid w:val="007F6DCC"/>
    <w:rsid w:val="00802404"/>
    <w:rsid w:val="00803CA2"/>
    <w:rsid w:val="00824417"/>
    <w:rsid w:val="00836315"/>
    <w:rsid w:val="00840378"/>
    <w:rsid w:val="00866919"/>
    <w:rsid w:val="00897D1A"/>
    <w:rsid w:val="008A08D5"/>
    <w:rsid w:val="008E59A2"/>
    <w:rsid w:val="008F26CE"/>
    <w:rsid w:val="008F54C8"/>
    <w:rsid w:val="00917B05"/>
    <w:rsid w:val="00947E0D"/>
    <w:rsid w:val="0095527E"/>
    <w:rsid w:val="00974192"/>
    <w:rsid w:val="00974A86"/>
    <w:rsid w:val="00983F70"/>
    <w:rsid w:val="00985B7D"/>
    <w:rsid w:val="009A138D"/>
    <w:rsid w:val="009B4B21"/>
    <w:rsid w:val="009C0368"/>
    <w:rsid w:val="009C3C7D"/>
    <w:rsid w:val="009D43CF"/>
    <w:rsid w:val="009E0331"/>
    <w:rsid w:val="009F29AC"/>
    <w:rsid w:val="009F34B4"/>
    <w:rsid w:val="009F71A3"/>
    <w:rsid w:val="00A02B61"/>
    <w:rsid w:val="00A14EFE"/>
    <w:rsid w:val="00A23CAC"/>
    <w:rsid w:val="00A34043"/>
    <w:rsid w:val="00A36542"/>
    <w:rsid w:val="00A41BDF"/>
    <w:rsid w:val="00A56440"/>
    <w:rsid w:val="00A60748"/>
    <w:rsid w:val="00A77B3E"/>
    <w:rsid w:val="00AA3629"/>
    <w:rsid w:val="00AB4CB4"/>
    <w:rsid w:val="00AE3550"/>
    <w:rsid w:val="00B04A81"/>
    <w:rsid w:val="00B17CE5"/>
    <w:rsid w:val="00B268E0"/>
    <w:rsid w:val="00B325E3"/>
    <w:rsid w:val="00B3683B"/>
    <w:rsid w:val="00B447CB"/>
    <w:rsid w:val="00B46204"/>
    <w:rsid w:val="00B465C4"/>
    <w:rsid w:val="00B57AD7"/>
    <w:rsid w:val="00B66B9B"/>
    <w:rsid w:val="00B705B7"/>
    <w:rsid w:val="00B708AE"/>
    <w:rsid w:val="00B9184A"/>
    <w:rsid w:val="00B94024"/>
    <w:rsid w:val="00BA6F01"/>
    <w:rsid w:val="00BC33A1"/>
    <w:rsid w:val="00BE2270"/>
    <w:rsid w:val="00BF3659"/>
    <w:rsid w:val="00C04E97"/>
    <w:rsid w:val="00C11743"/>
    <w:rsid w:val="00C122E6"/>
    <w:rsid w:val="00C123AD"/>
    <w:rsid w:val="00C21B39"/>
    <w:rsid w:val="00C244A2"/>
    <w:rsid w:val="00C33537"/>
    <w:rsid w:val="00C343E5"/>
    <w:rsid w:val="00C605FB"/>
    <w:rsid w:val="00C64F5B"/>
    <w:rsid w:val="00C838C5"/>
    <w:rsid w:val="00C8464C"/>
    <w:rsid w:val="00C87B1B"/>
    <w:rsid w:val="00C901A7"/>
    <w:rsid w:val="00C9239E"/>
    <w:rsid w:val="00C92568"/>
    <w:rsid w:val="00CA2A55"/>
    <w:rsid w:val="00CB4195"/>
    <w:rsid w:val="00CD2B73"/>
    <w:rsid w:val="00CE1A47"/>
    <w:rsid w:val="00CF1103"/>
    <w:rsid w:val="00CF6B1F"/>
    <w:rsid w:val="00D20C04"/>
    <w:rsid w:val="00D25E36"/>
    <w:rsid w:val="00D3334E"/>
    <w:rsid w:val="00D36E8A"/>
    <w:rsid w:val="00D3759F"/>
    <w:rsid w:val="00D50CCF"/>
    <w:rsid w:val="00D63204"/>
    <w:rsid w:val="00D73334"/>
    <w:rsid w:val="00D76E64"/>
    <w:rsid w:val="00D82191"/>
    <w:rsid w:val="00D85A97"/>
    <w:rsid w:val="00DA32DC"/>
    <w:rsid w:val="00DA5BFB"/>
    <w:rsid w:val="00DB3624"/>
    <w:rsid w:val="00DC44E4"/>
    <w:rsid w:val="00DC4747"/>
    <w:rsid w:val="00DF5A63"/>
    <w:rsid w:val="00E02462"/>
    <w:rsid w:val="00E1335E"/>
    <w:rsid w:val="00E13BD2"/>
    <w:rsid w:val="00E162B0"/>
    <w:rsid w:val="00E50141"/>
    <w:rsid w:val="00E62167"/>
    <w:rsid w:val="00E623D1"/>
    <w:rsid w:val="00E655C1"/>
    <w:rsid w:val="00E67C44"/>
    <w:rsid w:val="00E8107A"/>
    <w:rsid w:val="00E84B17"/>
    <w:rsid w:val="00E85B00"/>
    <w:rsid w:val="00E876CD"/>
    <w:rsid w:val="00EC4AF0"/>
    <w:rsid w:val="00ED0FA1"/>
    <w:rsid w:val="00EE66E2"/>
    <w:rsid w:val="00EF1B20"/>
    <w:rsid w:val="00F07F9E"/>
    <w:rsid w:val="00F16761"/>
    <w:rsid w:val="00F2120E"/>
    <w:rsid w:val="00F31E70"/>
    <w:rsid w:val="00F33A4B"/>
    <w:rsid w:val="00F36D1B"/>
    <w:rsid w:val="00F630FA"/>
    <w:rsid w:val="00F666F3"/>
    <w:rsid w:val="00F7645D"/>
    <w:rsid w:val="00F77746"/>
    <w:rsid w:val="00F77AE0"/>
    <w:rsid w:val="00F87E9B"/>
    <w:rsid w:val="00FA0B03"/>
    <w:rsid w:val="00FE0CC9"/>
    <w:rsid w:val="00FE5970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A8AFB"/>
  <w15:docId w15:val="{A8C18A00-60CE-486E-8E10-50AC01F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F16761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F16761"/>
  </w:style>
  <w:style w:type="character" w:customStyle="1" w:styleId="CommentTextChar">
    <w:name w:val="Comment Text Char"/>
    <w:basedOn w:val="DefaultParagraphFont"/>
    <w:link w:val="CommentText"/>
    <w:semiHidden/>
    <w:rsid w:val="00F16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6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6761"/>
    <w:rPr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711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11CBD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711C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11CBD"/>
    <w:rPr>
      <w:sz w:val="18"/>
      <w:szCs w:val="18"/>
    </w:rPr>
  </w:style>
  <w:style w:type="paragraph" w:styleId="Revision">
    <w:name w:val="Revision"/>
    <w:hidden/>
    <w:uiPriority w:val="99"/>
    <w:semiHidden/>
    <w:rsid w:val="00C04E97"/>
    <w:rPr>
      <w:sz w:val="24"/>
      <w:szCs w:val="24"/>
    </w:rPr>
  </w:style>
  <w:style w:type="paragraph" w:styleId="BalloonText">
    <w:name w:val="Balloon Text"/>
    <w:basedOn w:val="Normal"/>
    <w:link w:val="BalloonTextChar"/>
    <w:rsid w:val="004A1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Rala de Paula, Bruno Henrique</dc:creator>
  <cp:lastModifiedBy>Microsoft Office User</cp:lastModifiedBy>
  <cp:revision>2</cp:revision>
  <dcterms:created xsi:type="dcterms:W3CDTF">2022-06-22T17:03:00Z</dcterms:created>
  <dcterms:modified xsi:type="dcterms:W3CDTF">2022-06-22T17:03:00Z</dcterms:modified>
</cp:coreProperties>
</file>