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rFonts w:ascii="Book Antiqua" w:hAnsi="Book Antiqua"/>
        </w:rPr>
      </w:pPr>
      <w:r>
        <w:rPr>
          <w:rFonts w:ascii="Book Antiqua" w:hAnsi="Book Antiqua" w:eastAsia="Book Antiqua" w:cs="Book Antiqua"/>
          <w:b/>
          <w:color w:val="000000"/>
        </w:rPr>
        <w:t xml:space="preserve">Name of Journal: </w:t>
      </w:r>
      <w:r>
        <w:rPr>
          <w:rFonts w:ascii="Book Antiqua" w:hAnsi="Book Antiqua" w:eastAsia="Book Antiqua" w:cs="Book Antiqua"/>
          <w:i/>
          <w:color w:val="000000"/>
        </w:rPr>
        <w:t>World Journal of Radiology</w:t>
      </w:r>
    </w:p>
    <w:p>
      <w:pPr>
        <w:spacing w:line="360" w:lineRule="auto"/>
        <w:jc w:val="both"/>
        <w:rPr>
          <w:rFonts w:ascii="Book Antiqua" w:hAnsi="Book Antiqua"/>
        </w:rPr>
      </w:pPr>
      <w:r>
        <w:rPr>
          <w:rFonts w:ascii="Book Antiqua" w:hAnsi="Book Antiqua" w:eastAsia="Book Antiqua" w:cs="Book Antiqua"/>
          <w:b/>
          <w:color w:val="000000"/>
        </w:rPr>
        <w:t xml:space="preserve">Manuscript NO: </w:t>
      </w:r>
      <w:r>
        <w:rPr>
          <w:rFonts w:ascii="Book Antiqua" w:hAnsi="Book Antiqua" w:eastAsia="Book Antiqua" w:cs="Book Antiqua"/>
          <w:color w:val="000000"/>
        </w:rPr>
        <w:t>75459</w:t>
      </w:r>
    </w:p>
    <w:p>
      <w:pPr>
        <w:spacing w:line="360" w:lineRule="auto"/>
        <w:jc w:val="both"/>
        <w:rPr>
          <w:rFonts w:ascii="Book Antiqua" w:hAnsi="Book Antiqua"/>
        </w:rPr>
      </w:pPr>
      <w:r>
        <w:rPr>
          <w:rFonts w:ascii="Book Antiqua" w:hAnsi="Book Antiqua" w:eastAsia="Book Antiqua" w:cs="Book Antiqua"/>
          <w:b/>
          <w:color w:val="000000"/>
        </w:rPr>
        <w:t xml:space="preserve">Manuscript Type: </w:t>
      </w:r>
      <w:r>
        <w:rPr>
          <w:rFonts w:ascii="Book Antiqua" w:hAnsi="Book Antiqua" w:eastAsia="Book Antiqua" w:cs="Book Antiqua"/>
          <w:color w:val="000000"/>
        </w:rPr>
        <w:t>ORIGINAL ARTICLE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Prospective Study</w:t>
      </w:r>
    </w:p>
    <w:p>
      <w:pPr>
        <w:spacing w:line="360" w:lineRule="auto"/>
        <w:jc w:val="both"/>
        <w:rPr>
          <w:rFonts w:ascii="Book Antiqua" w:hAnsi="Book Antiqua"/>
          <w:lang w:eastAsia="zh-CN"/>
        </w:rPr>
      </w:pPr>
      <w:r>
        <w:rPr>
          <w:rFonts w:ascii="Book Antiqua" w:hAnsi="Book Antiqua" w:eastAsia="Book Antiqua" w:cs="Book Antiqua"/>
          <w:b/>
          <w:color w:val="000000"/>
        </w:rPr>
        <w:t>Do preoperative pancreatic computed tomography attenuation index and enhancement ratio predict pancreatic fistula after pancreaticoduodenectomy</w:t>
      </w:r>
      <w:r>
        <w:rPr>
          <w:rFonts w:hint="eastAsia" w:ascii="Book Antiqua" w:hAnsi="Book Antiqua" w:cs="Book Antiqua"/>
          <w:b/>
          <w:color w:val="000000"/>
          <w:lang w:eastAsia="zh-CN"/>
        </w:rPr>
        <w: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 xml:space="preserve">Gnanasekaran S </w:t>
      </w:r>
      <w:r>
        <w:rPr>
          <w:rFonts w:ascii="Book Antiqua" w:hAnsi="Book Antiqua" w:eastAsia="Book Antiqua" w:cs="Book Antiqua"/>
          <w:i/>
          <w:iCs/>
          <w:color w:val="000000"/>
        </w:rPr>
        <w:t>et al</w:t>
      </w:r>
      <w:r>
        <w:rPr>
          <w:rFonts w:ascii="Book Antiqua" w:hAnsi="Book Antiqua" w:eastAsia="Book Antiqua" w:cs="Book Antiqua"/>
          <w:color w:val="000000"/>
        </w:rPr>
        <w:t>. CT indices and pancreatic fistula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Senthil Gnanasekaran, Satish Durgesh, Ramprakash Gurram, Raja Kalayarasan, Biju Pottakkat, M Rajeswari, Bheemanathi Hanuman Srinivas, A Ramesh, Jayaprakash Sahoo</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Senthil Gnanasekaran, Satish Durgesh, Ramprakash Gurram, Raja Kalayarasan, Biju Pottakkat, </w:t>
      </w:r>
      <w:r>
        <w:rPr>
          <w:rFonts w:ascii="Book Antiqua" w:hAnsi="Book Antiqua" w:eastAsia="Book Antiqua" w:cs="Book Antiqua"/>
          <w:bCs/>
          <w:color w:val="000000"/>
        </w:rPr>
        <w:t>Department</w:t>
      </w:r>
      <w:r>
        <w:rPr>
          <w:rFonts w:ascii="Book Antiqua" w:hAnsi="Book Antiqua" w:cs="Book Antiqua"/>
          <w:bCs/>
          <w:color w:val="000000"/>
          <w:lang w:eastAsia="zh-CN"/>
        </w:rPr>
        <w:t xml:space="preserve"> of </w:t>
      </w:r>
      <w:r>
        <w:rPr>
          <w:rFonts w:ascii="Book Antiqua" w:hAnsi="Book Antiqua" w:eastAsia="Book Antiqua" w:cs="Book Antiqua"/>
          <w:color w:val="000000"/>
        </w:rPr>
        <w:t>Surgical Gastroenterology, Jawaharlal Institute of Postgraduate Medical Education and Research, Puducherry 605006, India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M Rajeswari, </w:t>
      </w:r>
      <w:r>
        <w:rPr>
          <w:rFonts w:ascii="Book Antiqua" w:hAnsi="Book Antiqua" w:eastAsia="Book Antiqua" w:cs="Book Antiqua"/>
          <w:bCs/>
          <w:color w:val="000000"/>
        </w:rPr>
        <w:t>Department</w:t>
      </w:r>
      <w:r>
        <w:rPr>
          <w:rFonts w:ascii="Book Antiqua" w:hAnsi="Book Antiqua" w:cs="Book Antiqua"/>
          <w:bCs/>
          <w:color w:val="000000"/>
          <w:lang w:eastAsia="zh-CN"/>
        </w:rPr>
        <w:t xml:space="preserve"> of </w:t>
      </w:r>
      <w:r>
        <w:rPr>
          <w:rFonts w:ascii="Book Antiqua" w:hAnsi="Book Antiqua" w:eastAsia="Book Antiqua" w:cs="Book Antiqua"/>
          <w:color w:val="000000"/>
        </w:rPr>
        <w:t>Biostatistics, Jawaharlal Institute of Postgraduate Medical Education and Research, Puducherry 605006, India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BH Srinivas, </w:t>
      </w:r>
      <w:r>
        <w:rPr>
          <w:rFonts w:ascii="Book Antiqua" w:hAnsi="Book Antiqua" w:eastAsia="Book Antiqua" w:cs="Book Antiqua"/>
          <w:bCs/>
          <w:color w:val="000000"/>
        </w:rPr>
        <w:t>Department</w:t>
      </w:r>
      <w:r>
        <w:rPr>
          <w:rFonts w:ascii="Book Antiqua" w:hAnsi="Book Antiqua" w:cs="Book Antiqua"/>
          <w:bCs/>
          <w:color w:val="000000"/>
          <w:lang w:eastAsia="zh-CN"/>
        </w:rPr>
        <w:t xml:space="preserve"> of </w:t>
      </w:r>
      <w:r>
        <w:rPr>
          <w:rFonts w:ascii="Book Antiqua" w:hAnsi="Book Antiqua" w:eastAsia="Book Antiqua" w:cs="Book Antiqua"/>
          <w:color w:val="000000"/>
        </w:rPr>
        <w:t>Pathology, Jawaharlal Institute of Postgraduate Medical Education and Research, Puducherry 605006, India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A Ramesh, </w:t>
      </w:r>
      <w:r>
        <w:rPr>
          <w:rFonts w:ascii="Book Antiqua" w:hAnsi="Book Antiqua" w:eastAsia="Book Antiqua" w:cs="Book Antiqua"/>
          <w:bCs/>
          <w:color w:val="000000"/>
        </w:rPr>
        <w:t>Department</w:t>
      </w:r>
      <w:r>
        <w:rPr>
          <w:rFonts w:ascii="Book Antiqua" w:hAnsi="Book Antiqua" w:cs="Book Antiqua"/>
          <w:bCs/>
          <w:color w:val="000000"/>
          <w:lang w:eastAsia="zh-CN"/>
        </w:rPr>
        <w:t xml:space="preserve"> of </w:t>
      </w:r>
      <w:r>
        <w:rPr>
          <w:rFonts w:ascii="Book Antiqua" w:hAnsi="Book Antiqua" w:eastAsia="Book Antiqua" w:cs="Book Antiqua"/>
          <w:color w:val="000000"/>
        </w:rPr>
        <w:t>Radiodiagnosis, Jawaharlal Institute of Postgraduate Medical Education and Research, Puducherry 605006, India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Jayaprakash Sahoo, </w:t>
      </w:r>
      <w:r>
        <w:rPr>
          <w:rFonts w:ascii="Book Antiqua" w:hAnsi="Book Antiqua" w:eastAsia="Book Antiqua" w:cs="Book Antiqua"/>
          <w:bCs/>
          <w:color w:val="000000"/>
        </w:rPr>
        <w:t>Department</w:t>
      </w:r>
      <w:r>
        <w:rPr>
          <w:rFonts w:ascii="Book Antiqua" w:hAnsi="Book Antiqua" w:cs="Book Antiqua"/>
          <w:bCs/>
          <w:color w:val="000000"/>
          <w:lang w:eastAsia="zh-CN"/>
        </w:rPr>
        <w:t xml:space="preserve"> of </w:t>
      </w:r>
      <w:r>
        <w:rPr>
          <w:rFonts w:ascii="Book Antiqua" w:hAnsi="Book Antiqua" w:eastAsia="Book Antiqua" w:cs="Book Antiqua"/>
          <w:color w:val="000000"/>
        </w:rPr>
        <w:t>Endocrinology, Jawaharlal Institute of Postgraduate Medical Education and Research, Puducherry 605006, India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Author contributions: </w:t>
      </w:r>
      <w:r>
        <w:rPr>
          <w:rFonts w:ascii="Book Antiqua" w:hAnsi="Book Antiqua" w:eastAsia="Book Antiqua" w:cs="Book Antiqua"/>
          <w:color w:val="000000"/>
        </w:rPr>
        <w:t>Gnanasekaran S and Kalayarasan R conceptualized the study; Durgesh S and Gurram R performed the research work; Rajeswari M performed the data analysis; Srinivas BH reviewed the histopathological slides for postoperative analysis; Ramesh A performed a preoperative radiological assessment of study participants; Durgesh S and Gurram R wrote the first draft of the manuscript; Gnanasekaran S, Kalayarasan R, Pottakkat B and Sahoo J gave intellectual input and critically revised the manuscript.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Corresponding author: Raja Kalayarasan, DNB, MCh, MS, Additional Professor, </w:t>
      </w:r>
      <w:r>
        <w:rPr>
          <w:rFonts w:ascii="Book Antiqua" w:hAnsi="Book Antiqua" w:eastAsia="Book Antiqua" w:cs="Book Antiqua"/>
          <w:bCs/>
          <w:color w:val="000000"/>
        </w:rPr>
        <w:t>Department</w:t>
      </w:r>
      <w:r>
        <w:rPr>
          <w:rFonts w:ascii="Book Antiqua" w:hAnsi="Book Antiqua" w:cs="Book Antiqua"/>
          <w:bCs/>
          <w:color w:val="000000"/>
          <w:lang w:eastAsia="zh-CN"/>
        </w:rPr>
        <w:t xml:space="preserve"> of </w:t>
      </w:r>
      <w:r>
        <w:rPr>
          <w:rFonts w:ascii="Book Antiqua" w:hAnsi="Book Antiqua" w:eastAsia="Book Antiqua" w:cs="Book Antiqua"/>
          <w:color w:val="000000"/>
        </w:rPr>
        <w:t xml:space="preserve">Surgical Gastroenterology, Jawaharlal Institute of Postgraduate Medical Education and Research, Room </w:t>
      </w:r>
      <w:r>
        <w:rPr>
          <w:rFonts w:hint="eastAsia" w:ascii="Book Antiqua" w:hAnsi="Book Antiqua" w:cs="Book Antiqua"/>
          <w:color w:val="000000"/>
          <w:lang w:eastAsia="zh-CN"/>
        </w:rPr>
        <w:t>N</w:t>
      </w:r>
      <w:r>
        <w:rPr>
          <w:rFonts w:ascii="Book Antiqua" w:hAnsi="Book Antiqua" w:eastAsia="Book Antiqua" w:cs="Book Antiqua"/>
          <w:color w:val="000000"/>
        </w:rPr>
        <w:t>o. 5442, 4</w:t>
      </w:r>
      <w:r>
        <w:rPr>
          <w:rFonts w:ascii="Book Antiqua" w:hAnsi="Book Antiqua" w:eastAsia="Book Antiqua" w:cs="Book Antiqua"/>
          <w:color w:val="000000"/>
          <w:vertAlign w:val="superscript"/>
        </w:rPr>
        <w:t>th</w:t>
      </w:r>
      <w:r>
        <w:rPr>
          <w:rFonts w:ascii="Book Antiqua" w:hAnsi="Book Antiqua" w:eastAsia="Book Antiqua" w:cs="Book Antiqua"/>
          <w:color w:val="000000"/>
        </w:rPr>
        <w:t xml:space="preserve"> </w:t>
      </w:r>
      <w:r>
        <w:rPr>
          <w:rFonts w:hint="eastAsia" w:ascii="Book Antiqua" w:hAnsi="Book Antiqua" w:cs="Book Antiqua"/>
          <w:color w:val="000000"/>
          <w:lang w:eastAsia="zh-CN"/>
        </w:rPr>
        <w:t>F</w:t>
      </w:r>
      <w:r>
        <w:rPr>
          <w:rFonts w:ascii="Book Antiqua" w:hAnsi="Book Antiqua" w:eastAsia="Book Antiqua" w:cs="Book Antiqua"/>
          <w:color w:val="000000"/>
        </w:rPr>
        <w:t>loor, Super Specialty Block, Puducherry-605006, India.</w:t>
      </w:r>
      <w:r>
        <w:rPr>
          <w:rFonts w:hint="eastAsia" w:ascii="Book Antiqua" w:hAnsi="Book Antiqua" w:cs="Book Antiqua"/>
          <w:color w:val="000000"/>
          <w:lang w:eastAsia="zh-CN"/>
        </w:rPr>
        <w:t xml:space="preserve"> </w:t>
      </w:r>
      <w:r>
        <w:rPr>
          <w:rFonts w:ascii="Book Antiqua" w:hAnsi="Book Antiqua" w:eastAsia="Book Antiqua" w:cs="Book Antiqua"/>
          <w:color w:val="000000"/>
        </w:rPr>
        <w:t>kalayarasanraja@yahoo.com</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Received: </w:t>
      </w:r>
      <w:r>
        <w:rPr>
          <w:rFonts w:ascii="Book Antiqua" w:hAnsi="Book Antiqua" w:eastAsia="Book Antiqua" w:cs="Book Antiqua"/>
          <w:color w:val="000000"/>
        </w:rPr>
        <w:t>January 29, 2022</w:t>
      </w:r>
    </w:p>
    <w:p>
      <w:pPr>
        <w:spacing w:line="360" w:lineRule="auto"/>
        <w:jc w:val="both"/>
        <w:rPr>
          <w:rFonts w:ascii="Book Antiqua" w:hAnsi="Book Antiqua"/>
          <w:lang w:eastAsia="zh-CN"/>
        </w:rPr>
      </w:pPr>
      <w:r>
        <w:rPr>
          <w:rFonts w:ascii="Book Antiqua" w:hAnsi="Book Antiqua" w:eastAsia="Book Antiqua" w:cs="Book Antiqua"/>
          <w:b/>
          <w:bCs/>
          <w:color w:val="000000"/>
        </w:rPr>
        <w:t xml:space="preserve">Revised: </w:t>
      </w:r>
      <w:r>
        <w:rPr>
          <w:rFonts w:hint="eastAsia" w:ascii="Book Antiqua" w:hAnsi="Book Antiqua" w:cs="Book Antiqua"/>
          <w:bCs/>
          <w:color w:val="000000"/>
          <w:lang w:eastAsia="zh-CN"/>
        </w:rPr>
        <w:t>April 26, 2022</w:t>
      </w:r>
    </w:p>
    <w:p>
      <w:pPr>
        <w:spacing w:line="360" w:lineRule="auto"/>
        <w:jc w:val="both"/>
        <w:rPr>
          <w:rFonts w:ascii="Book Antiqua" w:hAnsi="Book Antiqua"/>
          <w:lang w:eastAsia="zh-CN"/>
        </w:rPr>
      </w:pPr>
      <w:r>
        <w:rPr>
          <w:rFonts w:ascii="Book Antiqua" w:hAnsi="Book Antiqua" w:eastAsia="Book Antiqua" w:cs="Book Antiqua"/>
          <w:b/>
          <w:bCs/>
          <w:color w:val="000000"/>
        </w:rPr>
        <w:t>Accepted:</w:t>
      </w:r>
      <w:r>
        <w:rPr>
          <w:rFonts w:ascii="Book Antiqua" w:hAnsi="Book Antiqua" w:eastAsia="Book Antiqua" w:cs="Book Antiqua"/>
          <w:bCs/>
          <w:color w:val="000000"/>
        </w:rPr>
        <w:t xml:space="preserve"> </w:t>
      </w:r>
      <w:bookmarkStart w:id="0" w:name="OLE_LINK1"/>
      <w:r>
        <w:rPr>
          <w:rFonts w:ascii="Book Antiqua" w:hAnsi="Book Antiqua" w:eastAsia="Book Antiqua" w:cs="Book Antiqua"/>
          <w:bCs/>
          <w:color w:val="000000"/>
        </w:rPr>
        <w:t>June 20, 2022</w:t>
      </w:r>
      <w:bookmarkEnd w:id="0"/>
    </w:p>
    <w:p>
      <w:pPr>
        <w:spacing w:line="360" w:lineRule="auto"/>
        <w:jc w:val="both"/>
        <w:rPr>
          <w:rFonts w:ascii="Book Antiqua" w:hAnsi="Book Antiqua"/>
          <w:lang w:eastAsia="zh-CN"/>
        </w:rPr>
      </w:pPr>
      <w:r>
        <w:rPr>
          <w:rFonts w:ascii="Book Antiqua" w:hAnsi="Book Antiqua" w:eastAsia="Book Antiqua" w:cs="Book Antiqua"/>
          <w:b/>
          <w:bCs/>
          <w:color w:val="000000"/>
        </w:rPr>
        <w:t xml:space="preserve">Published online: </w:t>
      </w:r>
      <w:r>
        <w:rPr>
          <w:rFonts w:hint="eastAsia" w:ascii="Book Antiqua" w:hAnsi="Book Antiqua" w:eastAsia="Book Antiqua" w:cs="Book Antiqua"/>
          <w:b w:val="0"/>
          <w:bCs w:val="0"/>
          <w:color w:val="000000"/>
        </w:rPr>
        <w:t>June 28,</w:t>
      </w:r>
      <w:r>
        <w:rPr>
          <w:rFonts w:hint="eastAsia" w:ascii="Book Antiqua" w:hAnsi="Book Antiqua" w:eastAsia="宋体" w:cs="Book Antiqua"/>
          <w:b w:val="0"/>
          <w:bCs w:val="0"/>
          <w:color w:val="000000"/>
          <w:lang w:val="en-US" w:eastAsia="zh-CN"/>
        </w:rPr>
        <w:t xml:space="preserve"> </w:t>
      </w:r>
      <w:r>
        <w:rPr>
          <w:rFonts w:hint="eastAsia" w:ascii="Book Antiqua" w:hAnsi="Book Antiqua" w:eastAsia="Book Antiqua" w:cs="Book Antiqua"/>
          <w:b w:val="0"/>
          <w:bCs w:val="0"/>
          <w:color w:val="000000"/>
        </w:rPr>
        <w:t>2022</w:t>
      </w:r>
    </w:p>
    <w:p>
      <w:pPr>
        <w:spacing w:line="360" w:lineRule="auto"/>
        <w:jc w:val="both"/>
        <w:rPr>
          <w:rFonts w:ascii="Book Antiqua" w:hAnsi="Book Antiqua"/>
        </w:rPr>
      </w:pPr>
    </w:p>
    <w:p>
      <w:pPr>
        <w:spacing w:line="360" w:lineRule="auto"/>
        <w:jc w:val="both"/>
        <w:rPr>
          <w:rFonts w:ascii="Book Antiqua" w:hAnsi="Book Antiqua"/>
        </w:rPr>
        <w:sectPr>
          <w:footerReference r:id="rId3" w:type="default"/>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Abstract</w:t>
      </w:r>
    </w:p>
    <w:p>
      <w:pPr>
        <w:spacing w:line="360" w:lineRule="auto"/>
        <w:jc w:val="both"/>
        <w:rPr>
          <w:rFonts w:ascii="Book Antiqua" w:hAnsi="Book Antiqua"/>
        </w:rPr>
      </w:pPr>
      <w:r>
        <w:rPr>
          <w:rFonts w:ascii="Book Antiqua" w:hAnsi="Book Antiqua" w:eastAsia="Book Antiqua" w:cs="Book Antiqua"/>
          <w:color w:val="000000"/>
        </w:rPr>
        <w:t>BACKGROUND</w:t>
      </w:r>
    </w:p>
    <w:p>
      <w:pPr>
        <w:spacing w:line="360" w:lineRule="auto"/>
        <w:jc w:val="both"/>
        <w:rPr>
          <w:rFonts w:ascii="Book Antiqua" w:hAnsi="Book Antiqua"/>
        </w:rPr>
      </w:pPr>
      <w:r>
        <w:rPr>
          <w:rStyle w:val="10"/>
          <w:rFonts w:ascii="Book Antiqua" w:hAnsi="Book Antiqua" w:eastAsia="Book Antiqua" w:cs="Book Antiqua"/>
          <w:color w:val="000000"/>
        </w:rPr>
        <w:t xml:space="preserve">The commonly used </w:t>
      </w:r>
      <w:r>
        <w:rPr>
          <w:rFonts w:ascii="Book Antiqua" w:hAnsi="Book Antiqua" w:eastAsia="Book Antiqua" w:cs="Book Antiqua"/>
          <w:color w:val="000000"/>
          <w:shd w:val="clear" w:color="auto" w:fill="FFFFFF"/>
        </w:rPr>
        <w:t xml:space="preserve">predictors of </w:t>
      </w:r>
      <w:r>
        <w:rPr>
          <w:rStyle w:val="10"/>
          <w:rFonts w:ascii="Book Antiqua" w:hAnsi="Book Antiqua" w:eastAsia="Book Antiqua" w:cs="Book Antiqua"/>
          <w:color w:val="000000"/>
        </w:rPr>
        <w:t xml:space="preserve">clinically relevant postoperative pancreatic fistula (CR-POPF) </w:t>
      </w:r>
      <w:r>
        <w:rPr>
          <w:rFonts w:ascii="Book Antiqua" w:hAnsi="Book Antiqua" w:eastAsia="Book Antiqua" w:cs="Book Antiqua"/>
          <w:color w:val="000000"/>
          <w:shd w:val="clear" w:color="auto" w:fill="FFFFFF"/>
        </w:rPr>
        <w:t xml:space="preserve">following </w:t>
      </w:r>
      <w:r>
        <w:rPr>
          <w:rStyle w:val="10"/>
          <w:rFonts w:ascii="Book Antiqua" w:hAnsi="Book Antiqua" w:eastAsia="Book Antiqua" w:cs="Book Antiqua"/>
          <w:color w:val="000000"/>
        </w:rPr>
        <w:t xml:space="preserve">pancreaticoduodenectomy (PD) have subjective assessment components and can be used only in the postoperative setting. Also, the available objective predictors based on preoperative cross-sectional imaging were not prospectively studied.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AIM</w:t>
      </w:r>
    </w:p>
    <w:p>
      <w:pPr>
        <w:spacing w:line="360" w:lineRule="auto"/>
        <w:jc w:val="both"/>
        <w:rPr>
          <w:rFonts w:ascii="Book Antiqua" w:hAnsi="Book Antiqua"/>
        </w:rPr>
      </w:pPr>
      <w:r>
        <w:rPr>
          <w:rStyle w:val="10"/>
          <w:rFonts w:ascii="Book Antiqua" w:hAnsi="Book Antiqua" w:eastAsia="Book Antiqua" w:cs="Book Antiqua"/>
          <w:color w:val="000000"/>
        </w:rPr>
        <w:t xml:space="preserve">To evaluate the accuracy of the pancreatic attenuation index (PAI) and pancreatic enhancement ratio (PER) for predicting CR-POPF following PD and its correlation with pancreatic fat fraction and fibrosis.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METHODS</w:t>
      </w:r>
    </w:p>
    <w:p>
      <w:pPr>
        <w:spacing w:line="360" w:lineRule="auto"/>
        <w:jc w:val="both"/>
        <w:rPr>
          <w:rFonts w:ascii="Book Antiqua" w:hAnsi="Book Antiqua"/>
        </w:rPr>
      </w:pPr>
      <w:r>
        <w:rPr>
          <w:rStyle w:val="10"/>
          <w:rFonts w:ascii="Book Antiqua" w:hAnsi="Book Antiqua" w:eastAsia="Book Antiqua" w:cs="Book Antiqua"/>
          <w:color w:val="000000"/>
        </w:rPr>
        <w:t xml:space="preserve">A prospective observational study included patients who underwent PD for benign and malignant pathology of the periampullary region or pancreatic head between February 2019 and February 2021. Patients undergoing extended or total pancreatectomy and those with severe atrophy of pancreatic tissue or extensive parenchymal calcifications in the pancreatic head and neck precluding calculation of PAI and PER were excluded from the study. Preoperatively PAI was measured in the neck of the pancreas by marking regions of interest (ROI) in the non-contrast computed tomography (CT), and PER was measured during the contrast phase of the CT abdomen. Also, the fibrosis score and fat fraction of the pancreatic neck were assessed during the histopathological examination. Demographic, clinical and preoperative radiological indices (PAI, PER) were evaluated to predict CR-POPF. Preoperative pancreatic neck CT indices were correlated with the histopathological assessment of fat fraction and fibrosis.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RESULTS</w:t>
      </w:r>
    </w:p>
    <w:p>
      <w:pPr>
        <w:spacing w:line="360" w:lineRule="auto"/>
        <w:jc w:val="both"/>
        <w:rPr>
          <w:rFonts w:ascii="Book Antiqua" w:hAnsi="Book Antiqua"/>
        </w:rPr>
      </w:pPr>
      <w:r>
        <w:rPr>
          <w:rStyle w:val="10"/>
          <w:rFonts w:ascii="Book Antiqua" w:hAnsi="Book Antiqua" w:eastAsia="Book Antiqua" w:cs="Book Antiqua"/>
          <w:color w:val="000000"/>
        </w:rPr>
        <w:t>Of the 70 patients who underwent PD, 61 patients fulfilling the inclusion criteria were included in the analysis. The incidence of CR-POPF was 29.5% (18/61). PAI had no association with the development of CR-POPF. Of the preoperative parameters, PER (mean</w:t>
      </w:r>
      <w:r>
        <w:rPr>
          <w:rStyle w:val="10"/>
          <w:rFonts w:hint="eastAsia" w:ascii="Book Antiqua" w:hAnsi="Book Antiqua" w:cs="Book Antiqua"/>
          <w:color w:val="000000"/>
          <w:lang w:eastAsia="zh-CN"/>
        </w:rPr>
        <w:t xml:space="preserve"> </w:t>
      </w:r>
      <w:r>
        <w:rPr>
          <w:rStyle w:val="10"/>
          <w:rFonts w:ascii="Book Antiqua" w:hAnsi="Book Antiqua" w:eastAsia="Book Antiqua" w:cs="Book Antiqua"/>
          <w:color w:val="000000"/>
        </w:rPr>
        <w:t>±</w:t>
      </w:r>
      <w:r>
        <w:rPr>
          <w:rStyle w:val="10"/>
          <w:rFonts w:hint="eastAsia" w:ascii="Book Antiqua" w:hAnsi="Book Antiqua" w:cs="Book Antiqua"/>
          <w:color w:val="000000"/>
          <w:lang w:eastAsia="zh-CN"/>
        </w:rPr>
        <w:t xml:space="preserve"> </w:t>
      </w:r>
      <w:r>
        <w:rPr>
          <w:rStyle w:val="10"/>
          <w:rFonts w:ascii="Book Antiqua" w:hAnsi="Book Antiqua" w:eastAsia="Book Antiqua" w:cs="Book Antiqua"/>
          <w:color w:val="000000"/>
        </w:rPr>
        <w:t>standard deviation [SD]) was significantly lower in patients developing CR-POPF (0.58 ± 0.20</w:t>
      </w:r>
      <w:r>
        <w:rPr>
          <w:rStyle w:val="10"/>
          <w:rFonts w:ascii="Book Antiqua" w:hAnsi="Book Antiqua" w:eastAsia="Book Antiqua" w:cs="Book Antiqua"/>
          <w:i/>
          <w:color w:val="000000"/>
        </w:rPr>
        <w:t xml:space="preserve"> vs </w:t>
      </w:r>
      <w:r>
        <w:rPr>
          <w:rStyle w:val="10"/>
          <w:rFonts w:ascii="Book Antiqua" w:hAnsi="Book Antiqua" w:eastAsia="Book Antiqua" w:cs="Book Antiqua"/>
          <w:color w:val="000000"/>
        </w:rPr>
        <w:t xml:space="preserve">0.81 ± 0.44, </w:t>
      </w:r>
      <w:r>
        <w:rPr>
          <w:rStyle w:val="10"/>
          <w:rFonts w:ascii="Book Antiqua" w:hAnsi="Book Antiqua" w:eastAsia="Book Antiqua" w:cs="Book Antiqua"/>
          <w:i/>
          <w:iCs/>
          <w:color w:val="000000"/>
        </w:rPr>
        <w:t>P</w:t>
      </w:r>
      <w:r>
        <w:rPr>
          <w:rStyle w:val="10"/>
          <w:rFonts w:ascii="Book Antiqua" w:hAnsi="Book Antiqua" w:eastAsia="Book Antiqua" w:cs="Book Antiqua"/>
          <w:color w:val="000000"/>
        </w:rPr>
        <w:t xml:space="preserve"> = 0.006). </w:t>
      </w:r>
      <w:r>
        <w:rPr>
          <w:rFonts w:ascii="Book Antiqua" w:hAnsi="Book Antiqua" w:eastAsia="Book Antiqua" w:cs="Book Antiqua"/>
          <w:color w:val="000000"/>
        </w:rPr>
        <w:t xml:space="preserve">The area under the curve for the PER was </w:t>
      </w:r>
      <w:r>
        <w:rPr>
          <w:rFonts w:hint="eastAsia" w:ascii="Book Antiqua" w:hAnsi="Book Antiqua" w:cs="Book Antiqua"/>
          <w:color w:val="000000"/>
          <w:lang w:eastAsia="zh-CN"/>
        </w:rPr>
        <w:t>0</w:t>
      </w:r>
      <w:r>
        <w:rPr>
          <w:rFonts w:ascii="Book Antiqua" w:hAnsi="Book Antiqua" w:eastAsia="Book Antiqua" w:cs="Book Antiqua"/>
          <w:color w:val="000000"/>
        </w:rPr>
        <w:t>.</w:t>
      </w:r>
      <w:r>
        <w:rPr>
          <w:rStyle w:val="10"/>
          <w:rFonts w:ascii="Book Antiqua" w:hAnsi="Book Antiqua" w:eastAsia="Book Antiqua" w:cs="Book Antiqua"/>
          <w:color w:val="000000"/>
        </w:rPr>
        <w:t xml:space="preserve">661 (95%CI: </w:t>
      </w:r>
      <w:r>
        <w:rPr>
          <w:rStyle w:val="10"/>
          <w:rFonts w:hint="eastAsia" w:ascii="Book Antiqua" w:hAnsi="Book Antiqua" w:cs="Book Antiqua"/>
          <w:color w:val="000000"/>
          <w:lang w:eastAsia="zh-CN"/>
        </w:rPr>
        <w:t>0</w:t>
      </w:r>
      <w:r>
        <w:rPr>
          <w:rStyle w:val="10"/>
          <w:rFonts w:ascii="Book Antiqua" w:hAnsi="Book Antiqua" w:eastAsia="Book Antiqua" w:cs="Book Antiqua"/>
          <w:color w:val="000000"/>
        </w:rPr>
        <w:t>.517-</w:t>
      </w:r>
      <w:r>
        <w:rPr>
          <w:rStyle w:val="10"/>
          <w:rFonts w:hint="eastAsia" w:ascii="Book Antiqua" w:hAnsi="Book Antiqua" w:cs="Book Antiqua"/>
          <w:color w:val="000000"/>
          <w:lang w:eastAsia="zh-CN"/>
        </w:rPr>
        <w:t>0</w:t>
      </w:r>
      <w:r>
        <w:rPr>
          <w:rStyle w:val="10"/>
          <w:rFonts w:ascii="Book Antiqua" w:hAnsi="Book Antiqua" w:eastAsia="Book Antiqua" w:cs="Book Antiqua"/>
          <w:color w:val="000000"/>
        </w:rPr>
        <w:t>.804)</w:t>
      </w:r>
      <w:r>
        <w:rPr>
          <w:rFonts w:ascii="Book Antiqua" w:hAnsi="Book Antiqua" w:eastAsia="Book Antiqua" w:cs="Book Antiqua"/>
          <w:color w:val="000000"/>
        </w:rPr>
        <w:t>, which was significant (</w:t>
      </w:r>
      <w:r>
        <w:rPr>
          <w:rStyle w:val="10"/>
          <w:rFonts w:ascii="Book Antiqua" w:hAnsi="Book Antiqua" w:eastAsia="Book Antiqua" w:cs="Book Antiqua"/>
          <w:i/>
          <w:color w:val="000000"/>
        </w:rPr>
        <w:t xml:space="preserve">P = </w:t>
      </w:r>
      <w:r>
        <w:rPr>
          <w:rStyle w:val="10"/>
          <w:rFonts w:ascii="Book Antiqua" w:hAnsi="Book Antiqua" w:eastAsia="Book Antiqua" w:cs="Book Antiqua"/>
          <w:color w:val="000000"/>
        </w:rPr>
        <w:t>0.049</w:t>
      </w:r>
      <w:r>
        <w:rPr>
          <w:rFonts w:ascii="Book Antiqua" w:hAnsi="Book Antiqua" w:eastAsia="Book Antiqua" w:cs="Book Antiqua"/>
          <w:color w:val="000000"/>
        </w:rPr>
        <w:t xml:space="preserve">). </w:t>
      </w:r>
      <w:r>
        <w:rPr>
          <w:rStyle w:val="10"/>
          <w:rFonts w:ascii="Book Antiqua" w:hAnsi="Book Antiqua" w:eastAsia="Book Antiqua" w:cs="Book Antiqua"/>
          <w:color w:val="000000"/>
        </w:rPr>
        <w:t xml:space="preserve">PER cut-off of 0.673 predicts CR-POPF with 77.8% sensitivity and 55.8% specificity. PAI and PER had a weak negative correlation (Strength-0.26, </w:t>
      </w:r>
      <w:r>
        <w:rPr>
          <w:rStyle w:val="10"/>
          <w:rFonts w:ascii="Book Antiqua" w:hAnsi="Book Antiqua" w:eastAsia="Book Antiqua" w:cs="Book Antiqua"/>
          <w:i/>
          <w:iCs/>
          <w:color w:val="000000"/>
        </w:rPr>
        <w:t>P</w:t>
      </w:r>
      <w:r>
        <w:rPr>
          <w:rStyle w:val="10"/>
          <w:rFonts w:ascii="Book Antiqua" w:hAnsi="Book Antiqua" w:eastAsia="Book Antiqua" w:cs="Book Antiqua"/>
          <w:color w:val="000000"/>
        </w:rPr>
        <w:t xml:space="preserve"> = 0.037). Also, PER showed a moderately positive correlation with fibrosis (Strength 0.50, </w:t>
      </w:r>
      <w:r>
        <w:rPr>
          <w:rStyle w:val="10"/>
          <w:rFonts w:ascii="Book Antiqua" w:hAnsi="Book Antiqua" w:eastAsia="Book Antiqua" w:cs="Book Antiqua"/>
          <w:i/>
          <w:color w:val="000000"/>
        </w:rPr>
        <w:t xml:space="preserve">P &lt; </w:t>
      </w:r>
      <w:r>
        <w:rPr>
          <w:rStyle w:val="10"/>
          <w:rFonts w:ascii="Book Antiqua" w:hAnsi="Book Antiqua" w:eastAsia="Book Antiqua" w:cs="Book Antiqua"/>
          <w:color w:val="000000"/>
        </w:rPr>
        <w:t>0.001). Patients with CR-POPF had a significantly higher incidence of the intraabdominal abscess (50%</w:t>
      </w:r>
      <w:r>
        <w:rPr>
          <w:rStyle w:val="10"/>
          <w:rFonts w:ascii="Book Antiqua" w:hAnsi="Book Antiqua" w:eastAsia="Book Antiqua" w:cs="Book Antiqua"/>
          <w:i/>
          <w:color w:val="000000"/>
        </w:rPr>
        <w:t xml:space="preserve"> vs </w:t>
      </w:r>
      <w:r>
        <w:rPr>
          <w:rStyle w:val="10"/>
          <w:rFonts w:ascii="Book Antiqua" w:hAnsi="Book Antiqua" w:eastAsia="Book Antiqua" w:cs="Book Antiqua"/>
          <w:color w:val="000000"/>
        </w:rPr>
        <w:t xml:space="preserve">2.3%, </w:t>
      </w:r>
      <w:r>
        <w:rPr>
          <w:rStyle w:val="10"/>
          <w:rFonts w:ascii="Book Antiqua" w:hAnsi="Book Antiqua" w:eastAsia="Book Antiqua" w:cs="Book Antiqua"/>
          <w:i/>
          <w:color w:val="000000"/>
        </w:rPr>
        <w:t xml:space="preserve">P &lt; </w:t>
      </w:r>
      <w:r>
        <w:rPr>
          <w:rStyle w:val="10"/>
          <w:rFonts w:ascii="Book Antiqua" w:hAnsi="Book Antiqua" w:eastAsia="Book Antiqua" w:cs="Book Antiqua"/>
          <w:color w:val="000000"/>
        </w:rPr>
        <w:t>0.001), delayed gastric emptying (83.3%</w:t>
      </w:r>
      <w:r>
        <w:rPr>
          <w:rStyle w:val="10"/>
          <w:rFonts w:ascii="Book Antiqua" w:hAnsi="Book Antiqua" w:eastAsia="Book Antiqua" w:cs="Book Antiqua"/>
          <w:i/>
          <w:color w:val="000000"/>
        </w:rPr>
        <w:t xml:space="preserve"> vs </w:t>
      </w:r>
      <w:r>
        <w:rPr>
          <w:rStyle w:val="10"/>
          <w:rFonts w:ascii="Book Antiqua" w:hAnsi="Book Antiqua" w:eastAsia="Book Antiqua" w:cs="Book Antiqua"/>
          <w:color w:val="000000"/>
        </w:rPr>
        <w:t xml:space="preserve">30.2, </w:t>
      </w:r>
      <w:r>
        <w:rPr>
          <w:rStyle w:val="10"/>
          <w:rFonts w:ascii="Book Antiqua" w:hAnsi="Book Antiqua" w:eastAsia="Book Antiqua" w:cs="Book Antiqua"/>
          <w:i/>
          <w:color w:val="000000"/>
        </w:rPr>
        <w:t xml:space="preserve">P &lt; </w:t>
      </w:r>
      <w:r>
        <w:rPr>
          <w:rStyle w:val="10"/>
          <w:rFonts w:ascii="Book Antiqua" w:hAnsi="Book Antiqua" w:eastAsia="Book Antiqua" w:cs="Book Antiqua"/>
          <w:color w:val="000000"/>
        </w:rPr>
        <w:t>0.001), and prolonged mean (± SD) postoperative hospital stay (26.8 ± 13.9</w:t>
      </w:r>
      <w:r>
        <w:rPr>
          <w:rStyle w:val="10"/>
          <w:rFonts w:ascii="Book Antiqua" w:hAnsi="Book Antiqua" w:eastAsia="Book Antiqua" w:cs="Book Antiqua"/>
          <w:i/>
          <w:color w:val="000000"/>
        </w:rPr>
        <w:t xml:space="preserve"> vs </w:t>
      </w:r>
      <w:r>
        <w:rPr>
          <w:rStyle w:val="10"/>
          <w:rFonts w:ascii="Book Antiqua" w:hAnsi="Book Antiqua" w:eastAsia="Book Antiqua" w:cs="Book Antiqua"/>
          <w:color w:val="000000"/>
        </w:rPr>
        <w:t xml:space="preserve">9.6 ± 3.6, </w:t>
      </w:r>
      <w:r>
        <w:rPr>
          <w:rStyle w:val="10"/>
          <w:rFonts w:ascii="Book Antiqua" w:hAnsi="Book Antiqua" w:eastAsia="Book Antiqua" w:cs="Book Antiqua"/>
          <w:i/>
          <w:iCs/>
          <w:color w:val="000000"/>
        </w:rPr>
        <w:t>P</w:t>
      </w:r>
      <w:r>
        <w:rPr>
          <w:rStyle w:val="10"/>
          <w:rFonts w:ascii="Book Antiqua" w:hAnsi="Book Antiqua" w:eastAsia="Book Antiqua" w:cs="Book Antiqua"/>
          <w:color w:val="000000"/>
        </w:rPr>
        <w:t xml:space="preserve"> = 0.001).</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CONCLUSION</w:t>
      </w:r>
    </w:p>
    <w:p>
      <w:pPr>
        <w:spacing w:line="360" w:lineRule="auto"/>
        <w:jc w:val="both"/>
        <w:rPr>
          <w:rFonts w:ascii="Book Antiqua" w:hAnsi="Book Antiqua"/>
        </w:rPr>
      </w:pPr>
      <w:r>
        <w:rPr>
          <w:rStyle w:val="10"/>
          <w:rFonts w:ascii="Book Antiqua" w:hAnsi="Book Antiqua" w:eastAsia="Book Antiqua" w:cs="Book Antiqua"/>
          <w:color w:val="000000"/>
        </w:rPr>
        <w:t xml:space="preserve">PER exhibited good accuracy in predicting the development of CR-POPF. PER additionally showed a good correlation with PAI and fibrosis scores and may be used as an objective preoperative surrogate for assessing pancreatic texture. However, ROI-based PAI did not show any association with CR-POPF and pancreatic fat fraction.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Key Words: </w:t>
      </w:r>
      <w:r>
        <w:rPr>
          <w:rFonts w:ascii="Book Antiqua" w:hAnsi="Book Antiqua" w:eastAsia="Book Antiqua" w:cs="Book Antiqua"/>
          <w:color w:val="000000"/>
        </w:rPr>
        <w:t>Pancreatic fistula; Minimally invasive; Pancreaticoduodenectomy; Pancreatic cancer; Neoplasms; Computed tomography</w:t>
      </w:r>
    </w:p>
    <w:p>
      <w:pPr>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2</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spacing w:line="360" w:lineRule="auto"/>
        <w:jc w:val="both"/>
        <w:rPr>
          <w:rFonts w:ascii="Book Antiqua" w:hAnsi="Book Antiqua"/>
        </w:rPr>
      </w:pPr>
    </w:p>
    <w:p>
      <w:pPr>
        <w:spacing w:line="360" w:lineRule="auto"/>
        <w:jc w:val="both"/>
        <w:rPr>
          <w:rFonts w:hint="eastAsia" w:ascii="Book Antiqua" w:hAnsi="Book Antiqua" w:eastAsia="Book Antiqua" w:cs="Book Antiqua"/>
          <w:b w:val="0"/>
          <w:bCs w:val="0"/>
          <w:color w:val="000000"/>
        </w:rPr>
      </w:pPr>
      <w:r>
        <w:rPr>
          <w:rFonts w:hint="eastAsia" w:ascii="Book Antiqua" w:hAnsi="Book Antiqua" w:eastAsia="宋体" w:cs="Book Antiqua"/>
          <w:b/>
          <w:bCs/>
          <w:color w:val="000000"/>
          <w:lang w:val="en-US" w:eastAsia="zh-CN"/>
        </w:rPr>
        <w:t>Citation</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Gnanasekaran S, Durgesh S, Gurram R, Kalayarasan R, Pottakkat B, Rajeswari M, Srinivas B</w:t>
      </w:r>
      <w:r>
        <w:rPr>
          <w:rFonts w:hint="eastAsia" w:ascii="Book Antiqua" w:hAnsi="Book Antiqua" w:eastAsia="宋体" w:cs="Book Antiqua"/>
          <w:color w:val="000000"/>
          <w:lang w:val="en-US" w:eastAsia="zh-CN"/>
        </w:rPr>
        <w:t>H</w:t>
      </w:r>
      <w:r>
        <w:rPr>
          <w:rFonts w:ascii="Book Antiqua" w:hAnsi="Book Antiqua" w:eastAsia="Book Antiqua" w:cs="Book Antiqua"/>
          <w:color w:val="000000"/>
        </w:rPr>
        <w:t xml:space="preserve">, Ramesh A, Sahoo J. Do preoperative pancreatic computed tomography attenuation index and enhancement ratio predict pancreatic fistula after pancreaticoduodenectomy? A prospective study. </w:t>
      </w:r>
      <w:r>
        <w:rPr>
          <w:rFonts w:ascii="Book Antiqua" w:hAnsi="Book Antiqua" w:eastAsia="Book Antiqua" w:cs="Book Antiqua"/>
          <w:i/>
          <w:iCs/>
          <w:color w:val="000000"/>
        </w:rPr>
        <w:t>World J Radiol</w:t>
      </w:r>
      <w:r>
        <w:rPr>
          <w:rFonts w:ascii="Book Antiqua" w:hAnsi="Book Antiqua" w:eastAsia="Book Antiqua" w:cs="Book Antiqua"/>
          <w:color w:val="000000"/>
        </w:rPr>
        <w:t xml:space="preserve"> 2022; </w:t>
      </w:r>
      <w:r>
        <w:rPr>
          <w:rFonts w:hint="eastAsia" w:ascii="Book Antiqua" w:hAnsi="Book Antiqua" w:eastAsia="Book Antiqua" w:cs="Book Antiqua"/>
          <w:b w:val="0"/>
          <w:bCs w:val="0"/>
          <w:color w:val="000000"/>
        </w:rPr>
        <w:t>1</w:t>
      </w:r>
      <w:r>
        <w:rPr>
          <w:rFonts w:hint="eastAsia" w:ascii="Book Antiqua" w:hAnsi="Book Antiqua" w:eastAsia="宋体" w:cs="Book Antiqua"/>
          <w:b w:val="0"/>
          <w:bCs w:val="0"/>
          <w:color w:val="000000"/>
          <w:lang w:val="en-US" w:eastAsia="zh-CN"/>
        </w:rPr>
        <w:t>4</w:t>
      </w:r>
      <w:r>
        <w:rPr>
          <w:rFonts w:hint="eastAsia" w:ascii="Book Antiqua" w:hAnsi="Book Antiqua" w:eastAsia="Book Antiqua" w:cs="Book Antiqua"/>
          <w:b w:val="0"/>
          <w:bCs w:val="0"/>
          <w:color w:val="000000"/>
        </w:rPr>
        <w:t>(</w:t>
      </w:r>
      <w:r>
        <w:rPr>
          <w:rFonts w:hint="eastAsia" w:ascii="Book Antiqua" w:hAnsi="Book Antiqua" w:eastAsia="宋体" w:cs="Book Antiqua"/>
          <w:b w:val="0"/>
          <w:bCs w:val="0"/>
          <w:color w:val="000000"/>
          <w:lang w:val="en-US" w:eastAsia="zh-CN"/>
        </w:rPr>
        <w:t>6</w:t>
      </w:r>
      <w:r>
        <w:rPr>
          <w:rFonts w:hint="eastAsia" w:ascii="Book Antiqua" w:hAnsi="Book Antiqua" w:eastAsia="Book Antiqua" w:cs="Book Antiqua"/>
          <w:b w:val="0"/>
          <w:bCs w:val="0"/>
          <w:color w:val="000000"/>
        </w:rPr>
        <w:t xml:space="preserve">): </w:t>
      </w:r>
      <w:r>
        <w:rPr>
          <w:rFonts w:hint="default" w:ascii="Book Antiqua" w:hAnsi="Book Antiqua" w:eastAsia="Book Antiqua" w:cs="Book Antiqua"/>
          <w:b w:val="0"/>
          <w:bCs w:val="0"/>
          <w:color w:val="000000"/>
          <w:kern w:val="0"/>
          <w:sz w:val="24"/>
          <w:szCs w:val="24"/>
          <w:lang w:val="en-US" w:eastAsia="zh-CN"/>
        </w:rPr>
        <w:t>165-176</w:t>
      </w:r>
      <w:r>
        <w:rPr>
          <w:rFonts w:hint="eastAsia" w:ascii="Book Antiqua" w:hAnsi="Book Antiqua" w:eastAsia="Book Antiqua" w:cs="Book Antiqua"/>
          <w:b w:val="0"/>
          <w:bCs w:val="0"/>
          <w:color w:val="000000"/>
        </w:rPr>
        <w:t xml:space="preserve"> </w:t>
      </w:r>
    </w:p>
    <w:p>
      <w:pPr>
        <w:spacing w:line="360" w:lineRule="auto"/>
        <w:jc w:val="both"/>
        <w:rPr>
          <w:rFonts w:hint="eastAsia" w:ascii="Book Antiqua" w:hAnsi="Book Antiqua" w:eastAsia="Book Antiqua" w:cs="Book Antiqua"/>
          <w:b w:val="0"/>
          <w:bCs w:val="0"/>
          <w:color w:val="000000"/>
        </w:rPr>
      </w:pPr>
      <w:r>
        <w:rPr>
          <w:rFonts w:hint="eastAsia" w:ascii="Book Antiqua" w:hAnsi="Book Antiqua" w:eastAsia="Book Antiqua" w:cs="Book Antiqua"/>
          <w:b/>
          <w:bCs/>
          <w:color w:val="000000"/>
        </w:rPr>
        <w:t>URL</w:t>
      </w:r>
      <w:r>
        <w:rPr>
          <w:rFonts w:hint="eastAsia" w:ascii="Book Antiqua" w:hAnsi="Book Antiqua" w:eastAsia="Book Antiqua" w:cs="Book Antiqua"/>
          <w:b w:val="0"/>
          <w:bCs w:val="0"/>
          <w:color w:val="000000"/>
        </w:rPr>
        <w:t>: https://www.wjgnet.com/1949-8470/full/v1</w:t>
      </w:r>
      <w:r>
        <w:rPr>
          <w:rFonts w:hint="eastAsia" w:ascii="Book Antiqua" w:hAnsi="Book Antiqua" w:eastAsia="宋体" w:cs="Book Antiqua"/>
          <w:b w:val="0"/>
          <w:bCs w:val="0"/>
          <w:color w:val="000000"/>
          <w:lang w:val="en-US" w:eastAsia="zh-CN"/>
        </w:rPr>
        <w:t>4</w:t>
      </w:r>
      <w:r>
        <w:rPr>
          <w:rFonts w:hint="eastAsia" w:ascii="Book Antiqua" w:hAnsi="Book Antiqua" w:eastAsia="Book Antiqua" w:cs="Book Antiqua"/>
          <w:b w:val="0"/>
          <w:bCs w:val="0"/>
          <w:color w:val="000000"/>
        </w:rPr>
        <w:t>/i</w:t>
      </w:r>
      <w:r>
        <w:rPr>
          <w:rFonts w:hint="eastAsia" w:ascii="Book Antiqua" w:hAnsi="Book Antiqua" w:eastAsia="宋体" w:cs="Book Antiqua"/>
          <w:b w:val="0"/>
          <w:bCs w:val="0"/>
          <w:color w:val="000000"/>
          <w:lang w:val="en-US" w:eastAsia="zh-CN"/>
        </w:rPr>
        <w:t>6</w:t>
      </w:r>
      <w:r>
        <w:rPr>
          <w:rFonts w:hint="eastAsia" w:ascii="Book Antiqua" w:hAnsi="Book Antiqua" w:eastAsia="Book Antiqua" w:cs="Book Antiqua"/>
          <w:b w:val="0"/>
          <w:bCs w:val="0"/>
          <w:color w:val="000000"/>
        </w:rPr>
        <w:t>/</w:t>
      </w:r>
      <w:r>
        <w:rPr>
          <w:rFonts w:hint="default" w:ascii="Book Antiqua" w:hAnsi="Book Antiqua" w:eastAsia="Book Antiqua" w:cs="Book Antiqua"/>
          <w:b w:val="0"/>
          <w:bCs w:val="0"/>
          <w:color w:val="000000"/>
          <w:kern w:val="0"/>
          <w:sz w:val="24"/>
          <w:szCs w:val="24"/>
          <w:lang w:val="en-US" w:eastAsia="zh-CN"/>
        </w:rPr>
        <w:t>165</w:t>
      </w:r>
      <w:r>
        <w:rPr>
          <w:rFonts w:hint="eastAsia" w:ascii="Book Antiqua" w:hAnsi="Book Antiqua" w:eastAsia="Book Antiqua" w:cs="Book Antiqua"/>
          <w:b w:val="0"/>
          <w:bCs w:val="0"/>
          <w:color w:val="000000"/>
        </w:rPr>
        <w:t xml:space="preserve">.htm </w:t>
      </w:r>
    </w:p>
    <w:p>
      <w:pPr>
        <w:spacing w:line="360" w:lineRule="auto"/>
        <w:jc w:val="both"/>
        <w:rPr>
          <w:rFonts w:ascii="Book Antiqua" w:hAnsi="Book Antiqua"/>
        </w:rPr>
      </w:pPr>
      <w:r>
        <w:rPr>
          <w:rFonts w:hint="eastAsia" w:ascii="Book Antiqua" w:hAnsi="Book Antiqua" w:eastAsia="Book Antiqua" w:cs="Book Antiqua"/>
          <w:b/>
          <w:bCs/>
          <w:color w:val="000000"/>
        </w:rPr>
        <w:t>DOI</w:t>
      </w:r>
      <w:r>
        <w:rPr>
          <w:rFonts w:hint="eastAsia" w:ascii="Book Antiqua" w:hAnsi="Book Antiqua" w:eastAsia="Book Antiqua" w:cs="Book Antiqua"/>
          <w:b w:val="0"/>
          <w:bCs w:val="0"/>
          <w:color w:val="000000"/>
        </w:rPr>
        <w:t>: https://dx.doi.org/10.4329/wjr.v1</w:t>
      </w:r>
      <w:r>
        <w:rPr>
          <w:rFonts w:hint="eastAsia" w:ascii="Book Antiqua" w:hAnsi="Book Antiqua" w:eastAsia="宋体" w:cs="Book Antiqua"/>
          <w:b w:val="0"/>
          <w:bCs w:val="0"/>
          <w:color w:val="000000"/>
          <w:lang w:val="en-US" w:eastAsia="zh-CN"/>
        </w:rPr>
        <w:t>4</w:t>
      </w:r>
      <w:r>
        <w:rPr>
          <w:rFonts w:hint="eastAsia" w:ascii="Book Antiqua" w:hAnsi="Book Antiqua" w:eastAsia="Book Antiqua" w:cs="Book Antiqua"/>
          <w:b w:val="0"/>
          <w:bCs w:val="0"/>
          <w:color w:val="000000"/>
        </w:rPr>
        <w:t>.i</w:t>
      </w:r>
      <w:r>
        <w:rPr>
          <w:rFonts w:hint="eastAsia" w:ascii="Book Antiqua" w:hAnsi="Book Antiqua" w:eastAsia="宋体" w:cs="Book Antiqua"/>
          <w:b w:val="0"/>
          <w:bCs w:val="0"/>
          <w:color w:val="000000"/>
          <w:lang w:val="en-US" w:eastAsia="zh-CN"/>
        </w:rPr>
        <w:t>6</w:t>
      </w:r>
      <w:r>
        <w:rPr>
          <w:rFonts w:hint="eastAsia" w:ascii="Book Antiqua" w:hAnsi="Book Antiqua" w:eastAsia="Book Antiqua" w:cs="Book Antiqua"/>
          <w:b w:val="0"/>
          <w:bCs w:val="0"/>
          <w:color w:val="000000"/>
        </w:rPr>
        <w:t>.</w:t>
      </w:r>
      <w:r>
        <w:rPr>
          <w:rFonts w:hint="default" w:ascii="Book Antiqua" w:hAnsi="Book Antiqua" w:eastAsia="Book Antiqua" w:cs="Book Antiqua"/>
          <w:b w:val="0"/>
          <w:bCs w:val="0"/>
          <w:color w:val="000000"/>
          <w:kern w:val="0"/>
          <w:sz w:val="24"/>
          <w:szCs w:val="24"/>
          <w:lang w:val="en-US" w:eastAsia="zh-CN"/>
        </w:rPr>
        <w:t>165</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Core Tip: </w:t>
      </w:r>
      <w:r>
        <w:rPr>
          <w:rFonts w:ascii="Book Antiqua" w:hAnsi="Book Antiqua" w:eastAsia="Book Antiqua" w:cs="Book Antiqua"/>
          <w:color w:val="000000"/>
        </w:rPr>
        <w:t xml:space="preserve">The prospective observational study evaluated the accuracy of the pancreatic computed tomography indices in predicting clinically relevant pancreatic fistula after pancreaticoduodenectomy. Though the predictive accuracy of </w:t>
      </w:r>
      <w:r>
        <w:rPr>
          <w:rStyle w:val="10"/>
          <w:rFonts w:ascii="Book Antiqua" w:hAnsi="Book Antiqua" w:eastAsia="Book Antiqua" w:cs="Book Antiqua"/>
          <w:color w:val="000000"/>
        </w:rPr>
        <w:t>pancreatic attenuation index (PAI)</w:t>
      </w:r>
      <w:r>
        <w:rPr>
          <w:rFonts w:ascii="Book Antiqua" w:hAnsi="Book Antiqua" w:eastAsia="Book Antiqua" w:cs="Book Antiqua"/>
          <w:color w:val="000000"/>
        </w:rPr>
        <w:t xml:space="preserve"> was low, </w:t>
      </w:r>
      <w:r>
        <w:rPr>
          <w:rStyle w:val="10"/>
          <w:rFonts w:hint="eastAsia" w:ascii="Book Antiqua" w:hAnsi="Book Antiqua" w:cs="Book Antiqua"/>
          <w:color w:val="000000"/>
          <w:lang w:eastAsia="zh-CN"/>
        </w:rPr>
        <w:t>p</w:t>
      </w:r>
      <w:r>
        <w:rPr>
          <w:rStyle w:val="10"/>
          <w:rFonts w:ascii="Book Antiqua" w:hAnsi="Book Antiqua" w:eastAsia="Book Antiqua" w:cs="Book Antiqua"/>
          <w:color w:val="000000"/>
        </w:rPr>
        <w:t>ancreatic enhancement ratio (PER)</w:t>
      </w:r>
      <w:r>
        <w:rPr>
          <w:rFonts w:ascii="Book Antiqua" w:hAnsi="Book Antiqua" w:eastAsia="Book Antiqua" w:cs="Book Antiqua"/>
          <w:color w:val="000000"/>
        </w:rPr>
        <w:t xml:space="preserve"> exhibited good accuracy in predicting the development of </w:t>
      </w:r>
      <w:r>
        <w:rPr>
          <w:rStyle w:val="10"/>
          <w:rFonts w:ascii="Book Antiqua" w:hAnsi="Book Antiqua" w:eastAsia="Book Antiqua" w:cs="Book Antiqua"/>
          <w:color w:val="000000"/>
        </w:rPr>
        <w:t>clinically relevant postoperative pancreatic fistula (CR-POPF)</w:t>
      </w:r>
      <w:r>
        <w:rPr>
          <w:rFonts w:ascii="Book Antiqua" w:hAnsi="Book Antiqua" w:eastAsia="Book Antiqua" w:cs="Book Antiqua"/>
          <w:color w:val="000000"/>
        </w:rPr>
        <w:t>. Also, PER showed a statistically significant weak negative correlation with PAI and moderately positive correlation with fibrosis scores suggesting that PER may be an objective preoperative surrogate for assessing pancreatic texture. Preoperative quantification of PER can improve the risk stratification and management of patients at high risk of CR-POPF.</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br w:type="page"/>
      </w:r>
      <w:r>
        <w:rPr>
          <w:rFonts w:ascii="Book Antiqua" w:hAnsi="Book Antiqua" w:eastAsia="Book Antiqua" w:cs="Book Antiqua"/>
          <w:b/>
          <w:caps/>
          <w:color w:val="000000"/>
          <w:u w:val="single"/>
        </w:rPr>
        <w:t>INTRODUCTION</w:t>
      </w:r>
    </w:p>
    <w:p>
      <w:pPr>
        <w:spacing w:line="360" w:lineRule="auto"/>
        <w:jc w:val="both"/>
        <w:rPr>
          <w:rFonts w:ascii="Book Antiqua" w:hAnsi="Book Antiqua"/>
        </w:rPr>
      </w:pPr>
      <w:r>
        <w:rPr>
          <w:rStyle w:val="10"/>
          <w:rFonts w:ascii="Book Antiqua" w:hAnsi="Book Antiqua" w:eastAsia="Book Antiqua" w:cs="Book Antiqua"/>
          <w:color w:val="000000"/>
        </w:rPr>
        <w:t>Pancreaticoduodenectomy (PD) has been established as the standard surgical treatment for resectable pancreatic head cancer and periampullary tumors. Advances in surgical technology and perioperative care have reduced PD-related mortality from roughly 20% to less than 5%</w:t>
      </w:r>
      <w:r>
        <w:rPr>
          <w:rStyle w:val="10"/>
          <w:rFonts w:ascii="Book Antiqua" w:hAnsi="Book Antiqua" w:eastAsia="Book Antiqua" w:cs="Book Antiqua"/>
          <w:color w:val="000000"/>
          <w:vertAlign w:val="superscript"/>
        </w:rPr>
        <w:t>[1]</w:t>
      </w:r>
      <w:r>
        <w:rPr>
          <w:rStyle w:val="10"/>
          <w:rFonts w:ascii="Book Antiqua" w:hAnsi="Book Antiqua" w:eastAsia="Book Antiqua" w:cs="Book Antiqua"/>
          <w:color w:val="000000"/>
        </w:rPr>
        <w:t>. But the morbidity following a PD continues to remain high</w:t>
      </w:r>
      <w:r>
        <w:rPr>
          <w:rStyle w:val="10"/>
          <w:rFonts w:ascii="Book Antiqua" w:hAnsi="Book Antiqua" w:eastAsia="Book Antiqua" w:cs="Book Antiqua"/>
          <w:color w:val="000000"/>
          <w:vertAlign w:val="superscript"/>
        </w:rPr>
        <w:t>[2]</w:t>
      </w:r>
      <w:r>
        <w:rPr>
          <w:rStyle w:val="10"/>
          <w:rFonts w:ascii="Book Antiqua" w:hAnsi="Book Antiqua" w:eastAsia="Book Antiqua" w:cs="Book Antiqua"/>
          <w:color w:val="000000"/>
        </w:rPr>
        <w:t>. Hence, the focus has shifted to make PD a less morbid procedure. The most feared consequence of PD is postoperative pancreatic fistula (POPF)</w:t>
      </w:r>
      <w:r>
        <w:rPr>
          <w:rStyle w:val="10"/>
          <w:rFonts w:ascii="Book Antiqua" w:hAnsi="Book Antiqua" w:eastAsia="Book Antiqua" w:cs="Book Antiqua"/>
          <w:color w:val="000000"/>
          <w:vertAlign w:val="superscript"/>
        </w:rPr>
        <w:t>[1,2]</w:t>
      </w:r>
      <w:r>
        <w:rPr>
          <w:rStyle w:val="10"/>
          <w:rFonts w:ascii="Book Antiqua" w:hAnsi="Book Antiqua" w:eastAsia="Book Antiqua" w:cs="Book Antiqua"/>
          <w:color w:val="000000"/>
        </w:rPr>
        <w:t>. POPF is frequently linked to a lengthy and challenging hospital stay that imposes a significant social and financial burden. Despite numerous novel perioperative therapies, there has been no substantial reduction in reported POPF rates</w:t>
      </w:r>
      <w:r>
        <w:rPr>
          <w:rStyle w:val="10"/>
          <w:rFonts w:ascii="Book Antiqua" w:hAnsi="Book Antiqua" w:eastAsia="Book Antiqua" w:cs="Book Antiqua"/>
          <w:color w:val="000000"/>
          <w:vertAlign w:val="superscript"/>
        </w:rPr>
        <w:t>[2,3]</w:t>
      </w:r>
      <w:r>
        <w:rPr>
          <w:rStyle w:val="10"/>
          <w:rFonts w:ascii="Book Antiqua" w:hAnsi="Book Antiqua" w:eastAsia="Book Antiqua" w:cs="Book Antiqua"/>
          <w:color w:val="000000"/>
        </w:rPr>
        <w:t>.</w:t>
      </w:r>
    </w:p>
    <w:p>
      <w:pPr>
        <w:spacing w:line="360" w:lineRule="auto"/>
        <w:ind w:firstLine="480" w:firstLineChars="200"/>
        <w:jc w:val="both"/>
        <w:rPr>
          <w:rFonts w:ascii="Book Antiqua" w:hAnsi="Book Antiqua"/>
        </w:rPr>
      </w:pPr>
      <w:r>
        <w:rPr>
          <w:rStyle w:val="10"/>
          <w:rFonts w:ascii="Book Antiqua" w:hAnsi="Book Antiqua" w:eastAsia="Book Antiqua" w:cs="Book Antiqua"/>
          <w:color w:val="000000"/>
        </w:rPr>
        <w:t xml:space="preserve">The implications of identifying patients at risk of clinically relevant POPF (CR-POPF) are manifold. To begin, we can tailor surgical procedures to high-risk factors by making modifications that have been demonstrated to reduce the occurrence of CR-POPF. Second, high-risk patients can be closely assessed for the need for early intervention to avoid the disastrous consequences of POPF. Finally, it helps identify low-risk patients in whom the enhanced recovery after surgery (ERAS) pathway may be implemented confidently. Commonly used predictive models for POPF, such as the Fistula Risk Score (FRS), modified </w:t>
      </w:r>
      <w:r>
        <w:rPr>
          <w:rStyle w:val="10"/>
          <w:rFonts w:hint="eastAsia" w:ascii="Book Antiqua" w:hAnsi="Book Antiqua" w:cs="Book Antiqua"/>
          <w:color w:val="000000"/>
          <w:lang w:eastAsia="zh-CN"/>
        </w:rPr>
        <w:t>FRS</w:t>
      </w:r>
      <w:r>
        <w:rPr>
          <w:rStyle w:val="10"/>
          <w:rFonts w:ascii="Book Antiqua" w:hAnsi="Book Antiqua" w:eastAsia="Book Antiqua" w:cs="Book Antiqua"/>
          <w:color w:val="000000"/>
        </w:rPr>
        <w:t>, and Day 1 Drain Fluid Amylase</w:t>
      </w:r>
      <w:r>
        <w:rPr>
          <w:rStyle w:val="10"/>
          <w:rFonts w:hint="eastAsia" w:ascii="Book Antiqua" w:hAnsi="Book Antiqua" w:cs="Book Antiqua"/>
          <w:color w:val="000000"/>
          <w:lang w:eastAsia="zh-CN"/>
        </w:rPr>
        <w:t xml:space="preserve"> </w:t>
      </w:r>
      <w:r>
        <w:rPr>
          <w:rStyle w:val="10"/>
          <w:rFonts w:ascii="Book Antiqua" w:hAnsi="Book Antiqua" w:eastAsia="Book Antiqua" w:cs="Book Antiqua"/>
          <w:color w:val="000000"/>
        </w:rPr>
        <w:t>estimation, can be used only in the postoperative setting</w:t>
      </w:r>
      <w:r>
        <w:rPr>
          <w:rStyle w:val="10"/>
          <w:rFonts w:ascii="Book Antiqua" w:hAnsi="Book Antiqua" w:eastAsia="Book Antiqua" w:cs="Book Antiqua"/>
          <w:color w:val="000000"/>
          <w:vertAlign w:val="superscript"/>
        </w:rPr>
        <w:t>[4-6]</w:t>
      </w:r>
      <w:r>
        <w:rPr>
          <w:rStyle w:val="10"/>
          <w:rFonts w:ascii="Book Antiqua" w:hAnsi="Book Antiqua" w:eastAsia="Book Antiqua" w:cs="Book Antiqua"/>
          <w:color w:val="000000"/>
        </w:rPr>
        <w:t>. Attenuation and enhancement patterns of pancreatic parenchyma on computed tomography (CT) were studied as preoperative predictors of CR-POPF</w:t>
      </w:r>
      <w:r>
        <w:rPr>
          <w:rStyle w:val="10"/>
          <w:rFonts w:ascii="Book Antiqua" w:hAnsi="Book Antiqua" w:eastAsia="Book Antiqua" w:cs="Book Antiqua"/>
          <w:color w:val="000000"/>
          <w:vertAlign w:val="superscript"/>
        </w:rPr>
        <w:t>[7-11]</w:t>
      </w:r>
      <w:r>
        <w:rPr>
          <w:rStyle w:val="10"/>
          <w:rFonts w:ascii="Book Antiqua" w:hAnsi="Book Antiqua" w:eastAsia="Book Antiqua" w:cs="Book Antiqua"/>
          <w:color w:val="000000"/>
        </w:rPr>
        <w:t>. While pancreatic attenuation index (PAI) can quantify pancreatic fat, pancreatic enhancement ratio (PER) has been correlated with pancreatic fibrosis. Therefore, the presence of a higher preoperative mean PER and lower PAI can be considered protective against the development of CR-POPF after PD</w:t>
      </w:r>
      <w:r>
        <w:rPr>
          <w:rStyle w:val="10"/>
          <w:rFonts w:ascii="Book Antiqua" w:hAnsi="Book Antiqua" w:eastAsia="Book Antiqua" w:cs="Book Antiqua"/>
          <w:color w:val="000000"/>
          <w:vertAlign w:val="superscript"/>
        </w:rPr>
        <w:t>[7-11]</w:t>
      </w:r>
      <w:r>
        <w:rPr>
          <w:rStyle w:val="10"/>
          <w:rFonts w:ascii="Book Antiqua" w:hAnsi="Book Antiqua" w:eastAsia="Book Antiqua" w:cs="Book Antiqua"/>
          <w:color w:val="000000"/>
        </w:rPr>
        <w:t>. However, the predictive accuracy of these indices for CR-POPF was not prospectively studied. Also, the distribution of fat and fibrosis within the pancreas varies, with pancreatic neck fat and fibrosis assuming relevance since it is the site of anastomosis, which previous studies have not addressed. Also, no previous research has prospectively correlated preoperative PAI and PER with histological pancreatic fat fraction and fibrosis, particularly in the neck. The present study aims to calculate the accuracy of the pancreatic neck PAI and PER in predicting CR-POPF and its correlation with histological pancreatic neck fat fraction and fibrosis scoring.</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MATERIALS AND METHODS</w:t>
      </w:r>
    </w:p>
    <w:p>
      <w:pPr>
        <w:spacing w:line="360" w:lineRule="auto"/>
        <w:jc w:val="both"/>
        <w:rPr>
          <w:rFonts w:ascii="Book Antiqua" w:hAnsi="Book Antiqua"/>
        </w:rPr>
      </w:pPr>
      <w:r>
        <w:rPr>
          <w:rStyle w:val="10"/>
          <w:rFonts w:ascii="Book Antiqua" w:hAnsi="Book Antiqua" w:eastAsia="Book Antiqua" w:cs="Book Antiqua"/>
          <w:b/>
          <w:bCs/>
          <w:i/>
          <w:iCs/>
          <w:color w:val="000000"/>
        </w:rPr>
        <w:t>Patient selection</w:t>
      </w:r>
    </w:p>
    <w:p>
      <w:pPr>
        <w:spacing w:line="360" w:lineRule="auto"/>
        <w:jc w:val="both"/>
        <w:rPr>
          <w:rStyle w:val="10"/>
          <w:rFonts w:ascii="Book Antiqua" w:hAnsi="Book Antiqua" w:cs="Book Antiqua"/>
          <w:color w:val="000000"/>
          <w:lang w:eastAsia="zh-CN"/>
        </w:rPr>
      </w:pPr>
      <w:r>
        <w:rPr>
          <w:rStyle w:val="10"/>
          <w:rFonts w:ascii="Book Antiqua" w:hAnsi="Book Antiqua" w:eastAsia="Book Antiqua" w:cs="Book Antiqua"/>
          <w:color w:val="000000"/>
        </w:rPr>
        <w:t>Patients above 18 years of age who underwent elective PD for both benign and malignant pathology involving periampullary and pancreatic head from February 2019 to February 2021 and consented to participate were assessed for inclusion in the prospective observational study. Patients undergoing extended or total pancreatectomy and those with contraindication to undergo preoperative contrast-enhanced CT (CECT) or severe atrophy of pancreatic tissue or extensive parenchymal calcifications in the pancreatic head and neck precluding calculation of PAI and PER were excluded from the study. Also, patients who died in the immediate postoperative period (&lt; 48 h) were excluded from the analysis. The study was approved by the Institute's scientific advisory and Ethics Committee (JIP/IEC/2018/500 dated 25-01-2019).</w:t>
      </w:r>
    </w:p>
    <w:p>
      <w:pPr>
        <w:spacing w:line="360" w:lineRule="auto"/>
        <w:jc w:val="both"/>
        <w:rPr>
          <w:rFonts w:ascii="Book Antiqua" w:hAnsi="Book Antiqua"/>
          <w:lang w:eastAsia="zh-CN"/>
        </w:rPr>
      </w:pPr>
    </w:p>
    <w:p>
      <w:pPr>
        <w:spacing w:line="360" w:lineRule="auto"/>
        <w:jc w:val="both"/>
        <w:rPr>
          <w:rFonts w:ascii="Book Antiqua" w:hAnsi="Book Antiqua"/>
        </w:rPr>
      </w:pPr>
      <w:r>
        <w:rPr>
          <w:rStyle w:val="10"/>
          <w:rFonts w:ascii="Book Antiqua" w:hAnsi="Book Antiqua" w:eastAsia="Book Antiqua" w:cs="Book Antiqua"/>
          <w:b/>
          <w:bCs/>
          <w:i/>
          <w:iCs/>
          <w:color w:val="000000"/>
        </w:rPr>
        <w:t xml:space="preserve">Preoperative CT protocol </w:t>
      </w:r>
    </w:p>
    <w:p>
      <w:pPr>
        <w:spacing w:line="360" w:lineRule="auto"/>
        <w:jc w:val="both"/>
        <w:rPr>
          <w:rStyle w:val="10"/>
          <w:rFonts w:ascii="Book Antiqua" w:hAnsi="Book Antiqua" w:cs="Book Antiqua"/>
          <w:color w:val="000000"/>
          <w:lang w:eastAsia="zh-CN"/>
        </w:rPr>
      </w:pPr>
      <w:r>
        <w:rPr>
          <w:rStyle w:val="10"/>
          <w:rFonts w:ascii="Book Antiqua" w:hAnsi="Book Antiqua" w:eastAsia="Book Antiqua" w:cs="Book Antiqua"/>
          <w:color w:val="000000"/>
        </w:rPr>
        <w:t>As part of the routine evaluation, all patients underwent a pancreatic protocol CECT. Non-contrast and CECT of the abdomen and pelvis were performed using a 128 slice CT scanner (Somatom</w:t>
      </w:r>
      <w:r>
        <w:rPr>
          <w:rStyle w:val="10"/>
          <w:rFonts w:ascii="Book Antiqua" w:hAnsi="Book Antiqua" w:eastAsia="Book Antiqua" w:cs="Book Antiqua"/>
          <w:color w:val="000000"/>
          <w:vertAlign w:val="superscript"/>
        </w:rPr>
        <w:t>TM</w:t>
      </w:r>
      <w:r>
        <w:rPr>
          <w:rStyle w:val="10"/>
          <w:rFonts w:ascii="Book Antiqua" w:hAnsi="Book Antiqua" w:eastAsia="Book Antiqua" w:cs="Book Antiqua"/>
          <w:color w:val="000000"/>
        </w:rPr>
        <w:t xml:space="preserve"> Definition Edge, M/s Siemens, Erlangen, Germany). Intravenous iodinated contrast media Iohexol with 300mg Iodine concentration (Contrapaque</w:t>
      </w:r>
      <w:r>
        <w:rPr>
          <w:rStyle w:val="10"/>
          <w:rFonts w:ascii="Book Antiqua" w:hAnsi="Book Antiqua" w:eastAsia="Book Antiqua" w:cs="Book Antiqua"/>
          <w:color w:val="000000"/>
          <w:vertAlign w:val="superscript"/>
        </w:rPr>
        <w:t>TM</w:t>
      </w:r>
      <w:r>
        <w:rPr>
          <w:rStyle w:val="10"/>
          <w:rFonts w:ascii="Book Antiqua" w:hAnsi="Book Antiqua" w:eastAsia="Book Antiqua" w:cs="Book Antiqua"/>
          <w:color w:val="000000"/>
        </w:rPr>
        <w:t xml:space="preserve"> 300, JB chemicals and pharmaceuticals limited, India) was administered at a dose of 1.5 mL/ kg body weight at the rate of 3-4 mL/s followed by 20 mL of the saline chase at 3 mL/s. A dual head pressure injector (Medrad</w:t>
      </w:r>
      <w:r>
        <w:rPr>
          <w:rFonts w:ascii="Book Antiqua" w:hAnsi="Book Antiqua" w:eastAsia="Book Antiqua" w:cs="Book Antiqua"/>
          <w:color w:val="000000"/>
          <w:vertAlign w:val="superscript"/>
        </w:rPr>
        <w:t>®</w:t>
      </w:r>
      <w:r>
        <w:rPr>
          <w:rStyle w:val="10"/>
          <w:rFonts w:ascii="Book Antiqua" w:hAnsi="Book Antiqua" w:eastAsia="Book Antiqua" w:cs="Book Antiqua"/>
          <w:color w:val="000000"/>
        </w:rPr>
        <w:t xml:space="preserve"> Stellant D pedestal-mount with Certegra</w:t>
      </w:r>
      <w:r>
        <w:rPr>
          <w:rFonts w:ascii="Book Antiqua" w:hAnsi="Book Antiqua" w:eastAsia="Book Antiqua" w:cs="Book Antiqua"/>
          <w:color w:val="000000"/>
          <w:vertAlign w:val="superscript"/>
        </w:rPr>
        <w:t>®</w:t>
      </w:r>
      <w:r>
        <w:rPr>
          <w:rStyle w:val="10"/>
          <w:rFonts w:ascii="Book Antiqua" w:hAnsi="Book Antiqua" w:eastAsia="Book Antiqua" w:cs="Book Antiqua"/>
          <w:color w:val="000000"/>
        </w:rPr>
        <w:t xml:space="preserve"> Workstation) was used for contrast injection. Scans were triggered using the Bolus tracking technique when the threshold of 150HU was reached in the upper abdominal aorta. Contrast-enhanced scans included late arterial phase at 30-40 sec from the start of contrast injection (12-15 sec after bolus tracking), portal venous phase at 60-70</w:t>
      </w:r>
      <w:r>
        <w:rPr>
          <w:rStyle w:val="10"/>
          <w:rFonts w:hint="eastAsia" w:ascii="Book Antiqua" w:hAnsi="Book Antiqua" w:cs="Book Antiqua"/>
          <w:color w:val="000000"/>
          <w:lang w:eastAsia="zh-CN"/>
        </w:rPr>
        <w:t xml:space="preserve"> </w:t>
      </w:r>
      <w:r>
        <w:rPr>
          <w:rStyle w:val="10"/>
          <w:rFonts w:ascii="Book Antiqua" w:hAnsi="Book Antiqua" w:eastAsia="Book Antiqua" w:cs="Book Antiqua"/>
          <w:color w:val="000000"/>
        </w:rPr>
        <w:t>sec (25-30</w:t>
      </w:r>
      <w:r>
        <w:rPr>
          <w:rStyle w:val="10"/>
          <w:rFonts w:hint="eastAsia" w:ascii="Book Antiqua" w:hAnsi="Book Antiqua" w:cs="Book Antiqua"/>
          <w:color w:val="000000"/>
          <w:lang w:eastAsia="zh-CN"/>
        </w:rPr>
        <w:t xml:space="preserve"> </w:t>
      </w:r>
      <w:r>
        <w:rPr>
          <w:rStyle w:val="10"/>
          <w:rFonts w:ascii="Book Antiqua" w:hAnsi="Book Antiqua" w:eastAsia="Book Antiqua" w:cs="Book Antiqua"/>
          <w:color w:val="000000"/>
        </w:rPr>
        <w:t>secs delay after the arterial phase) and equilibrium phase at 3 min from contrast injection. The plain and contrast-enhanced images were reconstructed at 3</w:t>
      </w:r>
      <w:r>
        <w:rPr>
          <w:rStyle w:val="10"/>
          <w:rFonts w:hint="eastAsia" w:ascii="Book Antiqua" w:hAnsi="Book Antiqua" w:cs="Book Antiqua"/>
          <w:color w:val="000000"/>
          <w:lang w:eastAsia="zh-CN"/>
        </w:rPr>
        <w:t xml:space="preserve"> </w:t>
      </w:r>
      <w:r>
        <w:rPr>
          <w:rStyle w:val="10"/>
          <w:rFonts w:ascii="Book Antiqua" w:hAnsi="Book Antiqua" w:eastAsia="Book Antiqua" w:cs="Book Antiqua"/>
          <w:color w:val="000000"/>
        </w:rPr>
        <w:t>mm thickness and viewed in a picture archiving and communication system</w:t>
      </w:r>
      <w:r>
        <w:rPr>
          <w:rStyle w:val="10"/>
          <w:rFonts w:hint="eastAsia" w:ascii="Book Antiqua" w:hAnsi="Book Antiqua" w:cs="Book Antiqua"/>
          <w:color w:val="000000"/>
          <w:lang w:eastAsia="zh-CN"/>
        </w:rPr>
        <w:t xml:space="preserve"> </w:t>
      </w:r>
      <w:r>
        <w:rPr>
          <w:rStyle w:val="10"/>
          <w:rFonts w:ascii="Book Antiqua" w:hAnsi="Book Antiqua" w:eastAsia="Book Antiqua" w:cs="Book Antiqua"/>
          <w:color w:val="000000"/>
        </w:rPr>
        <w:t>workstation using Centricity</w:t>
      </w:r>
      <w:r>
        <w:rPr>
          <w:rStyle w:val="10"/>
          <w:rFonts w:ascii="Book Antiqua" w:hAnsi="Book Antiqua" w:eastAsia="Book Antiqua" w:cs="Book Antiqua"/>
          <w:color w:val="000000"/>
          <w:vertAlign w:val="superscript"/>
        </w:rPr>
        <w:t>TM</w:t>
      </w:r>
      <w:r>
        <w:rPr>
          <w:rStyle w:val="10"/>
          <w:rFonts w:ascii="Book Antiqua" w:hAnsi="Book Antiqua" w:eastAsia="Book Antiqua" w:cs="Book Antiqua"/>
          <w:color w:val="000000"/>
        </w:rPr>
        <w:t xml:space="preserve"> Universal Viewer Zero Footprint (GE, United States). On non-enhanced CT images, Hounsfield Units (HU) represents tissue density, while on contrast-enhanced CT images, it represents a measure of combination involving density and vascularity (18). Attenuation (HU) was measured in the neck of the pancreas and spleen, and attenuation values were calculated with regions of interest (ROI) of 0.2-0.3 cm</w:t>
      </w:r>
      <w:r>
        <w:rPr>
          <w:rStyle w:val="10"/>
          <w:rFonts w:ascii="Book Antiqua" w:hAnsi="Book Antiqua" w:eastAsia="Book Antiqua" w:cs="Book Antiqua"/>
          <w:color w:val="000000"/>
          <w:vertAlign w:val="superscript"/>
        </w:rPr>
        <w:t>2</w:t>
      </w:r>
      <w:r>
        <w:rPr>
          <w:rStyle w:val="10"/>
          <w:rFonts w:ascii="Book Antiqua" w:hAnsi="Book Antiqua" w:eastAsia="Book Antiqua" w:cs="Book Antiqua"/>
          <w:color w:val="000000"/>
        </w:rPr>
        <w:t xml:space="preserve">. The mean of 3 ROI values obtained in the neck region divided by splenic attenuation gave the PAI of the pancreatic neck (Figure 1). PER was calculated in the neck of the pancreas as (EP-Pre)/ (AP-Pre) </w:t>
      </w:r>
      <w:r>
        <w:rPr>
          <w:rStyle w:val="10"/>
          <w:rFonts w:hint="eastAsia" w:ascii="Book Antiqua" w:hAnsi="Book Antiqua" w:eastAsia="宋体" w:cs="Book Antiqua"/>
          <w:color w:val="000000"/>
          <w:lang w:val="en-US" w:eastAsia="zh-CN"/>
        </w:rPr>
        <w:t>(</w:t>
      </w:r>
      <w:r>
        <w:rPr>
          <w:rStyle w:val="10"/>
          <w:rFonts w:ascii="Book Antiqua" w:hAnsi="Book Antiqua" w:eastAsia="Book Antiqua" w:cs="Book Antiqua"/>
          <w:color w:val="000000"/>
        </w:rPr>
        <w:t>AP-arterial phase, pre-nonenhanced phase, EP-equilibrium phase</w:t>
      </w:r>
      <w:r>
        <w:rPr>
          <w:rStyle w:val="10"/>
          <w:rFonts w:hint="eastAsia" w:ascii="Book Antiqua" w:hAnsi="Book Antiqua" w:eastAsia="宋体" w:cs="Book Antiqua"/>
          <w:color w:val="000000"/>
          <w:lang w:val="en-US" w:eastAsia="zh-CN"/>
        </w:rPr>
        <w:t>)</w:t>
      </w:r>
      <w:r>
        <w:rPr>
          <w:rStyle w:val="10"/>
          <w:rFonts w:ascii="Book Antiqua" w:hAnsi="Book Antiqua" w:eastAsia="Book Antiqua" w:cs="Book Antiqua"/>
          <w:color w:val="000000"/>
          <w:vertAlign w:val="superscript"/>
        </w:rPr>
        <w:t>[11]</w:t>
      </w:r>
      <w:r>
        <w:rPr>
          <w:rStyle w:val="10"/>
          <w:rFonts w:ascii="Book Antiqua" w:hAnsi="Book Antiqua" w:eastAsia="Book Antiqua" w:cs="Book Antiqua"/>
          <w:color w:val="000000"/>
        </w:rPr>
        <w:t>.</w:t>
      </w:r>
    </w:p>
    <w:p>
      <w:pPr>
        <w:spacing w:line="360" w:lineRule="auto"/>
        <w:jc w:val="both"/>
        <w:rPr>
          <w:rFonts w:ascii="Book Antiqua" w:hAnsi="Book Antiqua"/>
          <w:lang w:eastAsia="zh-CN"/>
        </w:rPr>
      </w:pPr>
    </w:p>
    <w:p>
      <w:pPr>
        <w:spacing w:line="360" w:lineRule="auto"/>
        <w:jc w:val="both"/>
        <w:rPr>
          <w:rFonts w:ascii="Book Antiqua" w:hAnsi="Book Antiqua"/>
        </w:rPr>
      </w:pPr>
      <w:r>
        <w:rPr>
          <w:rStyle w:val="10"/>
          <w:rFonts w:ascii="Book Antiqua" w:hAnsi="Book Antiqua" w:eastAsia="Book Antiqua" w:cs="Book Antiqua"/>
          <w:b/>
          <w:bCs/>
          <w:i/>
          <w:iCs/>
          <w:color w:val="000000"/>
        </w:rPr>
        <w:t>Surgery</w:t>
      </w:r>
    </w:p>
    <w:p>
      <w:pPr>
        <w:spacing w:line="360" w:lineRule="auto"/>
        <w:jc w:val="both"/>
        <w:rPr>
          <w:rStyle w:val="10"/>
          <w:rFonts w:ascii="Book Antiqua" w:hAnsi="Book Antiqua" w:cs="Book Antiqua"/>
          <w:color w:val="000000"/>
          <w:lang w:eastAsia="zh-CN"/>
        </w:rPr>
      </w:pPr>
      <w:r>
        <w:rPr>
          <w:rStyle w:val="10"/>
          <w:rFonts w:ascii="Book Antiqua" w:hAnsi="Book Antiqua" w:eastAsia="Book Antiqua" w:cs="Book Antiqua"/>
          <w:color w:val="000000"/>
        </w:rPr>
        <w:t>All patients underwent pylorus resecting PD at the surgeon's discretion using an open, laparoscopic, or robot-assisted technique. All operations were performed by three qualified surgeons with extensive experience in pancreatobiliary surgery. Pancreaticojejunostomy (PJ) was performed using modified Blumgart or a modified invagination technique depending on the size of the pancreatic duct at the surgeon's discretion. Hepaticojejunostomy (HJ) was done 15 cm distal to PJ by Blumgart Kelly technique. Antecolic Gastrojejunostomy</w:t>
      </w:r>
      <w:r>
        <w:rPr>
          <w:rStyle w:val="10"/>
          <w:rFonts w:hint="eastAsia" w:ascii="Book Antiqua" w:hAnsi="Book Antiqua" w:cs="Book Antiqua"/>
          <w:color w:val="000000"/>
          <w:lang w:eastAsia="zh-CN"/>
        </w:rPr>
        <w:t xml:space="preserve"> </w:t>
      </w:r>
      <w:r>
        <w:rPr>
          <w:rStyle w:val="10"/>
          <w:rFonts w:ascii="Book Antiqua" w:hAnsi="Book Antiqua" w:eastAsia="Book Antiqua" w:cs="Book Antiqua"/>
          <w:color w:val="000000"/>
        </w:rPr>
        <w:t>was done about 50 cm distal to the HJ. Two abdominal drains were placed, one in the subhepatic space near HJ and the other one adjacent to the PJ. Feeding jejunostomy was done routinely for early postoperative enteral feeding.</w:t>
      </w:r>
    </w:p>
    <w:p>
      <w:pPr>
        <w:spacing w:line="360" w:lineRule="auto"/>
        <w:jc w:val="both"/>
        <w:rPr>
          <w:rFonts w:ascii="Book Antiqua" w:hAnsi="Book Antiqua"/>
          <w:lang w:eastAsia="zh-CN"/>
        </w:rPr>
      </w:pPr>
    </w:p>
    <w:p>
      <w:pPr>
        <w:spacing w:line="360" w:lineRule="auto"/>
        <w:jc w:val="both"/>
        <w:rPr>
          <w:rFonts w:ascii="Book Antiqua" w:hAnsi="Book Antiqua"/>
        </w:rPr>
      </w:pPr>
      <w:r>
        <w:rPr>
          <w:rStyle w:val="10"/>
          <w:rFonts w:ascii="Book Antiqua" w:hAnsi="Book Antiqua" w:eastAsia="Book Antiqua" w:cs="Book Antiqua"/>
          <w:b/>
          <w:bCs/>
          <w:i/>
          <w:iCs/>
          <w:color w:val="000000"/>
        </w:rPr>
        <w:t>Histopathological evaluation</w:t>
      </w:r>
    </w:p>
    <w:p>
      <w:pPr>
        <w:spacing w:line="360" w:lineRule="auto"/>
        <w:jc w:val="both"/>
        <w:rPr>
          <w:rStyle w:val="10"/>
          <w:rFonts w:ascii="Book Antiqua" w:hAnsi="Book Antiqua" w:cs="Book Antiqua"/>
          <w:color w:val="000000"/>
          <w:lang w:eastAsia="zh-CN"/>
        </w:rPr>
      </w:pPr>
      <w:r>
        <w:rPr>
          <w:rStyle w:val="10"/>
          <w:rFonts w:ascii="Book Antiqua" w:hAnsi="Book Antiqua" w:eastAsia="Book Antiqua" w:cs="Book Antiqua"/>
          <w:color w:val="000000"/>
        </w:rPr>
        <w:t>A pancreatic neck tissue specimen was sent for histopathological evaluation. The pathologist, blinded to CT data and pancreatic texture, performed histological analysis. The existence of Langerhans' islets confirmed the Pancreatic tissue. Only tissue free of inflammatory lesions and calcifications was evaluated. The histologic pancreatic fat fraction was defined as the area ratio of pancreatic intraparenchymal fat to that of the total tissue times 100% (&lt; 5%-mildly fatty; 5-15%-moderately fatty, &gt;</w:t>
      </w:r>
      <w:r>
        <w:rPr>
          <w:rStyle w:val="10"/>
          <w:rFonts w:hint="eastAsia" w:ascii="Book Antiqua" w:hAnsi="Book Antiqua" w:cs="Book Antiqua"/>
          <w:color w:val="000000"/>
          <w:lang w:eastAsia="zh-CN"/>
        </w:rPr>
        <w:t xml:space="preserve"> </w:t>
      </w:r>
      <w:r>
        <w:rPr>
          <w:rStyle w:val="10"/>
          <w:rFonts w:ascii="Book Antiqua" w:hAnsi="Book Antiqua" w:eastAsia="Book Antiqua" w:cs="Book Antiqua"/>
          <w:color w:val="000000"/>
        </w:rPr>
        <w:t>15%-heavily fatty)</w:t>
      </w:r>
      <w:r>
        <w:rPr>
          <w:rFonts w:ascii="Book Antiqua" w:hAnsi="Book Antiqua" w:eastAsia="Book Antiqua" w:cs="Book Antiqua"/>
          <w:color w:val="000000"/>
        </w:rPr>
        <w:t xml:space="preserve"> using hematoxylin and eosin stain</w:t>
      </w:r>
      <w:r>
        <w:rPr>
          <w:rFonts w:ascii="Book Antiqua" w:hAnsi="Book Antiqua" w:eastAsia="Book Antiqua" w:cs="Book Antiqua"/>
          <w:color w:val="000000"/>
          <w:vertAlign w:val="superscript"/>
        </w:rPr>
        <w:t>[12]</w:t>
      </w:r>
      <w:r>
        <w:rPr>
          <w:rFonts w:ascii="Book Antiqua" w:hAnsi="Book Antiqua" w:eastAsia="Book Antiqua" w:cs="Book Antiqua"/>
          <w:color w:val="000000"/>
        </w:rPr>
        <w:t xml:space="preserve">. The degree of fibrosis was studied using Masson's trichome stain. The extent </w:t>
      </w:r>
      <w:r>
        <w:rPr>
          <w:rStyle w:val="10"/>
          <w:rFonts w:ascii="Book Antiqua" w:hAnsi="Book Antiqua" w:eastAsia="Book Antiqua" w:cs="Book Antiqua"/>
          <w:color w:val="000000"/>
        </w:rPr>
        <w:t>of intralobular and interlobular fibrosis was separately measured, and the total score (0-6) was calculated (Figure 2). According to the total score, fibrosis was classified as weak (score 0-3) and heavy (score 4-6)</w:t>
      </w:r>
      <w:r>
        <w:rPr>
          <w:rStyle w:val="10"/>
          <w:rFonts w:ascii="Book Antiqua" w:hAnsi="Book Antiqua" w:eastAsia="Book Antiqua" w:cs="Book Antiqua"/>
          <w:color w:val="000000"/>
          <w:vertAlign w:val="superscript"/>
        </w:rPr>
        <w:t>[13]</w:t>
      </w:r>
      <w:r>
        <w:rPr>
          <w:rStyle w:val="10"/>
          <w:rFonts w:ascii="Book Antiqua" w:hAnsi="Book Antiqua" w:eastAsia="Book Antiqua" w:cs="Book Antiqua"/>
          <w:color w:val="000000"/>
        </w:rPr>
        <w:t xml:space="preserve">. </w:t>
      </w:r>
    </w:p>
    <w:p>
      <w:pPr>
        <w:spacing w:line="360" w:lineRule="auto"/>
        <w:jc w:val="both"/>
        <w:rPr>
          <w:rFonts w:ascii="Book Antiqua" w:hAnsi="Book Antiqua"/>
          <w:lang w:eastAsia="zh-CN"/>
        </w:rPr>
      </w:pPr>
    </w:p>
    <w:p>
      <w:pPr>
        <w:spacing w:line="360" w:lineRule="auto"/>
        <w:jc w:val="both"/>
        <w:rPr>
          <w:rFonts w:ascii="Book Antiqua" w:hAnsi="Book Antiqua"/>
        </w:rPr>
      </w:pPr>
      <w:r>
        <w:rPr>
          <w:rStyle w:val="10"/>
          <w:rFonts w:ascii="Book Antiqua" w:hAnsi="Book Antiqua" w:eastAsia="Book Antiqua" w:cs="Book Antiqua"/>
          <w:b/>
          <w:bCs/>
          <w:i/>
          <w:iCs/>
          <w:color w:val="000000"/>
        </w:rPr>
        <w:t>Outcome measures</w:t>
      </w:r>
    </w:p>
    <w:p>
      <w:pPr>
        <w:spacing w:line="360" w:lineRule="auto"/>
        <w:jc w:val="both"/>
        <w:rPr>
          <w:rStyle w:val="10"/>
          <w:rFonts w:ascii="Book Antiqua" w:hAnsi="Book Antiqua" w:cs="Book Antiqua"/>
          <w:color w:val="000000"/>
          <w:lang w:eastAsia="zh-CN"/>
        </w:rPr>
      </w:pPr>
      <w:r>
        <w:rPr>
          <w:rStyle w:val="10"/>
          <w:rFonts w:ascii="Book Antiqua" w:hAnsi="Book Antiqua" w:eastAsia="Book Antiqua" w:cs="Book Antiqua"/>
          <w:color w:val="000000"/>
        </w:rPr>
        <w:t xml:space="preserve">The primary objective of this prospective observational study was to determine the predictive accuracy of PAI and PER for CR-POPF following PD. </w:t>
      </w:r>
      <w:r>
        <w:rPr>
          <w:rFonts w:ascii="Book Antiqua" w:hAnsi="Book Antiqua" w:eastAsia="Book Antiqua" w:cs="Book Antiqua"/>
          <w:color w:val="000000"/>
        </w:rPr>
        <w:t xml:space="preserve">The patients' demographic and clinical data, including age, sex, body mass index, bilirubin level, preoperative biliary drainage, comorbidities (diabetes mellitus and hypertension), weight loss and radiological indices (PAI and PER) were collected to determine the preoperative factors predictive of CR-POPF. Also, the operative outcomes, including operative time, estimated blood loss, need for blood transfusion, </w:t>
      </w:r>
      <w:r>
        <w:rPr>
          <w:rStyle w:val="10"/>
          <w:rFonts w:ascii="Book Antiqua" w:hAnsi="Book Antiqua" w:eastAsia="Book Antiqua" w:cs="Book Antiqua"/>
          <w:color w:val="000000"/>
        </w:rPr>
        <w:t>pancreatic texture and postoperative complications,</w:t>
      </w:r>
      <w:r>
        <w:rPr>
          <w:rFonts w:ascii="Book Antiqua" w:hAnsi="Book Antiqua" w:eastAsia="Book Antiqua" w:cs="Book Antiqua"/>
          <w:color w:val="000000"/>
        </w:rPr>
        <w:t xml:space="preserve"> were compared between patients with and without CR-POPF. Delayed gastric emptying [DGE], Post pancreatectomy hemorrhage (PPH) and Postoperative pancreatic fistula [POPF] were graded as per the International Study Group for Pancreatic Surgery [ISGPS] definition</w:t>
      </w:r>
      <w:r>
        <w:rPr>
          <w:rFonts w:ascii="Book Antiqua" w:hAnsi="Book Antiqua" w:eastAsia="Book Antiqua" w:cs="Book Antiqua"/>
          <w:color w:val="000000"/>
          <w:vertAlign w:val="superscript"/>
        </w:rPr>
        <w:t>[14-16]</w:t>
      </w:r>
      <w:r>
        <w:rPr>
          <w:rFonts w:ascii="Book Antiqua" w:hAnsi="Book Antiqua" w:eastAsia="Book Antiqua" w:cs="Book Antiqua"/>
          <w:color w:val="000000"/>
        </w:rPr>
        <w:t xml:space="preserve">. To correlate preoperative CT indices (PAI and PER) with histopathological features, </w:t>
      </w:r>
      <w:r>
        <w:rPr>
          <w:rStyle w:val="10"/>
          <w:rFonts w:ascii="Book Antiqua" w:hAnsi="Book Antiqua" w:eastAsia="Book Antiqua" w:cs="Book Antiqua"/>
          <w:color w:val="000000"/>
        </w:rPr>
        <w:t>pancreatic neck fat fraction and fibrosis were measured in the pancreatic neck tissue specimen.</w:t>
      </w:r>
    </w:p>
    <w:p>
      <w:pPr>
        <w:spacing w:line="360" w:lineRule="auto"/>
        <w:jc w:val="both"/>
        <w:rPr>
          <w:rFonts w:ascii="Book Antiqua" w:hAnsi="Book Antiqua"/>
          <w:lang w:eastAsia="zh-CN"/>
        </w:rPr>
      </w:pPr>
    </w:p>
    <w:p>
      <w:pPr>
        <w:spacing w:line="360" w:lineRule="auto"/>
        <w:jc w:val="both"/>
        <w:rPr>
          <w:rFonts w:ascii="Book Antiqua" w:hAnsi="Book Antiqua"/>
        </w:rPr>
      </w:pPr>
      <w:r>
        <w:rPr>
          <w:rStyle w:val="10"/>
          <w:rFonts w:ascii="Book Antiqua" w:hAnsi="Book Antiqua" w:eastAsia="Book Antiqua" w:cs="Book Antiqua"/>
          <w:b/>
          <w:bCs/>
          <w:i/>
          <w:iCs/>
          <w:color w:val="000000"/>
        </w:rPr>
        <w:t xml:space="preserve">Statistical analysis </w:t>
      </w:r>
    </w:p>
    <w:p>
      <w:pPr>
        <w:spacing w:line="360" w:lineRule="auto"/>
        <w:jc w:val="both"/>
        <w:rPr>
          <w:rFonts w:ascii="Book Antiqua" w:hAnsi="Book Antiqua"/>
        </w:rPr>
      </w:pPr>
      <w:r>
        <w:rPr>
          <w:rStyle w:val="10"/>
          <w:rFonts w:ascii="Book Antiqua" w:hAnsi="Book Antiqua" w:eastAsia="Book Antiqua" w:cs="Book Antiqua"/>
          <w:color w:val="000000"/>
        </w:rPr>
        <w:t xml:space="preserve">The statistical analysis was done using </w:t>
      </w:r>
      <w:r>
        <w:rPr>
          <w:rFonts w:ascii="Book Antiqua" w:hAnsi="Book Antiqua" w:eastAsia="Book Antiqua" w:cs="Book Antiqua"/>
          <w:color w:val="000000"/>
        </w:rPr>
        <w:t>IBM SPSS Statistics for Windows, Version 28.0. (Armonk, NY, United States)</w:t>
      </w:r>
      <w:r>
        <w:rPr>
          <w:rStyle w:val="10"/>
          <w:rFonts w:ascii="Book Antiqua" w:hAnsi="Book Antiqua" w:eastAsia="Book Antiqua" w:cs="Book Antiqua"/>
          <w:color w:val="000000"/>
        </w:rPr>
        <w:t>. The estimated sample size was calculated, anticipating an AUC of 0.75 for PER in predicting CR-POPF with 90% power and a 5% level of significance. The required sample size was calculated as 60. Both descriptive and inferential statistics were used to analyze the data. Baseline characteristics of the patients are presented by descriptive statistics. Categorical data (sex, clinical factors, presence or absence of DGE, CRPOPF, PPH, Intraabdominal abscess, pancreatic gland texture, pathological diagnosis) was described using percentages and frequencies and compared by using Fischer exact test or Chi-square test. The normality of continuous data was assessed by the Kolmogorov-Smirnov test. The normally distributed data were described by mean ± standard deviation (</w:t>
      </w:r>
      <w:r>
        <w:rPr>
          <w:rStyle w:val="10"/>
          <w:rFonts w:hint="eastAsia" w:ascii="Book Antiqua" w:hAnsi="Book Antiqua" w:cs="Book Antiqua"/>
          <w:color w:val="000000"/>
          <w:lang w:eastAsia="zh-CN"/>
        </w:rPr>
        <w:t>SD</w:t>
      </w:r>
      <w:r>
        <w:rPr>
          <w:rStyle w:val="10"/>
          <w:rFonts w:ascii="Book Antiqua" w:hAnsi="Book Antiqua" w:cs="Book Antiqua"/>
          <w:color w:val="000000"/>
          <w:lang w:eastAsia="zh-CN"/>
        </w:rPr>
        <w:t>)</w:t>
      </w:r>
      <w:r>
        <w:rPr>
          <w:rStyle w:val="10"/>
          <w:rFonts w:ascii="Book Antiqua" w:hAnsi="Book Antiqua" w:eastAsia="Book Antiqua" w:cs="Book Antiqua"/>
          <w:color w:val="000000"/>
        </w:rPr>
        <w:t xml:space="preserve">. Median and interquartile range was used for non-Gaussian data. Comparison of the continuous data (age, duct size, serum bilirubin) between the two groups was done by independent Student's </w:t>
      </w:r>
      <w:r>
        <w:rPr>
          <w:rStyle w:val="10"/>
          <w:rFonts w:ascii="Book Antiqua" w:hAnsi="Book Antiqua" w:eastAsia="Book Antiqua" w:cs="Book Antiqua"/>
          <w:i/>
          <w:color w:val="000000"/>
        </w:rPr>
        <w:t>t</w:t>
      </w:r>
      <w:r>
        <w:rPr>
          <w:rStyle w:val="10"/>
          <w:rFonts w:ascii="Book Antiqua" w:hAnsi="Book Antiqua" w:eastAsia="Book Antiqua" w:cs="Book Antiqua"/>
          <w:color w:val="000000"/>
        </w:rPr>
        <w:t xml:space="preserve">-test for parametric data and Mann-Whitney U-test for nonparametric data. The ability of PAI and PER to predict CR-POPF was assessed using receiver operating characteristic (ROC) analysis. A perfect test will have an AUC equaling 1. A 95% confidence interval was calculated and reported for the outcome measures. Statistical analysis was carried out at a 5% significance level, and </w:t>
      </w:r>
      <w:r>
        <w:rPr>
          <w:rStyle w:val="10"/>
          <w:rFonts w:ascii="Book Antiqua" w:hAnsi="Book Antiqua" w:eastAsia="Book Antiqua" w:cs="Book Antiqua"/>
          <w:i/>
          <w:color w:val="000000"/>
        </w:rPr>
        <w:t xml:space="preserve">P &lt; </w:t>
      </w:r>
      <w:r>
        <w:rPr>
          <w:rStyle w:val="10"/>
          <w:rFonts w:ascii="Book Antiqua" w:hAnsi="Book Antiqua" w:eastAsia="Book Antiqua" w:cs="Book Antiqua"/>
          <w:color w:val="000000"/>
        </w:rPr>
        <w:t>0.05 was considered statistically significant. The Pearson correlation coefficient (r) was used to examine the association of the histologic pancreatic fibrosis score and fat fraction with PAI and PER independently. A perfect positive correlation will show a value of +1, and a value of -1 indicates a perfect negative correlation.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RESULTS</w:t>
      </w:r>
    </w:p>
    <w:p>
      <w:pPr>
        <w:spacing w:line="360" w:lineRule="auto"/>
        <w:jc w:val="both"/>
        <w:rPr>
          <w:rStyle w:val="10"/>
          <w:rFonts w:ascii="Book Antiqua" w:hAnsi="Book Antiqua" w:cs="Book Antiqua"/>
          <w:color w:val="000000"/>
          <w:lang w:eastAsia="zh-CN"/>
        </w:rPr>
      </w:pPr>
      <w:r>
        <w:rPr>
          <w:rStyle w:val="10"/>
          <w:rFonts w:ascii="Book Antiqua" w:hAnsi="Book Antiqua" w:eastAsia="Book Antiqua" w:cs="Book Antiqua"/>
          <w:color w:val="000000"/>
        </w:rPr>
        <w:t>Of the 70 patients who underwent PD during the study period, 61 patients fulfilling the inclusion criteria were included in the analysis. Five patients did not achieve the required ROI (0.2-0.3 cm</w:t>
      </w:r>
      <w:r>
        <w:rPr>
          <w:rStyle w:val="10"/>
          <w:rFonts w:ascii="Book Antiqua" w:hAnsi="Book Antiqua" w:eastAsia="Book Antiqua" w:cs="Book Antiqua"/>
          <w:color w:val="000000"/>
          <w:vertAlign w:val="superscript"/>
        </w:rPr>
        <w:t>2</w:t>
      </w:r>
      <w:r>
        <w:rPr>
          <w:rStyle w:val="10"/>
          <w:rFonts w:ascii="Book Antiqua" w:hAnsi="Book Antiqua" w:eastAsia="Book Antiqua" w:cs="Book Antiqua"/>
          <w:color w:val="000000"/>
        </w:rPr>
        <w:t xml:space="preserve">), three patients who could not undergo histopathological analysis due to insufficient or other pathological changes in the sample and one patient who died during the immediate postoperative period were excluded from the analysis. </w:t>
      </w:r>
    </w:p>
    <w:p>
      <w:pPr>
        <w:spacing w:line="360" w:lineRule="auto"/>
        <w:jc w:val="both"/>
        <w:rPr>
          <w:rFonts w:ascii="Book Antiqua" w:hAnsi="Book Antiqua"/>
          <w:lang w:eastAsia="zh-CN"/>
        </w:rPr>
      </w:pPr>
    </w:p>
    <w:p>
      <w:pPr>
        <w:spacing w:line="360" w:lineRule="auto"/>
        <w:jc w:val="both"/>
        <w:rPr>
          <w:rFonts w:ascii="Book Antiqua" w:hAnsi="Book Antiqua"/>
        </w:rPr>
      </w:pPr>
      <w:r>
        <w:rPr>
          <w:rStyle w:val="10"/>
          <w:rFonts w:ascii="Book Antiqua" w:hAnsi="Book Antiqua" w:eastAsia="Book Antiqua" w:cs="Book Antiqua"/>
          <w:b/>
          <w:bCs/>
          <w:i/>
          <w:iCs/>
          <w:color w:val="000000"/>
        </w:rPr>
        <w:t>Preoperative predictive factors for CR-POPF</w:t>
      </w:r>
    </w:p>
    <w:p>
      <w:pPr>
        <w:spacing w:line="360" w:lineRule="auto"/>
        <w:jc w:val="both"/>
        <w:rPr>
          <w:rStyle w:val="10"/>
          <w:rFonts w:ascii="Book Antiqua" w:hAnsi="Book Antiqua" w:cs="Book Antiqua"/>
          <w:color w:val="000000"/>
          <w:lang w:eastAsia="zh-CN"/>
        </w:rPr>
      </w:pPr>
      <w:r>
        <w:rPr>
          <w:rStyle w:val="10"/>
          <w:rFonts w:ascii="Book Antiqua" w:hAnsi="Book Antiqua" w:eastAsia="Book Antiqua" w:cs="Book Antiqua"/>
          <w:color w:val="000000"/>
        </w:rPr>
        <w:t>The overall incidence of CR-POPF in the study cohort was 29.5% (18/61). The demographic variables, history of weight loss, presence of comorbidities, preoperative hemoglobin, serum bilirubin and preoperative biliary drainage were comparable between groups with and without CR-POPF (Table 1). While PAI was similar between the two groups, the mean (± SD) PER was significantly lower in patients developing CR-POPF (0.58 ± 0.20</w:t>
      </w:r>
      <w:r>
        <w:rPr>
          <w:rStyle w:val="10"/>
          <w:rFonts w:ascii="Book Antiqua" w:hAnsi="Book Antiqua" w:eastAsia="Book Antiqua" w:cs="Book Antiqua"/>
          <w:i/>
          <w:color w:val="000000"/>
        </w:rPr>
        <w:t xml:space="preserve"> vs </w:t>
      </w:r>
      <w:r>
        <w:rPr>
          <w:rStyle w:val="10"/>
          <w:rFonts w:ascii="Book Antiqua" w:hAnsi="Book Antiqua" w:eastAsia="Book Antiqua" w:cs="Book Antiqua"/>
          <w:color w:val="000000"/>
        </w:rPr>
        <w:t xml:space="preserve">0.81 ± 0.44, </w:t>
      </w:r>
      <w:r>
        <w:rPr>
          <w:rStyle w:val="10"/>
          <w:rFonts w:ascii="Book Antiqua" w:hAnsi="Book Antiqua" w:eastAsia="Book Antiqua" w:cs="Book Antiqua"/>
          <w:i/>
          <w:iCs/>
          <w:color w:val="000000"/>
        </w:rPr>
        <w:t>P</w:t>
      </w:r>
      <w:r>
        <w:rPr>
          <w:rStyle w:val="10"/>
          <w:rFonts w:ascii="Book Antiqua" w:hAnsi="Book Antiqua" w:eastAsia="Book Antiqua" w:cs="Book Antiqua"/>
          <w:color w:val="000000"/>
        </w:rPr>
        <w:t xml:space="preserve"> = 0.006). The ROC analysis was done to determine the accuracy of PAI and PER in predicting CR-POPF (Figure 3). </w:t>
      </w:r>
      <w:r>
        <w:rPr>
          <w:rFonts w:ascii="Book Antiqua" w:hAnsi="Book Antiqua" w:eastAsia="Book Antiqua" w:cs="Book Antiqua"/>
          <w:color w:val="000000"/>
        </w:rPr>
        <w:t xml:space="preserve">The area under the curve for the PAI was </w:t>
      </w:r>
      <w:r>
        <w:rPr>
          <w:rStyle w:val="10"/>
          <w:rFonts w:ascii="Book Antiqua" w:hAnsi="Book Antiqua" w:eastAsia="Book Antiqua" w:cs="Book Antiqua"/>
          <w:color w:val="000000"/>
        </w:rPr>
        <w:t>0.461 (95%CI:</w:t>
      </w:r>
      <w:r>
        <w:rPr>
          <w:rStyle w:val="10"/>
          <w:rFonts w:hint="eastAsia" w:ascii="Book Antiqua" w:hAnsi="Book Antiqua" w:cs="Book Antiqua"/>
          <w:color w:val="000000"/>
          <w:lang w:eastAsia="zh-CN"/>
        </w:rPr>
        <w:t xml:space="preserve"> 0</w:t>
      </w:r>
      <w:r>
        <w:rPr>
          <w:rStyle w:val="10"/>
          <w:rFonts w:ascii="Book Antiqua" w:hAnsi="Book Antiqua" w:eastAsia="Book Antiqua" w:cs="Book Antiqua"/>
          <w:color w:val="000000"/>
        </w:rPr>
        <w:t>.304-</w:t>
      </w:r>
      <w:r>
        <w:rPr>
          <w:rStyle w:val="10"/>
          <w:rFonts w:hint="eastAsia" w:ascii="Book Antiqua" w:hAnsi="Book Antiqua" w:cs="Book Antiqua"/>
          <w:color w:val="000000"/>
          <w:lang w:eastAsia="zh-CN"/>
        </w:rPr>
        <w:t>0</w:t>
      </w:r>
      <w:r>
        <w:rPr>
          <w:rStyle w:val="10"/>
          <w:rFonts w:ascii="Book Antiqua" w:hAnsi="Book Antiqua" w:eastAsia="Book Antiqua" w:cs="Book Antiqua"/>
          <w:color w:val="000000"/>
        </w:rPr>
        <w:t>.617)</w:t>
      </w:r>
      <w:r>
        <w:rPr>
          <w:rFonts w:ascii="Book Antiqua" w:hAnsi="Book Antiqua" w:eastAsia="Book Antiqua" w:cs="Book Antiqua"/>
          <w:color w:val="000000"/>
        </w:rPr>
        <w:t>, which was not significant (</w:t>
      </w:r>
      <w:r>
        <w:rPr>
          <w:rFonts w:ascii="Book Antiqua" w:hAnsi="Book Antiqua" w:eastAsia="Book Antiqua" w:cs="Book Antiqua"/>
          <w:i/>
          <w:iCs/>
          <w:color w:val="000000"/>
        </w:rPr>
        <w:t>P</w:t>
      </w:r>
      <w:r>
        <w:rPr>
          <w:rFonts w:ascii="Book Antiqua" w:hAnsi="Book Antiqua" w:eastAsia="Book Antiqua" w:cs="Book Antiqua"/>
          <w:color w:val="000000"/>
        </w:rPr>
        <w:t xml:space="preserve"> = 0.630). At the same time, the area under the curve for the PER was 0.</w:t>
      </w:r>
      <w:r>
        <w:rPr>
          <w:rStyle w:val="10"/>
          <w:rFonts w:ascii="Book Antiqua" w:hAnsi="Book Antiqua" w:eastAsia="Book Antiqua" w:cs="Book Antiqua"/>
          <w:color w:val="000000"/>
        </w:rPr>
        <w:t>661 (95%CI: 0.517-0.804)</w:t>
      </w:r>
      <w:r>
        <w:rPr>
          <w:rFonts w:ascii="Book Antiqua" w:hAnsi="Book Antiqua" w:eastAsia="Book Antiqua" w:cs="Book Antiqua"/>
          <w:color w:val="000000"/>
        </w:rPr>
        <w:t>, which was significant (</w:t>
      </w:r>
      <w:r>
        <w:rPr>
          <w:rStyle w:val="10"/>
          <w:rFonts w:ascii="Book Antiqua" w:hAnsi="Book Antiqua" w:eastAsia="Book Antiqua" w:cs="Book Antiqua"/>
          <w:i/>
          <w:color w:val="000000"/>
        </w:rPr>
        <w:t xml:space="preserve">P = </w:t>
      </w:r>
      <w:r>
        <w:rPr>
          <w:rStyle w:val="10"/>
          <w:rFonts w:ascii="Book Antiqua" w:hAnsi="Book Antiqua" w:eastAsia="Book Antiqua" w:cs="Book Antiqua"/>
          <w:color w:val="000000"/>
        </w:rPr>
        <w:t>0.049</w:t>
      </w:r>
      <w:r>
        <w:rPr>
          <w:rFonts w:ascii="Book Antiqua" w:hAnsi="Book Antiqua" w:eastAsia="Book Antiqua" w:cs="Book Antiqua"/>
          <w:color w:val="000000"/>
        </w:rPr>
        <w:t xml:space="preserve">). </w:t>
      </w:r>
      <w:r>
        <w:rPr>
          <w:rStyle w:val="10"/>
          <w:rFonts w:ascii="Book Antiqua" w:hAnsi="Book Antiqua" w:eastAsia="Book Antiqua" w:cs="Book Antiqua"/>
          <w:color w:val="000000"/>
        </w:rPr>
        <w:t>We can predict whether a randomly chosen case will develop CR-POPF with a probability of 66.1%. With a cut-off of PER = 0.673, PER can predict those with CR-POPF with 77.8% sensitivity and 55.8% specificity (Figure 3).</w:t>
      </w:r>
    </w:p>
    <w:p>
      <w:pPr>
        <w:spacing w:line="360" w:lineRule="auto"/>
        <w:jc w:val="both"/>
        <w:rPr>
          <w:rFonts w:ascii="Book Antiqua" w:hAnsi="Book Antiqua"/>
          <w:lang w:eastAsia="zh-CN"/>
        </w:rPr>
      </w:pPr>
    </w:p>
    <w:p>
      <w:pPr>
        <w:spacing w:line="360" w:lineRule="auto"/>
        <w:jc w:val="both"/>
        <w:rPr>
          <w:rFonts w:ascii="Book Antiqua" w:hAnsi="Book Antiqua"/>
        </w:rPr>
      </w:pPr>
      <w:r>
        <w:rPr>
          <w:rStyle w:val="10"/>
          <w:rFonts w:ascii="Book Antiqua" w:hAnsi="Book Antiqua" w:eastAsia="Book Antiqua" w:cs="Book Antiqua"/>
          <w:b/>
          <w:bCs/>
          <w:i/>
          <w:iCs/>
          <w:color w:val="000000"/>
        </w:rPr>
        <w:t>Correlation between radiological indices (PAI, PER) and histopathological findings</w:t>
      </w:r>
    </w:p>
    <w:p>
      <w:pPr>
        <w:spacing w:line="360" w:lineRule="auto"/>
        <w:jc w:val="both"/>
        <w:rPr>
          <w:rStyle w:val="10"/>
          <w:rFonts w:ascii="Book Antiqua" w:hAnsi="Book Antiqua" w:cs="Book Antiqua"/>
          <w:color w:val="000000"/>
          <w:lang w:eastAsia="zh-CN"/>
        </w:rPr>
      </w:pPr>
      <w:r>
        <w:rPr>
          <w:rStyle w:val="10"/>
          <w:rFonts w:ascii="Book Antiqua" w:hAnsi="Book Antiqua" w:eastAsia="Book Antiqua" w:cs="Book Antiqua"/>
          <w:color w:val="000000"/>
        </w:rPr>
        <w:t xml:space="preserve">There was no significant correlation between PAI and fat fraction or fibrosis score (Table 2). Pearson correlation coefficient between PER and fibrosis score was moderately positive and statistically significant with a strength of 0.504 and a </w:t>
      </w:r>
      <w:r>
        <w:rPr>
          <w:rStyle w:val="10"/>
          <w:rFonts w:ascii="Book Antiqua" w:hAnsi="Book Antiqua" w:eastAsia="Book Antiqua" w:cs="Book Antiqua"/>
          <w:i/>
          <w:color w:val="000000"/>
        </w:rPr>
        <w:t>P</w:t>
      </w:r>
      <w:r>
        <w:rPr>
          <w:rStyle w:val="10"/>
          <w:rFonts w:hint="eastAsia" w:ascii="Book Antiqua" w:hAnsi="Book Antiqua" w:cs="Book Antiqua"/>
          <w:color w:val="000000"/>
          <w:lang w:eastAsia="zh-CN"/>
        </w:rPr>
        <w:t xml:space="preserve"> </w:t>
      </w:r>
      <w:r>
        <w:rPr>
          <w:rStyle w:val="10"/>
          <w:rFonts w:ascii="Book Antiqua" w:hAnsi="Book Antiqua" w:eastAsia="Book Antiqua" w:cs="Book Antiqua"/>
          <w:color w:val="000000"/>
        </w:rPr>
        <w:t>value of &lt; 0.001. The positive correlation between PER and fibrosis score suggests that an increase in the intraparenchymal fibrosis results in the delayed pancreatic enhancement on CT, reflected as an increased PER. The correlation coefficient between PER and PAI was low negative and statistically significant, with a strength of -0.267 and a P-value of 0.037. The negative correlation between PER and PAI signifies that as the fibrosis increases, resulting in an increased delayed pancreatic enhancement, the fat fraction within the pancreas decreases, represented by a lower PAI.</w:t>
      </w:r>
    </w:p>
    <w:p>
      <w:pPr>
        <w:spacing w:line="360" w:lineRule="auto"/>
        <w:jc w:val="both"/>
        <w:rPr>
          <w:rFonts w:ascii="Book Antiqua" w:hAnsi="Book Antiqua"/>
          <w:lang w:eastAsia="zh-CN"/>
        </w:rPr>
      </w:pPr>
    </w:p>
    <w:p>
      <w:pPr>
        <w:spacing w:line="360" w:lineRule="auto"/>
        <w:jc w:val="both"/>
        <w:rPr>
          <w:rFonts w:ascii="Book Antiqua" w:hAnsi="Book Antiqua"/>
        </w:rPr>
      </w:pPr>
      <w:r>
        <w:rPr>
          <w:rStyle w:val="10"/>
          <w:rFonts w:ascii="Book Antiqua" w:hAnsi="Book Antiqua" w:eastAsia="Book Antiqua" w:cs="Book Antiqua"/>
          <w:b/>
          <w:bCs/>
          <w:i/>
          <w:iCs/>
          <w:color w:val="000000"/>
        </w:rPr>
        <w:t>Perioperative outcomes</w:t>
      </w:r>
    </w:p>
    <w:p>
      <w:pPr>
        <w:spacing w:line="360" w:lineRule="auto"/>
        <w:jc w:val="both"/>
        <w:rPr>
          <w:rFonts w:ascii="Book Antiqua" w:hAnsi="Book Antiqua"/>
        </w:rPr>
      </w:pPr>
      <w:r>
        <w:rPr>
          <w:rStyle w:val="10"/>
          <w:rFonts w:ascii="Book Antiqua" w:hAnsi="Book Antiqua" w:eastAsia="Book Antiqua" w:cs="Book Antiqua"/>
          <w:color w:val="000000"/>
        </w:rPr>
        <w:t>The operative time, blood loss, intraoperative blood transfusion, surgical approach and pancreatic duct size was comparable between the two groups (Table 3). The proportion of patients with soft pancreas was significantly higher in the CR-POPF group. Postoperatively patients with CR-POPF had a significantly higher incidence of delayed gastric emptying (83.3%</w:t>
      </w:r>
      <w:r>
        <w:rPr>
          <w:rStyle w:val="10"/>
          <w:rFonts w:ascii="Book Antiqua" w:hAnsi="Book Antiqua" w:eastAsia="Book Antiqua" w:cs="Book Antiqua"/>
          <w:i/>
          <w:color w:val="000000"/>
        </w:rPr>
        <w:t xml:space="preserve"> vs </w:t>
      </w:r>
      <w:r>
        <w:rPr>
          <w:rStyle w:val="10"/>
          <w:rFonts w:ascii="Book Antiqua" w:hAnsi="Book Antiqua" w:eastAsia="Book Antiqua" w:cs="Book Antiqua"/>
          <w:color w:val="000000"/>
        </w:rPr>
        <w:t xml:space="preserve">30.2%, </w:t>
      </w:r>
      <w:r>
        <w:rPr>
          <w:rStyle w:val="10"/>
          <w:rFonts w:ascii="Book Antiqua" w:hAnsi="Book Antiqua" w:eastAsia="Book Antiqua" w:cs="Book Antiqua"/>
          <w:i/>
          <w:color w:val="000000"/>
        </w:rPr>
        <w:t xml:space="preserve">P &lt; </w:t>
      </w:r>
      <w:r>
        <w:rPr>
          <w:rStyle w:val="10"/>
          <w:rFonts w:ascii="Book Antiqua" w:hAnsi="Book Antiqua" w:eastAsia="Book Antiqua" w:cs="Book Antiqua"/>
          <w:color w:val="000000"/>
        </w:rPr>
        <w:t>0.001) and intra-abdominal abscess (50%</w:t>
      </w:r>
      <w:r>
        <w:rPr>
          <w:rStyle w:val="10"/>
          <w:rFonts w:ascii="Book Antiqua" w:hAnsi="Book Antiqua" w:eastAsia="Book Antiqua" w:cs="Book Antiqua"/>
          <w:i/>
          <w:color w:val="000000"/>
        </w:rPr>
        <w:t xml:space="preserve"> vs </w:t>
      </w:r>
      <w:r>
        <w:rPr>
          <w:rStyle w:val="10"/>
          <w:rFonts w:ascii="Book Antiqua" w:hAnsi="Book Antiqua" w:eastAsia="Book Antiqua" w:cs="Book Antiqua"/>
          <w:color w:val="000000"/>
        </w:rPr>
        <w:t xml:space="preserve">2.3%, </w:t>
      </w:r>
      <w:r>
        <w:rPr>
          <w:rStyle w:val="10"/>
          <w:rFonts w:ascii="Book Antiqua" w:hAnsi="Book Antiqua" w:eastAsia="Book Antiqua" w:cs="Book Antiqua"/>
          <w:i/>
          <w:color w:val="000000"/>
        </w:rPr>
        <w:t xml:space="preserve">P &lt; </w:t>
      </w:r>
      <w:r>
        <w:rPr>
          <w:rStyle w:val="10"/>
          <w:rFonts w:ascii="Book Antiqua" w:hAnsi="Book Antiqua" w:eastAsia="Book Antiqua" w:cs="Book Antiqua"/>
          <w:color w:val="000000"/>
        </w:rPr>
        <w:t xml:space="preserve">0.001). Also, Patients with CR-POPF had a prolonged postoperative hospital stay. There was no significant difference in the pancreatic fat fraction and fibrosis score between the two groups.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DISCUSSION</w:t>
      </w:r>
    </w:p>
    <w:p>
      <w:pPr>
        <w:spacing w:line="360" w:lineRule="auto"/>
        <w:jc w:val="both"/>
        <w:rPr>
          <w:rStyle w:val="10"/>
          <w:rFonts w:ascii="Book Antiqua" w:hAnsi="Book Antiqua" w:cs="Book Antiqua"/>
          <w:color w:val="000000"/>
          <w:lang w:eastAsia="zh-CN"/>
        </w:rPr>
      </w:pPr>
      <w:r>
        <w:rPr>
          <w:rStyle w:val="10"/>
          <w:rFonts w:ascii="Book Antiqua" w:hAnsi="Book Antiqua" w:eastAsia="Book Antiqua" w:cs="Book Antiqua"/>
          <w:color w:val="000000"/>
        </w:rPr>
        <w:t xml:space="preserve">The present study documents the role of preoperative CT indices, especially PER, in predicting CR-POPF. </w:t>
      </w:r>
      <w:r>
        <w:rPr>
          <w:rFonts w:ascii="Book Antiqua" w:hAnsi="Book Antiqua" w:eastAsia="Book Antiqua" w:cs="Book Antiqua"/>
          <w:color w:val="000000"/>
        </w:rPr>
        <w:t>Despite improved surgical techniques and perioperative management, PD remains a morbid procedure with a 30-50% estimated morbidity rate</w:t>
      </w:r>
      <w:r>
        <w:rPr>
          <w:rFonts w:ascii="Book Antiqua" w:hAnsi="Book Antiqua" w:eastAsia="Book Antiqua" w:cs="Book Antiqua"/>
          <w:color w:val="000000"/>
          <w:vertAlign w:val="superscript"/>
        </w:rPr>
        <w:t>[1,2]</w:t>
      </w:r>
      <w:r>
        <w:rPr>
          <w:rFonts w:ascii="Book Antiqua" w:hAnsi="Book Antiqua" w:eastAsia="Book Antiqua" w:cs="Book Antiqua"/>
          <w:color w:val="000000"/>
        </w:rPr>
        <w:t xml:space="preserve">. </w:t>
      </w:r>
      <w:r>
        <w:rPr>
          <w:rStyle w:val="10"/>
          <w:rFonts w:ascii="Book Antiqua" w:hAnsi="Book Antiqua" w:eastAsia="Book Antiqua" w:cs="Book Antiqua"/>
          <w:color w:val="000000"/>
        </w:rPr>
        <w:t>POPF is the critical cause of post-PD morbidity, and pancreatic texture has been reported as an important predictive parameter for POPF</w:t>
      </w:r>
      <w:r>
        <w:rPr>
          <w:rStyle w:val="10"/>
          <w:rFonts w:ascii="Book Antiqua" w:hAnsi="Book Antiqua" w:eastAsia="Book Antiqua" w:cs="Book Antiqua"/>
          <w:color w:val="000000"/>
          <w:vertAlign w:val="superscript"/>
        </w:rPr>
        <w:t>[17,18]</w:t>
      </w:r>
      <w:r>
        <w:rPr>
          <w:rStyle w:val="10"/>
          <w:rFonts w:ascii="Book Antiqua" w:hAnsi="Book Antiqua" w:eastAsia="Book Antiqua" w:cs="Book Antiqua"/>
          <w:color w:val="000000"/>
        </w:rPr>
        <w:t>. A soft pancreatic texture has been associated with an increased risk, while a firm pancreas protects against POPF. However, intraoperative assessment of gland consistency by the surgeon's digital palpation is highly subjective</w:t>
      </w:r>
      <w:r>
        <w:rPr>
          <w:rStyle w:val="10"/>
          <w:rFonts w:ascii="Book Antiqua" w:hAnsi="Book Antiqua" w:eastAsia="Book Antiqua" w:cs="Book Antiqua"/>
          <w:color w:val="000000"/>
          <w:vertAlign w:val="superscript"/>
        </w:rPr>
        <w:t>[18]</w:t>
      </w:r>
      <w:r>
        <w:rPr>
          <w:rStyle w:val="10"/>
          <w:rFonts w:ascii="Book Antiqua" w:hAnsi="Book Antiqua" w:eastAsia="Book Antiqua" w:cs="Book Antiqua"/>
          <w:color w:val="000000"/>
        </w:rPr>
        <w:t>. In recent years, laparoscopic and robotic approaches for PD have increased globally. Assessment of pancreatic texture during minimally invasive PD, especially the robotic approach, is challenging. Hence, parameters like acinar cell density and fibrosis score on histopathological examination were evaluated as objective criteria for pancreatic texture</w:t>
      </w:r>
      <w:r>
        <w:rPr>
          <w:rStyle w:val="10"/>
          <w:rFonts w:ascii="Book Antiqua" w:hAnsi="Book Antiqua" w:eastAsia="Book Antiqua" w:cs="Book Antiqua"/>
          <w:color w:val="000000"/>
          <w:vertAlign w:val="superscript"/>
        </w:rPr>
        <w:t>[19]</w:t>
      </w:r>
      <w:r>
        <w:rPr>
          <w:rStyle w:val="10"/>
          <w:rFonts w:ascii="Book Antiqua" w:hAnsi="Book Antiqua" w:eastAsia="Book Antiqua" w:cs="Book Antiqua"/>
          <w:color w:val="000000"/>
        </w:rPr>
        <w:t>. However, these parameters are not helpful for the preoperative prediction of POPF. Preoperative CR-POPF prediction using dependable parameters can assist in implementing intraoperative and postoperative measures to reduce CR-POPF-related morbidity. Hence, attempts have been made to correlate preoperative cross-sectional imaging (CECT and MRI) with pancreatic texture</w:t>
      </w:r>
      <w:r>
        <w:rPr>
          <w:rStyle w:val="10"/>
          <w:rFonts w:ascii="Book Antiqua" w:hAnsi="Book Antiqua" w:eastAsia="Book Antiqua" w:cs="Book Antiqua"/>
          <w:color w:val="000000"/>
          <w:vertAlign w:val="superscript"/>
        </w:rPr>
        <w:t>[7-11,20]</w:t>
      </w:r>
      <w:r>
        <w:rPr>
          <w:rStyle w:val="10"/>
          <w:rFonts w:ascii="Book Antiqua" w:hAnsi="Book Antiqua" w:eastAsia="Book Antiqua" w:cs="Book Antiqua"/>
          <w:color w:val="000000"/>
        </w:rPr>
        <w:t>. Most studies evaluating PAI and PER on the CECT abdomen were retrospective, which precludes assessment and correlation of pancreatic neck fat fraction and fibrosis</w:t>
      </w:r>
      <w:r>
        <w:rPr>
          <w:rStyle w:val="10"/>
          <w:rFonts w:ascii="Book Antiqua" w:hAnsi="Book Antiqua" w:eastAsia="Book Antiqua" w:cs="Book Antiqua"/>
          <w:color w:val="000000"/>
          <w:vertAlign w:val="superscript"/>
        </w:rPr>
        <w:t>[7-11]</w:t>
      </w:r>
      <w:r>
        <w:rPr>
          <w:rStyle w:val="10"/>
          <w:rFonts w:ascii="Book Antiqua" w:hAnsi="Book Antiqua" w:eastAsia="Book Antiqua" w:cs="Book Antiqua"/>
          <w:color w:val="000000"/>
        </w:rPr>
        <w:t xml:space="preserve">. </w:t>
      </w:r>
    </w:p>
    <w:p>
      <w:pPr>
        <w:spacing w:line="360" w:lineRule="auto"/>
        <w:jc w:val="both"/>
        <w:rPr>
          <w:rFonts w:ascii="Book Antiqua" w:hAnsi="Book Antiqua"/>
          <w:lang w:eastAsia="zh-CN"/>
        </w:rPr>
      </w:pPr>
    </w:p>
    <w:p>
      <w:pPr>
        <w:spacing w:line="360" w:lineRule="auto"/>
        <w:jc w:val="both"/>
        <w:rPr>
          <w:rFonts w:ascii="Book Antiqua" w:hAnsi="Book Antiqua"/>
          <w:lang w:eastAsia="zh-CN"/>
        </w:rPr>
      </w:pPr>
      <w:r>
        <w:rPr>
          <w:rStyle w:val="10"/>
          <w:rFonts w:ascii="Book Antiqua" w:hAnsi="Book Antiqua" w:eastAsia="Book Antiqua" w:cs="Book Antiqua"/>
          <w:b/>
          <w:bCs/>
          <w:i/>
          <w:iCs/>
          <w:color w:val="000000"/>
        </w:rPr>
        <w:t>PAI</w:t>
      </w:r>
    </w:p>
    <w:p>
      <w:pPr>
        <w:spacing w:line="360" w:lineRule="auto"/>
        <w:jc w:val="both"/>
        <w:rPr>
          <w:rStyle w:val="10"/>
          <w:rFonts w:ascii="Book Antiqua" w:hAnsi="Book Antiqua" w:cs="Book Antiqua"/>
          <w:color w:val="000000"/>
          <w:lang w:eastAsia="zh-CN"/>
        </w:rPr>
      </w:pPr>
      <w:r>
        <w:rPr>
          <w:rStyle w:val="10"/>
          <w:rFonts w:ascii="Book Antiqua" w:hAnsi="Book Antiqua" w:eastAsia="Book Antiqua" w:cs="Book Antiqua"/>
          <w:color w:val="000000"/>
        </w:rPr>
        <w:t>The</w:t>
      </w:r>
      <w:r>
        <w:rPr>
          <w:rStyle w:val="10"/>
          <w:rFonts w:ascii="Book Antiqua" w:hAnsi="Book Antiqua" w:eastAsia="Book Antiqua" w:cs="Book Antiqua"/>
          <w:color w:val="000000"/>
          <w:shd w:val="clear" w:color="auto" w:fill="FFFFFF"/>
        </w:rPr>
        <w:t xml:space="preserve"> high fat fraction in the pancreas makes the pancreas softer, which might increase the risk of POPF following PD. Liver Attenuation Index is the widely used radiological index to measure liver fat fraction</w:t>
      </w:r>
      <w:r>
        <w:rPr>
          <w:rStyle w:val="10"/>
          <w:rFonts w:ascii="Book Antiqua" w:hAnsi="Book Antiqua" w:eastAsia="Book Antiqua" w:cs="Book Antiqua"/>
          <w:color w:val="000000"/>
          <w:shd w:val="clear" w:color="auto" w:fill="FFFFFF"/>
          <w:vertAlign w:val="superscript"/>
        </w:rPr>
        <w:t>[21]</w:t>
      </w:r>
      <w:r>
        <w:rPr>
          <w:rStyle w:val="10"/>
          <w:rFonts w:ascii="Book Antiqua" w:hAnsi="Book Antiqua" w:eastAsia="Book Antiqua" w:cs="Book Antiqua"/>
          <w:color w:val="000000"/>
          <w:shd w:val="clear" w:color="auto" w:fill="FFFFFF"/>
        </w:rPr>
        <w:t xml:space="preserve">. Similarly, </w:t>
      </w:r>
      <w:r>
        <w:rPr>
          <w:rStyle w:val="10"/>
          <w:rFonts w:ascii="Book Antiqua" w:hAnsi="Book Antiqua" w:eastAsia="Book Antiqua" w:cs="Book Antiqua"/>
          <w:color w:val="000000"/>
        </w:rPr>
        <w:t xml:space="preserve">Yardimci </w:t>
      </w:r>
      <w:r>
        <w:rPr>
          <w:rStyle w:val="10"/>
          <w:rFonts w:ascii="Book Antiqua" w:hAnsi="Book Antiqua" w:eastAsia="Book Antiqua" w:cs="Book Antiqua"/>
          <w:i/>
          <w:iCs/>
          <w:color w:val="000000"/>
        </w:rPr>
        <w:t>et al</w:t>
      </w:r>
      <w:r>
        <w:rPr>
          <w:rStyle w:val="10"/>
          <w:rFonts w:ascii="Book Antiqua" w:hAnsi="Book Antiqua" w:eastAsia="Book Antiqua" w:cs="Book Antiqua"/>
          <w:color w:val="000000"/>
          <w:vertAlign w:val="superscript"/>
        </w:rPr>
        <w:t>[22]</w:t>
      </w:r>
      <w:r>
        <w:rPr>
          <w:rStyle w:val="10"/>
          <w:rFonts w:ascii="Book Antiqua" w:hAnsi="Book Antiqua" w:eastAsia="Book Antiqua" w:cs="Book Antiqua"/>
          <w:color w:val="000000"/>
        </w:rPr>
        <w:t xml:space="preserve"> proposed PAI as a simple tool to assess pancreatic fat fraction based on the study of 76 patients who underwent PD. The PAI cut-off value of 0.67 was valuable for risk calculation in their research. Other studies also reported the usefulness of PAI in assessing pancreatic fat fraction</w:t>
      </w:r>
      <w:r>
        <w:rPr>
          <w:rStyle w:val="10"/>
          <w:rFonts w:ascii="Book Antiqua" w:hAnsi="Book Antiqua" w:eastAsia="Book Antiqua" w:cs="Book Antiqua"/>
          <w:color w:val="000000"/>
          <w:vertAlign w:val="superscript"/>
        </w:rPr>
        <w:t>[7,8]</w:t>
      </w:r>
      <w:r>
        <w:rPr>
          <w:rStyle w:val="10"/>
          <w:rFonts w:ascii="Book Antiqua" w:hAnsi="Book Antiqua" w:eastAsia="Book Antiqua" w:cs="Book Antiqua"/>
          <w:color w:val="000000"/>
        </w:rPr>
        <w:t xml:space="preserve">. </w:t>
      </w:r>
      <w:r>
        <w:rPr>
          <w:rStyle w:val="10"/>
          <w:rFonts w:ascii="Book Antiqua" w:hAnsi="Book Antiqua" w:eastAsia="Book Antiqua" w:cs="Book Antiqua"/>
          <w:color w:val="000000"/>
          <w:shd w:val="clear" w:color="auto" w:fill="FFFFFF"/>
        </w:rPr>
        <w:t xml:space="preserve">Although PAI was proposed as a simple tool that can be quickly evaluated, the lack of adequate external validation remains the primary impediment to its widespread adoption. In the present study, PAI was not useful for predicting CR-POPF. </w:t>
      </w:r>
      <w:r>
        <w:rPr>
          <w:rStyle w:val="10"/>
          <w:rFonts w:ascii="Book Antiqua" w:hAnsi="Book Antiqua" w:eastAsia="Book Antiqua" w:cs="Book Antiqua"/>
          <w:color w:val="000000"/>
        </w:rPr>
        <w:t xml:space="preserve">Also, PAI did not correlate with histological pancreatic fat fraction. On the other hand, PAI correlated negatively with PER, indicating an inverse relationship between pancreatic fat content with fibrosis and pancreatic texture. According to our analysis, PAI may not accurately reflect pancreas fat fraction and softness. However, the lack of predictability and correlation may be due to the small sample size and the underpowered study. </w:t>
      </w:r>
    </w:p>
    <w:p>
      <w:pPr>
        <w:spacing w:line="360" w:lineRule="auto"/>
        <w:jc w:val="both"/>
        <w:rPr>
          <w:rFonts w:ascii="Book Antiqua" w:hAnsi="Book Antiqua"/>
          <w:lang w:eastAsia="zh-CN"/>
        </w:rPr>
      </w:pPr>
    </w:p>
    <w:p>
      <w:pPr>
        <w:spacing w:line="360" w:lineRule="auto"/>
        <w:jc w:val="both"/>
        <w:rPr>
          <w:rFonts w:ascii="Book Antiqua" w:hAnsi="Book Antiqua"/>
          <w:lang w:eastAsia="zh-CN"/>
        </w:rPr>
      </w:pPr>
      <w:r>
        <w:rPr>
          <w:rStyle w:val="10"/>
          <w:rFonts w:ascii="Book Antiqua" w:hAnsi="Book Antiqua" w:eastAsia="Book Antiqua" w:cs="Book Antiqua"/>
          <w:b/>
          <w:bCs/>
          <w:i/>
          <w:iCs/>
          <w:color w:val="000000"/>
          <w:shd w:val="clear" w:color="auto" w:fill="FFFFFF"/>
        </w:rPr>
        <w:t>PER</w:t>
      </w:r>
    </w:p>
    <w:p>
      <w:pPr>
        <w:spacing w:line="360" w:lineRule="auto"/>
        <w:jc w:val="both"/>
        <w:rPr>
          <w:rStyle w:val="10"/>
          <w:rFonts w:ascii="Book Antiqua" w:hAnsi="Book Antiqua" w:cs="Book Antiqua"/>
          <w:color w:val="000000"/>
          <w:lang w:eastAsia="zh-CN"/>
        </w:rPr>
      </w:pPr>
      <w:r>
        <w:rPr>
          <w:rStyle w:val="10"/>
          <w:rFonts w:ascii="Book Antiqua" w:hAnsi="Book Antiqua" w:eastAsia="Book Antiqua" w:cs="Book Antiqua"/>
          <w:color w:val="000000"/>
        </w:rPr>
        <w:t xml:space="preserve">An increase in the fibrosis of the pancreas makes the gland firmer, decreasing the incidence of POPF. It is technically straightforward to perform a pancreatoenteric anastomosis on a firmer gland. Maehira </w:t>
      </w:r>
      <w:r>
        <w:rPr>
          <w:rStyle w:val="10"/>
          <w:rFonts w:ascii="Book Antiqua" w:hAnsi="Book Antiqua" w:eastAsia="Book Antiqua" w:cs="Book Antiqua"/>
          <w:i/>
          <w:iCs/>
          <w:color w:val="000000"/>
        </w:rPr>
        <w:t>et al</w:t>
      </w:r>
      <w:r>
        <w:rPr>
          <w:rStyle w:val="10"/>
          <w:rFonts w:ascii="Book Antiqua" w:hAnsi="Book Antiqua" w:eastAsia="Book Antiqua" w:cs="Book Antiqua"/>
          <w:color w:val="000000"/>
          <w:vertAlign w:val="superscript"/>
        </w:rPr>
        <w:t>[9]</w:t>
      </w:r>
      <w:r>
        <w:rPr>
          <w:rStyle w:val="10"/>
          <w:rFonts w:ascii="Book Antiqua" w:hAnsi="Book Antiqua" w:eastAsia="Book Antiqua" w:cs="Book Antiqua"/>
          <w:color w:val="000000"/>
        </w:rPr>
        <w:t xml:space="preserve">, in a retrospective analysis of 115 patients, reported that the pattern of pancreatic enhancement could be a reliable predictor for the development of CR-POPF. Also, Kang </w:t>
      </w:r>
      <w:r>
        <w:rPr>
          <w:rStyle w:val="10"/>
          <w:rFonts w:ascii="Book Antiqua" w:hAnsi="Book Antiqua" w:eastAsia="Book Antiqua" w:cs="Book Antiqua"/>
          <w:i/>
          <w:iCs/>
          <w:color w:val="000000"/>
        </w:rPr>
        <w:t>et al</w:t>
      </w:r>
      <w:r>
        <w:rPr>
          <w:rStyle w:val="10"/>
          <w:rFonts w:ascii="Book Antiqua" w:hAnsi="Book Antiqua" w:eastAsia="Book Antiqua" w:cs="Book Antiqua"/>
          <w:color w:val="000000"/>
          <w:vertAlign w:val="superscript"/>
        </w:rPr>
        <w:t>[11]</w:t>
      </w:r>
      <w:r>
        <w:rPr>
          <w:rStyle w:val="10"/>
          <w:rFonts w:ascii="Book Antiqua" w:hAnsi="Book Antiqua" w:eastAsia="Book Antiqua" w:cs="Book Antiqua"/>
          <w:color w:val="000000"/>
        </w:rPr>
        <w:t xml:space="preserve"> documented that PER cut-off of 1.100 might be a valuable predictor for the risk of developing a CR-POPF following PD. In the present study, the </w:t>
      </w:r>
      <w:r>
        <w:rPr>
          <w:rStyle w:val="10"/>
          <w:rFonts w:ascii="Book Antiqua" w:hAnsi="Book Antiqua" w:eastAsia="Book Antiqua" w:cs="Book Antiqua"/>
          <w:color w:val="000000"/>
          <w:shd w:val="clear" w:color="auto" w:fill="FFFFFF"/>
        </w:rPr>
        <w:t>PER cut-off value of 0</w:t>
      </w:r>
      <w:r>
        <w:rPr>
          <w:rStyle w:val="10"/>
          <w:rFonts w:ascii="Book Antiqua" w:hAnsi="Book Antiqua" w:eastAsia="Book Antiqua" w:cs="Book Antiqua"/>
          <w:color w:val="000000"/>
        </w:rPr>
        <w:t xml:space="preserve">.661 </w:t>
      </w:r>
      <w:r>
        <w:rPr>
          <w:rStyle w:val="10"/>
          <w:rFonts w:ascii="Book Antiqua" w:hAnsi="Book Antiqua" w:eastAsia="Book Antiqua" w:cs="Book Antiqua"/>
          <w:color w:val="000000"/>
          <w:shd w:val="clear" w:color="auto" w:fill="FFFFFF"/>
        </w:rPr>
        <w:t xml:space="preserve">had a sensitivity of 78% and a specificity of 55% in predicting CR-POPF. </w:t>
      </w:r>
      <w:r>
        <w:rPr>
          <w:rStyle w:val="10"/>
          <w:rFonts w:ascii="Book Antiqua" w:hAnsi="Book Antiqua" w:eastAsia="Book Antiqua" w:cs="Book Antiqua"/>
          <w:color w:val="000000"/>
        </w:rPr>
        <w:t>Also, PER had a positive correlation with pancreatic fibrosis. The main drawback of using PER as a predictor for CR-POPF is that the perfusion of organs with injected contrast depends upon the patient's hemodynamic status, influencing the final indices values, unlike PAI, which is independent of contrast.</w:t>
      </w:r>
    </w:p>
    <w:p>
      <w:pPr>
        <w:spacing w:line="360" w:lineRule="auto"/>
        <w:jc w:val="both"/>
        <w:rPr>
          <w:rFonts w:ascii="Book Antiqua" w:hAnsi="Book Antiqua"/>
          <w:lang w:eastAsia="zh-CN"/>
        </w:rPr>
      </w:pPr>
    </w:p>
    <w:p>
      <w:pPr>
        <w:spacing w:line="360" w:lineRule="auto"/>
        <w:jc w:val="both"/>
        <w:rPr>
          <w:rFonts w:ascii="Book Antiqua" w:hAnsi="Book Antiqua"/>
        </w:rPr>
      </w:pPr>
      <w:r>
        <w:rPr>
          <w:rStyle w:val="10"/>
          <w:rFonts w:ascii="Book Antiqua" w:hAnsi="Book Antiqua" w:eastAsia="Book Antiqua" w:cs="Book Antiqua"/>
          <w:b/>
          <w:bCs/>
          <w:i/>
          <w:iCs/>
          <w:color w:val="000000"/>
        </w:rPr>
        <w:t xml:space="preserve">Correlation between the CT indices and Histopathological analysis </w:t>
      </w:r>
    </w:p>
    <w:p>
      <w:pPr>
        <w:spacing w:line="360" w:lineRule="auto"/>
        <w:jc w:val="both"/>
        <w:rPr>
          <w:rFonts w:ascii="Book Antiqua" w:hAnsi="Book Antiqua"/>
        </w:rPr>
      </w:pPr>
      <w:r>
        <w:rPr>
          <w:rStyle w:val="10"/>
          <w:rFonts w:ascii="Book Antiqua" w:hAnsi="Book Antiqua" w:eastAsia="Book Antiqua" w:cs="Book Antiqua"/>
          <w:color w:val="000000"/>
        </w:rPr>
        <w:t xml:space="preserve">With pancreatic fibrosis known for the protection of CR-POPF and pancreatic fatty infiltration being a concern, it is prudent that radiological indices be correlated with histopathological findings to determine their predictive accuracy. While multiple studies have evaluated different CT parameters, a few have tried to link with histology. However, no previous studies have looked at both contrast and non-contrast indices and their relationship with pancreatic neck fat fraction and fibrosis. The present study results are similar to the study by Hashimoto </w:t>
      </w:r>
      <w:r>
        <w:rPr>
          <w:rStyle w:val="10"/>
          <w:rFonts w:ascii="Book Antiqua" w:hAnsi="Book Antiqua" w:eastAsia="Book Antiqua" w:cs="Book Antiqua"/>
          <w:i/>
          <w:iCs/>
          <w:color w:val="000000"/>
        </w:rPr>
        <w:t>et al</w:t>
      </w:r>
      <w:r>
        <w:rPr>
          <w:rStyle w:val="10"/>
          <w:rFonts w:ascii="Book Antiqua" w:hAnsi="Book Antiqua" w:eastAsia="Book Antiqua" w:cs="Book Antiqua"/>
          <w:color w:val="000000"/>
          <w:vertAlign w:val="superscript"/>
        </w:rPr>
        <w:t>[10]</w:t>
      </w:r>
      <w:r>
        <w:rPr>
          <w:rStyle w:val="10"/>
          <w:rFonts w:ascii="Book Antiqua" w:hAnsi="Book Antiqua" w:eastAsia="Book Antiqua" w:cs="Book Antiqua"/>
          <w:color w:val="000000"/>
        </w:rPr>
        <w:t xml:space="preserve">, which reported a correlation between PER and pancreatic fibrosis. However, in contrast to the current study, bolus tracking was not used in their imaging protocol. Hence, the timing differences between the scan performance and arrival of injected contrast in the structures were not considered. Further, the iodine concentration of the contrast used could affect the magnitude of enhancement. Kang </w:t>
      </w:r>
      <w:r>
        <w:rPr>
          <w:rStyle w:val="10"/>
          <w:rFonts w:ascii="Book Antiqua" w:hAnsi="Book Antiqua" w:eastAsia="Book Antiqua" w:cs="Book Antiqua"/>
          <w:i/>
          <w:iCs/>
          <w:color w:val="000000"/>
        </w:rPr>
        <w:t>et al</w:t>
      </w:r>
      <w:r>
        <w:rPr>
          <w:rStyle w:val="10"/>
          <w:rFonts w:ascii="Book Antiqua" w:hAnsi="Book Antiqua" w:eastAsia="Book Antiqua" w:cs="Book Antiqua"/>
          <w:color w:val="000000"/>
          <w:vertAlign w:val="superscript"/>
        </w:rPr>
        <w:t>[11]</w:t>
      </w:r>
      <w:r>
        <w:rPr>
          <w:rStyle w:val="10"/>
          <w:rFonts w:ascii="Book Antiqua" w:hAnsi="Book Antiqua" w:eastAsia="Book Antiqua" w:cs="Book Antiqua"/>
          <w:color w:val="000000"/>
        </w:rPr>
        <w:t xml:space="preserve"> reported that the CT enhancement ratio was a more powerful predictor of pancreatic fistula than fecal elastase-1 Levels. However, in contrast to the current study, their study was a retrospective analysis, with no reference standards of the pathological fibrosis data to correlate with the CT enhancement ratios. </w:t>
      </w:r>
    </w:p>
    <w:p>
      <w:pPr>
        <w:spacing w:line="360" w:lineRule="auto"/>
        <w:ind w:firstLine="480" w:firstLineChars="200"/>
        <w:jc w:val="both"/>
        <w:rPr>
          <w:rStyle w:val="10"/>
          <w:rFonts w:ascii="Book Antiqua" w:hAnsi="Book Antiqua" w:cs="Book Antiqua"/>
          <w:color w:val="000000"/>
          <w:lang w:eastAsia="zh-CN"/>
        </w:rPr>
      </w:pPr>
      <w:r>
        <w:rPr>
          <w:rStyle w:val="10"/>
          <w:rFonts w:ascii="Book Antiqua" w:hAnsi="Book Antiqua" w:eastAsia="Book Antiqua" w:cs="Book Antiqua"/>
          <w:color w:val="000000"/>
        </w:rPr>
        <w:t xml:space="preserve">Our study did not show any correlation of PAI with pancreatic fat fraction. Kim </w:t>
      </w:r>
      <w:r>
        <w:rPr>
          <w:rStyle w:val="10"/>
          <w:rFonts w:ascii="Book Antiqua" w:hAnsi="Book Antiqua" w:eastAsia="Book Antiqua" w:cs="Book Antiqua"/>
          <w:i/>
          <w:iCs/>
          <w:color w:val="000000"/>
        </w:rPr>
        <w:t>et al</w:t>
      </w:r>
      <w:r>
        <w:rPr>
          <w:rStyle w:val="10"/>
          <w:rFonts w:ascii="Book Antiqua" w:hAnsi="Book Antiqua" w:eastAsia="Book Antiqua" w:cs="Book Antiqua"/>
          <w:color w:val="000000"/>
          <w:vertAlign w:val="superscript"/>
        </w:rPr>
        <w:t>[12]</w:t>
      </w:r>
      <w:r>
        <w:rPr>
          <w:rStyle w:val="10"/>
          <w:rFonts w:ascii="Book Antiqua" w:hAnsi="Book Antiqua" w:eastAsia="Book Antiqua" w:cs="Book Antiqua"/>
          <w:color w:val="000000"/>
        </w:rPr>
        <w:t xml:space="preserve"> reported a significant correlation between the PAI and histopathological fat fraction. However, the clinical parameter that was assessed was post PD glycemic control, unlike CR-POPF in our study. Though the study was able to show a positive correlation, it was a retrospective study, with a small sample size and lack of clarity on whether the histological fat fraction corresponded with the area of ROI. Hori </w:t>
      </w:r>
      <w:r>
        <w:rPr>
          <w:rStyle w:val="10"/>
          <w:rFonts w:ascii="Book Antiqua" w:hAnsi="Book Antiqua" w:eastAsia="Book Antiqua" w:cs="Book Antiqua"/>
          <w:i/>
          <w:iCs/>
          <w:color w:val="000000"/>
        </w:rPr>
        <w:t>et al</w:t>
      </w:r>
      <w:r>
        <w:rPr>
          <w:rStyle w:val="10"/>
          <w:rFonts w:ascii="Book Antiqua" w:hAnsi="Book Antiqua" w:eastAsia="Book Antiqua" w:cs="Book Antiqua"/>
          <w:color w:val="000000"/>
          <w:vertAlign w:val="superscript"/>
        </w:rPr>
        <w:t>[23]</w:t>
      </w:r>
      <w:r>
        <w:rPr>
          <w:rStyle w:val="10"/>
          <w:rFonts w:ascii="Book Antiqua" w:hAnsi="Book Antiqua" w:eastAsia="Book Antiqua" w:cs="Book Antiqua"/>
          <w:color w:val="000000"/>
        </w:rPr>
        <w:t xml:space="preserve"> have recently shown that area-based assessment on unenhanced CT showed higher correlation and concordance with histopathology-based fat fraction in the pancreas than the ROI-based CT attenuation assessment. A few studies have reported the usefulness of MRI for analyzing pancreatic fat content</w:t>
      </w:r>
      <w:r>
        <w:rPr>
          <w:rStyle w:val="10"/>
          <w:rFonts w:ascii="Book Antiqua" w:hAnsi="Book Antiqua" w:eastAsia="Book Antiqua" w:cs="Book Antiqua"/>
          <w:color w:val="000000"/>
          <w:vertAlign w:val="superscript"/>
        </w:rPr>
        <w:t>[20]</w:t>
      </w:r>
      <w:r>
        <w:rPr>
          <w:rStyle w:val="10"/>
          <w:rFonts w:ascii="Book Antiqua" w:hAnsi="Book Antiqua" w:eastAsia="Book Antiqua" w:cs="Book Antiqua"/>
          <w:color w:val="000000"/>
        </w:rPr>
        <w:t xml:space="preserve">. As MRI is not widely available and routinely used for preoperative workup of patients undergoing PD, its use as a predictor tool for CR-POPF has a limited application. The different CT attenuation and enhancement values reported in the present study could be due to the calculation of CT indices precisely at the pancreatic neck. In contrast, previous studies measured randomly across the pancreas. </w:t>
      </w:r>
    </w:p>
    <w:p>
      <w:pPr>
        <w:spacing w:line="360" w:lineRule="auto"/>
        <w:jc w:val="both"/>
        <w:rPr>
          <w:rFonts w:ascii="Book Antiqua" w:hAnsi="Book Antiqua"/>
          <w:lang w:eastAsia="zh-CN"/>
        </w:rPr>
      </w:pPr>
    </w:p>
    <w:p>
      <w:pPr>
        <w:spacing w:line="360" w:lineRule="auto"/>
        <w:jc w:val="both"/>
        <w:rPr>
          <w:rFonts w:ascii="Book Antiqua" w:hAnsi="Book Antiqua"/>
        </w:rPr>
      </w:pPr>
      <w:r>
        <w:rPr>
          <w:rStyle w:val="10"/>
          <w:rFonts w:ascii="Book Antiqua" w:hAnsi="Book Antiqua" w:eastAsia="Book Antiqua" w:cs="Book Antiqua"/>
          <w:b/>
          <w:bCs/>
          <w:i/>
          <w:iCs/>
          <w:color w:val="000000"/>
        </w:rPr>
        <w:t xml:space="preserve">Limitations </w:t>
      </w:r>
    </w:p>
    <w:p>
      <w:pPr>
        <w:spacing w:line="360" w:lineRule="auto"/>
        <w:jc w:val="both"/>
        <w:rPr>
          <w:rFonts w:ascii="Book Antiqua" w:hAnsi="Book Antiqua"/>
        </w:rPr>
      </w:pPr>
      <w:r>
        <w:rPr>
          <w:rStyle w:val="10"/>
          <w:rFonts w:ascii="Book Antiqua" w:hAnsi="Book Antiqua" w:eastAsia="Book Antiqua" w:cs="Book Antiqua"/>
          <w:color w:val="000000"/>
        </w:rPr>
        <w:t>Our study is limited by a few factors that require attention. Firstly, the small sample size may not represent the entire patient cohort. A future study with a larger sample size is needed to determine PAI's predictability accurately. The reliable prediction of CR-POPF preoperatively is challenging in patients undergoing PD as it is a mix of a heterogeneous population of patients subjected to different heterogeneous surgical approaches. In PD, with various reconstructive options available and each Institute and each surgeon adopting a technique of their own choice, creating a standardized operative technique is nearly impossible. A homogenous population of patients and standardized uniform surgical techniques are prerequisites for any preoperative prediction models to show good predictive ability, both of which are difficult to achieve in the case of PD. The patient characteristics, the surgeon's expertise and surgical techniques are vital in deciding the risk of a patient developing CR-POPF. With all these factors coming into play, it is expected that accurate preoperative prediction of CR-POPF is not always possible. Even if some studies show a single or group of parameters as predictors for CR-POPF, external validation might not offer the same result because of the factors mentioned above.</w:t>
      </w:r>
    </w:p>
    <w:p>
      <w:pPr>
        <w:spacing w:line="360" w:lineRule="auto"/>
        <w:ind w:firstLine="480" w:firstLineChars="200"/>
        <w:jc w:val="both"/>
        <w:rPr>
          <w:rFonts w:ascii="Book Antiqua" w:hAnsi="Book Antiqua"/>
        </w:rPr>
      </w:pPr>
      <w:r>
        <w:rPr>
          <w:rStyle w:val="10"/>
          <w:rFonts w:ascii="Book Antiqua" w:hAnsi="Book Antiqua" w:eastAsia="Book Antiqua" w:cs="Book Antiqua"/>
          <w:color w:val="000000"/>
        </w:rPr>
        <w:t>Nevertheless, identifying potential preoperative predictors for CR-POPF is a vital step in our journey to decrease the morbidity associated with PD. Our study failed to demonstrate any association of PAI with CR-POPF and postoperative fat fraction, which may be explained apart from the small sample size to the restrictive ROI. Area-based assessment for the pancreatic fat fraction in future studies may better correlate with histopathological fat fraction.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CONCLUSION</w:t>
      </w:r>
    </w:p>
    <w:p>
      <w:pPr>
        <w:spacing w:line="360" w:lineRule="auto"/>
        <w:jc w:val="both"/>
        <w:rPr>
          <w:rFonts w:ascii="Book Antiqua" w:hAnsi="Book Antiqua"/>
        </w:rPr>
      </w:pPr>
      <w:r>
        <w:rPr>
          <w:rStyle w:val="10"/>
          <w:rFonts w:ascii="Book Antiqua" w:hAnsi="Book Antiqua" w:eastAsia="Book Antiqua" w:cs="Book Antiqua"/>
          <w:color w:val="000000"/>
        </w:rPr>
        <w:t>The PER showed good accuracy in predicting the development of CR-POPF and a PER ratio of 0.673 or below increased the likelihood of CR-POPF. The positive correlation of PER with fibrosis and negative correlation with PAI suggest that PER may be an objective surrogate for assessing pancreatic texture, especially in minimally invasive surgery, where pancreatic texture assessment could be challenging. ROI-based PAI has a poor prediction for CR-POPF and does not correlate with a pancreatic fat fraction or fibrosis scores. Preoperative quantification of PER can improve the risk stratification and management of patients at high risk of CR-POPF. A multi-center trial with a larger sample size is necessary to validate PAI and PER reliably.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ARTICLE HIGHLIGHTS</w:t>
      </w:r>
    </w:p>
    <w:p>
      <w:pPr>
        <w:spacing w:line="360" w:lineRule="auto"/>
        <w:jc w:val="both"/>
        <w:rPr>
          <w:rFonts w:ascii="Book Antiqua" w:hAnsi="Book Antiqua"/>
        </w:rPr>
      </w:pPr>
      <w:r>
        <w:rPr>
          <w:rFonts w:ascii="Book Antiqua" w:hAnsi="Book Antiqua" w:eastAsia="Book Antiqua" w:cs="Book Antiqua"/>
          <w:b/>
          <w:i/>
          <w:color w:val="000000"/>
        </w:rPr>
        <w:t>Research background</w:t>
      </w:r>
    </w:p>
    <w:p>
      <w:pPr>
        <w:spacing w:line="360" w:lineRule="auto"/>
        <w:jc w:val="both"/>
        <w:rPr>
          <w:rFonts w:ascii="Book Antiqua" w:hAnsi="Book Antiqua"/>
        </w:rPr>
      </w:pPr>
      <w:r>
        <w:rPr>
          <w:rFonts w:ascii="Book Antiqua" w:hAnsi="Book Antiqua" w:eastAsia="Book Antiqua" w:cs="Book Antiqua"/>
          <w:color w:val="000000"/>
        </w:rPr>
        <w:t xml:space="preserve">Postoperative pancreatic fistula is the critical cause of morbidity after pancreaticoduodenectomy. </w:t>
      </w:r>
      <w:r>
        <w:rPr>
          <w:rStyle w:val="10"/>
          <w:rFonts w:ascii="Book Antiqua" w:hAnsi="Book Antiqua" w:eastAsia="Book Antiqua" w:cs="Book Antiqua"/>
          <w:color w:val="000000"/>
        </w:rPr>
        <w:t xml:space="preserve">Identifying patients at risk of clinically relevant </w:t>
      </w:r>
      <w:r>
        <w:rPr>
          <w:rFonts w:ascii="Book Antiqua" w:hAnsi="Book Antiqua" w:eastAsia="Book Antiqua" w:cs="Book Antiqua"/>
          <w:color w:val="000000"/>
        </w:rPr>
        <w:t xml:space="preserve">postoperative pancreatic fistula can potentially improve clinical outcomes after pancreaticoduodenectomy.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motivation</w:t>
      </w:r>
    </w:p>
    <w:p>
      <w:pPr>
        <w:spacing w:line="360" w:lineRule="auto"/>
        <w:jc w:val="both"/>
        <w:rPr>
          <w:rFonts w:ascii="Book Antiqua" w:hAnsi="Book Antiqua"/>
        </w:rPr>
      </w:pPr>
      <w:r>
        <w:rPr>
          <w:rFonts w:ascii="Book Antiqua" w:hAnsi="Book Antiqua" w:eastAsia="Book Antiqua" w:cs="Book Antiqua"/>
          <w:color w:val="000000"/>
        </w:rPr>
        <w:t>Most of the available models to predict postoperative pancreatic fistula can be used only in the postoperative setting.</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objectives</w:t>
      </w:r>
    </w:p>
    <w:p>
      <w:pPr>
        <w:spacing w:line="360" w:lineRule="auto"/>
        <w:jc w:val="both"/>
        <w:rPr>
          <w:rFonts w:ascii="Book Antiqua" w:hAnsi="Book Antiqua"/>
        </w:rPr>
      </w:pPr>
      <w:r>
        <w:rPr>
          <w:rStyle w:val="10"/>
          <w:rFonts w:ascii="Book Antiqua" w:hAnsi="Book Antiqua" w:eastAsia="Book Antiqua" w:cs="Book Antiqua"/>
          <w:color w:val="000000"/>
        </w:rPr>
        <w:t xml:space="preserve">To calculate the accuracy of the pancreatic neck pancreatic attenuation index (PAI) and pancreatic enhancement ratio (PER) in predicting clinically relevant </w:t>
      </w:r>
      <w:r>
        <w:rPr>
          <w:rFonts w:ascii="Book Antiqua" w:hAnsi="Book Antiqua" w:eastAsia="Book Antiqua" w:cs="Book Antiqua"/>
          <w:color w:val="000000"/>
        </w:rPr>
        <w:t>postoperative pancreatic fistula</w:t>
      </w:r>
      <w:r>
        <w:rPr>
          <w:rStyle w:val="10"/>
          <w:rFonts w:ascii="Book Antiqua" w:hAnsi="Book Antiqua" w:eastAsia="Book Antiqua" w:cs="Book Antiqua"/>
          <w:color w:val="000000"/>
        </w:rPr>
        <w:t xml:space="preserve"> and its correlation with histological pancreatic neck fat fraction and fibrosis scoring.</w:t>
      </w:r>
      <w:r>
        <w:rPr>
          <w:rFonts w:ascii="Book Antiqua" w:hAnsi="Book Antiqua" w:eastAsia="Book Antiqua" w:cs="Book Antiqua"/>
          <w:color w:val="000000"/>
        </w:rPr>
        <w:t xml:space="preserve">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methods</w:t>
      </w:r>
    </w:p>
    <w:p>
      <w:pPr>
        <w:spacing w:line="360" w:lineRule="auto"/>
        <w:jc w:val="both"/>
        <w:rPr>
          <w:rFonts w:ascii="Book Antiqua" w:hAnsi="Book Antiqua"/>
        </w:rPr>
      </w:pPr>
      <w:r>
        <w:rPr>
          <w:rStyle w:val="10"/>
          <w:rFonts w:ascii="Book Antiqua" w:hAnsi="Book Antiqua" w:eastAsia="Book Antiqua" w:cs="Book Antiqua"/>
          <w:color w:val="000000"/>
        </w:rPr>
        <w:t xml:space="preserve">Patients who underwent pancreaticoduodenectomy for benign and malignant pathology of the periampullary region or pancreatic head between February 2019 and February 2021 were included in the prospective observational study. The PAI was measured in the neck of the pancreas by marking regions of interest in the preoperative non-contrast computed tomography (CT), and the PER was measured during the contrast phase of the CT abdomen. Preoperative pancreatic neck CT indices were correlated with histopathological evaluation of Fibrosis score and the fat fraction of the pancreatic neck and clinically relevant </w:t>
      </w:r>
      <w:r>
        <w:rPr>
          <w:rFonts w:ascii="Book Antiqua" w:hAnsi="Book Antiqua" w:eastAsia="Book Antiqua" w:cs="Book Antiqua"/>
          <w:color w:val="000000"/>
        </w:rPr>
        <w:t>postoperative pancreatic fistula.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results</w:t>
      </w:r>
    </w:p>
    <w:p>
      <w:pPr>
        <w:spacing w:line="360" w:lineRule="auto"/>
        <w:jc w:val="both"/>
        <w:rPr>
          <w:rFonts w:ascii="Book Antiqua" w:hAnsi="Book Antiqua"/>
        </w:rPr>
      </w:pPr>
      <w:r>
        <w:rPr>
          <w:rStyle w:val="10"/>
          <w:rFonts w:ascii="Book Antiqua" w:hAnsi="Book Antiqua" w:eastAsia="Book Antiqua" w:cs="Book Antiqua"/>
          <w:color w:val="000000"/>
        </w:rPr>
        <w:t xml:space="preserve">The PAI had no significant association with the development of clinically relevant </w:t>
      </w:r>
      <w:r>
        <w:rPr>
          <w:rFonts w:ascii="Book Antiqua" w:hAnsi="Book Antiqua" w:eastAsia="Book Antiqua" w:cs="Book Antiqua"/>
          <w:color w:val="000000"/>
        </w:rPr>
        <w:t>postoperative pancreatic fistula (</w:t>
      </w:r>
      <w:r>
        <w:rPr>
          <w:rStyle w:val="10"/>
          <w:rFonts w:ascii="Book Antiqua" w:hAnsi="Book Antiqua" w:eastAsia="Book Antiqua" w:cs="Book Antiqua"/>
          <w:color w:val="000000"/>
        </w:rPr>
        <w:t>CR-POPF)</w:t>
      </w:r>
      <w:r>
        <w:rPr>
          <w:rFonts w:ascii="Book Antiqua" w:hAnsi="Book Antiqua" w:eastAsia="Book Antiqua" w:cs="Book Antiqua"/>
          <w:color w:val="000000"/>
        </w:rPr>
        <w:t xml:space="preserve">. However, </w:t>
      </w:r>
      <w:r>
        <w:rPr>
          <w:rStyle w:val="10"/>
          <w:rFonts w:ascii="Book Antiqua" w:hAnsi="Book Antiqua" w:eastAsia="Book Antiqua" w:cs="Book Antiqua"/>
          <w:color w:val="000000"/>
        </w:rPr>
        <w:t>PER was significantly lower in patients developing CR-POPF (0.58 ± 0.20</w:t>
      </w:r>
      <w:r>
        <w:rPr>
          <w:rStyle w:val="10"/>
          <w:rFonts w:ascii="Book Antiqua" w:hAnsi="Book Antiqua" w:eastAsia="Book Antiqua" w:cs="Book Antiqua"/>
          <w:i/>
          <w:color w:val="000000"/>
        </w:rPr>
        <w:t xml:space="preserve"> vs </w:t>
      </w:r>
      <w:r>
        <w:rPr>
          <w:rStyle w:val="10"/>
          <w:rFonts w:ascii="Book Antiqua" w:hAnsi="Book Antiqua" w:eastAsia="Book Antiqua" w:cs="Book Antiqua"/>
          <w:color w:val="000000"/>
        </w:rPr>
        <w:t xml:space="preserve">0.81 ± 0.44, </w:t>
      </w:r>
      <w:r>
        <w:rPr>
          <w:rStyle w:val="10"/>
          <w:rFonts w:ascii="Book Antiqua" w:hAnsi="Book Antiqua" w:eastAsia="Book Antiqua" w:cs="Book Antiqua"/>
          <w:i/>
          <w:iCs/>
          <w:color w:val="000000"/>
        </w:rPr>
        <w:t>P</w:t>
      </w:r>
      <w:r>
        <w:rPr>
          <w:rStyle w:val="10"/>
          <w:rFonts w:ascii="Book Antiqua" w:hAnsi="Book Antiqua" w:eastAsia="Book Antiqua" w:cs="Book Antiqua"/>
          <w:color w:val="000000"/>
        </w:rPr>
        <w:t xml:space="preserve"> = 0.006). Also, PER cut-off of 0.673 predicts CR-POPF with 77.8% sensitivity and 55.8% specificity. The PER showed a moderately positive correlation with fibrosis (Strength 0.50, </w:t>
      </w:r>
      <w:r>
        <w:rPr>
          <w:rStyle w:val="10"/>
          <w:rFonts w:ascii="Book Antiqua" w:hAnsi="Book Antiqua" w:eastAsia="Book Antiqua" w:cs="Book Antiqua"/>
          <w:i/>
          <w:color w:val="000000"/>
        </w:rPr>
        <w:t xml:space="preserve">P &lt; </w:t>
      </w:r>
      <w:r>
        <w:rPr>
          <w:rStyle w:val="10"/>
          <w:rFonts w:ascii="Book Antiqua" w:hAnsi="Book Antiqua" w:eastAsia="Book Antiqua" w:cs="Book Antiqua"/>
          <w:color w:val="000000"/>
        </w:rPr>
        <w:t xml:space="preserve">0.001).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conclusions</w:t>
      </w:r>
    </w:p>
    <w:p>
      <w:pPr>
        <w:spacing w:line="360" w:lineRule="auto"/>
        <w:jc w:val="both"/>
        <w:rPr>
          <w:rFonts w:ascii="Book Antiqua" w:hAnsi="Book Antiqua"/>
        </w:rPr>
      </w:pPr>
      <w:r>
        <w:rPr>
          <w:rStyle w:val="10"/>
          <w:rFonts w:ascii="Book Antiqua" w:hAnsi="Book Antiqua" w:eastAsia="Book Antiqua" w:cs="Book Antiqua"/>
          <w:color w:val="000000"/>
        </w:rPr>
        <w:t xml:space="preserve">PER showed good accuracy in predicting CR-POPF. Also, PER showed a good correlation with fibrosis scores and may be used as an objective preoperative surrogate for assessing pancreatic texture.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perspectives</w:t>
      </w:r>
    </w:p>
    <w:p>
      <w:pPr>
        <w:spacing w:line="360" w:lineRule="auto"/>
        <w:jc w:val="both"/>
        <w:rPr>
          <w:rFonts w:ascii="Book Antiqua" w:hAnsi="Book Antiqua"/>
        </w:rPr>
      </w:pPr>
      <w:r>
        <w:rPr>
          <w:rStyle w:val="10"/>
          <w:rFonts w:ascii="Book Antiqua" w:hAnsi="Book Antiqua" w:eastAsia="Book Antiqua" w:cs="Book Antiqua"/>
          <w:color w:val="000000"/>
        </w:rPr>
        <w:t xml:space="preserve">Quantifying PER on preoperative computed tomography can improve the risk stratification and management of patients at high risk of clinically relevant </w:t>
      </w:r>
      <w:r>
        <w:rPr>
          <w:rFonts w:ascii="Book Antiqua" w:hAnsi="Book Antiqua" w:eastAsia="Book Antiqua" w:cs="Book Antiqua"/>
          <w:color w:val="000000"/>
        </w:rPr>
        <w:t>postoperative pancreatic fistula</w:t>
      </w:r>
      <w:r>
        <w:rPr>
          <w:rStyle w:val="10"/>
          <w:rFonts w:ascii="Book Antiqua" w:hAnsi="Book Antiqua" w:eastAsia="Book Antiqua" w:cs="Book Antiqua"/>
          <w:color w:val="000000"/>
        </w:rPr>
        <w:t xml:space="preserve">. Failure to demonstrate an association of PAI with clinically relevant </w:t>
      </w:r>
      <w:r>
        <w:rPr>
          <w:rFonts w:ascii="Book Antiqua" w:hAnsi="Book Antiqua" w:eastAsia="Book Antiqua" w:cs="Book Antiqua"/>
          <w:color w:val="000000"/>
        </w:rPr>
        <w:t xml:space="preserve">postoperative pancreatic fistula </w:t>
      </w:r>
      <w:r>
        <w:rPr>
          <w:rStyle w:val="10"/>
          <w:rFonts w:ascii="Book Antiqua" w:hAnsi="Book Antiqua" w:eastAsia="Book Antiqua" w:cs="Book Antiqua"/>
          <w:color w:val="000000"/>
        </w:rPr>
        <w:t>and postoperative fat fraction suggests that area-based assessment for the pancreatic fat fraction may be better than the region of interest-based estimation.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REFERENCES</w:t>
      </w:r>
    </w:p>
    <w:p>
      <w:pPr>
        <w:spacing w:line="360" w:lineRule="auto"/>
        <w:jc w:val="both"/>
        <w:rPr>
          <w:rFonts w:ascii="Book Antiqua" w:hAnsi="Book Antiqua"/>
        </w:rPr>
      </w:pPr>
      <w:r>
        <w:rPr>
          <w:rFonts w:ascii="Book Antiqua" w:hAnsi="Book Antiqua" w:eastAsia="Book Antiqua" w:cs="Book Antiqua"/>
          <w:color w:val="000000"/>
        </w:rPr>
        <w:t xml:space="preserve">1 </w:t>
      </w:r>
      <w:r>
        <w:rPr>
          <w:rFonts w:ascii="Book Antiqua" w:hAnsi="Book Antiqua" w:eastAsia="Book Antiqua" w:cs="Book Antiqua"/>
          <w:b/>
          <w:bCs/>
          <w:color w:val="000000"/>
        </w:rPr>
        <w:t>Greenblatt DY</w:t>
      </w:r>
      <w:r>
        <w:rPr>
          <w:rFonts w:ascii="Book Antiqua" w:hAnsi="Book Antiqua" w:eastAsia="Book Antiqua" w:cs="Book Antiqua"/>
          <w:color w:val="000000"/>
        </w:rPr>
        <w:t xml:space="preserve">, Kelly KJ, Rajamanickam V, Wan Y, Hanson T, Rettammel R, Winslow ER, Cho CS, Weber SM. Preoperative factors predict perioperative morbidity and mortality after pancreaticoduodenectomy. </w:t>
      </w:r>
      <w:r>
        <w:rPr>
          <w:rFonts w:ascii="Book Antiqua" w:hAnsi="Book Antiqua" w:eastAsia="Book Antiqua" w:cs="Book Antiqua"/>
          <w:i/>
          <w:iCs/>
          <w:color w:val="000000"/>
        </w:rPr>
        <w:t>Ann Surg Oncol</w:t>
      </w:r>
      <w:r>
        <w:rPr>
          <w:rFonts w:ascii="Book Antiqua" w:hAnsi="Book Antiqua" w:eastAsia="Book Antiqua" w:cs="Book Antiqua"/>
          <w:color w:val="000000"/>
        </w:rPr>
        <w:t xml:space="preserve"> 2011; </w:t>
      </w:r>
      <w:r>
        <w:rPr>
          <w:rFonts w:ascii="Book Antiqua" w:hAnsi="Book Antiqua" w:eastAsia="Book Antiqua" w:cs="Book Antiqua"/>
          <w:b/>
          <w:bCs/>
          <w:color w:val="000000"/>
        </w:rPr>
        <w:t>18</w:t>
      </w:r>
      <w:r>
        <w:rPr>
          <w:rFonts w:ascii="Book Antiqua" w:hAnsi="Book Antiqua" w:eastAsia="Book Antiqua" w:cs="Book Antiqua"/>
          <w:color w:val="000000"/>
        </w:rPr>
        <w:t>: 2126-2135 [PMID: 21336514 DOI: 10.1245/s10434-011-1594-6]</w:t>
      </w:r>
    </w:p>
    <w:p>
      <w:pPr>
        <w:spacing w:line="360" w:lineRule="auto"/>
        <w:jc w:val="both"/>
        <w:rPr>
          <w:rFonts w:ascii="Book Antiqua" w:hAnsi="Book Antiqua"/>
        </w:rPr>
      </w:pPr>
      <w:r>
        <w:rPr>
          <w:rFonts w:ascii="Book Antiqua" w:hAnsi="Book Antiqua" w:eastAsia="Book Antiqua" w:cs="Book Antiqua"/>
          <w:color w:val="000000"/>
        </w:rPr>
        <w:t xml:space="preserve">2 </w:t>
      </w:r>
      <w:r>
        <w:rPr>
          <w:rFonts w:ascii="Book Antiqua" w:hAnsi="Book Antiqua" w:eastAsia="Book Antiqua" w:cs="Book Antiqua"/>
          <w:b/>
          <w:bCs/>
          <w:color w:val="000000"/>
        </w:rPr>
        <w:t>Tzeng CW</w:t>
      </w:r>
      <w:r>
        <w:rPr>
          <w:rFonts w:ascii="Book Antiqua" w:hAnsi="Book Antiqua" w:eastAsia="Book Antiqua" w:cs="Book Antiqua"/>
          <w:color w:val="000000"/>
        </w:rPr>
        <w:t xml:space="preserve">, Katz MH, Fleming JB, Lee JE, Pisters PW, Holmes HM, Varadhachary GR, Wolff RA, Abbruzzese JL, Vauthey JN, Aloia TA. Morbidity and mortality after pancreaticoduodenectomy in patients with borderline resectable type C clinical classification. </w:t>
      </w:r>
      <w:r>
        <w:rPr>
          <w:rFonts w:ascii="Book Antiqua" w:hAnsi="Book Antiqua" w:eastAsia="Book Antiqua" w:cs="Book Antiqua"/>
          <w:i/>
          <w:iCs/>
          <w:color w:val="000000"/>
        </w:rPr>
        <w:t>J Gastrointest Surg</w:t>
      </w:r>
      <w:r>
        <w:rPr>
          <w:rFonts w:ascii="Book Antiqua" w:hAnsi="Book Antiqua" w:eastAsia="Book Antiqua" w:cs="Book Antiqua"/>
          <w:color w:val="000000"/>
        </w:rPr>
        <w:t xml:space="preserve"> 2014; </w:t>
      </w:r>
      <w:r>
        <w:rPr>
          <w:rFonts w:ascii="Book Antiqua" w:hAnsi="Book Antiqua" w:eastAsia="Book Antiqua" w:cs="Book Antiqua"/>
          <w:b/>
          <w:bCs/>
          <w:color w:val="000000"/>
        </w:rPr>
        <w:t>18</w:t>
      </w:r>
      <w:r>
        <w:rPr>
          <w:rFonts w:ascii="Book Antiqua" w:hAnsi="Book Antiqua" w:eastAsia="Book Antiqua" w:cs="Book Antiqua"/>
          <w:color w:val="000000"/>
        </w:rPr>
        <w:t>: 146-55; discussion 155-6 [PMID: 24129825 DOI: 10.1007/s11605-013-2371-6]</w:t>
      </w:r>
    </w:p>
    <w:p>
      <w:pPr>
        <w:spacing w:line="360" w:lineRule="auto"/>
        <w:jc w:val="both"/>
        <w:rPr>
          <w:rFonts w:ascii="Book Antiqua" w:hAnsi="Book Antiqua"/>
        </w:rPr>
      </w:pPr>
      <w:r>
        <w:rPr>
          <w:rFonts w:ascii="Book Antiqua" w:hAnsi="Book Antiqua" w:eastAsia="Book Antiqua" w:cs="Book Antiqua"/>
          <w:color w:val="000000"/>
        </w:rPr>
        <w:t xml:space="preserve">3 </w:t>
      </w:r>
      <w:r>
        <w:rPr>
          <w:rFonts w:ascii="Book Antiqua" w:hAnsi="Book Antiqua" w:eastAsia="Book Antiqua" w:cs="Book Antiqua"/>
          <w:b/>
          <w:bCs/>
          <w:color w:val="000000"/>
        </w:rPr>
        <w:t>Berger AC</w:t>
      </w:r>
      <w:r>
        <w:rPr>
          <w:rFonts w:ascii="Book Antiqua" w:hAnsi="Book Antiqua" w:eastAsia="Book Antiqua" w:cs="Book Antiqua"/>
          <w:color w:val="000000"/>
        </w:rPr>
        <w:t xml:space="preserve">, Howard TJ, Kennedy EP, Sauter PK, Bower-Cherry M, Dutkevitch S, Hyslop T, Schmidt CM, Rosato EL, Lavu H, Nakeeb A, Pitt HA, Lillemoe KD, Yeo CJ. Does type of pancreaticojejunostomy after pancreaticoduodenectomy decrease rate of pancreatic fistula? A randomized, prospective, dual-institution trial. </w:t>
      </w:r>
      <w:r>
        <w:rPr>
          <w:rFonts w:ascii="Book Antiqua" w:hAnsi="Book Antiqua" w:eastAsia="Book Antiqua" w:cs="Book Antiqua"/>
          <w:i/>
          <w:iCs/>
          <w:color w:val="000000"/>
        </w:rPr>
        <w:t>J Am Coll Surg</w:t>
      </w:r>
      <w:r>
        <w:rPr>
          <w:rFonts w:ascii="Book Antiqua" w:hAnsi="Book Antiqua" w:eastAsia="Book Antiqua" w:cs="Book Antiqua"/>
          <w:color w:val="000000"/>
        </w:rPr>
        <w:t xml:space="preserve"> 2009; </w:t>
      </w:r>
      <w:r>
        <w:rPr>
          <w:rFonts w:ascii="Book Antiqua" w:hAnsi="Book Antiqua" w:eastAsia="Book Antiqua" w:cs="Book Antiqua"/>
          <w:b/>
          <w:bCs/>
          <w:color w:val="000000"/>
        </w:rPr>
        <w:t>208</w:t>
      </w:r>
      <w:r>
        <w:rPr>
          <w:rFonts w:ascii="Book Antiqua" w:hAnsi="Book Antiqua" w:eastAsia="Book Antiqua" w:cs="Book Antiqua"/>
          <w:color w:val="000000"/>
        </w:rPr>
        <w:t>: 738-47; discussion 747-9 [PMID: 19476827 DOI: 10.1016/j.jamcollsurg.2008.12.031]</w:t>
      </w:r>
    </w:p>
    <w:p>
      <w:pPr>
        <w:spacing w:line="360" w:lineRule="auto"/>
        <w:jc w:val="both"/>
        <w:rPr>
          <w:rFonts w:ascii="Book Antiqua" w:hAnsi="Book Antiqua"/>
        </w:rPr>
      </w:pPr>
      <w:r>
        <w:rPr>
          <w:rFonts w:ascii="Book Antiqua" w:hAnsi="Book Antiqua" w:eastAsia="Book Antiqua" w:cs="Book Antiqua"/>
          <w:color w:val="000000"/>
        </w:rPr>
        <w:t xml:space="preserve">4 </w:t>
      </w:r>
      <w:r>
        <w:rPr>
          <w:rFonts w:ascii="Book Antiqua" w:hAnsi="Book Antiqua" w:eastAsia="Book Antiqua" w:cs="Book Antiqua"/>
          <w:b/>
          <w:bCs/>
          <w:color w:val="000000"/>
        </w:rPr>
        <w:t>Callery MP</w:t>
      </w:r>
      <w:r>
        <w:rPr>
          <w:rFonts w:ascii="Book Antiqua" w:hAnsi="Book Antiqua" w:eastAsia="Book Antiqua" w:cs="Book Antiqua"/>
          <w:color w:val="000000"/>
        </w:rPr>
        <w:t xml:space="preserve">, Pratt WB, Kent TS, Chaikof EL, Vollmer CM Jr. A prospectively validated clinical risk score accurately predicts pancreatic fistula after pancreatoduodenectomy. </w:t>
      </w:r>
      <w:r>
        <w:rPr>
          <w:rFonts w:ascii="Book Antiqua" w:hAnsi="Book Antiqua" w:eastAsia="Book Antiqua" w:cs="Book Antiqua"/>
          <w:i/>
          <w:iCs/>
          <w:color w:val="000000"/>
        </w:rPr>
        <w:t>J Am Coll Surg</w:t>
      </w:r>
      <w:r>
        <w:rPr>
          <w:rFonts w:ascii="Book Antiqua" w:hAnsi="Book Antiqua" w:eastAsia="Book Antiqua" w:cs="Book Antiqua"/>
          <w:color w:val="000000"/>
        </w:rPr>
        <w:t xml:space="preserve"> 2013; </w:t>
      </w:r>
      <w:r>
        <w:rPr>
          <w:rFonts w:ascii="Book Antiqua" w:hAnsi="Book Antiqua" w:eastAsia="Book Antiqua" w:cs="Book Antiqua"/>
          <w:b/>
          <w:bCs/>
          <w:color w:val="000000"/>
        </w:rPr>
        <w:t>216</w:t>
      </w:r>
      <w:r>
        <w:rPr>
          <w:rFonts w:ascii="Book Antiqua" w:hAnsi="Book Antiqua" w:eastAsia="Book Antiqua" w:cs="Book Antiqua"/>
          <w:color w:val="000000"/>
        </w:rPr>
        <w:t>: 1-14 [PMID: 23122535 DOI: 10.1016/j.jamcollsurg.2012.09.002]</w:t>
      </w:r>
    </w:p>
    <w:p>
      <w:pPr>
        <w:spacing w:line="360" w:lineRule="auto"/>
        <w:jc w:val="both"/>
        <w:rPr>
          <w:rFonts w:ascii="Book Antiqua" w:hAnsi="Book Antiqua"/>
        </w:rPr>
      </w:pPr>
      <w:r>
        <w:rPr>
          <w:rFonts w:ascii="Book Antiqua" w:hAnsi="Book Antiqua" w:eastAsia="Book Antiqua" w:cs="Book Antiqua"/>
          <w:color w:val="000000"/>
        </w:rPr>
        <w:t xml:space="preserve">5 </w:t>
      </w:r>
      <w:r>
        <w:rPr>
          <w:rFonts w:ascii="Book Antiqua" w:hAnsi="Book Antiqua" w:eastAsia="Book Antiqua" w:cs="Book Antiqua"/>
          <w:b/>
          <w:bCs/>
          <w:color w:val="000000"/>
        </w:rPr>
        <w:t>Kantor O</w:t>
      </w:r>
      <w:r>
        <w:rPr>
          <w:rFonts w:ascii="Book Antiqua" w:hAnsi="Book Antiqua" w:eastAsia="Book Antiqua" w:cs="Book Antiqua"/>
          <w:color w:val="000000"/>
        </w:rPr>
        <w:t xml:space="preserve">, Talamonti MS, Pitt HA, Vollmer CM, Riall TS, Hall BL, Wang CH, Baker MS. Using the NSQIP Pancreatic Demonstration Project to Derive a Modified Fistula Risk Score for Preoperative Risk Stratification in Patients Undergoing Pancreaticoduodenectomy. </w:t>
      </w:r>
      <w:r>
        <w:rPr>
          <w:rFonts w:ascii="Book Antiqua" w:hAnsi="Book Antiqua" w:eastAsia="Book Antiqua" w:cs="Book Antiqua"/>
          <w:i/>
          <w:iCs/>
          <w:color w:val="000000"/>
        </w:rPr>
        <w:t>J Am Coll Surg</w:t>
      </w:r>
      <w:r>
        <w:rPr>
          <w:rFonts w:ascii="Book Antiqua" w:hAnsi="Book Antiqua" w:eastAsia="Book Antiqua" w:cs="Book Antiqua"/>
          <w:color w:val="000000"/>
        </w:rPr>
        <w:t xml:space="preserve"> 2017; </w:t>
      </w:r>
      <w:r>
        <w:rPr>
          <w:rFonts w:ascii="Book Antiqua" w:hAnsi="Book Antiqua" w:eastAsia="Book Antiqua" w:cs="Book Antiqua"/>
          <w:b/>
          <w:bCs/>
          <w:color w:val="000000"/>
        </w:rPr>
        <w:t>224</w:t>
      </w:r>
      <w:r>
        <w:rPr>
          <w:rFonts w:ascii="Book Antiqua" w:hAnsi="Book Antiqua" w:eastAsia="Book Antiqua" w:cs="Book Antiqua"/>
          <w:color w:val="000000"/>
        </w:rPr>
        <w:t>: 816-825 [PMID: 28408176 DOI: 10.1016/j.jamcollsurg.2017.01.054]</w:t>
      </w:r>
    </w:p>
    <w:p>
      <w:pPr>
        <w:spacing w:line="360" w:lineRule="auto"/>
        <w:jc w:val="both"/>
        <w:rPr>
          <w:rFonts w:ascii="Book Antiqua" w:hAnsi="Book Antiqua"/>
        </w:rPr>
      </w:pPr>
      <w:r>
        <w:rPr>
          <w:rFonts w:ascii="Book Antiqua" w:hAnsi="Book Antiqua" w:eastAsia="Book Antiqua" w:cs="Book Antiqua"/>
          <w:color w:val="000000"/>
        </w:rPr>
        <w:t xml:space="preserve">6 </w:t>
      </w:r>
      <w:r>
        <w:rPr>
          <w:rFonts w:ascii="Book Antiqua" w:hAnsi="Book Antiqua" w:eastAsia="Book Antiqua" w:cs="Book Antiqua"/>
          <w:b/>
          <w:bCs/>
          <w:color w:val="000000"/>
        </w:rPr>
        <w:t>Liu Y</w:t>
      </w:r>
      <w:r>
        <w:rPr>
          <w:rFonts w:ascii="Book Antiqua" w:hAnsi="Book Antiqua" w:eastAsia="Book Antiqua" w:cs="Book Antiqua"/>
          <w:color w:val="000000"/>
        </w:rPr>
        <w:t xml:space="preserve">, Li Y, Wang L, Peng CJ. Predictive value of drain pancreatic amylase concentration for postoperative pancreatic fistula on postoperative day 1 after pancreatic resection: An updated meta-analysis. </w:t>
      </w:r>
      <w:r>
        <w:rPr>
          <w:rFonts w:ascii="Book Antiqua" w:hAnsi="Book Antiqua" w:eastAsia="Book Antiqua" w:cs="Book Antiqua"/>
          <w:i/>
          <w:iCs/>
          <w:color w:val="000000"/>
        </w:rPr>
        <w:t>Medicine (Baltimore)</w:t>
      </w:r>
      <w:r>
        <w:rPr>
          <w:rFonts w:ascii="Book Antiqua" w:hAnsi="Book Antiqua" w:eastAsia="Book Antiqua" w:cs="Book Antiqua"/>
          <w:color w:val="000000"/>
        </w:rPr>
        <w:t xml:space="preserve"> 2018; </w:t>
      </w:r>
      <w:r>
        <w:rPr>
          <w:rFonts w:ascii="Book Antiqua" w:hAnsi="Book Antiqua" w:eastAsia="Book Antiqua" w:cs="Book Antiqua"/>
          <w:b/>
          <w:bCs/>
          <w:color w:val="000000"/>
        </w:rPr>
        <w:t>97</w:t>
      </w:r>
      <w:r>
        <w:rPr>
          <w:rFonts w:ascii="Book Antiqua" w:hAnsi="Book Antiqua" w:eastAsia="Book Antiqua" w:cs="Book Antiqua"/>
          <w:color w:val="000000"/>
        </w:rPr>
        <w:t>: e12487 [PMID: 30235751 DOI: 10.1097/MD.0000000000012487]</w:t>
      </w:r>
    </w:p>
    <w:p>
      <w:pPr>
        <w:spacing w:line="360" w:lineRule="auto"/>
        <w:jc w:val="both"/>
        <w:rPr>
          <w:rFonts w:ascii="Book Antiqua" w:hAnsi="Book Antiqua"/>
        </w:rPr>
      </w:pPr>
      <w:r>
        <w:rPr>
          <w:rFonts w:ascii="Book Antiqua" w:hAnsi="Book Antiqua" w:eastAsia="Book Antiqua" w:cs="Book Antiqua"/>
          <w:color w:val="000000"/>
        </w:rPr>
        <w:t xml:space="preserve">7 </w:t>
      </w:r>
      <w:r>
        <w:rPr>
          <w:rFonts w:ascii="Book Antiqua" w:hAnsi="Book Antiqua" w:eastAsia="Book Antiqua" w:cs="Book Antiqua"/>
          <w:b/>
          <w:bCs/>
          <w:color w:val="000000"/>
        </w:rPr>
        <w:t>Tranchart H</w:t>
      </w:r>
      <w:r>
        <w:rPr>
          <w:rFonts w:ascii="Book Antiqua" w:hAnsi="Book Antiqua" w:eastAsia="Book Antiqua" w:cs="Book Antiqua"/>
          <w:color w:val="000000"/>
        </w:rPr>
        <w:t xml:space="preserve">, Gaujoux S, Rebours V, Vullierme MP, Dokmak S, Levy P, Couvelard A, Belghiti J, Sauvanet A. Preoperative CT scan helps to predict the occurrence of severe pancreatic fistula after pancreaticoduodenectomy. </w:t>
      </w:r>
      <w:r>
        <w:rPr>
          <w:rFonts w:ascii="Book Antiqua" w:hAnsi="Book Antiqua" w:eastAsia="Book Antiqua" w:cs="Book Antiqua"/>
          <w:i/>
          <w:iCs/>
          <w:color w:val="000000"/>
        </w:rPr>
        <w:t>Ann Surg</w:t>
      </w:r>
      <w:r>
        <w:rPr>
          <w:rFonts w:ascii="Book Antiqua" w:hAnsi="Book Antiqua" w:eastAsia="Book Antiqua" w:cs="Book Antiqua"/>
          <w:color w:val="000000"/>
        </w:rPr>
        <w:t xml:space="preserve"> 2012; </w:t>
      </w:r>
      <w:r>
        <w:rPr>
          <w:rFonts w:ascii="Book Antiqua" w:hAnsi="Book Antiqua" w:eastAsia="Book Antiqua" w:cs="Book Antiqua"/>
          <w:b/>
          <w:bCs/>
          <w:color w:val="000000"/>
        </w:rPr>
        <w:t>256</w:t>
      </w:r>
      <w:r>
        <w:rPr>
          <w:rFonts w:ascii="Book Antiqua" w:hAnsi="Book Antiqua" w:eastAsia="Book Antiqua" w:cs="Book Antiqua"/>
          <w:color w:val="000000"/>
        </w:rPr>
        <w:t>: 139-145 [PMID: 22609844 DOI: 10.1097/SLA.0b013e318256c32c]</w:t>
      </w:r>
    </w:p>
    <w:p>
      <w:pPr>
        <w:spacing w:line="360" w:lineRule="auto"/>
        <w:jc w:val="both"/>
        <w:rPr>
          <w:rFonts w:ascii="Book Antiqua" w:hAnsi="Book Antiqua"/>
        </w:rPr>
      </w:pPr>
      <w:r>
        <w:rPr>
          <w:rFonts w:ascii="Book Antiqua" w:hAnsi="Book Antiqua" w:eastAsia="Book Antiqua" w:cs="Book Antiqua"/>
          <w:color w:val="000000"/>
        </w:rPr>
        <w:t xml:space="preserve">8 </w:t>
      </w:r>
      <w:r>
        <w:rPr>
          <w:rFonts w:ascii="Book Antiqua" w:hAnsi="Book Antiqua" w:eastAsia="Book Antiqua" w:cs="Book Antiqua"/>
          <w:b/>
          <w:bCs/>
          <w:color w:val="000000"/>
        </w:rPr>
        <w:t>Lim S</w:t>
      </w:r>
      <w:r>
        <w:rPr>
          <w:rFonts w:ascii="Book Antiqua" w:hAnsi="Book Antiqua" w:eastAsia="Book Antiqua" w:cs="Book Antiqua"/>
          <w:color w:val="000000"/>
        </w:rPr>
        <w:t xml:space="preserve">, Bae JH, Chun EJ, Kim H, Kim SY, Kim KM, Choi SH, Park KS, Florez JC, Jang HC. Differences in pancreatic volume, fat content, and fat density measured by multidetector-row computed tomography according to the duration of diabetes. </w:t>
      </w:r>
      <w:r>
        <w:rPr>
          <w:rFonts w:ascii="Book Antiqua" w:hAnsi="Book Antiqua" w:eastAsia="Book Antiqua" w:cs="Book Antiqua"/>
          <w:i/>
          <w:iCs/>
          <w:color w:val="000000"/>
        </w:rPr>
        <w:t>Acta Diabetol</w:t>
      </w:r>
      <w:r>
        <w:rPr>
          <w:rFonts w:ascii="Book Antiqua" w:hAnsi="Book Antiqua" w:eastAsia="Book Antiqua" w:cs="Book Antiqua"/>
          <w:color w:val="000000"/>
        </w:rPr>
        <w:t xml:space="preserve"> 2014; </w:t>
      </w:r>
      <w:r>
        <w:rPr>
          <w:rFonts w:ascii="Book Antiqua" w:hAnsi="Book Antiqua" w:eastAsia="Book Antiqua" w:cs="Book Antiqua"/>
          <w:b/>
          <w:bCs/>
          <w:color w:val="000000"/>
        </w:rPr>
        <w:t>51</w:t>
      </w:r>
      <w:r>
        <w:rPr>
          <w:rFonts w:ascii="Book Antiqua" w:hAnsi="Book Antiqua" w:eastAsia="Book Antiqua" w:cs="Book Antiqua"/>
          <w:color w:val="000000"/>
        </w:rPr>
        <w:t>: 739-748 [PMID: 24671510 DOI: 10.1007/s00592-014-0581-3]</w:t>
      </w:r>
    </w:p>
    <w:p>
      <w:pPr>
        <w:spacing w:line="360" w:lineRule="auto"/>
        <w:jc w:val="both"/>
        <w:rPr>
          <w:rFonts w:ascii="Book Antiqua" w:hAnsi="Book Antiqua"/>
        </w:rPr>
      </w:pPr>
      <w:r>
        <w:rPr>
          <w:rFonts w:ascii="Book Antiqua" w:hAnsi="Book Antiqua" w:eastAsia="Book Antiqua" w:cs="Book Antiqua"/>
          <w:color w:val="000000"/>
        </w:rPr>
        <w:t xml:space="preserve">9 </w:t>
      </w:r>
      <w:r>
        <w:rPr>
          <w:rFonts w:ascii="Book Antiqua" w:hAnsi="Book Antiqua" w:eastAsia="Book Antiqua" w:cs="Book Antiqua"/>
          <w:b/>
          <w:bCs/>
          <w:color w:val="000000"/>
        </w:rPr>
        <w:t>Maehira H</w:t>
      </w:r>
      <w:r>
        <w:rPr>
          <w:rFonts w:ascii="Book Antiqua" w:hAnsi="Book Antiqua" w:eastAsia="Book Antiqua" w:cs="Book Antiqua"/>
          <w:color w:val="000000"/>
        </w:rPr>
        <w:t xml:space="preserve">, Iida H, Mori H, Kitamura N, Miyake T, Shimizu T, Tani M. Computed Tomography Enhancement Pattern of the Pancreatic Parenchyma Predicts Postoperative Pancreatic Fistula After Pancreaticoduodenectomy. </w:t>
      </w:r>
      <w:r>
        <w:rPr>
          <w:rFonts w:ascii="Book Antiqua" w:hAnsi="Book Antiqua" w:eastAsia="Book Antiqua" w:cs="Book Antiqua"/>
          <w:i/>
          <w:iCs/>
          <w:color w:val="000000"/>
        </w:rPr>
        <w:t>Pancreas</w:t>
      </w:r>
      <w:r>
        <w:rPr>
          <w:rFonts w:ascii="Book Antiqua" w:hAnsi="Book Antiqua" w:eastAsia="Book Antiqua" w:cs="Book Antiqua"/>
          <w:color w:val="000000"/>
        </w:rPr>
        <w:t xml:space="preserve"> 2019; </w:t>
      </w:r>
      <w:r>
        <w:rPr>
          <w:rFonts w:ascii="Book Antiqua" w:hAnsi="Book Antiqua" w:eastAsia="Book Antiqua" w:cs="Book Antiqua"/>
          <w:b/>
          <w:bCs/>
          <w:color w:val="000000"/>
        </w:rPr>
        <w:t>48</w:t>
      </w:r>
      <w:r>
        <w:rPr>
          <w:rFonts w:ascii="Book Antiqua" w:hAnsi="Book Antiqua" w:eastAsia="Book Antiqua" w:cs="Book Antiqua"/>
          <w:color w:val="000000"/>
        </w:rPr>
        <w:t>: 209-215 [PMID: 30589830 DOI: 10.1097/MPA.0000000000001229]</w:t>
      </w:r>
    </w:p>
    <w:p>
      <w:pPr>
        <w:spacing w:line="360" w:lineRule="auto"/>
        <w:jc w:val="both"/>
        <w:rPr>
          <w:rFonts w:ascii="Book Antiqua" w:hAnsi="Book Antiqua"/>
        </w:rPr>
      </w:pPr>
      <w:r>
        <w:rPr>
          <w:rFonts w:ascii="Book Antiqua" w:hAnsi="Book Antiqua" w:eastAsia="Book Antiqua" w:cs="Book Antiqua"/>
          <w:color w:val="000000"/>
        </w:rPr>
        <w:t xml:space="preserve">10 </w:t>
      </w:r>
      <w:r>
        <w:rPr>
          <w:rFonts w:ascii="Book Antiqua" w:hAnsi="Book Antiqua" w:eastAsia="Book Antiqua" w:cs="Book Antiqua"/>
          <w:b/>
          <w:bCs/>
          <w:color w:val="000000"/>
        </w:rPr>
        <w:t>Hashimoto Y</w:t>
      </w:r>
      <w:r>
        <w:rPr>
          <w:rFonts w:ascii="Book Antiqua" w:hAnsi="Book Antiqua" w:eastAsia="Book Antiqua" w:cs="Book Antiqua"/>
          <w:color w:val="000000"/>
        </w:rPr>
        <w:t xml:space="preserve">, Sclabas GM, Takahashi N, Kirihara Y, Smyrk TC, Huebner M, Farnell MB. Dual-phase computed tomography for assessment of pancreatic fibrosis and anastomotic failure risk following pancreatoduodenectomy. </w:t>
      </w:r>
      <w:r>
        <w:rPr>
          <w:rFonts w:ascii="Book Antiqua" w:hAnsi="Book Antiqua" w:eastAsia="Book Antiqua" w:cs="Book Antiqua"/>
          <w:i/>
          <w:iCs/>
          <w:color w:val="000000"/>
        </w:rPr>
        <w:t>J Gastrointest Surg</w:t>
      </w:r>
      <w:r>
        <w:rPr>
          <w:rFonts w:ascii="Book Antiqua" w:hAnsi="Book Antiqua" w:eastAsia="Book Antiqua" w:cs="Book Antiqua"/>
          <w:color w:val="000000"/>
        </w:rPr>
        <w:t xml:space="preserve"> 2011; </w:t>
      </w:r>
      <w:r>
        <w:rPr>
          <w:rFonts w:ascii="Book Antiqua" w:hAnsi="Book Antiqua" w:eastAsia="Book Antiqua" w:cs="Book Antiqua"/>
          <w:b/>
          <w:bCs/>
          <w:color w:val="000000"/>
        </w:rPr>
        <w:t>15</w:t>
      </w:r>
      <w:r>
        <w:rPr>
          <w:rFonts w:ascii="Book Antiqua" w:hAnsi="Book Antiqua" w:eastAsia="Book Antiqua" w:cs="Book Antiqua"/>
          <w:color w:val="000000"/>
        </w:rPr>
        <w:t>: 2193-2204 [PMID: 21948179 DOI: 10.1007/s11605-011-1687-3]</w:t>
      </w:r>
    </w:p>
    <w:p>
      <w:pPr>
        <w:spacing w:line="360" w:lineRule="auto"/>
        <w:jc w:val="both"/>
        <w:rPr>
          <w:rFonts w:ascii="Book Antiqua" w:hAnsi="Book Antiqua"/>
        </w:rPr>
      </w:pPr>
      <w:r>
        <w:rPr>
          <w:rFonts w:ascii="Book Antiqua" w:hAnsi="Book Antiqua" w:eastAsia="Book Antiqua" w:cs="Book Antiqua"/>
          <w:color w:val="000000"/>
        </w:rPr>
        <w:t xml:space="preserve">11 </w:t>
      </w:r>
      <w:r>
        <w:rPr>
          <w:rFonts w:ascii="Book Antiqua" w:hAnsi="Book Antiqua" w:eastAsia="Book Antiqua" w:cs="Book Antiqua"/>
          <w:b/>
          <w:bCs/>
          <w:color w:val="000000"/>
        </w:rPr>
        <w:t>Kang JH</w:t>
      </w:r>
      <w:r>
        <w:rPr>
          <w:rFonts w:ascii="Book Antiqua" w:hAnsi="Book Antiqua" w:eastAsia="Book Antiqua" w:cs="Book Antiqua"/>
          <w:color w:val="000000"/>
        </w:rPr>
        <w:t xml:space="preserve">, Park JS, Yu JS, Chung JJ, Kim JH, Cho ES, Yoon DS. Prediction of pancreatic fistula after pancreatoduodenectomy by preoperative dynamic CT and fecal elastase-1 Levels. </w:t>
      </w:r>
      <w:r>
        <w:rPr>
          <w:rFonts w:ascii="Book Antiqua" w:hAnsi="Book Antiqua" w:eastAsia="Book Antiqua" w:cs="Book Antiqua"/>
          <w:i/>
          <w:iCs/>
          <w:color w:val="000000"/>
        </w:rPr>
        <w:t>PLoS One</w:t>
      </w:r>
      <w:r>
        <w:rPr>
          <w:rFonts w:ascii="Book Antiqua" w:hAnsi="Book Antiqua" w:eastAsia="Book Antiqua" w:cs="Book Antiqua"/>
          <w:color w:val="000000"/>
        </w:rPr>
        <w:t xml:space="preserve"> 2017; </w:t>
      </w:r>
      <w:r>
        <w:rPr>
          <w:rFonts w:ascii="Book Antiqua" w:hAnsi="Book Antiqua" w:eastAsia="Book Antiqua" w:cs="Book Antiqua"/>
          <w:b/>
          <w:bCs/>
          <w:color w:val="000000"/>
        </w:rPr>
        <w:t>12</w:t>
      </w:r>
      <w:r>
        <w:rPr>
          <w:rFonts w:ascii="Book Antiqua" w:hAnsi="Book Antiqua" w:eastAsia="Book Antiqua" w:cs="Book Antiqua"/>
          <w:color w:val="000000"/>
        </w:rPr>
        <w:t>: e0177052 [PMID: 28493949 DOI: 10.1371/journal.pone.0177052]</w:t>
      </w:r>
    </w:p>
    <w:p>
      <w:pPr>
        <w:spacing w:line="360" w:lineRule="auto"/>
        <w:jc w:val="both"/>
        <w:rPr>
          <w:rFonts w:ascii="Book Antiqua" w:hAnsi="Book Antiqua"/>
        </w:rPr>
      </w:pPr>
      <w:r>
        <w:rPr>
          <w:rFonts w:ascii="Book Antiqua" w:hAnsi="Book Antiqua" w:eastAsia="Book Antiqua" w:cs="Book Antiqua"/>
          <w:color w:val="000000"/>
        </w:rPr>
        <w:t xml:space="preserve">12 </w:t>
      </w:r>
      <w:r>
        <w:rPr>
          <w:rFonts w:ascii="Book Antiqua" w:hAnsi="Book Antiqua" w:eastAsia="Book Antiqua" w:cs="Book Antiqua"/>
          <w:b/>
          <w:bCs/>
          <w:color w:val="000000"/>
        </w:rPr>
        <w:t>Kim SY</w:t>
      </w:r>
      <w:r>
        <w:rPr>
          <w:rFonts w:ascii="Book Antiqua" w:hAnsi="Book Antiqua" w:eastAsia="Book Antiqua" w:cs="Book Antiqua"/>
          <w:color w:val="000000"/>
        </w:rPr>
        <w:t xml:space="preserve">, Kim H, Cho JY, Lim S, Cha K, Lee KH, Kim YH, Kim JH, Yoon YS, Han HS, Kang HS. Quantitative assessment of pancreatic fat by using unenhanced CT: pathologic correlation and clinical implications. </w:t>
      </w:r>
      <w:r>
        <w:rPr>
          <w:rFonts w:ascii="Book Antiqua" w:hAnsi="Book Antiqua" w:eastAsia="Book Antiqua" w:cs="Book Antiqua"/>
          <w:i/>
          <w:iCs/>
          <w:color w:val="000000"/>
        </w:rPr>
        <w:t>Radiology</w:t>
      </w:r>
      <w:r>
        <w:rPr>
          <w:rFonts w:ascii="Book Antiqua" w:hAnsi="Book Antiqua" w:eastAsia="Book Antiqua" w:cs="Book Antiqua"/>
          <w:color w:val="000000"/>
        </w:rPr>
        <w:t xml:space="preserve"> 2014; </w:t>
      </w:r>
      <w:r>
        <w:rPr>
          <w:rFonts w:ascii="Book Antiqua" w:hAnsi="Book Antiqua" w:eastAsia="Book Antiqua" w:cs="Book Antiqua"/>
          <w:b/>
          <w:bCs/>
          <w:color w:val="000000"/>
        </w:rPr>
        <w:t>271</w:t>
      </w:r>
      <w:r>
        <w:rPr>
          <w:rFonts w:ascii="Book Antiqua" w:hAnsi="Book Antiqua" w:eastAsia="Book Antiqua" w:cs="Book Antiqua"/>
          <w:color w:val="000000"/>
        </w:rPr>
        <w:t>: 104-112 [PMID: 24475851 DOI: 10.1148/radiol.13122883]</w:t>
      </w:r>
    </w:p>
    <w:p>
      <w:pPr>
        <w:spacing w:line="360" w:lineRule="auto"/>
        <w:jc w:val="both"/>
        <w:rPr>
          <w:rFonts w:ascii="Book Antiqua" w:hAnsi="Book Antiqua"/>
        </w:rPr>
      </w:pPr>
      <w:r>
        <w:rPr>
          <w:rFonts w:ascii="Book Antiqua" w:hAnsi="Book Antiqua" w:eastAsia="Book Antiqua" w:cs="Book Antiqua"/>
          <w:color w:val="000000"/>
        </w:rPr>
        <w:t xml:space="preserve">13 </w:t>
      </w:r>
      <w:r>
        <w:rPr>
          <w:rFonts w:ascii="Book Antiqua" w:hAnsi="Book Antiqua" w:eastAsia="Book Antiqua" w:cs="Book Antiqua"/>
          <w:b/>
          <w:bCs/>
          <w:color w:val="000000"/>
        </w:rPr>
        <w:t>Klöppel G</w:t>
      </w:r>
      <w:r>
        <w:rPr>
          <w:rFonts w:ascii="Book Antiqua" w:hAnsi="Book Antiqua" w:eastAsia="Book Antiqua" w:cs="Book Antiqua"/>
          <w:color w:val="000000"/>
        </w:rPr>
        <w:t xml:space="preserve">, Maillet B. Pseudocysts in chronic pancreatitis: a morphological analysis of 57 resection specimens and 9 autopsy pancreata. </w:t>
      </w:r>
      <w:r>
        <w:rPr>
          <w:rFonts w:ascii="Book Antiqua" w:hAnsi="Book Antiqua" w:eastAsia="Book Antiqua" w:cs="Book Antiqua"/>
          <w:i/>
          <w:iCs/>
          <w:color w:val="000000"/>
        </w:rPr>
        <w:t>Pancreas</w:t>
      </w:r>
      <w:r>
        <w:rPr>
          <w:rFonts w:ascii="Book Antiqua" w:hAnsi="Book Antiqua" w:eastAsia="Book Antiqua" w:cs="Book Antiqua"/>
          <w:color w:val="000000"/>
        </w:rPr>
        <w:t xml:space="preserve"> 1991; </w:t>
      </w:r>
      <w:r>
        <w:rPr>
          <w:rFonts w:ascii="Book Antiqua" w:hAnsi="Book Antiqua" w:eastAsia="Book Antiqua" w:cs="Book Antiqua"/>
          <w:b/>
          <w:bCs/>
          <w:color w:val="000000"/>
        </w:rPr>
        <w:t>6</w:t>
      </w:r>
      <w:r>
        <w:rPr>
          <w:rFonts w:ascii="Book Antiqua" w:hAnsi="Book Antiqua" w:eastAsia="Book Antiqua" w:cs="Book Antiqua"/>
          <w:color w:val="000000"/>
        </w:rPr>
        <w:t>: 266-274 [PMID: 1862065]</w:t>
      </w:r>
    </w:p>
    <w:p>
      <w:pPr>
        <w:spacing w:line="360" w:lineRule="auto"/>
        <w:jc w:val="both"/>
        <w:rPr>
          <w:rFonts w:ascii="Book Antiqua" w:hAnsi="Book Antiqua"/>
        </w:rPr>
      </w:pPr>
      <w:r>
        <w:rPr>
          <w:rFonts w:ascii="Book Antiqua" w:hAnsi="Book Antiqua" w:eastAsia="Book Antiqua" w:cs="Book Antiqua"/>
          <w:color w:val="000000"/>
        </w:rPr>
        <w:t xml:space="preserve">14 </w:t>
      </w:r>
      <w:r>
        <w:rPr>
          <w:rFonts w:ascii="Book Antiqua" w:hAnsi="Book Antiqua" w:eastAsia="Book Antiqua" w:cs="Book Antiqua"/>
          <w:b/>
          <w:bCs/>
          <w:color w:val="000000"/>
        </w:rPr>
        <w:t>Bassi C</w:t>
      </w:r>
      <w:r>
        <w:rPr>
          <w:rFonts w:ascii="Book Antiqua" w:hAnsi="Book Antiqua" w:eastAsia="Book Antiqua" w:cs="Book Antiqua"/>
          <w:color w:val="000000"/>
        </w:rPr>
        <w:t xml:space="preserve">, Marchegiani G, Dervenis C, Sarr M, Abu Hilal M, Adham M, Allen P, Andersson R, Asbun HJ, Besselink MG, Conlon K, Del Chiaro M, Falconi M, Fernandez-Cruz L, Fernandez-Del Castillo C, Fingerhut A, Friess H, Gouma DJ, Hackert T, Izbicki J, Lillemoe KD, Neoptolemos JP, Olah A, Schulick R, Shrikhande SV, Takada T, Takaori K, Traverso W, Vollmer CR, Wolfgang CL, Yeo CJ, Salvia R, Buchler M; International Study Group on Pancreatic Surgery (ISGPS). The 2016 update of the International Study Group (ISGPS) definition and grading of postoperative pancreatic fistula: 11 Years After. </w:t>
      </w:r>
      <w:r>
        <w:rPr>
          <w:rFonts w:ascii="Book Antiqua" w:hAnsi="Book Antiqua" w:eastAsia="Book Antiqua" w:cs="Book Antiqua"/>
          <w:i/>
          <w:iCs/>
          <w:color w:val="000000"/>
        </w:rPr>
        <w:t>Surgery</w:t>
      </w:r>
      <w:r>
        <w:rPr>
          <w:rFonts w:ascii="Book Antiqua" w:hAnsi="Book Antiqua" w:eastAsia="Book Antiqua" w:cs="Book Antiqua"/>
          <w:color w:val="000000"/>
        </w:rPr>
        <w:t xml:space="preserve"> 2017; </w:t>
      </w:r>
      <w:r>
        <w:rPr>
          <w:rFonts w:ascii="Book Antiqua" w:hAnsi="Book Antiqua" w:eastAsia="Book Antiqua" w:cs="Book Antiqua"/>
          <w:b/>
          <w:bCs/>
          <w:color w:val="000000"/>
        </w:rPr>
        <w:t>161</w:t>
      </w:r>
      <w:r>
        <w:rPr>
          <w:rFonts w:ascii="Book Antiqua" w:hAnsi="Book Antiqua" w:eastAsia="Book Antiqua" w:cs="Book Antiqua"/>
          <w:color w:val="000000"/>
        </w:rPr>
        <w:t>: 584-591 [PMID: 28040257 DOI: 10.1016/j.surg.2016.11.014]</w:t>
      </w:r>
    </w:p>
    <w:p>
      <w:pPr>
        <w:spacing w:line="360" w:lineRule="auto"/>
        <w:jc w:val="both"/>
        <w:rPr>
          <w:rFonts w:ascii="Book Antiqua" w:hAnsi="Book Antiqua"/>
        </w:rPr>
      </w:pPr>
      <w:r>
        <w:rPr>
          <w:rFonts w:ascii="Book Antiqua" w:hAnsi="Book Antiqua" w:eastAsia="Book Antiqua" w:cs="Book Antiqua"/>
          <w:color w:val="000000"/>
        </w:rPr>
        <w:t xml:space="preserve">15 </w:t>
      </w:r>
      <w:r>
        <w:rPr>
          <w:rFonts w:ascii="Book Antiqua" w:hAnsi="Book Antiqua" w:eastAsia="Book Antiqua" w:cs="Book Antiqua"/>
          <w:b/>
          <w:bCs/>
          <w:color w:val="000000"/>
        </w:rPr>
        <w:t>Wente MN</w:t>
      </w:r>
      <w:r>
        <w:rPr>
          <w:rFonts w:ascii="Book Antiqua" w:hAnsi="Book Antiqua" w:eastAsia="Book Antiqua" w:cs="Book Antiqua"/>
          <w:color w:val="000000"/>
        </w:rPr>
        <w:t xml:space="preserve">, Bassi C, Dervenis C, Fingerhut A, Gouma DJ, Izbicki JR, Neoptolemos JP, Padbury RT, Sarr MG, Traverso LW, Yeo CJ, Büchler MW. Delayed gastric emptying (DGE) after pancreatic surgery: a suggested definition by the International Study Group of Pancreatic Surgery (ISGPS). </w:t>
      </w:r>
      <w:r>
        <w:rPr>
          <w:rFonts w:ascii="Book Antiqua" w:hAnsi="Book Antiqua" w:eastAsia="Book Antiqua" w:cs="Book Antiqua"/>
          <w:i/>
          <w:iCs/>
          <w:color w:val="000000"/>
        </w:rPr>
        <w:t>Surgery</w:t>
      </w:r>
      <w:r>
        <w:rPr>
          <w:rFonts w:ascii="Book Antiqua" w:hAnsi="Book Antiqua" w:eastAsia="Book Antiqua" w:cs="Book Antiqua"/>
          <w:color w:val="000000"/>
        </w:rPr>
        <w:t xml:space="preserve"> 2007; </w:t>
      </w:r>
      <w:r>
        <w:rPr>
          <w:rFonts w:ascii="Book Antiqua" w:hAnsi="Book Antiqua" w:eastAsia="Book Antiqua" w:cs="Book Antiqua"/>
          <w:b/>
          <w:bCs/>
          <w:color w:val="000000"/>
        </w:rPr>
        <w:t>142</w:t>
      </w:r>
      <w:r>
        <w:rPr>
          <w:rFonts w:ascii="Book Antiqua" w:hAnsi="Book Antiqua" w:eastAsia="Book Antiqua" w:cs="Book Antiqua"/>
          <w:color w:val="000000"/>
        </w:rPr>
        <w:t>: 761-768 [PMID: 17981197 DOI: 10.1016/j.surg.2007.05.005]</w:t>
      </w:r>
    </w:p>
    <w:p>
      <w:pPr>
        <w:spacing w:line="360" w:lineRule="auto"/>
        <w:jc w:val="both"/>
        <w:rPr>
          <w:rFonts w:ascii="Book Antiqua" w:hAnsi="Book Antiqua"/>
        </w:rPr>
      </w:pPr>
      <w:r>
        <w:rPr>
          <w:rFonts w:ascii="Book Antiqua" w:hAnsi="Book Antiqua" w:eastAsia="Book Antiqua" w:cs="Book Antiqua"/>
          <w:color w:val="000000"/>
        </w:rPr>
        <w:t xml:space="preserve">16 </w:t>
      </w:r>
      <w:r>
        <w:rPr>
          <w:rFonts w:ascii="Book Antiqua" w:hAnsi="Book Antiqua" w:eastAsia="Book Antiqua" w:cs="Book Antiqua"/>
          <w:b/>
          <w:bCs/>
          <w:color w:val="000000"/>
        </w:rPr>
        <w:t>Wente MN</w:t>
      </w:r>
      <w:r>
        <w:rPr>
          <w:rFonts w:ascii="Book Antiqua" w:hAnsi="Book Antiqua" w:eastAsia="Book Antiqua" w:cs="Book Antiqua"/>
          <w:color w:val="000000"/>
        </w:rPr>
        <w:t xml:space="preserve">, Veit JA, Bassi C, Dervenis C, Fingerhut A, Gouma DJ, Izbicki JR, Neoptolemos JP, Padbury RT, Sarr MG, Yeo CJ, Büchler MW. Postpancreatectomy hemorrhage (PPH): an International Study Group of Pancreatic Surgery (ISGPS) definition. </w:t>
      </w:r>
      <w:r>
        <w:rPr>
          <w:rFonts w:ascii="Book Antiqua" w:hAnsi="Book Antiqua" w:eastAsia="Book Antiqua" w:cs="Book Antiqua"/>
          <w:i/>
          <w:iCs/>
          <w:color w:val="000000"/>
        </w:rPr>
        <w:t>Surgery</w:t>
      </w:r>
      <w:r>
        <w:rPr>
          <w:rFonts w:ascii="Book Antiqua" w:hAnsi="Book Antiqua" w:eastAsia="Book Antiqua" w:cs="Book Antiqua"/>
          <w:color w:val="000000"/>
        </w:rPr>
        <w:t xml:space="preserve"> 2007; </w:t>
      </w:r>
      <w:r>
        <w:rPr>
          <w:rFonts w:ascii="Book Antiqua" w:hAnsi="Book Antiqua" w:eastAsia="Book Antiqua" w:cs="Book Antiqua"/>
          <w:b/>
          <w:bCs/>
          <w:color w:val="000000"/>
        </w:rPr>
        <w:t>142</w:t>
      </w:r>
      <w:r>
        <w:rPr>
          <w:rFonts w:ascii="Book Antiqua" w:hAnsi="Book Antiqua" w:eastAsia="Book Antiqua" w:cs="Book Antiqua"/>
          <w:color w:val="000000"/>
        </w:rPr>
        <w:t>: 20-25 [PMID: 17629996 DOI: 10.1016/j.surg.2007.02.001]</w:t>
      </w:r>
    </w:p>
    <w:p>
      <w:pPr>
        <w:spacing w:line="360" w:lineRule="auto"/>
        <w:jc w:val="both"/>
        <w:rPr>
          <w:rFonts w:ascii="Book Antiqua" w:hAnsi="Book Antiqua"/>
        </w:rPr>
      </w:pPr>
      <w:r>
        <w:rPr>
          <w:rFonts w:ascii="Book Antiqua" w:hAnsi="Book Antiqua" w:eastAsia="Book Antiqua" w:cs="Book Antiqua"/>
          <w:color w:val="000000"/>
        </w:rPr>
        <w:t xml:space="preserve">17 </w:t>
      </w:r>
      <w:r>
        <w:rPr>
          <w:rFonts w:ascii="Book Antiqua" w:hAnsi="Book Antiqua" w:eastAsia="Book Antiqua" w:cs="Book Antiqua"/>
          <w:b/>
          <w:bCs/>
          <w:color w:val="000000"/>
        </w:rPr>
        <w:t>Lin JW</w:t>
      </w:r>
      <w:r>
        <w:rPr>
          <w:rFonts w:ascii="Book Antiqua" w:hAnsi="Book Antiqua" w:eastAsia="Book Antiqua" w:cs="Book Antiqua"/>
          <w:color w:val="000000"/>
        </w:rPr>
        <w:t xml:space="preserve">, Cameron JL, Yeo CJ, Riall TS, Lillemoe KD. Risk factors and outcomes in postpancreaticoduodenectomy pancreaticocutaneous fistula. </w:t>
      </w:r>
      <w:r>
        <w:rPr>
          <w:rFonts w:ascii="Book Antiqua" w:hAnsi="Book Antiqua" w:eastAsia="Book Antiqua" w:cs="Book Antiqua"/>
          <w:i/>
          <w:iCs/>
          <w:color w:val="000000"/>
        </w:rPr>
        <w:t>J Gastrointest Surg</w:t>
      </w:r>
      <w:r>
        <w:rPr>
          <w:rFonts w:ascii="Book Antiqua" w:hAnsi="Book Antiqua" w:eastAsia="Book Antiqua" w:cs="Book Antiqua"/>
          <w:color w:val="000000"/>
        </w:rPr>
        <w:t xml:space="preserve"> 2004; </w:t>
      </w:r>
      <w:r>
        <w:rPr>
          <w:rFonts w:ascii="Book Antiqua" w:hAnsi="Book Antiqua" w:eastAsia="Book Antiqua" w:cs="Book Antiqua"/>
          <w:b/>
          <w:bCs/>
          <w:color w:val="000000"/>
        </w:rPr>
        <w:t>8</w:t>
      </w:r>
      <w:r>
        <w:rPr>
          <w:rFonts w:ascii="Book Antiqua" w:hAnsi="Book Antiqua" w:eastAsia="Book Antiqua" w:cs="Book Antiqua"/>
          <w:color w:val="000000"/>
        </w:rPr>
        <w:t>: 951-959 [PMID: 15585382 DOI: 10.1016/j.gassur.2004.09.044]</w:t>
      </w:r>
    </w:p>
    <w:p>
      <w:pPr>
        <w:spacing w:line="360" w:lineRule="auto"/>
        <w:jc w:val="both"/>
        <w:rPr>
          <w:rFonts w:ascii="Book Antiqua" w:hAnsi="Book Antiqua"/>
        </w:rPr>
      </w:pPr>
      <w:r>
        <w:rPr>
          <w:rFonts w:ascii="Book Antiqua" w:hAnsi="Book Antiqua" w:eastAsia="Book Antiqua" w:cs="Book Antiqua"/>
          <w:color w:val="000000"/>
        </w:rPr>
        <w:t xml:space="preserve">18 </w:t>
      </w:r>
      <w:r>
        <w:rPr>
          <w:rFonts w:ascii="Book Antiqua" w:hAnsi="Book Antiqua" w:eastAsia="Book Antiqua" w:cs="Book Antiqua"/>
          <w:b/>
          <w:bCs/>
          <w:color w:val="000000"/>
        </w:rPr>
        <w:t>Hu BY</w:t>
      </w:r>
      <w:r>
        <w:rPr>
          <w:rFonts w:ascii="Book Antiqua" w:hAnsi="Book Antiqua" w:eastAsia="Book Antiqua" w:cs="Book Antiqua"/>
          <w:color w:val="000000"/>
        </w:rPr>
        <w:t xml:space="preserve">, Wan T, Zhang WZ, Dong JH. Risk factors for postoperative pancreatic fistula: Analysis of 539 successive cases of pancreaticoduodenectomy. </w:t>
      </w:r>
      <w:r>
        <w:rPr>
          <w:rFonts w:ascii="Book Antiqua" w:hAnsi="Book Antiqua" w:eastAsia="Book Antiqua" w:cs="Book Antiqua"/>
          <w:i/>
          <w:iCs/>
          <w:color w:val="000000"/>
        </w:rPr>
        <w:t>World J Gastroenterol</w:t>
      </w:r>
      <w:r>
        <w:rPr>
          <w:rFonts w:ascii="Book Antiqua" w:hAnsi="Book Antiqua" w:eastAsia="Book Antiqua" w:cs="Book Antiqua"/>
          <w:color w:val="000000"/>
        </w:rPr>
        <w:t xml:space="preserve"> 2016; </w:t>
      </w:r>
      <w:r>
        <w:rPr>
          <w:rFonts w:ascii="Book Antiqua" w:hAnsi="Book Antiqua" w:eastAsia="Book Antiqua" w:cs="Book Antiqua"/>
          <w:b/>
          <w:bCs/>
          <w:color w:val="000000"/>
        </w:rPr>
        <w:t>22</w:t>
      </w:r>
      <w:r>
        <w:rPr>
          <w:rFonts w:ascii="Book Antiqua" w:hAnsi="Book Antiqua" w:eastAsia="Book Antiqua" w:cs="Book Antiqua"/>
          <w:color w:val="000000"/>
        </w:rPr>
        <w:t>: 7797-7805 [PMID: 27678363 DOI: 10.3748/wjg.v22.i34.7797]</w:t>
      </w:r>
    </w:p>
    <w:p>
      <w:pPr>
        <w:spacing w:line="360" w:lineRule="auto"/>
        <w:jc w:val="both"/>
        <w:rPr>
          <w:rFonts w:ascii="Book Antiqua" w:hAnsi="Book Antiqua"/>
        </w:rPr>
      </w:pPr>
      <w:r>
        <w:rPr>
          <w:rFonts w:ascii="Book Antiqua" w:hAnsi="Book Antiqua" w:eastAsia="Book Antiqua" w:cs="Book Antiqua"/>
          <w:color w:val="000000"/>
        </w:rPr>
        <w:t xml:space="preserve">19 </w:t>
      </w:r>
      <w:r>
        <w:rPr>
          <w:rFonts w:ascii="Book Antiqua" w:hAnsi="Book Antiqua" w:eastAsia="Book Antiqua" w:cs="Book Antiqua"/>
          <w:b/>
          <w:bCs/>
          <w:color w:val="000000"/>
        </w:rPr>
        <w:t>Laaninen M</w:t>
      </w:r>
      <w:r>
        <w:rPr>
          <w:rFonts w:ascii="Book Antiqua" w:hAnsi="Book Antiqua" w:eastAsia="Book Antiqua" w:cs="Book Antiqua"/>
          <w:color w:val="000000"/>
        </w:rPr>
        <w:t xml:space="preserve">, Bläuer M, Vasama K, Jin H, Räty S, Sand J, Nordback I, Laukkarinen J. The risk for immediate postoperative complications after pancreaticoduodenectomy is increased by high frequency of acinar cells and decreased by prevalent fibrosis of the cut edge of pancreas. </w:t>
      </w:r>
      <w:r>
        <w:rPr>
          <w:rFonts w:ascii="Book Antiqua" w:hAnsi="Book Antiqua" w:eastAsia="Book Antiqua" w:cs="Book Antiqua"/>
          <w:i/>
          <w:iCs/>
          <w:color w:val="000000"/>
        </w:rPr>
        <w:t>Pancreas</w:t>
      </w:r>
      <w:r>
        <w:rPr>
          <w:rFonts w:ascii="Book Antiqua" w:hAnsi="Book Antiqua" w:eastAsia="Book Antiqua" w:cs="Book Antiqua"/>
          <w:color w:val="000000"/>
        </w:rPr>
        <w:t xml:space="preserve"> 2012; </w:t>
      </w:r>
      <w:r>
        <w:rPr>
          <w:rFonts w:ascii="Book Antiqua" w:hAnsi="Book Antiqua" w:eastAsia="Book Antiqua" w:cs="Book Antiqua"/>
          <w:b/>
          <w:bCs/>
          <w:color w:val="000000"/>
        </w:rPr>
        <w:t>41</w:t>
      </w:r>
      <w:r>
        <w:rPr>
          <w:rFonts w:ascii="Book Antiqua" w:hAnsi="Book Antiqua" w:eastAsia="Book Antiqua" w:cs="Book Antiqua"/>
          <w:color w:val="000000"/>
        </w:rPr>
        <w:t>: 957-961 [PMID: 22699198 DOI: 10.1097/MPA.0b013e3182480b81]</w:t>
      </w:r>
    </w:p>
    <w:p>
      <w:pPr>
        <w:spacing w:line="360" w:lineRule="auto"/>
        <w:jc w:val="both"/>
        <w:rPr>
          <w:rFonts w:ascii="Book Antiqua" w:hAnsi="Book Antiqua"/>
        </w:rPr>
      </w:pPr>
      <w:r>
        <w:rPr>
          <w:rFonts w:ascii="Book Antiqua" w:hAnsi="Book Antiqua" w:eastAsia="Book Antiqua" w:cs="Book Antiqua"/>
          <w:color w:val="000000"/>
        </w:rPr>
        <w:t xml:space="preserve">20 </w:t>
      </w:r>
      <w:r>
        <w:rPr>
          <w:rFonts w:ascii="Book Antiqua" w:hAnsi="Book Antiqua" w:eastAsia="Book Antiqua" w:cs="Book Antiqua"/>
          <w:b/>
          <w:bCs/>
          <w:color w:val="000000"/>
        </w:rPr>
        <w:t>Kim Z</w:t>
      </w:r>
      <w:r>
        <w:rPr>
          <w:rFonts w:ascii="Book Antiqua" w:hAnsi="Book Antiqua" w:eastAsia="Book Antiqua" w:cs="Book Antiqua"/>
          <w:color w:val="000000"/>
        </w:rPr>
        <w:t xml:space="preserve">, Kim MJ, Kim JH, Jin SY, Kim YB, Seo D, Choi D, Hur KY, Kim JJ, Lee MH, Moon C. Prediction of post-operative pancreatic fistula in pancreaticoduodenectomy patients using pre-operative MRI: a pilot study. </w:t>
      </w:r>
      <w:r>
        <w:rPr>
          <w:rFonts w:ascii="Book Antiqua" w:hAnsi="Book Antiqua" w:eastAsia="Book Antiqua" w:cs="Book Antiqua"/>
          <w:i/>
          <w:iCs/>
          <w:color w:val="000000"/>
        </w:rPr>
        <w:t>HPB (Oxford)</w:t>
      </w:r>
      <w:r>
        <w:rPr>
          <w:rFonts w:ascii="Book Antiqua" w:hAnsi="Book Antiqua" w:eastAsia="Book Antiqua" w:cs="Book Antiqua"/>
          <w:color w:val="000000"/>
        </w:rPr>
        <w:t xml:space="preserve"> 2009; </w:t>
      </w:r>
      <w:r>
        <w:rPr>
          <w:rFonts w:ascii="Book Antiqua" w:hAnsi="Book Antiqua" w:eastAsia="Book Antiqua" w:cs="Book Antiqua"/>
          <w:b/>
          <w:bCs/>
          <w:color w:val="000000"/>
        </w:rPr>
        <w:t>11</w:t>
      </w:r>
      <w:r>
        <w:rPr>
          <w:rFonts w:ascii="Book Antiqua" w:hAnsi="Book Antiqua" w:eastAsia="Book Antiqua" w:cs="Book Antiqua"/>
          <w:color w:val="000000"/>
        </w:rPr>
        <w:t>: 215-221 [PMID: 19590650 DOI: 10.1111/j.1477-2574.2009.00011.x]</w:t>
      </w:r>
    </w:p>
    <w:p>
      <w:pPr>
        <w:spacing w:line="360" w:lineRule="auto"/>
        <w:jc w:val="both"/>
        <w:rPr>
          <w:rFonts w:ascii="Book Antiqua" w:hAnsi="Book Antiqua"/>
        </w:rPr>
      </w:pPr>
      <w:r>
        <w:rPr>
          <w:rFonts w:ascii="Book Antiqua" w:hAnsi="Book Antiqua" w:eastAsia="Book Antiqua" w:cs="Book Antiqua"/>
          <w:color w:val="000000"/>
        </w:rPr>
        <w:t xml:space="preserve">21 </w:t>
      </w:r>
      <w:r>
        <w:rPr>
          <w:rFonts w:ascii="Book Antiqua" w:hAnsi="Book Antiqua" w:eastAsia="Book Antiqua" w:cs="Book Antiqua"/>
          <w:b/>
          <w:bCs/>
          <w:color w:val="000000"/>
        </w:rPr>
        <w:t>Adalı G</w:t>
      </w:r>
      <w:r>
        <w:rPr>
          <w:rFonts w:ascii="Book Antiqua" w:hAnsi="Book Antiqua" w:eastAsia="Book Antiqua" w:cs="Book Antiqua"/>
          <w:color w:val="000000"/>
        </w:rPr>
        <w:t xml:space="preserve">, Bozkurt B, Ceyhan Ö, Server S, Doğusoy GB, Yüzer Y, Tokat Y. Body Mass Index and Unenhanced CT as a Predictor of Hepatic Steatosis in Potential Liver Donors. </w:t>
      </w:r>
      <w:r>
        <w:rPr>
          <w:rFonts w:ascii="Book Antiqua" w:hAnsi="Book Antiqua" w:eastAsia="Book Antiqua" w:cs="Book Antiqua"/>
          <w:i/>
          <w:iCs/>
          <w:color w:val="000000"/>
        </w:rPr>
        <w:t>Transplant Proc</w:t>
      </w:r>
      <w:r>
        <w:rPr>
          <w:rFonts w:ascii="Book Antiqua" w:hAnsi="Book Antiqua" w:eastAsia="Book Antiqua" w:cs="Book Antiqua"/>
          <w:color w:val="000000"/>
        </w:rPr>
        <w:t xml:space="preserve"> 2019; </w:t>
      </w:r>
      <w:r>
        <w:rPr>
          <w:rFonts w:ascii="Book Antiqua" w:hAnsi="Book Antiqua" w:eastAsia="Book Antiqua" w:cs="Book Antiqua"/>
          <w:b/>
          <w:bCs/>
          <w:color w:val="000000"/>
        </w:rPr>
        <w:t>51</w:t>
      </w:r>
      <w:r>
        <w:rPr>
          <w:rFonts w:ascii="Book Antiqua" w:hAnsi="Book Antiqua" w:eastAsia="Book Antiqua" w:cs="Book Antiqua"/>
          <w:color w:val="000000"/>
        </w:rPr>
        <w:t>: 2373-2378 [PMID: 31402250 DOI: 10.1016/j.transproceed.2019.02.047]</w:t>
      </w:r>
    </w:p>
    <w:p>
      <w:pPr>
        <w:spacing w:line="360" w:lineRule="auto"/>
        <w:jc w:val="both"/>
        <w:rPr>
          <w:rFonts w:ascii="Book Antiqua" w:hAnsi="Book Antiqua"/>
        </w:rPr>
      </w:pPr>
      <w:r>
        <w:rPr>
          <w:rFonts w:ascii="Book Antiqua" w:hAnsi="Book Antiqua" w:eastAsia="Book Antiqua" w:cs="Book Antiqua"/>
          <w:color w:val="000000"/>
        </w:rPr>
        <w:t xml:space="preserve">22 </w:t>
      </w:r>
      <w:r>
        <w:rPr>
          <w:rFonts w:ascii="Book Antiqua" w:hAnsi="Book Antiqua" w:eastAsia="Book Antiqua" w:cs="Book Antiqua"/>
          <w:b/>
          <w:bCs/>
          <w:color w:val="000000"/>
        </w:rPr>
        <w:t>Yardimci S</w:t>
      </w:r>
      <w:r>
        <w:rPr>
          <w:rFonts w:ascii="Book Antiqua" w:hAnsi="Book Antiqua" w:eastAsia="Book Antiqua" w:cs="Book Antiqua"/>
          <w:color w:val="000000"/>
        </w:rPr>
        <w:t xml:space="preserve">, Kara YB, Tuney D, Attaallah W, Ugurlu MU, Dulundu E, Yegen ŞC. A Simple Method to Evaluate Whether Pancreas Texture Can Be Used to Predict Pancreatic Fistula Risk After Pancreatoduodenectomy. </w:t>
      </w:r>
      <w:r>
        <w:rPr>
          <w:rFonts w:ascii="Book Antiqua" w:hAnsi="Book Antiqua" w:eastAsia="Book Antiqua" w:cs="Book Antiqua"/>
          <w:i/>
          <w:iCs/>
          <w:color w:val="000000"/>
        </w:rPr>
        <w:t>J Gastrointest Surg</w:t>
      </w:r>
      <w:r>
        <w:rPr>
          <w:rFonts w:ascii="Book Antiqua" w:hAnsi="Book Antiqua" w:eastAsia="Book Antiqua" w:cs="Book Antiqua"/>
          <w:color w:val="000000"/>
        </w:rPr>
        <w:t xml:space="preserve"> 2015; </w:t>
      </w:r>
      <w:r>
        <w:rPr>
          <w:rFonts w:ascii="Book Antiqua" w:hAnsi="Book Antiqua" w:eastAsia="Book Antiqua" w:cs="Book Antiqua"/>
          <w:b/>
          <w:bCs/>
          <w:color w:val="000000"/>
        </w:rPr>
        <w:t>19</w:t>
      </w:r>
      <w:r>
        <w:rPr>
          <w:rFonts w:ascii="Book Antiqua" w:hAnsi="Book Antiqua" w:eastAsia="Book Antiqua" w:cs="Book Antiqua"/>
          <w:color w:val="000000"/>
        </w:rPr>
        <w:t>: 1625-1631 [PMID: 25982120 DOI: 10.1007/s11605-015-2855-7]</w:t>
      </w:r>
    </w:p>
    <w:p>
      <w:pPr>
        <w:spacing w:line="360" w:lineRule="auto"/>
        <w:jc w:val="both"/>
        <w:rPr>
          <w:rFonts w:ascii="Book Antiqua" w:hAnsi="Book Antiqua"/>
        </w:rPr>
      </w:pPr>
      <w:r>
        <w:rPr>
          <w:rFonts w:ascii="Book Antiqua" w:hAnsi="Book Antiqua" w:eastAsia="Book Antiqua" w:cs="Book Antiqua"/>
          <w:color w:val="000000"/>
        </w:rPr>
        <w:t xml:space="preserve">23 </w:t>
      </w:r>
      <w:r>
        <w:rPr>
          <w:rFonts w:ascii="Book Antiqua" w:hAnsi="Book Antiqua" w:eastAsia="Book Antiqua" w:cs="Book Antiqua"/>
          <w:b/>
          <w:bCs/>
          <w:color w:val="000000"/>
        </w:rPr>
        <w:t>Hori M</w:t>
      </w:r>
      <w:r>
        <w:rPr>
          <w:rFonts w:ascii="Book Antiqua" w:hAnsi="Book Antiqua" w:eastAsia="Book Antiqua" w:cs="Book Antiqua"/>
          <w:color w:val="000000"/>
        </w:rPr>
        <w:t xml:space="preserve">, Onaya H, Hiraoka N, Yamaji T, Kobayashi H, Takahashi M, Mutoh M, Shimada K, Nakagama H. Evaluation of the degree of pancreatic fatty infiltration by area-based assessment of CT images: comparison with histopathology-based and CT attenuation index-based assessments. </w:t>
      </w:r>
      <w:r>
        <w:rPr>
          <w:rFonts w:ascii="Book Antiqua" w:hAnsi="Book Antiqua" w:eastAsia="Book Antiqua" w:cs="Book Antiqua"/>
          <w:i/>
          <w:iCs/>
          <w:color w:val="000000"/>
        </w:rPr>
        <w:t>Jpn J Radiol</w:t>
      </w:r>
      <w:r>
        <w:rPr>
          <w:rFonts w:ascii="Book Antiqua" w:hAnsi="Book Antiqua" w:eastAsia="Book Antiqua" w:cs="Book Antiqua"/>
          <w:color w:val="000000"/>
        </w:rPr>
        <w:t xml:space="preserve"> 2016; </w:t>
      </w:r>
      <w:r>
        <w:rPr>
          <w:rFonts w:ascii="Book Antiqua" w:hAnsi="Book Antiqua" w:eastAsia="Book Antiqua" w:cs="Book Antiqua"/>
          <w:b/>
          <w:bCs/>
          <w:color w:val="000000"/>
        </w:rPr>
        <w:t>34</w:t>
      </w:r>
      <w:r>
        <w:rPr>
          <w:rFonts w:ascii="Book Antiqua" w:hAnsi="Book Antiqua" w:eastAsia="Book Antiqua" w:cs="Book Antiqua"/>
          <w:color w:val="000000"/>
        </w:rPr>
        <w:t>: 667-676 [PMID: 27581428 DOI: 10.1007/s11604-016-0572-0]</w:t>
      </w: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Footnotes</w:t>
      </w:r>
    </w:p>
    <w:p>
      <w:pPr>
        <w:spacing w:line="360" w:lineRule="auto"/>
        <w:jc w:val="both"/>
        <w:rPr>
          <w:rFonts w:ascii="Book Antiqua" w:hAnsi="Book Antiqua"/>
        </w:rPr>
      </w:pPr>
      <w:r>
        <w:rPr>
          <w:rFonts w:ascii="Book Antiqua" w:hAnsi="Book Antiqua" w:eastAsia="Book Antiqua" w:cs="Book Antiqua"/>
          <w:b/>
          <w:bCs/>
          <w:color w:val="000000"/>
        </w:rPr>
        <w:t xml:space="preserve">Institutional review board statement: </w:t>
      </w:r>
      <w:r>
        <w:rPr>
          <w:rStyle w:val="10"/>
          <w:rFonts w:ascii="Book Antiqua" w:hAnsi="Book Antiqua" w:eastAsia="Book Antiqua" w:cs="Book Antiqua"/>
          <w:color w:val="000000"/>
        </w:rPr>
        <w:t xml:space="preserve">The study was reviewed and approved by the institutional ethics committee (Human studies) of Jawaharlal Institute of Postgraduate Medical Education and Research (JIPMER), Puducherry, India (JIP/IEC/2018/500 dated 25-01-2019). The study protocol can be fully accessed at </w:t>
      </w:r>
      <w:r>
        <w:rPr>
          <w:rStyle w:val="10"/>
          <w:rFonts w:hint="eastAsia" w:ascii="Book Antiqua" w:hAnsi="Book Antiqua" w:eastAsia="Book Antiqua" w:cs="Book Antiqua"/>
          <w:color w:val="000000"/>
        </w:rPr>
        <w:t>https://jipmer.edu.in/</w:t>
      </w:r>
      <w:r>
        <w:rPr>
          <w:rStyle w:val="10"/>
          <w:rFonts w:ascii="Book Antiqua" w:hAnsi="Book Antiqua" w:eastAsia="Book Antiqua" w:cs="Book Antiqua"/>
          <w:color w:val="000000"/>
        </w:rPr>
        <w: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Informed consent statement: </w:t>
      </w:r>
      <w:r>
        <w:rPr>
          <w:rStyle w:val="10"/>
          <w:rFonts w:ascii="Book Antiqua" w:hAnsi="Book Antiqua" w:eastAsia="Book Antiqua" w:cs="Book Antiqua"/>
          <w:color w:val="000000"/>
        </w:rPr>
        <w:t xml:space="preserve">All study participants, or their legal guardian, provided written consent prior to study enrolment.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Conflict-of-interest statement: </w:t>
      </w:r>
      <w:r>
        <w:rPr>
          <w:rStyle w:val="10"/>
          <w:rFonts w:hint="eastAsia" w:ascii="Book Antiqua" w:hAnsi="Book Antiqua" w:cs="Book Antiqua"/>
          <w:color w:val="000000"/>
          <w:lang w:eastAsia="zh-CN"/>
        </w:rPr>
        <w:t>All</w:t>
      </w:r>
      <w:r>
        <w:rPr>
          <w:rStyle w:val="10"/>
          <w:rFonts w:ascii="Book Antiqua" w:hAnsi="Book Antiqua" w:eastAsia="Book Antiqua" w:cs="Book Antiqua"/>
          <w:color w:val="000000"/>
        </w:rPr>
        <w:t xml:space="preserve"> authors of this manuscript</w:t>
      </w:r>
      <w:r>
        <w:rPr>
          <w:rFonts w:ascii="Book Antiqua" w:hAnsi="Book Antiqua" w:eastAsia="Book Antiqua" w:cs="Book Antiqua"/>
          <w:color w:val="000000"/>
        </w:rPr>
        <w:t xml:space="preserve"> have no financial relationships to disclose.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Data sharing statement: </w:t>
      </w:r>
      <w:r>
        <w:rPr>
          <w:rFonts w:ascii="Book Antiqua" w:hAnsi="Book Antiqua" w:eastAsia="Book Antiqua" w:cs="Book Antiqua"/>
          <w:color w:val="000000"/>
        </w:rPr>
        <w:t>No additional data are available.</w:t>
      </w:r>
    </w:p>
    <w:p>
      <w:pPr>
        <w:spacing w:line="360" w:lineRule="auto"/>
        <w:jc w:val="both"/>
        <w:rPr>
          <w:rFonts w:ascii="Book Antiqua" w:hAnsi="Book Antiqua"/>
        </w:rPr>
      </w:pPr>
    </w:p>
    <w:p>
      <w:pPr>
        <w:spacing w:line="360" w:lineRule="auto"/>
        <w:jc w:val="both"/>
        <w:rPr>
          <w:rFonts w:ascii="Book Antiqua" w:hAnsi="Book Antiqua"/>
          <w:lang w:eastAsia="zh-CN"/>
        </w:rPr>
      </w:pPr>
      <w:r>
        <w:rPr>
          <w:rFonts w:ascii="Book Antiqua" w:hAnsi="Book Antiqua" w:eastAsia="Book Antiqua" w:cs="Book Antiqua"/>
          <w:b/>
          <w:bCs/>
          <w:color w:val="000000"/>
        </w:rPr>
        <w:t xml:space="preserve">CONSORT 2010 statement: </w:t>
      </w:r>
      <w:r>
        <w:rPr>
          <w:rFonts w:ascii="Book Antiqua" w:hAnsi="Book Antiqua" w:eastAsia="Book Antiqua" w:cs="Book Antiqua"/>
          <w:color w:val="000000"/>
        </w:rPr>
        <w:t>The authors have read the CONSORT 2010 Statement, and the manuscript was prepared and revised according to the CONSORT 2010 Statement</w:t>
      </w:r>
      <w:r>
        <w:rPr>
          <w:rFonts w:hint="eastAsia" w:ascii="Book Antiqua" w:hAnsi="Book Antiqua" w:cs="Book Antiqua"/>
          <w:color w:val="000000"/>
          <w:lang w:eastAsia="zh-CN"/>
        </w:rPr>
        <w: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Open-Access: </w:t>
      </w:r>
      <w:r>
        <w:rPr>
          <w:rFonts w:ascii="Book Antiqua" w:hAnsi="Book Antiqua" w:eastAsia="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Provenance and peer review: </w:t>
      </w:r>
      <w:r>
        <w:rPr>
          <w:rFonts w:ascii="Book Antiqua" w:hAnsi="Book Antiqua" w:eastAsia="Book Antiqua" w:cs="Book Antiqua"/>
          <w:color w:val="000000"/>
        </w:rPr>
        <w:t>Invited article; Externally peer reviewed.</w:t>
      </w:r>
    </w:p>
    <w:p>
      <w:pPr>
        <w:spacing w:line="360" w:lineRule="auto"/>
        <w:jc w:val="both"/>
        <w:rPr>
          <w:rFonts w:ascii="Book Antiqua" w:hAnsi="Book Antiqua"/>
        </w:rPr>
      </w:pPr>
      <w:r>
        <w:rPr>
          <w:rFonts w:ascii="Book Antiqua" w:hAnsi="Book Antiqua" w:eastAsia="Book Antiqua" w:cs="Book Antiqua"/>
          <w:b/>
          <w:color w:val="000000"/>
        </w:rPr>
        <w:t xml:space="preserve">Peer-review model: </w:t>
      </w:r>
      <w:r>
        <w:rPr>
          <w:rFonts w:ascii="Book Antiqua" w:hAnsi="Book Antiqua" w:eastAsia="Book Antiqua" w:cs="Book Antiqua"/>
          <w:color w:val="000000"/>
        </w:rPr>
        <w:t>Single blind</w:t>
      </w:r>
    </w:p>
    <w:p>
      <w:pPr>
        <w:spacing w:line="360" w:lineRule="auto"/>
        <w:jc w:val="both"/>
        <w:rPr>
          <w:rFonts w:ascii="Book Antiqua" w:hAnsi="Book Antiqua"/>
        </w:rPr>
      </w:pPr>
      <w:r>
        <w:rPr>
          <w:rFonts w:ascii="Book Antiqua" w:hAnsi="Book Antiqua" w:eastAsia="Book Antiqua" w:cs="Book Antiqua"/>
          <w:b/>
          <w:color w:val="000000"/>
        </w:rPr>
        <w:t xml:space="preserve">Corresponding Author's Membership in Professional Societies: </w:t>
      </w:r>
      <w:r>
        <w:rPr>
          <w:rFonts w:ascii="Book Antiqua" w:hAnsi="Book Antiqua" w:eastAsia="Book Antiqua" w:cs="Book Antiqua"/>
          <w:color w:val="000000"/>
        </w:rPr>
        <w:t>Indian chapter of International Hepatopancreatobiliary Association, 563; Indian Association of Surgical Gastroenterology, K-65; International Hepatopancreatobiliary association, M02056.</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Peer-review started: </w:t>
      </w:r>
      <w:r>
        <w:rPr>
          <w:rFonts w:ascii="Book Antiqua" w:hAnsi="Book Antiqua" w:eastAsia="Book Antiqua" w:cs="Book Antiqua"/>
          <w:color w:val="000000"/>
        </w:rPr>
        <w:t>January 29, 2022</w:t>
      </w:r>
    </w:p>
    <w:p>
      <w:pPr>
        <w:spacing w:line="360" w:lineRule="auto"/>
        <w:jc w:val="both"/>
        <w:rPr>
          <w:rFonts w:ascii="Book Antiqua" w:hAnsi="Book Antiqua"/>
        </w:rPr>
      </w:pPr>
      <w:r>
        <w:rPr>
          <w:rFonts w:ascii="Book Antiqua" w:hAnsi="Book Antiqua" w:eastAsia="Book Antiqua" w:cs="Book Antiqua"/>
          <w:b/>
          <w:color w:val="000000"/>
        </w:rPr>
        <w:t xml:space="preserve">First decision: </w:t>
      </w:r>
      <w:r>
        <w:rPr>
          <w:rFonts w:ascii="Book Antiqua" w:hAnsi="Book Antiqua" w:eastAsia="Book Antiqua" w:cs="Book Antiqua"/>
          <w:color w:val="000000"/>
        </w:rPr>
        <w:t>April 10, 2022</w:t>
      </w:r>
    </w:p>
    <w:p>
      <w:pPr>
        <w:spacing w:line="360" w:lineRule="auto"/>
        <w:jc w:val="both"/>
        <w:rPr>
          <w:rFonts w:ascii="Book Antiqua" w:hAnsi="Book Antiqua"/>
          <w:lang w:eastAsia="zh-CN"/>
        </w:rPr>
      </w:pPr>
      <w:r>
        <w:rPr>
          <w:rFonts w:ascii="Book Antiqua" w:hAnsi="Book Antiqua" w:eastAsia="Book Antiqua" w:cs="Book Antiqua"/>
          <w:b/>
          <w:color w:val="000000"/>
        </w:rPr>
        <w:t xml:space="preserve">Article in press: </w:t>
      </w:r>
      <w:r>
        <w:rPr>
          <w:rFonts w:ascii="Book Antiqua" w:hAnsi="Book Antiqua" w:eastAsia="Book Antiqua" w:cs="Book Antiqua"/>
          <w:bCs/>
          <w:color w:val="000000"/>
        </w:rPr>
        <w:t>June 20, 2022</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Specialty type: </w:t>
      </w:r>
      <w:r>
        <w:rPr>
          <w:rFonts w:ascii="Book Antiqua" w:hAnsi="Book Antiqua" w:eastAsia="Book Antiqua" w:cs="Book Antiqua"/>
          <w:color w:val="000000"/>
        </w:rPr>
        <w:t>Radiology, nuclear medicine and medical imaging</w:t>
      </w:r>
    </w:p>
    <w:p>
      <w:pPr>
        <w:spacing w:line="360" w:lineRule="auto"/>
        <w:jc w:val="both"/>
        <w:rPr>
          <w:rFonts w:ascii="Book Antiqua" w:hAnsi="Book Antiqua"/>
        </w:rPr>
      </w:pPr>
      <w:r>
        <w:rPr>
          <w:rFonts w:ascii="Book Antiqua" w:hAnsi="Book Antiqua" w:eastAsia="Book Antiqua" w:cs="Book Antiqua"/>
          <w:b/>
          <w:color w:val="000000"/>
        </w:rPr>
        <w:t xml:space="preserve">Country/Territory of origin: </w:t>
      </w:r>
      <w:r>
        <w:rPr>
          <w:rFonts w:ascii="Book Antiqua" w:hAnsi="Book Antiqua" w:eastAsia="Book Antiqua" w:cs="Book Antiqua"/>
          <w:color w:val="000000"/>
        </w:rPr>
        <w:t>India</w:t>
      </w:r>
    </w:p>
    <w:p>
      <w:pPr>
        <w:spacing w:line="360" w:lineRule="auto"/>
        <w:jc w:val="both"/>
        <w:rPr>
          <w:rFonts w:ascii="Book Antiqua" w:hAnsi="Book Antiqua"/>
        </w:rPr>
      </w:pPr>
      <w:r>
        <w:rPr>
          <w:rFonts w:ascii="Book Antiqua" w:hAnsi="Book Antiqua" w:eastAsia="Book Antiqua" w:cs="Book Antiqua"/>
          <w:b/>
          <w:color w:val="000000"/>
        </w:rPr>
        <w:t>Peer-review report’s scientific quality classification</w:t>
      </w:r>
    </w:p>
    <w:p>
      <w:pPr>
        <w:spacing w:line="360" w:lineRule="auto"/>
        <w:jc w:val="both"/>
        <w:rPr>
          <w:rFonts w:ascii="Book Antiqua" w:hAnsi="Book Antiqua"/>
        </w:rPr>
      </w:pPr>
      <w:r>
        <w:rPr>
          <w:rFonts w:ascii="Book Antiqua" w:hAnsi="Book Antiqua" w:eastAsia="Book Antiqua" w:cs="Book Antiqua"/>
          <w:color w:val="000000"/>
        </w:rPr>
        <w:t>Grade A (Excellent): 0</w:t>
      </w:r>
    </w:p>
    <w:p>
      <w:pPr>
        <w:spacing w:line="360" w:lineRule="auto"/>
        <w:jc w:val="both"/>
        <w:rPr>
          <w:rFonts w:ascii="Book Antiqua" w:hAnsi="Book Antiqua"/>
        </w:rPr>
      </w:pPr>
      <w:r>
        <w:rPr>
          <w:rFonts w:ascii="Book Antiqua" w:hAnsi="Book Antiqua" w:eastAsia="Book Antiqua" w:cs="Book Antiqua"/>
          <w:color w:val="000000"/>
        </w:rPr>
        <w:t>Grade B (Very good): B</w:t>
      </w:r>
    </w:p>
    <w:p>
      <w:pPr>
        <w:spacing w:line="360" w:lineRule="auto"/>
        <w:jc w:val="both"/>
        <w:rPr>
          <w:rFonts w:ascii="Book Antiqua" w:hAnsi="Book Antiqua"/>
        </w:rPr>
      </w:pPr>
      <w:r>
        <w:rPr>
          <w:rFonts w:ascii="Book Antiqua" w:hAnsi="Book Antiqua" w:eastAsia="Book Antiqua" w:cs="Book Antiqua"/>
          <w:color w:val="000000"/>
        </w:rPr>
        <w:t>Grade C (Good): 0</w:t>
      </w:r>
    </w:p>
    <w:p>
      <w:pPr>
        <w:spacing w:line="360" w:lineRule="auto"/>
        <w:jc w:val="both"/>
        <w:rPr>
          <w:rFonts w:ascii="Book Antiqua" w:hAnsi="Book Antiqua"/>
        </w:rPr>
      </w:pPr>
      <w:r>
        <w:rPr>
          <w:rFonts w:ascii="Book Antiqua" w:hAnsi="Book Antiqua" w:eastAsia="Book Antiqua" w:cs="Book Antiqua"/>
          <w:color w:val="000000"/>
        </w:rPr>
        <w:t>Grade D (Fair): 0</w:t>
      </w:r>
    </w:p>
    <w:p>
      <w:pPr>
        <w:spacing w:line="360" w:lineRule="auto"/>
        <w:jc w:val="both"/>
        <w:rPr>
          <w:rFonts w:ascii="Book Antiqua" w:hAnsi="Book Antiqua"/>
        </w:rPr>
      </w:pPr>
      <w:r>
        <w:rPr>
          <w:rFonts w:ascii="Book Antiqua" w:hAnsi="Book Antiqua" w:eastAsia="Book Antiqua" w:cs="Book Antiqua"/>
          <w:color w:val="000000"/>
        </w:rPr>
        <w:t>Grade E (Poor): E</w:t>
      </w:r>
    </w:p>
    <w:p>
      <w:pPr>
        <w:spacing w:line="360" w:lineRule="auto"/>
        <w:jc w:val="both"/>
        <w:rPr>
          <w:rFonts w:ascii="Book Antiqua" w:hAnsi="Book Antiqua"/>
        </w:rPr>
      </w:pPr>
    </w:p>
    <w:p>
      <w:pPr>
        <w:spacing w:line="360" w:lineRule="auto"/>
        <w:jc w:val="both"/>
        <w:rPr>
          <w:rFonts w:ascii="Book Antiqua" w:hAnsi="Book Antiqua" w:cs="Book Antiqua"/>
          <w:b/>
          <w:color w:val="000000"/>
          <w:lang w:eastAsia="zh-CN"/>
        </w:rPr>
      </w:pPr>
      <w:r>
        <w:rPr>
          <w:rFonts w:ascii="Book Antiqua" w:hAnsi="Book Antiqua" w:eastAsia="Book Antiqua" w:cs="Book Antiqua"/>
          <w:b/>
          <w:color w:val="000000"/>
        </w:rPr>
        <w:t xml:space="preserve">P-Reviewer: </w:t>
      </w:r>
      <w:r>
        <w:rPr>
          <w:rFonts w:ascii="Book Antiqua" w:hAnsi="Book Antiqua" w:eastAsia="Book Antiqua" w:cs="Book Antiqua"/>
          <w:color w:val="000000"/>
        </w:rPr>
        <w:t>Bencini L, Italy; Yang F, China</w:t>
      </w:r>
      <w:r>
        <w:rPr>
          <w:rFonts w:ascii="Book Antiqua" w:hAnsi="Book Antiqua" w:eastAsia="Book Antiqua" w:cs="Book Antiqua"/>
          <w:b/>
          <w:color w:val="000000"/>
        </w:rPr>
        <w:t xml:space="preserve"> </w:t>
      </w:r>
      <w:r>
        <w:rPr>
          <w:rFonts w:hint="eastAsia" w:ascii="Book Antiqua" w:hAnsi="Book Antiqua" w:cs="Book Antiqua"/>
          <w:b/>
          <w:color w:val="000000"/>
          <w:lang w:eastAsia="zh-CN"/>
        </w:rPr>
        <w:t>A</w:t>
      </w:r>
      <w:r>
        <w:rPr>
          <w:rFonts w:ascii="Book Antiqua" w:hAnsi="Book Antiqua" w:eastAsia="Book Antiqua" w:cs="Book Antiqua"/>
          <w:b/>
          <w:color w:val="000000"/>
        </w:rPr>
        <w:t xml:space="preserve">-Editor: </w:t>
      </w:r>
      <w:r>
        <w:rPr>
          <w:rFonts w:ascii="Book Antiqua" w:hAnsi="Book Antiqua" w:eastAsia="Book Antiqua" w:cs="Book Antiqua"/>
          <w:color w:val="000000"/>
        </w:rPr>
        <w:t>Morozov S</w:t>
      </w:r>
      <w:r>
        <w:rPr>
          <w:rFonts w:ascii="Book Antiqua" w:hAnsi="Book Antiqua" w:eastAsia="Book Antiqua" w:cs="Book Antiqua"/>
          <w:b/>
          <w:color w:val="000000"/>
        </w:rPr>
        <w:t xml:space="preserve"> </w:t>
      </w:r>
      <w:r>
        <w:rPr>
          <w:rFonts w:hint="eastAsia" w:ascii="Book Antiqua" w:hAnsi="Book Antiqua" w:cs="Book Antiqua"/>
          <w:b/>
          <w:color w:val="000000"/>
          <w:lang w:eastAsia="zh-CN"/>
        </w:rPr>
        <w:t>S</w:t>
      </w:r>
      <w:r>
        <w:rPr>
          <w:rFonts w:ascii="Book Antiqua" w:hAnsi="Book Antiqua" w:eastAsia="Book Antiqua" w:cs="Book Antiqua"/>
          <w:b/>
          <w:color w:val="000000"/>
        </w:rPr>
        <w:t>-Editor:</w:t>
      </w:r>
      <w:r>
        <w:rPr>
          <w:rFonts w:hint="eastAsia" w:ascii="Book Antiqua" w:hAnsi="Book Antiqua" w:cs="Book Antiqua"/>
          <w:b/>
          <w:color w:val="000000"/>
          <w:lang w:eastAsia="zh-CN"/>
        </w:rPr>
        <w:t xml:space="preserve"> </w:t>
      </w:r>
      <w:r>
        <w:rPr>
          <w:rFonts w:hint="eastAsia" w:ascii="Book Antiqua" w:hAnsi="Book Antiqua" w:cs="Book Antiqua"/>
          <w:color w:val="000000"/>
          <w:lang w:eastAsia="zh-CN"/>
        </w:rPr>
        <w:t>Wang LL</w:t>
      </w:r>
      <w:r>
        <w:rPr>
          <w:rFonts w:hint="eastAsia" w:ascii="Book Antiqua" w:hAnsi="Book Antiqua" w:cs="Book Antiqua"/>
          <w:b/>
          <w:color w:val="000000"/>
          <w:lang w:eastAsia="zh-CN"/>
        </w:rPr>
        <w:t xml:space="preserve"> </w:t>
      </w:r>
      <w:r>
        <w:rPr>
          <w:rFonts w:ascii="Book Antiqua" w:hAnsi="Book Antiqua" w:eastAsia="Book Antiqua" w:cs="Book Antiqua"/>
          <w:b/>
          <w:color w:val="000000"/>
        </w:rPr>
        <w:t xml:space="preserve">L-Editor: </w:t>
      </w:r>
      <w:r>
        <w:rPr>
          <w:rFonts w:ascii="Book Antiqua" w:hAnsi="Book Antiqua" w:eastAsia="Book Antiqua" w:cs="Book Antiqua"/>
          <w:bCs/>
          <w:color w:val="000000"/>
        </w:rPr>
        <w:t>Filipodia</w:t>
      </w:r>
      <w:r>
        <w:rPr>
          <w:rFonts w:ascii="Book Antiqua" w:hAnsi="Book Antiqua" w:eastAsia="Book Antiqua" w:cs="Book Antiqua"/>
          <w:b/>
          <w:color w:val="000000"/>
        </w:rPr>
        <w:t xml:space="preserve"> P-Editor:</w:t>
      </w:r>
      <w:r>
        <w:rPr>
          <w:rFonts w:hint="eastAsia" w:ascii="Book Antiqua" w:hAnsi="Book Antiqua" w:cs="Book Antiqua"/>
          <w:color w:val="000000"/>
          <w:lang w:eastAsia="zh-CN"/>
        </w:rPr>
        <w:t xml:space="preserve"> Wang LL</w:t>
      </w:r>
    </w:p>
    <w:p>
      <w:pPr>
        <w:spacing w:line="360" w:lineRule="auto"/>
        <w:jc w:val="both"/>
        <w:rPr>
          <w:rFonts w:ascii="Book Antiqua" w:hAnsi="Book Antiqua" w:cs="Book Antiqua"/>
          <w:b/>
          <w:color w:val="000000"/>
          <w:lang w:eastAsia="zh-CN"/>
        </w:rPr>
      </w:pP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r>
        <w:rPr>
          <w:rFonts w:ascii="Book Antiqua" w:hAnsi="Book Antiqua" w:eastAsia="Book Antiqua" w:cs="Book Antiqua"/>
          <w:b/>
          <w:color w:val="000000"/>
        </w:rPr>
        <w:t xml:space="preserve"> </w:t>
      </w:r>
    </w:p>
    <w:p>
      <w:pPr>
        <w:spacing w:line="360" w:lineRule="auto"/>
        <w:jc w:val="both"/>
        <w:rPr>
          <w:rFonts w:ascii="Book Antiqua" w:hAnsi="Book Antiqua" w:cs="Book Antiqua"/>
          <w:b/>
          <w:color w:val="000000"/>
          <w:lang w:eastAsia="zh-CN"/>
        </w:rPr>
      </w:pPr>
      <w:r>
        <w:rPr>
          <w:rFonts w:ascii="Book Antiqua" w:hAnsi="Book Antiqua" w:eastAsia="Book Antiqua" w:cs="Book Antiqua"/>
          <w:b/>
          <w:color w:val="000000"/>
        </w:rPr>
        <w:t>Figure Legends</w:t>
      </w:r>
    </w:p>
    <w:p>
      <w:pPr>
        <w:spacing w:line="360" w:lineRule="auto"/>
        <w:jc w:val="both"/>
        <w:rPr>
          <w:rFonts w:ascii="Book Antiqua" w:hAnsi="Book Antiqua"/>
          <w:lang w:eastAsia="zh-CN"/>
        </w:rPr>
      </w:pPr>
      <w:r>
        <w:rPr>
          <w:rFonts w:ascii="Book Antiqua" w:hAnsi="Book Antiqua"/>
          <w:lang w:eastAsia="zh-CN"/>
        </w:rPr>
        <w:drawing>
          <wp:inline distT="0" distB="0" distL="0" distR="0">
            <wp:extent cx="5943600" cy="4351020"/>
            <wp:effectExtent l="0" t="0" r="0" b="0"/>
            <wp:docPr id="1" name="图片 1" descr="D:\小桌面\新建文件夹\SE\jdz-pdf\75459\pdf\75459-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小桌面\新建文件夹\SE\jdz-pdf\75459\pdf\75459-g001.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5943600" cy="4351036"/>
                    </a:xfrm>
                    <a:prstGeom prst="rect">
                      <a:avLst/>
                    </a:prstGeom>
                    <a:noFill/>
                    <a:ln>
                      <a:noFill/>
                    </a:ln>
                  </pic:spPr>
                </pic:pic>
              </a:graphicData>
            </a:graphic>
          </wp:inline>
        </w:drawing>
      </w:r>
    </w:p>
    <w:p>
      <w:pPr>
        <w:spacing w:line="360" w:lineRule="auto"/>
        <w:jc w:val="both"/>
        <w:rPr>
          <w:rStyle w:val="10"/>
          <w:rFonts w:ascii="Book Antiqua" w:hAnsi="Book Antiqua" w:cs="Book Antiqua"/>
          <w:bCs/>
          <w:color w:val="000000"/>
          <w:lang w:eastAsia="zh-CN"/>
        </w:rPr>
      </w:pPr>
      <w:r>
        <w:rPr>
          <w:rStyle w:val="10"/>
          <w:rFonts w:ascii="Book Antiqua" w:hAnsi="Book Antiqua" w:eastAsia="Book Antiqua" w:cs="Book Antiqua"/>
          <w:b/>
          <w:bCs/>
          <w:color w:val="000000"/>
        </w:rPr>
        <w:t>Figure 1</w:t>
      </w:r>
      <w:r>
        <w:rPr>
          <w:rStyle w:val="10"/>
          <w:rFonts w:hint="eastAsia" w:ascii="Book Antiqua" w:hAnsi="Book Antiqua" w:cs="Book Antiqua"/>
          <w:b/>
          <w:bCs/>
          <w:color w:val="000000"/>
          <w:lang w:eastAsia="zh-CN"/>
        </w:rPr>
        <w:t xml:space="preserve"> </w:t>
      </w:r>
      <w:r>
        <w:rPr>
          <w:rStyle w:val="10"/>
          <w:rFonts w:ascii="Book Antiqua" w:hAnsi="Book Antiqua" w:eastAsia="Book Antiqua" w:cs="Book Antiqua"/>
          <w:b/>
          <w:bCs/>
          <w:color w:val="000000"/>
        </w:rPr>
        <w:t>Calculation of preoperative radiological indices.</w:t>
      </w:r>
      <w:r>
        <w:rPr>
          <w:rStyle w:val="10"/>
          <w:rFonts w:ascii="Book Antiqua" w:hAnsi="Book Antiqua" w:eastAsia="Book Antiqua" w:cs="Book Antiqua"/>
          <w:bCs/>
          <w:color w:val="000000"/>
        </w:rPr>
        <w:t xml:space="preserve"> A: Hounsfield unit (HU) of the pancreatic neck in plain phase; B: HU of the spleen in plain phase; C: HU of the pancreatic neck in the arterial phase; D: HU of the pancreatic neck in the equilibrium phase</w:t>
      </w:r>
      <w:r>
        <w:rPr>
          <w:rStyle w:val="10"/>
          <w:rFonts w:hint="eastAsia" w:ascii="Book Antiqua" w:hAnsi="Book Antiqua" w:cs="Book Antiqua"/>
          <w:bCs/>
          <w:color w:val="000000"/>
          <w:lang w:eastAsia="zh-CN"/>
        </w:rPr>
        <w:t xml:space="preserve">. ROI: </w:t>
      </w:r>
      <w:r>
        <w:rPr>
          <w:rStyle w:val="10"/>
          <w:rFonts w:ascii="Book Antiqua" w:hAnsi="Book Antiqua" w:cs="Book Antiqua"/>
          <w:bCs/>
          <w:color w:val="000000"/>
          <w:lang w:eastAsia="zh-CN"/>
        </w:rPr>
        <w:t xml:space="preserve">Region of </w:t>
      </w:r>
      <w:r>
        <w:rPr>
          <w:rStyle w:val="10"/>
          <w:rFonts w:hint="eastAsia" w:ascii="Book Antiqua" w:hAnsi="Book Antiqua" w:cs="Book Antiqua"/>
          <w:bCs/>
          <w:color w:val="000000"/>
          <w:lang w:eastAsia="zh-CN"/>
        </w:rPr>
        <w:t>i</w:t>
      </w:r>
      <w:r>
        <w:rPr>
          <w:rStyle w:val="10"/>
          <w:rFonts w:ascii="Book Antiqua" w:hAnsi="Book Antiqua" w:cs="Book Antiqua"/>
          <w:bCs/>
          <w:color w:val="000000"/>
          <w:lang w:eastAsia="zh-CN"/>
        </w:rPr>
        <w:t>nterest</w:t>
      </w:r>
      <w:r>
        <w:rPr>
          <w:rStyle w:val="10"/>
          <w:rFonts w:hint="eastAsia" w:ascii="Book Antiqua" w:hAnsi="Book Antiqua" w:cs="Book Antiqua"/>
          <w:bCs/>
          <w:color w:val="000000"/>
          <w:lang w:eastAsia="zh-CN"/>
        </w:rPr>
        <w:t>.</w:t>
      </w:r>
    </w:p>
    <w:p>
      <w:pPr>
        <w:spacing w:line="360" w:lineRule="auto"/>
        <w:jc w:val="both"/>
        <w:rPr>
          <w:rFonts w:ascii="Book Antiqua" w:hAnsi="Book Antiqua"/>
        </w:rPr>
      </w:pPr>
      <w:r>
        <w:rPr>
          <w:rStyle w:val="10"/>
          <w:rFonts w:ascii="Book Antiqua" w:hAnsi="Book Antiqua" w:eastAsia="Book Antiqua" w:cs="Book Antiqua"/>
          <w:b/>
          <w:bCs/>
          <w:color w:val="000000"/>
        </w:rPr>
        <w:br w:type="page"/>
      </w:r>
    </w:p>
    <w:p>
      <w:pPr>
        <w:spacing w:line="360" w:lineRule="auto"/>
        <w:jc w:val="both"/>
        <w:rPr>
          <w:rStyle w:val="10"/>
          <w:rFonts w:ascii="Book Antiqua" w:hAnsi="Book Antiqua" w:cs="Book Antiqua"/>
          <w:b/>
          <w:bCs/>
          <w:color w:val="000000"/>
          <w:lang w:eastAsia="zh-CN"/>
        </w:rPr>
      </w:pPr>
      <w:r>
        <w:rPr>
          <w:rFonts w:ascii="Book Antiqua" w:hAnsi="Book Antiqua" w:cs="Book Antiqua"/>
          <w:b/>
          <w:bCs/>
          <w:color w:val="000000"/>
          <w:lang w:eastAsia="zh-CN"/>
        </w:rPr>
        <w:drawing>
          <wp:inline distT="0" distB="0" distL="0" distR="0">
            <wp:extent cx="5779770" cy="4495165"/>
            <wp:effectExtent l="0" t="0" r="0" b="635"/>
            <wp:docPr id="2" name="图片 2" descr="D:\小桌面\新建文件夹\SE\jdz-pdf\75459\pdf\75459-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小桌面\新建文件夹\SE\jdz-pdf\75459\pdf\75459-g002.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5779770" cy="4495165"/>
                    </a:xfrm>
                    <a:prstGeom prst="rect">
                      <a:avLst/>
                    </a:prstGeom>
                    <a:noFill/>
                    <a:ln>
                      <a:noFill/>
                    </a:ln>
                  </pic:spPr>
                </pic:pic>
              </a:graphicData>
            </a:graphic>
          </wp:inline>
        </w:drawing>
      </w:r>
    </w:p>
    <w:p>
      <w:pPr>
        <w:spacing w:line="360" w:lineRule="auto"/>
        <w:jc w:val="both"/>
        <w:rPr>
          <w:rStyle w:val="10"/>
          <w:rFonts w:ascii="Book Antiqua" w:hAnsi="Book Antiqua" w:cs="Book Antiqua"/>
          <w:bCs/>
          <w:color w:val="000000"/>
          <w:lang w:eastAsia="zh-CN"/>
        </w:rPr>
      </w:pPr>
      <w:r>
        <w:rPr>
          <w:rStyle w:val="10"/>
          <w:rFonts w:ascii="Book Antiqua" w:hAnsi="Book Antiqua" w:eastAsia="Book Antiqua" w:cs="Book Antiqua"/>
          <w:b/>
          <w:bCs/>
          <w:color w:val="000000"/>
        </w:rPr>
        <w:t>Figure 2</w:t>
      </w:r>
      <w:r>
        <w:rPr>
          <w:rStyle w:val="10"/>
          <w:rFonts w:hint="eastAsia" w:ascii="Book Antiqua" w:hAnsi="Book Antiqua" w:cs="Book Antiqua"/>
          <w:b/>
          <w:bCs/>
          <w:color w:val="000000"/>
          <w:lang w:eastAsia="zh-CN"/>
        </w:rPr>
        <w:t xml:space="preserve"> </w:t>
      </w:r>
      <w:r>
        <w:rPr>
          <w:rStyle w:val="10"/>
          <w:rFonts w:ascii="Book Antiqua" w:hAnsi="Book Antiqua" w:eastAsia="Book Antiqua" w:cs="Book Antiqua"/>
          <w:b/>
          <w:bCs/>
          <w:color w:val="000000"/>
        </w:rPr>
        <w:t xml:space="preserve">Histopathological evaluation of pancreatic neck fat fraction and fibrosis. </w:t>
      </w:r>
      <w:r>
        <w:rPr>
          <w:rStyle w:val="10"/>
          <w:rFonts w:ascii="Book Antiqua" w:hAnsi="Book Antiqua" w:eastAsia="Book Antiqua" w:cs="Book Antiqua"/>
          <w:bCs/>
          <w:color w:val="000000"/>
        </w:rPr>
        <w:t>A: Photomicrograph showing moderate fat inclusion (hematoxylin and eosin [H&amp;E], ×</w:t>
      </w:r>
      <w:r>
        <w:rPr>
          <w:rStyle w:val="10"/>
          <w:rFonts w:hint="eastAsia" w:ascii="Book Antiqua" w:hAnsi="Book Antiqua" w:cs="Book Antiqua"/>
          <w:bCs/>
          <w:color w:val="000000"/>
          <w:lang w:eastAsia="zh-CN"/>
        </w:rPr>
        <w:t xml:space="preserve"> </w:t>
      </w:r>
      <w:r>
        <w:rPr>
          <w:rStyle w:val="10"/>
          <w:rFonts w:ascii="Book Antiqua" w:hAnsi="Book Antiqua" w:eastAsia="Book Antiqua" w:cs="Book Antiqua"/>
          <w:bCs/>
          <w:color w:val="000000"/>
        </w:rPr>
        <w:t>100</w:t>
      </w:r>
      <w:r>
        <w:rPr>
          <w:rStyle w:val="10"/>
          <w:rFonts w:hint="eastAsia" w:ascii="Book Antiqua" w:hAnsi="Book Antiqua" w:cs="Book Antiqua"/>
          <w:bCs/>
          <w:color w:val="000000"/>
          <w:lang w:eastAsia="zh-CN"/>
        </w:rPr>
        <w:t>)</w:t>
      </w:r>
      <w:r>
        <w:rPr>
          <w:rStyle w:val="10"/>
          <w:rFonts w:ascii="Book Antiqua" w:hAnsi="Book Antiqua" w:eastAsia="Book Antiqua" w:cs="Book Antiqua"/>
          <w:bCs/>
          <w:color w:val="000000"/>
        </w:rPr>
        <w:t>; B: Photomicrograph showing heavy intralobular fibrosis (</w:t>
      </w:r>
      <w:r>
        <w:rPr>
          <w:rFonts w:ascii="Book Antiqua" w:hAnsi="Book Antiqua" w:eastAsia="Book Antiqua" w:cs="Book Antiqua"/>
          <w:bCs/>
          <w:color w:val="000000"/>
        </w:rPr>
        <w:t>Masson's trichome stain</w:t>
      </w:r>
      <w:r>
        <w:rPr>
          <w:rStyle w:val="10"/>
          <w:rFonts w:ascii="Book Antiqua" w:hAnsi="Book Antiqua" w:eastAsia="Book Antiqua" w:cs="Book Antiqua"/>
          <w:bCs/>
          <w:color w:val="000000"/>
        </w:rPr>
        <w:t>, H&amp;E, ×</w:t>
      </w:r>
      <w:r>
        <w:rPr>
          <w:rStyle w:val="10"/>
          <w:rFonts w:hint="eastAsia" w:ascii="Book Antiqua" w:hAnsi="Book Antiqua" w:cs="Book Antiqua"/>
          <w:bCs/>
          <w:color w:val="000000"/>
          <w:lang w:eastAsia="zh-CN"/>
        </w:rPr>
        <w:t xml:space="preserve"> </w:t>
      </w:r>
      <w:r>
        <w:rPr>
          <w:rStyle w:val="10"/>
          <w:rFonts w:ascii="Book Antiqua" w:hAnsi="Book Antiqua" w:eastAsia="Book Antiqua" w:cs="Book Antiqua"/>
          <w:bCs/>
          <w:color w:val="000000"/>
        </w:rPr>
        <w:t>100</w:t>
      </w:r>
      <w:r>
        <w:rPr>
          <w:rStyle w:val="10"/>
          <w:rFonts w:hint="eastAsia" w:ascii="Book Antiqua" w:hAnsi="Book Antiqua" w:eastAsia="Book Antiqua" w:cs="Book Antiqua"/>
          <w:bCs/>
          <w:color w:val="000000"/>
        </w:rPr>
        <w:t>)</w:t>
      </w:r>
      <w:r>
        <w:rPr>
          <w:rStyle w:val="10"/>
          <w:rFonts w:ascii="Book Antiqua" w:hAnsi="Book Antiqua" w:eastAsia="Book Antiqua" w:cs="Book Antiqua"/>
          <w:bCs/>
          <w:color w:val="000000"/>
        </w:rPr>
        <w:t>; C: Photomicrograph showing heavy interlobular fibrosis (</w:t>
      </w:r>
      <w:r>
        <w:rPr>
          <w:rFonts w:ascii="Book Antiqua" w:hAnsi="Book Antiqua" w:eastAsia="Book Antiqua" w:cs="Book Antiqua"/>
          <w:bCs/>
          <w:color w:val="000000"/>
        </w:rPr>
        <w:t>Masson's trichome stain</w:t>
      </w:r>
      <w:r>
        <w:rPr>
          <w:rStyle w:val="10"/>
          <w:rFonts w:ascii="Book Antiqua" w:hAnsi="Book Antiqua" w:eastAsia="Book Antiqua" w:cs="Book Antiqua"/>
          <w:bCs/>
          <w:color w:val="000000"/>
        </w:rPr>
        <w:t>, ×</w:t>
      </w:r>
      <w:r>
        <w:rPr>
          <w:rStyle w:val="10"/>
          <w:rFonts w:hint="eastAsia" w:ascii="Book Antiqua" w:hAnsi="Book Antiqua" w:cs="Book Antiqua"/>
          <w:bCs/>
          <w:color w:val="000000"/>
          <w:lang w:eastAsia="zh-CN"/>
        </w:rPr>
        <w:t xml:space="preserve"> </w:t>
      </w:r>
      <w:r>
        <w:rPr>
          <w:rStyle w:val="10"/>
          <w:rFonts w:ascii="Book Antiqua" w:hAnsi="Book Antiqua" w:eastAsia="Book Antiqua" w:cs="Book Antiqua"/>
          <w:bCs/>
          <w:color w:val="000000"/>
        </w:rPr>
        <w:t>40</w:t>
      </w:r>
      <w:r>
        <w:rPr>
          <w:rStyle w:val="10"/>
          <w:rFonts w:hint="eastAsia" w:ascii="Book Antiqua" w:hAnsi="Book Antiqua" w:eastAsia="Book Antiqua" w:cs="Book Antiqua"/>
          <w:bCs/>
          <w:color w:val="000000"/>
        </w:rPr>
        <w:t>)</w:t>
      </w:r>
      <w:r>
        <w:rPr>
          <w:rStyle w:val="10"/>
          <w:rFonts w:ascii="Book Antiqua" w:hAnsi="Book Antiqua" w:eastAsia="Book Antiqua" w:cs="Book Antiqua"/>
          <w:bCs/>
          <w:color w:val="000000"/>
        </w:rPr>
        <w:t>; D: Photomicrograph showing weak intra and interlobular fibrosis (</w:t>
      </w:r>
      <w:r>
        <w:rPr>
          <w:rFonts w:ascii="Book Antiqua" w:hAnsi="Book Antiqua" w:eastAsia="Book Antiqua" w:cs="Book Antiqua"/>
          <w:bCs/>
          <w:color w:val="000000"/>
        </w:rPr>
        <w:t>Masson's trichome stain</w:t>
      </w:r>
      <w:r>
        <w:rPr>
          <w:rStyle w:val="10"/>
          <w:rFonts w:ascii="Book Antiqua" w:hAnsi="Book Antiqua" w:eastAsia="Book Antiqua" w:cs="Book Antiqua"/>
          <w:bCs/>
          <w:color w:val="000000"/>
        </w:rPr>
        <w:t>, ×</w:t>
      </w:r>
      <w:r>
        <w:rPr>
          <w:rStyle w:val="10"/>
          <w:rFonts w:hint="eastAsia" w:ascii="Book Antiqua" w:hAnsi="Book Antiqua" w:cs="Book Antiqua"/>
          <w:bCs/>
          <w:color w:val="000000"/>
          <w:lang w:eastAsia="zh-CN"/>
        </w:rPr>
        <w:t xml:space="preserve"> </w:t>
      </w:r>
      <w:r>
        <w:rPr>
          <w:rStyle w:val="10"/>
          <w:rFonts w:ascii="Book Antiqua" w:hAnsi="Book Antiqua" w:eastAsia="Book Antiqua" w:cs="Book Antiqua"/>
          <w:bCs/>
          <w:color w:val="000000"/>
        </w:rPr>
        <w:t>200</w:t>
      </w:r>
      <w:r>
        <w:rPr>
          <w:rStyle w:val="10"/>
          <w:rFonts w:hint="eastAsia" w:ascii="Book Antiqua" w:hAnsi="Book Antiqua" w:eastAsia="Book Antiqua" w:cs="Book Antiqua"/>
          <w:bCs/>
          <w:color w:val="000000"/>
        </w:rPr>
        <w:t>)</w:t>
      </w:r>
      <w:r>
        <w:rPr>
          <w:rStyle w:val="10"/>
          <w:rFonts w:hint="eastAsia" w:ascii="Book Antiqua" w:hAnsi="Book Antiqua" w:cs="Book Antiqua"/>
          <w:bCs/>
          <w:color w:val="000000"/>
          <w:lang w:eastAsia="zh-CN"/>
        </w:rPr>
        <w:t>.</w:t>
      </w:r>
    </w:p>
    <w:p>
      <w:pPr>
        <w:spacing w:line="360" w:lineRule="auto"/>
        <w:jc w:val="both"/>
        <w:rPr>
          <w:rFonts w:ascii="Book Antiqua" w:hAnsi="Book Antiqua"/>
        </w:rPr>
      </w:pPr>
      <w:r>
        <w:rPr>
          <w:rStyle w:val="10"/>
          <w:rFonts w:ascii="Book Antiqua" w:hAnsi="Book Antiqua" w:eastAsia="Book Antiqua" w:cs="Book Antiqua"/>
          <w:b/>
          <w:bCs/>
          <w:color w:val="000000"/>
        </w:rPr>
        <w:br w:type="page"/>
      </w:r>
    </w:p>
    <w:p>
      <w:pPr>
        <w:spacing w:line="360" w:lineRule="auto"/>
        <w:jc w:val="both"/>
        <w:rPr>
          <w:rStyle w:val="10"/>
          <w:rFonts w:ascii="Book Antiqua" w:hAnsi="Book Antiqua" w:cs="Book Antiqua"/>
          <w:b/>
          <w:bCs/>
          <w:color w:val="000000"/>
          <w:lang w:eastAsia="zh-CN"/>
        </w:rPr>
      </w:pPr>
      <w:r>
        <w:rPr>
          <w:rFonts w:ascii="Book Antiqua" w:hAnsi="Book Antiqua" w:cs="Book Antiqua"/>
          <w:b/>
          <w:bCs/>
          <w:color w:val="000000"/>
          <w:lang w:eastAsia="zh-CN"/>
        </w:rPr>
        <w:drawing>
          <wp:inline distT="0" distB="0" distL="0" distR="0">
            <wp:extent cx="5095240" cy="2840990"/>
            <wp:effectExtent l="0" t="0" r="0" b="0"/>
            <wp:docPr id="3" name="图片 3" descr="D:\小桌面\新建文件夹\SE\jdz-pdf\75459\pdf\75459-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小桌面\新建文件夹\SE\jdz-pdf\75459\pdf\75459-g003.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5095240" cy="2840990"/>
                    </a:xfrm>
                    <a:prstGeom prst="rect">
                      <a:avLst/>
                    </a:prstGeom>
                    <a:noFill/>
                    <a:ln>
                      <a:noFill/>
                    </a:ln>
                  </pic:spPr>
                </pic:pic>
              </a:graphicData>
            </a:graphic>
          </wp:inline>
        </w:drawing>
      </w:r>
    </w:p>
    <w:p>
      <w:pPr>
        <w:spacing w:line="360" w:lineRule="auto"/>
        <w:jc w:val="both"/>
        <w:rPr>
          <w:rFonts w:ascii="Book Antiqua" w:hAnsi="Book Antiqua" w:cs="Book Antiqua"/>
          <w:bCs/>
          <w:color w:val="000000"/>
          <w:lang w:eastAsia="zh-CN"/>
        </w:rPr>
      </w:pPr>
      <w:r>
        <w:rPr>
          <w:rStyle w:val="10"/>
          <w:rFonts w:ascii="Book Antiqua" w:hAnsi="Book Antiqua" w:eastAsia="Book Antiqua" w:cs="Book Antiqua"/>
          <w:b/>
          <w:bCs/>
          <w:color w:val="000000"/>
        </w:rPr>
        <w:t>Figure 3</w:t>
      </w:r>
      <w:r>
        <w:rPr>
          <w:rStyle w:val="10"/>
          <w:rFonts w:hint="eastAsia" w:ascii="Book Antiqua" w:hAnsi="Book Antiqua" w:cs="Book Antiqua"/>
          <w:b/>
          <w:bCs/>
          <w:color w:val="000000"/>
          <w:lang w:eastAsia="zh-CN"/>
        </w:rPr>
        <w:t xml:space="preserve"> </w:t>
      </w:r>
      <w:r>
        <w:rPr>
          <w:rFonts w:ascii="Book Antiqua" w:hAnsi="Book Antiqua" w:eastAsia="Book Antiqua" w:cs="Book Antiqua"/>
          <w:b/>
          <w:bCs/>
          <w:color w:val="000000"/>
        </w:rPr>
        <w:t>Receiver operating characteristic</w:t>
      </w:r>
      <w:r>
        <w:rPr>
          <w:rFonts w:hint="eastAsia" w:ascii="Book Antiqua" w:hAnsi="Book Antiqua" w:cs="Book Antiqua"/>
          <w:b/>
          <w:bCs/>
          <w:color w:val="000000"/>
          <w:lang w:eastAsia="zh-CN"/>
        </w:rPr>
        <w:t xml:space="preserve"> </w:t>
      </w:r>
      <w:r>
        <w:rPr>
          <w:rFonts w:ascii="Book Antiqua" w:hAnsi="Book Antiqua" w:eastAsia="Book Antiqua" w:cs="Book Antiqua"/>
          <w:b/>
          <w:bCs/>
          <w:color w:val="000000"/>
        </w:rPr>
        <w:t xml:space="preserve">curve of the computed tomography indices for predicting clinically relevant postoperative fistula. </w:t>
      </w:r>
      <w:r>
        <w:rPr>
          <w:rFonts w:ascii="Book Antiqua" w:hAnsi="Book Antiqua" w:eastAsia="Book Antiqua" w:cs="Book Antiqua"/>
          <w:bCs/>
          <w:color w:val="000000"/>
        </w:rPr>
        <w:t>The area under curve for the pancreatic attenuation index</w:t>
      </w:r>
      <w:r>
        <w:rPr>
          <w:rFonts w:hint="eastAsia" w:ascii="Book Antiqua" w:hAnsi="Book Antiqua" w:cs="Book Antiqua"/>
          <w:bCs/>
          <w:color w:val="000000"/>
          <w:lang w:eastAsia="zh-CN"/>
        </w:rPr>
        <w:t xml:space="preserve"> </w:t>
      </w:r>
      <w:r>
        <w:rPr>
          <w:rFonts w:ascii="Book Antiqua" w:hAnsi="Book Antiqua" w:eastAsia="Book Antiqua" w:cs="Book Antiqua"/>
          <w:bCs/>
          <w:color w:val="000000"/>
        </w:rPr>
        <w:t xml:space="preserve">is </w:t>
      </w:r>
      <w:r>
        <w:rPr>
          <w:rStyle w:val="10"/>
          <w:rFonts w:ascii="Book Antiqua" w:hAnsi="Book Antiqua" w:eastAsia="Book Antiqua" w:cs="Book Antiqua"/>
          <w:bCs/>
          <w:color w:val="000000"/>
        </w:rPr>
        <w:t>0.461 (95%CI:</w:t>
      </w:r>
      <w:r>
        <w:rPr>
          <w:rStyle w:val="10"/>
          <w:rFonts w:hint="eastAsia" w:ascii="Book Antiqua" w:hAnsi="Book Antiqua" w:cs="Book Antiqua"/>
          <w:bCs/>
          <w:color w:val="000000"/>
          <w:lang w:eastAsia="zh-CN"/>
        </w:rPr>
        <w:t xml:space="preserve"> 0</w:t>
      </w:r>
      <w:r>
        <w:rPr>
          <w:rStyle w:val="10"/>
          <w:rFonts w:ascii="Book Antiqua" w:hAnsi="Book Antiqua" w:eastAsia="Book Antiqua" w:cs="Book Antiqua"/>
          <w:bCs/>
          <w:color w:val="000000"/>
        </w:rPr>
        <w:t>.304-</w:t>
      </w:r>
      <w:r>
        <w:rPr>
          <w:rStyle w:val="10"/>
          <w:rFonts w:hint="eastAsia" w:ascii="Book Antiqua" w:hAnsi="Book Antiqua" w:cs="Book Antiqua"/>
          <w:bCs/>
          <w:color w:val="000000"/>
          <w:lang w:eastAsia="zh-CN"/>
        </w:rPr>
        <w:t>0</w:t>
      </w:r>
      <w:r>
        <w:rPr>
          <w:rStyle w:val="10"/>
          <w:rFonts w:ascii="Book Antiqua" w:hAnsi="Book Antiqua" w:eastAsia="Book Antiqua" w:cs="Book Antiqua"/>
          <w:bCs/>
          <w:color w:val="000000"/>
        </w:rPr>
        <w:t>.617)</w:t>
      </w:r>
      <w:r>
        <w:rPr>
          <w:rFonts w:ascii="Book Antiqua" w:hAnsi="Book Antiqua" w:eastAsia="Book Antiqua" w:cs="Book Antiqua"/>
          <w:bCs/>
          <w:color w:val="000000"/>
        </w:rPr>
        <w:t>, which is not significant (</w:t>
      </w:r>
      <w:r>
        <w:rPr>
          <w:rFonts w:ascii="Book Antiqua" w:hAnsi="Book Antiqua" w:eastAsia="Book Antiqua" w:cs="Book Antiqua"/>
          <w:bCs/>
          <w:i/>
          <w:iCs/>
          <w:color w:val="000000"/>
        </w:rPr>
        <w:t>P</w:t>
      </w:r>
      <w:r>
        <w:rPr>
          <w:rFonts w:ascii="Book Antiqua" w:hAnsi="Book Antiqua" w:eastAsia="Book Antiqua" w:cs="Book Antiqua"/>
          <w:bCs/>
          <w:color w:val="000000"/>
        </w:rPr>
        <w:t xml:space="preserve"> = 0.630). The area under curve for the pancreatic enhancement ratio</w:t>
      </w:r>
      <w:r>
        <w:rPr>
          <w:rFonts w:hint="eastAsia" w:ascii="Book Antiqua" w:hAnsi="Book Antiqua" w:cs="Book Antiqua"/>
          <w:bCs/>
          <w:color w:val="000000"/>
          <w:lang w:eastAsia="zh-CN"/>
        </w:rPr>
        <w:t xml:space="preserve"> </w:t>
      </w:r>
      <w:r>
        <w:rPr>
          <w:rFonts w:ascii="Book Antiqua" w:hAnsi="Book Antiqua" w:eastAsia="Book Antiqua" w:cs="Book Antiqua"/>
          <w:bCs/>
          <w:color w:val="000000"/>
        </w:rPr>
        <w:t>is</w:t>
      </w:r>
      <w:r>
        <w:rPr>
          <w:rFonts w:hint="eastAsia" w:ascii="Book Antiqua" w:hAnsi="Book Antiqua" w:cs="Book Antiqua"/>
          <w:bCs/>
          <w:color w:val="000000"/>
          <w:lang w:eastAsia="zh-CN"/>
        </w:rPr>
        <w:t xml:space="preserve"> 0</w:t>
      </w:r>
      <w:r>
        <w:rPr>
          <w:rFonts w:ascii="Book Antiqua" w:hAnsi="Book Antiqua" w:eastAsia="Book Antiqua" w:cs="Book Antiqua"/>
          <w:bCs/>
          <w:color w:val="000000"/>
        </w:rPr>
        <w:t>.</w:t>
      </w:r>
      <w:r>
        <w:rPr>
          <w:rStyle w:val="10"/>
          <w:rFonts w:ascii="Book Antiqua" w:hAnsi="Book Antiqua" w:eastAsia="Book Antiqua" w:cs="Book Antiqua"/>
          <w:bCs/>
          <w:color w:val="000000"/>
        </w:rPr>
        <w:t>661 (95%CI:</w:t>
      </w:r>
      <w:r>
        <w:rPr>
          <w:rStyle w:val="10"/>
          <w:rFonts w:hint="eastAsia" w:ascii="Book Antiqua" w:hAnsi="Book Antiqua" w:cs="Book Antiqua"/>
          <w:bCs/>
          <w:color w:val="000000"/>
          <w:lang w:eastAsia="zh-CN"/>
        </w:rPr>
        <w:t xml:space="preserve"> 0</w:t>
      </w:r>
      <w:r>
        <w:rPr>
          <w:rStyle w:val="10"/>
          <w:rFonts w:ascii="Book Antiqua" w:hAnsi="Book Antiqua" w:eastAsia="Book Antiqua" w:cs="Book Antiqua"/>
          <w:bCs/>
          <w:color w:val="000000"/>
        </w:rPr>
        <w:t>.517-</w:t>
      </w:r>
      <w:r>
        <w:rPr>
          <w:rStyle w:val="10"/>
          <w:rFonts w:hint="eastAsia" w:ascii="Book Antiqua" w:hAnsi="Book Antiqua" w:cs="Book Antiqua"/>
          <w:bCs/>
          <w:color w:val="000000"/>
          <w:lang w:eastAsia="zh-CN"/>
        </w:rPr>
        <w:t>0</w:t>
      </w:r>
      <w:r>
        <w:rPr>
          <w:rStyle w:val="10"/>
          <w:rFonts w:ascii="Book Antiqua" w:hAnsi="Book Antiqua" w:eastAsia="Book Antiqua" w:cs="Book Antiqua"/>
          <w:bCs/>
          <w:color w:val="000000"/>
        </w:rPr>
        <w:t>.804)</w:t>
      </w:r>
      <w:r>
        <w:rPr>
          <w:rFonts w:ascii="Book Antiqua" w:hAnsi="Book Antiqua" w:eastAsia="Book Antiqua" w:cs="Book Antiqua"/>
          <w:bCs/>
          <w:color w:val="000000"/>
        </w:rPr>
        <w:t>, which is significant (</w:t>
      </w:r>
      <w:r>
        <w:rPr>
          <w:rStyle w:val="10"/>
          <w:rFonts w:ascii="Book Antiqua" w:hAnsi="Book Antiqua" w:eastAsia="Book Antiqua" w:cs="Book Antiqua"/>
          <w:bCs/>
          <w:i/>
          <w:color w:val="000000"/>
        </w:rPr>
        <w:t xml:space="preserve">P = </w:t>
      </w:r>
      <w:r>
        <w:rPr>
          <w:rStyle w:val="10"/>
          <w:rFonts w:ascii="Book Antiqua" w:hAnsi="Book Antiqua" w:eastAsia="Book Antiqua" w:cs="Book Antiqua"/>
          <w:bCs/>
          <w:color w:val="000000"/>
        </w:rPr>
        <w:t>0.049</w:t>
      </w:r>
      <w:r>
        <w:rPr>
          <w:rFonts w:ascii="Book Antiqua" w:hAnsi="Book Antiqua" w:eastAsia="Book Antiqua" w:cs="Book Antiqua"/>
          <w:bCs/>
          <w:color w:val="000000"/>
        </w:rPr>
        <w:t>).</w:t>
      </w:r>
      <w:r>
        <w:rPr>
          <w:rFonts w:hint="eastAsia" w:ascii="Book Antiqua" w:hAnsi="Book Antiqua" w:cs="Book Antiqua"/>
          <w:bCs/>
          <w:color w:val="000000"/>
          <w:lang w:eastAsia="zh-CN"/>
        </w:rPr>
        <w:t xml:space="preserve"> ROC: </w:t>
      </w:r>
      <w:r>
        <w:rPr>
          <w:rFonts w:ascii="Book Antiqua" w:hAnsi="Book Antiqua" w:cs="Book Antiqua"/>
          <w:bCs/>
          <w:color w:val="000000"/>
          <w:lang w:eastAsia="zh-CN"/>
        </w:rPr>
        <w:t xml:space="preserve">Receiver </w:t>
      </w:r>
      <w:r>
        <w:rPr>
          <w:rFonts w:hint="eastAsia" w:ascii="Book Antiqua" w:hAnsi="Book Antiqua" w:cs="Book Antiqua"/>
          <w:bCs/>
          <w:color w:val="000000"/>
          <w:lang w:eastAsia="zh-CN"/>
        </w:rPr>
        <w:t>o</w:t>
      </w:r>
      <w:r>
        <w:rPr>
          <w:rFonts w:ascii="Book Antiqua" w:hAnsi="Book Antiqua" w:cs="Book Antiqua"/>
          <w:bCs/>
          <w:color w:val="000000"/>
          <w:lang w:eastAsia="zh-CN"/>
        </w:rPr>
        <w:t xml:space="preserve">perating </w:t>
      </w:r>
      <w:r>
        <w:rPr>
          <w:rFonts w:hint="eastAsia" w:ascii="Book Antiqua" w:hAnsi="Book Antiqua" w:cs="Book Antiqua"/>
          <w:bCs/>
          <w:color w:val="000000"/>
          <w:lang w:eastAsia="zh-CN"/>
        </w:rPr>
        <w:t>c</w:t>
      </w:r>
      <w:r>
        <w:rPr>
          <w:rFonts w:ascii="Book Antiqua" w:hAnsi="Book Antiqua" w:cs="Book Antiqua"/>
          <w:bCs/>
          <w:color w:val="000000"/>
          <w:lang w:eastAsia="zh-CN"/>
        </w:rPr>
        <w:t>haracteristic</w:t>
      </w:r>
      <w:r>
        <w:rPr>
          <w:rFonts w:hint="eastAsia" w:ascii="Book Antiqua" w:hAnsi="Book Antiqua" w:cs="Book Antiqua"/>
          <w:bCs/>
          <w:color w:val="000000"/>
          <w:lang w:eastAsia="zh-CN"/>
        </w:rPr>
        <w:t xml:space="preserve">; </w:t>
      </w:r>
      <w:r>
        <w:rPr>
          <w:rFonts w:ascii="Book Antiqua" w:hAnsi="Book Antiqua" w:cs="Book Antiqua"/>
          <w:bCs/>
          <w:color w:val="000000"/>
          <w:lang w:eastAsia="zh-CN"/>
        </w:rPr>
        <w:t>PAI</w:t>
      </w:r>
      <w:r>
        <w:rPr>
          <w:rFonts w:hint="eastAsia" w:ascii="Book Antiqua" w:hAnsi="Book Antiqua" w:cs="Book Antiqua"/>
          <w:bCs/>
          <w:color w:val="000000"/>
          <w:lang w:eastAsia="zh-CN"/>
        </w:rPr>
        <w:t>:</w:t>
      </w:r>
      <w:r>
        <w:rPr>
          <w:rFonts w:ascii="Book Antiqua" w:hAnsi="Book Antiqua" w:cs="Book Antiqua"/>
          <w:bCs/>
          <w:color w:val="000000"/>
          <w:lang w:eastAsia="zh-CN"/>
        </w:rPr>
        <w:t xml:space="preserve"> Pancreatic </w:t>
      </w:r>
      <w:r>
        <w:rPr>
          <w:rFonts w:hint="eastAsia" w:ascii="Book Antiqua" w:hAnsi="Book Antiqua" w:cs="Book Antiqua"/>
          <w:bCs/>
          <w:color w:val="000000"/>
          <w:lang w:eastAsia="zh-CN"/>
        </w:rPr>
        <w:t>a</w:t>
      </w:r>
      <w:r>
        <w:rPr>
          <w:rFonts w:ascii="Book Antiqua" w:hAnsi="Book Antiqua" w:cs="Book Antiqua"/>
          <w:bCs/>
          <w:color w:val="000000"/>
          <w:lang w:eastAsia="zh-CN"/>
        </w:rPr>
        <w:t xml:space="preserve">ttenuation </w:t>
      </w:r>
      <w:r>
        <w:rPr>
          <w:rFonts w:hint="eastAsia" w:ascii="Book Antiqua" w:hAnsi="Book Antiqua" w:cs="Book Antiqua"/>
          <w:bCs/>
          <w:color w:val="000000"/>
          <w:lang w:eastAsia="zh-CN"/>
        </w:rPr>
        <w:t>i</w:t>
      </w:r>
      <w:r>
        <w:rPr>
          <w:rFonts w:ascii="Book Antiqua" w:hAnsi="Book Antiqua" w:cs="Book Antiqua"/>
          <w:bCs/>
          <w:color w:val="000000"/>
          <w:lang w:eastAsia="zh-CN"/>
        </w:rPr>
        <w:t>ndex</w:t>
      </w:r>
      <w:r>
        <w:rPr>
          <w:rFonts w:hint="eastAsia" w:ascii="Book Antiqua" w:hAnsi="Book Antiqua" w:cs="Book Antiqua"/>
          <w:bCs/>
          <w:color w:val="000000"/>
          <w:lang w:eastAsia="zh-CN"/>
        </w:rPr>
        <w:t xml:space="preserve">; </w:t>
      </w:r>
      <w:r>
        <w:rPr>
          <w:rFonts w:ascii="Book Antiqua" w:hAnsi="Book Antiqua" w:cs="Book Antiqua"/>
          <w:bCs/>
          <w:color w:val="000000"/>
          <w:lang w:eastAsia="zh-CN"/>
        </w:rPr>
        <w:t>PER</w:t>
      </w:r>
      <w:r>
        <w:rPr>
          <w:rFonts w:hint="eastAsia" w:ascii="Book Antiqua" w:hAnsi="Book Antiqua" w:cs="Book Antiqua"/>
          <w:bCs/>
          <w:color w:val="000000"/>
          <w:lang w:eastAsia="zh-CN"/>
        </w:rPr>
        <w:t>:</w:t>
      </w:r>
      <w:r>
        <w:rPr>
          <w:rFonts w:ascii="Book Antiqua" w:hAnsi="Book Antiqua" w:cs="Book Antiqua"/>
          <w:bCs/>
          <w:color w:val="000000"/>
          <w:lang w:eastAsia="zh-CN"/>
        </w:rPr>
        <w:t xml:space="preserve"> Pancreatic </w:t>
      </w:r>
      <w:r>
        <w:rPr>
          <w:rFonts w:hint="eastAsia" w:ascii="Book Antiqua" w:hAnsi="Book Antiqua" w:cs="Book Antiqua"/>
          <w:bCs/>
          <w:color w:val="000000"/>
          <w:lang w:eastAsia="zh-CN"/>
        </w:rPr>
        <w:t>e</w:t>
      </w:r>
      <w:r>
        <w:rPr>
          <w:rFonts w:ascii="Book Antiqua" w:hAnsi="Book Antiqua" w:cs="Book Antiqua"/>
          <w:bCs/>
          <w:color w:val="000000"/>
          <w:lang w:eastAsia="zh-CN"/>
        </w:rPr>
        <w:t xml:space="preserve">nhancement </w:t>
      </w:r>
      <w:r>
        <w:rPr>
          <w:rFonts w:hint="eastAsia" w:ascii="Book Antiqua" w:hAnsi="Book Antiqua" w:cs="Book Antiqua"/>
          <w:bCs/>
          <w:color w:val="000000"/>
          <w:lang w:eastAsia="zh-CN"/>
        </w:rPr>
        <w:t>r</w:t>
      </w:r>
      <w:r>
        <w:rPr>
          <w:rFonts w:ascii="Book Antiqua" w:hAnsi="Book Antiqua" w:cs="Book Antiqua"/>
          <w:bCs/>
          <w:color w:val="000000"/>
          <w:lang w:eastAsia="zh-CN"/>
        </w:rPr>
        <w:t>atio</w:t>
      </w:r>
      <w:r>
        <w:rPr>
          <w:rFonts w:hint="eastAsia" w:ascii="Book Antiqua" w:hAnsi="Book Antiqua" w:cs="Book Antiqua"/>
          <w:bCs/>
          <w:color w:val="000000"/>
          <w:lang w:eastAsia="zh-CN"/>
        </w:rPr>
        <w:t>.</w:t>
      </w:r>
    </w:p>
    <w:p>
      <w:pPr>
        <w:spacing w:line="360" w:lineRule="auto"/>
        <w:jc w:val="both"/>
        <w:rPr>
          <w:rFonts w:ascii="Book Antiqua" w:hAnsi="Book Antiqua" w:cs="Book Antiqua"/>
          <w:b/>
          <w:bCs/>
          <w:color w:val="000000"/>
          <w:lang w:eastAsia="zh-CN"/>
        </w:rPr>
      </w:pPr>
    </w:p>
    <w:p>
      <w:pPr>
        <w:spacing w:line="360" w:lineRule="auto"/>
        <w:jc w:val="both"/>
        <w:rPr>
          <w:rFonts w:ascii="Book Antiqua" w:hAnsi="Book Antiqua" w:cs="Book Antiqua"/>
          <w:b/>
          <w:bCs/>
          <w:color w:val="000000"/>
          <w:lang w:eastAsia="zh-CN"/>
        </w:rPr>
      </w:pPr>
    </w:p>
    <w:p>
      <w:pPr>
        <w:pStyle w:val="12"/>
        <w:spacing w:after="0" w:line="360" w:lineRule="auto"/>
        <w:jc w:val="both"/>
        <w:rPr>
          <w:rFonts w:ascii="Book Antiqua" w:hAnsi="Book Antiqua"/>
          <w:b/>
          <w:bCs/>
          <w:sz w:val="24"/>
          <w:szCs w:val="24"/>
        </w:rPr>
      </w:pPr>
      <w:r>
        <w:rPr>
          <w:rFonts w:ascii="Book Antiqua" w:hAnsi="Book Antiqua" w:cs="Book Antiqua"/>
          <w:b/>
          <w:bCs/>
          <w:sz w:val="24"/>
          <w:szCs w:val="24"/>
          <w:lang w:eastAsia="zh-CN"/>
        </w:rPr>
        <w:br w:type="page"/>
      </w:r>
      <w:r>
        <w:rPr>
          <w:rFonts w:ascii="Book Antiqua" w:hAnsi="Book Antiqua"/>
          <w:b/>
          <w:bCs/>
          <w:sz w:val="24"/>
          <w:szCs w:val="24"/>
        </w:rPr>
        <w:t>Table 1 Comparison of demographic, clinical and preoperative radiological parameters between patients with and without clinically relevant postoperative pancreatic fistula</w:t>
      </w:r>
    </w:p>
    <w:tbl>
      <w:tblPr>
        <w:tblStyle w:val="11"/>
        <w:tblW w:w="5000" w:type="pct"/>
        <w:tblInd w:w="0" w:type="dxa"/>
        <w:tblBorders>
          <w:top w:val="single" w:color="7F7F7F" w:sz="4" w:space="0"/>
          <w:left w:val="none" w:color="auto" w:sz="0" w:space="0"/>
          <w:bottom w:val="single" w:color="7F7F7F"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09"/>
        <w:gridCol w:w="1806"/>
        <w:gridCol w:w="2109"/>
        <w:gridCol w:w="1452"/>
      </w:tblGrid>
      <w:tr>
        <w:tblPrEx>
          <w:tblBorders>
            <w:top w:val="single" w:color="7F7F7F" w:sz="4" w:space="0"/>
            <w:left w:val="none" w:color="auto" w:sz="0" w:space="0"/>
            <w:bottom w:val="single" w:color="7F7F7F"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pct"/>
            <w:tcBorders>
              <w:top w:val="single" w:color="7F7F7F" w:sz="4" w:space="0"/>
              <w:bottom w:val="single" w:color="auto" w:sz="6" w:space="0"/>
            </w:tcBorders>
          </w:tcPr>
          <w:p>
            <w:pPr>
              <w:spacing w:line="360" w:lineRule="auto"/>
              <w:contextualSpacing/>
              <w:jc w:val="both"/>
              <w:rPr>
                <w:rFonts w:ascii="Book Antiqua" w:hAnsi="Book Antiqua" w:eastAsia="等线" w:cs="Latha"/>
                <w:b/>
                <w:lang w:bidi="ta-IN"/>
              </w:rPr>
            </w:pPr>
            <w:r>
              <w:rPr>
                <w:rFonts w:ascii="Book Antiqua" w:hAnsi="Book Antiqua" w:eastAsia="等线" w:cs="Latha"/>
                <w:b/>
                <w:lang w:bidi="ta-IN"/>
              </w:rPr>
              <w:t>Parameter</w:t>
            </w:r>
          </w:p>
        </w:tc>
        <w:tc>
          <w:tcPr>
            <w:tcW w:w="0" w:type="pct"/>
            <w:tcBorders>
              <w:top w:val="single" w:color="7F7F7F" w:sz="4" w:space="0"/>
              <w:bottom w:val="single" w:color="auto" w:sz="6" w:space="0"/>
            </w:tcBorders>
          </w:tcPr>
          <w:p>
            <w:pPr>
              <w:pBdr>
                <w:top w:val="none" w:color="auto" w:sz="0" w:space="0"/>
                <w:left w:val="none" w:color="auto" w:sz="0" w:space="0"/>
                <w:bottom w:val="none" w:color="auto" w:sz="0" w:space="0"/>
                <w:right w:val="none" w:color="auto" w:sz="0" w:space="0"/>
                <w:between w:val="none" w:color="auto" w:sz="0" w:space="0"/>
              </w:pBdr>
              <w:spacing w:line="360" w:lineRule="auto"/>
              <w:contextualSpacing/>
              <w:jc w:val="both"/>
              <w:rPr>
                <w:rFonts w:ascii="Book Antiqua" w:hAnsi="Book Antiqua" w:cs="Book Antiqua"/>
                <w:b/>
                <w:color w:val="000000"/>
                <w:u w:color="000000"/>
                <w:lang w:eastAsia="zh-CN" w:bidi="ta-IN"/>
              </w:rPr>
            </w:pPr>
            <w:r>
              <w:rPr>
                <w:rFonts w:ascii="Book Antiqua" w:hAnsi="Book Antiqua" w:eastAsia="Calibri" w:cs="Calibri"/>
                <w:b/>
                <w:color w:val="000000"/>
                <w:u w:color="000000"/>
                <w:lang w:eastAsia="en-IN" w:bidi="ta-IN"/>
              </w:rPr>
              <w:t>CR-POPF,</w:t>
            </w:r>
            <w:r>
              <w:rPr>
                <w:rFonts w:hint="eastAsia" w:ascii="Book Antiqua" w:hAnsi="Book Antiqua" w:cs="Calibri"/>
                <w:b/>
                <w:color w:val="000000"/>
                <w:u w:color="000000"/>
                <w:lang w:eastAsia="zh-CN" w:bidi="ta-IN"/>
              </w:rPr>
              <w:t xml:space="preserve"> </w:t>
            </w:r>
          </w:p>
          <w:p>
            <w:pPr>
              <w:spacing w:line="360" w:lineRule="auto"/>
              <w:contextualSpacing/>
              <w:jc w:val="both"/>
              <w:rPr>
                <w:rFonts w:ascii="Book Antiqua" w:hAnsi="Book Antiqua" w:eastAsia="等线" w:cs="Latha"/>
                <w:b/>
                <w:lang w:bidi="ta-IN"/>
              </w:rPr>
            </w:pPr>
            <w:r>
              <w:rPr>
                <w:rFonts w:ascii="Book Antiqua" w:hAnsi="Book Antiqua" w:eastAsia="等线" w:cs="Latha"/>
                <w:b/>
                <w:i/>
                <w:lang w:bidi="ta-IN"/>
              </w:rPr>
              <w:t>n</w:t>
            </w:r>
            <w:r>
              <w:rPr>
                <w:rFonts w:ascii="Book Antiqua" w:hAnsi="Book Antiqua" w:eastAsia="等线" w:cs="Latha"/>
                <w:b/>
                <w:lang w:bidi="ta-IN"/>
              </w:rPr>
              <w:t xml:space="preserve"> = 18</w:t>
            </w:r>
          </w:p>
        </w:tc>
        <w:tc>
          <w:tcPr>
            <w:tcW w:w="0" w:type="pct"/>
            <w:tcBorders>
              <w:top w:val="single" w:color="7F7F7F" w:sz="4" w:space="0"/>
              <w:bottom w:val="single" w:color="auto" w:sz="6" w:space="0"/>
            </w:tcBorders>
          </w:tcPr>
          <w:p>
            <w:pPr>
              <w:pBdr>
                <w:top w:val="none" w:color="auto" w:sz="0" w:space="0"/>
                <w:left w:val="none" w:color="auto" w:sz="0" w:space="0"/>
                <w:bottom w:val="none" w:color="auto" w:sz="0" w:space="0"/>
                <w:right w:val="none" w:color="auto" w:sz="0" w:space="0"/>
                <w:between w:val="none" w:color="auto" w:sz="0" w:space="0"/>
              </w:pBdr>
              <w:spacing w:line="360" w:lineRule="auto"/>
              <w:contextualSpacing/>
              <w:jc w:val="both"/>
              <w:rPr>
                <w:rFonts w:ascii="Book Antiqua" w:hAnsi="Book Antiqua" w:eastAsia="等线" w:cs="Latha"/>
                <w:b/>
                <w:lang w:bidi="ta-IN"/>
              </w:rPr>
            </w:pPr>
            <w:r>
              <w:rPr>
                <w:rFonts w:ascii="Book Antiqua" w:hAnsi="Book Antiqua" w:eastAsia="Calibri" w:cs="Calibri"/>
                <w:b/>
                <w:color w:val="000000"/>
                <w:u w:color="000000"/>
                <w:lang w:eastAsia="en-IN" w:bidi="ta-IN"/>
              </w:rPr>
              <w:t>No CR-POPF,</w:t>
            </w:r>
            <w:r>
              <w:rPr>
                <w:rFonts w:hint="eastAsia" w:ascii="Book Antiqua" w:hAnsi="Book Antiqua" w:cs="Calibri"/>
                <w:b/>
                <w:color w:val="000000"/>
                <w:u w:color="000000"/>
                <w:lang w:eastAsia="zh-CN" w:bidi="ta-IN"/>
              </w:rPr>
              <w:t xml:space="preserve"> </w:t>
            </w:r>
            <w:r>
              <w:rPr>
                <w:rFonts w:ascii="Book Antiqua" w:hAnsi="Book Antiqua" w:eastAsia="等线" w:cs="Latha"/>
                <w:b/>
                <w:i/>
                <w:lang w:bidi="ta-IN"/>
              </w:rPr>
              <w:t>n</w:t>
            </w:r>
            <w:r>
              <w:rPr>
                <w:rFonts w:ascii="Book Antiqua" w:hAnsi="Book Antiqua" w:eastAsia="等线" w:cs="Latha"/>
                <w:b/>
                <w:lang w:bidi="ta-IN"/>
              </w:rPr>
              <w:t xml:space="preserve"> = 43</w:t>
            </w:r>
          </w:p>
        </w:tc>
        <w:tc>
          <w:tcPr>
            <w:tcW w:w="0" w:type="pct"/>
            <w:tcBorders>
              <w:top w:val="single" w:color="7F7F7F" w:sz="4" w:space="0"/>
              <w:bottom w:val="single" w:color="auto" w:sz="6" w:space="0"/>
            </w:tcBorders>
          </w:tcPr>
          <w:p>
            <w:pPr>
              <w:spacing w:line="360" w:lineRule="auto"/>
              <w:contextualSpacing/>
              <w:jc w:val="both"/>
              <w:rPr>
                <w:rFonts w:ascii="Book Antiqua" w:hAnsi="Book Antiqua" w:eastAsia="等线" w:cs="Latha"/>
                <w:b/>
                <w:lang w:bidi="ta-IN"/>
              </w:rPr>
            </w:pPr>
            <w:r>
              <w:rPr>
                <w:rFonts w:ascii="Book Antiqua" w:hAnsi="Book Antiqua" w:eastAsia="等线" w:cs="Latha"/>
                <w:b/>
                <w:i/>
                <w:lang w:bidi="ta-IN"/>
              </w:rPr>
              <w:t>P</w:t>
            </w:r>
            <w:r>
              <w:rPr>
                <w:rFonts w:ascii="Book Antiqua" w:hAnsi="Book Antiqua" w:eastAsia="等线" w:cs="Latha"/>
                <w:b/>
                <w:lang w:bidi="ta-IN"/>
              </w:rPr>
              <w:t xml:space="preserve"> value</w:t>
            </w:r>
          </w:p>
        </w:tc>
      </w:tr>
      <w:tr>
        <w:tblPrEx>
          <w:tblBorders>
            <w:top w:val="single" w:color="7F7F7F" w:sz="4" w:space="0"/>
            <w:left w:val="none" w:color="auto" w:sz="0" w:space="0"/>
            <w:bottom w:val="single" w:color="7F7F7F"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pct"/>
            <w:tcBorders>
              <w:top w:val="single" w:color="auto" w:sz="6" w:space="0"/>
            </w:tcBorders>
          </w:tcPr>
          <w:p>
            <w:pPr>
              <w:spacing w:line="360" w:lineRule="auto"/>
              <w:contextualSpacing/>
              <w:jc w:val="both"/>
              <w:rPr>
                <w:rFonts w:ascii="Book Antiqua" w:hAnsi="Book Antiqua" w:eastAsia="等线" w:cs="Latha"/>
                <w:lang w:bidi="ta-IN"/>
              </w:rPr>
            </w:pPr>
            <w:r>
              <w:rPr>
                <w:rFonts w:ascii="Book Antiqua" w:hAnsi="Book Antiqua" w:eastAsia="等线" w:cs="Latha"/>
                <w:lang w:bidi="ta-IN"/>
              </w:rPr>
              <w:t>Age in y</w:t>
            </w:r>
            <w:r>
              <w:rPr>
                <w:rFonts w:hint="eastAsia" w:ascii="Book Antiqua" w:hAnsi="Book Antiqua" w:eastAsia="等线" w:cs="Latha"/>
                <w:lang w:eastAsia="zh-CN" w:bidi="ta-IN"/>
              </w:rPr>
              <w:t>r</w:t>
            </w:r>
            <w:r>
              <w:rPr>
                <w:rFonts w:ascii="Book Antiqua" w:hAnsi="Book Antiqua" w:eastAsia="等线" w:cs="Latha"/>
                <w:lang w:bidi="ta-IN"/>
              </w:rPr>
              <w:t>, mean ± SD</w:t>
            </w:r>
          </w:p>
        </w:tc>
        <w:tc>
          <w:tcPr>
            <w:tcW w:w="0" w:type="pct"/>
            <w:tcBorders>
              <w:top w:val="single" w:color="auto" w:sz="6" w:space="0"/>
            </w:tcBorders>
          </w:tcPr>
          <w:p>
            <w:pPr>
              <w:spacing w:line="360" w:lineRule="auto"/>
              <w:contextualSpacing/>
              <w:jc w:val="both"/>
              <w:rPr>
                <w:rFonts w:ascii="Book Antiqua" w:hAnsi="Book Antiqua" w:eastAsia="等线" w:cs="Latha"/>
                <w:lang w:bidi="ta-IN"/>
              </w:rPr>
            </w:pPr>
            <w:r>
              <w:rPr>
                <w:rFonts w:ascii="Book Antiqua" w:hAnsi="Book Antiqua" w:eastAsia="等线" w:cs="Latha"/>
                <w:lang w:bidi="ta-IN"/>
              </w:rPr>
              <w:t>53.7 ± 10.8</w:t>
            </w:r>
          </w:p>
        </w:tc>
        <w:tc>
          <w:tcPr>
            <w:tcW w:w="0" w:type="pct"/>
            <w:tcBorders>
              <w:top w:val="single" w:color="auto" w:sz="6" w:space="0"/>
            </w:tcBorders>
          </w:tcPr>
          <w:p>
            <w:pPr>
              <w:spacing w:line="360" w:lineRule="auto"/>
              <w:contextualSpacing/>
              <w:jc w:val="both"/>
              <w:rPr>
                <w:rFonts w:ascii="Book Antiqua" w:hAnsi="Book Antiqua" w:eastAsia="等线" w:cs="Latha"/>
                <w:lang w:bidi="ta-IN"/>
              </w:rPr>
            </w:pPr>
            <w:r>
              <w:rPr>
                <w:rFonts w:ascii="Book Antiqua" w:hAnsi="Book Antiqua" w:eastAsia="等线" w:cs="Latha"/>
                <w:lang w:bidi="ta-IN"/>
              </w:rPr>
              <w:t>54.7 ± 11.5</w:t>
            </w:r>
          </w:p>
        </w:tc>
        <w:tc>
          <w:tcPr>
            <w:tcW w:w="0" w:type="pct"/>
            <w:tcBorders>
              <w:top w:val="single" w:color="auto" w:sz="6" w:space="0"/>
            </w:tcBorders>
          </w:tcPr>
          <w:p>
            <w:pPr>
              <w:spacing w:line="360" w:lineRule="auto"/>
              <w:contextualSpacing/>
              <w:jc w:val="both"/>
              <w:rPr>
                <w:rFonts w:ascii="Book Antiqua" w:hAnsi="Book Antiqua" w:eastAsia="等线" w:cs="Latha"/>
                <w:lang w:bidi="ta-IN"/>
              </w:rPr>
            </w:pPr>
            <w:r>
              <w:rPr>
                <w:rFonts w:ascii="Book Antiqua" w:hAnsi="Book Antiqua" w:eastAsia="等线" w:cs="Latha"/>
                <w:lang w:bidi="ta-IN"/>
              </w:rPr>
              <w:t xml:space="preserve">0.746 </w:t>
            </w:r>
          </w:p>
        </w:tc>
      </w:tr>
      <w:tr>
        <w:tblPrEx>
          <w:tblBorders>
            <w:top w:val="single" w:color="7F7F7F" w:sz="4" w:space="0"/>
            <w:left w:val="none" w:color="auto" w:sz="0" w:space="0"/>
            <w:bottom w:val="single" w:color="7F7F7F"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98" w:type="pct"/>
          </w:tcPr>
          <w:p>
            <w:pPr>
              <w:pBdr>
                <w:top w:val="none" w:color="auto" w:sz="0" w:space="0"/>
                <w:left w:val="none" w:color="auto" w:sz="0" w:space="0"/>
                <w:bottom w:val="none" w:color="auto" w:sz="0" w:space="0"/>
                <w:right w:val="none" w:color="auto" w:sz="0" w:space="0"/>
                <w:between w:val="none" w:color="auto" w:sz="0" w:space="0"/>
              </w:pBdr>
              <w:spacing w:line="360" w:lineRule="auto"/>
              <w:contextualSpacing/>
              <w:jc w:val="both"/>
              <w:rPr>
                <w:rFonts w:ascii="Book Antiqua" w:hAnsi="Book Antiqua" w:eastAsia="等线" w:cs="Latha"/>
                <w:lang w:bidi="ta-IN"/>
              </w:rPr>
            </w:pPr>
            <w:r>
              <w:rPr>
                <w:rFonts w:ascii="Book Antiqua" w:hAnsi="Book Antiqua" w:eastAsia="Calibri" w:cs="Calibri"/>
                <w:color w:val="000000"/>
                <w:u w:color="000000"/>
                <w:lang w:eastAsia="en-IN" w:bidi="ta-IN"/>
              </w:rPr>
              <w:t xml:space="preserve">Sex, </w:t>
            </w:r>
            <w:r>
              <w:rPr>
                <w:rFonts w:ascii="Book Antiqua" w:hAnsi="Book Antiqua" w:eastAsia="Calibri" w:cs="Calibri"/>
                <w:i/>
                <w:color w:val="000000"/>
                <w:u w:color="000000"/>
                <w:lang w:eastAsia="en-IN" w:bidi="ta-IN"/>
              </w:rPr>
              <w:t>n</w:t>
            </w:r>
            <w:r>
              <w:rPr>
                <w:rFonts w:ascii="Book Antiqua" w:hAnsi="Book Antiqua" w:eastAsia="Calibri" w:cs="Calibri"/>
                <w:color w:val="000000"/>
                <w:u w:color="000000"/>
                <w:lang w:eastAsia="en-IN" w:bidi="ta-IN"/>
              </w:rPr>
              <w:t xml:space="preserve"> (%)</w:t>
            </w:r>
          </w:p>
        </w:tc>
        <w:tc>
          <w:tcPr>
            <w:tcW w:w="943" w:type="pct"/>
          </w:tcPr>
          <w:p>
            <w:pPr>
              <w:spacing w:line="360" w:lineRule="auto"/>
              <w:contextualSpacing/>
              <w:jc w:val="both"/>
              <w:rPr>
                <w:rFonts w:ascii="Book Antiqua" w:hAnsi="Book Antiqua" w:eastAsia="等线" w:cs="Latha"/>
                <w:lang w:bidi="ta-IN"/>
              </w:rPr>
            </w:pPr>
          </w:p>
        </w:tc>
        <w:tc>
          <w:tcPr>
            <w:tcW w:w="1101" w:type="pct"/>
          </w:tcPr>
          <w:p>
            <w:pPr>
              <w:spacing w:line="360" w:lineRule="auto"/>
              <w:contextualSpacing/>
              <w:jc w:val="both"/>
              <w:rPr>
                <w:rFonts w:ascii="Book Antiqua" w:hAnsi="Book Antiqua" w:eastAsia="等线" w:cs="Latha"/>
                <w:lang w:bidi="ta-IN"/>
              </w:rPr>
            </w:pPr>
          </w:p>
        </w:tc>
        <w:tc>
          <w:tcPr>
            <w:tcW w:w="758" w:type="pct"/>
          </w:tcPr>
          <w:p>
            <w:pPr>
              <w:spacing w:line="360" w:lineRule="auto"/>
              <w:contextualSpacing/>
              <w:jc w:val="both"/>
              <w:rPr>
                <w:rFonts w:ascii="Book Antiqua" w:hAnsi="Book Antiqua" w:eastAsia="等线" w:cs="Latha"/>
                <w:lang w:bidi="ta-IN"/>
              </w:rPr>
            </w:pPr>
          </w:p>
        </w:tc>
      </w:tr>
      <w:tr>
        <w:tblPrEx>
          <w:tblBorders>
            <w:top w:val="single" w:color="7F7F7F" w:sz="4" w:space="0"/>
            <w:left w:val="none" w:color="auto" w:sz="0" w:space="0"/>
            <w:bottom w:val="single" w:color="7F7F7F"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98" w:type="pct"/>
          </w:tcPr>
          <w:p>
            <w:pPr>
              <w:pBdr>
                <w:top w:val="none" w:color="auto" w:sz="0" w:space="0"/>
                <w:left w:val="none" w:color="auto" w:sz="0" w:space="0"/>
                <w:bottom w:val="none" w:color="auto" w:sz="0" w:space="0"/>
                <w:right w:val="none" w:color="auto" w:sz="0" w:space="0"/>
                <w:between w:val="none" w:color="auto" w:sz="0" w:space="0"/>
              </w:pBdr>
              <w:spacing w:line="360" w:lineRule="auto"/>
              <w:contextualSpacing/>
              <w:jc w:val="both"/>
              <w:rPr>
                <w:rFonts w:ascii="Book Antiqua" w:hAnsi="Book Antiqua" w:eastAsia="Calibri" w:cs="Calibri"/>
                <w:color w:val="000000"/>
                <w:u w:color="000000"/>
                <w:lang w:eastAsia="en-IN" w:bidi="ta-IN"/>
              </w:rPr>
            </w:pPr>
            <w:r>
              <w:rPr>
                <w:rFonts w:ascii="Book Antiqua" w:hAnsi="Book Antiqua" w:eastAsia="Calibri" w:cs="Calibri"/>
                <w:color w:val="000000"/>
                <w:u w:color="000000"/>
                <w:lang w:eastAsia="en-IN" w:bidi="ta-IN"/>
              </w:rPr>
              <w:t>Male</w:t>
            </w:r>
          </w:p>
        </w:tc>
        <w:tc>
          <w:tcPr>
            <w:tcW w:w="943" w:type="pct"/>
          </w:tcPr>
          <w:p>
            <w:pPr>
              <w:pBdr>
                <w:top w:val="none" w:color="auto" w:sz="0" w:space="0"/>
                <w:left w:val="none" w:color="auto" w:sz="0" w:space="0"/>
                <w:bottom w:val="none" w:color="auto" w:sz="0" w:space="0"/>
                <w:right w:val="none" w:color="auto" w:sz="0" w:space="0"/>
                <w:between w:val="none" w:color="auto" w:sz="0" w:space="0"/>
              </w:pBdr>
              <w:spacing w:line="360" w:lineRule="auto"/>
              <w:contextualSpacing/>
              <w:jc w:val="both"/>
              <w:rPr>
                <w:rFonts w:ascii="Book Antiqua" w:hAnsi="Book Antiqua" w:eastAsia="Book Antiqua" w:cs="Book Antiqua"/>
                <w:color w:val="000000"/>
                <w:u w:color="000000"/>
                <w:lang w:eastAsia="en-IN" w:bidi="ta-IN"/>
              </w:rPr>
            </w:pPr>
            <w:r>
              <w:rPr>
                <w:rFonts w:ascii="Book Antiqua" w:hAnsi="Book Antiqua" w:eastAsia="Calibri" w:cs="Calibri"/>
                <w:color w:val="000000"/>
                <w:u w:color="000000"/>
                <w:lang w:eastAsia="en-IN" w:bidi="ta-IN"/>
              </w:rPr>
              <w:t>10 (55.6)</w:t>
            </w:r>
          </w:p>
        </w:tc>
        <w:tc>
          <w:tcPr>
            <w:tcW w:w="1101" w:type="pct"/>
          </w:tcPr>
          <w:p>
            <w:pPr>
              <w:pBdr>
                <w:top w:val="none" w:color="auto" w:sz="0" w:space="0"/>
                <w:left w:val="none" w:color="auto" w:sz="0" w:space="0"/>
                <w:bottom w:val="none" w:color="auto" w:sz="0" w:space="0"/>
                <w:right w:val="none" w:color="auto" w:sz="0" w:space="0"/>
                <w:between w:val="none" w:color="auto" w:sz="0" w:space="0"/>
              </w:pBdr>
              <w:spacing w:line="360" w:lineRule="auto"/>
              <w:contextualSpacing/>
              <w:jc w:val="both"/>
              <w:rPr>
                <w:rFonts w:ascii="Book Antiqua" w:hAnsi="Book Antiqua" w:eastAsia="Calibri" w:cs="Calibri"/>
                <w:color w:val="000000"/>
                <w:u w:color="000000"/>
                <w:lang w:eastAsia="en-IN" w:bidi="ta-IN"/>
              </w:rPr>
            </w:pPr>
            <w:r>
              <w:rPr>
                <w:rFonts w:ascii="Book Antiqua" w:hAnsi="Book Antiqua" w:eastAsia="Calibri" w:cs="Calibri"/>
                <w:color w:val="000000"/>
                <w:u w:color="000000"/>
                <w:lang w:eastAsia="en-IN" w:bidi="ta-IN"/>
              </w:rPr>
              <w:t>28 (65.1)</w:t>
            </w:r>
          </w:p>
        </w:tc>
        <w:tc>
          <w:tcPr>
            <w:tcW w:w="758" w:type="pct"/>
          </w:tcPr>
          <w:p>
            <w:pPr>
              <w:pBdr>
                <w:top w:val="none" w:color="auto" w:sz="0" w:space="0"/>
                <w:left w:val="none" w:color="auto" w:sz="0" w:space="0"/>
                <w:bottom w:val="none" w:color="auto" w:sz="0" w:space="0"/>
                <w:right w:val="none" w:color="auto" w:sz="0" w:space="0"/>
                <w:between w:val="none" w:color="auto" w:sz="0" w:space="0"/>
              </w:pBdr>
              <w:spacing w:line="360" w:lineRule="auto"/>
              <w:contextualSpacing/>
              <w:jc w:val="both"/>
              <w:rPr>
                <w:rFonts w:ascii="Book Antiqua" w:hAnsi="Book Antiqua" w:eastAsia="Book Antiqua" w:cs="Book Antiqua"/>
                <w:color w:val="000000"/>
                <w:u w:color="000000"/>
                <w:lang w:eastAsia="en-IN" w:bidi="ta-IN"/>
              </w:rPr>
            </w:pPr>
            <w:r>
              <w:rPr>
                <w:rFonts w:ascii="Book Antiqua" w:hAnsi="Book Antiqua" w:eastAsia="等线" w:cs="Latha"/>
                <w:lang w:bidi="ta-IN"/>
              </w:rPr>
              <w:t>0.567</w:t>
            </w:r>
          </w:p>
        </w:tc>
      </w:tr>
      <w:tr>
        <w:tblPrEx>
          <w:tblBorders>
            <w:top w:val="single" w:color="7F7F7F" w:sz="4" w:space="0"/>
            <w:left w:val="none" w:color="auto" w:sz="0" w:space="0"/>
            <w:bottom w:val="single" w:color="7F7F7F"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98" w:type="pct"/>
          </w:tcPr>
          <w:p>
            <w:pPr>
              <w:pBdr>
                <w:top w:val="none" w:color="auto" w:sz="0" w:space="0"/>
                <w:left w:val="none" w:color="auto" w:sz="0" w:space="0"/>
                <w:bottom w:val="none" w:color="auto" w:sz="0" w:space="0"/>
                <w:right w:val="none" w:color="auto" w:sz="0" w:space="0"/>
                <w:between w:val="none" w:color="auto" w:sz="0" w:space="0"/>
              </w:pBdr>
              <w:spacing w:line="360" w:lineRule="auto"/>
              <w:contextualSpacing/>
              <w:jc w:val="both"/>
              <w:rPr>
                <w:rFonts w:ascii="Book Antiqua" w:hAnsi="Book Antiqua" w:eastAsia="Calibri" w:cs="Calibri"/>
                <w:color w:val="000000"/>
                <w:u w:color="000000"/>
                <w:lang w:eastAsia="en-IN" w:bidi="ta-IN"/>
              </w:rPr>
            </w:pPr>
            <w:r>
              <w:rPr>
                <w:rFonts w:ascii="Book Antiqua" w:hAnsi="Book Antiqua" w:eastAsia="等线" w:cs="Latha"/>
                <w:lang w:bidi="ta-IN"/>
              </w:rPr>
              <w:t>Female</w:t>
            </w:r>
          </w:p>
        </w:tc>
        <w:tc>
          <w:tcPr>
            <w:tcW w:w="943" w:type="pct"/>
          </w:tcPr>
          <w:p>
            <w:pPr>
              <w:pBdr>
                <w:top w:val="none" w:color="auto" w:sz="0" w:space="0"/>
                <w:left w:val="none" w:color="auto" w:sz="0" w:space="0"/>
                <w:bottom w:val="none" w:color="auto" w:sz="0" w:space="0"/>
                <w:right w:val="none" w:color="auto" w:sz="0" w:space="0"/>
                <w:between w:val="none" w:color="auto" w:sz="0" w:space="0"/>
              </w:pBdr>
              <w:spacing w:line="360" w:lineRule="auto"/>
              <w:contextualSpacing/>
              <w:jc w:val="both"/>
              <w:rPr>
                <w:rFonts w:ascii="Book Antiqua" w:hAnsi="Book Antiqua" w:eastAsia="Book Antiqua" w:cs="Book Antiqua"/>
                <w:color w:val="000000"/>
                <w:u w:color="000000"/>
                <w:lang w:eastAsia="en-IN" w:bidi="ta-IN"/>
              </w:rPr>
            </w:pPr>
            <w:r>
              <w:rPr>
                <w:rFonts w:ascii="Book Antiqua" w:hAnsi="Book Antiqua" w:eastAsia="等线" w:cs="Latha"/>
                <w:lang w:bidi="ta-IN"/>
              </w:rPr>
              <w:t>8 (44.4)</w:t>
            </w:r>
          </w:p>
        </w:tc>
        <w:tc>
          <w:tcPr>
            <w:tcW w:w="1101" w:type="pct"/>
          </w:tcPr>
          <w:p>
            <w:pPr>
              <w:pBdr>
                <w:top w:val="none" w:color="auto" w:sz="0" w:space="0"/>
                <w:left w:val="none" w:color="auto" w:sz="0" w:space="0"/>
                <w:bottom w:val="none" w:color="auto" w:sz="0" w:space="0"/>
                <w:right w:val="none" w:color="auto" w:sz="0" w:space="0"/>
                <w:between w:val="none" w:color="auto" w:sz="0" w:space="0"/>
              </w:pBdr>
              <w:spacing w:line="360" w:lineRule="auto"/>
              <w:contextualSpacing/>
              <w:jc w:val="both"/>
              <w:rPr>
                <w:rFonts w:ascii="Book Antiqua" w:hAnsi="Book Antiqua" w:eastAsia="Calibri" w:cs="Calibri"/>
                <w:color w:val="000000"/>
                <w:u w:color="000000"/>
                <w:lang w:eastAsia="en-IN" w:bidi="ta-IN"/>
              </w:rPr>
            </w:pPr>
            <w:r>
              <w:rPr>
                <w:rFonts w:ascii="Book Antiqua" w:hAnsi="Book Antiqua" w:eastAsia="等线" w:cs="Latha"/>
                <w:lang w:bidi="ta-IN"/>
              </w:rPr>
              <w:t>15 (34.9)</w:t>
            </w:r>
          </w:p>
        </w:tc>
        <w:tc>
          <w:tcPr>
            <w:tcW w:w="758" w:type="pct"/>
          </w:tcPr>
          <w:p>
            <w:pPr>
              <w:pBdr>
                <w:top w:val="none" w:color="auto" w:sz="0" w:space="0"/>
                <w:left w:val="none" w:color="auto" w:sz="0" w:space="0"/>
                <w:bottom w:val="none" w:color="auto" w:sz="0" w:space="0"/>
                <w:right w:val="none" w:color="auto" w:sz="0" w:space="0"/>
                <w:between w:val="none" w:color="auto" w:sz="0" w:space="0"/>
              </w:pBdr>
              <w:spacing w:line="360" w:lineRule="auto"/>
              <w:contextualSpacing/>
              <w:jc w:val="both"/>
              <w:rPr>
                <w:rFonts w:ascii="Book Antiqua" w:hAnsi="Book Antiqua" w:eastAsia="Book Antiqua" w:cs="Book Antiqua"/>
                <w:color w:val="000000"/>
                <w:u w:color="000000"/>
                <w:lang w:eastAsia="en-IN" w:bidi="ta-IN"/>
              </w:rPr>
            </w:pPr>
          </w:p>
        </w:tc>
      </w:tr>
      <w:tr>
        <w:tblPrEx>
          <w:tblBorders>
            <w:top w:val="single" w:color="7F7F7F" w:sz="4" w:space="0"/>
            <w:left w:val="none" w:color="auto" w:sz="0" w:space="0"/>
            <w:bottom w:val="single" w:color="7F7F7F"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98" w:type="pct"/>
          </w:tcPr>
          <w:p>
            <w:pPr>
              <w:pBdr>
                <w:top w:val="none" w:color="auto" w:sz="0" w:space="0"/>
                <w:left w:val="none" w:color="auto" w:sz="0" w:space="0"/>
                <w:bottom w:val="none" w:color="auto" w:sz="0" w:space="0"/>
                <w:right w:val="none" w:color="auto" w:sz="0" w:space="0"/>
                <w:between w:val="none" w:color="auto" w:sz="0" w:space="0"/>
              </w:pBdr>
              <w:spacing w:line="360" w:lineRule="auto"/>
              <w:contextualSpacing/>
              <w:jc w:val="both"/>
              <w:rPr>
                <w:rFonts w:ascii="Book Antiqua" w:hAnsi="Book Antiqua" w:eastAsia="Book Antiqua" w:cs="Book Antiqua"/>
                <w:color w:val="000000"/>
                <w:u w:color="000000"/>
                <w:lang w:eastAsia="en-IN" w:bidi="ta-IN"/>
              </w:rPr>
            </w:pPr>
            <w:r>
              <w:rPr>
                <w:rFonts w:ascii="Book Antiqua" w:hAnsi="Book Antiqua" w:eastAsia="Calibri" w:cs="Calibri"/>
                <w:color w:val="000000"/>
                <w:u w:color="000000"/>
                <w:lang w:eastAsia="en-IN" w:bidi="ta-IN"/>
              </w:rPr>
              <w:t>BMI in kg/m</w:t>
            </w:r>
            <w:r>
              <w:rPr>
                <w:rFonts w:ascii="Book Antiqua" w:hAnsi="Book Antiqua" w:eastAsia="Calibri" w:cs="Calibri"/>
                <w:color w:val="000000"/>
                <w:u w:color="000000"/>
                <w:vertAlign w:val="superscript"/>
                <w:lang w:eastAsia="en-IN" w:bidi="ta-IN"/>
              </w:rPr>
              <w:t>2</w:t>
            </w:r>
            <w:r>
              <w:rPr>
                <w:rFonts w:ascii="Book Antiqua" w:hAnsi="Book Antiqua" w:eastAsia="Calibri" w:cs="Calibri"/>
                <w:color w:val="000000"/>
                <w:u w:color="000000"/>
                <w:lang w:eastAsia="en-IN" w:bidi="ta-IN"/>
              </w:rPr>
              <w:t>, mean ± SD</w:t>
            </w:r>
          </w:p>
        </w:tc>
        <w:tc>
          <w:tcPr>
            <w:tcW w:w="943" w:type="pct"/>
          </w:tcPr>
          <w:p>
            <w:pPr>
              <w:pBdr>
                <w:top w:val="none" w:color="auto" w:sz="0" w:space="0"/>
                <w:left w:val="none" w:color="auto" w:sz="0" w:space="0"/>
                <w:bottom w:val="none" w:color="auto" w:sz="0" w:space="0"/>
                <w:right w:val="none" w:color="auto" w:sz="0" w:space="0"/>
                <w:between w:val="none" w:color="auto" w:sz="0" w:space="0"/>
              </w:pBdr>
              <w:spacing w:line="360" w:lineRule="auto"/>
              <w:contextualSpacing/>
              <w:jc w:val="both"/>
              <w:rPr>
                <w:rFonts w:ascii="Book Antiqua" w:hAnsi="Book Antiqua" w:eastAsia="Book Antiqua" w:cs="Book Antiqua"/>
                <w:color w:val="000000"/>
                <w:u w:color="000000"/>
                <w:lang w:eastAsia="en-IN" w:bidi="ta-IN"/>
              </w:rPr>
            </w:pPr>
            <w:r>
              <w:rPr>
                <w:rFonts w:ascii="Book Antiqua" w:hAnsi="Book Antiqua" w:eastAsia="Calibri" w:cs="Calibri"/>
                <w:color w:val="000000"/>
                <w:u w:color="000000"/>
                <w:lang w:eastAsia="en-IN" w:bidi="ta-IN"/>
              </w:rPr>
              <w:t>21.1 ± 4.4</w:t>
            </w:r>
          </w:p>
        </w:tc>
        <w:tc>
          <w:tcPr>
            <w:tcW w:w="1101" w:type="pct"/>
          </w:tcPr>
          <w:p>
            <w:pPr>
              <w:pBdr>
                <w:top w:val="none" w:color="auto" w:sz="0" w:space="0"/>
                <w:left w:val="none" w:color="auto" w:sz="0" w:space="0"/>
                <w:bottom w:val="none" w:color="auto" w:sz="0" w:space="0"/>
                <w:right w:val="none" w:color="auto" w:sz="0" w:space="0"/>
                <w:between w:val="none" w:color="auto" w:sz="0" w:space="0"/>
              </w:pBdr>
              <w:spacing w:line="360" w:lineRule="auto"/>
              <w:contextualSpacing/>
              <w:jc w:val="both"/>
              <w:rPr>
                <w:rFonts w:ascii="Book Antiqua" w:hAnsi="Book Antiqua" w:eastAsia="Book Antiqua" w:cs="Book Antiqua"/>
                <w:color w:val="000000"/>
                <w:u w:color="000000"/>
                <w:lang w:eastAsia="en-IN" w:bidi="ta-IN"/>
              </w:rPr>
            </w:pPr>
            <w:r>
              <w:rPr>
                <w:rFonts w:ascii="Book Antiqua" w:hAnsi="Book Antiqua" w:eastAsia="Calibri" w:cs="Calibri"/>
                <w:color w:val="000000"/>
                <w:u w:color="000000"/>
                <w:lang w:eastAsia="en-IN" w:bidi="ta-IN"/>
              </w:rPr>
              <w:t>20.1 ± 3.9</w:t>
            </w:r>
          </w:p>
        </w:tc>
        <w:tc>
          <w:tcPr>
            <w:tcW w:w="758" w:type="pct"/>
          </w:tcPr>
          <w:p>
            <w:pPr>
              <w:spacing w:line="360" w:lineRule="auto"/>
              <w:contextualSpacing/>
              <w:jc w:val="both"/>
              <w:rPr>
                <w:rFonts w:ascii="Book Antiqua" w:hAnsi="Book Antiqua" w:eastAsia="等线" w:cs="Latha"/>
                <w:lang w:bidi="ta-IN"/>
              </w:rPr>
            </w:pPr>
            <w:r>
              <w:rPr>
                <w:rFonts w:ascii="Book Antiqua" w:hAnsi="Book Antiqua" w:eastAsia="等线" w:cs="Latha"/>
                <w:lang w:bidi="ta-IN"/>
              </w:rPr>
              <w:t xml:space="preserve">0.388 </w:t>
            </w:r>
          </w:p>
        </w:tc>
      </w:tr>
      <w:tr>
        <w:tblPrEx>
          <w:tblBorders>
            <w:top w:val="single" w:color="7F7F7F" w:sz="4" w:space="0"/>
            <w:left w:val="none" w:color="auto" w:sz="0" w:space="0"/>
            <w:bottom w:val="single" w:color="7F7F7F"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98" w:type="pct"/>
          </w:tcPr>
          <w:p>
            <w:pPr>
              <w:spacing w:line="360" w:lineRule="auto"/>
              <w:contextualSpacing/>
              <w:jc w:val="both"/>
              <w:rPr>
                <w:rFonts w:ascii="Book Antiqua" w:hAnsi="Book Antiqua" w:eastAsia="等线" w:cs="Latha"/>
                <w:lang w:bidi="ta-IN"/>
              </w:rPr>
            </w:pPr>
            <w:r>
              <w:rPr>
                <w:rFonts w:ascii="Book Antiqua" w:hAnsi="Book Antiqua" w:eastAsia="等线" w:cs="Latha"/>
                <w:lang w:bidi="ta-IN"/>
              </w:rPr>
              <w:t xml:space="preserve">Weight loss, </w:t>
            </w:r>
            <w:r>
              <w:rPr>
                <w:rFonts w:ascii="Book Antiqua" w:hAnsi="Book Antiqua" w:eastAsia="Calibri" w:cs="Calibri"/>
                <w:i/>
                <w:color w:val="000000"/>
                <w:u w:color="000000"/>
                <w:lang w:eastAsia="en-IN" w:bidi="ta-IN"/>
              </w:rPr>
              <w:t>n</w:t>
            </w:r>
            <w:r>
              <w:rPr>
                <w:rFonts w:ascii="Book Antiqua" w:hAnsi="Book Antiqua" w:eastAsia="Calibri" w:cs="Calibri"/>
                <w:color w:val="000000"/>
                <w:u w:color="000000"/>
                <w:lang w:eastAsia="en-IN" w:bidi="ta-IN"/>
              </w:rPr>
              <w:t xml:space="preserve"> (%)</w:t>
            </w:r>
          </w:p>
        </w:tc>
        <w:tc>
          <w:tcPr>
            <w:tcW w:w="943" w:type="pct"/>
          </w:tcPr>
          <w:p>
            <w:pPr>
              <w:spacing w:line="360" w:lineRule="auto"/>
              <w:contextualSpacing/>
              <w:jc w:val="both"/>
              <w:rPr>
                <w:rFonts w:ascii="Book Antiqua" w:hAnsi="Book Antiqua" w:eastAsia="等线" w:cs="Latha"/>
                <w:lang w:bidi="ta-IN"/>
              </w:rPr>
            </w:pPr>
            <w:r>
              <w:rPr>
                <w:rFonts w:ascii="Book Antiqua" w:hAnsi="Book Antiqua" w:eastAsia="等线" w:cs="Latha"/>
                <w:lang w:bidi="ta-IN"/>
              </w:rPr>
              <w:t>15 (83.3)</w:t>
            </w:r>
          </w:p>
        </w:tc>
        <w:tc>
          <w:tcPr>
            <w:tcW w:w="1101" w:type="pct"/>
          </w:tcPr>
          <w:p>
            <w:pPr>
              <w:pBdr>
                <w:top w:val="none" w:color="auto" w:sz="0" w:space="0"/>
                <w:left w:val="none" w:color="auto" w:sz="0" w:space="0"/>
                <w:bottom w:val="none" w:color="auto" w:sz="0" w:space="0"/>
                <w:right w:val="none" w:color="auto" w:sz="0" w:space="0"/>
                <w:between w:val="none" w:color="auto" w:sz="0" w:space="0"/>
              </w:pBdr>
              <w:spacing w:line="360" w:lineRule="auto"/>
              <w:contextualSpacing/>
              <w:jc w:val="both"/>
              <w:rPr>
                <w:rFonts w:ascii="Book Antiqua" w:hAnsi="Book Antiqua" w:eastAsia="Book Antiqua" w:cs="Book Antiqua"/>
                <w:color w:val="000000"/>
                <w:u w:color="000000"/>
                <w:lang w:eastAsia="en-IN" w:bidi="ta-IN"/>
              </w:rPr>
            </w:pPr>
            <w:r>
              <w:rPr>
                <w:rFonts w:ascii="Book Antiqua" w:hAnsi="Book Antiqua" w:eastAsia="Calibri" w:cs="Calibri"/>
                <w:color w:val="000000"/>
                <w:u w:color="000000"/>
                <w:lang w:eastAsia="en-IN" w:bidi="ta-IN"/>
              </w:rPr>
              <w:t>32 (74.4)</w:t>
            </w:r>
          </w:p>
        </w:tc>
        <w:tc>
          <w:tcPr>
            <w:tcW w:w="758" w:type="pct"/>
          </w:tcPr>
          <w:p>
            <w:pPr>
              <w:spacing w:line="360" w:lineRule="auto"/>
              <w:contextualSpacing/>
              <w:jc w:val="both"/>
              <w:rPr>
                <w:rFonts w:ascii="Book Antiqua" w:hAnsi="Book Antiqua" w:eastAsia="等线" w:cs="Latha"/>
                <w:lang w:bidi="ta-IN"/>
              </w:rPr>
            </w:pPr>
            <w:r>
              <w:rPr>
                <w:rFonts w:ascii="Book Antiqua" w:hAnsi="Book Antiqua" w:eastAsia="等线" w:cs="Latha"/>
                <w:lang w:bidi="ta-IN"/>
              </w:rPr>
              <w:t>0.525</w:t>
            </w:r>
            <w:r>
              <w:rPr>
                <w:rFonts w:ascii="Book Antiqua" w:hAnsi="Book Antiqua" w:eastAsia="等线" w:cs="Latha"/>
                <w:vertAlign w:val="superscript"/>
                <w:lang w:bidi="ta-IN"/>
              </w:rPr>
              <w:t xml:space="preserve"> </w:t>
            </w:r>
          </w:p>
        </w:tc>
      </w:tr>
      <w:tr>
        <w:tblPrEx>
          <w:tblBorders>
            <w:top w:val="single" w:color="7F7F7F" w:sz="4" w:space="0"/>
            <w:left w:val="none" w:color="auto" w:sz="0" w:space="0"/>
            <w:bottom w:val="single" w:color="7F7F7F"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98" w:type="pct"/>
          </w:tcPr>
          <w:p>
            <w:pPr>
              <w:spacing w:line="360" w:lineRule="auto"/>
              <w:contextualSpacing/>
              <w:jc w:val="both"/>
              <w:rPr>
                <w:rFonts w:ascii="Book Antiqua" w:hAnsi="Book Antiqua" w:eastAsia="等线" w:cs="Latha"/>
                <w:lang w:bidi="ta-IN"/>
              </w:rPr>
            </w:pPr>
            <w:r>
              <w:rPr>
                <w:rFonts w:ascii="Book Antiqua" w:hAnsi="Book Antiqua" w:eastAsia="等线" w:cs="Latha"/>
                <w:lang w:bidi="ta-IN"/>
              </w:rPr>
              <w:t xml:space="preserve">Comorbidities, </w:t>
            </w:r>
            <w:r>
              <w:rPr>
                <w:rFonts w:ascii="Book Antiqua" w:hAnsi="Book Antiqua" w:eastAsia="Calibri" w:cs="Calibri"/>
                <w:i/>
                <w:color w:val="000000"/>
                <w:u w:color="000000"/>
                <w:lang w:eastAsia="en-IN" w:bidi="ta-IN"/>
              </w:rPr>
              <w:t>n</w:t>
            </w:r>
            <w:r>
              <w:rPr>
                <w:rFonts w:ascii="Book Antiqua" w:hAnsi="Book Antiqua" w:eastAsia="Calibri" w:cs="Calibri"/>
                <w:color w:val="000000"/>
                <w:u w:color="000000"/>
                <w:lang w:eastAsia="en-IN" w:bidi="ta-IN"/>
              </w:rPr>
              <w:t xml:space="preserve"> (%)</w:t>
            </w:r>
          </w:p>
        </w:tc>
        <w:tc>
          <w:tcPr>
            <w:tcW w:w="943" w:type="pct"/>
          </w:tcPr>
          <w:p>
            <w:pPr>
              <w:pBdr>
                <w:top w:val="none" w:color="auto" w:sz="0" w:space="0"/>
                <w:left w:val="none" w:color="auto" w:sz="0" w:space="0"/>
                <w:bottom w:val="none" w:color="auto" w:sz="0" w:space="0"/>
                <w:right w:val="none" w:color="auto" w:sz="0" w:space="0"/>
                <w:between w:val="none" w:color="auto" w:sz="0" w:space="0"/>
              </w:pBdr>
              <w:spacing w:line="360" w:lineRule="auto"/>
              <w:contextualSpacing/>
              <w:jc w:val="both"/>
              <w:rPr>
                <w:rFonts w:ascii="Book Antiqua" w:hAnsi="Book Antiqua" w:eastAsia="Book Antiqua" w:cs="Book Antiqua"/>
                <w:color w:val="000000"/>
                <w:u w:color="000000"/>
                <w:lang w:eastAsia="en-IN" w:bidi="ta-IN"/>
              </w:rPr>
            </w:pPr>
            <w:r>
              <w:rPr>
                <w:rFonts w:ascii="Book Antiqua" w:hAnsi="Book Antiqua" w:eastAsia="Calibri" w:cs="Calibri"/>
                <w:color w:val="000000"/>
                <w:u w:color="000000"/>
                <w:lang w:eastAsia="en-IN" w:bidi="ta-IN"/>
              </w:rPr>
              <w:t>11 (61.1)</w:t>
            </w:r>
          </w:p>
        </w:tc>
        <w:tc>
          <w:tcPr>
            <w:tcW w:w="1101" w:type="pct"/>
          </w:tcPr>
          <w:p>
            <w:pPr>
              <w:pBdr>
                <w:top w:val="none" w:color="auto" w:sz="0" w:space="0"/>
                <w:left w:val="none" w:color="auto" w:sz="0" w:space="0"/>
                <w:bottom w:val="none" w:color="auto" w:sz="0" w:space="0"/>
                <w:right w:val="none" w:color="auto" w:sz="0" w:space="0"/>
                <w:between w:val="none" w:color="auto" w:sz="0" w:space="0"/>
              </w:pBdr>
              <w:spacing w:line="360" w:lineRule="auto"/>
              <w:contextualSpacing/>
              <w:jc w:val="both"/>
              <w:rPr>
                <w:rFonts w:ascii="Book Antiqua" w:hAnsi="Book Antiqua" w:eastAsia="Book Antiqua" w:cs="Book Antiqua"/>
                <w:color w:val="000000"/>
                <w:u w:color="000000"/>
                <w:lang w:eastAsia="en-IN" w:bidi="ta-IN"/>
              </w:rPr>
            </w:pPr>
            <w:r>
              <w:rPr>
                <w:rFonts w:ascii="Book Antiqua" w:hAnsi="Book Antiqua" w:eastAsia="Calibri" w:cs="Calibri"/>
                <w:color w:val="000000"/>
                <w:u w:color="000000"/>
                <w:lang w:eastAsia="en-IN" w:bidi="ta-IN"/>
              </w:rPr>
              <w:t>22 (51.2)</w:t>
            </w:r>
          </w:p>
        </w:tc>
        <w:tc>
          <w:tcPr>
            <w:tcW w:w="758" w:type="pct"/>
          </w:tcPr>
          <w:p>
            <w:pPr>
              <w:spacing w:line="360" w:lineRule="auto"/>
              <w:contextualSpacing/>
              <w:jc w:val="both"/>
              <w:rPr>
                <w:rFonts w:ascii="Book Antiqua" w:hAnsi="Book Antiqua" w:eastAsia="等线" w:cs="Latha"/>
                <w:lang w:bidi="ta-IN"/>
              </w:rPr>
            </w:pPr>
            <w:r>
              <w:rPr>
                <w:rFonts w:ascii="Book Antiqua" w:hAnsi="Book Antiqua" w:eastAsia="等线" w:cs="Latha"/>
                <w:lang w:bidi="ta-IN"/>
              </w:rPr>
              <w:t>0.578</w:t>
            </w:r>
            <w:r>
              <w:rPr>
                <w:rFonts w:ascii="Book Antiqua" w:hAnsi="Book Antiqua" w:eastAsia="等线" w:cs="Latha"/>
                <w:vertAlign w:val="superscript"/>
                <w:lang w:bidi="ta-IN"/>
              </w:rPr>
              <w:t xml:space="preserve"> </w:t>
            </w:r>
          </w:p>
        </w:tc>
      </w:tr>
      <w:tr>
        <w:tblPrEx>
          <w:tblBorders>
            <w:top w:val="single" w:color="7F7F7F" w:sz="4" w:space="0"/>
            <w:left w:val="none" w:color="auto" w:sz="0" w:space="0"/>
            <w:bottom w:val="single" w:color="7F7F7F"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98" w:type="pct"/>
          </w:tcPr>
          <w:p>
            <w:pPr>
              <w:spacing w:line="360" w:lineRule="auto"/>
              <w:contextualSpacing/>
              <w:jc w:val="both"/>
              <w:rPr>
                <w:rFonts w:ascii="Book Antiqua" w:hAnsi="Book Antiqua" w:eastAsia="等线" w:cs="Latha"/>
                <w:lang w:bidi="ta-IN"/>
              </w:rPr>
            </w:pPr>
            <w:r>
              <w:rPr>
                <w:rFonts w:ascii="Book Antiqua" w:hAnsi="Book Antiqua" w:eastAsia="等线" w:cs="Latha"/>
                <w:lang w:bidi="ta-IN"/>
              </w:rPr>
              <w:t>Hemoglobin in gm%, mean ± SD</w:t>
            </w:r>
          </w:p>
        </w:tc>
        <w:tc>
          <w:tcPr>
            <w:tcW w:w="943" w:type="pct"/>
          </w:tcPr>
          <w:p>
            <w:pPr>
              <w:spacing w:line="360" w:lineRule="auto"/>
              <w:contextualSpacing/>
              <w:jc w:val="both"/>
              <w:rPr>
                <w:rFonts w:ascii="Book Antiqua" w:hAnsi="Book Antiqua" w:eastAsia="等线" w:cs="Latha"/>
                <w:lang w:bidi="ta-IN"/>
              </w:rPr>
            </w:pPr>
            <w:r>
              <w:rPr>
                <w:rFonts w:ascii="Book Antiqua" w:hAnsi="Book Antiqua" w:eastAsia="等线" w:cs="Latha"/>
                <w:lang w:bidi="ta-IN"/>
              </w:rPr>
              <w:t>10.7 ± 1.4</w:t>
            </w:r>
          </w:p>
        </w:tc>
        <w:tc>
          <w:tcPr>
            <w:tcW w:w="1101" w:type="pct"/>
          </w:tcPr>
          <w:p>
            <w:pPr>
              <w:spacing w:line="360" w:lineRule="auto"/>
              <w:contextualSpacing/>
              <w:jc w:val="both"/>
              <w:rPr>
                <w:rFonts w:ascii="Book Antiqua" w:hAnsi="Book Antiqua" w:eastAsia="等线" w:cs="Latha"/>
                <w:lang w:bidi="ta-IN"/>
              </w:rPr>
            </w:pPr>
            <w:r>
              <w:rPr>
                <w:rFonts w:ascii="Book Antiqua" w:hAnsi="Book Antiqua" w:eastAsia="等线" w:cs="Latha"/>
                <w:lang w:bidi="ta-IN"/>
              </w:rPr>
              <w:t>10.8 ± 1.5</w:t>
            </w:r>
          </w:p>
        </w:tc>
        <w:tc>
          <w:tcPr>
            <w:tcW w:w="758" w:type="pct"/>
          </w:tcPr>
          <w:p>
            <w:pPr>
              <w:spacing w:line="360" w:lineRule="auto"/>
              <w:contextualSpacing/>
              <w:jc w:val="both"/>
              <w:rPr>
                <w:rFonts w:ascii="Book Antiqua" w:hAnsi="Book Antiqua" w:eastAsia="等线" w:cs="Latha"/>
                <w:lang w:bidi="ta-IN"/>
              </w:rPr>
            </w:pPr>
            <w:r>
              <w:rPr>
                <w:rFonts w:ascii="Book Antiqua" w:hAnsi="Book Antiqua" w:eastAsia="等线" w:cs="Latha"/>
                <w:lang w:bidi="ta-IN"/>
              </w:rPr>
              <w:t>0.735</w:t>
            </w:r>
          </w:p>
        </w:tc>
      </w:tr>
      <w:tr>
        <w:tblPrEx>
          <w:tblBorders>
            <w:top w:val="single" w:color="7F7F7F" w:sz="4" w:space="0"/>
            <w:left w:val="none" w:color="auto" w:sz="0" w:space="0"/>
            <w:bottom w:val="single" w:color="7F7F7F"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98" w:type="pct"/>
          </w:tcPr>
          <w:p>
            <w:pPr>
              <w:pBdr>
                <w:top w:val="none" w:color="auto" w:sz="0" w:space="0"/>
                <w:left w:val="none" w:color="auto" w:sz="0" w:space="0"/>
                <w:bottom w:val="none" w:color="auto" w:sz="0" w:space="0"/>
                <w:right w:val="none" w:color="auto" w:sz="0" w:space="0"/>
                <w:between w:val="none" w:color="auto" w:sz="0" w:space="0"/>
              </w:pBdr>
              <w:spacing w:line="360" w:lineRule="auto"/>
              <w:contextualSpacing/>
              <w:jc w:val="both"/>
              <w:rPr>
                <w:rFonts w:ascii="Book Antiqua" w:hAnsi="Book Antiqua" w:eastAsia="Book Antiqua" w:cs="Book Antiqua"/>
                <w:color w:val="000000"/>
                <w:u w:color="000000"/>
                <w:lang w:eastAsia="en-IN" w:bidi="ta-IN"/>
              </w:rPr>
            </w:pPr>
            <w:r>
              <w:rPr>
                <w:rFonts w:ascii="Book Antiqua" w:hAnsi="Book Antiqua" w:eastAsia="Calibri" w:cs="Calibri"/>
                <w:color w:val="000000"/>
                <w:u w:color="000000"/>
                <w:lang w:eastAsia="en-IN" w:bidi="ta-IN"/>
              </w:rPr>
              <w:t>Preoperative serum bilirubin (mg/dL), median (IQR)</w:t>
            </w:r>
          </w:p>
        </w:tc>
        <w:tc>
          <w:tcPr>
            <w:tcW w:w="943" w:type="pct"/>
          </w:tcPr>
          <w:p>
            <w:pPr>
              <w:spacing w:line="360" w:lineRule="auto"/>
              <w:contextualSpacing/>
              <w:jc w:val="both"/>
              <w:rPr>
                <w:rFonts w:ascii="Book Antiqua" w:hAnsi="Book Antiqua" w:eastAsia="等线" w:cs="Latha"/>
                <w:lang w:bidi="ta-IN"/>
              </w:rPr>
            </w:pPr>
            <w:r>
              <w:rPr>
                <w:rFonts w:ascii="Book Antiqua" w:hAnsi="Book Antiqua" w:eastAsia="等线" w:cs="Latha"/>
                <w:lang w:bidi="ta-IN"/>
              </w:rPr>
              <w:t>2 (1.8-6)</w:t>
            </w:r>
          </w:p>
        </w:tc>
        <w:tc>
          <w:tcPr>
            <w:tcW w:w="1101" w:type="pct"/>
          </w:tcPr>
          <w:p>
            <w:pPr>
              <w:spacing w:line="360" w:lineRule="auto"/>
              <w:contextualSpacing/>
              <w:jc w:val="both"/>
              <w:rPr>
                <w:rFonts w:ascii="Book Antiqua" w:hAnsi="Book Antiqua" w:eastAsia="等线" w:cs="Latha"/>
                <w:lang w:bidi="ta-IN"/>
              </w:rPr>
            </w:pPr>
            <w:r>
              <w:rPr>
                <w:rFonts w:ascii="Book Antiqua" w:hAnsi="Book Antiqua" w:eastAsia="等线" w:cs="Latha"/>
                <w:lang w:bidi="ta-IN"/>
              </w:rPr>
              <w:t>3 (1-7)</w:t>
            </w:r>
          </w:p>
        </w:tc>
        <w:tc>
          <w:tcPr>
            <w:tcW w:w="758" w:type="pct"/>
          </w:tcPr>
          <w:p>
            <w:pPr>
              <w:spacing w:line="360" w:lineRule="auto"/>
              <w:contextualSpacing/>
              <w:jc w:val="both"/>
              <w:rPr>
                <w:rFonts w:ascii="Book Antiqua" w:hAnsi="Book Antiqua" w:eastAsia="等线" w:cs="Latha"/>
                <w:lang w:bidi="ta-IN"/>
              </w:rPr>
            </w:pPr>
            <w:r>
              <w:rPr>
                <w:rFonts w:ascii="Book Antiqua" w:hAnsi="Book Antiqua" w:eastAsia="等线" w:cs="Latha"/>
                <w:lang w:bidi="ta-IN"/>
              </w:rPr>
              <w:t xml:space="preserve">0.848 </w:t>
            </w:r>
          </w:p>
        </w:tc>
      </w:tr>
      <w:tr>
        <w:tblPrEx>
          <w:tblBorders>
            <w:top w:val="single" w:color="7F7F7F" w:sz="4" w:space="0"/>
            <w:left w:val="none" w:color="auto" w:sz="0" w:space="0"/>
            <w:bottom w:val="single" w:color="7F7F7F"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98" w:type="pct"/>
          </w:tcPr>
          <w:p>
            <w:pPr>
              <w:pBdr>
                <w:top w:val="none" w:color="auto" w:sz="0" w:space="0"/>
                <w:left w:val="none" w:color="auto" w:sz="0" w:space="0"/>
                <w:bottom w:val="none" w:color="auto" w:sz="0" w:space="0"/>
                <w:right w:val="none" w:color="auto" w:sz="0" w:space="0"/>
                <w:between w:val="none" w:color="auto" w:sz="0" w:space="0"/>
              </w:pBdr>
              <w:spacing w:line="360" w:lineRule="auto"/>
              <w:contextualSpacing/>
              <w:jc w:val="both"/>
              <w:rPr>
                <w:rFonts w:ascii="Book Antiqua" w:hAnsi="Book Antiqua" w:eastAsia="Book Antiqua" w:cs="Book Antiqua"/>
                <w:color w:val="000000"/>
                <w:u w:color="000000"/>
                <w:lang w:eastAsia="en-IN" w:bidi="ta-IN"/>
              </w:rPr>
            </w:pPr>
            <w:r>
              <w:rPr>
                <w:rFonts w:ascii="Book Antiqua" w:hAnsi="Book Antiqua" w:eastAsia="Calibri" w:cs="Calibri"/>
                <w:color w:val="000000"/>
                <w:u w:color="000000"/>
                <w:lang w:eastAsia="en-IN" w:bidi="ta-IN"/>
              </w:rPr>
              <w:t xml:space="preserve">Preoperative biliary drainage, </w:t>
            </w:r>
            <w:r>
              <w:rPr>
                <w:rFonts w:ascii="Book Antiqua" w:hAnsi="Book Antiqua" w:eastAsia="Calibri" w:cs="Calibri"/>
                <w:i/>
                <w:color w:val="000000"/>
                <w:u w:color="000000"/>
                <w:lang w:eastAsia="en-IN" w:bidi="ta-IN"/>
              </w:rPr>
              <w:t>n</w:t>
            </w:r>
            <w:r>
              <w:rPr>
                <w:rFonts w:ascii="Book Antiqua" w:hAnsi="Book Antiqua" w:eastAsia="Calibri" w:cs="Calibri"/>
                <w:color w:val="000000"/>
                <w:u w:color="000000"/>
                <w:lang w:eastAsia="en-IN" w:bidi="ta-IN"/>
              </w:rPr>
              <w:t xml:space="preserve"> (%)</w:t>
            </w:r>
          </w:p>
        </w:tc>
        <w:tc>
          <w:tcPr>
            <w:tcW w:w="943" w:type="pct"/>
          </w:tcPr>
          <w:p>
            <w:pPr>
              <w:pBdr>
                <w:top w:val="none" w:color="auto" w:sz="0" w:space="0"/>
                <w:left w:val="none" w:color="auto" w:sz="0" w:space="0"/>
                <w:bottom w:val="none" w:color="auto" w:sz="0" w:space="0"/>
                <w:right w:val="none" w:color="auto" w:sz="0" w:space="0"/>
                <w:between w:val="none" w:color="auto" w:sz="0" w:space="0"/>
              </w:pBdr>
              <w:spacing w:line="360" w:lineRule="auto"/>
              <w:contextualSpacing/>
              <w:jc w:val="both"/>
              <w:rPr>
                <w:rFonts w:ascii="Book Antiqua" w:hAnsi="Book Antiqua" w:eastAsia="Book Antiqua" w:cs="Book Antiqua"/>
                <w:color w:val="000000"/>
                <w:u w:color="000000"/>
                <w:lang w:eastAsia="en-IN" w:bidi="ta-IN"/>
              </w:rPr>
            </w:pPr>
            <w:r>
              <w:rPr>
                <w:rFonts w:ascii="Book Antiqua" w:hAnsi="Book Antiqua" w:eastAsia="Calibri" w:cs="Calibri"/>
                <w:color w:val="000000"/>
                <w:u w:color="000000"/>
                <w:lang w:eastAsia="en-IN" w:bidi="ta-IN"/>
              </w:rPr>
              <w:t>10 (55.6)</w:t>
            </w:r>
          </w:p>
        </w:tc>
        <w:tc>
          <w:tcPr>
            <w:tcW w:w="1101" w:type="pct"/>
          </w:tcPr>
          <w:p>
            <w:pPr>
              <w:pBdr>
                <w:top w:val="none" w:color="auto" w:sz="0" w:space="0"/>
                <w:left w:val="none" w:color="auto" w:sz="0" w:space="0"/>
                <w:bottom w:val="none" w:color="auto" w:sz="0" w:space="0"/>
                <w:right w:val="none" w:color="auto" w:sz="0" w:space="0"/>
                <w:between w:val="none" w:color="auto" w:sz="0" w:space="0"/>
              </w:pBdr>
              <w:spacing w:line="360" w:lineRule="auto"/>
              <w:contextualSpacing/>
              <w:jc w:val="both"/>
              <w:rPr>
                <w:rFonts w:ascii="Book Antiqua" w:hAnsi="Book Antiqua" w:eastAsia="Book Antiqua" w:cs="Book Antiqua"/>
                <w:color w:val="000000"/>
                <w:u w:color="000000"/>
                <w:lang w:eastAsia="en-IN" w:bidi="ta-IN"/>
              </w:rPr>
            </w:pPr>
            <w:r>
              <w:rPr>
                <w:rFonts w:ascii="Book Antiqua" w:hAnsi="Book Antiqua" w:eastAsia="Calibri" w:cs="Calibri"/>
                <w:color w:val="000000"/>
                <w:u w:color="000000"/>
                <w:lang w:eastAsia="en-IN" w:bidi="ta-IN"/>
              </w:rPr>
              <w:t>22 (51.2)</w:t>
            </w:r>
          </w:p>
        </w:tc>
        <w:tc>
          <w:tcPr>
            <w:tcW w:w="758" w:type="pct"/>
          </w:tcPr>
          <w:p>
            <w:pPr>
              <w:spacing w:line="360" w:lineRule="auto"/>
              <w:contextualSpacing/>
              <w:jc w:val="both"/>
              <w:rPr>
                <w:rFonts w:ascii="Book Antiqua" w:hAnsi="Book Antiqua" w:eastAsia="等线" w:cs="Latha"/>
                <w:lang w:bidi="ta-IN"/>
              </w:rPr>
            </w:pPr>
            <w:r>
              <w:rPr>
                <w:rFonts w:ascii="Book Antiqua" w:hAnsi="Book Antiqua" w:eastAsia="等线" w:cs="Latha"/>
                <w:lang w:bidi="ta-IN"/>
              </w:rPr>
              <w:t xml:space="preserve">0.786 </w:t>
            </w:r>
          </w:p>
        </w:tc>
      </w:tr>
      <w:tr>
        <w:tblPrEx>
          <w:tblBorders>
            <w:top w:val="single" w:color="7F7F7F" w:sz="4" w:space="0"/>
            <w:left w:val="none" w:color="auto" w:sz="0" w:space="0"/>
            <w:bottom w:val="single" w:color="7F7F7F"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98" w:type="pct"/>
          </w:tcPr>
          <w:p>
            <w:pPr>
              <w:spacing w:line="360" w:lineRule="auto"/>
              <w:contextualSpacing/>
              <w:jc w:val="both"/>
              <w:rPr>
                <w:rFonts w:ascii="Book Antiqua" w:hAnsi="Book Antiqua" w:eastAsia="等线" w:cs="Latha"/>
                <w:lang w:bidi="ta-IN"/>
              </w:rPr>
            </w:pPr>
            <w:r>
              <w:rPr>
                <w:rFonts w:ascii="Book Antiqua" w:hAnsi="Book Antiqua" w:eastAsia="等线" w:cs="Latha"/>
                <w:lang w:bidi="ta-IN"/>
              </w:rPr>
              <w:t>Pancreatic attenuation index, mean ± SD</w:t>
            </w:r>
          </w:p>
        </w:tc>
        <w:tc>
          <w:tcPr>
            <w:tcW w:w="943" w:type="pct"/>
          </w:tcPr>
          <w:p>
            <w:pPr>
              <w:spacing w:line="360" w:lineRule="auto"/>
              <w:contextualSpacing/>
              <w:jc w:val="both"/>
              <w:rPr>
                <w:rFonts w:ascii="Book Antiqua" w:hAnsi="Book Antiqua" w:eastAsia="等线" w:cs="Latha"/>
                <w:lang w:bidi="ta-IN"/>
              </w:rPr>
            </w:pPr>
            <w:r>
              <w:rPr>
                <w:rFonts w:ascii="Book Antiqua" w:hAnsi="Book Antiqua" w:eastAsia="等线" w:cs="Latha"/>
                <w:lang w:bidi="ta-IN"/>
              </w:rPr>
              <w:t>0.8 ± 0.2</w:t>
            </w:r>
          </w:p>
        </w:tc>
        <w:tc>
          <w:tcPr>
            <w:tcW w:w="1101" w:type="pct"/>
          </w:tcPr>
          <w:p>
            <w:pPr>
              <w:spacing w:line="360" w:lineRule="auto"/>
              <w:contextualSpacing/>
              <w:jc w:val="both"/>
              <w:rPr>
                <w:rFonts w:ascii="Book Antiqua" w:hAnsi="Book Antiqua" w:eastAsia="等线" w:cs="Latha"/>
                <w:lang w:bidi="ta-IN"/>
              </w:rPr>
            </w:pPr>
            <w:r>
              <w:rPr>
                <w:rFonts w:ascii="Book Antiqua" w:hAnsi="Book Antiqua" w:eastAsia="等线" w:cs="Latha"/>
                <w:lang w:bidi="ta-IN"/>
              </w:rPr>
              <w:t>0.8 ± 0.2</w:t>
            </w:r>
          </w:p>
        </w:tc>
        <w:tc>
          <w:tcPr>
            <w:tcW w:w="758" w:type="pct"/>
          </w:tcPr>
          <w:p>
            <w:pPr>
              <w:spacing w:line="360" w:lineRule="auto"/>
              <w:contextualSpacing/>
              <w:jc w:val="both"/>
              <w:rPr>
                <w:rFonts w:ascii="Book Antiqua" w:hAnsi="Book Antiqua" w:eastAsia="等线" w:cs="Latha"/>
                <w:lang w:bidi="ta-IN"/>
              </w:rPr>
            </w:pPr>
            <w:r>
              <w:rPr>
                <w:rFonts w:ascii="Book Antiqua" w:hAnsi="Book Antiqua" w:eastAsia="等线" w:cs="Latha"/>
                <w:lang w:bidi="ta-IN"/>
              </w:rPr>
              <w:t>0.741</w:t>
            </w:r>
          </w:p>
        </w:tc>
      </w:tr>
      <w:tr>
        <w:tblPrEx>
          <w:tblBorders>
            <w:top w:val="single" w:color="7F7F7F" w:sz="4" w:space="0"/>
            <w:left w:val="none" w:color="auto" w:sz="0" w:space="0"/>
            <w:bottom w:val="single" w:color="7F7F7F"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98" w:type="pct"/>
          </w:tcPr>
          <w:p>
            <w:pPr>
              <w:spacing w:line="360" w:lineRule="auto"/>
              <w:contextualSpacing/>
              <w:jc w:val="both"/>
              <w:rPr>
                <w:rFonts w:ascii="Book Antiqua" w:hAnsi="Book Antiqua" w:eastAsia="等线" w:cs="Latha"/>
                <w:lang w:bidi="ta-IN"/>
              </w:rPr>
            </w:pPr>
            <w:r>
              <w:rPr>
                <w:rFonts w:ascii="Book Antiqua" w:hAnsi="Book Antiqua" w:eastAsia="等线" w:cs="Latha"/>
                <w:lang w:bidi="ta-IN"/>
              </w:rPr>
              <w:t>Pancreatic enhancement ratio, mean ± SD</w:t>
            </w:r>
          </w:p>
        </w:tc>
        <w:tc>
          <w:tcPr>
            <w:tcW w:w="943" w:type="pct"/>
          </w:tcPr>
          <w:p>
            <w:pPr>
              <w:spacing w:line="360" w:lineRule="auto"/>
              <w:contextualSpacing/>
              <w:jc w:val="both"/>
              <w:rPr>
                <w:rFonts w:ascii="Book Antiqua" w:hAnsi="Book Antiqua" w:eastAsia="等线" w:cs="Latha"/>
                <w:lang w:bidi="ta-IN"/>
              </w:rPr>
            </w:pPr>
            <w:r>
              <w:rPr>
                <w:rFonts w:ascii="Book Antiqua" w:hAnsi="Book Antiqua" w:eastAsia="等线" w:cs="Latha"/>
                <w:lang w:bidi="ta-IN"/>
              </w:rPr>
              <w:t>0.6 ± 0.2</w:t>
            </w:r>
          </w:p>
        </w:tc>
        <w:tc>
          <w:tcPr>
            <w:tcW w:w="1101" w:type="pct"/>
          </w:tcPr>
          <w:p>
            <w:pPr>
              <w:spacing w:line="360" w:lineRule="auto"/>
              <w:contextualSpacing/>
              <w:jc w:val="both"/>
              <w:rPr>
                <w:rFonts w:ascii="Book Antiqua" w:hAnsi="Book Antiqua" w:eastAsia="等线" w:cs="Latha"/>
                <w:lang w:bidi="ta-IN"/>
              </w:rPr>
            </w:pPr>
            <w:r>
              <w:rPr>
                <w:rFonts w:ascii="Book Antiqua" w:hAnsi="Book Antiqua" w:eastAsia="等线" w:cs="Latha"/>
                <w:lang w:bidi="ta-IN"/>
              </w:rPr>
              <w:t>0.8 ± 0.4</w:t>
            </w:r>
          </w:p>
        </w:tc>
        <w:tc>
          <w:tcPr>
            <w:tcW w:w="758" w:type="pct"/>
          </w:tcPr>
          <w:p>
            <w:pPr>
              <w:spacing w:line="360" w:lineRule="auto"/>
              <w:contextualSpacing/>
              <w:jc w:val="both"/>
              <w:rPr>
                <w:rFonts w:ascii="Book Antiqua" w:hAnsi="Book Antiqua" w:eastAsia="等线" w:cs="Latha"/>
                <w:lang w:bidi="ta-IN"/>
              </w:rPr>
            </w:pPr>
            <w:r>
              <w:rPr>
                <w:rFonts w:ascii="Book Antiqua" w:hAnsi="Book Antiqua" w:eastAsia="等线" w:cs="Latha"/>
                <w:lang w:bidi="ta-IN"/>
              </w:rPr>
              <w:t xml:space="preserve">0.006 </w:t>
            </w:r>
          </w:p>
        </w:tc>
      </w:tr>
    </w:tbl>
    <w:p>
      <w:pPr>
        <w:spacing w:line="360" w:lineRule="auto"/>
        <w:jc w:val="both"/>
        <w:rPr>
          <w:rFonts w:ascii="Book Antiqua" w:hAnsi="Book Antiqua" w:eastAsia="等线" w:cs="Latha"/>
          <w:lang w:eastAsia="zh-CN" w:bidi="ta-IN"/>
        </w:rPr>
      </w:pPr>
      <w:r>
        <w:rPr>
          <w:rFonts w:ascii="Book Antiqua" w:hAnsi="Book Antiqua" w:eastAsia="等线" w:cs="Latha"/>
          <w:lang w:eastAsia="zh-CN" w:bidi="ta-IN"/>
        </w:rPr>
        <w:t>CR-POPF</w:t>
      </w:r>
      <w:r>
        <w:rPr>
          <w:rFonts w:hint="eastAsia" w:ascii="Book Antiqua" w:hAnsi="Book Antiqua" w:eastAsia="等线" w:cs="Latha"/>
          <w:lang w:eastAsia="zh-CN" w:bidi="ta-IN"/>
        </w:rPr>
        <w:t>:</w:t>
      </w:r>
      <w:r>
        <w:rPr>
          <w:rFonts w:ascii="Book Antiqua" w:hAnsi="Book Antiqua" w:eastAsia="等线" w:cs="Latha"/>
          <w:lang w:eastAsia="zh-CN" w:bidi="ta-IN"/>
        </w:rPr>
        <w:t xml:space="preserve"> </w:t>
      </w:r>
      <w:r>
        <w:rPr>
          <w:rFonts w:hint="eastAsia" w:ascii="Book Antiqua" w:hAnsi="Book Antiqua" w:eastAsia="等线" w:cs="Latha"/>
          <w:lang w:eastAsia="zh-CN" w:bidi="ta-IN"/>
        </w:rPr>
        <w:t>C</w:t>
      </w:r>
      <w:r>
        <w:rPr>
          <w:rFonts w:ascii="Book Antiqua" w:hAnsi="Book Antiqua" w:eastAsia="等线" w:cs="Latha"/>
          <w:lang w:eastAsia="zh-CN" w:bidi="ta-IN"/>
        </w:rPr>
        <w:t>linically relevant postoperative pancreatic fistula;</w:t>
      </w:r>
      <w:r>
        <w:rPr>
          <w:rFonts w:ascii="Book Antiqua" w:hAnsi="Book Antiqua" w:eastAsia="等线" w:cs="Latha"/>
          <w:lang w:bidi="ta-IN"/>
        </w:rPr>
        <w:t xml:space="preserve"> gm: Gram; IQR</w:t>
      </w:r>
      <w:r>
        <w:rPr>
          <w:rFonts w:hint="eastAsia" w:ascii="Book Antiqua" w:hAnsi="Book Antiqua" w:eastAsia="等线" w:cs="Latha"/>
          <w:lang w:eastAsia="zh-CN" w:bidi="ta-IN"/>
        </w:rPr>
        <w:t xml:space="preserve">: </w:t>
      </w:r>
      <w:r>
        <w:rPr>
          <w:rFonts w:ascii="Book Antiqua" w:hAnsi="Book Antiqua" w:eastAsia="等线" w:cs="Latha"/>
          <w:lang w:bidi="ta-IN"/>
        </w:rPr>
        <w:t>Inter quartile range</w:t>
      </w:r>
      <w:r>
        <w:rPr>
          <w:rFonts w:hint="eastAsia" w:ascii="Book Antiqua" w:hAnsi="Book Antiqua" w:eastAsia="等线" w:cs="Latha"/>
          <w:lang w:eastAsia="zh-CN" w:bidi="ta-IN"/>
        </w:rPr>
        <w:t>;</w:t>
      </w:r>
      <w:r>
        <w:rPr>
          <w:rFonts w:ascii="Book Antiqua" w:hAnsi="Book Antiqua" w:eastAsia="等线" w:cs="Latha"/>
          <w:lang w:bidi="ta-IN"/>
        </w:rPr>
        <w:t xml:space="preserve"> SD</w:t>
      </w:r>
      <w:r>
        <w:rPr>
          <w:rFonts w:hint="eastAsia" w:ascii="Book Antiqua" w:hAnsi="Book Antiqua" w:eastAsia="等线" w:cs="Latha"/>
          <w:lang w:eastAsia="zh-CN" w:bidi="ta-IN"/>
        </w:rPr>
        <w:t xml:space="preserve">: </w:t>
      </w:r>
      <w:r>
        <w:rPr>
          <w:rFonts w:ascii="Book Antiqua" w:hAnsi="Book Antiqua" w:eastAsia="等线" w:cs="Latha"/>
          <w:lang w:bidi="ta-IN"/>
        </w:rPr>
        <w:t>Standard deviation</w:t>
      </w:r>
      <w:r>
        <w:rPr>
          <w:rFonts w:hint="eastAsia" w:ascii="Book Antiqua" w:hAnsi="Book Antiqua" w:eastAsia="等线" w:cs="Latha"/>
          <w:lang w:eastAsia="zh-CN" w:bidi="ta-IN"/>
        </w:rPr>
        <w:t>.</w:t>
      </w:r>
    </w:p>
    <w:p>
      <w:pPr>
        <w:pBdr>
          <w:top w:val="none" w:color="auto" w:sz="0" w:space="0"/>
          <w:left w:val="none" w:color="auto" w:sz="0" w:space="0"/>
          <w:bottom w:val="none" w:color="auto" w:sz="0" w:space="0"/>
          <w:right w:val="none" w:color="auto" w:sz="0" w:space="0"/>
          <w:between w:val="none" w:color="auto" w:sz="0" w:space="0"/>
        </w:pBdr>
        <w:spacing w:line="360" w:lineRule="auto"/>
        <w:jc w:val="both"/>
        <w:rPr>
          <w:rFonts w:ascii="Book Antiqua" w:hAnsi="Book Antiqua" w:eastAsia="Calibri" w:cs="Calibri"/>
          <w:b/>
          <w:bCs/>
          <w:color w:val="000000"/>
          <w:u w:color="000000"/>
          <w:lang w:eastAsia="en-IN" w:bidi="ta-IN"/>
        </w:rPr>
      </w:pPr>
      <w:r>
        <w:rPr>
          <w:rFonts w:ascii="Book Antiqua" w:hAnsi="Book Antiqua" w:eastAsia="等线" w:cs="Latha"/>
          <w:lang w:bidi="ta-IN"/>
        </w:rPr>
        <w:br w:type="page"/>
      </w:r>
      <w:r>
        <w:rPr>
          <w:rFonts w:ascii="Book Antiqua" w:hAnsi="Book Antiqua" w:eastAsia="等线" w:cs="Latha"/>
          <w:b/>
          <w:bCs/>
          <w:lang w:bidi="ta-IN"/>
        </w:rPr>
        <w:t>Table 2 Correlation between preoperative radiological indices and histopathological pancreatic neck fat fraction and fibrosis</w:t>
      </w:r>
    </w:p>
    <w:tbl>
      <w:tblPr>
        <w:tblStyle w:val="11"/>
        <w:tblW w:w="5000" w:type="pct"/>
        <w:tblInd w:w="0" w:type="dxa"/>
        <w:tblBorders>
          <w:top w:val="single" w:color="7F7F7F" w:sz="4" w:space="0"/>
          <w:left w:val="none" w:color="auto" w:sz="0" w:space="0"/>
          <w:bottom w:val="single" w:color="7F7F7F"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915"/>
        <w:gridCol w:w="1915"/>
        <w:gridCol w:w="1915"/>
        <w:gridCol w:w="1915"/>
        <w:gridCol w:w="1916"/>
      </w:tblGrid>
      <w:tr>
        <w:tblPrEx>
          <w:tblBorders>
            <w:top w:val="single" w:color="7F7F7F" w:sz="4" w:space="0"/>
            <w:left w:val="none" w:color="auto" w:sz="0" w:space="0"/>
            <w:bottom w:val="single" w:color="7F7F7F"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000" w:type="pct"/>
            <w:tcBorders>
              <w:top w:val="single" w:color="7F7F7F" w:sz="4" w:space="0"/>
              <w:bottom w:val="single" w:color="auto" w:sz="4" w:space="0"/>
            </w:tcBorders>
          </w:tcPr>
          <w:p>
            <w:pPr>
              <w:spacing w:line="360" w:lineRule="auto"/>
              <w:jc w:val="both"/>
              <w:rPr>
                <w:rFonts w:ascii="Book Antiqua" w:hAnsi="Book Antiqua" w:eastAsia="等线" w:cs="Latha"/>
                <w:b/>
                <w:lang w:bidi="ta-IN"/>
              </w:rPr>
            </w:pPr>
          </w:p>
        </w:tc>
        <w:tc>
          <w:tcPr>
            <w:tcW w:w="1000" w:type="pct"/>
            <w:tcBorders>
              <w:top w:val="single" w:color="7F7F7F" w:sz="4" w:space="0"/>
              <w:bottom w:val="single" w:color="auto" w:sz="4" w:space="0"/>
            </w:tcBorders>
          </w:tcPr>
          <w:p>
            <w:pPr>
              <w:spacing w:line="360" w:lineRule="auto"/>
              <w:jc w:val="both"/>
              <w:rPr>
                <w:rFonts w:ascii="Book Antiqua" w:hAnsi="Book Antiqua" w:eastAsia="等线" w:cs="Latha"/>
                <w:b/>
                <w:lang w:bidi="ta-IN"/>
              </w:rPr>
            </w:pPr>
            <w:r>
              <w:rPr>
                <w:rFonts w:ascii="Book Antiqua" w:hAnsi="Book Antiqua" w:eastAsia="等线" w:cs="Latha"/>
                <w:b/>
                <w:lang w:bidi="ta-IN"/>
              </w:rPr>
              <w:t>Pancreatic attenuation index</w:t>
            </w:r>
          </w:p>
        </w:tc>
        <w:tc>
          <w:tcPr>
            <w:tcW w:w="1000" w:type="pct"/>
            <w:tcBorders>
              <w:top w:val="single" w:color="7F7F7F" w:sz="4" w:space="0"/>
              <w:bottom w:val="single" w:color="auto" w:sz="4" w:space="0"/>
            </w:tcBorders>
          </w:tcPr>
          <w:p>
            <w:pPr>
              <w:spacing w:line="360" w:lineRule="auto"/>
              <w:jc w:val="both"/>
              <w:rPr>
                <w:rFonts w:ascii="Book Antiqua" w:hAnsi="Book Antiqua" w:eastAsia="等线" w:cs="Latha"/>
                <w:b/>
                <w:lang w:bidi="ta-IN"/>
              </w:rPr>
            </w:pPr>
            <w:r>
              <w:rPr>
                <w:rFonts w:ascii="Book Antiqua" w:hAnsi="Book Antiqua" w:eastAsia="等线" w:cs="Latha"/>
                <w:b/>
                <w:lang w:bidi="ta-IN"/>
              </w:rPr>
              <w:t>Pancreatic enhancement ratio</w:t>
            </w:r>
          </w:p>
        </w:tc>
        <w:tc>
          <w:tcPr>
            <w:tcW w:w="1000" w:type="pct"/>
            <w:tcBorders>
              <w:top w:val="single" w:color="7F7F7F" w:sz="4" w:space="0"/>
              <w:bottom w:val="single" w:color="auto" w:sz="4" w:space="0"/>
            </w:tcBorders>
          </w:tcPr>
          <w:p>
            <w:pPr>
              <w:spacing w:line="360" w:lineRule="auto"/>
              <w:jc w:val="both"/>
              <w:rPr>
                <w:rFonts w:ascii="Book Antiqua" w:hAnsi="Book Antiqua" w:eastAsia="等线" w:cs="Latha"/>
                <w:b/>
                <w:lang w:bidi="ta-IN"/>
              </w:rPr>
            </w:pPr>
            <w:r>
              <w:rPr>
                <w:rFonts w:ascii="Book Antiqua" w:hAnsi="Book Antiqua" w:eastAsia="等线" w:cs="Latha"/>
                <w:b/>
                <w:lang w:bidi="ta-IN"/>
              </w:rPr>
              <w:t>Pancreatic fat fraction</w:t>
            </w:r>
          </w:p>
        </w:tc>
        <w:tc>
          <w:tcPr>
            <w:tcW w:w="1000" w:type="pct"/>
            <w:tcBorders>
              <w:top w:val="single" w:color="7F7F7F" w:sz="4" w:space="0"/>
              <w:bottom w:val="single" w:color="auto" w:sz="4" w:space="0"/>
            </w:tcBorders>
          </w:tcPr>
          <w:p>
            <w:pPr>
              <w:spacing w:line="360" w:lineRule="auto"/>
              <w:jc w:val="both"/>
              <w:rPr>
                <w:rFonts w:ascii="Book Antiqua" w:hAnsi="Book Antiqua" w:eastAsia="等线" w:cs="Latha"/>
                <w:b/>
                <w:lang w:bidi="ta-IN"/>
              </w:rPr>
            </w:pPr>
            <w:r>
              <w:rPr>
                <w:rFonts w:ascii="Book Antiqua" w:hAnsi="Book Antiqua" w:eastAsia="等线" w:cs="Latha"/>
                <w:b/>
                <w:lang w:bidi="ta-IN"/>
              </w:rPr>
              <w:t>Fibrosis score</w:t>
            </w:r>
          </w:p>
        </w:tc>
      </w:tr>
      <w:tr>
        <w:tblPrEx>
          <w:tblBorders>
            <w:top w:val="single" w:color="7F7F7F" w:sz="4" w:space="0"/>
            <w:left w:val="none" w:color="auto" w:sz="0" w:space="0"/>
            <w:bottom w:val="single" w:color="7F7F7F"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000" w:type="pct"/>
            <w:tcBorders>
              <w:top w:val="single" w:color="auto" w:sz="4" w:space="0"/>
            </w:tcBorders>
          </w:tcPr>
          <w:p>
            <w:pPr>
              <w:spacing w:line="360" w:lineRule="auto"/>
              <w:jc w:val="both"/>
              <w:rPr>
                <w:rFonts w:ascii="Book Antiqua" w:hAnsi="Book Antiqua" w:eastAsia="等线" w:cs="Latha"/>
                <w:lang w:bidi="ta-IN"/>
              </w:rPr>
            </w:pPr>
            <w:r>
              <w:rPr>
                <w:rFonts w:ascii="Book Antiqua" w:hAnsi="Book Antiqua" w:eastAsia="等线" w:cs="Latha"/>
                <w:lang w:bidi="ta-IN"/>
              </w:rPr>
              <w:t>Pancreatic attenuation index</w:t>
            </w:r>
          </w:p>
        </w:tc>
        <w:tc>
          <w:tcPr>
            <w:tcW w:w="1000" w:type="pct"/>
            <w:tcBorders>
              <w:top w:val="single" w:color="auto" w:sz="4" w:space="0"/>
            </w:tcBorders>
          </w:tcPr>
          <w:p>
            <w:pPr>
              <w:spacing w:line="360" w:lineRule="auto"/>
              <w:jc w:val="both"/>
              <w:rPr>
                <w:rFonts w:ascii="Book Antiqua" w:hAnsi="Book Antiqua" w:eastAsia="等线" w:cs="Latha"/>
                <w:lang w:bidi="ta-IN"/>
              </w:rPr>
            </w:pPr>
            <w:r>
              <w:rPr>
                <w:rFonts w:ascii="Book Antiqua" w:hAnsi="Book Antiqua" w:eastAsia="等线" w:cs="Latha"/>
                <w:lang w:bidi="ta-IN"/>
              </w:rPr>
              <w:t>-</w:t>
            </w:r>
          </w:p>
        </w:tc>
        <w:tc>
          <w:tcPr>
            <w:tcW w:w="1000" w:type="pct"/>
            <w:tcBorders>
              <w:top w:val="single" w:color="auto" w:sz="4" w:space="0"/>
            </w:tcBorders>
          </w:tcPr>
          <w:p>
            <w:pPr>
              <w:spacing w:line="360" w:lineRule="auto"/>
              <w:jc w:val="both"/>
              <w:rPr>
                <w:rFonts w:ascii="Book Antiqua" w:hAnsi="Book Antiqua" w:eastAsia="等线" w:cs="Latha"/>
                <w:lang w:bidi="ta-IN"/>
              </w:rPr>
            </w:pPr>
            <w:r>
              <w:rPr>
                <w:rFonts w:ascii="Book Antiqua" w:hAnsi="Book Antiqua" w:eastAsia="等线" w:cs="Latha"/>
                <w:bCs/>
                <w:lang w:bidi="ta-IN"/>
              </w:rPr>
              <w:t>-0.27</w:t>
            </w:r>
            <w:r>
              <w:rPr>
                <w:rFonts w:ascii="Book Antiqua" w:hAnsi="Book Antiqua" w:eastAsia="等线" w:cs="Latha"/>
                <w:vertAlign w:val="superscript"/>
                <w:lang w:bidi="ta-IN"/>
              </w:rPr>
              <w:t xml:space="preserve"> a</w:t>
            </w:r>
            <w:r>
              <w:rPr>
                <w:rFonts w:ascii="Book Antiqua" w:hAnsi="Book Antiqua" w:eastAsia="等线" w:cs="Latha"/>
                <w:bCs/>
                <w:lang w:bidi="ta-IN"/>
              </w:rPr>
              <w:t xml:space="preserve"> </w:t>
            </w:r>
          </w:p>
        </w:tc>
        <w:tc>
          <w:tcPr>
            <w:tcW w:w="1000" w:type="pct"/>
            <w:tcBorders>
              <w:top w:val="single" w:color="auto" w:sz="4" w:space="0"/>
            </w:tcBorders>
          </w:tcPr>
          <w:p>
            <w:pPr>
              <w:spacing w:line="360" w:lineRule="auto"/>
              <w:jc w:val="both"/>
              <w:rPr>
                <w:rFonts w:ascii="Book Antiqua" w:hAnsi="Book Antiqua" w:eastAsia="等线" w:cs="Latha"/>
                <w:lang w:bidi="ta-IN"/>
              </w:rPr>
            </w:pPr>
            <w:r>
              <w:rPr>
                <w:rFonts w:ascii="Book Antiqua" w:hAnsi="Book Antiqua" w:eastAsia="等线" w:cs="Latha"/>
                <w:lang w:bidi="ta-IN"/>
              </w:rPr>
              <w:t>0.21</w:t>
            </w:r>
          </w:p>
        </w:tc>
        <w:tc>
          <w:tcPr>
            <w:tcW w:w="1000" w:type="pct"/>
            <w:tcBorders>
              <w:top w:val="single" w:color="auto" w:sz="4" w:space="0"/>
            </w:tcBorders>
          </w:tcPr>
          <w:p>
            <w:pPr>
              <w:spacing w:line="360" w:lineRule="auto"/>
              <w:jc w:val="both"/>
              <w:rPr>
                <w:rFonts w:ascii="Book Antiqua" w:hAnsi="Book Antiqua" w:eastAsia="等线" w:cs="Latha"/>
                <w:lang w:bidi="ta-IN"/>
              </w:rPr>
            </w:pPr>
            <w:r>
              <w:rPr>
                <w:rFonts w:ascii="Book Antiqua" w:hAnsi="Book Antiqua" w:eastAsia="等线" w:cs="Latha"/>
                <w:lang w:bidi="ta-IN"/>
              </w:rPr>
              <w:t>-0.20</w:t>
            </w:r>
          </w:p>
        </w:tc>
      </w:tr>
      <w:tr>
        <w:tblPrEx>
          <w:tblBorders>
            <w:top w:val="single" w:color="7F7F7F" w:sz="4" w:space="0"/>
            <w:left w:val="none" w:color="auto" w:sz="0" w:space="0"/>
            <w:bottom w:val="single" w:color="7F7F7F"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000" w:type="pct"/>
          </w:tcPr>
          <w:p>
            <w:pPr>
              <w:spacing w:line="360" w:lineRule="auto"/>
              <w:jc w:val="both"/>
              <w:rPr>
                <w:rFonts w:ascii="Book Antiqua" w:hAnsi="Book Antiqua" w:eastAsia="等线" w:cs="Latha"/>
                <w:lang w:bidi="ta-IN"/>
              </w:rPr>
            </w:pPr>
            <w:r>
              <w:rPr>
                <w:rFonts w:ascii="Book Antiqua" w:hAnsi="Book Antiqua" w:eastAsia="等线" w:cs="Latha"/>
                <w:lang w:bidi="ta-IN"/>
              </w:rPr>
              <w:t>Pancreatic enhancement ratio</w:t>
            </w:r>
          </w:p>
        </w:tc>
        <w:tc>
          <w:tcPr>
            <w:tcW w:w="1000" w:type="pct"/>
          </w:tcPr>
          <w:p>
            <w:pPr>
              <w:spacing w:line="360" w:lineRule="auto"/>
              <w:jc w:val="both"/>
              <w:rPr>
                <w:rFonts w:ascii="Book Antiqua" w:hAnsi="Book Antiqua" w:eastAsia="等线" w:cs="Latha"/>
                <w:lang w:bidi="ta-IN"/>
              </w:rPr>
            </w:pPr>
            <w:r>
              <w:rPr>
                <w:rFonts w:ascii="Book Antiqua" w:hAnsi="Book Antiqua" w:eastAsia="等线" w:cs="Latha"/>
                <w:bCs/>
                <w:lang w:bidi="ta-IN"/>
              </w:rPr>
              <w:t>-0.27</w:t>
            </w:r>
            <w:r>
              <w:rPr>
                <w:rFonts w:ascii="Book Antiqua" w:hAnsi="Book Antiqua" w:eastAsia="等线" w:cs="Latha"/>
                <w:vertAlign w:val="superscript"/>
                <w:lang w:bidi="ta-IN"/>
              </w:rPr>
              <w:t>a</w:t>
            </w:r>
            <w:r>
              <w:rPr>
                <w:rFonts w:ascii="Book Antiqua" w:hAnsi="Book Antiqua" w:eastAsia="等线" w:cs="Latha"/>
                <w:bCs/>
                <w:lang w:bidi="ta-IN"/>
              </w:rPr>
              <w:t xml:space="preserve"> </w:t>
            </w:r>
          </w:p>
        </w:tc>
        <w:tc>
          <w:tcPr>
            <w:tcW w:w="1000" w:type="pct"/>
          </w:tcPr>
          <w:p>
            <w:pPr>
              <w:spacing w:line="360" w:lineRule="auto"/>
              <w:jc w:val="both"/>
              <w:rPr>
                <w:rFonts w:ascii="Book Antiqua" w:hAnsi="Book Antiqua" w:eastAsia="等线" w:cs="Latha"/>
                <w:lang w:bidi="ta-IN"/>
              </w:rPr>
            </w:pPr>
            <w:r>
              <w:rPr>
                <w:rFonts w:ascii="Book Antiqua" w:hAnsi="Book Antiqua" w:eastAsia="等线" w:cs="Latha"/>
                <w:lang w:bidi="ta-IN"/>
              </w:rPr>
              <w:t>-</w:t>
            </w:r>
          </w:p>
        </w:tc>
        <w:tc>
          <w:tcPr>
            <w:tcW w:w="1000" w:type="pct"/>
          </w:tcPr>
          <w:p>
            <w:pPr>
              <w:spacing w:line="360" w:lineRule="auto"/>
              <w:jc w:val="both"/>
              <w:rPr>
                <w:rFonts w:ascii="Book Antiqua" w:hAnsi="Book Antiqua" w:eastAsia="等线" w:cs="Latha"/>
                <w:lang w:bidi="ta-IN"/>
              </w:rPr>
            </w:pPr>
            <w:r>
              <w:rPr>
                <w:rFonts w:ascii="Book Antiqua" w:hAnsi="Book Antiqua" w:eastAsia="等线" w:cs="Latha"/>
                <w:lang w:bidi="ta-IN"/>
              </w:rPr>
              <w:t>-0.10</w:t>
            </w:r>
          </w:p>
        </w:tc>
        <w:tc>
          <w:tcPr>
            <w:tcW w:w="1000" w:type="pct"/>
          </w:tcPr>
          <w:p>
            <w:pPr>
              <w:spacing w:line="360" w:lineRule="auto"/>
              <w:jc w:val="both"/>
              <w:rPr>
                <w:rFonts w:ascii="Book Antiqua" w:hAnsi="Book Antiqua" w:eastAsia="等线" w:cs="Latha"/>
                <w:lang w:bidi="ta-IN"/>
              </w:rPr>
            </w:pPr>
            <w:r>
              <w:rPr>
                <w:rFonts w:ascii="Book Antiqua" w:hAnsi="Book Antiqua" w:eastAsia="等线" w:cs="Latha"/>
                <w:bCs/>
                <w:lang w:bidi="ta-IN"/>
              </w:rPr>
              <w:t>0.50</w:t>
            </w:r>
            <w:r>
              <w:rPr>
                <w:rFonts w:ascii="Book Antiqua" w:hAnsi="Book Antiqua" w:eastAsia="等线" w:cs="Latha"/>
                <w:vertAlign w:val="superscript"/>
                <w:lang w:bidi="ta-IN"/>
              </w:rPr>
              <w:t xml:space="preserve"> b</w:t>
            </w:r>
          </w:p>
        </w:tc>
      </w:tr>
      <w:tr>
        <w:tblPrEx>
          <w:tblBorders>
            <w:top w:val="single" w:color="7F7F7F" w:sz="4" w:space="0"/>
            <w:left w:val="none" w:color="auto" w:sz="0" w:space="0"/>
            <w:bottom w:val="single" w:color="7F7F7F"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000" w:type="pct"/>
          </w:tcPr>
          <w:p>
            <w:pPr>
              <w:spacing w:line="360" w:lineRule="auto"/>
              <w:jc w:val="both"/>
              <w:rPr>
                <w:rFonts w:ascii="Book Antiqua" w:hAnsi="Book Antiqua" w:eastAsia="等线" w:cs="Latha"/>
                <w:lang w:bidi="ta-IN"/>
              </w:rPr>
            </w:pPr>
            <w:r>
              <w:rPr>
                <w:rFonts w:ascii="Book Antiqua" w:hAnsi="Book Antiqua" w:eastAsia="等线" w:cs="Latha"/>
                <w:lang w:bidi="ta-IN"/>
              </w:rPr>
              <w:t>Pancreatic fat fraction</w:t>
            </w:r>
          </w:p>
        </w:tc>
        <w:tc>
          <w:tcPr>
            <w:tcW w:w="1000" w:type="pct"/>
          </w:tcPr>
          <w:p>
            <w:pPr>
              <w:spacing w:line="360" w:lineRule="auto"/>
              <w:jc w:val="both"/>
              <w:rPr>
                <w:rFonts w:ascii="Book Antiqua" w:hAnsi="Book Antiqua" w:eastAsia="等线" w:cs="Latha"/>
                <w:lang w:bidi="ta-IN"/>
              </w:rPr>
            </w:pPr>
            <w:r>
              <w:rPr>
                <w:rFonts w:ascii="Book Antiqua" w:hAnsi="Book Antiqua" w:eastAsia="等线" w:cs="Latha"/>
                <w:lang w:bidi="ta-IN"/>
              </w:rPr>
              <w:t xml:space="preserve">0.21 </w:t>
            </w:r>
          </w:p>
          <w:p>
            <w:pPr>
              <w:spacing w:line="360" w:lineRule="auto"/>
              <w:jc w:val="both"/>
              <w:rPr>
                <w:rFonts w:ascii="Book Antiqua" w:hAnsi="Book Antiqua" w:eastAsia="等线" w:cs="Latha"/>
                <w:lang w:bidi="ta-IN"/>
              </w:rPr>
            </w:pPr>
          </w:p>
        </w:tc>
        <w:tc>
          <w:tcPr>
            <w:tcW w:w="1000" w:type="pct"/>
          </w:tcPr>
          <w:p>
            <w:pPr>
              <w:spacing w:line="360" w:lineRule="auto"/>
              <w:jc w:val="both"/>
              <w:rPr>
                <w:rFonts w:ascii="Book Antiqua" w:hAnsi="Book Antiqua" w:eastAsia="等线" w:cs="Latha"/>
                <w:lang w:bidi="ta-IN"/>
              </w:rPr>
            </w:pPr>
            <w:r>
              <w:rPr>
                <w:rFonts w:ascii="Book Antiqua" w:hAnsi="Book Antiqua" w:eastAsia="等线" w:cs="Latha"/>
                <w:lang w:bidi="ta-IN"/>
              </w:rPr>
              <w:t>-0.10</w:t>
            </w:r>
          </w:p>
        </w:tc>
        <w:tc>
          <w:tcPr>
            <w:tcW w:w="1000" w:type="pct"/>
          </w:tcPr>
          <w:p>
            <w:pPr>
              <w:spacing w:line="360" w:lineRule="auto"/>
              <w:jc w:val="both"/>
              <w:rPr>
                <w:rFonts w:ascii="Book Antiqua" w:hAnsi="Book Antiqua" w:eastAsia="等线" w:cs="Latha"/>
                <w:lang w:bidi="ta-IN"/>
              </w:rPr>
            </w:pPr>
            <w:r>
              <w:rPr>
                <w:rFonts w:ascii="Book Antiqua" w:hAnsi="Book Antiqua" w:eastAsia="等线" w:cs="Latha"/>
                <w:lang w:bidi="ta-IN"/>
              </w:rPr>
              <w:t>-</w:t>
            </w:r>
          </w:p>
        </w:tc>
        <w:tc>
          <w:tcPr>
            <w:tcW w:w="1000" w:type="pct"/>
          </w:tcPr>
          <w:p>
            <w:pPr>
              <w:spacing w:line="360" w:lineRule="auto"/>
              <w:jc w:val="both"/>
              <w:rPr>
                <w:rFonts w:ascii="Book Antiqua" w:hAnsi="Book Antiqua" w:eastAsia="等线" w:cs="Latha"/>
                <w:lang w:bidi="ta-IN"/>
              </w:rPr>
            </w:pPr>
            <w:r>
              <w:rPr>
                <w:rFonts w:ascii="Book Antiqua" w:hAnsi="Book Antiqua" w:eastAsia="等线" w:cs="Latha"/>
                <w:lang w:bidi="ta-IN"/>
              </w:rPr>
              <w:t xml:space="preserve">-0.12 </w:t>
            </w:r>
          </w:p>
        </w:tc>
      </w:tr>
      <w:tr>
        <w:tblPrEx>
          <w:tblBorders>
            <w:top w:val="single" w:color="7F7F7F" w:sz="4" w:space="0"/>
            <w:left w:val="none" w:color="auto" w:sz="0" w:space="0"/>
            <w:bottom w:val="single" w:color="7F7F7F"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000" w:type="pct"/>
          </w:tcPr>
          <w:p>
            <w:pPr>
              <w:spacing w:line="360" w:lineRule="auto"/>
              <w:jc w:val="both"/>
              <w:rPr>
                <w:rFonts w:ascii="Book Antiqua" w:hAnsi="Book Antiqua" w:eastAsia="等线" w:cs="Latha"/>
                <w:lang w:bidi="ta-IN"/>
              </w:rPr>
            </w:pPr>
            <w:r>
              <w:rPr>
                <w:rFonts w:ascii="Book Antiqua" w:hAnsi="Book Antiqua" w:eastAsia="等线" w:cs="Latha"/>
                <w:lang w:bidi="ta-IN"/>
              </w:rPr>
              <w:t>Fibrosis score</w:t>
            </w:r>
          </w:p>
        </w:tc>
        <w:tc>
          <w:tcPr>
            <w:tcW w:w="1000" w:type="pct"/>
          </w:tcPr>
          <w:p>
            <w:pPr>
              <w:spacing w:line="360" w:lineRule="auto"/>
              <w:jc w:val="both"/>
              <w:rPr>
                <w:rFonts w:ascii="Book Antiqua" w:hAnsi="Book Antiqua" w:eastAsia="等线" w:cs="Latha"/>
                <w:lang w:bidi="ta-IN"/>
              </w:rPr>
            </w:pPr>
            <w:r>
              <w:rPr>
                <w:rFonts w:ascii="Book Antiqua" w:hAnsi="Book Antiqua" w:eastAsia="等线" w:cs="Latha"/>
                <w:lang w:bidi="ta-IN"/>
              </w:rPr>
              <w:t xml:space="preserve">-0.20 </w:t>
            </w:r>
          </w:p>
        </w:tc>
        <w:tc>
          <w:tcPr>
            <w:tcW w:w="1000" w:type="pct"/>
          </w:tcPr>
          <w:p>
            <w:pPr>
              <w:spacing w:line="360" w:lineRule="auto"/>
              <w:jc w:val="both"/>
              <w:rPr>
                <w:rFonts w:ascii="Book Antiqua" w:hAnsi="Book Antiqua" w:eastAsia="等线" w:cs="Latha"/>
                <w:lang w:bidi="ta-IN"/>
              </w:rPr>
            </w:pPr>
            <w:r>
              <w:rPr>
                <w:rFonts w:ascii="Book Antiqua" w:hAnsi="Book Antiqua" w:eastAsia="等线" w:cs="Latha"/>
                <w:bCs/>
                <w:lang w:bidi="ta-IN"/>
              </w:rPr>
              <w:t>0.50</w:t>
            </w:r>
            <w:r>
              <w:rPr>
                <w:rFonts w:ascii="Book Antiqua" w:hAnsi="Book Antiqua" w:eastAsia="等线" w:cs="Latha"/>
                <w:vertAlign w:val="superscript"/>
                <w:lang w:bidi="ta-IN"/>
              </w:rPr>
              <w:t>b</w:t>
            </w:r>
            <w:r>
              <w:rPr>
                <w:rFonts w:ascii="Book Antiqua" w:hAnsi="Book Antiqua" w:eastAsia="等线" w:cs="Latha"/>
                <w:bCs/>
                <w:lang w:bidi="ta-IN"/>
              </w:rPr>
              <w:t xml:space="preserve"> </w:t>
            </w:r>
          </w:p>
        </w:tc>
        <w:tc>
          <w:tcPr>
            <w:tcW w:w="1000" w:type="pct"/>
          </w:tcPr>
          <w:p>
            <w:pPr>
              <w:spacing w:line="360" w:lineRule="auto"/>
              <w:jc w:val="both"/>
              <w:rPr>
                <w:rFonts w:ascii="Book Antiqua" w:hAnsi="Book Antiqua" w:eastAsia="等线" w:cs="Latha"/>
                <w:lang w:bidi="ta-IN"/>
              </w:rPr>
            </w:pPr>
            <w:r>
              <w:rPr>
                <w:rFonts w:ascii="Book Antiqua" w:hAnsi="Book Antiqua" w:eastAsia="等线" w:cs="Latha"/>
                <w:lang w:bidi="ta-IN"/>
              </w:rPr>
              <w:t xml:space="preserve">-0.12 </w:t>
            </w:r>
          </w:p>
        </w:tc>
        <w:tc>
          <w:tcPr>
            <w:tcW w:w="1000" w:type="pct"/>
          </w:tcPr>
          <w:p>
            <w:pPr>
              <w:spacing w:line="360" w:lineRule="auto"/>
              <w:jc w:val="both"/>
              <w:rPr>
                <w:rFonts w:ascii="Book Antiqua" w:hAnsi="Book Antiqua" w:eastAsia="等线" w:cs="Latha"/>
                <w:lang w:bidi="ta-IN"/>
              </w:rPr>
            </w:pPr>
            <w:r>
              <w:rPr>
                <w:rFonts w:ascii="Book Antiqua" w:hAnsi="Book Antiqua" w:eastAsia="等线" w:cs="Latha"/>
                <w:lang w:bidi="ta-IN"/>
              </w:rPr>
              <w:t>-</w:t>
            </w:r>
          </w:p>
        </w:tc>
      </w:tr>
    </w:tbl>
    <w:p>
      <w:pPr>
        <w:spacing w:line="360" w:lineRule="auto"/>
        <w:jc w:val="both"/>
        <w:rPr>
          <w:rFonts w:hint="eastAsia" w:ascii="Book Antiqua" w:hAnsi="Book Antiqua" w:eastAsia="等线" w:cs="Latha"/>
          <w:lang w:val="en-US" w:eastAsia="zh-CN" w:bidi="ta-IN"/>
        </w:rPr>
      </w:pPr>
      <w:r>
        <w:rPr>
          <w:rFonts w:ascii="Book Antiqua" w:hAnsi="Book Antiqua" w:eastAsia="等线" w:cs="Latha"/>
          <w:vertAlign w:val="superscript"/>
          <w:lang w:bidi="ta-IN"/>
        </w:rPr>
        <w:t>a</w:t>
      </w:r>
      <w:bookmarkStart w:id="2" w:name="_GoBack"/>
      <w:bookmarkStart w:id="1" w:name="OLE_LINK2"/>
      <w:r>
        <w:rPr>
          <w:rFonts w:ascii="Book Antiqua" w:hAnsi="Book Antiqua" w:eastAsia="等线" w:cs="Latha"/>
          <w:lang w:bidi="ta-IN"/>
        </w:rPr>
        <w:t>Correlation is significant at the 0.05 level (2</w:t>
      </w:r>
      <w:bookmarkEnd w:id="2"/>
      <w:bookmarkEnd w:id="1"/>
      <w:r>
        <w:rPr>
          <w:rFonts w:ascii="Book Antiqua" w:hAnsi="Book Antiqua" w:eastAsia="等线" w:cs="Latha"/>
          <w:lang w:bidi="ta-IN"/>
        </w:rPr>
        <w:t>-tailed)</w:t>
      </w:r>
      <w:r>
        <w:rPr>
          <w:rFonts w:hint="eastAsia" w:ascii="Book Antiqua" w:hAnsi="Book Antiqua" w:eastAsia="等线" w:cs="Latha"/>
          <w:lang w:val="en-US" w:eastAsia="zh-CN" w:bidi="ta-IN"/>
        </w:rPr>
        <w:t>.</w:t>
      </w:r>
    </w:p>
    <w:p>
      <w:pPr>
        <w:spacing w:line="360" w:lineRule="auto"/>
        <w:jc w:val="both"/>
        <w:rPr>
          <w:rFonts w:ascii="Book Antiqua" w:hAnsi="Book Antiqua" w:eastAsia="等线" w:cs="Latha"/>
          <w:lang w:eastAsia="zh-CN" w:bidi="ta-IN"/>
        </w:rPr>
      </w:pPr>
      <w:r>
        <w:rPr>
          <w:rFonts w:ascii="Book Antiqua" w:hAnsi="Book Antiqua" w:eastAsia="等线" w:cs="Latha"/>
          <w:lang w:eastAsia="zh-CN" w:bidi="ta-IN"/>
        </w:rPr>
        <w:t xml:space="preserve"> </w:t>
      </w:r>
      <w:r>
        <w:rPr>
          <w:rFonts w:ascii="Book Antiqua" w:hAnsi="Book Antiqua" w:eastAsia="等线" w:cs="Latha"/>
          <w:vertAlign w:val="superscript"/>
          <w:lang w:bidi="ta-IN"/>
        </w:rPr>
        <w:t>b</w:t>
      </w:r>
      <w:r>
        <w:rPr>
          <w:rFonts w:ascii="Book Antiqua" w:hAnsi="Book Antiqua" w:eastAsia="等线" w:cs="Latha"/>
          <w:lang w:bidi="ta-IN"/>
        </w:rPr>
        <w:t>Correlation is significant at the 0.01 level (2-tailed)</w:t>
      </w:r>
      <w:r>
        <w:rPr>
          <w:rFonts w:hint="eastAsia" w:ascii="Book Antiqua" w:hAnsi="Book Antiqua" w:eastAsia="等线" w:cs="Latha"/>
          <w:lang w:eastAsia="zh-CN" w:bidi="ta-IN"/>
        </w:rPr>
        <w:t>.</w:t>
      </w:r>
    </w:p>
    <w:p>
      <w:pPr>
        <w:pBdr>
          <w:top w:val="none" w:color="auto" w:sz="0" w:space="0"/>
          <w:left w:val="none" w:color="auto" w:sz="0" w:space="0"/>
          <w:bottom w:val="none" w:color="auto" w:sz="0" w:space="0"/>
          <w:right w:val="none" w:color="auto" w:sz="0" w:space="0"/>
          <w:between w:val="none" w:color="auto" w:sz="0" w:space="0"/>
        </w:pBdr>
        <w:spacing w:line="360" w:lineRule="auto"/>
        <w:jc w:val="both"/>
        <w:rPr>
          <w:rFonts w:ascii="Book Antiqua" w:hAnsi="Book Antiqua" w:eastAsia="Calibri" w:cs="Calibri"/>
          <w:b/>
          <w:bCs/>
          <w:color w:val="000000"/>
          <w:u w:color="000000"/>
          <w:lang w:eastAsia="en-IN" w:bidi="ta-IN"/>
        </w:rPr>
      </w:pPr>
    </w:p>
    <w:p>
      <w:pPr>
        <w:pBdr>
          <w:top w:val="none" w:color="auto" w:sz="0" w:space="0"/>
          <w:left w:val="none" w:color="auto" w:sz="0" w:space="0"/>
          <w:bottom w:val="none" w:color="auto" w:sz="0" w:space="0"/>
          <w:right w:val="none" w:color="auto" w:sz="0" w:space="0"/>
          <w:between w:val="none" w:color="auto" w:sz="0" w:space="0"/>
        </w:pBdr>
        <w:spacing w:line="360" w:lineRule="auto"/>
        <w:jc w:val="both"/>
        <w:rPr>
          <w:rFonts w:ascii="Book Antiqua" w:hAnsi="Book Antiqua" w:eastAsia="Calibri" w:cs="Calibri"/>
          <w:b/>
          <w:bCs/>
          <w:color w:val="000000"/>
          <w:u w:color="000000"/>
          <w:lang w:eastAsia="en-IN" w:bidi="ta-IN"/>
        </w:rPr>
      </w:pPr>
    </w:p>
    <w:p>
      <w:pPr>
        <w:pBdr>
          <w:top w:val="none" w:color="auto" w:sz="0" w:space="0"/>
          <w:left w:val="none" w:color="auto" w:sz="0" w:space="0"/>
          <w:bottom w:val="none" w:color="auto" w:sz="0" w:space="0"/>
          <w:right w:val="none" w:color="auto" w:sz="0" w:space="0"/>
          <w:between w:val="none" w:color="auto" w:sz="0" w:space="0"/>
        </w:pBdr>
        <w:spacing w:line="360" w:lineRule="auto"/>
        <w:jc w:val="both"/>
        <w:rPr>
          <w:rFonts w:ascii="Book Antiqua" w:hAnsi="Book Antiqua" w:eastAsia="Calibri" w:cs="Calibri"/>
          <w:b/>
          <w:bCs/>
          <w:color w:val="000000"/>
          <w:u w:color="000000"/>
          <w:lang w:eastAsia="en-IN" w:bidi="ta-IN"/>
        </w:rPr>
      </w:pPr>
    </w:p>
    <w:p>
      <w:pPr>
        <w:pBdr>
          <w:top w:val="none" w:color="auto" w:sz="0" w:space="0"/>
          <w:left w:val="none" w:color="auto" w:sz="0" w:space="0"/>
          <w:bottom w:val="none" w:color="auto" w:sz="0" w:space="0"/>
          <w:right w:val="none" w:color="auto" w:sz="0" w:space="0"/>
          <w:between w:val="none" w:color="auto" w:sz="0" w:space="0"/>
        </w:pBdr>
        <w:spacing w:line="360" w:lineRule="auto"/>
        <w:jc w:val="both"/>
        <w:rPr>
          <w:rFonts w:ascii="Book Antiqua" w:hAnsi="Book Antiqua" w:eastAsia="等线" w:cs="Latha"/>
          <w:lang w:bidi="ta-IN"/>
        </w:rPr>
      </w:pPr>
      <w:r>
        <w:rPr>
          <w:rFonts w:ascii="Book Antiqua" w:hAnsi="Book Antiqua" w:eastAsia="Calibri" w:cs="Calibri"/>
          <w:b/>
          <w:bCs/>
          <w:color w:val="000000"/>
          <w:u w:color="000000"/>
          <w:lang w:eastAsia="en-IN" w:bidi="ta-IN"/>
        </w:rPr>
        <w:br w:type="page"/>
      </w:r>
      <w:r>
        <w:rPr>
          <w:rFonts w:ascii="Book Antiqua" w:hAnsi="Book Antiqua" w:eastAsia="Calibri" w:cs="Calibri"/>
          <w:b/>
          <w:bCs/>
          <w:color w:val="000000"/>
          <w:u w:color="000000"/>
          <w:lang w:eastAsia="en-IN" w:bidi="ta-IN"/>
        </w:rPr>
        <w:t>Table 3 Comparison of perioperative and pathological parameters between patients with and without clinically relevant postoperative pancreatic fistula</w:t>
      </w:r>
    </w:p>
    <w:tbl>
      <w:tblPr>
        <w:tblStyle w:val="11"/>
        <w:tblW w:w="5000" w:type="pct"/>
        <w:tblInd w:w="0" w:type="dxa"/>
        <w:tblBorders>
          <w:top w:val="single" w:color="7F7F7F" w:sz="4" w:space="0"/>
          <w:left w:val="none" w:color="auto" w:sz="0" w:space="0"/>
          <w:bottom w:val="single" w:color="7F7F7F"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510"/>
        <w:gridCol w:w="1973"/>
        <w:gridCol w:w="1973"/>
        <w:gridCol w:w="1120"/>
      </w:tblGrid>
      <w:tr>
        <w:tblPrEx>
          <w:tblBorders>
            <w:top w:val="single" w:color="7F7F7F" w:sz="4" w:space="0"/>
            <w:left w:val="none" w:color="auto" w:sz="0" w:space="0"/>
            <w:bottom w:val="single" w:color="7F7F7F"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pct"/>
            <w:tcBorders>
              <w:top w:val="single" w:color="7F7F7F" w:sz="4" w:space="0"/>
              <w:bottom w:val="single" w:color="auto" w:sz="6" w:space="0"/>
            </w:tcBorders>
          </w:tcPr>
          <w:p>
            <w:pPr>
              <w:spacing w:line="360" w:lineRule="auto"/>
              <w:contextualSpacing/>
              <w:jc w:val="both"/>
              <w:rPr>
                <w:rFonts w:ascii="Book Antiqua" w:hAnsi="Book Antiqua" w:eastAsia="等线" w:cs="Latha"/>
                <w:b/>
                <w:lang w:bidi="ta-IN"/>
              </w:rPr>
            </w:pPr>
            <w:r>
              <w:rPr>
                <w:rFonts w:ascii="Book Antiqua" w:hAnsi="Book Antiqua" w:eastAsia="等线" w:cs="Latha"/>
                <w:b/>
                <w:lang w:bidi="ta-IN"/>
              </w:rPr>
              <w:t>Parameter</w:t>
            </w:r>
          </w:p>
        </w:tc>
        <w:tc>
          <w:tcPr>
            <w:tcW w:w="0" w:type="pct"/>
            <w:tcBorders>
              <w:top w:val="single" w:color="7F7F7F" w:sz="4" w:space="0"/>
              <w:bottom w:val="single" w:color="auto" w:sz="6" w:space="0"/>
            </w:tcBorders>
          </w:tcPr>
          <w:p>
            <w:pPr>
              <w:pBdr>
                <w:top w:val="none" w:color="auto" w:sz="0" w:space="0"/>
                <w:left w:val="none" w:color="auto" w:sz="0" w:space="0"/>
                <w:bottom w:val="none" w:color="auto" w:sz="0" w:space="0"/>
                <w:right w:val="none" w:color="auto" w:sz="0" w:space="0"/>
                <w:between w:val="none" w:color="auto" w:sz="0" w:space="0"/>
              </w:pBdr>
              <w:spacing w:line="360" w:lineRule="auto"/>
              <w:contextualSpacing/>
              <w:jc w:val="both"/>
              <w:rPr>
                <w:rFonts w:ascii="Book Antiqua" w:hAnsi="Book Antiqua" w:eastAsia="等线" w:cs="Latha"/>
                <w:b/>
                <w:lang w:bidi="ta-IN"/>
              </w:rPr>
            </w:pPr>
            <w:r>
              <w:rPr>
                <w:rFonts w:ascii="Book Antiqua" w:hAnsi="Book Antiqua" w:eastAsia="Calibri" w:cs="Calibri"/>
                <w:b/>
                <w:color w:val="000000"/>
                <w:u w:color="000000"/>
                <w:lang w:eastAsia="en-IN" w:bidi="ta-IN"/>
              </w:rPr>
              <w:t xml:space="preserve">CR-POPF, </w:t>
            </w:r>
            <w:r>
              <w:rPr>
                <w:rFonts w:ascii="Book Antiqua" w:hAnsi="Book Antiqua" w:eastAsia="等线" w:cs="Latha"/>
                <w:b/>
                <w:i/>
                <w:lang w:bidi="ta-IN"/>
              </w:rPr>
              <w:t>n</w:t>
            </w:r>
            <w:r>
              <w:rPr>
                <w:rFonts w:ascii="Book Antiqua" w:hAnsi="Book Antiqua" w:eastAsia="等线" w:cs="Latha"/>
                <w:b/>
                <w:lang w:bidi="ta-IN"/>
              </w:rPr>
              <w:t xml:space="preserve"> = 18</w:t>
            </w:r>
          </w:p>
        </w:tc>
        <w:tc>
          <w:tcPr>
            <w:tcW w:w="0" w:type="pct"/>
            <w:tcBorders>
              <w:top w:val="single" w:color="7F7F7F" w:sz="4" w:space="0"/>
              <w:bottom w:val="single" w:color="auto" w:sz="6" w:space="0"/>
            </w:tcBorders>
          </w:tcPr>
          <w:p>
            <w:pPr>
              <w:pBdr>
                <w:top w:val="none" w:color="auto" w:sz="0" w:space="0"/>
                <w:left w:val="none" w:color="auto" w:sz="0" w:space="0"/>
                <w:bottom w:val="none" w:color="auto" w:sz="0" w:space="0"/>
                <w:right w:val="none" w:color="auto" w:sz="0" w:space="0"/>
                <w:between w:val="none" w:color="auto" w:sz="0" w:space="0"/>
              </w:pBdr>
              <w:spacing w:line="360" w:lineRule="auto"/>
              <w:contextualSpacing/>
              <w:jc w:val="both"/>
              <w:rPr>
                <w:rFonts w:ascii="Book Antiqua" w:hAnsi="Book Antiqua" w:eastAsia="Book Antiqua" w:cs="Book Antiqua"/>
                <w:b/>
                <w:color w:val="000000"/>
                <w:u w:color="000000"/>
                <w:lang w:eastAsia="en-IN" w:bidi="ta-IN"/>
              </w:rPr>
            </w:pPr>
            <w:r>
              <w:rPr>
                <w:rFonts w:ascii="Book Antiqua" w:hAnsi="Book Antiqua" w:eastAsia="Calibri" w:cs="Calibri"/>
                <w:b/>
                <w:color w:val="000000"/>
                <w:u w:color="000000"/>
                <w:lang w:eastAsia="en-IN" w:bidi="ta-IN"/>
              </w:rPr>
              <w:t>No CR-POPF,</w:t>
            </w:r>
          </w:p>
          <w:p>
            <w:pPr>
              <w:spacing w:line="360" w:lineRule="auto"/>
              <w:contextualSpacing/>
              <w:jc w:val="both"/>
              <w:rPr>
                <w:rFonts w:ascii="Book Antiqua" w:hAnsi="Book Antiqua" w:eastAsia="等线" w:cs="Latha"/>
                <w:b/>
                <w:lang w:bidi="ta-IN"/>
              </w:rPr>
            </w:pPr>
            <w:r>
              <w:rPr>
                <w:rFonts w:ascii="Book Antiqua" w:hAnsi="Book Antiqua" w:eastAsia="等线" w:cs="Latha"/>
                <w:b/>
                <w:i/>
                <w:lang w:bidi="ta-IN"/>
              </w:rPr>
              <w:t>n</w:t>
            </w:r>
            <w:r>
              <w:rPr>
                <w:rFonts w:ascii="Book Antiqua" w:hAnsi="Book Antiqua" w:eastAsia="等线" w:cs="Latha"/>
                <w:b/>
                <w:lang w:bidi="ta-IN"/>
              </w:rPr>
              <w:t xml:space="preserve"> = 43</w:t>
            </w:r>
          </w:p>
        </w:tc>
        <w:tc>
          <w:tcPr>
            <w:tcW w:w="0" w:type="pct"/>
            <w:tcBorders>
              <w:top w:val="single" w:color="7F7F7F" w:sz="4" w:space="0"/>
              <w:bottom w:val="single" w:color="auto" w:sz="6" w:space="0"/>
            </w:tcBorders>
          </w:tcPr>
          <w:p>
            <w:pPr>
              <w:spacing w:line="360" w:lineRule="auto"/>
              <w:contextualSpacing/>
              <w:jc w:val="both"/>
              <w:rPr>
                <w:rFonts w:ascii="Book Antiqua" w:hAnsi="Book Antiqua" w:eastAsia="等线" w:cs="Latha"/>
                <w:b/>
                <w:lang w:bidi="ta-IN"/>
              </w:rPr>
            </w:pPr>
            <w:r>
              <w:rPr>
                <w:rFonts w:ascii="Book Antiqua" w:hAnsi="Book Antiqua" w:eastAsia="等线" w:cs="Latha"/>
                <w:b/>
                <w:i/>
                <w:lang w:bidi="ta-IN"/>
              </w:rPr>
              <w:t>P</w:t>
            </w:r>
            <w:r>
              <w:rPr>
                <w:rFonts w:ascii="Book Antiqua" w:hAnsi="Book Antiqua" w:eastAsia="等线" w:cs="Latha"/>
                <w:b/>
                <w:lang w:bidi="ta-IN"/>
              </w:rPr>
              <w:t xml:space="preserve"> value</w:t>
            </w:r>
          </w:p>
        </w:tc>
      </w:tr>
      <w:tr>
        <w:tblPrEx>
          <w:tblBorders>
            <w:top w:val="single" w:color="7F7F7F" w:sz="4" w:space="0"/>
            <w:left w:val="none" w:color="auto" w:sz="0" w:space="0"/>
            <w:bottom w:val="single" w:color="7F7F7F"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pct"/>
            <w:tcBorders>
              <w:top w:val="single" w:color="auto" w:sz="6" w:space="0"/>
            </w:tcBorders>
          </w:tcPr>
          <w:p>
            <w:pPr>
              <w:spacing w:line="360" w:lineRule="auto"/>
              <w:contextualSpacing/>
              <w:jc w:val="both"/>
              <w:rPr>
                <w:rFonts w:ascii="Book Antiqua" w:hAnsi="Book Antiqua" w:eastAsia="等线" w:cs="Latha"/>
                <w:lang w:bidi="ta-IN"/>
              </w:rPr>
            </w:pPr>
            <w:r>
              <w:rPr>
                <w:rFonts w:ascii="Book Antiqua" w:hAnsi="Book Antiqua" w:eastAsia="等线" w:cs="Latha"/>
                <w:lang w:bidi="ta-IN"/>
              </w:rPr>
              <w:t>Operative time in min, mean ± SD</w:t>
            </w:r>
          </w:p>
        </w:tc>
        <w:tc>
          <w:tcPr>
            <w:tcW w:w="0" w:type="pct"/>
            <w:tcBorders>
              <w:top w:val="single" w:color="auto" w:sz="6" w:space="0"/>
            </w:tcBorders>
          </w:tcPr>
          <w:p>
            <w:pPr>
              <w:spacing w:line="360" w:lineRule="auto"/>
              <w:contextualSpacing/>
              <w:jc w:val="both"/>
              <w:rPr>
                <w:rFonts w:ascii="Book Antiqua" w:hAnsi="Book Antiqua" w:eastAsia="等线" w:cs="Latha"/>
                <w:lang w:bidi="ta-IN"/>
              </w:rPr>
            </w:pPr>
            <w:r>
              <w:rPr>
                <w:rFonts w:ascii="Book Antiqua" w:hAnsi="Book Antiqua" w:eastAsia="等线" w:cs="Latha"/>
                <w:lang w:bidi="ta-IN"/>
              </w:rPr>
              <w:t>521.9 ± 123</w:t>
            </w:r>
          </w:p>
        </w:tc>
        <w:tc>
          <w:tcPr>
            <w:tcW w:w="0" w:type="pct"/>
            <w:tcBorders>
              <w:top w:val="single" w:color="auto" w:sz="6" w:space="0"/>
            </w:tcBorders>
          </w:tcPr>
          <w:p>
            <w:pPr>
              <w:spacing w:line="360" w:lineRule="auto"/>
              <w:contextualSpacing/>
              <w:jc w:val="both"/>
              <w:rPr>
                <w:rFonts w:ascii="Book Antiqua" w:hAnsi="Book Antiqua" w:eastAsia="等线" w:cs="Latha"/>
                <w:lang w:bidi="ta-IN"/>
              </w:rPr>
            </w:pPr>
            <w:r>
              <w:rPr>
                <w:rFonts w:ascii="Book Antiqua" w:hAnsi="Book Antiqua" w:eastAsia="等线" w:cs="Latha"/>
                <w:lang w:bidi="ta-IN"/>
              </w:rPr>
              <w:t>463.9 ± 101.2</w:t>
            </w:r>
          </w:p>
        </w:tc>
        <w:tc>
          <w:tcPr>
            <w:tcW w:w="0" w:type="pct"/>
            <w:tcBorders>
              <w:top w:val="single" w:color="auto" w:sz="6" w:space="0"/>
            </w:tcBorders>
          </w:tcPr>
          <w:p>
            <w:pPr>
              <w:spacing w:line="360" w:lineRule="auto"/>
              <w:contextualSpacing/>
              <w:jc w:val="both"/>
              <w:rPr>
                <w:rFonts w:ascii="Book Antiqua" w:hAnsi="Book Antiqua" w:eastAsia="等线" w:cs="Latha"/>
                <w:lang w:bidi="ta-IN"/>
              </w:rPr>
            </w:pPr>
            <w:r>
              <w:rPr>
                <w:rFonts w:ascii="Book Antiqua" w:hAnsi="Book Antiqua" w:eastAsia="等线" w:cs="Latha"/>
                <w:lang w:bidi="ta-IN"/>
              </w:rPr>
              <w:t>0.275</w:t>
            </w:r>
          </w:p>
        </w:tc>
      </w:tr>
      <w:tr>
        <w:tblPrEx>
          <w:tblBorders>
            <w:top w:val="single" w:color="7F7F7F" w:sz="4" w:space="0"/>
            <w:left w:val="none" w:color="auto" w:sz="0" w:space="0"/>
            <w:bottom w:val="single" w:color="7F7F7F"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355" w:type="pct"/>
          </w:tcPr>
          <w:p>
            <w:pPr>
              <w:spacing w:line="360" w:lineRule="auto"/>
              <w:contextualSpacing/>
              <w:jc w:val="both"/>
              <w:rPr>
                <w:rFonts w:ascii="Book Antiqua" w:hAnsi="Book Antiqua" w:eastAsia="等线" w:cs="Latha"/>
                <w:lang w:bidi="ta-IN"/>
              </w:rPr>
            </w:pPr>
            <w:r>
              <w:rPr>
                <w:rFonts w:ascii="Book Antiqua" w:hAnsi="Book Antiqua" w:eastAsia="等线" w:cs="Latha"/>
                <w:lang w:bidi="ta-IN"/>
              </w:rPr>
              <w:t>Blood loss in m</w:t>
            </w:r>
            <w:r>
              <w:rPr>
                <w:rFonts w:hint="eastAsia" w:ascii="Book Antiqua" w:hAnsi="Book Antiqua" w:eastAsia="等线" w:cs="Latha"/>
                <w:lang w:eastAsia="zh-CN" w:bidi="ta-IN"/>
              </w:rPr>
              <w:t>L</w:t>
            </w:r>
            <w:r>
              <w:rPr>
                <w:rFonts w:ascii="Book Antiqua" w:hAnsi="Book Antiqua" w:eastAsia="等线" w:cs="Latha"/>
                <w:lang w:bidi="ta-IN"/>
              </w:rPr>
              <w:t>, median (IQR)</w:t>
            </w:r>
          </w:p>
        </w:tc>
        <w:tc>
          <w:tcPr>
            <w:tcW w:w="1030" w:type="pct"/>
          </w:tcPr>
          <w:p>
            <w:pPr>
              <w:spacing w:line="360" w:lineRule="auto"/>
              <w:contextualSpacing/>
              <w:jc w:val="both"/>
              <w:rPr>
                <w:rFonts w:ascii="Book Antiqua" w:hAnsi="Book Antiqua" w:eastAsia="等线" w:cs="Latha"/>
                <w:lang w:bidi="ta-IN"/>
              </w:rPr>
            </w:pPr>
            <w:r>
              <w:rPr>
                <w:rFonts w:ascii="Book Antiqua" w:hAnsi="Book Antiqua" w:eastAsia="等线" w:cs="Latha"/>
                <w:lang w:bidi="ta-IN"/>
              </w:rPr>
              <w:t>550 (350-725)</w:t>
            </w:r>
          </w:p>
        </w:tc>
        <w:tc>
          <w:tcPr>
            <w:tcW w:w="1030" w:type="pct"/>
          </w:tcPr>
          <w:p>
            <w:pPr>
              <w:spacing w:line="360" w:lineRule="auto"/>
              <w:contextualSpacing/>
              <w:jc w:val="both"/>
              <w:rPr>
                <w:rFonts w:ascii="Book Antiqua" w:hAnsi="Book Antiqua" w:eastAsia="等线" w:cs="Latha"/>
                <w:lang w:bidi="ta-IN"/>
              </w:rPr>
            </w:pPr>
            <w:r>
              <w:rPr>
                <w:rFonts w:ascii="Book Antiqua" w:hAnsi="Book Antiqua" w:eastAsia="等线" w:cs="Latha"/>
                <w:lang w:bidi="ta-IN"/>
              </w:rPr>
              <w:t>475 (350-800)</w:t>
            </w:r>
          </w:p>
        </w:tc>
        <w:tc>
          <w:tcPr>
            <w:tcW w:w="585" w:type="pct"/>
          </w:tcPr>
          <w:p>
            <w:pPr>
              <w:spacing w:line="360" w:lineRule="auto"/>
              <w:contextualSpacing/>
              <w:jc w:val="both"/>
              <w:rPr>
                <w:rFonts w:ascii="Book Antiqua" w:hAnsi="Book Antiqua" w:eastAsia="等线" w:cs="Latha"/>
                <w:lang w:bidi="ta-IN"/>
              </w:rPr>
            </w:pPr>
            <w:r>
              <w:rPr>
                <w:rFonts w:ascii="Book Antiqua" w:hAnsi="Book Antiqua" w:eastAsia="等线" w:cs="Latha"/>
                <w:lang w:bidi="ta-IN"/>
              </w:rPr>
              <w:t>0.830</w:t>
            </w:r>
          </w:p>
        </w:tc>
      </w:tr>
      <w:tr>
        <w:tblPrEx>
          <w:tblBorders>
            <w:top w:val="single" w:color="7F7F7F" w:sz="4" w:space="0"/>
            <w:left w:val="none" w:color="auto" w:sz="0" w:space="0"/>
            <w:bottom w:val="single" w:color="7F7F7F"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355" w:type="pct"/>
          </w:tcPr>
          <w:p>
            <w:pPr>
              <w:pBdr>
                <w:top w:val="none" w:color="auto" w:sz="0" w:space="0"/>
                <w:left w:val="none" w:color="auto" w:sz="0" w:space="0"/>
                <w:bottom w:val="none" w:color="auto" w:sz="0" w:space="0"/>
                <w:right w:val="none" w:color="auto" w:sz="0" w:space="0"/>
                <w:between w:val="none" w:color="auto" w:sz="0" w:space="0"/>
              </w:pBdr>
              <w:spacing w:line="360" w:lineRule="auto"/>
              <w:contextualSpacing/>
              <w:jc w:val="both"/>
              <w:rPr>
                <w:rFonts w:ascii="Book Antiqua" w:hAnsi="Book Antiqua" w:eastAsia="Book Antiqua" w:cs="Book Antiqua"/>
                <w:color w:val="000000"/>
                <w:u w:color="000000"/>
                <w:lang w:eastAsia="en-IN" w:bidi="ta-IN"/>
              </w:rPr>
            </w:pPr>
            <w:r>
              <w:rPr>
                <w:rFonts w:ascii="Book Antiqua" w:hAnsi="Book Antiqua" w:eastAsia="Calibri" w:cs="Calibri"/>
                <w:color w:val="000000"/>
                <w:u w:color="000000"/>
                <w:lang w:eastAsia="en-IN" w:bidi="ta-IN"/>
              </w:rPr>
              <w:t xml:space="preserve">Intraoperative blood transfusion, </w:t>
            </w:r>
            <w:r>
              <w:rPr>
                <w:rFonts w:ascii="Book Antiqua" w:hAnsi="Book Antiqua" w:eastAsia="Calibri" w:cs="Calibri"/>
                <w:i/>
                <w:color w:val="000000"/>
                <w:u w:color="000000"/>
                <w:lang w:eastAsia="en-IN" w:bidi="ta-IN"/>
              </w:rPr>
              <w:t>n</w:t>
            </w:r>
            <w:r>
              <w:rPr>
                <w:rFonts w:ascii="Book Antiqua" w:hAnsi="Book Antiqua" w:eastAsia="Calibri" w:cs="Calibri"/>
                <w:color w:val="000000"/>
                <w:u w:color="000000"/>
                <w:lang w:eastAsia="en-IN" w:bidi="ta-IN"/>
              </w:rPr>
              <w:t xml:space="preserve"> (%)</w:t>
            </w:r>
          </w:p>
        </w:tc>
        <w:tc>
          <w:tcPr>
            <w:tcW w:w="1030" w:type="pct"/>
          </w:tcPr>
          <w:p>
            <w:pPr>
              <w:pBdr>
                <w:top w:val="none" w:color="auto" w:sz="0" w:space="0"/>
                <w:left w:val="none" w:color="auto" w:sz="0" w:space="0"/>
                <w:bottom w:val="none" w:color="auto" w:sz="0" w:space="0"/>
                <w:right w:val="none" w:color="auto" w:sz="0" w:space="0"/>
                <w:between w:val="none" w:color="auto" w:sz="0" w:space="0"/>
              </w:pBdr>
              <w:spacing w:line="360" w:lineRule="auto"/>
              <w:contextualSpacing/>
              <w:jc w:val="both"/>
              <w:rPr>
                <w:rFonts w:ascii="Book Antiqua" w:hAnsi="Book Antiqua" w:eastAsia="Book Antiqua" w:cs="Book Antiqua"/>
                <w:color w:val="000000"/>
                <w:u w:color="000000"/>
                <w:lang w:eastAsia="en-IN" w:bidi="ta-IN"/>
              </w:rPr>
            </w:pPr>
            <w:r>
              <w:rPr>
                <w:rFonts w:ascii="Book Antiqua" w:hAnsi="Book Antiqua" w:eastAsia="Calibri" w:cs="Calibri"/>
                <w:color w:val="000000"/>
                <w:u w:color="000000"/>
                <w:lang w:eastAsia="en-IN" w:bidi="ta-IN"/>
              </w:rPr>
              <w:t>6 (33.3)</w:t>
            </w:r>
          </w:p>
        </w:tc>
        <w:tc>
          <w:tcPr>
            <w:tcW w:w="1030" w:type="pct"/>
          </w:tcPr>
          <w:p>
            <w:pPr>
              <w:pBdr>
                <w:top w:val="none" w:color="auto" w:sz="0" w:space="0"/>
                <w:left w:val="none" w:color="auto" w:sz="0" w:space="0"/>
                <w:bottom w:val="none" w:color="auto" w:sz="0" w:space="0"/>
                <w:right w:val="none" w:color="auto" w:sz="0" w:space="0"/>
                <w:between w:val="none" w:color="auto" w:sz="0" w:space="0"/>
              </w:pBdr>
              <w:spacing w:line="360" w:lineRule="auto"/>
              <w:contextualSpacing/>
              <w:jc w:val="both"/>
              <w:rPr>
                <w:rFonts w:ascii="Book Antiqua" w:hAnsi="Book Antiqua" w:eastAsia="Book Antiqua" w:cs="Book Antiqua"/>
                <w:color w:val="000000"/>
                <w:u w:color="000000"/>
                <w:lang w:eastAsia="en-IN" w:bidi="ta-IN"/>
              </w:rPr>
            </w:pPr>
            <w:r>
              <w:rPr>
                <w:rFonts w:ascii="Book Antiqua" w:hAnsi="Book Antiqua" w:eastAsia="Calibri" w:cs="Calibri"/>
                <w:color w:val="000000"/>
                <w:u w:color="000000"/>
                <w:lang w:eastAsia="en-IN" w:bidi="ta-IN"/>
              </w:rPr>
              <w:t>17 (39.5)</w:t>
            </w:r>
          </w:p>
        </w:tc>
        <w:tc>
          <w:tcPr>
            <w:tcW w:w="585" w:type="pct"/>
          </w:tcPr>
          <w:p>
            <w:pPr>
              <w:spacing w:line="360" w:lineRule="auto"/>
              <w:contextualSpacing/>
              <w:jc w:val="both"/>
              <w:rPr>
                <w:rFonts w:ascii="Book Antiqua" w:hAnsi="Book Antiqua" w:eastAsia="等线" w:cs="Latha"/>
                <w:lang w:bidi="ta-IN"/>
              </w:rPr>
            </w:pPr>
            <w:r>
              <w:rPr>
                <w:rFonts w:ascii="Book Antiqua" w:hAnsi="Book Antiqua" w:eastAsia="等线" w:cs="Latha"/>
                <w:lang w:bidi="ta-IN"/>
              </w:rPr>
              <w:t>0.775</w:t>
            </w:r>
          </w:p>
        </w:tc>
      </w:tr>
      <w:tr>
        <w:tblPrEx>
          <w:tblBorders>
            <w:top w:val="single" w:color="7F7F7F" w:sz="4" w:space="0"/>
            <w:left w:val="none" w:color="auto" w:sz="0" w:space="0"/>
            <w:bottom w:val="single" w:color="7F7F7F"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355" w:type="pct"/>
          </w:tcPr>
          <w:p>
            <w:pPr>
              <w:pBdr>
                <w:top w:val="none" w:color="auto" w:sz="0" w:space="0"/>
                <w:left w:val="none" w:color="auto" w:sz="0" w:space="0"/>
                <w:bottom w:val="none" w:color="auto" w:sz="0" w:space="0"/>
                <w:right w:val="none" w:color="auto" w:sz="0" w:space="0"/>
                <w:between w:val="none" w:color="auto" w:sz="0" w:space="0"/>
              </w:pBdr>
              <w:spacing w:line="360" w:lineRule="auto"/>
              <w:contextualSpacing/>
              <w:jc w:val="both"/>
              <w:rPr>
                <w:rFonts w:ascii="Book Antiqua" w:hAnsi="Book Antiqua" w:eastAsia="等线" w:cs="Latha"/>
                <w:lang w:bidi="ta-IN"/>
              </w:rPr>
            </w:pPr>
            <w:r>
              <w:rPr>
                <w:rFonts w:ascii="Book Antiqua" w:hAnsi="Book Antiqua" w:eastAsia="Calibri" w:cs="Calibri"/>
                <w:color w:val="000000"/>
                <w:u w:color="000000"/>
                <w:lang w:eastAsia="en-IN" w:bidi="ta-IN"/>
              </w:rPr>
              <w:t xml:space="preserve">Pancreatic texture, </w:t>
            </w:r>
            <w:r>
              <w:rPr>
                <w:rFonts w:ascii="Book Antiqua" w:hAnsi="Book Antiqua" w:eastAsia="Calibri" w:cs="Calibri"/>
                <w:i/>
                <w:color w:val="000000"/>
                <w:u w:color="000000"/>
                <w:lang w:eastAsia="en-IN" w:bidi="ta-IN"/>
              </w:rPr>
              <w:t>n</w:t>
            </w:r>
            <w:r>
              <w:rPr>
                <w:rFonts w:ascii="Book Antiqua" w:hAnsi="Book Antiqua" w:eastAsia="Calibri" w:cs="Calibri"/>
                <w:color w:val="000000"/>
                <w:u w:color="000000"/>
                <w:lang w:eastAsia="en-IN" w:bidi="ta-IN"/>
              </w:rPr>
              <w:t xml:space="preserve"> (%)</w:t>
            </w:r>
          </w:p>
        </w:tc>
        <w:tc>
          <w:tcPr>
            <w:tcW w:w="1030" w:type="pct"/>
          </w:tcPr>
          <w:p>
            <w:pPr>
              <w:spacing w:line="360" w:lineRule="auto"/>
              <w:contextualSpacing/>
              <w:jc w:val="both"/>
              <w:rPr>
                <w:rFonts w:ascii="Book Antiqua" w:hAnsi="Book Antiqua" w:eastAsia="等线" w:cs="Latha"/>
                <w:lang w:bidi="ta-IN"/>
              </w:rPr>
            </w:pPr>
          </w:p>
        </w:tc>
        <w:tc>
          <w:tcPr>
            <w:tcW w:w="1030" w:type="pct"/>
          </w:tcPr>
          <w:p>
            <w:pPr>
              <w:spacing w:line="360" w:lineRule="auto"/>
              <w:contextualSpacing/>
              <w:jc w:val="both"/>
              <w:rPr>
                <w:rFonts w:ascii="Book Antiqua" w:hAnsi="Book Antiqua" w:eastAsia="等线" w:cs="Latha"/>
                <w:lang w:bidi="ta-IN"/>
              </w:rPr>
            </w:pPr>
          </w:p>
        </w:tc>
        <w:tc>
          <w:tcPr>
            <w:tcW w:w="585" w:type="pct"/>
          </w:tcPr>
          <w:p>
            <w:pPr>
              <w:spacing w:line="360" w:lineRule="auto"/>
              <w:contextualSpacing/>
              <w:jc w:val="both"/>
              <w:rPr>
                <w:rFonts w:ascii="Book Antiqua" w:hAnsi="Book Antiqua" w:eastAsia="等线" w:cs="Latha"/>
                <w:lang w:bidi="ta-IN"/>
              </w:rPr>
            </w:pPr>
          </w:p>
        </w:tc>
      </w:tr>
      <w:tr>
        <w:tblPrEx>
          <w:tblBorders>
            <w:top w:val="single" w:color="7F7F7F" w:sz="4" w:space="0"/>
            <w:left w:val="none" w:color="auto" w:sz="0" w:space="0"/>
            <w:bottom w:val="single" w:color="7F7F7F"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355" w:type="pct"/>
          </w:tcPr>
          <w:p>
            <w:pPr>
              <w:pBdr>
                <w:top w:val="none" w:color="auto" w:sz="0" w:space="0"/>
                <w:left w:val="none" w:color="auto" w:sz="0" w:space="0"/>
                <w:bottom w:val="none" w:color="auto" w:sz="0" w:space="0"/>
                <w:right w:val="none" w:color="auto" w:sz="0" w:space="0"/>
                <w:between w:val="none" w:color="auto" w:sz="0" w:space="0"/>
              </w:pBdr>
              <w:spacing w:line="360" w:lineRule="auto"/>
              <w:contextualSpacing/>
              <w:jc w:val="both"/>
              <w:rPr>
                <w:rFonts w:ascii="Book Antiqua" w:hAnsi="Book Antiqua" w:eastAsia="Calibri" w:cs="Calibri"/>
                <w:color w:val="000000"/>
                <w:u w:color="000000"/>
                <w:lang w:eastAsia="en-IN" w:bidi="ta-IN"/>
              </w:rPr>
            </w:pPr>
            <w:r>
              <w:rPr>
                <w:rFonts w:ascii="Book Antiqua" w:hAnsi="Book Antiqua" w:eastAsia="Calibri" w:cs="Calibri"/>
                <w:color w:val="000000"/>
                <w:u w:color="000000"/>
                <w:lang w:eastAsia="en-IN" w:bidi="ta-IN"/>
              </w:rPr>
              <w:t>Firm</w:t>
            </w:r>
          </w:p>
        </w:tc>
        <w:tc>
          <w:tcPr>
            <w:tcW w:w="1030" w:type="pct"/>
          </w:tcPr>
          <w:p>
            <w:pPr>
              <w:pBdr>
                <w:top w:val="none" w:color="auto" w:sz="0" w:space="0"/>
                <w:left w:val="none" w:color="auto" w:sz="0" w:space="0"/>
                <w:bottom w:val="none" w:color="auto" w:sz="0" w:space="0"/>
                <w:right w:val="none" w:color="auto" w:sz="0" w:space="0"/>
                <w:between w:val="none" w:color="auto" w:sz="0" w:space="0"/>
              </w:pBdr>
              <w:spacing w:line="360" w:lineRule="auto"/>
              <w:contextualSpacing/>
              <w:jc w:val="both"/>
              <w:rPr>
                <w:rFonts w:ascii="Book Antiqua" w:hAnsi="Book Antiqua" w:eastAsia="Book Antiqua" w:cs="Book Antiqua"/>
                <w:color w:val="000000"/>
                <w:u w:color="000000"/>
                <w:lang w:eastAsia="en-IN" w:bidi="ta-IN"/>
              </w:rPr>
            </w:pPr>
            <w:r>
              <w:rPr>
                <w:rFonts w:ascii="Book Antiqua" w:hAnsi="Book Antiqua" w:eastAsia="Calibri" w:cs="Calibri"/>
                <w:color w:val="000000"/>
                <w:u w:color="000000"/>
                <w:lang w:eastAsia="en-IN" w:bidi="ta-IN"/>
              </w:rPr>
              <w:t>1 (5.6)</w:t>
            </w:r>
          </w:p>
        </w:tc>
        <w:tc>
          <w:tcPr>
            <w:tcW w:w="1030" w:type="pct"/>
          </w:tcPr>
          <w:p>
            <w:pPr>
              <w:pBdr>
                <w:top w:val="none" w:color="auto" w:sz="0" w:space="0"/>
                <w:left w:val="none" w:color="auto" w:sz="0" w:space="0"/>
                <w:bottom w:val="none" w:color="auto" w:sz="0" w:space="0"/>
                <w:right w:val="none" w:color="auto" w:sz="0" w:space="0"/>
                <w:between w:val="none" w:color="auto" w:sz="0" w:space="0"/>
              </w:pBdr>
              <w:spacing w:line="360" w:lineRule="auto"/>
              <w:contextualSpacing/>
              <w:jc w:val="both"/>
              <w:rPr>
                <w:rFonts w:ascii="Book Antiqua" w:hAnsi="Book Antiqua" w:eastAsia="Book Antiqua" w:cs="Book Antiqua"/>
                <w:color w:val="000000"/>
                <w:u w:color="000000"/>
                <w:lang w:eastAsia="en-IN" w:bidi="ta-IN"/>
              </w:rPr>
            </w:pPr>
            <w:r>
              <w:rPr>
                <w:rFonts w:ascii="Book Antiqua" w:hAnsi="Book Antiqua" w:eastAsia="Calibri" w:cs="Calibri"/>
                <w:color w:val="000000"/>
                <w:u w:color="000000"/>
                <w:lang w:eastAsia="en-IN" w:bidi="ta-IN"/>
              </w:rPr>
              <w:t>20 (47.6)</w:t>
            </w:r>
          </w:p>
        </w:tc>
        <w:tc>
          <w:tcPr>
            <w:tcW w:w="585" w:type="pct"/>
          </w:tcPr>
          <w:p>
            <w:pPr>
              <w:pBdr>
                <w:top w:val="none" w:color="auto" w:sz="0" w:space="0"/>
                <w:left w:val="none" w:color="auto" w:sz="0" w:space="0"/>
                <w:bottom w:val="none" w:color="auto" w:sz="0" w:space="0"/>
                <w:right w:val="none" w:color="auto" w:sz="0" w:space="0"/>
                <w:between w:val="none" w:color="auto" w:sz="0" w:space="0"/>
              </w:pBdr>
              <w:spacing w:line="360" w:lineRule="auto"/>
              <w:contextualSpacing/>
              <w:jc w:val="both"/>
              <w:rPr>
                <w:rFonts w:ascii="Book Antiqua" w:hAnsi="Book Antiqua" w:eastAsia="Book Antiqua" w:cs="Book Antiqua"/>
                <w:color w:val="000000"/>
                <w:u w:color="000000"/>
                <w:lang w:eastAsia="en-IN" w:bidi="ta-IN"/>
              </w:rPr>
            </w:pPr>
            <w:r>
              <w:rPr>
                <w:rFonts w:ascii="Book Antiqua" w:hAnsi="Book Antiqua" w:eastAsia="等线" w:cs="Latha"/>
                <w:lang w:bidi="ta-IN"/>
              </w:rPr>
              <w:t>0.002</w:t>
            </w:r>
          </w:p>
        </w:tc>
      </w:tr>
      <w:tr>
        <w:tblPrEx>
          <w:tblBorders>
            <w:top w:val="single" w:color="7F7F7F" w:sz="4" w:space="0"/>
            <w:left w:val="none" w:color="auto" w:sz="0" w:space="0"/>
            <w:bottom w:val="single" w:color="7F7F7F"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355" w:type="pct"/>
          </w:tcPr>
          <w:p>
            <w:pPr>
              <w:pBdr>
                <w:top w:val="none" w:color="auto" w:sz="0" w:space="0"/>
                <w:left w:val="none" w:color="auto" w:sz="0" w:space="0"/>
                <w:bottom w:val="none" w:color="auto" w:sz="0" w:space="0"/>
                <w:right w:val="none" w:color="auto" w:sz="0" w:space="0"/>
                <w:between w:val="none" w:color="auto" w:sz="0" w:space="0"/>
              </w:pBdr>
              <w:spacing w:line="360" w:lineRule="auto"/>
              <w:contextualSpacing/>
              <w:jc w:val="both"/>
              <w:rPr>
                <w:rFonts w:ascii="Book Antiqua" w:hAnsi="Book Antiqua" w:eastAsia="Calibri" w:cs="Calibri"/>
                <w:color w:val="000000"/>
                <w:u w:color="000000"/>
                <w:lang w:eastAsia="en-IN" w:bidi="ta-IN"/>
              </w:rPr>
            </w:pPr>
            <w:r>
              <w:rPr>
                <w:rFonts w:ascii="Book Antiqua" w:hAnsi="Book Antiqua" w:eastAsia="等线" w:cs="Latha"/>
                <w:lang w:bidi="ta-IN"/>
              </w:rPr>
              <w:t>Soft</w:t>
            </w:r>
          </w:p>
        </w:tc>
        <w:tc>
          <w:tcPr>
            <w:tcW w:w="1030" w:type="pct"/>
          </w:tcPr>
          <w:p>
            <w:pPr>
              <w:pBdr>
                <w:top w:val="none" w:color="auto" w:sz="0" w:space="0"/>
                <w:left w:val="none" w:color="auto" w:sz="0" w:space="0"/>
                <w:bottom w:val="none" w:color="auto" w:sz="0" w:space="0"/>
                <w:right w:val="none" w:color="auto" w:sz="0" w:space="0"/>
                <w:between w:val="none" w:color="auto" w:sz="0" w:space="0"/>
              </w:pBdr>
              <w:spacing w:line="360" w:lineRule="auto"/>
              <w:contextualSpacing/>
              <w:jc w:val="both"/>
              <w:rPr>
                <w:rFonts w:ascii="Book Antiqua" w:hAnsi="Book Antiqua" w:eastAsia="Book Antiqua" w:cs="Book Antiqua"/>
                <w:color w:val="000000"/>
                <w:u w:color="000000"/>
                <w:lang w:eastAsia="en-IN" w:bidi="ta-IN"/>
              </w:rPr>
            </w:pPr>
            <w:r>
              <w:rPr>
                <w:rFonts w:ascii="Book Antiqua" w:hAnsi="Book Antiqua" w:eastAsia="等线" w:cs="Latha"/>
                <w:lang w:bidi="ta-IN"/>
              </w:rPr>
              <w:t>17 (94.4)</w:t>
            </w:r>
          </w:p>
        </w:tc>
        <w:tc>
          <w:tcPr>
            <w:tcW w:w="1030" w:type="pct"/>
          </w:tcPr>
          <w:p>
            <w:pPr>
              <w:pBdr>
                <w:top w:val="none" w:color="auto" w:sz="0" w:space="0"/>
                <w:left w:val="none" w:color="auto" w:sz="0" w:space="0"/>
                <w:bottom w:val="none" w:color="auto" w:sz="0" w:space="0"/>
                <w:right w:val="none" w:color="auto" w:sz="0" w:space="0"/>
                <w:between w:val="none" w:color="auto" w:sz="0" w:space="0"/>
              </w:pBdr>
              <w:spacing w:line="360" w:lineRule="auto"/>
              <w:contextualSpacing/>
              <w:jc w:val="both"/>
              <w:rPr>
                <w:rFonts w:ascii="Book Antiqua" w:hAnsi="Book Antiqua" w:eastAsia="Book Antiqua" w:cs="Book Antiqua"/>
                <w:color w:val="000000"/>
                <w:u w:color="000000"/>
                <w:lang w:eastAsia="en-IN" w:bidi="ta-IN"/>
              </w:rPr>
            </w:pPr>
            <w:r>
              <w:rPr>
                <w:rFonts w:ascii="Book Antiqua" w:hAnsi="Book Antiqua" w:eastAsia="等线" w:cs="Latha"/>
                <w:lang w:bidi="ta-IN"/>
              </w:rPr>
              <w:t>22 (52.4)</w:t>
            </w:r>
          </w:p>
        </w:tc>
        <w:tc>
          <w:tcPr>
            <w:tcW w:w="585" w:type="pct"/>
          </w:tcPr>
          <w:p>
            <w:pPr>
              <w:pBdr>
                <w:top w:val="none" w:color="auto" w:sz="0" w:space="0"/>
                <w:left w:val="none" w:color="auto" w:sz="0" w:space="0"/>
                <w:bottom w:val="none" w:color="auto" w:sz="0" w:space="0"/>
                <w:right w:val="none" w:color="auto" w:sz="0" w:space="0"/>
                <w:between w:val="none" w:color="auto" w:sz="0" w:space="0"/>
              </w:pBdr>
              <w:spacing w:line="360" w:lineRule="auto"/>
              <w:contextualSpacing/>
              <w:jc w:val="both"/>
              <w:rPr>
                <w:rFonts w:ascii="Book Antiqua" w:hAnsi="Book Antiqua" w:eastAsia="Book Antiqua" w:cs="Book Antiqua"/>
                <w:color w:val="000000"/>
                <w:u w:color="000000"/>
                <w:lang w:eastAsia="en-IN" w:bidi="ta-IN"/>
              </w:rPr>
            </w:pPr>
          </w:p>
        </w:tc>
      </w:tr>
      <w:tr>
        <w:tblPrEx>
          <w:tblBorders>
            <w:top w:val="single" w:color="7F7F7F" w:sz="4" w:space="0"/>
            <w:left w:val="none" w:color="auto" w:sz="0" w:space="0"/>
            <w:bottom w:val="single" w:color="7F7F7F"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355" w:type="pct"/>
          </w:tcPr>
          <w:p>
            <w:pPr>
              <w:spacing w:line="360" w:lineRule="auto"/>
              <w:contextualSpacing/>
              <w:jc w:val="both"/>
              <w:rPr>
                <w:rFonts w:ascii="Book Antiqua" w:hAnsi="Book Antiqua" w:eastAsia="等线" w:cs="Latha"/>
                <w:lang w:bidi="ta-IN"/>
              </w:rPr>
            </w:pPr>
            <w:r>
              <w:rPr>
                <w:rFonts w:ascii="Book Antiqua" w:hAnsi="Book Antiqua" w:eastAsia="等线" w:cs="Latha"/>
                <w:lang w:bidi="ta-IN"/>
              </w:rPr>
              <w:t>Pancreatic duct size in mm, mean ± SD</w:t>
            </w:r>
          </w:p>
        </w:tc>
        <w:tc>
          <w:tcPr>
            <w:tcW w:w="1030" w:type="pct"/>
          </w:tcPr>
          <w:p>
            <w:pPr>
              <w:spacing w:line="360" w:lineRule="auto"/>
              <w:contextualSpacing/>
              <w:jc w:val="both"/>
              <w:rPr>
                <w:rFonts w:ascii="Book Antiqua" w:hAnsi="Book Antiqua" w:eastAsia="等线" w:cs="Latha"/>
                <w:lang w:bidi="ta-IN"/>
              </w:rPr>
            </w:pPr>
            <w:r>
              <w:rPr>
                <w:rFonts w:ascii="Book Antiqua" w:hAnsi="Book Antiqua" w:eastAsia="等线" w:cs="Latha"/>
                <w:lang w:bidi="ta-IN"/>
              </w:rPr>
              <w:t>2.8 ± 1.1</w:t>
            </w:r>
          </w:p>
        </w:tc>
        <w:tc>
          <w:tcPr>
            <w:tcW w:w="1030" w:type="pct"/>
          </w:tcPr>
          <w:p>
            <w:pPr>
              <w:spacing w:line="360" w:lineRule="auto"/>
              <w:contextualSpacing/>
              <w:jc w:val="both"/>
              <w:rPr>
                <w:rFonts w:ascii="Book Antiqua" w:hAnsi="Book Antiqua" w:eastAsia="等线" w:cs="Latha"/>
                <w:lang w:bidi="ta-IN"/>
              </w:rPr>
            </w:pPr>
            <w:r>
              <w:rPr>
                <w:rFonts w:ascii="Book Antiqua" w:hAnsi="Book Antiqua" w:eastAsia="等线" w:cs="Latha"/>
                <w:lang w:bidi="ta-IN"/>
              </w:rPr>
              <w:t>3.4 ± 1.6</w:t>
            </w:r>
          </w:p>
        </w:tc>
        <w:tc>
          <w:tcPr>
            <w:tcW w:w="585" w:type="pct"/>
          </w:tcPr>
          <w:p>
            <w:pPr>
              <w:spacing w:line="360" w:lineRule="auto"/>
              <w:contextualSpacing/>
              <w:jc w:val="both"/>
              <w:rPr>
                <w:rFonts w:ascii="Book Antiqua" w:hAnsi="Book Antiqua" w:eastAsia="等线" w:cs="Latha"/>
                <w:lang w:bidi="ta-IN"/>
              </w:rPr>
            </w:pPr>
            <w:r>
              <w:rPr>
                <w:rFonts w:ascii="Book Antiqua" w:hAnsi="Book Antiqua" w:eastAsia="等线" w:cs="Latha"/>
                <w:lang w:bidi="ta-IN"/>
              </w:rPr>
              <w:t>0.169</w:t>
            </w:r>
          </w:p>
        </w:tc>
      </w:tr>
      <w:tr>
        <w:tblPrEx>
          <w:tblBorders>
            <w:top w:val="single" w:color="7F7F7F" w:sz="4" w:space="0"/>
            <w:left w:val="none" w:color="auto" w:sz="0" w:space="0"/>
            <w:bottom w:val="single" w:color="7F7F7F"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355" w:type="pct"/>
          </w:tcPr>
          <w:p>
            <w:pPr>
              <w:pBdr>
                <w:top w:val="none" w:color="auto" w:sz="0" w:space="0"/>
                <w:left w:val="none" w:color="auto" w:sz="0" w:space="0"/>
                <w:bottom w:val="none" w:color="auto" w:sz="0" w:space="0"/>
                <w:right w:val="none" w:color="auto" w:sz="0" w:space="0"/>
                <w:between w:val="none" w:color="auto" w:sz="0" w:space="0"/>
              </w:pBdr>
              <w:spacing w:line="360" w:lineRule="auto"/>
              <w:contextualSpacing/>
              <w:jc w:val="both"/>
              <w:rPr>
                <w:rFonts w:ascii="Book Antiqua" w:hAnsi="Book Antiqua" w:eastAsia="等线" w:cs="Latha"/>
                <w:lang w:bidi="ta-IN"/>
              </w:rPr>
            </w:pPr>
            <w:r>
              <w:rPr>
                <w:rFonts w:ascii="Book Antiqua" w:hAnsi="Book Antiqua" w:eastAsia="Calibri" w:cs="Calibri"/>
                <w:color w:val="000000"/>
                <w:u w:color="000000"/>
                <w:lang w:eastAsia="en-IN" w:bidi="ta-IN"/>
              </w:rPr>
              <w:t xml:space="preserve">Surgical approach, </w:t>
            </w:r>
            <w:r>
              <w:rPr>
                <w:rFonts w:ascii="Book Antiqua" w:hAnsi="Book Antiqua" w:eastAsia="Calibri" w:cs="Calibri"/>
                <w:i/>
                <w:color w:val="000000"/>
                <w:u w:color="000000"/>
                <w:lang w:eastAsia="en-IN" w:bidi="ta-IN"/>
              </w:rPr>
              <w:t>n</w:t>
            </w:r>
            <w:r>
              <w:rPr>
                <w:rFonts w:ascii="Book Antiqua" w:hAnsi="Book Antiqua" w:eastAsia="Calibri" w:cs="Calibri"/>
                <w:color w:val="000000"/>
                <w:u w:color="000000"/>
                <w:lang w:eastAsia="en-IN" w:bidi="ta-IN"/>
              </w:rPr>
              <w:t xml:space="preserve"> (%)</w:t>
            </w:r>
          </w:p>
        </w:tc>
        <w:tc>
          <w:tcPr>
            <w:tcW w:w="1030" w:type="pct"/>
          </w:tcPr>
          <w:p>
            <w:pPr>
              <w:spacing w:line="360" w:lineRule="auto"/>
              <w:contextualSpacing/>
              <w:jc w:val="both"/>
              <w:rPr>
                <w:rFonts w:ascii="Book Antiqua" w:hAnsi="Book Antiqua" w:eastAsia="等线" w:cs="Latha"/>
                <w:lang w:bidi="ta-IN"/>
              </w:rPr>
            </w:pPr>
          </w:p>
        </w:tc>
        <w:tc>
          <w:tcPr>
            <w:tcW w:w="1030" w:type="pct"/>
          </w:tcPr>
          <w:p>
            <w:pPr>
              <w:spacing w:line="360" w:lineRule="auto"/>
              <w:contextualSpacing/>
              <w:jc w:val="both"/>
              <w:rPr>
                <w:rFonts w:ascii="Book Antiqua" w:hAnsi="Book Antiqua" w:eastAsia="等线" w:cs="Latha"/>
                <w:lang w:bidi="ta-IN"/>
              </w:rPr>
            </w:pPr>
          </w:p>
        </w:tc>
        <w:tc>
          <w:tcPr>
            <w:tcW w:w="585" w:type="pct"/>
          </w:tcPr>
          <w:p>
            <w:pPr>
              <w:spacing w:line="360" w:lineRule="auto"/>
              <w:contextualSpacing/>
              <w:jc w:val="both"/>
              <w:rPr>
                <w:rFonts w:ascii="Book Antiqua" w:hAnsi="Book Antiqua" w:eastAsia="等线" w:cs="Latha"/>
                <w:lang w:bidi="ta-IN"/>
              </w:rPr>
            </w:pPr>
          </w:p>
        </w:tc>
      </w:tr>
      <w:tr>
        <w:tblPrEx>
          <w:tblBorders>
            <w:top w:val="single" w:color="7F7F7F" w:sz="4" w:space="0"/>
            <w:left w:val="none" w:color="auto" w:sz="0" w:space="0"/>
            <w:bottom w:val="single" w:color="7F7F7F"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355" w:type="pct"/>
          </w:tcPr>
          <w:p>
            <w:pPr>
              <w:pBdr>
                <w:top w:val="none" w:color="auto" w:sz="0" w:space="0"/>
                <w:left w:val="none" w:color="auto" w:sz="0" w:space="0"/>
                <w:bottom w:val="none" w:color="auto" w:sz="0" w:space="0"/>
                <w:right w:val="none" w:color="auto" w:sz="0" w:space="0"/>
                <w:between w:val="none" w:color="auto" w:sz="0" w:space="0"/>
              </w:pBdr>
              <w:spacing w:line="360" w:lineRule="auto"/>
              <w:contextualSpacing/>
              <w:jc w:val="both"/>
              <w:rPr>
                <w:rFonts w:ascii="Book Antiqua" w:hAnsi="Book Antiqua" w:eastAsia="Calibri" w:cs="Calibri"/>
                <w:color w:val="000000"/>
                <w:u w:color="000000"/>
                <w:lang w:eastAsia="en-IN" w:bidi="ta-IN"/>
              </w:rPr>
            </w:pPr>
            <w:r>
              <w:rPr>
                <w:rFonts w:ascii="Book Antiqua" w:hAnsi="Book Antiqua" w:eastAsia="Calibri" w:cs="Calibri"/>
                <w:color w:val="000000"/>
                <w:u w:color="000000"/>
                <w:lang w:eastAsia="en-IN" w:bidi="ta-IN"/>
              </w:rPr>
              <w:t>Open</w:t>
            </w:r>
          </w:p>
        </w:tc>
        <w:tc>
          <w:tcPr>
            <w:tcW w:w="1030" w:type="pct"/>
          </w:tcPr>
          <w:p>
            <w:pPr>
              <w:pBdr>
                <w:top w:val="none" w:color="auto" w:sz="0" w:space="0"/>
                <w:left w:val="none" w:color="auto" w:sz="0" w:space="0"/>
                <w:bottom w:val="none" w:color="auto" w:sz="0" w:space="0"/>
                <w:right w:val="none" w:color="auto" w:sz="0" w:space="0"/>
                <w:between w:val="none" w:color="auto" w:sz="0" w:space="0"/>
              </w:pBdr>
              <w:spacing w:line="360" w:lineRule="auto"/>
              <w:contextualSpacing/>
              <w:jc w:val="both"/>
              <w:rPr>
                <w:rFonts w:ascii="Book Antiqua" w:hAnsi="Book Antiqua" w:eastAsia="Book Antiqua" w:cs="Book Antiqua"/>
                <w:color w:val="000000"/>
                <w:u w:color="000000"/>
                <w:lang w:eastAsia="en-IN" w:bidi="ta-IN"/>
              </w:rPr>
            </w:pPr>
            <w:r>
              <w:rPr>
                <w:rFonts w:ascii="Book Antiqua" w:hAnsi="Book Antiqua" w:eastAsia="Calibri" w:cs="Calibri"/>
                <w:color w:val="000000"/>
                <w:u w:color="000000"/>
                <w:lang w:eastAsia="en-IN" w:bidi="ta-IN"/>
              </w:rPr>
              <w:t>9 (50)</w:t>
            </w:r>
          </w:p>
        </w:tc>
        <w:tc>
          <w:tcPr>
            <w:tcW w:w="1030" w:type="pct"/>
          </w:tcPr>
          <w:p>
            <w:pPr>
              <w:pBdr>
                <w:top w:val="none" w:color="auto" w:sz="0" w:space="0"/>
                <w:left w:val="none" w:color="auto" w:sz="0" w:space="0"/>
                <w:bottom w:val="none" w:color="auto" w:sz="0" w:space="0"/>
                <w:right w:val="none" w:color="auto" w:sz="0" w:space="0"/>
                <w:between w:val="none" w:color="auto" w:sz="0" w:space="0"/>
              </w:pBdr>
              <w:spacing w:line="360" w:lineRule="auto"/>
              <w:contextualSpacing/>
              <w:jc w:val="both"/>
              <w:rPr>
                <w:rFonts w:ascii="Book Antiqua" w:hAnsi="Book Antiqua" w:eastAsia="Book Antiqua" w:cs="Book Antiqua"/>
                <w:color w:val="000000"/>
                <w:u w:color="000000"/>
                <w:lang w:eastAsia="en-IN" w:bidi="ta-IN"/>
              </w:rPr>
            </w:pPr>
            <w:r>
              <w:rPr>
                <w:rFonts w:ascii="Book Antiqua" w:hAnsi="Book Antiqua" w:eastAsia="Calibri" w:cs="Calibri"/>
                <w:color w:val="000000"/>
                <w:u w:color="000000"/>
                <w:lang w:eastAsia="en-IN" w:bidi="ta-IN"/>
              </w:rPr>
              <w:t>24 (55.8)</w:t>
            </w:r>
          </w:p>
        </w:tc>
        <w:tc>
          <w:tcPr>
            <w:tcW w:w="585" w:type="pct"/>
          </w:tcPr>
          <w:p>
            <w:pPr>
              <w:spacing w:line="360" w:lineRule="auto"/>
              <w:contextualSpacing/>
              <w:jc w:val="both"/>
              <w:rPr>
                <w:rFonts w:ascii="Book Antiqua" w:hAnsi="Book Antiqua" w:eastAsia="等线" w:cs="Latha"/>
                <w:lang w:bidi="ta-IN"/>
              </w:rPr>
            </w:pPr>
          </w:p>
        </w:tc>
      </w:tr>
      <w:tr>
        <w:tblPrEx>
          <w:tblBorders>
            <w:top w:val="single" w:color="7F7F7F" w:sz="4" w:space="0"/>
            <w:left w:val="none" w:color="auto" w:sz="0" w:space="0"/>
            <w:bottom w:val="single" w:color="7F7F7F"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355" w:type="pct"/>
          </w:tcPr>
          <w:p>
            <w:pPr>
              <w:pBdr>
                <w:top w:val="none" w:color="auto" w:sz="0" w:space="0"/>
                <w:left w:val="none" w:color="auto" w:sz="0" w:space="0"/>
                <w:bottom w:val="none" w:color="auto" w:sz="0" w:space="0"/>
                <w:right w:val="none" w:color="auto" w:sz="0" w:space="0"/>
                <w:between w:val="none" w:color="auto" w:sz="0" w:space="0"/>
              </w:pBdr>
              <w:spacing w:line="360" w:lineRule="auto"/>
              <w:contextualSpacing/>
              <w:jc w:val="both"/>
              <w:rPr>
                <w:rFonts w:ascii="Book Antiqua" w:hAnsi="Book Antiqua" w:eastAsia="Calibri" w:cs="Calibri"/>
                <w:color w:val="000000"/>
                <w:u w:color="000000"/>
                <w:lang w:eastAsia="en-IN" w:bidi="ta-IN"/>
              </w:rPr>
            </w:pPr>
            <w:r>
              <w:rPr>
                <w:rFonts w:ascii="Book Antiqua" w:hAnsi="Book Antiqua" w:eastAsia="Calibri" w:cs="Calibri"/>
                <w:color w:val="000000"/>
                <w:u w:color="000000"/>
                <w:lang w:eastAsia="en-IN" w:bidi="ta-IN"/>
              </w:rPr>
              <w:t>Laparoscopic</w:t>
            </w:r>
          </w:p>
        </w:tc>
        <w:tc>
          <w:tcPr>
            <w:tcW w:w="1030" w:type="pct"/>
          </w:tcPr>
          <w:p>
            <w:pPr>
              <w:pBdr>
                <w:top w:val="none" w:color="auto" w:sz="0" w:space="0"/>
                <w:left w:val="none" w:color="auto" w:sz="0" w:space="0"/>
                <w:bottom w:val="none" w:color="auto" w:sz="0" w:space="0"/>
                <w:right w:val="none" w:color="auto" w:sz="0" w:space="0"/>
                <w:between w:val="none" w:color="auto" w:sz="0" w:space="0"/>
              </w:pBdr>
              <w:spacing w:line="360" w:lineRule="auto"/>
              <w:contextualSpacing/>
              <w:jc w:val="both"/>
              <w:rPr>
                <w:rFonts w:ascii="Book Antiqua" w:hAnsi="Book Antiqua" w:eastAsia="Book Antiqua" w:cs="Book Antiqua"/>
                <w:color w:val="000000"/>
                <w:u w:color="000000"/>
                <w:lang w:eastAsia="en-IN" w:bidi="ta-IN"/>
              </w:rPr>
            </w:pPr>
            <w:r>
              <w:rPr>
                <w:rFonts w:ascii="Book Antiqua" w:hAnsi="Book Antiqua" w:eastAsia="Calibri" w:cs="Calibri"/>
                <w:color w:val="000000"/>
                <w:u w:color="000000"/>
                <w:lang w:eastAsia="en-IN" w:bidi="ta-IN"/>
              </w:rPr>
              <w:t>6 (33.3)</w:t>
            </w:r>
          </w:p>
        </w:tc>
        <w:tc>
          <w:tcPr>
            <w:tcW w:w="1030" w:type="pct"/>
          </w:tcPr>
          <w:p>
            <w:pPr>
              <w:pBdr>
                <w:top w:val="none" w:color="auto" w:sz="0" w:space="0"/>
                <w:left w:val="none" w:color="auto" w:sz="0" w:space="0"/>
                <w:bottom w:val="none" w:color="auto" w:sz="0" w:space="0"/>
                <w:right w:val="none" w:color="auto" w:sz="0" w:space="0"/>
                <w:between w:val="none" w:color="auto" w:sz="0" w:space="0"/>
              </w:pBdr>
              <w:spacing w:line="360" w:lineRule="auto"/>
              <w:contextualSpacing/>
              <w:jc w:val="both"/>
              <w:rPr>
                <w:rFonts w:ascii="Book Antiqua" w:hAnsi="Book Antiqua" w:eastAsia="Book Antiqua" w:cs="Book Antiqua"/>
                <w:color w:val="000000"/>
                <w:u w:color="000000"/>
                <w:lang w:eastAsia="en-IN" w:bidi="ta-IN"/>
              </w:rPr>
            </w:pPr>
            <w:r>
              <w:rPr>
                <w:rFonts w:ascii="Book Antiqua" w:hAnsi="Book Antiqua" w:eastAsia="Calibri" w:cs="Calibri"/>
                <w:color w:val="000000"/>
                <w:u w:color="000000"/>
                <w:lang w:eastAsia="en-IN" w:bidi="ta-IN"/>
              </w:rPr>
              <w:t>12 (27.9)</w:t>
            </w:r>
          </w:p>
        </w:tc>
        <w:tc>
          <w:tcPr>
            <w:tcW w:w="585" w:type="pct"/>
          </w:tcPr>
          <w:p>
            <w:pPr>
              <w:spacing w:line="360" w:lineRule="auto"/>
              <w:contextualSpacing/>
              <w:jc w:val="both"/>
              <w:rPr>
                <w:rFonts w:ascii="Book Antiqua" w:hAnsi="Book Antiqua" w:eastAsia="等线" w:cs="Latha"/>
                <w:lang w:bidi="ta-IN"/>
              </w:rPr>
            </w:pPr>
          </w:p>
        </w:tc>
      </w:tr>
      <w:tr>
        <w:tblPrEx>
          <w:tblBorders>
            <w:top w:val="single" w:color="7F7F7F" w:sz="4" w:space="0"/>
            <w:left w:val="none" w:color="auto" w:sz="0" w:space="0"/>
            <w:bottom w:val="single" w:color="7F7F7F"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355" w:type="pct"/>
          </w:tcPr>
          <w:p>
            <w:pPr>
              <w:pBdr>
                <w:top w:val="none" w:color="auto" w:sz="0" w:space="0"/>
                <w:left w:val="none" w:color="auto" w:sz="0" w:space="0"/>
                <w:bottom w:val="none" w:color="auto" w:sz="0" w:space="0"/>
                <w:right w:val="none" w:color="auto" w:sz="0" w:space="0"/>
                <w:between w:val="none" w:color="auto" w:sz="0" w:space="0"/>
              </w:pBdr>
              <w:spacing w:line="360" w:lineRule="auto"/>
              <w:contextualSpacing/>
              <w:jc w:val="both"/>
              <w:rPr>
                <w:rFonts w:ascii="Book Antiqua" w:hAnsi="Book Antiqua" w:eastAsia="Calibri" w:cs="Calibri"/>
                <w:color w:val="000000"/>
                <w:u w:color="000000"/>
                <w:lang w:eastAsia="en-IN" w:bidi="ta-IN"/>
              </w:rPr>
            </w:pPr>
            <w:r>
              <w:rPr>
                <w:rFonts w:ascii="Book Antiqua" w:hAnsi="Book Antiqua" w:eastAsia="等线" w:cs="Latha"/>
                <w:lang w:bidi="ta-IN"/>
              </w:rPr>
              <w:t>Robot assisted</w:t>
            </w:r>
          </w:p>
        </w:tc>
        <w:tc>
          <w:tcPr>
            <w:tcW w:w="1030" w:type="pct"/>
          </w:tcPr>
          <w:p>
            <w:pPr>
              <w:pBdr>
                <w:top w:val="none" w:color="auto" w:sz="0" w:space="0"/>
                <w:left w:val="none" w:color="auto" w:sz="0" w:space="0"/>
                <w:bottom w:val="none" w:color="auto" w:sz="0" w:space="0"/>
                <w:right w:val="none" w:color="auto" w:sz="0" w:space="0"/>
                <w:between w:val="none" w:color="auto" w:sz="0" w:space="0"/>
              </w:pBdr>
              <w:spacing w:line="360" w:lineRule="auto"/>
              <w:contextualSpacing/>
              <w:jc w:val="both"/>
              <w:rPr>
                <w:rFonts w:ascii="Book Antiqua" w:hAnsi="Book Antiqua" w:eastAsia="Book Antiqua" w:cs="Book Antiqua"/>
                <w:color w:val="000000"/>
                <w:u w:color="000000"/>
                <w:lang w:eastAsia="en-IN" w:bidi="ta-IN"/>
              </w:rPr>
            </w:pPr>
            <w:r>
              <w:rPr>
                <w:rFonts w:ascii="Book Antiqua" w:hAnsi="Book Antiqua" w:eastAsia="等线" w:cs="Latha"/>
                <w:lang w:bidi="ta-IN"/>
              </w:rPr>
              <w:t>3 (16.7)</w:t>
            </w:r>
          </w:p>
        </w:tc>
        <w:tc>
          <w:tcPr>
            <w:tcW w:w="1030" w:type="pct"/>
          </w:tcPr>
          <w:p>
            <w:pPr>
              <w:pBdr>
                <w:top w:val="none" w:color="auto" w:sz="0" w:space="0"/>
                <w:left w:val="none" w:color="auto" w:sz="0" w:space="0"/>
                <w:bottom w:val="none" w:color="auto" w:sz="0" w:space="0"/>
                <w:right w:val="none" w:color="auto" w:sz="0" w:space="0"/>
                <w:between w:val="none" w:color="auto" w:sz="0" w:space="0"/>
              </w:pBdr>
              <w:spacing w:line="360" w:lineRule="auto"/>
              <w:contextualSpacing/>
              <w:jc w:val="both"/>
              <w:rPr>
                <w:rFonts w:ascii="Book Antiqua" w:hAnsi="Book Antiqua" w:eastAsia="Book Antiqua" w:cs="Book Antiqua"/>
                <w:color w:val="000000"/>
                <w:u w:color="000000"/>
                <w:lang w:eastAsia="en-IN" w:bidi="ta-IN"/>
              </w:rPr>
            </w:pPr>
            <w:r>
              <w:rPr>
                <w:rFonts w:ascii="Book Antiqua" w:hAnsi="Book Antiqua" w:eastAsia="等线" w:cs="Latha"/>
                <w:lang w:bidi="ta-IN"/>
              </w:rPr>
              <w:t>7 (16.3)</w:t>
            </w:r>
          </w:p>
        </w:tc>
        <w:tc>
          <w:tcPr>
            <w:tcW w:w="585" w:type="pct"/>
          </w:tcPr>
          <w:p>
            <w:pPr>
              <w:spacing w:line="360" w:lineRule="auto"/>
              <w:contextualSpacing/>
              <w:jc w:val="both"/>
              <w:rPr>
                <w:rFonts w:ascii="Book Antiqua" w:hAnsi="Book Antiqua" w:eastAsia="等线" w:cs="Latha"/>
                <w:lang w:bidi="ta-IN"/>
              </w:rPr>
            </w:pPr>
            <w:r>
              <w:rPr>
                <w:rFonts w:ascii="Book Antiqua" w:hAnsi="Book Antiqua" w:eastAsia="等线" w:cs="Latha"/>
                <w:lang w:bidi="ta-IN"/>
              </w:rPr>
              <w:t>0.927</w:t>
            </w:r>
          </w:p>
        </w:tc>
      </w:tr>
      <w:tr>
        <w:tblPrEx>
          <w:tblBorders>
            <w:top w:val="single" w:color="7F7F7F" w:sz="4" w:space="0"/>
            <w:left w:val="none" w:color="auto" w:sz="0" w:space="0"/>
            <w:bottom w:val="single" w:color="7F7F7F"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355" w:type="pct"/>
          </w:tcPr>
          <w:p>
            <w:pPr>
              <w:pBdr>
                <w:top w:val="none" w:color="auto" w:sz="0" w:space="0"/>
                <w:left w:val="none" w:color="auto" w:sz="0" w:space="0"/>
                <w:bottom w:val="none" w:color="auto" w:sz="0" w:space="0"/>
                <w:right w:val="none" w:color="auto" w:sz="0" w:space="0"/>
                <w:between w:val="none" w:color="auto" w:sz="0" w:space="0"/>
              </w:pBdr>
              <w:spacing w:line="360" w:lineRule="auto"/>
              <w:contextualSpacing/>
              <w:jc w:val="both"/>
              <w:rPr>
                <w:rFonts w:ascii="Book Antiqua" w:hAnsi="Book Antiqua" w:eastAsia="Book Antiqua" w:cs="Book Antiqua"/>
                <w:color w:val="000000"/>
                <w:u w:color="000000"/>
                <w:lang w:eastAsia="en-IN" w:bidi="ta-IN"/>
              </w:rPr>
            </w:pPr>
            <w:r>
              <w:rPr>
                <w:rFonts w:ascii="Book Antiqua" w:hAnsi="Book Antiqua" w:eastAsia="Calibri" w:cs="Calibri"/>
                <w:color w:val="000000"/>
                <w:u w:color="000000"/>
                <w:lang w:eastAsia="en-IN" w:bidi="ta-IN"/>
              </w:rPr>
              <w:t xml:space="preserve">Delayed gastric emptying, </w:t>
            </w:r>
            <w:r>
              <w:rPr>
                <w:rFonts w:ascii="Book Antiqua" w:hAnsi="Book Antiqua" w:eastAsia="Calibri" w:cs="Calibri"/>
                <w:i/>
                <w:color w:val="000000"/>
                <w:u w:color="000000"/>
                <w:lang w:eastAsia="en-IN" w:bidi="ta-IN"/>
              </w:rPr>
              <w:t>n</w:t>
            </w:r>
            <w:r>
              <w:rPr>
                <w:rFonts w:ascii="Book Antiqua" w:hAnsi="Book Antiqua" w:eastAsia="Calibri" w:cs="Calibri"/>
                <w:color w:val="000000"/>
                <w:u w:color="000000"/>
                <w:lang w:eastAsia="en-IN" w:bidi="ta-IN"/>
              </w:rPr>
              <w:t xml:space="preserve"> (%)</w:t>
            </w:r>
          </w:p>
        </w:tc>
        <w:tc>
          <w:tcPr>
            <w:tcW w:w="1030" w:type="pct"/>
          </w:tcPr>
          <w:p>
            <w:pPr>
              <w:pBdr>
                <w:top w:val="none" w:color="auto" w:sz="0" w:space="0"/>
                <w:left w:val="none" w:color="auto" w:sz="0" w:space="0"/>
                <w:bottom w:val="none" w:color="auto" w:sz="0" w:space="0"/>
                <w:right w:val="none" w:color="auto" w:sz="0" w:space="0"/>
                <w:between w:val="none" w:color="auto" w:sz="0" w:space="0"/>
              </w:pBdr>
              <w:spacing w:line="360" w:lineRule="auto"/>
              <w:contextualSpacing/>
              <w:jc w:val="both"/>
              <w:rPr>
                <w:rFonts w:ascii="Book Antiqua" w:hAnsi="Book Antiqua" w:eastAsia="Book Antiqua" w:cs="Book Antiqua"/>
                <w:color w:val="000000"/>
                <w:u w:color="000000"/>
                <w:lang w:eastAsia="en-IN" w:bidi="ta-IN"/>
              </w:rPr>
            </w:pPr>
            <w:r>
              <w:rPr>
                <w:rFonts w:ascii="Book Antiqua" w:hAnsi="Book Antiqua" w:eastAsia="Calibri" w:cs="Calibri"/>
                <w:color w:val="000000"/>
                <w:u w:color="000000"/>
                <w:lang w:eastAsia="en-IN" w:bidi="ta-IN"/>
              </w:rPr>
              <w:t>15 (83.3)</w:t>
            </w:r>
          </w:p>
        </w:tc>
        <w:tc>
          <w:tcPr>
            <w:tcW w:w="1030" w:type="pct"/>
          </w:tcPr>
          <w:p>
            <w:pPr>
              <w:pBdr>
                <w:top w:val="none" w:color="auto" w:sz="0" w:space="0"/>
                <w:left w:val="none" w:color="auto" w:sz="0" w:space="0"/>
                <w:bottom w:val="none" w:color="auto" w:sz="0" w:space="0"/>
                <w:right w:val="none" w:color="auto" w:sz="0" w:space="0"/>
                <w:between w:val="none" w:color="auto" w:sz="0" w:space="0"/>
              </w:pBdr>
              <w:spacing w:line="360" w:lineRule="auto"/>
              <w:contextualSpacing/>
              <w:jc w:val="both"/>
              <w:rPr>
                <w:rFonts w:ascii="Book Antiqua" w:hAnsi="Book Antiqua" w:eastAsia="Book Antiqua" w:cs="Book Antiqua"/>
                <w:color w:val="000000"/>
                <w:u w:color="000000"/>
                <w:lang w:eastAsia="en-IN" w:bidi="ta-IN"/>
              </w:rPr>
            </w:pPr>
            <w:r>
              <w:rPr>
                <w:rFonts w:ascii="Book Antiqua" w:hAnsi="Book Antiqua" w:eastAsia="Calibri" w:cs="Calibri"/>
                <w:color w:val="000000"/>
                <w:u w:color="000000"/>
                <w:lang w:eastAsia="en-IN" w:bidi="ta-IN"/>
              </w:rPr>
              <w:t>13 (30.2)</w:t>
            </w:r>
          </w:p>
        </w:tc>
        <w:tc>
          <w:tcPr>
            <w:tcW w:w="585" w:type="pct"/>
          </w:tcPr>
          <w:p>
            <w:pPr>
              <w:spacing w:line="360" w:lineRule="auto"/>
              <w:contextualSpacing/>
              <w:jc w:val="both"/>
              <w:rPr>
                <w:rFonts w:ascii="Book Antiqua" w:hAnsi="Book Antiqua" w:eastAsia="等线" w:cs="Latha"/>
                <w:lang w:bidi="ta-IN"/>
              </w:rPr>
            </w:pPr>
            <w:r>
              <w:rPr>
                <w:rFonts w:ascii="Book Antiqua" w:hAnsi="Book Antiqua" w:eastAsia="等线" w:cs="Latha"/>
                <w:lang w:bidi="ta-IN"/>
              </w:rPr>
              <w:t>&lt; 0.001</w:t>
            </w:r>
          </w:p>
        </w:tc>
      </w:tr>
      <w:tr>
        <w:tblPrEx>
          <w:tblBorders>
            <w:top w:val="single" w:color="7F7F7F" w:sz="4" w:space="0"/>
            <w:left w:val="none" w:color="auto" w:sz="0" w:space="0"/>
            <w:bottom w:val="single" w:color="7F7F7F"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355" w:type="pct"/>
          </w:tcPr>
          <w:p>
            <w:pPr>
              <w:pBdr>
                <w:top w:val="none" w:color="auto" w:sz="0" w:space="0"/>
                <w:left w:val="none" w:color="auto" w:sz="0" w:space="0"/>
                <w:bottom w:val="none" w:color="auto" w:sz="0" w:space="0"/>
                <w:right w:val="none" w:color="auto" w:sz="0" w:space="0"/>
                <w:between w:val="none" w:color="auto" w:sz="0" w:space="0"/>
              </w:pBdr>
              <w:spacing w:line="360" w:lineRule="auto"/>
              <w:contextualSpacing/>
              <w:jc w:val="both"/>
              <w:rPr>
                <w:rFonts w:ascii="Book Antiqua" w:hAnsi="Book Antiqua" w:eastAsia="Book Antiqua" w:cs="Book Antiqua"/>
                <w:color w:val="000000"/>
                <w:u w:color="000000"/>
                <w:lang w:eastAsia="en-IN" w:bidi="ta-IN"/>
              </w:rPr>
            </w:pPr>
            <w:r>
              <w:rPr>
                <w:rFonts w:ascii="Book Antiqua" w:hAnsi="Book Antiqua" w:eastAsia="Calibri" w:cs="Calibri"/>
                <w:color w:val="000000"/>
                <w:u w:color="000000"/>
                <w:lang w:eastAsia="en-IN" w:bidi="ta-IN"/>
              </w:rPr>
              <w:t xml:space="preserve">Postpancreatectomy hemorrhage, </w:t>
            </w:r>
            <w:r>
              <w:rPr>
                <w:rFonts w:ascii="Book Antiqua" w:hAnsi="Book Antiqua" w:eastAsia="Calibri" w:cs="Calibri"/>
                <w:i/>
                <w:color w:val="000000"/>
                <w:u w:color="000000"/>
                <w:lang w:eastAsia="en-IN" w:bidi="ta-IN"/>
              </w:rPr>
              <w:t>n</w:t>
            </w:r>
            <w:r>
              <w:rPr>
                <w:rFonts w:ascii="Book Antiqua" w:hAnsi="Book Antiqua" w:eastAsia="Calibri" w:cs="Calibri"/>
                <w:color w:val="000000"/>
                <w:u w:color="000000"/>
                <w:lang w:eastAsia="en-IN" w:bidi="ta-IN"/>
              </w:rPr>
              <w:t xml:space="preserve"> (%)</w:t>
            </w:r>
          </w:p>
        </w:tc>
        <w:tc>
          <w:tcPr>
            <w:tcW w:w="1030" w:type="pct"/>
          </w:tcPr>
          <w:p>
            <w:pPr>
              <w:pBdr>
                <w:top w:val="none" w:color="auto" w:sz="0" w:space="0"/>
                <w:left w:val="none" w:color="auto" w:sz="0" w:space="0"/>
                <w:bottom w:val="none" w:color="auto" w:sz="0" w:space="0"/>
                <w:right w:val="none" w:color="auto" w:sz="0" w:space="0"/>
                <w:between w:val="none" w:color="auto" w:sz="0" w:space="0"/>
              </w:pBdr>
              <w:spacing w:line="360" w:lineRule="auto"/>
              <w:contextualSpacing/>
              <w:jc w:val="both"/>
              <w:rPr>
                <w:rFonts w:ascii="Book Antiqua" w:hAnsi="Book Antiqua" w:eastAsia="Book Antiqua" w:cs="Book Antiqua"/>
                <w:color w:val="000000"/>
                <w:u w:color="000000"/>
                <w:lang w:eastAsia="en-IN" w:bidi="ta-IN"/>
              </w:rPr>
            </w:pPr>
            <w:r>
              <w:rPr>
                <w:rFonts w:ascii="Book Antiqua" w:hAnsi="Book Antiqua" w:eastAsia="Calibri" w:cs="Calibri"/>
                <w:color w:val="000000"/>
                <w:u w:color="000000"/>
                <w:lang w:eastAsia="en-IN" w:bidi="ta-IN"/>
              </w:rPr>
              <w:t xml:space="preserve"> 3 (16.7)</w:t>
            </w:r>
          </w:p>
        </w:tc>
        <w:tc>
          <w:tcPr>
            <w:tcW w:w="1030" w:type="pct"/>
          </w:tcPr>
          <w:p>
            <w:pPr>
              <w:pBdr>
                <w:top w:val="none" w:color="auto" w:sz="0" w:space="0"/>
                <w:left w:val="none" w:color="auto" w:sz="0" w:space="0"/>
                <w:bottom w:val="none" w:color="auto" w:sz="0" w:space="0"/>
                <w:right w:val="none" w:color="auto" w:sz="0" w:space="0"/>
                <w:between w:val="none" w:color="auto" w:sz="0" w:space="0"/>
              </w:pBdr>
              <w:spacing w:line="360" w:lineRule="auto"/>
              <w:contextualSpacing/>
              <w:jc w:val="both"/>
              <w:rPr>
                <w:rFonts w:ascii="Book Antiqua" w:hAnsi="Book Antiqua" w:eastAsia="Book Antiqua" w:cs="Book Antiqua"/>
                <w:color w:val="000000"/>
                <w:u w:color="000000"/>
                <w:lang w:eastAsia="en-IN" w:bidi="ta-IN"/>
              </w:rPr>
            </w:pPr>
            <w:r>
              <w:rPr>
                <w:rFonts w:ascii="Book Antiqua" w:hAnsi="Book Antiqua" w:eastAsia="Calibri" w:cs="Calibri"/>
                <w:color w:val="000000"/>
                <w:u w:color="000000"/>
                <w:lang w:eastAsia="en-IN" w:bidi="ta-IN"/>
              </w:rPr>
              <w:t xml:space="preserve"> 4 (9.3)</w:t>
            </w:r>
          </w:p>
        </w:tc>
        <w:tc>
          <w:tcPr>
            <w:tcW w:w="585" w:type="pct"/>
          </w:tcPr>
          <w:p>
            <w:pPr>
              <w:spacing w:line="360" w:lineRule="auto"/>
              <w:contextualSpacing/>
              <w:jc w:val="both"/>
              <w:rPr>
                <w:rFonts w:ascii="Book Antiqua" w:hAnsi="Book Antiqua" w:eastAsia="等线" w:cs="Latha"/>
                <w:lang w:bidi="ta-IN"/>
              </w:rPr>
            </w:pPr>
            <w:r>
              <w:rPr>
                <w:rFonts w:ascii="Book Antiqua" w:hAnsi="Book Antiqua" w:eastAsia="等线" w:cs="Latha"/>
                <w:lang w:bidi="ta-IN"/>
              </w:rPr>
              <w:t>0.662</w:t>
            </w:r>
          </w:p>
        </w:tc>
      </w:tr>
      <w:tr>
        <w:tblPrEx>
          <w:tblBorders>
            <w:top w:val="single" w:color="7F7F7F" w:sz="4" w:space="0"/>
            <w:left w:val="none" w:color="auto" w:sz="0" w:space="0"/>
            <w:bottom w:val="single" w:color="7F7F7F"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355" w:type="pct"/>
          </w:tcPr>
          <w:p>
            <w:pPr>
              <w:spacing w:line="360" w:lineRule="auto"/>
              <w:contextualSpacing/>
              <w:jc w:val="both"/>
              <w:rPr>
                <w:rFonts w:ascii="Book Antiqua" w:hAnsi="Book Antiqua" w:eastAsia="等线" w:cs="Latha"/>
                <w:lang w:bidi="ta-IN"/>
              </w:rPr>
            </w:pPr>
            <w:r>
              <w:rPr>
                <w:rFonts w:ascii="Book Antiqua" w:hAnsi="Book Antiqua" w:eastAsia="等线" w:cs="Latha"/>
                <w:lang w:bidi="ta-IN"/>
              </w:rPr>
              <w:t xml:space="preserve">Intra-abdominal abscess, </w:t>
            </w:r>
            <w:r>
              <w:rPr>
                <w:rFonts w:ascii="Book Antiqua" w:hAnsi="Book Antiqua" w:eastAsia="Calibri" w:cs="Calibri"/>
                <w:i/>
                <w:color w:val="000000"/>
                <w:u w:color="000000"/>
                <w:lang w:eastAsia="en-IN" w:bidi="ta-IN"/>
              </w:rPr>
              <w:t>n</w:t>
            </w:r>
            <w:r>
              <w:rPr>
                <w:rFonts w:ascii="Book Antiqua" w:hAnsi="Book Antiqua" w:eastAsia="Calibri" w:cs="Calibri"/>
                <w:color w:val="000000"/>
                <w:u w:color="000000"/>
                <w:lang w:eastAsia="en-IN" w:bidi="ta-IN"/>
              </w:rPr>
              <w:t xml:space="preserve"> (%)</w:t>
            </w:r>
          </w:p>
        </w:tc>
        <w:tc>
          <w:tcPr>
            <w:tcW w:w="1030" w:type="pct"/>
          </w:tcPr>
          <w:p>
            <w:pPr>
              <w:pBdr>
                <w:top w:val="none" w:color="auto" w:sz="0" w:space="0"/>
                <w:left w:val="none" w:color="auto" w:sz="0" w:space="0"/>
                <w:bottom w:val="none" w:color="auto" w:sz="0" w:space="0"/>
                <w:right w:val="none" w:color="auto" w:sz="0" w:space="0"/>
                <w:between w:val="none" w:color="auto" w:sz="0" w:space="0"/>
              </w:pBdr>
              <w:spacing w:line="360" w:lineRule="auto"/>
              <w:contextualSpacing/>
              <w:jc w:val="both"/>
              <w:rPr>
                <w:rFonts w:ascii="Book Antiqua" w:hAnsi="Book Antiqua" w:eastAsia="Book Antiqua" w:cs="Book Antiqua"/>
                <w:color w:val="000000"/>
                <w:u w:color="000000"/>
                <w:lang w:eastAsia="en-IN" w:bidi="ta-IN"/>
              </w:rPr>
            </w:pPr>
            <w:r>
              <w:rPr>
                <w:rFonts w:ascii="Book Antiqua" w:hAnsi="Book Antiqua" w:eastAsia="Calibri" w:cs="Calibri"/>
                <w:color w:val="000000"/>
                <w:u w:color="000000"/>
                <w:lang w:eastAsia="en-IN" w:bidi="ta-IN"/>
              </w:rPr>
              <w:t xml:space="preserve"> 9 (50)</w:t>
            </w:r>
          </w:p>
        </w:tc>
        <w:tc>
          <w:tcPr>
            <w:tcW w:w="1030" w:type="pct"/>
          </w:tcPr>
          <w:p>
            <w:pPr>
              <w:pBdr>
                <w:top w:val="none" w:color="auto" w:sz="0" w:space="0"/>
                <w:left w:val="none" w:color="auto" w:sz="0" w:space="0"/>
                <w:bottom w:val="none" w:color="auto" w:sz="0" w:space="0"/>
                <w:right w:val="none" w:color="auto" w:sz="0" w:space="0"/>
                <w:between w:val="none" w:color="auto" w:sz="0" w:space="0"/>
              </w:pBdr>
              <w:spacing w:line="360" w:lineRule="auto"/>
              <w:contextualSpacing/>
              <w:jc w:val="both"/>
              <w:rPr>
                <w:rFonts w:ascii="Book Antiqua" w:hAnsi="Book Antiqua" w:eastAsia="Book Antiqua" w:cs="Book Antiqua"/>
                <w:color w:val="000000"/>
                <w:u w:color="000000"/>
                <w:lang w:eastAsia="en-IN" w:bidi="ta-IN"/>
              </w:rPr>
            </w:pPr>
            <w:r>
              <w:rPr>
                <w:rFonts w:ascii="Book Antiqua" w:hAnsi="Book Antiqua" w:eastAsia="Calibri" w:cs="Calibri"/>
                <w:color w:val="000000"/>
                <w:u w:color="000000"/>
                <w:lang w:eastAsia="en-IN" w:bidi="ta-IN"/>
              </w:rPr>
              <w:t xml:space="preserve"> 1 (2.3)</w:t>
            </w:r>
          </w:p>
        </w:tc>
        <w:tc>
          <w:tcPr>
            <w:tcW w:w="585" w:type="pct"/>
          </w:tcPr>
          <w:p>
            <w:pPr>
              <w:spacing w:line="360" w:lineRule="auto"/>
              <w:contextualSpacing/>
              <w:jc w:val="both"/>
              <w:rPr>
                <w:rFonts w:ascii="Book Antiqua" w:hAnsi="Book Antiqua" w:eastAsia="等线" w:cs="Latha"/>
                <w:lang w:bidi="ta-IN"/>
              </w:rPr>
            </w:pPr>
            <w:r>
              <w:rPr>
                <w:rFonts w:ascii="Book Antiqua" w:hAnsi="Book Antiqua" w:eastAsia="等线" w:cs="Latha"/>
                <w:lang w:bidi="ta-IN"/>
              </w:rPr>
              <w:t>&lt; 0.001</w:t>
            </w:r>
          </w:p>
        </w:tc>
      </w:tr>
      <w:tr>
        <w:tblPrEx>
          <w:tblBorders>
            <w:top w:val="single" w:color="7F7F7F" w:sz="4" w:space="0"/>
            <w:left w:val="none" w:color="auto" w:sz="0" w:space="0"/>
            <w:bottom w:val="single" w:color="7F7F7F"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355" w:type="pct"/>
          </w:tcPr>
          <w:p>
            <w:pPr>
              <w:spacing w:line="360" w:lineRule="auto"/>
              <w:contextualSpacing/>
              <w:jc w:val="both"/>
              <w:rPr>
                <w:rFonts w:ascii="Book Antiqua" w:hAnsi="Book Antiqua" w:eastAsia="等线" w:cs="Latha"/>
                <w:lang w:bidi="ta-IN"/>
              </w:rPr>
            </w:pPr>
            <w:r>
              <w:rPr>
                <w:rFonts w:ascii="Book Antiqua" w:hAnsi="Book Antiqua" w:eastAsia="等线" w:cs="Latha"/>
                <w:lang w:bidi="ta-IN"/>
              </w:rPr>
              <w:t>Hospital stay in d, mean ± SD</w:t>
            </w:r>
          </w:p>
        </w:tc>
        <w:tc>
          <w:tcPr>
            <w:tcW w:w="1030" w:type="pct"/>
          </w:tcPr>
          <w:p>
            <w:pPr>
              <w:spacing w:line="360" w:lineRule="auto"/>
              <w:contextualSpacing/>
              <w:jc w:val="both"/>
              <w:rPr>
                <w:rFonts w:ascii="Book Antiqua" w:hAnsi="Book Antiqua" w:eastAsia="等线" w:cs="Latha"/>
                <w:lang w:bidi="ta-IN"/>
              </w:rPr>
            </w:pPr>
            <w:r>
              <w:rPr>
                <w:rFonts w:ascii="Book Antiqua" w:hAnsi="Book Antiqua" w:eastAsia="等线" w:cs="Latha"/>
                <w:lang w:bidi="ta-IN"/>
              </w:rPr>
              <w:t>26.8 ± 13.9</w:t>
            </w:r>
          </w:p>
        </w:tc>
        <w:tc>
          <w:tcPr>
            <w:tcW w:w="1030" w:type="pct"/>
          </w:tcPr>
          <w:p>
            <w:pPr>
              <w:spacing w:line="360" w:lineRule="auto"/>
              <w:contextualSpacing/>
              <w:jc w:val="both"/>
              <w:rPr>
                <w:rFonts w:ascii="Book Antiqua" w:hAnsi="Book Antiqua" w:eastAsia="等线" w:cs="Latha"/>
                <w:lang w:bidi="ta-IN"/>
              </w:rPr>
            </w:pPr>
            <w:r>
              <w:rPr>
                <w:rFonts w:ascii="Book Antiqua" w:hAnsi="Book Antiqua" w:eastAsia="等线" w:cs="Latha"/>
                <w:lang w:bidi="ta-IN"/>
              </w:rPr>
              <w:t>9.6 ±.6</w:t>
            </w:r>
          </w:p>
        </w:tc>
        <w:tc>
          <w:tcPr>
            <w:tcW w:w="585" w:type="pct"/>
          </w:tcPr>
          <w:p>
            <w:pPr>
              <w:spacing w:line="360" w:lineRule="auto"/>
              <w:contextualSpacing/>
              <w:jc w:val="both"/>
              <w:rPr>
                <w:rFonts w:ascii="Book Antiqua" w:hAnsi="Book Antiqua" w:eastAsia="等线" w:cs="Latha"/>
                <w:lang w:bidi="ta-IN"/>
              </w:rPr>
            </w:pPr>
            <w:r>
              <w:rPr>
                <w:rFonts w:ascii="Book Antiqua" w:hAnsi="Book Antiqua" w:eastAsia="等线" w:cs="Latha"/>
                <w:lang w:bidi="ta-IN"/>
              </w:rPr>
              <w:t>0.001</w:t>
            </w:r>
          </w:p>
        </w:tc>
      </w:tr>
      <w:tr>
        <w:tblPrEx>
          <w:tblBorders>
            <w:top w:val="single" w:color="7F7F7F" w:sz="4" w:space="0"/>
            <w:left w:val="none" w:color="auto" w:sz="0" w:space="0"/>
            <w:bottom w:val="single" w:color="7F7F7F"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355" w:type="pct"/>
          </w:tcPr>
          <w:p>
            <w:pPr>
              <w:pBdr>
                <w:top w:val="none" w:color="auto" w:sz="0" w:space="0"/>
                <w:left w:val="none" w:color="auto" w:sz="0" w:space="0"/>
                <w:bottom w:val="none" w:color="auto" w:sz="0" w:space="0"/>
                <w:right w:val="none" w:color="auto" w:sz="0" w:space="0"/>
                <w:between w:val="none" w:color="auto" w:sz="0" w:space="0"/>
              </w:pBdr>
              <w:spacing w:line="360" w:lineRule="auto"/>
              <w:contextualSpacing/>
              <w:jc w:val="both"/>
              <w:rPr>
                <w:rFonts w:ascii="Book Antiqua" w:hAnsi="Book Antiqua" w:eastAsia="等线" w:cs="Latha"/>
                <w:lang w:bidi="ta-IN"/>
              </w:rPr>
            </w:pPr>
            <w:r>
              <w:rPr>
                <w:rFonts w:ascii="Book Antiqua" w:hAnsi="Book Antiqua" w:eastAsia="Calibri" w:cs="Calibri"/>
                <w:color w:val="000000"/>
                <w:u w:color="000000"/>
                <w:lang w:eastAsia="en-IN" w:bidi="ta-IN"/>
              </w:rPr>
              <w:t xml:space="preserve">Pathology, </w:t>
            </w:r>
            <w:r>
              <w:rPr>
                <w:rFonts w:ascii="Book Antiqua" w:hAnsi="Book Antiqua" w:eastAsia="Calibri" w:cs="Calibri"/>
                <w:i/>
                <w:color w:val="000000"/>
                <w:u w:color="000000"/>
                <w:lang w:eastAsia="en-IN" w:bidi="ta-IN"/>
              </w:rPr>
              <w:t>n</w:t>
            </w:r>
            <w:r>
              <w:rPr>
                <w:rFonts w:ascii="Book Antiqua" w:hAnsi="Book Antiqua" w:eastAsia="Calibri" w:cs="Calibri"/>
                <w:color w:val="000000"/>
                <w:u w:color="000000"/>
                <w:lang w:eastAsia="en-IN" w:bidi="ta-IN"/>
              </w:rPr>
              <w:t xml:space="preserve"> (%)</w:t>
            </w:r>
          </w:p>
        </w:tc>
        <w:tc>
          <w:tcPr>
            <w:tcW w:w="1030" w:type="pct"/>
          </w:tcPr>
          <w:p>
            <w:pPr>
              <w:spacing w:line="360" w:lineRule="auto"/>
              <w:contextualSpacing/>
              <w:jc w:val="both"/>
              <w:rPr>
                <w:rFonts w:ascii="Book Antiqua" w:hAnsi="Book Antiqua" w:eastAsia="等线" w:cs="Latha"/>
                <w:lang w:bidi="ta-IN"/>
              </w:rPr>
            </w:pPr>
          </w:p>
        </w:tc>
        <w:tc>
          <w:tcPr>
            <w:tcW w:w="1030" w:type="pct"/>
          </w:tcPr>
          <w:p>
            <w:pPr>
              <w:spacing w:line="360" w:lineRule="auto"/>
              <w:contextualSpacing/>
              <w:jc w:val="both"/>
              <w:rPr>
                <w:rFonts w:ascii="Book Antiqua" w:hAnsi="Book Antiqua" w:eastAsia="等线" w:cs="Latha"/>
                <w:lang w:bidi="ta-IN"/>
              </w:rPr>
            </w:pPr>
          </w:p>
        </w:tc>
        <w:tc>
          <w:tcPr>
            <w:tcW w:w="585" w:type="pct"/>
          </w:tcPr>
          <w:p>
            <w:pPr>
              <w:spacing w:line="360" w:lineRule="auto"/>
              <w:contextualSpacing/>
              <w:jc w:val="both"/>
              <w:rPr>
                <w:rFonts w:ascii="Book Antiqua" w:hAnsi="Book Antiqua" w:eastAsia="等线" w:cs="Latha"/>
                <w:lang w:bidi="ta-IN"/>
              </w:rPr>
            </w:pPr>
          </w:p>
        </w:tc>
      </w:tr>
      <w:tr>
        <w:tblPrEx>
          <w:tblBorders>
            <w:top w:val="single" w:color="7F7F7F" w:sz="4" w:space="0"/>
            <w:left w:val="none" w:color="auto" w:sz="0" w:space="0"/>
            <w:bottom w:val="single" w:color="7F7F7F"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355" w:type="pct"/>
          </w:tcPr>
          <w:p>
            <w:pPr>
              <w:pBdr>
                <w:top w:val="none" w:color="auto" w:sz="0" w:space="0"/>
                <w:left w:val="none" w:color="auto" w:sz="0" w:space="0"/>
                <w:bottom w:val="none" w:color="auto" w:sz="0" w:space="0"/>
                <w:right w:val="none" w:color="auto" w:sz="0" w:space="0"/>
                <w:between w:val="none" w:color="auto" w:sz="0" w:space="0"/>
              </w:pBdr>
              <w:spacing w:line="360" w:lineRule="auto"/>
              <w:contextualSpacing/>
              <w:jc w:val="both"/>
              <w:rPr>
                <w:rFonts w:ascii="Book Antiqua" w:hAnsi="Book Antiqua" w:eastAsia="Calibri" w:cs="Calibri"/>
                <w:color w:val="000000"/>
                <w:u w:color="000000"/>
                <w:lang w:eastAsia="en-IN" w:bidi="ta-IN"/>
              </w:rPr>
            </w:pPr>
            <w:r>
              <w:rPr>
                <w:rFonts w:ascii="Book Antiqua" w:hAnsi="Book Antiqua" w:eastAsia="Calibri" w:cs="Calibri"/>
                <w:color w:val="000000"/>
                <w:u w:color="000000"/>
                <w:lang w:eastAsia="en-IN" w:bidi="ta-IN"/>
              </w:rPr>
              <w:t>Malignant</w:t>
            </w:r>
          </w:p>
        </w:tc>
        <w:tc>
          <w:tcPr>
            <w:tcW w:w="1030" w:type="pct"/>
          </w:tcPr>
          <w:p>
            <w:pPr>
              <w:pBdr>
                <w:top w:val="none" w:color="auto" w:sz="0" w:space="0"/>
                <w:left w:val="none" w:color="auto" w:sz="0" w:space="0"/>
                <w:bottom w:val="none" w:color="auto" w:sz="0" w:space="0"/>
                <w:right w:val="none" w:color="auto" w:sz="0" w:space="0"/>
                <w:between w:val="none" w:color="auto" w:sz="0" w:space="0"/>
              </w:pBdr>
              <w:spacing w:line="360" w:lineRule="auto"/>
              <w:contextualSpacing/>
              <w:jc w:val="both"/>
              <w:rPr>
                <w:rFonts w:ascii="Book Antiqua" w:hAnsi="Book Antiqua" w:eastAsia="Book Antiqua" w:cs="Book Antiqua"/>
                <w:color w:val="000000"/>
                <w:u w:color="000000"/>
                <w:lang w:eastAsia="en-IN" w:bidi="ta-IN"/>
              </w:rPr>
            </w:pPr>
            <w:r>
              <w:rPr>
                <w:rFonts w:ascii="Book Antiqua" w:hAnsi="Book Antiqua" w:eastAsia="Calibri" w:cs="Calibri"/>
                <w:color w:val="000000"/>
                <w:u w:color="000000"/>
                <w:lang w:eastAsia="en-IN" w:bidi="ta-IN"/>
              </w:rPr>
              <w:t>17 (94.4)</w:t>
            </w:r>
          </w:p>
        </w:tc>
        <w:tc>
          <w:tcPr>
            <w:tcW w:w="1030" w:type="pct"/>
          </w:tcPr>
          <w:p>
            <w:pPr>
              <w:pBdr>
                <w:top w:val="none" w:color="auto" w:sz="0" w:space="0"/>
                <w:left w:val="none" w:color="auto" w:sz="0" w:space="0"/>
                <w:bottom w:val="none" w:color="auto" w:sz="0" w:space="0"/>
                <w:right w:val="none" w:color="auto" w:sz="0" w:space="0"/>
                <w:between w:val="none" w:color="auto" w:sz="0" w:space="0"/>
              </w:pBdr>
              <w:spacing w:line="360" w:lineRule="auto"/>
              <w:contextualSpacing/>
              <w:jc w:val="both"/>
              <w:rPr>
                <w:rFonts w:ascii="Book Antiqua" w:hAnsi="Book Antiqua" w:eastAsia="Book Antiqua" w:cs="Book Antiqua"/>
                <w:color w:val="000000"/>
                <w:u w:color="000000"/>
                <w:lang w:eastAsia="en-IN" w:bidi="ta-IN"/>
              </w:rPr>
            </w:pPr>
            <w:r>
              <w:rPr>
                <w:rFonts w:ascii="Book Antiqua" w:hAnsi="Book Antiqua" w:eastAsia="Calibri" w:cs="Calibri"/>
                <w:color w:val="000000"/>
                <w:u w:color="000000"/>
                <w:lang w:eastAsia="en-IN" w:bidi="ta-IN"/>
              </w:rPr>
              <w:t>35 (81.4)</w:t>
            </w:r>
          </w:p>
        </w:tc>
        <w:tc>
          <w:tcPr>
            <w:tcW w:w="585" w:type="pct"/>
          </w:tcPr>
          <w:p>
            <w:pPr>
              <w:spacing w:line="360" w:lineRule="auto"/>
              <w:contextualSpacing/>
              <w:jc w:val="both"/>
              <w:rPr>
                <w:rFonts w:ascii="Book Antiqua" w:hAnsi="Book Antiqua" w:eastAsia="等线" w:cs="Latha"/>
                <w:lang w:bidi="ta-IN"/>
              </w:rPr>
            </w:pPr>
          </w:p>
        </w:tc>
      </w:tr>
      <w:tr>
        <w:tblPrEx>
          <w:tblBorders>
            <w:top w:val="single" w:color="7F7F7F" w:sz="4" w:space="0"/>
            <w:left w:val="none" w:color="auto" w:sz="0" w:space="0"/>
            <w:bottom w:val="single" w:color="7F7F7F"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355" w:type="pct"/>
          </w:tcPr>
          <w:p>
            <w:pPr>
              <w:pBdr>
                <w:top w:val="none" w:color="auto" w:sz="0" w:space="0"/>
                <w:left w:val="none" w:color="auto" w:sz="0" w:space="0"/>
                <w:bottom w:val="none" w:color="auto" w:sz="0" w:space="0"/>
                <w:right w:val="none" w:color="auto" w:sz="0" w:space="0"/>
                <w:between w:val="none" w:color="auto" w:sz="0" w:space="0"/>
              </w:pBdr>
              <w:spacing w:line="360" w:lineRule="auto"/>
              <w:contextualSpacing/>
              <w:jc w:val="both"/>
              <w:rPr>
                <w:rFonts w:ascii="Book Antiqua" w:hAnsi="Book Antiqua" w:eastAsia="Calibri" w:cs="Calibri"/>
                <w:color w:val="000000"/>
                <w:u w:color="000000"/>
                <w:lang w:eastAsia="en-IN" w:bidi="ta-IN"/>
              </w:rPr>
            </w:pPr>
            <w:r>
              <w:rPr>
                <w:rFonts w:ascii="Book Antiqua" w:hAnsi="Book Antiqua" w:eastAsia="等线" w:cs="Latha"/>
                <w:lang w:bidi="ta-IN"/>
              </w:rPr>
              <w:t>Benign</w:t>
            </w:r>
          </w:p>
        </w:tc>
        <w:tc>
          <w:tcPr>
            <w:tcW w:w="1030" w:type="pct"/>
          </w:tcPr>
          <w:p>
            <w:pPr>
              <w:pBdr>
                <w:top w:val="none" w:color="auto" w:sz="0" w:space="0"/>
                <w:left w:val="none" w:color="auto" w:sz="0" w:space="0"/>
                <w:bottom w:val="none" w:color="auto" w:sz="0" w:space="0"/>
                <w:right w:val="none" w:color="auto" w:sz="0" w:space="0"/>
                <w:between w:val="none" w:color="auto" w:sz="0" w:space="0"/>
              </w:pBdr>
              <w:spacing w:line="360" w:lineRule="auto"/>
              <w:contextualSpacing/>
              <w:jc w:val="both"/>
              <w:rPr>
                <w:rFonts w:ascii="Book Antiqua" w:hAnsi="Book Antiqua" w:eastAsia="Book Antiqua" w:cs="Book Antiqua"/>
                <w:color w:val="000000"/>
                <w:u w:color="000000"/>
                <w:lang w:eastAsia="en-IN" w:bidi="ta-IN"/>
              </w:rPr>
            </w:pPr>
            <w:r>
              <w:rPr>
                <w:rFonts w:ascii="Book Antiqua" w:hAnsi="Book Antiqua" w:eastAsia="等线" w:cs="Latha"/>
                <w:lang w:bidi="ta-IN"/>
              </w:rPr>
              <w:t>1 (5.6)</w:t>
            </w:r>
          </w:p>
        </w:tc>
        <w:tc>
          <w:tcPr>
            <w:tcW w:w="1030" w:type="pct"/>
          </w:tcPr>
          <w:p>
            <w:pPr>
              <w:pBdr>
                <w:top w:val="none" w:color="auto" w:sz="0" w:space="0"/>
                <w:left w:val="none" w:color="auto" w:sz="0" w:space="0"/>
                <w:bottom w:val="none" w:color="auto" w:sz="0" w:space="0"/>
                <w:right w:val="none" w:color="auto" w:sz="0" w:space="0"/>
                <w:between w:val="none" w:color="auto" w:sz="0" w:space="0"/>
              </w:pBdr>
              <w:spacing w:line="360" w:lineRule="auto"/>
              <w:contextualSpacing/>
              <w:jc w:val="both"/>
              <w:rPr>
                <w:rFonts w:ascii="Book Antiqua" w:hAnsi="Book Antiqua" w:eastAsia="Book Antiqua" w:cs="Book Antiqua"/>
                <w:color w:val="000000"/>
                <w:u w:color="000000"/>
                <w:lang w:eastAsia="en-IN" w:bidi="ta-IN"/>
              </w:rPr>
            </w:pPr>
            <w:r>
              <w:rPr>
                <w:rFonts w:ascii="Book Antiqua" w:hAnsi="Book Antiqua" w:eastAsia="等线" w:cs="Latha"/>
                <w:lang w:bidi="ta-IN"/>
              </w:rPr>
              <w:t>8 (18.6)</w:t>
            </w:r>
          </w:p>
        </w:tc>
        <w:tc>
          <w:tcPr>
            <w:tcW w:w="585" w:type="pct"/>
          </w:tcPr>
          <w:p>
            <w:pPr>
              <w:spacing w:line="360" w:lineRule="auto"/>
              <w:contextualSpacing/>
              <w:jc w:val="both"/>
              <w:rPr>
                <w:rFonts w:ascii="Book Antiqua" w:hAnsi="Book Antiqua" w:eastAsia="等线" w:cs="Latha"/>
                <w:lang w:bidi="ta-IN"/>
              </w:rPr>
            </w:pPr>
            <w:r>
              <w:rPr>
                <w:rFonts w:ascii="Book Antiqua" w:hAnsi="Book Antiqua" w:eastAsia="等线" w:cs="Latha"/>
                <w:lang w:bidi="ta-IN"/>
              </w:rPr>
              <w:t>0.259</w:t>
            </w:r>
          </w:p>
        </w:tc>
      </w:tr>
      <w:tr>
        <w:tblPrEx>
          <w:tblBorders>
            <w:top w:val="single" w:color="7F7F7F" w:sz="4" w:space="0"/>
            <w:left w:val="none" w:color="auto" w:sz="0" w:space="0"/>
            <w:bottom w:val="single" w:color="7F7F7F"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355" w:type="pct"/>
          </w:tcPr>
          <w:p>
            <w:pPr>
              <w:pBdr>
                <w:top w:val="none" w:color="auto" w:sz="0" w:space="0"/>
                <w:left w:val="none" w:color="auto" w:sz="0" w:space="0"/>
                <w:bottom w:val="none" w:color="auto" w:sz="0" w:space="0"/>
                <w:right w:val="none" w:color="auto" w:sz="0" w:space="0"/>
                <w:between w:val="none" w:color="auto" w:sz="0" w:space="0"/>
              </w:pBdr>
              <w:spacing w:line="360" w:lineRule="auto"/>
              <w:contextualSpacing/>
              <w:jc w:val="both"/>
              <w:rPr>
                <w:rFonts w:ascii="Book Antiqua" w:hAnsi="Book Antiqua" w:eastAsia="Book Antiqua" w:cs="Book Antiqua"/>
                <w:color w:val="000000"/>
                <w:u w:color="000000"/>
                <w:lang w:eastAsia="en-IN" w:bidi="ta-IN"/>
              </w:rPr>
            </w:pPr>
            <w:r>
              <w:rPr>
                <w:rFonts w:ascii="Book Antiqua" w:hAnsi="Book Antiqua" w:eastAsia="Calibri" w:cs="Calibri"/>
                <w:color w:val="000000"/>
                <w:u w:color="000000"/>
                <w:lang w:eastAsia="en-IN" w:bidi="ta-IN"/>
              </w:rPr>
              <w:t xml:space="preserve">Fat fraction, </w:t>
            </w:r>
            <w:r>
              <w:rPr>
                <w:rFonts w:ascii="Book Antiqua" w:hAnsi="Book Antiqua" w:eastAsia="Calibri" w:cs="Calibri"/>
                <w:i/>
                <w:color w:val="000000"/>
                <w:u w:color="000000"/>
                <w:lang w:eastAsia="en-IN" w:bidi="ta-IN"/>
              </w:rPr>
              <w:t>n</w:t>
            </w:r>
            <w:r>
              <w:rPr>
                <w:rFonts w:ascii="Book Antiqua" w:hAnsi="Book Antiqua" w:eastAsia="Calibri" w:cs="Calibri"/>
                <w:color w:val="000000"/>
                <w:u w:color="000000"/>
                <w:lang w:eastAsia="en-IN" w:bidi="ta-IN"/>
              </w:rPr>
              <w:t xml:space="preserve"> (%)</w:t>
            </w:r>
          </w:p>
        </w:tc>
        <w:tc>
          <w:tcPr>
            <w:tcW w:w="1030" w:type="pct"/>
          </w:tcPr>
          <w:p>
            <w:pPr>
              <w:spacing w:line="360" w:lineRule="auto"/>
              <w:contextualSpacing/>
              <w:jc w:val="both"/>
              <w:rPr>
                <w:rFonts w:ascii="Book Antiqua" w:hAnsi="Book Antiqua" w:eastAsia="等线" w:cs="Latha"/>
                <w:lang w:bidi="ta-IN"/>
              </w:rPr>
            </w:pPr>
          </w:p>
        </w:tc>
        <w:tc>
          <w:tcPr>
            <w:tcW w:w="1030" w:type="pct"/>
          </w:tcPr>
          <w:p>
            <w:pPr>
              <w:spacing w:line="360" w:lineRule="auto"/>
              <w:contextualSpacing/>
              <w:jc w:val="both"/>
              <w:rPr>
                <w:rFonts w:ascii="Book Antiqua" w:hAnsi="Book Antiqua" w:eastAsia="等线" w:cs="Latha"/>
                <w:lang w:bidi="ta-IN"/>
              </w:rPr>
            </w:pPr>
          </w:p>
        </w:tc>
        <w:tc>
          <w:tcPr>
            <w:tcW w:w="585" w:type="pct"/>
          </w:tcPr>
          <w:p>
            <w:pPr>
              <w:spacing w:line="360" w:lineRule="auto"/>
              <w:contextualSpacing/>
              <w:jc w:val="both"/>
              <w:rPr>
                <w:rFonts w:ascii="Book Antiqua" w:hAnsi="Book Antiqua" w:eastAsia="等线" w:cs="Latha"/>
                <w:lang w:bidi="ta-IN"/>
              </w:rPr>
            </w:pPr>
          </w:p>
        </w:tc>
      </w:tr>
      <w:tr>
        <w:tblPrEx>
          <w:tblBorders>
            <w:top w:val="single" w:color="7F7F7F" w:sz="4" w:space="0"/>
            <w:left w:val="none" w:color="auto" w:sz="0" w:space="0"/>
            <w:bottom w:val="single" w:color="7F7F7F"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355" w:type="pct"/>
          </w:tcPr>
          <w:p>
            <w:pPr>
              <w:pBdr>
                <w:top w:val="none" w:color="auto" w:sz="0" w:space="0"/>
                <w:left w:val="none" w:color="auto" w:sz="0" w:space="0"/>
                <w:bottom w:val="none" w:color="auto" w:sz="0" w:space="0"/>
                <w:right w:val="none" w:color="auto" w:sz="0" w:space="0"/>
                <w:between w:val="none" w:color="auto" w:sz="0" w:space="0"/>
              </w:pBdr>
              <w:spacing w:line="360" w:lineRule="auto"/>
              <w:contextualSpacing/>
              <w:jc w:val="both"/>
              <w:rPr>
                <w:rFonts w:ascii="Book Antiqua" w:hAnsi="Book Antiqua" w:eastAsia="Calibri" w:cs="Calibri"/>
                <w:color w:val="000000"/>
                <w:u w:color="000000"/>
                <w:lang w:eastAsia="en-IN" w:bidi="ta-IN"/>
              </w:rPr>
            </w:pPr>
            <w:r>
              <w:rPr>
                <w:rFonts w:ascii="Book Antiqua" w:hAnsi="Book Antiqua" w:eastAsia="Calibri" w:cs="Calibri"/>
                <w:color w:val="000000"/>
                <w:u w:color="000000"/>
                <w:lang w:eastAsia="en-IN" w:bidi="ta-IN"/>
              </w:rPr>
              <w:t xml:space="preserve">Absent </w:t>
            </w:r>
          </w:p>
        </w:tc>
        <w:tc>
          <w:tcPr>
            <w:tcW w:w="1030" w:type="pct"/>
          </w:tcPr>
          <w:p>
            <w:pPr>
              <w:pBdr>
                <w:top w:val="none" w:color="auto" w:sz="0" w:space="0"/>
                <w:left w:val="none" w:color="auto" w:sz="0" w:space="0"/>
                <w:bottom w:val="none" w:color="auto" w:sz="0" w:space="0"/>
                <w:right w:val="none" w:color="auto" w:sz="0" w:space="0"/>
                <w:between w:val="none" w:color="auto" w:sz="0" w:space="0"/>
              </w:pBdr>
              <w:spacing w:line="360" w:lineRule="auto"/>
              <w:contextualSpacing/>
              <w:jc w:val="both"/>
              <w:rPr>
                <w:rFonts w:ascii="Book Antiqua" w:hAnsi="Book Antiqua" w:eastAsia="Book Antiqua" w:cs="Book Antiqua"/>
                <w:color w:val="000000"/>
                <w:u w:color="000000"/>
                <w:lang w:eastAsia="en-IN" w:bidi="ta-IN"/>
              </w:rPr>
            </w:pPr>
            <w:r>
              <w:rPr>
                <w:rFonts w:ascii="Book Antiqua" w:hAnsi="Book Antiqua" w:eastAsia="Calibri" w:cs="Calibri"/>
                <w:color w:val="000000"/>
                <w:u w:color="000000"/>
                <w:lang w:eastAsia="en-IN" w:bidi="ta-IN"/>
              </w:rPr>
              <w:t>6 (33.3)</w:t>
            </w:r>
          </w:p>
        </w:tc>
        <w:tc>
          <w:tcPr>
            <w:tcW w:w="1030" w:type="pct"/>
          </w:tcPr>
          <w:p>
            <w:pPr>
              <w:pBdr>
                <w:top w:val="none" w:color="auto" w:sz="0" w:space="0"/>
                <w:left w:val="none" w:color="auto" w:sz="0" w:space="0"/>
                <w:bottom w:val="none" w:color="auto" w:sz="0" w:space="0"/>
                <w:right w:val="none" w:color="auto" w:sz="0" w:space="0"/>
                <w:between w:val="none" w:color="auto" w:sz="0" w:space="0"/>
              </w:pBdr>
              <w:spacing w:line="360" w:lineRule="auto"/>
              <w:contextualSpacing/>
              <w:jc w:val="both"/>
              <w:rPr>
                <w:rFonts w:ascii="Book Antiqua" w:hAnsi="Book Antiqua" w:eastAsia="Book Antiqua" w:cs="Book Antiqua"/>
                <w:color w:val="000000"/>
                <w:u w:color="000000"/>
                <w:lang w:eastAsia="en-IN" w:bidi="ta-IN"/>
              </w:rPr>
            </w:pPr>
            <w:r>
              <w:rPr>
                <w:rFonts w:ascii="Book Antiqua" w:hAnsi="Book Antiqua" w:eastAsia="Calibri" w:cs="Calibri"/>
                <w:color w:val="000000"/>
                <w:u w:color="000000"/>
                <w:lang w:eastAsia="en-IN" w:bidi="ta-IN"/>
              </w:rPr>
              <w:t>20 (46.5)</w:t>
            </w:r>
          </w:p>
        </w:tc>
        <w:tc>
          <w:tcPr>
            <w:tcW w:w="585" w:type="pct"/>
          </w:tcPr>
          <w:p>
            <w:pPr>
              <w:spacing w:line="360" w:lineRule="auto"/>
              <w:contextualSpacing/>
              <w:jc w:val="both"/>
              <w:rPr>
                <w:rFonts w:ascii="Book Antiqua" w:hAnsi="Book Antiqua" w:eastAsia="等线" w:cs="Latha"/>
                <w:lang w:bidi="ta-IN"/>
              </w:rPr>
            </w:pPr>
          </w:p>
        </w:tc>
      </w:tr>
      <w:tr>
        <w:tblPrEx>
          <w:tblBorders>
            <w:top w:val="single" w:color="7F7F7F" w:sz="4" w:space="0"/>
            <w:left w:val="none" w:color="auto" w:sz="0" w:space="0"/>
            <w:bottom w:val="single" w:color="7F7F7F"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355" w:type="pct"/>
          </w:tcPr>
          <w:p>
            <w:pPr>
              <w:pBdr>
                <w:top w:val="none" w:color="auto" w:sz="0" w:space="0"/>
                <w:left w:val="none" w:color="auto" w:sz="0" w:space="0"/>
                <w:bottom w:val="none" w:color="auto" w:sz="0" w:space="0"/>
                <w:right w:val="none" w:color="auto" w:sz="0" w:space="0"/>
                <w:between w:val="none" w:color="auto" w:sz="0" w:space="0"/>
              </w:pBdr>
              <w:spacing w:line="360" w:lineRule="auto"/>
              <w:contextualSpacing/>
              <w:jc w:val="both"/>
              <w:rPr>
                <w:rFonts w:ascii="Book Antiqua" w:hAnsi="Book Antiqua" w:eastAsia="Calibri" w:cs="Calibri"/>
                <w:color w:val="000000"/>
                <w:u w:color="000000"/>
                <w:lang w:eastAsia="en-IN" w:bidi="ta-IN"/>
              </w:rPr>
            </w:pPr>
            <w:r>
              <w:rPr>
                <w:rFonts w:ascii="Book Antiqua" w:hAnsi="Book Antiqua" w:eastAsia="Calibri" w:cs="Calibri"/>
                <w:color w:val="000000"/>
                <w:u w:color="000000"/>
                <w:lang w:eastAsia="en-IN" w:bidi="ta-IN"/>
              </w:rPr>
              <w:t>Mild</w:t>
            </w:r>
          </w:p>
        </w:tc>
        <w:tc>
          <w:tcPr>
            <w:tcW w:w="1030" w:type="pct"/>
          </w:tcPr>
          <w:p>
            <w:pPr>
              <w:pBdr>
                <w:top w:val="none" w:color="auto" w:sz="0" w:space="0"/>
                <w:left w:val="none" w:color="auto" w:sz="0" w:space="0"/>
                <w:bottom w:val="none" w:color="auto" w:sz="0" w:space="0"/>
                <w:right w:val="none" w:color="auto" w:sz="0" w:space="0"/>
                <w:between w:val="none" w:color="auto" w:sz="0" w:space="0"/>
              </w:pBdr>
              <w:spacing w:line="360" w:lineRule="auto"/>
              <w:contextualSpacing/>
              <w:jc w:val="both"/>
              <w:rPr>
                <w:rFonts w:ascii="Book Antiqua" w:hAnsi="Book Antiqua" w:eastAsia="Book Antiqua" w:cs="Book Antiqua"/>
                <w:color w:val="000000"/>
                <w:u w:color="000000"/>
                <w:lang w:eastAsia="en-IN" w:bidi="ta-IN"/>
              </w:rPr>
            </w:pPr>
            <w:r>
              <w:rPr>
                <w:rFonts w:ascii="Book Antiqua" w:hAnsi="Book Antiqua" w:eastAsia="Calibri" w:cs="Calibri"/>
                <w:color w:val="000000"/>
                <w:u w:color="000000"/>
                <w:lang w:eastAsia="en-IN" w:bidi="ta-IN"/>
              </w:rPr>
              <w:t>9 (50.0)</w:t>
            </w:r>
          </w:p>
        </w:tc>
        <w:tc>
          <w:tcPr>
            <w:tcW w:w="1030" w:type="pct"/>
          </w:tcPr>
          <w:p>
            <w:pPr>
              <w:pBdr>
                <w:top w:val="none" w:color="auto" w:sz="0" w:space="0"/>
                <w:left w:val="none" w:color="auto" w:sz="0" w:space="0"/>
                <w:bottom w:val="none" w:color="auto" w:sz="0" w:space="0"/>
                <w:right w:val="none" w:color="auto" w:sz="0" w:space="0"/>
                <w:between w:val="none" w:color="auto" w:sz="0" w:space="0"/>
              </w:pBdr>
              <w:spacing w:line="360" w:lineRule="auto"/>
              <w:contextualSpacing/>
              <w:jc w:val="both"/>
              <w:rPr>
                <w:rFonts w:ascii="Book Antiqua" w:hAnsi="Book Antiqua" w:eastAsia="Book Antiqua" w:cs="Book Antiqua"/>
                <w:color w:val="000000"/>
                <w:u w:color="000000"/>
                <w:lang w:eastAsia="en-IN" w:bidi="ta-IN"/>
              </w:rPr>
            </w:pPr>
            <w:r>
              <w:rPr>
                <w:rFonts w:ascii="Book Antiqua" w:hAnsi="Book Antiqua" w:eastAsia="Calibri" w:cs="Calibri"/>
                <w:color w:val="000000"/>
                <w:u w:color="000000"/>
                <w:lang w:eastAsia="en-IN" w:bidi="ta-IN"/>
              </w:rPr>
              <w:t>17 (39.6)</w:t>
            </w:r>
          </w:p>
        </w:tc>
        <w:tc>
          <w:tcPr>
            <w:tcW w:w="585" w:type="pct"/>
          </w:tcPr>
          <w:p>
            <w:pPr>
              <w:spacing w:line="360" w:lineRule="auto"/>
              <w:contextualSpacing/>
              <w:jc w:val="both"/>
              <w:rPr>
                <w:rFonts w:ascii="Book Antiqua" w:hAnsi="Book Antiqua" w:eastAsia="等线" w:cs="Latha"/>
                <w:lang w:bidi="ta-IN"/>
              </w:rPr>
            </w:pPr>
            <w:r>
              <w:rPr>
                <w:rFonts w:ascii="Book Antiqua" w:hAnsi="Book Antiqua" w:eastAsia="等线" w:cs="Latha"/>
                <w:lang w:bidi="ta-IN"/>
              </w:rPr>
              <w:t>0.669</w:t>
            </w:r>
          </w:p>
        </w:tc>
      </w:tr>
      <w:tr>
        <w:tblPrEx>
          <w:tblBorders>
            <w:top w:val="single" w:color="7F7F7F" w:sz="4" w:space="0"/>
            <w:left w:val="none" w:color="auto" w:sz="0" w:space="0"/>
            <w:bottom w:val="single" w:color="7F7F7F"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355" w:type="pct"/>
          </w:tcPr>
          <w:p>
            <w:pPr>
              <w:pBdr>
                <w:top w:val="none" w:color="auto" w:sz="0" w:space="0"/>
                <w:left w:val="none" w:color="auto" w:sz="0" w:space="0"/>
                <w:bottom w:val="none" w:color="auto" w:sz="0" w:space="0"/>
                <w:right w:val="none" w:color="auto" w:sz="0" w:space="0"/>
                <w:between w:val="none" w:color="auto" w:sz="0" w:space="0"/>
              </w:pBdr>
              <w:spacing w:line="360" w:lineRule="auto"/>
              <w:contextualSpacing/>
              <w:jc w:val="both"/>
              <w:rPr>
                <w:rFonts w:ascii="Book Antiqua" w:hAnsi="Book Antiqua" w:eastAsia="Calibri" w:cs="Calibri"/>
                <w:color w:val="000000"/>
                <w:u w:color="000000"/>
                <w:lang w:eastAsia="en-IN" w:bidi="ta-IN"/>
              </w:rPr>
            </w:pPr>
            <w:r>
              <w:rPr>
                <w:rFonts w:ascii="Book Antiqua" w:hAnsi="Book Antiqua" w:eastAsia="Calibri" w:cs="Calibri"/>
                <w:color w:val="000000"/>
                <w:u w:color="000000"/>
                <w:lang w:eastAsia="en-IN" w:bidi="ta-IN"/>
              </w:rPr>
              <w:t>Moderate</w:t>
            </w:r>
          </w:p>
        </w:tc>
        <w:tc>
          <w:tcPr>
            <w:tcW w:w="1030" w:type="pct"/>
          </w:tcPr>
          <w:p>
            <w:pPr>
              <w:pBdr>
                <w:top w:val="none" w:color="auto" w:sz="0" w:space="0"/>
                <w:left w:val="none" w:color="auto" w:sz="0" w:space="0"/>
                <w:bottom w:val="none" w:color="auto" w:sz="0" w:space="0"/>
                <w:right w:val="none" w:color="auto" w:sz="0" w:space="0"/>
                <w:between w:val="none" w:color="auto" w:sz="0" w:space="0"/>
              </w:pBdr>
              <w:spacing w:line="360" w:lineRule="auto"/>
              <w:contextualSpacing/>
              <w:jc w:val="both"/>
              <w:rPr>
                <w:rFonts w:ascii="Book Antiqua" w:hAnsi="Book Antiqua" w:eastAsia="Book Antiqua" w:cs="Book Antiqua"/>
                <w:color w:val="000000"/>
                <w:u w:color="000000"/>
                <w:lang w:eastAsia="en-IN" w:bidi="ta-IN"/>
              </w:rPr>
            </w:pPr>
            <w:r>
              <w:rPr>
                <w:rFonts w:ascii="Book Antiqua" w:hAnsi="Book Antiqua" w:eastAsia="等线" w:cs="Latha"/>
                <w:lang w:bidi="ta-IN"/>
              </w:rPr>
              <w:t>3 (16.7)</w:t>
            </w:r>
          </w:p>
        </w:tc>
        <w:tc>
          <w:tcPr>
            <w:tcW w:w="1030" w:type="pct"/>
          </w:tcPr>
          <w:p>
            <w:pPr>
              <w:pBdr>
                <w:top w:val="none" w:color="auto" w:sz="0" w:space="0"/>
                <w:left w:val="none" w:color="auto" w:sz="0" w:space="0"/>
                <w:bottom w:val="none" w:color="auto" w:sz="0" w:space="0"/>
                <w:right w:val="none" w:color="auto" w:sz="0" w:space="0"/>
                <w:between w:val="none" w:color="auto" w:sz="0" w:space="0"/>
              </w:pBdr>
              <w:spacing w:line="360" w:lineRule="auto"/>
              <w:contextualSpacing/>
              <w:jc w:val="both"/>
              <w:rPr>
                <w:rFonts w:ascii="Book Antiqua" w:hAnsi="Book Antiqua" w:eastAsia="Book Antiqua" w:cs="Book Antiqua"/>
                <w:color w:val="000000"/>
                <w:u w:color="000000"/>
                <w:lang w:eastAsia="en-IN" w:bidi="ta-IN"/>
              </w:rPr>
            </w:pPr>
            <w:r>
              <w:rPr>
                <w:rFonts w:ascii="Book Antiqua" w:hAnsi="Book Antiqua" w:eastAsia="等线" w:cs="Latha"/>
                <w:lang w:bidi="ta-IN"/>
              </w:rPr>
              <w:t>6 (13.9)</w:t>
            </w:r>
          </w:p>
        </w:tc>
        <w:tc>
          <w:tcPr>
            <w:tcW w:w="585" w:type="pct"/>
          </w:tcPr>
          <w:p>
            <w:pPr>
              <w:spacing w:line="360" w:lineRule="auto"/>
              <w:contextualSpacing/>
              <w:jc w:val="both"/>
              <w:rPr>
                <w:rFonts w:ascii="Book Antiqua" w:hAnsi="Book Antiqua" w:eastAsia="等线" w:cs="Latha"/>
                <w:lang w:bidi="ta-IN"/>
              </w:rPr>
            </w:pPr>
          </w:p>
        </w:tc>
      </w:tr>
      <w:tr>
        <w:tblPrEx>
          <w:tblBorders>
            <w:top w:val="single" w:color="7F7F7F" w:sz="4" w:space="0"/>
            <w:left w:val="none" w:color="auto" w:sz="0" w:space="0"/>
            <w:bottom w:val="single" w:color="7F7F7F"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355" w:type="pct"/>
          </w:tcPr>
          <w:p>
            <w:pPr>
              <w:pBdr>
                <w:top w:val="none" w:color="auto" w:sz="0" w:space="0"/>
                <w:left w:val="none" w:color="auto" w:sz="0" w:space="0"/>
                <w:bottom w:val="none" w:color="auto" w:sz="0" w:space="0"/>
                <w:right w:val="none" w:color="auto" w:sz="0" w:space="0"/>
                <w:between w:val="none" w:color="auto" w:sz="0" w:space="0"/>
              </w:pBdr>
              <w:spacing w:line="360" w:lineRule="auto"/>
              <w:contextualSpacing/>
              <w:jc w:val="both"/>
              <w:rPr>
                <w:rFonts w:ascii="Book Antiqua" w:hAnsi="Book Antiqua" w:eastAsia="等线" w:cs="Latha"/>
                <w:lang w:bidi="ta-IN"/>
              </w:rPr>
            </w:pPr>
            <w:r>
              <w:rPr>
                <w:rFonts w:ascii="Book Antiqua" w:hAnsi="Book Antiqua" w:eastAsia="Calibri" w:cs="Calibri"/>
                <w:color w:val="000000"/>
                <w:u w:color="000000"/>
                <w:lang w:eastAsia="en-IN" w:bidi="ta-IN"/>
              </w:rPr>
              <w:t>Fibrosis score,</w:t>
            </w:r>
            <w:r>
              <w:rPr>
                <w:rFonts w:ascii="Book Antiqua" w:hAnsi="Book Antiqua" w:eastAsia="Calibri" w:cs="Calibri"/>
                <w:i/>
                <w:color w:val="000000"/>
                <w:u w:color="000000"/>
                <w:lang w:eastAsia="en-IN" w:bidi="ta-IN"/>
              </w:rPr>
              <w:t xml:space="preserve"> n</w:t>
            </w:r>
            <w:r>
              <w:rPr>
                <w:rFonts w:ascii="Book Antiqua" w:hAnsi="Book Antiqua" w:eastAsia="Calibri" w:cs="Calibri"/>
                <w:color w:val="000000"/>
                <w:u w:color="000000"/>
                <w:lang w:eastAsia="en-IN" w:bidi="ta-IN"/>
              </w:rPr>
              <w:t xml:space="preserve"> (%)</w:t>
            </w:r>
          </w:p>
        </w:tc>
        <w:tc>
          <w:tcPr>
            <w:tcW w:w="1030" w:type="pct"/>
          </w:tcPr>
          <w:p>
            <w:pPr>
              <w:spacing w:line="360" w:lineRule="auto"/>
              <w:contextualSpacing/>
              <w:jc w:val="both"/>
              <w:rPr>
                <w:rFonts w:ascii="Book Antiqua" w:hAnsi="Book Antiqua" w:eastAsia="等线" w:cs="Latha"/>
                <w:lang w:bidi="ta-IN"/>
              </w:rPr>
            </w:pPr>
          </w:p>
        </w:tc>
        <w:tc>
          <w:tcPr>
            <w:tcW w:w="1030" w:type="pct"/>
          </w:tcPr>
          <w:p>
            <w:pPr>
              <w:spacing w:line="360" w:lineRule="auto"/>
              <w:contextualSpacing/>
              <w:jc w:val="both"/>
              <w:rPr>
                <w:rFonts w:ascii="Book Antiqua" w:hAnsi="Book Antiqua" w:eastAsia="等线" w:cs="Latha"/>
                <w:lang w:bidi="ta-IN"/>
              </w:rPr>
            </w:pPr>
          </w:p>
        </w:tc>
        <w:tc>
          <w:tcPr>
            <w:tcW w:w="585" w:type="pct"/>
          </w:tcPr>
          <w:p>
            <w:pPr>
              <w:spacing w:line="360" w:lineRule="auto"/>
              <w:contextualSpacing/>
              <w:jc w:val="both"/>
              <w:rPr>
                <w:rFonts w:ascii="Book Antiqua" w:hAnsi="Book Antiqua" w:eastAsia="等线" w:cs="Latha"/>
                <w:lang w:bidi="ta-IN"/>
              </w:rPr>
            </w:pPr>
          </w:p>
        </w:tc>
      </w:tr>
      <w:tr>
        <w:tblPrEx>
          <w:tblBorders>
            <w:top w:val="single" w:color="7F7F7F" w:sz="4" w:space="0"/>
            <w:left w:val="none" w:color="auto" w:sz="0" w:space="0"/>
            <w:bottom w:val="single" w:color="7F7F7F"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355" w:type="pct"/>
          </w:tcPr>
          <w:p>
            <w:pPr>
              <w:pBdr>
                <w:top w:val="none" w:color="auto" w:sz="0" w:space="0"/>
                <w:left w:val="none" w:color="auto" w:sz="0" w:space="0"/>
                <w:bottom w:val="none" w:color="auto" w:sz="0" w:space="0"/>
                <w:right w:val="none" w:color="auto" w:sz="0" w:space="0"/>
                <w:between w:val="none" w:color="auto" w:sz="0" w:space="0"/>
              </w:pBdr>
              <w:spacing w:line="360" w:lineRule="auto"/>
              <w:contextualSpacing/>
              <w:jc w:val="both"/>
              <w:rPr>
                <w:rFonts w:ascii="Book Antiqua" w:hAnsi="Book Antiqua" w:eastAsia="Calibri" w:cs="Calibri"/>
                <w:color w:val="000000"/>
                <w:u w:color="000000"/>
                <w:lang w:eastAsia="en-IN" w:bidi="ta-IN"/>
              </w:rPr>
            </w:pPr>
            <w:r>
              <w:rPr>
                <w:rFonts w:ascii="Book Antiqua" w:hAnsi="Book Antiqua" w:eastAsia="Calibri" w:cs="Calibri"/>
                <w:color w:val="000000"/>
                <w:u w:color="000000"/>
                <w:lang w:eastAsia="en-IN" w:bidi="ta-IN"/>
              </w:rPr>
              <w:t>Weak</w:t>
            </w:r>
          </w:p>
        </w:tc>
        <w:tc>
          <w:tcPr>
            <w:tcW w:w="1030" w:type="pct"/>
          </w:tcPr>
          <w:p>
            <w:pPr>
              <w:pBdr>
                <w:top w:val="none" w:color="auto" w:sz="0" w:space="0"/>
                <w:left w:val="none" w:color="auto" w:sz="0" w:space="0"/>
                <w:bottom w:val="none" w:color="auto" w:sz="0" w:space="0"/>
                <w:right w:val="none" w:color="auto" w:sz="0" w:space="0"/>
                <w:between w:val="none" w:color="auto" w:sz="0" w:space="0"/>
              </w:pBdr>
              <w:spacing w:line="360" w:lineRule="auto"/>
              <w:contextualSpacing/>
              <w:jc w:val="both"/>
              <w:rPr>
                <w:rFonts w:ascii="Book Antiqua" w:hAnsi="Book Antiqua" w:eastAsia="Book Antiqua" w:cs="Book Antiqua"/>
                <w:color w:val="000000"/>
                <w:u w:color="000000"/>
                <w:lang w:eastAsia="en-IN" w:bidi="ta-IN"/>
              </w:rPr>
            </w:pPr>
            <w:r>
              <w:rPr>
                <w:rFonts w:ascii="Book Antiqua" w:hAnsi="Book Antiqua" w:eastAsia="Calibri" w:cs="Calibri"/>
                <w:color w:val="000000"/>
                <w:u w:color="000000"/>
                <w:lang w:eastAsia="en-IN" w:bidi="ta-IN"/>
              </w:rPr>
              <w:t>16 (88.9)</w:t>
            </w:r>
          </w:p>
        </w:tc>
        <w:tc>
          <w:tcPr>
            <w:tcW w:w="1030" w:type="pct"/>
          </w:tcPr>
          <w:p>
            <w:pPr>
              <w:pBdr>
                <w:top w:val="none" w:color="auto" w:sz="0" w:space="0"/>
                <w:left w:val="none" w:color="auto" w:sz="0" w:space="0"/>
                <w:bottom w:val="none" w:color="auto" w:sz="0" w:space="0"/>
                <w:right w:val="none" w:color="auto" w:sz="0" w:space="0"/>
                <w:between w:val="none" w:color="auto" w:sz="0" w:space="0"/>
              </w:pBdr>
              <w:spacing w:line="360" w:lineRule="auto"/>
              <w:contextualSpacing/>
              <w:jc w:val="both"/>
              <w:rPr>
                <w:rFonts w:ascii="Book Antiqua" w:hAnsi="Book Antiqua" w:eastAsia="Book Antiqua" w:cs="Book Antiqua"/>
                <w:color w:val="000000"/>
                <w:u w:color="000000"/>
                <w:lang w:eastAsia="en-IN" w:bidi="ta-IN"/>
              </w:rPr>
            </w:pPr>
            <w:r>
              <w:rPr>
                <w:rFonts w:ascii="Book Antiqua" w:hAnsi="Book Antiqua" w:eastAsia="Calibri" w:cs="Calibri"/>
                <w:color w:val="000000"/>
                <w:u w:color="000000"/>
                <w:lang w:eastAsia="en-IN" w:bidi="ta-IN"/>
              </w:rPr>
              <w:t>27 (62.8)</w:t>
            </w:r>
          </w:p>
        </w:tc>
        <w:tc>
          <w:tcPr>
            <w:tcW w:w="585" w:type="pct"/>
          </w:tcPr>
          <w:p>
            <w:pPr>
              <w:spacing w:line="360" w:lineRule="auto"/>
              <w:contextualSpacing/>
              <w:jc w:val="both"/>
              <w:rPr>
                <w:rFonts w:ascii="Book Antiqua" w:hAnsi="Book Antiqua" w:eastAsia="等线" w:cs="Latha"/>
                <w:lang w:bidi="ta-IN"/>
              </w:rPr>
            </w:pPr>
          </w:p>
        </w:tc>
      </w:tr>
      <w:tr>
        <w:tblPrEx>
          <w:tblBorders>
            <w:top w:val="single" w:color="7F7F7F" w:sz="4" w:space="0"/>
            <w:left w:val="none" w:color="auto" w:sz="0" w:space="0"/>
            <w:bottom w:val="single" w:color="7F7F7F"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355" w:type="pct"/>
          </w:tcPr>
          <w:p>
            <w:pPr>
              <w:pBdr>
                <w:top w:val="none" w:color="auto" w:sz="0" w:space="0"/>
                <w:left w:val="none" w:color="auto" w:sz="0" w:space="0"/>
                <w:bottom w:val="none" w:color="auto" w:sz="0" w:space="0"/>
                <w:right w:val="none" w:color="auto" w:sz="0" w:space="0"/>
                <w:between w:val="none" w:color="auto" w:sz="0" w:space="0"/>
              </w:pBdr>
              <w:spacing w:line="360" w:lineRule="auto"/>
              <w:contextualSpacing/>
              <w:jc w:val="both"/>
              <w:rPr>
                <w:rFonts w:ascii="Book Antiqua" w:hAnsi="Book Antiqua" w:eastAsia="Calibri" w:cs="Calibri"/>
                <w:color w:val="000000"/>
                <w:u w:color="000000"/>
                <w:lang w:eastAsia="en-IN" w:bidi="ta-IN"/>
              </w:rPr>
            </w:pPr>
            <w:r>
              <w:rPr>
                <w:rFonts w:ascii="Book Antiqua" w:hAnsi="Book Antiqua" w:eastAsia="等线" w:cs="Latha"/>
                <w:lang w:bidi="ta-IN"/>
              </w:rPr>
              <w:t>Heavy</w:t>
            </w:r>
          </w:p>
        </w:tc>
        <w:tc>
          <w:tcPr>
            <w:tcW w:w="1030" w:type="pct"/>
          </w:tcPr>
          <w:p>
            <w:pPr>
              <w:pBdr>
                <w:top w:val="none" w:color="auto" w:sz="0" w:space="0"/>
                <w:left w:val="none" w:color="auto" w:sz="0" w:space="0"/>
                <w:bottom w:val="none" w:color="auto" w:sz="0" w:space="0"/>
                <w:right w:val="none" w:color="auto" w:sz="0" w:space="0"/>
                <w:between w:val="none" w:color="auto" w:sz="0" w:space="0"/>
              </w:pBdr>
              <w:spacing w:line="360" w:lineRule="auto"/>
              <w:contextualSpacing/>
              <w:jc w:val="both"/>
              <w:rPr>
                <w:rFonts w:ascii="Book Antiqua" w:hAnsi="Book Antiqua" w:eastAsia="Book Antiqua" w:cs="Book Antiqua"/>
                <w:color w:val="000000"/>
                <w:u w:color="000000"/>
                <w:lang w:eastAsia="en-IN" w:bidi="ta-IN"/>
              </w:rPr>
            </w:pPr>
            <w:r>
              <w:rPr>
                <w:rFonts w:ascii="Book Antiqua" w:hAnsi="Book Antiqua" w:eastAsia="等线" w:cs="Latha"/>
                <w:lang w:bidi="ta-IN"/>
              </w:rPr>
              <w:t>2 (11.1)</w:t>
            </w:r>
          </w:p>
        </w:tc>
        <w:tc>
          <w:tcPr>
            <w:tcW w:w="1030" w:type="pct"/>
          </w:tcPr>
          <w:p>
            <w:pPr>
              <w:pBdr>
                <w:top w:val="none" w:color="auto" w:sz="0" w:space="0"/>
                <w:left w:val="none" w:color="auto" w:sz="0" w:space="0"/>
                <w:bottom w:val="none" w:color="auto" w:sz="0" w:space="0"/>
                <w:right w:val="none" w:color="auto" w:sz="0" w:space="0"/>
                <w:between w:val="none" w:color="auto" w:sz="0" w:space="0"/>
              </w:pBdr>
              <w:spacing w:line="360" w:lineRule="auto"/>
              <w:contextualSpacing/>
              <w:jc w:val="both"/>
              <w:rPr>
                <w:rFonts w:ascii="Book Antiqua" w:hAnsi="Book Antiqua" w:eastAsia="Book Antiqua" w:cs="Book Antiqua"/>
                <w:color w:val="000000"/>
                <w:u w:color="000000"/>
                <w:lang w:eastAsia="en-IN" w:bidi="ta-IN"/>
              </w:rPr>
            </w:pPr>
            <w:r>
              <w:rPr>
                <w:rFonts w:ascii="Book Antiqua" w:hAnsi="Book Antiqua" w:eastAsia="等线" w:cs="Latha"/>
                <w:lang w:bidi="ta-IN"/>
              </w:rPr>
              <w:t>16 (37.2)</w:t>
            </w:r>
          </w:p>
        </w:tc>
        <w:tc>
          <w:tcPr>
            <w:tcW w:w="585" w:type="pct"/>
          </w:tcPr>
          <w:p>
            <w:pPr>
              <w:spacing w:line="360" w:lineRule="auto"/>
              <w:contextualSpacing/>
              <w:jc w:val="both"/>
              <w:rPr>
                <w:rFonts w:ascii="Book Antiqua" w:hAnsi="Book Antiqua" w:eastAsia="等线" w:cs="Latha"/>
                <w:lang w:bidi="ta-IN"/>
              </w:rPr>
            </w:pPr>
            <w:r>
              <w:rPr>
                <w:rFonts w:ascii="Book Antiqua" w:hAnsi="Book Antiqua" w:eastAsia="等线" w:cs="Latha"/>
                <w:lang w:bidi="ta-IN"/>
              </w:rPr>
              <w:t>0.063</w:t>
            </w:r>
          </w:p>
        </w:tc>
      </w:tr>
    </w:tbl>
    <w:p>
      <w:pPr>
        <w:spacing w:line="360" w:lineRule="auto"/>
        <w:jc w:val="both"/>
        <w:rPr>
          <w:rFonts w:hint="eastAsia" w:ascii="Book Antiqua" w:hAnsi="Book Antiqua" w:eastAsia="等线" w:cs="Latha"/>
          <w:lang w:eastAsia="zh-CN" w:bidi="ta-IN"/>
        </w:rPr>
        <w:sectPr>
          <w:pgSz w:w="12240" w:h="15840"/>
          <w:pgMar w:top="1440" w:right="1440" w:bottom="1440" w:left="1440" w:header="720" w:footer="720" w:gutter="0"/>
          <w:cols w:space="720" w:num="1"/>
          <w:docGrid w:linePitch="360" w:charSpace="0"/>
        </w:sectPr>
      </w:pPr>
      <w:r>
        <w:rPr>
          <w:rFonts w:ascii="Book Antiqua" w:hAnsi="Book Antiqua" w:eastAsia="等线" w:cs="Latha"/>
          <w:lang w:eastAsia="zh-CN" w:bidi="ta-IN"/>
        </w:rPr>
        <w:t>CR-POPF</w:t>
      </w:r>
      <w:r>
        <w:rPr>
          <w:rFonts w:hint="eastAsia" w:ascii="Book Antiqua" w:hAnsi="Book Antiqua" w:eastAsia="等线" w:cs="Latha"/>
          <w:lang w:eastAsia="zh-CN" w:bidi="ta-IN"/>
        </w:rPr>
        <w:t>:</w:t>
      </w:r>
      <w:r>
        <w:rPr>
          <w:rFonts w:ascii="Book Antiqua" w:hAnsi="Book Antiqua" w:eastAsia="等线" w:cs="Latha"/>
          <w:lang w:eastAsia="zh-CN" w:bidi="ta-IN"/>
        </w:rPr>
        <w:t xml:space="preserve"> </w:t>
      </w:r>
      <w:r>
        <w:rPr>
          <w:rFonts w:hint="eastAsia" w:ascii="Book Antiqua" w:hAnsi="Book Antiqua" w:eastAsia="等线" w:cs="Latha"/>
          <w:lang w:eastAsia="zh-CN" w:bidi="ta-IN"/>
        </w:rPr>
        <w:t>C</w:t>
      </w:r>
      <w:r>
        <w:rPr>
          <w:rFonts w:ascii="Book Antiqua" w:hAnsi="Book Antiqua" w:eastAsia="等线" w:cs="Latha"/>
          <w:lang w:eastAsia="zh-CN" w:bidi="ta-IN"/>
        </w:rPr>
        <w:t>linically relevant postoperative pancreatic fistula;</w:t>
      </w:r>
      <w:r>
        <w:rPr>
          <w:rFonts w:ascii="Book Antiqua" w:hAnsi="Book Antiqua" w:eastAsia="等线" w:cs="Latha"/>
          <w:lang w:bidi="ta-IN"/>
        </w:rPr>
        <w:t xml:space="preserve"> IQR</w:t>
      </w:r>
      <w:r>
        <w:rPr>
          <w:rFonts w:hint="eastAsia" w:ascii="Book Antiqua" w:hAnsi="Book Antiqua" w:eastAsia="等线" w:cs="Latha"/>
          <w:lang w:eastAsia="zh-CN" w:bidi="ta-IN"/>
        </w:rPr>
        <w:t xml:space="preserve">: </w:t>
      </w:r>
      <w:r>
        <w:rPr>
          <w:rFonts w:ascii="Book Antiqua" w:hAnsi="Book Antiqua" w:eastAsia="等线" w:cs="Latha"/>
          <w:lang w:bidi="ta-IN"/>
        </w:rPr>
        <w:t>Inter quartile range</w:t>
      </w:r>
      <w:r>
        <w:rPr>
          <w:rFonts w:hint="eastAsia" w:ascii="Book Antiqua" w:hAnsi="Book Antiqua" w:eastAsia="等线" w:cs="Latha"/>
          <w:lang w:eastAsia="zh-CN" w:bidi="ta-IN"/>
        </w:rPr>
        <w:t>;</w:t>
      </w:r>
      <w:r>
        <w:rPr>
          <w:rFonts w:ascii="Book Antiqua" w:hAnsi="Book Antiqua" w:eastAsia="等线" w:cs="Latha"/>
          <w:lang w:bidi="ta-IN"/>
        </w:rPr>
        <w:t xml:space="preserve"> SD</w:t>
      </w:r>
      <w:r>
        <w:rPr>
          <w:rFonts w:hint="eastAsia" w:ascii="Book Antiqua" w:hAnsi="Book Antiqua" w:eastAsia="等线" w:cs="Latha"/>
          <w:lang w:eastAsia="zh-CN" w:bidi="ta-IN"/>
        </w:rPr>
        <w:t xml:space="preserve">: </w:t>
      </w:r>
      <w:r>
        <w:rPr>
          <w:rFonts w:ascii="Book Antiqua" w:hAnsi="Book Antiqua" w:eastAsia="等线" w:cs="Latha"/>
          <w:lang w:bidi="ta-IN"/>
        </w:rPr>
        <w:t>Standard deviation</w:t>
      </w:r>
      <w:r>
        <w:rPr>
          <w:rFonts w:hint="eastAsia" w:ascii="Book Antiqua" w:hAnsi="Book Antiqua" w:eastAsia="等线" w:cs="Latha"/>
          <w:lang w:eastAsia="zh-CN" w:bidi="ta-IN"/>
        </w:rPr>
        <w:t>.</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w:t>
      </w:r>
      <w:r>
        <w:rPr>
          <w:rFonts w:hint="eastAsia" w:ascii="Book Antiqua" w:hAnsi="Book Antiqua" w:cs="BookAntiqua-Bold"/>
          <w:b/>
          <w:bCs/>
          <w:color w:val="000000" w:themeColor="text1"/>
          <w:lang w:val="en-US" w:eastAsia="zh-CN"/>
          <w14:textFill>
            <w14:solidFill>
              <w14:schemeClr w14:val="tx1"/>
            </w14:solidFill>
          </w14:textFill>
        </w:rPr>
        <w:t>2</w:t>
      </w:r>
      <w:r>
        <w:rPr>
          <w:rFonts w:ascii="Book Antiqua" w:hAnsi="Book Antiqua" w:eastAsia="BookAntiqua-Bold" w:cs="BookAntiqua-Bold"/>
          <w:b/>
          <w:bCs/>
          <w:color w:val="000000" w:themeColor="text1"/>
          <w14:textFill>
            <w14:solidFill>
              <w14:schemeClr w14:val="tx1"/>
            </w14:solidFill>
          </w14:textFill>
        </w:rPr>
        <w:t xml:space="preserve"> Baishideng Publishing Group Inc. All rights reserved.</w:t>
      </w:r>
    </w:p>
    <w:p>
      <w:pPr>
        <w:rPr>
          <w:rFonts w:hint="eastAsia" w:ascii="Book Antiqua" w:hAnsi="Book Antiqua" w:eastAsia="宋体" w:cs="Book Antiqua"/>
          <w:b/>
          <w:bCs/>
          <w:color w:val="000000"/>
          <w:lang w:val="en-US" w:eastAsia="zh-CN"/>
        </w:rPr>
      </w:pPr>
    </w:p>
    <w:p>
      <w:pPr>
        <w:spacing w:line="360" w:lineRule="auto"/>
        <w:jc w:val="both"/>
        <w:rPr>
          <w:rFonts w:hint="eastAsia" w:ascii="Book Antiqua" w:hAnsi="Book Antiqua" w:eastAsia="等线" w:cs="Latha"/>
          <w:lang w:eastAsia="zh-CN" w:bidi="ta-I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Latha">
    <w:altName w:val="Segoe Print"/>
    <w:panose1 w:val="020B0604020202020204"/>
    <w:charset w:val="00"/>
    <w:family w:val="swiss"/>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Book Antiqua">
    <w:panose1 w:val="02040602050305030304"/>
    <w:charset w:val="00"/>
    <w:family w:val="roman"/>
    <w:pitch w:val="default"/>
    <w:sig w:usb0="00000287" w:usb1="00000000" w:usb2="00000000" w:usb3="00000000" w:csb0="2000009F" w:csb1="DFD70000"/>
  </w:font>
  <w:font w:name="等线">
    <w:panose1 w:val="02010600030101010101"/>
    <w:charset w:val="86"/>
    <w:family w:val="auto"/>
    <w:pitch w:val="default"/>
    <w:sig w:usb0="A00002BF" w:usb1="38CF7CFA" w:usb2="00000016" w:usb3="00000000" w:csb0="0004000F" w:csb1="00000000"/>
  </w:font>
  <w:font w:name="Garamond-Bold">
    <w:altName w:val="等线"/>
    <w:panose1 w:val="00000000000000000000"/>
    <w:charset w:val="00"/>
    <w:family w:val="auto"/>
    <w:pitch w:val="default"/>
    <w:sig w:usb0="00000000" w:usb1="00000000" w:usb2="00000010" w:usb3="00000000" w:csb0="0004009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right"/>
      <w:rPr>
        <w:rFonts w:ascii="Book Antiqua" w:hAnsi="Book Antiqua"/>
        <w:sz w:val="24"/>
        <w:szCs w:val="24"/>
      </w:rPr>
    </w:pPr>
    <w:r>
      <w:rPr>
        <w:rFonts w:ascii="Book Antiqua" w:hAnsi="Book Antiqua"/>
        <w:sz w:val="24"/>
        <w:szCs w:val="24"/>
      </w:rPr>
      <w:fldChar w:fldCharType="begin"/>
    </w:r>
    <w:r>
      <w:rPr>
        <w:rFonts w:ascii="Book Antiqua" w:hAnsi="Book Antiqua"/>
        <w:sz w:val="24"/>
        <w:szCs w:val="24"/>
      </w:rPr>
      <w:instrText xml:space="preserve"> PAGE  \* Arabic  \* MERGEFORMAT </w:instrText>
    </w:r>
    <w:r>
      <w:rPr>
        <w:rFonts w:ascii="Book Antiqua" w:hAnsi="Book Antiqua"/>
        <w:sz w:val="24"/>
        <w:szCs w:val="24"/>
      </w:rPr>
      <w:fldChar w:fldCharType="separate"/>
    </w:r>
    <w:r>
      <w:rPr>
        <w:rFonts w:ascii="Book Antiqua" w:hAnsi="Book Antiqua"/>
        <w:sz w:val="24"/>
        <w:szCs w:val="24"/>
      </w:rPr>
      <w:t>2</w:t>
    </w:r>
    <w:r>
      <w:rPr>
        <w:rFonts w:ascii="Book Antiqua" w:hAnsi="Book Antiqua"/>
        <w:sz w:val="24"/>
        <w:szCs w:val="24"/>
      </w:rPr>
      <w:fldChar w:fldCharType="end"/>
    </w:r>
    <w:r>
      <w:rPr>
        <w:rFonts w:ascii="Book Antiqua" w:hAnsi="Book Antiqua"/>
        <w:sz w:val="24"/>
        <w:szCs w:val="24"/>
      </w:rPr>
      <w:t xml:space="preserve"> / </w:t>
    </w:r>
    <w:r>
      <w:rPr>
        <w:rFonts w:ascii="Book Antiqua" w:hAnsi="Book Antiqua"/>
        <w:sz w:val="24"/>
        <w:szCs w:val="24"/>
      </w:rPr>
      <w:fldChar w:fldCharType="begin"/>
    </w:r>
    <w:r>
      <w:rPr>
        <w:rFonts w:ascii="Book Antiqua" w:hAnsi="Book Antiqua"/>
        <w:sz w:val="24"/>
        <w:szCs w:val="24"/>
      </w:rPr>
      <w:instrText xml:space="preserve"> NUMPAGES   \* MERGEFORMAT </w:instrText>
    </w:r>
    <w:r>
      <w:rPr>
        <w:rFonts w:ascii="Book Antiqua" w:hAnsi="Book Antiqua"/>
        <w:sz w:val="24"/>
        <w:szCs w:val="24"/>
      </w:rPr>
      <w:fldChar w:fldCharType="separate"/>
    </w:r>
    <w:r>
      <w:rPr>
        <w:rFonts w:ascii="Book Antiqua" w:hAnsi="Book Antiqua"/>
        <w:sz w:val="24"/>
        <w:szCs w:val="24"/>
      </w:rPr>
      <w:t>30</w:t>
    </w:r>
    <w:r>
      <w:rPr>
        <w:rFonts w:ascii="Book Antiqua" w:hAnsi="Book Antiqua"/>
        <w:sz w:val="24"/>
        <w:szCs w:val="24"/>
      </w:rPr>
      <w:fldChar w:fldCharType="end"/>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tDA2MjQzMzc3NTAysDRW0lEKTi0uzszPAykwrAUA2t94eywAAAA="/>
  </w:docVars>
  <w:rsids>
    <w:rsidRoot w:val="00A77B3E"/>
    <w:rsid w:val="000417C9"/>
    <w:rsid w:val="00092116"/>
    <w:rsid w:val="0009602B"/>
    <w:rsid w:val="000A525C"/>
    <w:rsid w:val="00134FDD"/>
    <w:rsid w:val="0015073C"/>
    <w:rsid w:val="001C433B"/>
    <w:rsid w:val="00206ECA"/>
    <w:rsid w:val="002278CE"/>
    <w:rsid w:val="002617E3"/>
    <w:rsid w:val="002738E3"/>
    <w:rsid w:val="002A1896"/>
    <w:rsid w:val="002C0626"/>
    <w:rsid w:val="002C37F8"/>
    <w:rsid w:val="002F55BB"/>
    <w:rsid w:val="003057E6"/>
    <w:rsid w:val="003A12B4"/>
    <w:rsid w:val="003B343B"/>
    <w:rsid w:val="004133BD"/>
    <w:rsid w:val="00466E46"/>
    <w:rsid w:val="004C0947"/>
    <w:rsid w:val="004C622D"/>
    <w:rsid w:val="004E59BE"/>
    <w:rsid w:val="00525838"/>
    <w:rsid w:val="00527F60"/>
    <w:rsid w:val="00537573"/>
    <w:rsid w:val="00543D82"/>
    <w:rsid w:val="005B283A"/>
    <w:rsid w:val="005D28CD"/>
    <w:rsid w:val="006427CA"/>
    <w:rsid w:val="006535D4"/>
    <w:rsid w:val="00653940"/>
    <w:rsid w:val="00655AE0"/>
    <w:rsid w:val="006C08F5"/>
    <w:rsid w:val="00716BC8"/>
    <w:rsid w:val="0076050C"/>
    <w:rsid w:val="007720A0"/>
    <w:rsid w:val="00786A25"/>
    <w:rsid w:val="007F251C"/>
    <w:rsid w:val="00861E2F"/>
    <w:rsid w:val="0086497B"/>
    <w:rsid w:val="00886755"/>
    <w:rsid w:val="008A20CD"/>
    <w:rsid w:val="00945597"/>
    <w:rsid w:val="009771D7"/>
    <w:rsid w:val="0099221B"/>
    <w:rsid w:val="009C15A1"/>
    <w:rsid w:val="009E7442"/>
    <w:rsid w:val="00A17977"/>
    <w:rsid w:val="00A32CBE"/>
    <w:rsid w:val="00A77B3E"/>
    <w:rsid w:val="00AA2B3E"/>
    <w:rsid w:val="00AC5CC4"/>
    <w:rsid w:val="00B01598"/>
    <w:rsid w:val="00B05B1C"/>
    <w:rsid w:val="00B25004"/>
    <w:rsid w:val="00B43219"/>
    <w:rsid w:val="00B4580A"/>
    <w:rsid w:val="00BD02EA"/>
    <w:rsid w:val="00C80240"/>
    <w:rsid w:val="00C939B1"/>
    <w:rsid w:val="00CA2A55"/>
    <w:rsid w:val="00D05197"/>
    <w:rsid w:val="00D62C2E"/>
    <w:rsid w:val="00D748EB"/>
    <w:rsid w:val="00D92207"/>
    <w:rsid w:val="00DA4414"/>
    <w:rsid w:val="00DA6E44"/>
    <w:rsid w:val="00DB66FF"/>
    <w:rsid w:val="00DC04EF"/>
    <w:rsid w:val="00DE4B3D"/>
    <w:rsid w:val="00DE4C37"/>
    <w:rsid w:val="00EA2005"/>
    <w:rsid w:val="00EC66BC"/>
    <w:rsid w:val="00EE0B6F"/>
    <w:rsid w:val="00EE7684"/>
    <w:rsid w:val="00F37757"/>
    <w:rsid w:val="00F50A84"/>
    <w:rsid w:val="00FB1B1E"/>
    <w:rsid w:val="00FB4FF4"/>
    <w:rsid w:val="00FE16ED"/>
    <w:rsid w:val="08A6516B"/>
    <w:rsid w:val="0E200B0D"/>
    <w:rsid w:val="176B6F3F"/>
    <w:rsid w:val="292E3622"/>
    <w:rsid w:val="3B7D50DE"/>
    <w:rsid w:val="40C624C7"/>
    <w:rsid w:val="479D2D7A"/>
    <w:rsid w:val="5A0D6E55"/>
    <w:rsid w:val="788352E8"/>
  </w:rsids>
  <m:mathPr>
    <m:mathFont m:val="Cambria Math"/>
    <m:brkBin m:val="before"/>
    <m:brkBinSub m:val="--"/>
    <m:smallFrac m:val="0"/>
    <m:dispDef/>
    <m:lMargin m:val="0"/>
    <m:rMargin m:val="0"/>
    <m:defJc m:val="centerGroup"/>
    <m:wrapIndent m:val="1440"/>
    <m:intLim m:val="subSup"/>
    <m:naryLim m:val="undOvr"/>
  </m:mathPr>
  <w:themeFontLang w:val="en-US" w:eastAsia="zh-CN" w:bidi="ta-I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3"/>
    <w:qFormat/>
    <w:uiPriority w:val="0"/>
  </w:style>
  <w:style w:type="paragraph" w:styleId="3">
    <w:name w:val="Balloon Text"/>
    <w:basedOn w:val="1"/>
    <w:link w:val="15"/>
    <w:qFormat/>
    <w:uiPriority w:val="0"/>
    <w:rPr>
      <w:sz w:val="18"/>
      <w:szCs w:val="18"/>
    </w:rPr>
  </w:style>
  <w:style w:type="paragraph" w:styleId="4">
    <w:name w:val="footer"/>
    <w:basedOn w:val="1"/>
    <w:link w:val="17"/>
    <w:qFormat/>
    <w:uiPriority w:val="0"/>
    <w:pPr>
      <w:tabs>
        <w:tab w:val="center" w:pos="4153"/>
        <w:tab w:val="right" w:pos="8306"/>
      </w:tabs>
      <w:snapToGrid w:val="0"/>
    </w:pPr>
    <w:rPr>
      <w:sz w:val="18"/>
      <w:szCs w:val="18"/>
    </w:rPr>
  </w:style>
  <w:style w:type="paragraph" w:styleId="5">
    <w:name w:val="header"/>
    <w:basedOn w:val="1"/>
    <w:link w:val="16"/>
    <w:qFormat/>
    <w:uiPriority w:val="0"/>
    <w:pPr>
      <w:pBdr>
        <w:bottom w:val="single" w:color="auto" w:sz="6" w:space="1"/>
      </w:pBdr>
      <w:tabs>
        <w:tab w:val="center" w:pos="4153"/>
        <w:tab w:val="right" w:pos="8306"/>
      </w:tabs>
      <w:snapToGrid w:val="0"/>
      <w:jc w:val="center"/>
    </w:pPr>
    <w:rPr>
      <w:sz w:val="18"/>
      <w:szCs w:val="18"/>
    </w:rPr>
  </w:style>
  <w:style w:type="paragraph" w:styleId="6">
    <w:name w:val="annotation subject"/>
    <w:basedOn w:val="2"/>
    <w:next w:val="2"/>
    <w:link w:val="14"/>
    <w:qFormat/>
    <w:uiPriority w:val="0"/>
    <w:rPr>
      <w:b/>
      <w:bCs/>
    </w:rPr>
  </w:style>
  <w:style w:type="character" w:styleId="9">
    <w:name w:val="annotation reference"/>
    <w:basedOn w:val="8"/>
    <w:qFormat/>
    <w:uiPriority w:val="0"/>
    <w:rPr>
      <w:sz w:val="21"/>
      <w:szCs w:val="21"/>
    </w:rPr>
  </w:style>
  <w:style w:type="character" w:customStyle="1" w:styleId="10">
    <w:name w:val="None"/>
    <w:basedOn w:val="8"/>
    <w:qFormat/>
    <w:uiPriority w:val="0"/>
  </w:style>
  <w:style w:type="table" w:customStyle="1" w:styleId="11">
    <w:name w:val="Plain Table 21"/>
    <w:basedOn w:val="7"/>
    <w:qFormat/>
    <w:uiPriority w:val="42"/>
    <w:rPr>
      <w:rFonts w:ascii="Calibri" w:hAnsi="Calibri" w:cs="Latha"/>
      <w:sz w:val="22"/>
      <w:szCs w:val="22"/>
      <w:lang w:bidi="ta-IN"/>
    </w:rPr>
    <w:tblPr>
      <w:tblBorders>
        <w:top w:val="single" w:color="7F7F7F" w:sz="4" w:space="0"/>
        <w:bottom w:val="single" w:color="7F7F7F" w:sz="4" w:space="0"/>
      </w:tblBorders>
    </w:tblPr>
    <w:tblStylePr w:type="firstRow">
      <w:rPr>
        <w:b/>
        <w:bCs/>
      </w:rPr>
      <w:tcPr>
        <w:tcBorders>
          <w:bottom w:val="single" w:color="7F7F7F" w:sz="4" w:space="0"/>
        </w:tcBorders>
      </w:tcPr>
    </w:tblStylePr>
    <w:tblStylePr w:type="lastRow">
      <w:rPr>
        <w:b/>
        <w:bCs/>
      </w:rPr>
      <w:tcPr>
        <w:tcBorders>
          <w:top w:val="single" w:color="7F7F7F" w:sz="4" w:space="0"/>
        </w:tcBorders>
      </w:tcPr>
    </w:tblStylePr>
    <w:tblStylePr w:type="firstCol">
      <w:rPr>
        <w:b/>
        <w:bCs/>
      </w:rPr>
    </w:tblStylePr>
    <w:tblStylePr w:type="lastCol">
      <w:rPr>
        <w:b/>
        <w:bCs/>
      </w:rPr>
    </w:tblStylePr>
    <w:tblStylePr w:type="band1Vert">
      <w:tcPr>
        <w:tcBorders>
          <w:left w:val="single" w:color="7F7F7F" w:sz="4" w:space="0"/>
          <w:right w:val="single" w:color="7F7F7F" w:sz="4" w:space="0"/>
        </w:tcBorders>
      </w:tcPr>
    </w:tblStylePr>
    <w:tblStylePr w:type="band2Vert">
      <w:tcPr>
        <w:tcBorders>
          <w:left w:val="single" w:color="7F7F7F" w:sz="4" w:space="0"/>
          <w:right w:val="single" w:color="7F7F7F" w:sz="4" w:space="0"/>
        </w:tcBorders>
      </w:tcPr>
    </w:tblStylePr>
    <w:tblStylePr w:type="band1Horz">
      <w:tcPr>
        <w:tcBorders>
          <w:top w:val="single" w:color="7F7F7F" w:sz="4" w:space="0"/>
          <w:bottom w:val="single" w:color="7F7F7F" w:sz="4" w:space="0"/>
        </w:tcBorders>
      </w:tcPr>
    </w:tblStylePr>
  </w:style>
  <w:style w:type="paragraph" w:customStyle="1" w:styleId="12">
    <w:name w:val="Body A"/>
    <w:qFormat/>
    <w:uiPriority w:val="0"/>
    <w:pPr>
      <w:pBdr>
        <w:top w:val="none" w:color="auto" w:sz="0" w:space="0"/>
        <w:left w:val="none" w:color="auto" w:sz="0" w:space="0"/>
        <w:bottom w:val="none" w:color="auto" w:sz="0" w:space="0"/>
        <w:right w:val="none" w:color="auto" w:sz="0" w:space="0"/>
        <w:between w:val="none" w:color="auto" w:sz="0" w:space="0"/>
      </w:pBdr>
      <w:spacing w:after="160" w:line="259" w:lineRule="auto"/>
    </w:pPr>
    <w:rPr>
      <w:rFonts w:ascii="Calibri" w:hAnsi="Calibri" w:eastAsia="Calibri" w:cs="Calibri"/>
      <w:color w:val="000000"/>
      <w:sz w:val="22"/>
      <w:szCs w:val="22"/>
      <w:u w:color="000000"/>
      <w:lang w:val="en-US" w:eastAsia="en-IN" w:bidi="ta-IN"/>
    </w:rPr>
  </w:style>
  <w:style w:type="character" w:customStyle="1" w:styleId="13">
    <w:name w:val="Comment Text Char"/>
    <w:basedOn w:val="8"/>
    <w:link w:val="2"/>
    <w:qFormat/>
    <w:uiPriority w:val="0"/>
    <w:rPr>
      <w:sz w:val="24"/>
      <w:szCs w:val="24"/>
    </w:rPr>
  </w:style>
  <w:style w:type="character" w:customStyle="1" w:styleId="14">
    <w:name w:val="Comment Subject Char"/>
    <w:basedOn w:val="13"/>
    <w:link w:val="6"/>
    <w:qFormat/>
    <w:uiPriority w:val="0"/>
    <w:rPr>
      <w:b/>
      <w:bCs/>
      <w:sz w:val="24"/>
      <w:szCs w:val="24"/>
    </w:rPr>
  </w:style>
  <w:style w:type="character" w:customStyle="1" w:styleId="15">
    <w:name w:val="Balloon Text Char"/>
    <w:basedOn w:val="8"/>
    <w:link w:val="3"/>
    <w:qFormat/>
    <w:uiPriority w:val="0"/>
    <w:rPr>
      <w:sz w:val="18"/>
      <w:szCs w:val="18"/>
    </w:rPr>
  </w:style>
  <w:style w:type="character" w:customStyle="1" w:styleId="16">
    <w:name w:val="Header Char"/>
    <w:basedOn w:val="8"/>
    <w:link w:val="5"/>
    <w:qFormat/>
    <w:uiPriority w:val="0"/>
    <w:rPr>
      <w:sz w:val="18"/>
      <w:szCs w:val="18"/>
    </w:rPr>
  </w:style>
  <w:style w:type="character" w:customStyle="1" w:styleId="17">
    <w:name w:val="Footer Char"/>
    <w:basedOn w:val="8"/>
    <w:link w:val="4"/>
    <w:qFormat/>
    <w:uiPriority w:val="0"/>
    <w:rPr>
      <w:sz w:val="18"/>
      <w:szCs w:val="18"/>
    </w:rPr>
  </w:style>
  <w:style w:type="paragraph" w:customStyle="1" w:styleId="18">
    <w:name w:val="Revision"/>
    <w:hidden/>
    <w:semiHidden/>
    <w:qFormat/>
    <w:uiPriority w:val="99"/>
    <w:rPr>
      <w:rFonts w:ascii="Times New Roman" w:hAnsi="Times New Roman" w:cs="Times New Roman" w:eastAsiaTheme="minorEastAsia"/>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29</Pages>
  <Words>6587</Words>
  <Characters>37551</Characters>
  <Lines>312</Lines>
  <Paragraphs>88</Paragraphs>
  <TotalTime>109</TotalTime>
  <ScaleCrop>false</ScaleCrop>
  <LinksUpToDate>false</LinksUpToDate>
  <CharactersWithSpaces>44050</CharactersWithSpaces>
  <Application>WPS Office_11.1.0.11372_F1E327BC-269C-435d-A152-05C5408002CA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2022-06-20T18:29:00Z</dcterms:created>
  <dc:creator>86152</dc:creator>
  <cp:lastModifiedBy>千</cp:lastModifiedBy>
  <dcterms:modified xsi:type="dcterms:W3CDTF">2022-06-28T11:30:16Z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2052-11.1.0.11372</vt:lpwstr>
  </property>
  <property fmtid="{D5CDD505-2E9C-101B-9397-08002B2CF9AE}" pid="3" name="ICV">
    <vt:lpwstr>DBBCACC94C3D41D4B682935B22602DEF</vt:lpwstr>
  </property>
</Properties>
</file>