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bookmarkStart w:id="0" w:name="_Hlk108463808"/>
      <w:bookmarkEnd w:id="0"/>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Oncology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75681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Retrospective Cohort Study</w:t>
      </w:r>
    </w:p>
    <w:p>
      <w:pPr>
        <w:spacing w:line="360" w:lineRule="auto"/>
        <w:jc w:val="both"/>
        <w:rPr>
          <w:rFonts w:ascii="Book Antiqua" w:hAnsi="Book Antiqua"/>
        </w:rPr>
      </w:pPr>
      <w:r>
        <w:rPr>
          <w:rFonts w:ascii="Book Antiqua" w:hAnsi="Book Antiqua" w:eastAsia="Book Antiqua" w:cs="Book Antiqua"/>
          <w:b/>
          <w:color w:val="000000"/>
        </w:rPr>
        <w:t>iCEMIGE: Integration of CEll-morphometrics, MIcrobiome, and GEne biomarker signatures for risk stratification in breast cancers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Mao XY </w:t>
      </w:r>
      <w:r>
        <w:rPr>
          <w:rFonts w:ascii="Book Antiqua" w:hAnsi="Book Antiqua" w:eastAsia="Book Antiqua" w:cs="Book Antiqua"/>
          <w:i/>
          <w:color w:val="000000"/>
        </w:rPr>
        <w:t>et al</w:t>
      </w:r>
      <w:r>
        <w:rPr>
          <w:rFonts w:ascii="Book Antiqua" w:hAnsi="Book Antiqua" w:eastAsia="Book Antiqua" w:cs="Book Antiqua"/>
          <w:color w:val="000000"/>
        </w:rPr>
        <w:t>. Prognostic value of iCEMIGE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Xuan-Yu Mao, Jesus Perez-Losada, Mar Abad, Marta Rodríguez-González, Cesar A Rodríguez, Jian-Hua Mao, Hang Chang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Xuan-Yu Mao, Jian-Hua Mao, Hang Chang, </w:t>
      </w:r>
      <w:r>
        <w:rPr>
          <w:rFonts w:ascii="Book Antiqua" w:hAnsi="Book Antiqua" w:eastAsia="Book Antiqua" w:cs="Book Antiqua"/>
          <w:color w:val="000000"/>
        </w:rPr>
        <w:t>Division of Biological Systems and Engineering, Lawrence Berkeley National Laboratory, Berkeley, 94720,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Jesus Perez-Losada, </w:t>
      </w:r>
      <w:r>
        <w:rPr>
          <w:rFonts w:ascii="Book Antiqua" w:hAnsi="Book Antiqua" w:eastAsia="Book Antiqua" w:cs="Book Antiqua"/>
          <w:color w:val="000000"/>
        </w:rPr>
        <w:t>Instituto de Biología Molecular y Celular del Cáncer, Universidad de Salamanca, Salamanca 37007, Spain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Mar Abad, Marta Rodríguez-González, </w:t>
      </w:r>
      <w:r>
        <w:rPr>
          <w:rFonts w:ascii="Book Antiqua" w:hAnsi="Book Antiqua" w:eastAsia="Book Antiqua" w:cs="Book Antiqua"/>
          <w:color w:val="000000"/>
        </w:rPr>
        <w:t>Department of Pathology, Universidad de Salamanca, Salamanca 37007, Spain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Cesar A Rodríguez, </w:t>
      </w:r>
      <w:r>
        <w:rPr>
          <w:rFonts w:ascii="Book Antiqua" w:hAnsi="Book Antiqua" w:eastAsia="Book Antiqua" w:cs="Book Antiqua"/>
          <w:color w:val="000000"/>
        </w:rPr>
        <w:t>Department of Medical Oncology, Universidad de Salamanca, Salamanca 37007, Spain</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Perez-Losada J, Chang H, and Mao JH planned the project; Chang H, Mao XY, Perez-Losada JP, and Mao JH wrote the manuscript; Mao XY, Chang H, and Mao JH designed the algorithm, performed the bioinformatics analyses, and conducted statistical tests; Abad M, Rodríguez-González M, and Rodríguez CA provided pathological and clinical interpretation; All authors have read and edited the manuscript; Chang H and Mao JH are accountable for communications with requests for reagents and resources; Mao JH and Chang H</w:t>
      </w:r>
      <w:r>
        <w:rPr>
          <w:rFonts w:ascii="Book Antiqua" w:hAnsi="Book Antiqua"/>
        </w:rPr>
        <w:t xml:space="preserve"> contributed equally to these senior authors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This work was supported by the Department of Defense (DoD) BCRP, No. BC190820; the National Cancer Institute (NCI) at the National Institutes of Health (NIH), No. R01CA184476; MCIN/AEI/10.13039/501100011039, No. PID2020-118527RB-I00, and No. PDC2021-121735-I00; and the “European Union Next Generation EU/PRTR.” the Regional Government of Castile and León, No. CSI144P20. Lawrence Berkeley National Laboratory (LBNL) is a multi-program national laboratory operated by the University of California for the DOE under contract DE AC02-05CH11231.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Jian-Hua Mao</w:t>
      </w:r>
      <w:r>
        <w:rPr>
          <w:rFonts w:ascii="Book Antiqua" w:hAnsi="Book Antiqua" w:eastAsia="Book Antiqua" w:cs="Book Antiqua"/>
          <w:color w:val="000000"/>
        </w:rPr>
        <w:t>, BSc, MSc, PhD, Adjunct Professor, Senior Scientist, Division of Biological Systems and Engineering, Lawrence Berkeley National Laboratory, 1 Cyclotron Road, Berkeley, CA 94720, United States. jhmao@lbl.gov</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9,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April 24,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June 3,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July 24,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The development of precision medicine is essential for personalized treatment and improved clinical outcome, whereas </w:t>
      </w:r>
      <w:r>
        <w:rPr>
          <w:rFonts w:ascii="Book Antiqua" w:hAnsi="Book Antiqua" w:eastAsia="Book Antiqua" w:cs="Book Antiqua"/>
          <w:color w:val="000000"/>
          <w:shd w:val="clear" w:color="auto" w:fill="FFFFFF"/>
        </w:rPr>
        <w:t xml:space="preserve">biomarkers are critical for the success of precision therapies.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To investigate whether </w:t>
      </w:r>
      <w:r>
        <w:rPr>
          <w:rFonts w:ascii="Book Antiqua" w:hAnsi="Book Antiqua" w:eastAsia="Book Antiqua" w:cs="Book Antiqua"/>
          <w:color w:val="000000"/>
        </w:rPr>
        <w:t>iCEMIGE (</w:t>
      </w:r>
      <w:r>
        <w:rPr>
          <w:rFonts w:ascii="Book Antiqua" w:hAnsi="Book Antiqua" w:eastAsia="Book Antiqua" w:cs="Book Antiqua"/>
          <w:bCs/>
          <w:color w:val="000000"/>
          <w:shd w:val="clear" w:color="auto" w:fill="FFFFFF"/>
        </w:rPr>
        <w:t>i</w:t>
      </w:r>
      <w:r>
        <w:rPr>
          <w:rFonts w:ascii="Book Antiqua" w:hAnsi="Book Antiqua" w:eastAsia="Book Antiqua" w:cs="Book Antiqua"/>
          <w:color w:val="000000"/>
          <w:shd w:val="clear" w:color="auto" w:fill="FFFFFF"/>
        </w:rPr>
        <w:t>ntegration of</w:t>
      </w:r>
      <w:r>
        <w:rPr>
          <w:rFonts w:ascii="Book Antiqua" w:hAnsi="Book Antiqua" w:eastAsia="Book Antiqua" w:cs="Book Antiqua"/>
          <w:bCs/>
          <w:color w:val="000000"/>
        </w:rPr>
        <w:t xml:space="preserve"> CE</w:t>
      </w:r>
      <w:r>
        <w:rPr>
          <w:rFonts w:ascii="Book Antiqua" w:hAnsi="Book Antiqua" w:eastAsia="Book Antiqua" w:cs="Book Antiqua"/>
          <w:color w:val="000000"/>
        </w:rPr>
        <w:t xml:space="preserve">ll-morphometrics, </w:t>
      </w:r>
      <w:r>
        <w:rPr>
          <w:rFonts w:ascii="Book Antiqua" w:hAnsi="Book Antiqua" w:eastAsia="Book Antiqua" w:cs="Book Antiqua"/>
          <w:bCs/>
          <w:color w:val="000000"/>
        </w:rPr>
        <w:t>MI</w:t>
      </w:r>
      <w:r>
        <w:rPr>
          <w:rFonts w:ascii="Book Antiqua" w:hAnsi="Book Antiqua" w:eastAsia="Book Antiqua" w:cs="Book Antiqua"/>
          <w:color w:val="000000"/>
        </w:rPr>
        <w:t xml:space="preserve">crobiome, and </w:t>
      </w:r>
      <w:r>
        <w:rPr>
          <w:rFonts w:ascii="Book Antiqua" w:hAnsi="Book Antiqua" w:eastAsia="Book Antiqua" w:cs="Book Antiqua"/>
          <w:bCs/>
          <w:color w:val="000000"/>
        </w:rPr>
        <w:t>GE</w:t>
      </w:r>
      <w:r>
        <w:rPr>
          <w:rFonts w:ascii="Book Antiqua" w:hAnsi="Book Antiqua" w:eastAsia="Book Antiqua" w:cs="Book Antiqua"/>
          <w:color w:val="000000"/>
        </w:rPr>
        <w:t>ne biomarker signatures)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improves risk stratification</w:t>
      </w:r>
      <w:r>
        <w:rPr>
          <w:rFonts w:ascii="Book Antiqua" w:hAnsi="Book Antiqua" w:eastAsia="Book Antiqua" w:cs="Book Antiqua"/>
          <w:b/>
          <w:bCs/>
          <w:color w:val="000000"/>
        </w:rPr>
        <w:t xml:space="preserve"> </w:t>
      </w:r>
      <w:r>
        <w:rPr>
          <w:rFonts w:ascii="Book Antiqua" w:hAnsi="Book Antiqua" w:eastAsia="Book Antiqua" w:cs="Book Antiqua"/>
          <w:color w:val="000000"/>
        </w:rPr>
        <w:t>of breast cancer (BC)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shd w:val="clear" w:color="auto" w:fill="FFFFFF"/>
        </w:rPr>
        <w:t>We</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used our recently developed machine learning technique to identify cellular morphometric biomarkers (CMBs) from the whole histological slide images in The Cancer Genome Atlas (TCGA) breast cancer (TCGA-BRCA) cohort</w:t>
      </w:r>
      <w:r>
        <w:rPr>
          <w:rFonts w:ascii="Book Antiqua" w:hAnsi="Book Antiqua" w:eastAsia="Book Antiqua" w:cs="Book Antiqua"/>
          <w:color w:val="000000"/>
          <w:shd w:val="clear" w:color="auto" w:fill="FFFFFF"/>
        </w:rPr>
        <w:t xml:space="preserve">. Multivariate Cox regression was used to assess whether cell-morphometrics prognosis score (CMPS) and our previously reported 12-gene expression prognosis score (GEPS) and 15-microbe abundance prognosis score (MAPS) were independent prognostic factors. iCEMIGE was built upon the sparse representation learning technique. </w:t>
      </w:r>
      <w:r>
        <w:rPr>
          <w:rFonts w:ascii="Book Antiqua" w:hAnsi="Book Antiqua" w:eastAsia="Book Antiqua" w:cs="Book Antiqua"/>
          <w:color w:val="000000"/>
        </w:rPr>
        <w:t xml:space="preserve">The iCEMIGE scoring model performance was measured by the </w:t>
      </w:r>
      <w:r>
        <w:rPr>
          <w:rFonts w:ascii="Book Antiqua" w:hAnsi="Book Antiqua" w:eastAsia="Book Antiqua" w:cs="Book Antiqua"/>
          <w:color w:val="000000"/>
          <w:shd w:val="clear" w:color="auto" w:fill="FFFFFF"/>
        </w:rPr>
        <w:t xml:space="preserve">area under the </w:t>
      </w:r>
      <w:r>
        <w:rPr>
          <w:rFonts w:ascii="Book Antiqua" w:hAnsi="Book Antiqua" w:eastAsia="Book Antiqua" w:cs="Book Antiqua"/>
          <w:color w:val="000000"/>
        </w:rPr>
        <w:t>receiver operating characteristic</w:t>
      </w:r>
      <w:r>
        <w:rPr>
          <w:rFonts w:ascii="Book Antiqua" w:hAnsi="Book Antiqua" w:eastAsia="Book Antiqua" w:cs="Book Antiqua"/>
          <w:color w:val="000000"/>
          <w:shd w:val="clear" w:color="auto" w:fill="FFFFFF"/>
        </w:rPr>
        <w:t xml:space="preserve"> curve </w:t>
      </w:r>
      <w:r>
        <w:rPr>
          <w:rFonts w:ascii="Book Antiqua" w:hAnsi="Book Antiqua" w:eastAsia="Book Antiqua" w:cs="Book Antiqua"/>
          <w:color w:val="000000"/>
        </w:rPr>
        <w:t xml:space="preserve">compared to CMPS, GEPS, or MAPS alone. </w:t>
      </w:r>
      <w:r>
        <w:rPr>
          <w:rFonts w:ascii="Book Antiqua" w:hAnsi="Book Antiqua" w:eastAsia="Book Antiqua" w:cs="Book Antiqua"/>
          <w:color w:val="000000"/>
          <w:shd w:val="clear" w:color="auto" w:fill="FFFFFF"/>
        </w:rPr>
        <w:t>Nomogram models were created to predict overall survival (OS) and progress-free survival (PFS) rates at 5- and 10-year in the TCGA-BRCA cohort.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We identified 39 CMBs that were used to create a CMPS system in BCs. CMPS, GEPS, and MAPS were found to be significantly independently associated with OS. We then established an </w:t>
      </w:r>
      <w:r>
        <w:rPr>
          <w:rFonts w:ascii="Book Antiqua" w:hAnsi="Book Antiqua" w:eastAsia="Book Antiqua" w:cs="Book Antiqua"/>
          <w:color w:val="000000"/>
        </w:rPr>
        <w:t>iCEMIGE scoring system for risk stratification</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of BC patients. The iGEMIGE score </w:t>
      </w:r>
      <w:r>
        <w:rPr>
          <w:rFonts w:ascii="Book Antiqua" w:hAnsi="Book Antiqua" w:eastAsia="Book Antiqua" w:cs="Book Antiqua"/>
          <w:color w:val="000000"/>
          <w:shd w:val="clear" w:color="auto" w:fill="FFFFFF"/>
        </w:rPr>
        <w:t>has a significant prognostic value for OS and PFS independent of clinical factors (age, stage, and estrogen and progesterone receptor status)</w:t>
      </w:r>
      <w:r>
        <w:rPr>
          <w:rFonts w:ascii="Book Antiqua" w:hAnsi="Book Antiqua" w:cs="Arial"/>
          <w:color w:val="202124"/>
          <w:shd w:val="clear" w:color="auto" w:fill="FFFFFF"/>
        </w:rPr>
        <w:t xml:space="preserve"> </w:t>
      </w:r>
      <w:r>
        <w:rPr>
          <w:rFonts w:ascii="Book Antiqua" w:hAnsi="Book Antiqua" w:eastAsia="Book Antiqua" w:cs="Book Antiqua"/>
          <w:color w:val="000000"/>
          <w:shd w:val="clear" w:color="auto" w:fill="FFFFFF"/>
        </w:rPr>
        <w:t>and PAM50-based molecular subtype</w:t>
      </w:r>
      <w:r>
        <w:rPr>
          <w:rFonts w:ascii="Book Antiqua" w:hAnsi="Book Antiqua" w:eastAsia="Book Antiqua" w:cs="Book Antiqua"/>
          <w:color w:val="000000"/>
        </w:rPr>
        <w:t xml:space="preserve">. Importantly, the iCEMIGE score significantly increased the power to predict OS and PFS compared to CMPS, GEPS, or MAPS alone.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Our study demonstrates a novel and generic artificial intelligence framework for multimodal data integration toward improving prognosis risk stratification of BC patients, which can be extended to other types of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Breast cancer; Gene signature; Microbiome signature; Cellular morphometrics signature; Multimodal data integration; Prognosis</w:t>
      </w:r>
    </w:p>
    <w:p>
      <w:pPr>
        <w:rPr>
          <w:rFonts w:hint="eastAsia" w:ascii="Book Antiqua" w:hAnsi="Book Antiqua" w:cs="Book Antiqua"/>
          <w:b/>
          <w:bCs/>
          <w:color w:val="000000"/>
          <w:lang w:val="en-US" w:eastAsia="zh-CN"/>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Mao X</w:t>
      </w:r>
      <w:r>
        <w:rPr>
          <w:rFonts w:hint="eastAsia" w:ascii="Book Antiqua" w:hAnsi="Book Antiqua" w:eastAsia="宋体" w:cs="Book Antiqua"/>
          <w:color w:val="000000"/>
          <w:lang w:val="en-US" w:eastAsia="zh-CN"/>
        </w:rPr>
        <w:t>Y</w:t>
      </w:r>
      <w:r>
        <w:rPr>
          <w:rFonts w:ascii="Book Antiqua" w:hAnsi="Book Antiqua" w:eastAsia="Book Antiqua" w:cs="Book Antiqua"/>
          <w:color w:val="000000"/>
        </w:rPr>
        <w:t xml:space="preserve">, Perez-Losada J, Abad M, Rodríguez-González M, Rodríguez CA, Mao JH, Chang H. iCEMIGE: Integration of CEll-morphometrics, MIcrobiome, and GEne biomarker signatures for risk stratification in breast cancers. </w:t>
      </w:r>
      <w:r>
        <w:rPr>
          <w:rFonts w:ascii="Book Antiqua" w:hAnsi="Book Antiqua" w:eastAsia="Book Antiqua" w:cs="Book Antiqua"/>
          <w:i/>
          <w:iCs/>
          <w:color w:val="000000"/>
        </w:rPr>
        <w:t>World J Clin Onco</w:t>
      </w:r>
      <w:r>
        <w:rPr>
          <w:rFonts w:ascii="Book Antiqua" w:hAnsi="Book Antiqua" w:eastAsia="Book Antiqua" w:cs="Book Antiqua"/>
          <w:color w:val="000000"/>
        </w:rPr>
        <w:t xml:space="preserve">l 2022; </w:t>
      </w:r>
      <w:r>
        <w:rPr>
          <w:rFonts w:hint="eastAsia" w:ascii="Book Antiqua" w:hAnsi="Book Antiqua" w:eastAsia="Book Antiqua" w:cs="Book Antiqua"/>
          <w:color w:val="000000"/>
        </w:rPr>
        <w:t xml:space="preserve">13(7): </w:t>
      </w:r>
      <w:r>
        <w:rPr>
          <w:rFonts w:hint="default" w:ascii="Book Antiqua" w:hAnsi="Book Antiqua" w:eastAsia="Book Antiqua" w:cs="Book Antiqua"/>
          <w:color w:val="000000"/>
          <w:kern w:val="0"/>
          <w:sz w:val="24"/>
          <w:szCs w:val="24"/>
          <w:lang w:val="en-US" w:eastAsia="zh-CN" w:bidi="ar-SA"/>
        </w:rPr>
        <w:t>616-629</w:t>
      </w: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https://www.wjgnet.com/2218-4333/full/v13/i7/</w:t>
      </w:r>
      <w:r>
        <w:rPr>
          <w:rFonts w:hint="default" w:ascii="Book Antiqua" w:hAnsi="Book Antiqua" w:eastAsia="Book Antiqua" w:cs="Book Antiqua"/>
          <w:color w:val="000000"/>
          <w:kern w:val="0"/>
          <w:sz w:val="24"/>
          <w:szCs w:val="24"/>
          <w:lang w:val="en-US" w:eastAsia="zh-CN" w:bidi="ar-SA"/>
        </w:rPr>
        <w:t>616</w:t>
      </w:r>
      <w:r>
        <w:rPr>
          <w:rFonts w:hint="eastAsia" w:ascii="Book Antiqua" w:hAnsi="Book Antiqua" w:eastAsia="Book Antiqua" w:cs="Book Antiqua"/>
          <w:color w:val="000000"/>
        </w:rPr>
        <w:t xml:space="preserve">.htm </w:t>
      </w:r>
    </w:p>
    <w:p>
      <w:pPr>
        <w:spacing w:line="360" w:lineRule="auto"/>
        <w:jc w:val="both"/>
        <w:rPr>
          <w:rFonts w:ascii="Book Antiqua" w:hAnsi="Book Antiqua"/>
          <w:lang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https://dx.doi.org/10.5306/wjco.v13.i7.</w:t>
      </w:r>
      <w:r>
        <w:rPr>
          <w:rFonts w:hint="default" w:ascii="Book Antiqua" w:hAnsi="Book Antiqua" w:eastAsia="Book Antiqua" w:cs="Book Antiqua"/>
          <w:color w:val="000000"/>
          <w:kern w:val="0"/>
          <w:sz w:val="24"/>
          <w:szCs w:val="24"/>
          <w:lang w:val="en-US" w:eastAsia="zh-CN" w:bidi="ar-SA"/>
        </w:rPr>
        <w:t>616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Cancer heterogeneity consistently results in a large variation in the prognosis of patients after a certain treatment. The discovery of biomarkers for predicting prognosis can significantly assist clinical oncologists in making treatment decisions for cancer patients. Our results revealed that iCEMIGE (integration of cell-morphometrics, microbiome, and gene biomarker signatures) significantly improves risk stratification of BC patients. The clinical utility of iCEMIGE needs to be further validated in retrospective and prospective cohort studies to determine whether the iCEMIGE score can provide sufficient predictive information to stratify patients by risk and guide treatment. If so, the iCEMIGE score could assist clinicians in decision-making about cancer treatment and enable more personalized cancer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Cancer is a complex and heterogeneous disease that displays many morphological,</w:t>
      </w:r>
      <w:r>
        <w:rPr>
          <w:rFonts w:ascii="Book Antiqua" w:hAnsi="Book Antiqua" w:eastAsia="Book Antiqua" w:cs="Book Antiqua"/>
          <w:color w:val="000000"/>
          <w:shd w:val="clear" w:color="auto" w:fill="FFFFFF"/>
        </w:rPr>
        <w:t xml:space="preserve"> genetic, and epigenetic features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Cancer </w:t>
      </w:r>
      <w:r>
        <w:rPr>
          <w:rFonts w:ascii="Book Antiqua" w:hAnsi="Book Antiqua" w:eastAsia="Book Antiqua" w:cs="Book Antiqua"/>
          <w:color w:val="000000"/>
          <w:shd w:val="clear" w:color="auto" w:fill="FFFFFF"/>
        </w:rPr>
        <w:t>heterogeneity</w:t>
      </w:r>
      <w:r>
        <w:rPr>
          <w:rFonts w:ascii="Book Antiqua" w:hAnsi="Book Antiqua" w:eastAsia="Book Antiqua" w:cs="Book Antiqua"/>
          <w:color w:val="000000"/>
        </w:rPr>
        <w:t xml:space="preserve"> consistently results in a large variation in clinical outcomes of patients after a certain treatment</w:t>
      </w:r>
      <w:r>
        <w:rPr>
          <w:rFonts w:ascii="Book Antiqua" w:hAnsi="Book Antiqua" w:eastAsia="Book Antiqua" w:cs="Book Antiqua"/>
          <w:color w:val="000000"/>
          <w:vertAlign w:val="superscript"/>
        </w:rPr>
        <w:t>[2]</w:t>
      </w:r>
      <w:r>
        <w:rPr>
          <w:rFonts w:ascii="Book Antiqua" w:hAnsi="Book Antiqua" w:eastAsia="Book Antiqua" w:cs="Book Antiqua"/>
          <w:color w:val="000000"/>
        </w:rPr>
        <w:t>, and therefore the development of precision medicine is essential for personalized treatment and improved clinical outcome</w:t>
      </w:r>
      <w:r>
        <w:rPr>
          <w:rFonts w:ascii="Book Antiqua" w:hAnsi="Book Antiqua" w:eastAsia="Book Antiqua" w:cs="Book Antiqua"/>
          <w:color w:val="000000"/>
          <w:vertAlign w:val="superscript"/>
        </w:rPr>
        <w:t>[3-6]</w:t>
      </w:r>
      <w:r>
        <w:rPr>
          <w:rFonts w:ascii="Book Antiqua" w:hAnsi="Book Antiqua" w:eastAsia="Book Antiqua" w:cs="Book Antiqua"/>
          <w:color w:val="000000"/>
        </w:rPr>
        <w:t>. The discovery of biomarkers for predicting prognosis, a critical step toward precision medicine, can significantly assist clinical oncologists in making treatment decisions for cancer patients</w:t>
      </w:r>
      <w:r>
        <w:rPr>
          <w:rFonts w:ascii="Book Antiqua" w:hAnsi="Book Antiqua" w:eastAsia="Book Antiqua" w:cs="Book Antiqua"/>
          <w:color w:val="000000"/>
          <w:vertAlign w:val="superscript"/>
        </w:rPr>
        <w:t>[7-9]</w:t>
      </w:r>
      <w:r>
        <w:rPr>
          <w:rFonts w:ascii="Book Antiqua" w:hAnsi="Book Antiqua" w:eastAsia="Book Antiqua" w:cs="Book Antiqua"/>
          <w:color w:val="000000"/>
        </w:rPr>
        <w:t xml:space="preserve">. </w:t>
      </w:r>
    </w:p>
    <w:p>
      <w:pPr>
        <w:spacing w:line="360" w:lineRule="auto"/>
        <w:ind w:firstLine="432"/>
        <w:jc w:val="both"/>
        <w:rPr>
          <w:rFonts w:ascii="Book Antiqua" w:hAnsi="Book Antiqua"/>
        </w:rPr>
      </w:pPr>
      <w:r>
        <w:rPr>
          <w:rFonts w:ascii="Book Antiqua" w:hAnsi="Book Antiqua" w:eastAsia="Book Antiqua" w:cs="Book Antiqua"/>
          <w:color w:val="000000"/>
          <w:shd w:val="clear" w:color="auto" w:fill="FFFFFF"/>
        </w:rPr>
        <w:t xml:space="preserve">Microscopic examination of the histology, which encompasses the morphological features of cancer cells, is the oldest and most basic way of cancer classification. A complete and accurate pathological cancer classification is still crucial to deciding on the best treatment plan for patients. Recently, we </w:t>
      </w:r>
      <w:r>
        <w:rPr>
          <w:rFonts w:ascii="Book Antiqua" w:hAnsi="Book Antiqua" w:eastAsia="Book Antiqua" w:cs="Book Antiqua"/>
          <w:color w:val="000000"/>
        </w:rPr>
        <w:t xml:space="preserve">developed a framework powered by artificial intelligence (AI) technique for identifying cellular morphometric biomarkers (CMBs) and cellular morphometric subtypes (CMSs) from the whole slide images (WSI) of </w:t>
      </w:r>
      <w:r>
        <w:rPr>
          <w:rFonts w:ascii="Book Antiqua" w:hAnsi="Book Antiqua" w:eastAsia="Book Antiqua" w:cs="Book Antiqua"/>
          <w:color w:val="000000"/>
          <w:shd w:val="clear" w:color="auto" w:fill="FFFFFF"/>
        </w:rPr>
        <w:t>Hematoxylin and Eosin</w:t>
      </w:r>
      <w:r>
        <w:rPr>
          <w:rFonts w:ascii="Book Antiqua" w:hAnsi="Book Antiqua" w:eastAsia="Book Antiqua" w:cs="Book Antiqua"/>
          <w:color w:val="000000"/>
        </w:rPr>
        <w:t xml:space="preserve"> (H&amp;E)-stained tissue histology</w:t>
      </w:r>
      <w:r>
        <w:rPr>
          <w:rFonts w:ascii="Book Antiqua" w:hAnsi="Book Antiqua" w:eastAsia="Book Antiqua" w:cs="Book Antiqua"/>
          <w:color w:val="000000"/>
          <w:vertAlign w:val="superscript"/>
        </w:rPr>
        <w:t>[10,11]</w:t>
      </w:r>
      <w:r>
        <w:rPr>
          <w:rFonts w:ascii="Book Antiqua" w:hAnsi="Book Antiqua" w:eastAsia="Book Antiqua" w:cs="Book Antiqua"/>
          <w:color w:val="000000"/>
        </w:rPr>
        <w:t>. We demonstrated that CMSs were significantly associated with specific molecular alterations, immune microenvironment, and prognosis in lower-grade gliomas</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432"/>
        <w:jc w:val="both"/>
        <w:rPr>
          <w:rFonts w:ascii="Book Antiqua" w:hAnsi="Book Antiqua"/>
        </w:rPr>
      </w:pPr>
      <w:r>
        <w:rPr>
          <w:rFonts w:ascii="Book Antiqua" w:hAnsi="Book Antiqua" w:eastAsia="Book Antiqua" w:cs="Book Antiqua"/>
          <w:color w:val="000000"/>
        </w:rPr>
        <w:t xml:space="preserve">With the rapid biotechnological development, such as next-generation sequencing, </w:t>
      </w:r>
      <w:r>
        <w:rPr>
          <w:rFonts w:ascii="Book Antiqua" w:hAnsi="Book Antiqua" w:eastAsia="Book Antiqua" w:cs="Book Antiqua"/>
          <w:color w:val="000000"/>
          <w:shd w:val="clear" w:color="auto" w:fill="FFFFFF"/>
        </w:rPr>
        <w:t>different aspects of genomic heterogeneity have been uncovered in cancers</w:t>
      </w:r>
      <w:r>
        <w:rPr>
          <w:rFonts w:ascii="Book Antiqua" w:hAnsi="Book Antiqua" w:eastAsia="Book Antiqua" w:cs="Book Antiqua"/>
          <w:color w:val="000000"/>
          <w:vertAlign w:val="superscript"/>
        </w:rPr>
        <w:t>[12]</w:t>
      </w:r>
      <w:r>
        <w:rPr>
          <w:rFonts w:ascii="Book Antiqua" w:hAnsi="Book Antiqua" w:eastAsia="Book Antiqua" w:cs="Book Antiqua"/>
          <w:color w:val="000000"/>
          <w:shd w:val="clear" w:color="auto" w:fill="FFFFFF"/>
        </w:rPr>
        <w:t xml:space="preserve">, which dramatically speed the discovery of molecular biomarkers for precision diagnosis and therapy. For example, </w:t>
      </w:r>
      <w:r>
        <w:rPr>
          <w:rFonts w:ascii="Book Antiqua" w:hAnsi="Book Antiqua" w:eastAsia="Book Antiqua" w:cs="Book Antiqua"/>
          <w:color w:val="000000"/>
          <w:shd w:val="clear" w:color="auto" w:fill="FCFCFC"/>
        </w:rPr>
        <w:t>several molecular biomarkers have been developed for clinical practice</w:t>
      </w:r>
      <w:r>
        <w:rPr>
          <w:rFonts w:ascii="Book Antiqua" w:hAnsi="Book Antiqua" w:eastAsia="Book Antiqua" w:cs="Book Antiqua"/>
          <w:color w:val="000000"/>
          <w:shd w:val="clear" w:color="auto" w:fill="FFFFFF"/>
        </w:rPr>
        <w:t xml:space="preserve"> in breast cancer (BC)</w:t>
      </w:r>
      <w:r>
        <w:rPr>
          <w:rFonts w:ascii="Book Antiqua" w:hAnsi="Book Antiqua" w:eastAsia="Book Antiqua" w:cs="Book Antiqua"/>
          <w:color w:val="000000"/>
          <w:vertAlign w:val="superscript"/>
        </w:rPr>
        <w:t>[13,14]</w:t>
      </w:r>
      <w:r>
        <w:rPr>
          <w:rFonts w:ascii="Book Antiqua" w:hAnsi="Book Antiqua" w:eastAsia="Book Antiqua" w:cs="Book Antiqua"/>
          <w:color w:val="000000"/>
          <w:shd w:val="clear" w:color="auto" w:fill="FCFCFC"/>
        </w:rPr>
        <w:t xml:space="preserve">, including PAM50 (Prosigna, South San Francisco, United States), </w:t>
      </w:r>
      <w:r>
        <w:rPr>
          <w:rFonts w:ascii="Book Antiqua" w:hAnsi="Book Antiqua" w:eastAsia="Book Antiqua" w:cs="Book Antiqua"/>
          <w:shd w:val="clear" w:color="auto" w:fill="FCFCFC"/>
        </w:rPr>
        <w:t>OncotypeDx (</w:t>
      </w:r>
      <w:r>
        <w:rPr>
          <w:rFonts w:ascii="Book Antiqua" w:hAnsi="Book Antiqua" w:cs="Arial"/>
          <w:shd w:val="clear" w:color="auto" w:fill="FFFFFF"/>
        </w:rPr>
        <w:t>Exact Sciences Corp., Madison, United States</w:t>
      </w:r>
      <w:r>
        <w:rPr>
          <w:rFonts w:ascii="Book Antiqua" w:hAnsi="Book Antiqua" w:cs="Arial"/>
          <w:color w:val="3C4043"/>
          <w:shd w:val="clear" w:color="auto" w:fill="FFFFFF"/>
        </w:rPr>
        <w:t>)</w:t>
      </w:r>
      <w:r>
        <w:rPr>
          <w:rFonts w:ascii="Book Antiqua" w:hAnsi="Book Antiqua" w:eastAsia="Book Antiqua" w:cs="Book Antiqua"/>
          <w:color w:val="000000"/>
          <w:shd w:val="clear" w:color="auto" w:fill="FCFCFC"/>
        </w:rPr>
        <w:t>, and MammaPrint (Agendia, Amsterdam, Netherlands).</w:t>
      </w:r>
    </w:p>
    <w:p>
      <w:pPr>
        <w:spacing w:line="360" w:lineRule="auto"/>
        <w:ind w:firstLine="432"/>
        <w:jc w:val="both"/>
        <w:rPr>
          <w:rFonts w:ascii="Book Antiqua" w:hAnsi="Book Antiqua"/>
        </w:rPr>
      </w:pPr>
      <w:r>
        <w:rPr>
          <w:rFonts w:ascii="Book Antiqua" w:hAnsi="Book Antiqua" w:eastAsia="Book Antiqua" w:cs="Book Antiqua"/>
          <w:color w:val="000000"/>
          <w:shd w:val="clear" w:color="auto" w:fill="FCFCFC"/>
        </w:rPr>
        <w:t>In addition to cancer genomic heterogeneity, a significant number of studies have revealed the diversity of the microbiome in cancer and the roles of the microbiome in cancer development and response to therapies</w:t>
      </w:r>
      <w:r>
        <w:rPr>
          <w:rFonts w:ascii="Book Antiqua" w:hAnsi="Book Antiqua" w:eastAsia="Book Antiqua" w:cs="Book Antiqua"/>
          <w:color w:val="000000"/>
          <w:vertAlign w:val="superscript"/>
        </w:rPr>
        <w:t>[15-18]</w:t>
      </w:r>
      <w:r>
        <w:rPr>
          <w:rFonts w:ascii="Book Antiqua" w:hAnsi="Book Antiqua" w:eastAsia="Book Antiqua" w:cs="Book Antiqua"/>
          <w:color w:val="000000"/>
          <w:shd w:val="clear" w:color="auto" w:fill="FCFCFC"/>
        </w:rPr>
        <w:t>. We have recently developed a</w:t>
      </w:r>
      <w:r>
        <w:rPr>
          <w:rFonts w:ascii="Book Antiqua" w:hAnsi="Book Antiqua" w:eastAsia="Book Antiqua" w:cs="Book Antiqua"/>
          <w:color w:val="000000"/>
        </w:rPr>
        <w:t xml:space="preserve"> novel cancer microbiome signature for predicting the prognosis of BC patients</w:t>
      </w:r>
      <w:r>
        <w:rPr>
          <w:rFonts w:ascii="Book Antiqua" w:hAnsi="Book Antiqua" w:eastAsia="Book Antiqua" w:cs="Book Antiqua"/>
          <w:color w:val="000000"/>
          <w:vertAlign w:val="superscript"/>
        </w:rPr>
        <w:t>[19]</w:t>
      </w:r>
      <w:r>
        <w:rPr>
          <w:rFonts w:ascii="Book Antiqua" w:hAnsi="Book Antiqua" w:eastAsia="Book Antiqua" w:cs="Book Antiqua"/>
          <w:color w:val="000000"/>
        </w:rPr>
        <w:t>. Given the importance of tissue histology, genomics, and microbiome in cancer diagnosis and treatment, efficient and effective integration of these multimodal data is believed to open a new era for precision oncology</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w:t>
      </w:r>
    </w:p>
    <w:p>
      <w:pPr>
        <w:spacing w:line="360" w:lineRule="auto"/>
        <w:ind w:firstLine="432"/>
        <w:jc w:val="both"/>
        <w:rPr>
          <w:rFonts w:ascii="Book Antiqua" w:hAnsi="Book Antiqua"/>
        </w:rPr>
      </w:pPr>
      <w:r>
        <w:rPr>
          <w:rFonts w:ascii="Book Antiqua" w:hAnsi="Book Antiqua" w:eastAsia="Book Antiqua" w:cs="Book Antiqua"/>
          <w:color w:val="000000"/>
        </w:rPr>
        <w:t>In this study,</w:t>
      </w:r>
      <w:r>
        <w:rPr>
          <w:rFonts w:ascii="Book Antiqua" w:hAnsi="Book Antiqua" w:eastAsia="Book Antiqua" w:cs="Book Antiqua"/>
          <w:color w:val="000000"/>
          <w:shd w:val="clear" w:color="auto" w:fill="FFFFFF"/>
        </w:rPr>
        <w:t xml:space="preserve"> we developed a strategy to integrate multimodal data (</w:t>
      </w:r>
      <w:r>
        <w:rPr>
          <w:rFonts w:ascii="Book Antiqua" w:hAnsi="Book Antiqua" w:eastAsia="Book Antiqua" w:cs="Book Antiqua"/>
          <w:bCs/>
          <w:color w:val="000000"/>
          <w:shd w:val="clear" w:color="auto" w:fill="FFFFFF"/>
        </w:rPr>
        <w:t>Figure 1</w:t>
      </w:r>
      <w:r>
        <w:rPr>
          <w:rFonts w:ascii="Book Antiqua" w:hAnsi="Book Antiqua" w:eastAsia="Book Antiqua" w:cs="Book Antiqua"/>
          <w:color w:val="000000"/>
          <w:shd w:val="clear" w:color="auto" w:fill="FFFFFF"/>
        </w:rPr>
        <w:t xml:space="preserve">) and investigated whether </w:t>
      </w:r>
      <w:r>
        <w:rPr>
          <w:rFonts w:ascii="Book Antiqua" w:hAnsi="Book Antiqua" w:eastAsia="Book Antiqua" w:cs="Book Antiqua"/>
          <w:color w:val="000000"/>
        </w:rPr>
        <w:t>iCEMIGE (</w:t>
      </w:r>
      <w:r>
        <w:rPr>
          <w:rFonts w:ascii="Book Antiqua" w:hAnsi="Book Antiqua" w:eastAsia="Book Antiqua" w:cs="Book Antiqua"/>
          <w:bCs/>
          <w:color w:val="000000"/>
          <w:shd w:val="clear" w:color="auto" w:fill="FFFFFF"/>
        </w:rPr>
        <w:t>i</w:t>
      </w:r>
      <w:r>
        <w:rPr>
          <w:rFonts w:ascii="Book Antiqua" w:hAnsi="Book Antiqua" w:eastAsia="Book Antiqua" w:cs="Book Antiqua"/>
          <w:color w:val="000000"/>
          <w:shd w:val="clear" w:color="auto" w:fill="FFFFFF"/>
        </w:rPr>
        <w:t>ntegration of</w:t>
      </w:r>
      <w:r>
        <w:rPr>
          <w:rFonts w:ascii="Book Antiqua" w:hAnsi="Book Antiqua" w:eastAsia="Book Antiqua" w:cs="Book Antiqua"/>
          <w:bCs/>
          <w:color w:val="000000"/>
        </w:rPr>
        <w:t xml:space="preserve"> ce</w:t>
      </w:r>
      <w:r>
        <w:rPr>
          <w:rFonts w:ascii="Book Antiqua" w:hAnsi="Book Antiqua" w:eastAsia="Book Antiqua" w:cs="Book Antiqua"/>
          <w:color w:val="000000"/>
        </w:rPr>
        <w:t xml:space="preserve">ll-morphometrics, </w:t>
      </w:r>
      <w:r>
        <w:rPr>
          <w:rFonts w:ascii="Book Antiqua" w:hAnsi="Book Antiqua" w:eastAsia="Book Antiqua" w:cs="Book Antiqua"/>
          <w:bCs/>
          <w:color w:val="000000"/>
        </w:rPr>
        <w:t>mi</w:t>
      </w:r>
      <w:r>
        <w:rPr>
          <w:rFonts w:ascii="Book Antiqua" w:hAnsi="Book Antiqua" w:eastAsia="Book Antiqua" w:cs="Book Antiqua"/>
          <w:color w:val="000000"/>
        </w:rPr>
        <w:t xml:space="preserve">crobiome, and </w:t>
      </w:r>
      <w:r>
        <w:rPr>
          <w:rFonts w:ascii="Book Antiqua" w:hAnsi="Book Antiqua" w:eastAsia="Book Antiqua" w:cs="Book Antiqua"/>
          <w:bCs/>
          <w:color w:val="000000"/>
        </w:rPr>
        <w:t>ge</w:t>
      </w:r>
      <w:r>
        <w:rPr>
          <w:rFonts w:ascii="Book Antiqua" w:hAnsi="Book Antiqua" w:eastAsia="Book Antiqua" w:cs="Book Antiqua"/>
          <w:color w:val="000000"/>
        </w:rPr>
        <w:t>ne biomarker signatures)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improves the risk stratification</w:t>
      </w:r>
      <w:r>
        <w:rPr>
          <w:rFonts w:ascii="Book Antiqua" w:hAnsi="Book Antiqua" w:eastAsia="Book Antiqua" w:cs="Book Antiqua"/>
          <w:bCs/>
          <w:color w:val="000000"/>
        </w:rPr>
        <w:t xml:space="preserve"> </w:t>
      </w:r>
      <w:r>
        <w:rPr>
          <w:rFonts w:ascii="Book Antiqua" w:hAnsi="Book Antiqua" w:eastAsia="Book Antiqua" w:cs="Book Antiqua"/>
          <w:color w:val="000000"/>
        </w:rPr>
        <w:t xml:space="preserve">of BC patients. </w:t>
      </w:r>
      <w:r>
        <w:rPr>
          <w:rFonts w:ascii="Book Antiqua" w:hAnsi="Book Antiqua" w:eastAsia="Book Antiqua" w:cs="Book Antiqua"/>
          <w:color w:val="000000"/>
          <w:shd w:val="clear" w:color="auto" w:fill="FFFFFF"/>
        </w:rPr>
        <w:t>We first</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color w:val="000000"/>
        </w:rPr>
        <w:t xml:space="preserve">used our recently developed machine learning technique (CMS-ML) to identify the CMBs from the WSIs in The Cancer Genome Atlas (TCGA) breast cancer (TCGA-BRCA) cohort and established a </w:t>
      </w:r>
      <w:r>
        <w:rPr>
          <w:rFonts w:ascii="Book Antiqua" w:hAnsi="Book Antiqua" w:eastAsia="Book Antiqua" w:cs="Book Antiqua"/>
          <w:color w:val="000000"/>
          <w:shd w:val="clear" w:color="auto" w:fill="FFFFFF"/>
        </w:rPr>
        <w:t>cellular-morphometrics prognosis score (CMPS). We then demonstrated that CMPS, together with our previously reported 12-gene expression prognosis score (GEPS)</w:t>
      </w:r>
      <w:r>
        <w:rPr>
          <w:rFonts w:ascii="Book Antiqua" w:hAnsi="Book Antiqua" w:eastAsia="Book Antiqua" w:cs="Book Antiqua"/>
          <w:color w:val="000000"/>
          <w:vertAlign w:val="superscript"/>
        </w:rPr>
        <w:t>[21]</w:t>
      </w:r>
      <w:r>
        <w:rPr>
          <w:rFonts w:ascii="Book Antiqua" w:hAnsi="Book Antiqua" w:eastAsia="Book Antiqua" w:cs="Book Antiqua"/>
          <w:color w:val="000000"/>
          <w:shd w:val="clear" w:color="auto" w:fill="FFFFFF"/>
        </w:rPr>
        <w:t xml:space="preserve"> and the 15-microbe abundance prognosis score (MAPS)</w:t>
      </w:r>
      <w:r>
        <w:rPr>
          <w:rFonts w:ascii="Book Antiqua" w:hAnsi="Book Antiqua" w:eastAsia="Book Antiqua" w:cs="Book Antiqua"/>
          <w:color w:val="000000"/>
          <w:vertAlign w:val="superscript"/>
        </w:rPr>
        <w:t>[19]</w:t>
      </w:r>
      <w:r>
        <w:rPr>
          <w:rFonts w:ascii="Book Antiqua" w:hAnsi="Book Antiqua" w:eastAsia="Book Antiqua" w:cs="Book Antiqua"/>
          <w:color w:val="000000"/>
          <w:shd w:val="clear" w:color="auto" w:fill="FFFFFF"/>
        </w:rPr>
        <w:t xml:space="preserve"> were independent prognostic factors. Finally, we established the </w:t>
      </w:r>
      <w:r>
        <w:rPr>
          <w:rFonts w:ascii="Book Antiqua" w:hAnsi="Book Antiqua" w:eastAsia="Book Antiqua" w:cs="Book Antiqua"/>
          <w:color w:val="000000"/>
        </w:rPr>
        <w:t xml:space="preserve">iCEMIGE scoring system and assessed its clinical value and prognosis predictive power compared to GEPS, MAPS, and CMPS alone. </w:t>
      </w:r>
    </w:p>
    <w:p>
      <w:pPr>
        <w:spacing w:line="360" w:lineRule="auto"/>
        <w:ind w:firstLine="432"/>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i/>
        </w:rPr>
      </w:pPr>
      <w:r>
        <w:rPr>
          <w:rFonts w:ascii="Book Antiqua" w:hAnsi="Book Antiqua" w:eastAsia="Book Antiqua" w:cs="Book Antiqua"/>
          <w:b/>
          <w:bCs/>
          <w:i/>
          <w:color w:val="000000"/>
        </w:rPr>
        <w:t>Study design and dataset</w:t>
      </w:r>
    </w:p>
    <w:p>
      <w:pPr>
        <w:spacing w:line="360" w:lineRule="auto"/>
        <w:jc w:val="both"/>
        <w:rPr>
          <w:rFonts w:ascii="Book Antiqua" w:hAnsi="Book Antiqua"/>
        </w:rPr>
      </w:pPr>
      <w:r>
        <w:rPr>
          <w:rFonts w:ascii="Book Antiqua" w:hAnsi="Book Antiqua" w:eastAsia="Book Antiqua" w:cs="Book Antiqua"/>
          <w:color w:val="000000"/>
        </w:rPr>
        <w:t>The TCGA-BRCA cohort was used in this study. The patient diagnostic tissue histology slides were downloaded from GDCportal (https://portal.gdc.cancer.gov/). TCGA-BRCA microbiome, transcriptome, and clinical data, including PAM50-based molecular subtypes, were downloaded from the cBioPortal (</w:t>
      </w:r>
      <w:r>
        <w:fldChar w:fldCharType="begin"/>
      </w:r>
      <w:r>
        <w:instrText xml:space="preserve"> HYPERLINK "https://www.cbioportal.org/" </w:instrText>
      </w:r>
      <w:r>
        <w:fldChar w:fldCharType="separate"/>
      </w:r>
      <w:r>
        <w:rPr>
          <w:rFonts w:ascii="Book Antiqua" w:hAnsi="Book Antiqua" w:eastAsia="Book Antiqua" w:cs="Book Antiqua"/>
          <w:color w:val="000000"/>
        </w:rPr>
        <w:t>https://www.cbioportal.org/</w:t>
      </w:r>
      <w:r>
        <w:rPr>
          <w:rFonts w:ascii="Book Antiqua" w:hAnsi="Book Antiqua" w:eastAsia="Book Antiqua" w:cs="Book Antiqua"/>
          <w:color w:val="000000"/>
        </w:rPr>
        <w:fldChar w:fldCharType="end"/>
      </w:r>
      <w:r>
        <w:rPr>
          <w:rFonts w:ascii="Book Antiqua" w:hAnsi="Book Antiqua" w:eastAsia="Book Antiqua" w:cs="Book Antiqua"/>
          <w:color w:val="000000"/>
        </w:rPr>
        <w:t>)</w:t>
      </w:r>
      <w:r>
        <w:rPr>
          <w:rFonts w:ascii="Book Antiqua" w:hAnsi="Book Antiqua" w:eastAsia="Book Antiqua" w:cs="Book Antiqua"/>
          <w:color w:val="000000"/>
          <w:vertAlign w:val="superscript"/>
        </w:rPr>
        <w:t>[22,23]</w:t>
      </w:r>
      <w:r>
        <w:rPr>
          <w:rFonts w:ascii="Book Antiqua" w:hAnsi="Book Antiqua" w:eastAsia="Book Antiqua" w:cs="Book Antiqua"/>
          <w:color w:val="000000"/>
        </w:rPr>
        <w:t xml:space="preserve">. No additional modifications were made to the downloaded data during our analyses. </w:t>
      </w:r>
    </w:p>
    <w:p>
      <w:pPr>
        <w:spacing w:line="360" w:lineRule="auto"/>
        <w:ind w:firstLine="432"/>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Extraction of cellular morphometric characteristics and stratification of breast cancer patients</w:t>
      </w:r>
    </w:p>
    <w:p>
      <w:pPr>
        <w:spacing w:line="360" w:lineRule="auto"/>
        <w:jc w:val="both"/>
        <w:rPr>
          <w:rFonts w:ascii="Book Antiqua" w:hAnsi="Book Antiqua"/>
        </w:rPr>
      </w:pPr>
      <w:r>
        <w:rPr>
          <w:rFonts w:ascii="Book Antiqua" w:hAnsi="Book Antiqua" w:eastAsia="Book Antiqua" w:cs="Book Antiqua"/>
          <w:color w:val="000000"/>
        </w:rPr>
        <w:t>Following our previous work</w:t>
      </w:r>
      <w:r>
        <w:rPr>
          <w:rFonts w:ascii="Book Antiqua" w:hAnsi="Book Antiqua" w:eastAsia="Book Antiqua" w:cs="Book Antiqua"/>
          <w:color w:val="000000"/>
          <w:vertAlign w:val="superscript"/>
        </w:rPr>
        <w:t>[10]</w:t>
      </w:r>
      <w:r>
        <w:rPr>
          <w:rFonts w:ascii="Book Antiqua" w:hAnsi="Book Antiqua" w:eastAsia="Book Antiqua" w:cs="Book Antiqua"/>
          <w:color w:val="000000"/>
        </w:rPr>
        <w:t>, we deployed an unsupervised feature learning pipeline, which was based on the stacked predictive sparse decomposition (SPSD)</w:t>
      </w:r>
      <w:r>
        <w:rPr>
          <w:rFonts w:ascii="Book Antiqua" w:hAnsi="Book Antiqua" w:eastAsia="Book Antiqua" w:cs="Book Antiqua"/>
          <w:color w:val="000000"/>
          <w:vertAlign w:val="superscript"/>
        </w:rPr>
        <w:t>[24,25]</w:t>
      </w:r>
      <w:r>
        <w:rPr>
          <w:rFonts w:ascii="Book Antiqua" w:hAnsi="Book Antiqua" w:eastAsia="Book Antiqua" w:cs="Book Antiqua"/>
          <w:color w:val="000000"/>
        </w:rPr>
        <w:t>, for unsupervised discovery of underlying cellular morphometric characteristics from 15 cellular morphological features that were extracted from the diagnostic slides from the TCGA-BRCA cohort. 256 cellular morphometric biomarkers (CMB) were defined for cellular object representation. Specifically, we used a single network-layer with 256 dictionary elements (</w:t>
      </w:r>
      <w:r>
        <w:rPr>
          <w:rFonts w:ascii="Book Antiqua" w:hAnsi="Book Antiqua" w:eastAsia="Book Antiqua" w:cs="Book Antiqua"/>
          <w:i/>
          <w:color w:val="000000"/>
        </w:rPr>
        <w:t>i.e</w:t>
      </w:r>
      <w:r>
        <w:rPr>
          <w:rFonts w:ascii="Book Antiqua" w:hAnsi="Book Antiqua" w:eastAsia="Book Antiqua" w:cs="Book Antiqua"/>
          <w:color w:val="000000"/>
        </w:rPr>
        <w:t>., CMBs) and a sparsity constraint of 30 at a fixed random sampling rate of 1000 cellular objects per WSIs from the TCGA-BRCA cohort. The pre-trained SPSD model reconstructed each cellular region (represented as a vector of 15 morphometric properties) as a sparse combination of pre-defined 256 CMBs and thereafter represents each patient as an aggregation of all delineated cellular objects belonging to the same patient.</w:t>
      </w:r>
    </w:p>
    <w:p>
      <w:pPr>
        <w:spacing w:line="360" w:lineRule="auto"/>
        <w:ind w:firstLine="432"/>
        <w:jc w:val="both"/>
        <w:rPr>
          <w:rFonts w:ascii="Book Antiqua" w:hAnsi="Book Antiqua"/>
        </w:rPr>
      </w:pPr>
      <w:r>
        <w:rPr>
          <w:rFonts w:ascii="Book Antiqua" w:hAnsi="Book Antiqua" w:eastAsia="Book Antiqua" w:cs="Book Antiqua"/>
          <w:color w:val="000000"/>
        </w:rPr>
        <w:t>The prognostic effect of high or low levels of each CMB on overall survival (OS) was assessed by Kaplan-Meier analysis (survminer package in R, Version 0.4.8) and log-rank test (survival package in R, Version 3.2-3), where the TCGA-BRCA cohort was divided into two groups (</w:t>
      </w:r>
      <w:r>
        <w:rPr>
          <w:rFonts w:ascii="Book Antiqua" w:hAnsi="Book Antiqua" w:eastAsia="Book Antiqua" w:cs="Book Antiqua"/>
          <w:i/>
          <w:color w:val="000000"/>
        </w:rPr>
        <w:t>i.e</w:t>
      </w:r>
      <w:r>
        <w:rPr>
          <w:rFonts w:ascii="Book Antiqua" w:hAnsi="Book Antiqua" w:eastAsia="Book Antiqua" w:cs="Book Antiqua"/>
          <w:color w:val="000000"/>
        </w:rPr>
        <w:t xml:space="preserve">., CMB-high and CMB-low groups) based on each CMB (survminer package in R, Version 0.4.8). The set of CMBs as a prognostic signature were selected </w:t>
      </w:r>
      <w:r>
        <w:rPr>
          <w:rFonts w:ascii="Book Antiqua" w:hAnsi="Book Antiqua" w:eastAsia="Book Antiqua" w:cs="Book Antiqua"/>
          <w:i/>
          <w:iCs/>
          <w:color w:val="000000"/>
        </w:rPr>
        <w:t>via</w:t>
      </w:r>
      <w:r>
        <w:rPr>
          <w:rFonts w:ascii="Book Antiqua" w:hAnsi="Book Antiqua" w:eastAsia="Book Antiqua" w:cs="Book Antiqua"/>
          <w:color w:val="000000"/>
        </w:rPr>
        <w:t xml:space="preserve"> a multivariate CoxPH regression model including these CMBs with a significant effect on OS. </w:t>
      </w:r>
    </w:p>
    <w:p>
      <w:pPr>
        <w:spacing w:line="360" w:lineRule="auto"/>
        <w:ind w:firstLine="432"/>
        <w:jc w:val="both"/>
        <w:rPr>
          <w:rFonts w:ascii="Book Antiqua" w:hAnsi="Book Antiqua"/>
        </w:rPr>
      </w:pPr>
      <w:r>
        <w:rPr>
          <w:rFonts w:ascii="Book Antiqua" w:hAnsi="Book Antiqua" w:eastAsia="Book Antiqua" w:cs="Book Antiqua"/>
          <w:color w:val="000000"/>
        </w:rPr>
        <w:t>Finally, we calculated the cellular morphometric prognosis score (CMPS) using the formula below, where the coefficients of the final CMBs as categorical variables were obtained from multivariate CoxPH regression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Where N is the number of final CMBs that were independently and significantly associated with OS, and </w:t>
      </w:r>
      <w:r>
        <w:rPr>
          <w:rFonts w:ascii="Book Antiqua" w:hAnsi="Book Antiqua" w:eastAsia="Book Antiqua" w:cs="Book Antiqua"/>
          <w:i/>
          <w:color w:val="000000"/>
        </w:rPr>
        <w:t>CMB_Category</w:t>
      </w:r>
      <w:r>
        <w:rPr>
          <w:rFonts w:ascii="Book Antiqua" w:hAnsi="Book Antiqua" w:eastAsia="Book Antiqua" w:cs="Book Antiqua"/>
          <w:i/>
          <w:color w:val="000000"/>
          <w:vertAlign w:val="superscript"/>
        </w:rPr>
        <w:t>i</w:t>
      </w:r>
      <w:r>
        <w:rPr>
          <w:rFonts w:ascii="Book Antiqua" w:hAnsi="Book Antiqua" w:eastAsia="Book Antiqua" w:cs="Book Antiqua"/>
          <w:color w:val="000000"/>
        </w:rPr>
        <w:t xml:space="preserve"> is the category of the</w:t>
      </w:r>
      <w:r>
        <w:rPr>
          <w:rFonts w:ascii="Book Antiqua" w:hAnsi="Book Antiqua" w:eastAsia="Book Antiqua" w:cs="Book Antiqua"/>
        </w:rPr>
        <w:t xml:space="preserve"> </w:t>
      </w:r>
      <w:r>
        <w:rPr>
          <w:rFonts w:ascii="Book Antiqua" w:hAnsi="Book Antiqua" w:eastAsia="Book Antiqua" w:cs="Book Antiqua"/>
          <w:i/>
          <w:color w:val="000000"/>
        </w:rPr>
        <w:t>i</w:t>
      </w:r>
      <w:r>
        <w:rPr>
          <w:rFonts w:ascii="Book Antiqua" w:hAnsi="Book Antiqua" w:eastAsia="Book Antiqua" w:cs="Book Antiqua"/>
          <w:i/>
          <w:color w:val="000000"/>
          <w:vertAlign w:val="superscript"/>
        </w:rPr>
        <w:t>th</w:t>
      </w:r>
      <w:r>
        <w:rPr>
          <w:rFonts w:ascii="Book Antiqua" w:hAnsi="Book Antiqua" w:eastAsia="Book Antiqua" w:cs="Book Antiqua"/>
          <w:i/>
          <w:color w:val="000000"/>
        </w:rPr>
        <w:t xml:space="preserve"> </w:t>
      </w:r>
      <w:r>
        <w:rPr>
          <w:rFonts w:ascii="Book Antiqua" w:hAnsi="Book Antiqua" w:eastAsia="Book Antiqua" w:cs="Book Antiqua"/>
          <w:color w:val="000000"/>
        </w:rPr>
        <w:t>CMB (</w:t>
      </w:r>
      <w:r>
        <w:rPr>
          <w:rFonts w:ascii="Book Antiqua" w:hAnsi="Book Antiqua" w:eastAsia="Book Antiqua" w:cs="Book Antiqua"/>
          <w:i/>
          <w:color w:val="000000"/>
        </w:rPr>
        <w:t>i.e</w:t>
      </w:r>
      <w:r>
        <w:rPr>
          <w:rFonts w:ascii="Book Antiqua" w:hAnsi="Book Antiqua" w:eastAsia="Book Antiqua" w:cs="Book Antiqua"/>
          <w:color w:val="000000"/>
        </w:rPr>
        <w:t xml:space="preserve">., CMB-high: 1; CMB-low: 0). </w:t>
      </w:r>
    </w:p>
    <w:p>
      <w:pPr>
        <w:spacing w:line="360" w:lineRule="auto"/>
        <w:jc w:val="center"/>
        <w:rPr>
          <w:rFonts w:ascii="Book Antiqua" w:hAnsi="Book Antiqua"/>
        </w:rPr>
      </w:pPr>
      <w:r>
        <w:rPr>
          <w:rFonts w:ascii="Book Antiqua" w:hAnsi="Book Antiqua"/>
        </w:rPr>
        <w:drawing>
          <wp:inline distT="0" distB="0" distL="0" distR="0">
            <wp:extent cx="3721735" cy="444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721735" cy="444500"/>
                    </a:xfrm>
                    <a:prstGeom prst="rect">
                      <a:avLst/>
                    </a:prstGeom>
                    <a:noFill/>
                    <a:ln>
                      <a:noFill/>
                    </a:ln>
                  </pic:spPr>
                </pic:pic>
              </a:graphicData>
            </a:graphic>
          </wp:inline>
        </w:drawing>
      </w:r>
    </w:p>
    <w:p>
      <w:pPr>
        <w:spacing w:line="360" w:lineRule="auto"/>
        <w:jc w:val="both"/>
        <w:rPr>
          <w:rFonts w:ascii="Book Antiqua" w:hAnsi="Book Antiqua"/>
          <w:i/>
        </w:rPr>
      </w:pPr>
      <w:r>
        <w:rPr>
          <w:rFonts w:ascii="Book Antiqua" w:hAnsi="Book Antiqua" w:eastAsia="Book Antiqua" w:cs="Book Antiqua"/>
          <w:b/>
          <w:bCs/>
          <w:i/>
          <w:color w:val="000000"/>
        </w:rPr>
        <w:t>Mining of multi-modal iCEMIGE biomarker signature</w:t>
      </w:r>
    </w:p>
    <w:p>
      <w:pPr>
        <w:spacing w:line="360" w:lineRule="auto"/>
        <w:jc w:val="both"/>
        <w:rPr>
          <w:rFonts w:ascii="Book Antiqua" w:hAnsi="Book Antiqua"/>
        </w:rPr>
      </w:pPr>
      <w:r>
        <w:rPr>
          <w:rFonts w:ascii="Book Antiqua" w:hAnsi="Book Antiqua" w:eastAsia="Book Antiqua" w:cs="Book Antiqua"/>
          <w:color w:val="000000"/>
        </w:rPr>
        <w:t>We extended the unsupervised feature learning pipeline (SPSD)</w:t>
      </w:r>
      <w:r>
        <w:rPr>
          <w:rFonts w:ascii="Book Antiqua" w:hAnsi="Book Antiqua" w:eastAsia="Book Antiqua" w:cs="Book Antiqua"/>
          <w:color w:val="000000"/>
          <w:vertAlign w:val="superscript"/>
        </w:rPr>
        <w:t>[24,25]</w:t>
      </w:r>
      <w:r>
        <w:rPr>
          <w:rFonts w:ascii="Book Antiqua" w:hAnsi="Book Antiqua" w:eastAsia="Book Antiqua" w:cs="Book Antiqua"/>
          <w:color w:val="000000"/>
        </w:rPr>
        <w:t xml:space="preserve"> </w:t>
      </w:r>
      <w:r>
        <w:rPr>
          <w:rFonts w:ascii="Book Antiqua" w:hAnsi="Book Antiqua"/>
        </w:rPr>
        <w:t xml:space="preserve">to achieve efficient and effective mining of multi-modal biomarker signatures from </w:t>
      </w:r>
      <w:r>
        <w:rPr>
          <w:rFonts w:ascii="Book Antiqua" w:hAnsi="Book Antiqua"/>
          <w:shd w:val="clear" w:color="auto" w:fill="FFFFFF"/>
        </w:rPr>
        <w:t>prebuilt cellular-morphometrics, microbiome, and gene biomarkers</w:t>
      </w:r>
      <w:r>
        <w:rPr>
          <w:rFonts w:ascii="Book Antiqua" w:hAnsi="Book Antiqua"/>
        </w:rPr>
        <w:t xml:space="preserve">. Given </w:t>
      </w:r>
      <w:r>
        <w:rPr>
          <w:rFonts w:hint="eastAsia" w:ascii="Book Antiqua" w:hAnsi="Book Antiqua"/>
        </w:rPr>
        <w:t>X</w:t>
      </w:r>
      <w:r>
        <w:rPr>
          <w:rFonts w:ascii="Book Antiqua" w:hAnsi="Book Antiqua"/>
        </w:rPr>
        <w:t xml:space="preserve"> </w:t>
      </w:r>
      <w:r>
        <w:rPr>
          <w:rFonts w:hint="eastAsia" w:ascii="Book Antiqua" w:hAnsi="Book Antiqua"/>
        </w:rPr>
        <w:t>=</w:t>
      </w:r>
      <w:r>
        <w:rPr>
          <w:rFonts w:ascii="Book Antiqua" w:hAnsi="Book Antiqua"/>
        </w:rPr>
        <w:t xml:space="preserve"> </w:t>
      </w:r>
      <w:r>
        <w:rPr>
          <w:rFonts w:hint="eastAsia" w:ascii="Book Antiqua" w:hAnsi="Book Antiqua"/>
        </w:rPr>
        <w:t>[x</w:t>
      </w:r>
      <w:r>
        <w:rPr>
          <w:rFonts w:hint="eastAsia" w:ascii="Book Antiqua" w:hAnsi="Book Antiqua"/>
          <w:vertAlign w:val="subscript"/>
        </w:rPr>
        <w:t>1</w:t>
      </w:r>
      <w:r>
        <w:rPr>
          <w:rFonts w:hint="eastAsia" w:ascii="Book Antiqua" w:hAnsi="Book Antiqua"/>
        </w:rPr>
        <w:t>,…,x</w:t>
      </w:r>
      <w:r>
        <w:rPr>
          <w:rFonts w:hint="eastAsia" w:ascii="Book Antiqua" w:hAnsi="Book Antiqua"/>
          <w:i/>
          <w:vertAlign w:val="subscript"/>
        </w:rPr>
        <w:t>N</w:t>
      </w:r>
      <w:r>
        <w:rPr>
          <w:rFonts w:hint="eastAsia" w:ascii="Book Antiqua" w:hAnsi="Book Antiqua"/>
        </w:rPr>
        <w:t>]</w:t>
      </w:r>
      <w:r>
        <w:rPr>
          <w:rFonts w:ascii="Book Antiqua" w:hAnsi="Book Antiqua"/>
        </w:rPr>
        <w:t xml:space="preserve"> </w:t>
      </w:r>
      <w:r>
        <w:rPr>
          <w:rFonts w:hint="eastAsia" w:ascii="Book Antiqua" w:hAnsi="Book Antiqua"/>
        </w:rPr>
        <w:t>∈</w:t>
      </w:r>
      <w:r>
        <w:rPr>
          <w:rFonts w:hint="eastAsia" w:ascii="Book Antiqua" w:hAnsi="Book Antiqua"/>
          <w:lang w:eastAsia="zh-CN"/>
        </w:rPr>
        <w:t xml:space="preserve"> </w:t>
      </w:r>
      <w:r>
        <w:rPr>
          <w:rFonts w:hint="eastAsia" w:ascii="Book Antiqua" w:hAnsi="Book Antiqua"/>
        </w:rPr>
        <w:t>R</w:t>
      </w:r>
      <w:r>
        <w:rPr>
          <w:rFonts w:hint="eastAsia" w:ascii="Book Antiqua" w:hAnsi="Book Antiqua"/>
          <w:i/>
          <w:vertAlign w:val="superscript"/>
        </w:rPr>
        <w:t>m</w:t>
      </w:r>
      <w:r>
        <w:rPr>
          <w:rFonts w:ascii="Book Antiqua" w:hAnsi="Book Antiqua"/>
          <w:vertAlign w:val="superscript"/>
        </w:rPr>
        <w:t>×</w:t>
      </w:r>
      <w:r>
        <w:rPr>
          <w:rFonts w:hint="eastAsia" w:ascii="Book Antiqua" w:hAnsi="Book Antiqua"/>
          <w:i/>
          <w:vertAlign w:val="superscript"/>
        </w:rPr>
        <w:t>N</w:t>
      </w:r>
      <w:r>
        <w:rPr>
          <w:rFonts w:ascii="Book Antiqua" w:hAnsi="Book Antiqua"/>
          <w:i/>
        </w:rPr>
        <w:t xml:space="preserve"> </w:t>
      </w:r>
      <w:r>
        <w:rPr>
          <w:rFonts w:ascii="Book Antiqua" w:hAnsi="Book Antiqua"/>
          <w:bCs/>
          <w:kern w:val="24"/>
        </w:rPr>
        <w:t>as a set of patients (N) with a combination of biomarkers from different modalities (</w:t>
      </w:r>
      <w:r>
        <w:rPr>
          <w:rFonts w:ascii="Book Antiqua" w:hAnsi="Book Antiqua"/>
          <w:bCs/>
          <w:i/>
          <w:iCs/>
          <w:kern w:val="24"/>
        </w:rPr>
        <w:t>i.e.</w:t>
      </w:r>
      <w:r>
        <w:rPr>
          <w:rFonts w:ascii="Book Antiqua" w:hAnsi="Book Antiqua"/>
          <w:bCs/>
          <w:kern w:val="24"/>
        </w:rPr>
        <w:t xml:space="preserve">, </w:t>
      </w:r>
      <w:r>
        <w:rPr>
          <w:rFonts w:ascii="Book Antiqua" w:hAnsi="Book Antiqua"/>
          <w:shd w:val="clear" w:color="auto" w:fill="FFFFFF"/>
        </w:rPr>
        <w:t>cellular-morphometrics, microbiome, and gene biomarkers</w:t>
      </w:r>
      <w:r>
        <w:rPr>
          <w:rFonts w:ascii="Book Antiqua" w:hAnsi="Book Antiqua"/>
          <w:bCs/>
          <w:kern w:val="24"/>
        </w:rPr>
        <w:t xml:space="preserve">), </w:t>
      </w:r>
      <w:r>
        <w:rPr>
          <w:rFonts w:ascii="Book Antiqua" w:hAnsi="Book Antiqua"/>
        </w:rPr>
        <w:t xml:space="preserve">the formulation of the iCEMIGE multi-modal biomarker mining model was defined as follows. </w:t>
      </w:r>
    </w:p>
    <w:p>
      <w:pPr>
        <w:spacing w:line="360" w:lineRule="auto"/>
        <w:jc w:val="both"/>
        <w:rPr>
          <w:rFonts w:ascii="Book Antiqua" w:hAnsi="Book Antiqua"/>
        </w:rPr>
      </w:pPr>
      <w:r>
        <w:rPr>
          <w:rFonts w:ascii="Book Antiqua" w:hAnsi="Book Antiqua"/>
        </w:rPr>
        <w:drawing>
          <wp:inline distT="0" distB="0" distL="0" distR="0">
            <wp:extent cx="3166745" cy="4597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6878" cy="460249"/>
                    </a:xfrm>
                    <a:prstGeom prst="rect">
                      <a:avLst/>
                    </a:prstGeom>
                  </pic:spPr>
                </pic:pic>
              </a:graphicData>
            </a:graphic>
          </wp:inline>
        </w:drawing>
      </w:r>
    </w:p>
    <w:p>
      <w:pPr>
        <w:spacing w:line="360" w:lineRule="auto"/>
        <w:jc w:val="both"/>
        <w:rPr>
          <w:rFonts w:ascii="Book Antiqua" w:hAnsi="Book Antiqua"/>
        </w:rPr>
      </w:pPr>
      <w:r>
        <w:rPr>
          <w:rFonts w:ascii="Book Antiqua" w:hAnsi="Book Antiqua"/>
        </w:rPr>
        <w:t xml:space="preserve">Where </w:t>
      </w:r>
      <w:r>
        <w:rPr>
          <w:rFonts w:hint="eastAsia" w:ascii="Book Antiqua" w:hAnsi="Book Antiqua"/>
        </w:rPr>
        <w:t>B</w:t>
      </w:r>
      <w:r>
        <w:rPr>
          <w:rFonts w:ascii="Book Antiqua" w:hAnsi="Book Antiqua"/>
        </w:rPr>
        <w:t xml:space="preserve"> </w:t>
      </w:r>
      <w:r>
        <w:rPr>
          <w:rFonts w:hint="eastAsia" w:ascii="Book Antiqua" w:hAnsi="Book Antiqua"/>
        </w:rPr>
        <w:t>=</w:t>
      </w:r>
      <w:r>
        <w:rPr>
          <w:rFonts w:ascii="Book Antiqua" w:hAnsi="Book Antiqua"/>
        </w:rPr>
        <w:t xml:space="preserve"> </w:t>
      </w:r>
      <w:r>
        <w:rPr>
          <w:rFonts w:hint="eastAsia" w:ascii="Book Antiqua" w:hAnsi="Book Antiqua"/>
        </w:rPr>
        <w:t>[b</w:t>
      </w:r>
      <w:r>
        <w:rPr>
          <w:rFonts w:hint="eastAsia" w:ascii="Book Antiqua" w:hAnsi="Book Antiqua"/>
          <w:vertAlign w:val="subscript"/>
        </w:rPr>
        <w:t>1</w:t>
      </w:r>
      <w:r>
        <w:rPr>
          <w:rFonts w:hint="eastAsia" w:ascii="Book Antiqua" w:hAnsi="Book Antiqua"/>
        </w:rPr>
        <w:t>,…,b</w:t>
      </w:r>
      <w:r>
        <w:rPr>
          <w:rFonts w:hint="eastAsia" w:ascii="Book Antiqua" w:hAnsi="Book Antiqua"/>
          <w:vertAlign w:val="subscript"/>
        </w:rPr>
        <w:t>h</w:t>
      </w:r>
      <w:r>
        <w:rPr>
          <w:rFonts w:hint="eastAsia" w:ascii="Book Antiqua" w:hAnsi="Book Antiqua"/>
        </w:rPr>
        <w:t>]</w:t>
      </w:r>
      <w:r>
        <w:rPr>
          <w:rFonts w:ascii="Book Antiqua" w:hAnsi="Book Antiqua"/>
        </w:rPr>
        <w:t xml:space="preserve"> </w:t>
      </w:r>
      <w:r>
        <w:rPr>
          <w:rFonts w:hint="eastAsia" w:ascii="Book Antiqua" w:hAnsi="Book Antiqua"/>
        </w:rPr>
        <w:t>∈</w:t>
      </w:r>
      <w:r>
        <w:rPr>
          <w:rFonts w:hint="eastAsia" w:ascii="Book Antiqua" w:hAnsi="Book Antiqua"/>
          <w:lang w:eastAsia="zh-CN"/>
        </w:rPr>
        <w:t xml:space="preserve"> </w:t>
      </w:r>
      <w:r>
        <w:rPr>
          <w:rFonts w:hint="eastAsia" w:ascii="Book Antiqua" w:hAnsi="Book Antiqua"/>
        </w:rPr>
        <w:t>R</w:t>
      </w:r>
      <w:r>
        <w:rPr>
          <w:rFonts w:hint="eastAsia" w:ascii="Book Antiqua" w:hAnsi="Book Antiqua"/>
          <w:i/>
          <w:vertAlign w:val="superscript"/>
        </w:rPr>
        <w:t>m</w:t>
      </w:r>
      <w:r>
        <w:rPr>
          <w:rFonts w:ascii="Book Antiqua" w:hAnsi="Book Antiqua"/>
          <w:vertAlign w:val="superscript"/>
        </w:rPr>
        <w:t>×</w:t>
      </w:r>
      <w:r>
        <w:rPr>
          <w:rFonts w:hint="eastAsia" w:ascii="Book Antiqua" w:hAnsi="Book Antiqua"/>
          <w:i/>
          <w:vertAlign w:val="superscript"/>
        </w:rPr>
        <w:t>h</w:t>
      </w:r>
      <w:r>
        <w:rPr>
          <w:rFonts w:ascii="Book Antiqua" w:hAnsi="Book Antiqua"/>
          <w:bCs/>
          <w:kern w:val="24"/>
        </w:rPr>
        <w:t xml:space="preserve"> was a set of multi-modal biomarkers to be mined. Each multi-modal biomarker (b) was composed of </w:t>
      </w:r>
      <w:r>
        <w:rPr>
          <w:rFonts w:ascii="Book Antiqua" w:hAnsi="Book Antiqua"/>
          <w:bCs/>
          <w:i/>
          <w:kern w:val="24"/>
        </w:rPr>
        <w:t>m</w:t>
      </w:r>
      <w:r>
        <w:rPr>
          <w:rFonts w:ascii="Book Antiqua" w:hAnsi="Book Antiqua"/>
          <w:bCs/>
          <w:kern w:val="24"/>
        </w:rPr>
        <w:t xml:space="preserve"> individual biomarker (</w:t>
      </w:r>
      <w:r>
        <w:rPr>
          <w:rFonts w:ascii="Book Antiqua" w:hAnsi="Book Antiqua"/>
          <w:bCs/>
          <w:i/>
          <w:kern w:val="24"/>
        </w:rPr>
        <w:t>e.g</w:t>
      </w:r>
      <w:r>
        <w:rPr>
          <w:rFonts w:ascii="Book Antiqua" w:hAnsi="Book Antiqua"/>
          <w:bCs/>
          <w:kern w:val="24"/>
        </w:rPr>
        <w:t xml:space="preserve">., m = 66 in our study); </w:t>
      </w:r>
      <w:r>
        <w:rPr>
          <w:rFonts w:hint="eastAsia" w:ascii="Book Antiqua" w:hAnsi="Book Antiqua"/>
        </w:rPr>
        <w:t>Z</w:t>
      </w:r>
      <w:r>
        <w:rPr>
          <w:rFonts w:ascii="Book Antiqua" w:hAnsi="Book Antiqua"/>
        </w:rPr>
        <w:t xml:space="preserve"> </w:t>
      </w:r>
      <w:r>
        <w:rPr>
          <w:rFonts w:hint="eastAsia" w:ascii="Book Antiqua" w:hAnsi="Book Antiqua"/>
        </w:rPr>
        <w:t>=</w:t>
      </w:r>
      <w:r>
        <w:rPr>
          <w:rFonts w:ascii="Book Antiqua" w:hAnsi="Book Antiqua"/>
        </w:rPr>
        <w:t xml:space="preserve"> </w:t>
      </w:r>
      <w:r>
        <w:rPr>
          <w:rFonts w:hint="eastAsia" w:ascii="Book Antiqua" w:hAnsi="Book Antiqua"/>
        </w:rPr>
        <w:t>[z</w:t>
      </w:r>
      <w:r>
        <w:rPr>
          <w:rFonts w:hint="eastAsia" w:ascii="Book Antiqua" w:hAnsi="Book Antiqua"/>
          <w:vertAlign w:val="subscript"/>
        </w:rPr>
        <w:t>1</w:t>
      </w:r>
      <w:r>
        <w:rPr>
          <w:rFonts w:hint="eastAsia" w:ascii="Book Antiqua" w:hAnsi="Book Antiqua"/>
        </w:rPr>
        <w:t>,…,z</w:t>
      </w:r>
      <w:r>
        <w:rPr>
          <w:rFonts w:hint="eastAsia" w:ascii="Book Antiqua" w:hAnsi="Book Antiqua"/>
          <w:i/>
          <w:vertAlign w:val="subscript"/>
        </w:rPr>
        <w:t>N</w:t>
      </w:r>
      <w:r>
        <w:rPr>
          <w:rFonts w:hint="eastAsia" w:ascii="Book Antiqua" w:hAnsi="Book Antiqua"/>
        </w:rPr>
        <w:t>]</w:t>
      </w:r>
      <w:r>
        <w:rPr>
          <w:rFonts w:ascii="Book Antiqua" w:hAnsi="Book Antiqua"/>
        </w:rPr>
        <w:t xml:space="preserve"> </w:t>
      </w:r>
      <w:r>
        <w:rPr>
          <w:rFonts w:hint="eastAsia" w:ascii="Book Antiqua" w:hAnsi="Book Antiqua"/>
        </w:rPr>
        <w:t>∈</w:t>
      </w:r>
      <w:r>
        <w:rPr>
          <w:rFonts w:hint="eastAsia" w:ascii="Book Antiqua" w:hAnsi="Book Antiqua"/>
          <w:lang w:eastAsia="zh-CN"/>
        </w:rPr>
        <w:t xml:space="preserve"> </w:t>
      </w:r>
      <w:r>
        <w:rPr>
          <w:rFonts w:hint="eastAsia" w:ascii="Book Antiqua" w:hAnsi="Book Antiqua"/>
        </w:rPr>
        <w:t>R</w:t>
      </w:r>
      <w:r>
        <w:rPr>
          <w:rFonts w:hint="eastAsia" w:ascii="Book Antiqua" w:hAnsi="Book Antiqua"/>
          <w:i/>
          <w:vertAlign w:val="superscript"/>
        </w:rPr>
        <w:t>h</w:t>
      </w:r>
      <w:r>
        <w:rPr>
          <w:rFonts w:ascii="Book Antiqua" w:hAnsi="Book Antiqua"/>
          <w:vertAlign w:val="superscript"/>
        </w:rPr>
        <w:t>×</w:t>
      </w:r>
      <w:r>
        <w:rPr>
          <w:rFonts w:hint="eastAsia" w:ascii="Book Antiqua" w:hAnsi="Book Antiqua"/>
          <w:i/>
          <w:vertAlign w:val="superscript"/>
        </w:rPr>
        <w:t>N</w:t>
      </w:r>
      <w:r>
        <w:rPr>
          <w:rFonts w:ascii="Book Antiqua" w:hAnsi="Book Antiqua"/>
          <w:i/>
        </w:rPr>
        <w:t xml:space="preserve"> </w:t>
      </w:r>
      <w:r>
        <w:rPr>
          <w:rFonts w:ascii="Book Antiqua" w:hAnsi="Book Antiqua"/>
          <w:bCs/>
          <w:kern w:val="24"/>
        </w:rPr>
        <w:t>was the sparse multi-modal biomarker expression matrix, where z</w:t>
      </w:r>
      <w:r>
        <w:rPr>
          <w:rFonts w:ascii="Book Antiqua" w:hAnsi="Book Antiqua"/>
          <w:bCs/>
          <w:i/>
          <w:kern w:val="24"/>
          <w:vertAlign w:val="subscript"/>
        </w:rPr>
        <w:t>i</w:t>
      </w:r>
      <w:r>
        <w:rPr>
          <w:rFonts w:ascii="Book Antiqua" w:hAnsi="Book Antiqua"/>
          <w:bCs/>
          <w:kern w:val="24"/>
        </w:rPr>
        <w:t xml:space="preserve"> was the sparse multi-modal biomarker expression profile of the original patient biomarkers (x</w:t>
      </w:r>
      <w:r>
        <w:rPr>
          <w:rFonts w:ascii="Book Antiqua" w:hAnsi="Book Antiqua"/>
          <w:bCs/>
          <w:i/>
          <w:kern w:val="24"/>
          <w:vertAlign w:val="subscript"/>
        </w:rPr>
        <w:t>i</w:t>
      </w:r>
      <w:r>
        <w:rPr>
          <w:rFonts w:ascii="Book Antiqua" w:hAnsi="Book Antiqua"/>
          <w:bCs/>
          <w:kern w:val="24"/>
        </w:rPr>
        <w:t>), consisting of relative abundances of all (</w:t>
      </w:r>
      <w:r>
        <w:rPr>
          <w:rFonts w:ascii="Book Antiqua" w:hAnsi="Book Antiqua"/>
          <w:bCs/>
          <w:i/>
          <w:kern w:val="24"/>
        </w:rPr>
        <w:t>h</w:t>
      </w:r>
      <w:r>
        <w:rPr>
          <w:rFonts w:ascii="Book Antiqua" w:hAnsi="Book Antiqua"/>
          <w:bCs/>
          <w:kern w:val="24"/>
        </w:rPr>
        <w:t>) multi-modal biomarkers that contributed to the reconstruction of x</w:t>
      </w:r>
      <w:r>
        <w:rPr>
          <w:rFonts w:ascii="Book Antiqua" w:hAnsi="Book Antiqua"/>
          <w:bCs/>
          <w:i/>
          <w:kern w:val="24"/>
          <w:vertAlign w:val="subscript"/>
        </w:rPr>
        <w:t>i</w:t>
      </w:r>
      <w:r>
        <w:rPr>
          <w:rFonts w:ascii="Book Antiqua" w:hAnsi="Book Antiqua"/>
          <w:bCs/>
          <w:kern w:val="24"/>
        </w:rPr>
        <w:t xml:space="preserve">; </w:t>
      </w:r>
      <w:r>
        <w:rPr>
          <w:rFonts w:hint="eastAsia" w:ascii="Book Antiqua" w:hAnsi="Book Antiqua"/>
        </w:rPr>
        <w:t>W</w:t>
      </w:r>
      <w:r>
        <w:rPr>
          <w:rFonts w:ascii="Book Antiqua" w:hAnsi="Book Antiqua"/>
        </w:rPr>
        <w:t xml:space="preserve"> </w:t>
      </w:r>
      <w:r>
        <w:rPr>
          <w:rFonts w:hint="eastAsia" w:ascii="Book Antiqua" w:hAnsi="Book Antiqua"/>
        </w:rPr>
        <w:t>∈</w:t>
      </w:r>
      <w:r>
        <w:rPr>
          <w:rFonts w:hint="eastAsia" w:ascii="Book Antiqua" w:hAnsi="Book Antiqua"/>
          <w:lang w:eastAsia="zh-CN"/>
        </w:rPr>
        <w:t xml:space="preserve"> </w:t>
      </w:r>
      <w:r>
        <w:rPr>
          <w:rFonts w:hint="eastAsia" w:ascii="Book Antiqua" w:hAnsi="Book Antiqua"/>
        </w:rPr>
        <w:t>R</w:t>
      </w:r>
      <w:r>
        <w:rPr>
          <w:rFonts w:hint="eastAsia" w:ascii="Book Antiqua" w:hAnsi="Book Antiqua"/>
          <w:i/>
          <w:vertAlign w:val="superscript"/>
        </w:rPr>
        <w:t>h</w:t>
      </w:r>
      <w:r>
        <w:rPr>
          <w:rFonts w:ascii="Book Antiqua" w:hAnsi="Book Antiqua"/>
          <w:vertAlign w:val="superscript"/>
        </w:rPr>
        <w:t>×</w:t>
      </w:r>
      <w:r>
        <w:rPr>
          <w:rFonts w:hint="eastAsia" w:ascii="Book Antiqua" w:hAnsi="Book Antiqua"/>
          <w:i/>
          <w:vertAlign w:val="superscript"/>
        </w:rPr>
        <w:t>m</w:t>
      </w:r>
      <w:r>
        <w:rPr>
          <w:rFonts w:ascii="Book Antiqua" w:hAnsi="Book Antiqua"/>
          <w:bCs/>
          <w:kern w:val="24"/>
        </w:rPr>
        <w:t xml:space="preserve"> was the auto-encoder for efficient and effective extraction of sparse multi-modal biomarker expression matrix (</w:t>
      </w:r>
      <w:r>
        <w:rPr>
          <w:rFonts w:ascii="Book Antiqua" w:hAnsi="Book Antiqua"/>
          <w:bCs/>
          <w:i/>
          <w:kern w:val="24"/>
        </w:rPr>
        <w:t>Z</w:t>
      </w:r>
      <w:r>
        <w:rPr>
          <w:rFonts w:ascii="Book Antiqua" w:hAnsi="Book Antiqua"/>
          <w:bCs/>
          <w:kern w:val="24"/>
        </w:rPr>
        <w:t xml:space="preserve">) from original patient biomarker data (X); </w:t>
      </w:r>
      <w:r>
        <w:rPr>
          <w:rFonts w:hint="eastAsia" w:ascii="Book Antiqua" w:hAnsi="Book Antiqua"/>
        </w:rPr>
        <w:t>G</w:t>
      </w:r>
      <w:r>
        <w:rPr>
          <w:rFonts w:ascii="Book Antiqua" w:hAnsi="Book Antiqua"/>
        </w:rPr>
        <w:t xml:space="preserve"> </w:t>
      </w:r>
      <w:r>
        <w:rPr>
          <w:rFonts w:hint="eastAsia" w:ascii="Book Antiqua" w:hAnsi="Book Antiqua"/>
        </w:rPr>
        <w:t>=</w:t>
      </w:r>
      <w:r>
        <w:rPr>
          <w:rFonts w:ascii="Book Antiqua" w:hAnsi="Book Antiqua"/>
        </w:rPr>
        <w:t xml:space="preserve"> </w:t>
      </w:r>
      <w:r>
        <w:rPr>
          <w:rFonts w:hint="eastAsia" w:ascii="Book Antiqua" w:hAnsi="Book Antiqua"/>
          <w:i/>
        </w:rPr>
        <w:t>diag</w:t>
      </w:r>
      <w:r>
        <w:rPr>
          <w:rFonts w:ascii="Book Antiqua" w:hAnsi="Book Antiqua"/>
        </w:rPr>
        <w:t xml:space="preserve"> </w:t>
      </w:r>
      <w:r>
        <w:rPr>
          <w:rFonts w:hint="eastAsia" w:ascii="Book Antiqua" w:hAnsi="Book Antiqua"/>
        </w:rPr>
        <w:t>(g</w:t>
      </w:r>
      <w:r>
        <w:rPr>
          <w:rFonts w:hint="eastAsia" w:ascii="Book Antiqua" w:hAnsi="Book Antiqua"/>
          <w:vertAlign w:val="subscript"/>
        </w:rPr>
        <w:t>1</w:t>
      </w:r>
      <w:r>
        <w:rPr>
          <w:rFonts w:hint="eastAsia" w:ascii="Book Antiqua" w:hAnsi="Book Antiqua"/>
        </w:rPr>
        <w:t>,..,g</w:t>
      </w:r>
      <w:r>
        <w:rPr>
          <w:rFonts w:hint="eastAsia" w:ascii="Book Antiqua" w:hAnsi="Book Antiqua"/>
          <w:i/>
          <w:vertAlign w:val="subscript"/>
        </w:rPr>
        <w:t>h</w:t>
      </w:r>
      <w:r>
        <w:rPr>
          <w:rFonts w:hint="eastAsia" w:ascii="Book Antiqua" w:hAnsi="Book Antiqua"/>
        </w:rPr>
        <w:t>)</w:t>
      </w:r>
      <w:r>
        <w:rPr>
          <w:rFonts w:ascii="Book Antiqua" w:hAnsi="Book Antiqua"/>
        </w:rPr>
        <w:t xml:space="preserve"> </w:t>
      </w:r>
      <w:r>
        <w:rPr>
          <w:rFonts w:hint="eastAsia" w:ascii="Book Antiqua" w:hAnsi="Book Antiqua"/>
        </w:rPr>
        <w:t>∈</w:t>
      </w:r>
      <w:r>
        <w:rPr>
          <w:rFonts w:hint="eastAsia" w:ascii="Book Antiqua" w:hAnsi="Book Antiqua"/>
          <w:lang w:eastAsia="zh-CN"/>
        </w:rPr>
        <w:t xml:space="preserve"> </w:t>
      </w:r>
      <w:r>
        <w:rPr>
          <w:rFonts w:hint="eastAsia" w:ascii="Book Antiqua" w:hAnsi="Book Antiqua"/>
        </w:rPr>
        <w:t>R</w:t>
      </w:r>
      <w:r>
        <w:rPr>
          <w:rFonts w:hint="eastAsia" w:ascii="Book Antiqua" w:hAnsi="Book Antiqua"/>
          <w:i/>
          <w:vertAlign w:val="superscript"/>
        </w:rPr>
        <w:t>h</w:t>
      </w:r>
      <w:r>
        <w:rPr>
          <w:rFonts w:ascii="Book Antiqua" w:hAnsi="Book Antiqua"/>
          <w:vertAlign w:val="superscript"/>
        </w:rPr>
        <w:t>×</w:t>
      </w:r>
      <w:r>
        <w:rPr>
          <w:rFonts w:hint="eastAsia" w:ascii="Book Antiqua" w:hAnsi="Book Antiqua"/>
          <w:i/>
          <w:vertAlign w:val="superscript"/>
        </w:rPr>
        <w:t>h</w:t>
      </w:r>
      <w:r>
        <w:rPr>
          <w:rFonts w:ascii="Book Antiqua" w:hAnsi="Book Antiqua"/>
          <w:i/>
        </w:rPr>
        <w:t xml:space="preserve"> </w:t>
      </w:r>
      <w:r>
        <w:rPr>
          <w:rFonts w:ascii="Book Antiqua" w:hAnsi="Book Antiqua"/>
          <w:bCs/>
          <w:kern w:val="24"/>
        </w:rPr>
        <w:t xml:space="preserve">was a </w:t>
      </w:r>
      <w:r>
        <w:rPr>
          <w:rFonts w:ascii="Book Antiqua" w:hAnsi="Book Antiqua"/>
        </w:rPr>
        <w:t xml:space="preserve">scaling matrix with </w:t>
      </w:r>
      <w:r>
        <w:rPr>
          <w:rFonts w:ascii="Cambria Math" w:hAnsi="Cambria Math"/>
          <w:i/>
          <w:iCs/>
          <w:lang w:eastAsia="zh-CN"/>
        </w:rPr>
        <w:t>diag</w:t>
      </w:r>
      <w:r>
        <w:rPr>
          <w:rFonts w:ascii="Cambria Math" w:hAnsi="Cambria Math"/>
        </w:rPr>
        <w:t xml:space="preserve"> </w:t>
      </w:r>
      <w:r>
        <w:rPr>
          <w:rFonts w:ascii="Book Antiqua" w:hAnsi="Book Antiqua"/>
        </w:rPr>
        <w:t>being an operator aligning vector [g</w:t>
      </w:r>
      <w:r>
        <w:rPr>
          <w:rFonts w:ascii="Book Antiqua" w:hAnsi="Book Antiqua"/>
          <w:vertAlign w:val="subscript"/>
        </w:rPr>
        <w:t>1</w:t>
      </w:r>
      <w:r>
        <w:rPr>
          <w:rFonts w:ascii="Book Antiqua" w:hAnsi="Book Antiqua"/>
        </w:rPr>
        <w:t>,..,g</w:t>
      </w:r>
      <w:r>
        <w:rPr>
          <w:rFonts w:ascii="Book Antiqua" w:hAnsi="Book Antiqua"/>
          <w:i/>
          <w:vertAlign w:val="subscript"/>
        </w:rPr>
        <w:t>h</w:t>
      </w:r>
      <w:r>
        <w:rPr>
          <w:rFonts w:ascii="Book Antiqua" w:hAnsi="Book Antiqua"/>
        </w:rPr>
        <w:t>], along the diagonal;</w:t>
      </w:r>
      <w:r>
        <w:rPr>
          <w:rFonts w:hint="eastAsia"/>
        </w:rPr>
        <w:t xml:space="preserve"> </w:t>
      </w:r>
      <w:r>
        <w:rPr>
          <w:rFonts w:ascii="Book Antiqua" w:hAnsi="Book Antiqua"/>
        </w:rPr>
        <w:t>σ(·) was an element-wise sigmoid function;</w:t>
      </w:r>
      <w:r>
        <w:rPr>
          <w:rFonts w:ascii="Book Antiqua" w:hAnsi="Book Antiqua"/>
          <w:b/>
          <w:bCs/>
          <w:iCs/>
        </w:rPr>
        <w:t xml:space="preserve"> </w:t>
      </w:r>
      <w:r>
        <w:rPr>
          <w:rFonts w:ascii="Book Antiqua" w:hAnsi="Book Antiqua"/>
          <w:i/>
        </w:rPr>
        <w:t>λ</w:t>
      </w:r>
      <w:r>
        <w:rPr>
          <w:rFonts w:ascii="Book Antiqua" w:hAnsi="Book Antiqua"/>
          <w:vertAlign w:val="subscript"/>
        </w:rPr>
        <w:t>1</w:t>
      </w:r>
      <w:r>
        <w:rPr>
          <w:rFonts w:ascii="Book Antiqua" w:hAnsi="Book Antiqua"/>
        </w:rPr>
        <w:t xml:space="preserve"> </w:t>
      </w:r>
      <w:r>
        <w:rPr>
          <w:rFonts w:ascii="Book Antiqua" w:hAnsi="Book Antiqua"/>
          <w:bCs/>
          <w:iCs/>
        </w:rPr>
        <w:t>was the</w:t>
      </w:r>
      <w:r>
        <w:rPr>
          <w:rFonts w:ascii="Book Antiqua" w:hAnsi="Book Antiqua"/>
          <w:b/>
          <w:bCs/>
          <w:iCs/>
        </w:rPr>
        <w:t xml:space="preserve"> </w:t>
      </w:r>
      <w:r>
        <w:rPr>
          <w:rFonts w:ascii="Book Antiqua" w:hAnsi="Book Antiqua"/>
        </w:rPr>
        <w:t>regularization constant to ensure the sparsity of</w:t>
      </w:r>
      <w:r>
        <w:rPr>
          <w:rFonts w:ascii="Book Antiqua" w:hAnsi="Book Antiqua"/>
          <w:bCs/>
          <w:i/>
          <w:kern w:val="24"/>
        </w:rPr>
        <w:t xml:space="preserve"> Z</w:t>
      </w:r>
      <w:r>
        <w:rPr>
          <w:rFonts w:ascii="Book Antiqua" w:hAnsi="Book Antiqua"/>
        </w:rPr>
        <w:t xml:space="preserve">, such that only a subset of multi-modal biomarkers was utilized during the reconstruction of original patient biomarker data. </w:t>
      </w:r>
    </w:p>
    <w:p>
      <w:pPr>
        <w:spacing w:line="360" w:lineRule="auto"/>
        <w:ind w:firstLine="720"/>
        <w:jc w:val="both"/>
        <w:rPr>
          <w:rFonts w:ascii="Book Antiqua" w:hAnsi="Book Antiqua"/>
        </w:rPr>
      </w:pPr>
      <w:r>
        <w:rPr>
          <w:rFonts w:ascii="Book Antiqua" w:hAnsi="Book Antiqua"/>
        </w:rPr>
        <w:t xml:space="preserve">The first constraint: </w:t>
      </w:r>
      <w:r>
        <w:rPr>
          <w:rFonts w:ascii="Book Antiqua" w:hAnsi="Book Antiqua"/>
        </w:rPr>
        <w:drawing>
          <wp:inline distT="0" distB="0" distL="0" distR="0">
            <wp:extent cx="688340" cy="2559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8849" cy="256033"/>
                    </a:xfrm>
                    <a:prstGeom prst="rect">
                      <a:avLst/>
                    </a:prstGeom>
                  </pic:spPr>
                </pic:pic>
              </a:graphicData>
            </a:graphic>
          </wp:inline>
        </w:drawing>
      </w:r>
      <w:r>
        <w:rPr>
          <w:rFonts w:ascii="Book Antiqua" w:hAnsi="Book Antiqua"/>
        </w:rPr>
        <w:t xml:space="preserve"> , penalized the reconstruction error of original patient biomarker data </w:t>
      </w:r>
      <w:r>
        <w:rPr>
          <w:rFonts w:ascii="Book Antiqua" w:hAnsi="Book Antiqua"/>
          <w:bCs/>
          <w:kern w:val="24"/>
        </w:rPr>
        <w:t xml:space="preserve">(X) </w:t>
      </w:r>
      <w:r>
        <w:rPr>
          <w:rFonts w:ascii="Book Antiqua" w:hAnsi="Book Antiqua"/>
        </w:rPr>
        <w:t xml:space="preserve">with multi-modal biomarker </w:t>
      </w:r>
      <w:r>
        <w:rPr>
          <w:rFonts w:ascii="Book Antiqua" w:hAnsi="Book Antiqua"/>
          <w:bCs/>
          <w:kern w:val="24"/>
        </w:rPr>
        <w:t xml:space="preserve">(B) </w:t>
      </w:r>
      <w:r>
        <w:rPr>
          <w:rFonts w:ascii="Book Antiqua" w:hAnsi="Book Antiqua"/>
        </w:rPr>
        <w:t xml:space="preserve">and the corresponding </w:t>
      </w:r>
      <w:r>
        <w:rPr>
          <w:rFonts w:ascii="Book Antiqua" w:hAnsi="Book Antiqua"/>
          <w:bCs/>
          <w:kern w:val="24"/>
        </w:rPr>
        <w:t>sparse multi-modal biomarker expression matrix (</w:t>
      </w:r>
      <w:r>
        <w:rPr>
          <w:rFonts w:ascii="Book Antiqua" w:hAnsi="Book Antiqua"/>
          <w:bCs/>
          <w:i/>
          <w:kern w:val="24"/>
        </w:rPr>
        <w:t>Z</w:t>
      </w:r>
      <w:r>
        <w:rPr>
          <w:rFonts w:ascii="Book Antiqua" w:hAnsi="Book Antiqua"/>
          <w:bCs/>
          <w:kern w:val="24"/>
        </w:rPr>
        <w:t>)</w:t>
      </w:r>
      <w:r>
        <w:rPr>
          <w:rFonts w:ascii="Book Antiqua" w:hAnsi="Book Antiqua"/>
        </w:rPr>
        <w:t xml:space="preserve">, which helped minimize the loss of individual biomarker information; the second constraint: </w:t>
      </w:r>
      <w:r>
        <w:rPr>
          <w:rFonts w:ascii="Book Antiqua" w:hAnsi="Book Antiqua"/>
          <w:iCs/>
          <w:kern w:val="24"/>
        </w:rPr>
        <w:drawing>
          <wp:inline distT="0" distB="0" distL="0" distR="0">
            <wp:extent cx="1038860" cy="28003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9370" cy="280417"/>
                    </a:xfrm>
                    <a:prstGeom prst="rect">
                      <a:avLst/>
                    </a:prstGeom>
                  </pic:spPr>
                </pic:pic>
              </a:graphicData>
            </a:graphic>
          </wp:inline>
        </w:drawing>
      </w:r>
      <w:r>
        <w:rPr>
          <w:rFonts w:ascii="Book Antiqua" w:hAnsi="Book Antiqua"/>
          <w:iCs/>
          <w:kern w:val="24"/>
        </w:rPr>
        <w:t xml:space="preserve">, penalized the approximation error of </w:t>
      </w:r>
      <w:r>
        <w:rPr>
          <w:rFonts w:ascii="Book Antiqua" w:hAnsi="Book Antiqua"/>
          <w:bCs/>
          <w:kern w:val="24"/>
        </w:rPr>
        <w:t>sparse multi-modal biomarker expression matrix (</w:t>
      </w:r>
      <w:r>
        <w:rPr>
          <w:rFonts w:ascii="Book Antiqua" w:hAnsi="Book Antiqua"/>
          <w:bCs/>
          <w:i/>
          <w:kern w:val="24"/>
        </w:rPr>
        <w:t>Z</w:t>
      </w:r>
      <w:r>
        <w:rPr>
          <w:rFonts w:ascii="Book Antiqua" w:hAnsi="Book Antiqua"/>
          <w:bCs/>
          <w:kern w:val="24"/>
        </w:rPr>
        <w:t xml:space="preserve">) </w:t>
      </w:r>
      <w:r>
        <w:rPr>
          <w:rFonts w:ascii="Book Antiqua" w:hAnsi="Book Antiqua"/>
          <w:iCs/>
          <w:kern w:val="24"/>
        </w:rPr>
        <w:t xml:space="preserve">with the auto-encoder, which helped improve the accuracy of multi-modal biomarker extraction for new patients; the third constraint:  </w:t>
      </w:r>
      <w:r>
        <w:rPr>
          <w:rFonts w:ascii="Book Antiqua" w:hAnsi="Book Antiqua"/>
          <w:iCs/>
          <w:kern w:val="24"/>
        </w:rPr>
        <w:drawing>
          <wp:inline distT="0" distB="0" distL="0" distR="0">
            <wp:extent cx="344170" cy="139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425" cy="140208"/>
                    </a:xfrm>
                    <a:prstGeom prst="rect">
                      <a:avLst/>
                    </a:prstGeom>
                  </pic:spPr>
                </pic:pic>
              </a:graphicData>
            </a:graphic>
          </wp:inline>
        </w:drawing>
      </w:r>
      <w:r>
        <w:rPr>
          <w:rFonts w:hint="eastAsia" w:ascii="Book Antiqua" w:hAnsi="Book Antiqua"/>
          <w:iCs/>
          <w:kern w:val="24"/>
          <w:lang w:eastAsia="zh-CN"/>
        </w:rPr>
        <w:t>,</w:t>
      </w:r>
      <w:r>
        <w:rPr>
          <w:rFonts w:ascii="Book Antiqua" w:hAnsi="Book Antiqua"/>
          <w:iCs/>
          <w:kern w:val="24"/>
          <w:lang w:eastAsia="zh-CN"/>
        </w:rPr>
        <w:t xml:space="preserve"> </w:t>
      </w:r>
      <w:r>
        <w:rPr>
          <w:rFonts w:ascii="Book Antiqua" w:hAnsi="Book Antiqua"/>
          <w:iCs/>
          <w:kern w:val="24"/>
        </w:rPr>
        <w:t xml:space="preserve">penalized the sparsity of the </w:t>
      </w:r>
      <w:r>
        <w:rPr>
          <w:rFonts w:ascii="Book Antiqua" w:hAnsi="Book Antiqua"/>
          <w:bCs/>
          <w:kern w:val="24"/>
        </w:rPr>
        <w:t>multi-modal biomarker expression matrix</w:t>
      </w:r>
      <w:r>
        <w:rPr>
          <w:rFonts w:ascii="Book Antiqua" w:hAnsi="Book Antiqua"/>
          <w:iCs/>
          <w:kern w:val="24"/>
        </w:rPr>
        <w:t>, which helped ensure the utilization/activation of dominant multi-modal biomarkers during the learning process.</w:t>
      </w:r>
      <w:r>
        <w:rPr>
          <w:rFonts w:hint="eastAsia"/>
        </w:rPr>
        <w:t xml:space="preserve"> </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i/>
        </w:rPr>
      </w:pPr>
      <w:r>
        <w:rPr>
          <w:rFonts w:ascii="Book Antiqua" w:hAnsi="Book Antiqua" w:eastAsia="Book Antiqua" w:cs="Book Antiqua"/>
          <w:b/>
          <w:bCs/>
          <w:i/>
          <w:color w:val="000000"/>
        </w:rPr>
        <w:t>Construction of the iCEMIGE score</w:t>
      </w:r>
    </w:p>
    <w:p>
      <w:pPr>
        <w:spacing w:line="360" w:lineRule="auto"/>
        <w:rPr>
          <w:rFonts w:ascii="Book Antiqua" w:hAnsi="Book Antiqua"/>
        </w:rPr>
      </w:pPr>
      <w:r>
        <w:rPr>
          <w:rFonts w:ascii="Book Antiqua" w:hAnsi="Book Antiqua"/>
        </w:rPr>
        <w:drawing>
          <wp:anchor distT="0" distB="0" distL="114300" distR="114300" simplePos="0" relativeHeight="251659264" behindDoc="0" locked="0" layoutInCell="1" allowOverlap="1">
            <wp:simplePos x="0" y="0"/>
            <wp:positionH relativeFrom="column">
              <wp:posOffset>431165</wp:posOffset>
            </wp:positionH>
            <wp:positionV relativeFrom="paragraph">
              <wp:posOffset>1113155</wp:posOffset>
            </wp:positionV>
            <wp:extent cx="4312920" cy="441960"/>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2920" cy="441960"/>
                    </a:xfrm>
                    <a:prstGeom prst="rect">
                      <a:avLst/>
                    </a:prstGeom>
                  </pic:spPr>
                </pic:pic>
              </a:graphicData>
            </a:graphic>
          </wp:anchor>
        </w:drawing>
      </w:r>
      <w:r>
        <w:rPr>
          <w:rFonts w:ascii="Book Antiqua" w:hAnsi="Book Antiqua" w:eastAsia="Book Antiqua" w:cs="Book Antiqua"/>
          <w:color w:val="000000"/>
        </w:rPr>
        <w:t>After multi-modal biomarker mining (</w:t>
      </w:r>
      <w:r>
        <w:rPr>
          <w:rFonts w:ascii="Book Antiqua" w:hAnsi="Book Antiqua" w:eastAsia="Book Antiqua" w:cs="Book Antiqua"/>
          <w:i/>
          <w:color w:val="000000"/>
        </w:rPr>
        <w:t>i.e</w:t>
      </w:r>
      <w:r>
        <w:rPr>
          <w:rFonts w:ascii="Book Antiqua" w:hAnsi="Book Antiqua" w:eastAsia="Book Antiqua" w:cs="Book Antiqua"/>
          <w:color w:val="000000"/>
        </w:rPr>
        <w:t>., 256 multi-modal biomarkers mined in this study), a multivariate Cox regression was performed on 256 multi-modal biomarker signatures, defined as 256 covariates using the TCGA-BRCA dataset. The iCEMIGE score of each patient was calculated by the following formula:</w:t>
      </w:r>
    </w:p>
    <w:p>
      <w:pPr>
        <w:spacing w:line="360" w:lineRule="auto"/>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Nomogram, receiver operating characteristic and C-index</w:t>
      </w:r>
    </w:p>
    <w:p>
      <w:pPr>
        <w:spacing w:line="360" w:lineRule="auto"/>
        <w:jc w:val="both"/>
        <w:rPr>
          <w:rFonts w:ascii="Book Antiqua" w:hAnsi="Book Antiqua"/>
        </w:rPr>
      </w:pPr>
      <w:r>
        <w:rPr>
          <w:rFonts w:ascii="Book Antiqua" w:hAnsi="Book Antiqua" w:eastAsia="Book Antiqua" w:cs="Book Antiqua"/>
          <w:color w:val="000000"/>
        </w:rPr>
        <w:t xml:space="preserve">A nomogram model (rms package in R, Version 6.0-1) was constructed to predict 5- and 10-year OS probability of BC patients. The time-dependent receiver operating characteristic (ROC) curve (survival ROC package in R, Version 1.0.3) and concordance index (C-index) were used to evaluate the performance of the nomogram model, where the C-index was repeated </w:t>
      </w:r>
      <w:r>
        <w:rPr>
          <w:rFonts w:ascii="Book Antiqua" w:hAnsi="Book Antiqua" w:eastAsia="Book Antiqua" w:cs="Book Antiqua"/>
          <w:color w:val="000000"/>
          <w:shd w:val="clear" w:color="auto" w:fill="FFFFFF"/>
        </w:rPr>
        <w:t xml:space="preserve">with 1000 bootstrapping iterations and an 80% sampling rate per iteration. Mann-Whitney non-parametric test was used for the comparison across models. </w:t>
      </w:r>
    </w:p>
    <w:p>
      <w:pPr>
        <w:spacing w:line="360" w:lineRule="auto"/>
        <w:ind w:firstLine="432"/>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The cohort of patients were divided into three groups (Poor: top third; Intermediate: middle third; and Good: bottom third) based on CMPS or iCEMIGE score. The independent prognostic impact of different scores (CMPS and iCEMIGE) was assessed by multivariate CoxPH regression including the clinical factors (age, stage, ER, and PR status) and PAM50-based molecular subtype. All statistical analyses were performed through either SPSS 24.0 (IBM, NY, United States) or R (version 4.0.2, https://www.r-project.org/). Graphic visualizations were generated by R (ggpubr package, Version 0.4.0; ggplot2 package, Version 3.3.3) or SPSS. The statistical significance was defined as p&lt;0.05 (two-tails).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rPr>
      </w:pPr>
      <w:r>
        <w:rPr>
          <w:rFonts w:ascii="Book Antiqua" w:hAnsi="Book Antiqua" w:eastAsia="Book Antiqua" w:cs="Book Antiqua"/>
          <w:b/>
          <w:bCs/>
          <w:i/>
          <w:color w:val="000000"/>
        </w:rPr>
        <w:t>Identifying cellular morphometric biomarkers for prognosis of BC patients</w:t>
      </w:r>
    </w:p>
    <w:p>
      <w:pPr>
        <w:spacing w:line="360" w:lineRule="auto"/>
        <w:jc w:val="both"/>
        <w:rPr>
          <w:rFonts w:ascii="Book Antiqua" w:hAnsi="Book Antiqua"/>
        </w:rPr>
      </w:pPr>
      <w:r>
        <w:rPr>
          <w:rFonts w:ascii="Book Antiqua" w:hAnsi="Book Antiqua" w:eastAsia="Book Antiqua" w:cs="Book Antiqua"/>
          <w:color w:val="000000"/>
        </w:rPr>
        <w:t>Over 300 million cellular objects from 1085 diagnostic slides of 1017 TCGA-BRCA patients were recognized and delineated by an unsupervised feature learning pipeline based on SPSD</w:t>
      </w:r>
      <w:r>
        <w:rPr>
          <w:rFonts w:ascii="Book Antiqua" w:hAnsi="Book Antiqua" w:eastAsia="Book Antiqua" w:cs="Book Antiqua"/>
          <w:color w:val="000000"/>
          <w:vertAlign w:val="superscript"/>
        </w:rPr>
        <w:t>[24]</w:t>
      </w:r>
      <w:r>
        <w:rPr>
          <w:rFonts w:ascii="Book Antiqua" w:hAnsi="Book Antiqua" w:eastAsia="Book Antiqua" w:cs="Book Antiqua"/>
          <w:color w:val="000000"/>
        </w:rPr>
        <w:t>. Each cellular object was represented with 15 morphometric properties as described in our previous work</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Next, we optimized and trained our SPSD model based on pre-quantified cellular objects randomly selected from the TCGA-BRCA cohort to discover the underlying cellular morphometric biomarkers (CMBs). After training, the prebuilt SPSD model reconstructed each cellular object as a sparse combination of the pre-identified 256 cellular morphometric biomarkers, which led to the novel representation of every single cellular object as 256 sparse code (reconstruction coefficient); and thereafter, the corresponding 256-dimensional cellular morphometric context representation of each patient as an aggregation of all delineated cellular objects belonging to the same patient (Supplementary Table 1). The final patient-level cellular morphometric context representation consisted of 256 CMBs.</w:t>
      </w:r>
    </w:p>
    <w:p>
      <w:pPr>
        <w:spacing w:line="360" w:lineRule="auto"/>
        <w:ind w:firstLine="420"/>
        <w:jc w:val="both"/>
        <w:rPr>
          <w:rFonts w:ascii="Book Antiqua" w:hAnsi="Book Antiqua"/>
        </w:rPr>
      </w:pPr>
      <w:r>
        <w:rPr>
          <w:rFonts w:ascii="Book Antiqua" w:hAnsi="Book Antiqua" w:eastAsia="Book Antiqua" w:cs="Book Antiqua"/>
          <w:color w:val="000000"/>
        </w:rPr>
        <w:t>We next evaluated the association of 256 CMBs with OS in the TCGA-BRCA cohort. Survival analysis revealed that 148 of 256 CMBs had a significant prognostic impact (p &lt; 0.05, Supplementary Table 2). Among these 148 CMBs, 39 CMBs demonstrated independent and significant association with OS by multivariate CoxPH regression analysis (</w:t>
      </w:r>
      <w:r>
        <w:rPr>
          <w:rFonts w:ascii="Book Antiqua" w:hAnsi="Book Antiqua" w:eastAsia="Book Antiqua" w:cs="Book Antiqua"/>
          <w:bCs/>
          <w:color w:val="000000"/>
        </w:rPr>
        <w:t>Fig</w:t>
      </w:r>
      <w:r>
        <w:rPr>
          <w:rFonts w:ascii="Book Antiqua" w:hAnsi="Book Antiqua" w:cs="Book Antiqua"/>
          <w:bCs/>
          <w:color w:val="000000"/>
          <w:lang w:eastAsia="zh-CN"/>
        </w:rPr>
        <w:t>ure</w:t>
      </w:r>
      <w:r>
        <w:rPr>
          <w:rFonts w:ascii="Book Antiqua" w:hAnsi="Book Antiqua" w:eastAsia="Book Antiqua" w:cs="Book Antiqua"/>
          <w:bCs/>
          <w:color w:val="000000"/>
        </w:rPr>
        <w:t xml:space="preserve"> 2A;</w:t>
      </w:r>
      <w:r>
        <w:rPr>
          <w:rFonts w:ascii="Book Antiqua" w:hAnsi="Book Antiqua" w:eastAsia="Book Antiqua" w:cs="Book Antiqua"/>
          <w:color w:val="000000"/>
        </w:rPr>
        <w:t xml:space="preserve"> Supplementary Figure 1; Supplementary Table 3), which were defined as a 39-CMB signature.</w:t>
      </w:r>
    </w:p>
    <w:p>
      <w:pPr>
        <w:spacing w:line="360" w:lineRule="auto"/>
        <w:ind w:firstLine="420"/>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Assessing prognostic value of the 39-CMB signature</w:t>
      </w:r>
    </w:p>
    <w:p>
      <w:pPr>
        <w:spacing w:line="360" w:lineRule="auto"/>
        <w:jc w:val="both"/>
        <w:rPr>
          <w:rFonts w:ascii="Book Antiqua" w:hAnsi="Book Antiqua"/>
        </w:rPr>
      </w:pPr>
      <w:r>
        <w:rPr>
          <w:rFonts w:ascii="Book Antiqua" w:hAnsi="Book Antiqua" w:eastAsia="Book Antiqua" w:cs="Book Antiqua"/>
          <w:color w:val="000000"/>
        </w:rPr>
        <w:t>To further evaluate the prognostic value of the 39-CMB signature, we constructed the cellular morphometric prognosis score (CMPS) (see Methods) and divided TCGA-BRCA cohort into three groups (Poor: top third; Intermediate: middle third; and Good: bottom third) based on CMPS (Supplementary Table 4). Patients with good scores had significantly longer OS than those with poor scores. The OS of patients with intermediate scores was between these two 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 1.61E-23, </w:t>
      </w:r>
      <w:r>
        <w:rPr>
          <w:rFonts w:ascii="Book Antiqua" w:hAnsi="Book Antiqua" w:eastAsia="Book Antiqua" w:cs="Book Antiqua"/>
          <w:bCs/>
          <w:color w:val="000000"/>
        </w:rPr>
        <w:t>Figure 2B</w:t>
      </w:r>
      <w:r>
        <w:rPr>
          <w:rFonts w:ascii="Book Antiqua" w:hAnsi="Book Antiqua" w:eastAsia="Book Antiqua" w:cs="Book Antiqua"/>
          <w:color w:val="000000"/>
        </w:rPr>
        <w:t>). Moreover, CMPS provided additional prognostic value to clinical factors (age, ER, PR, and stage) and PAM50-based molecular subtypes (</w:t>
      </w:r>
      <w:r>
        <w:rPr>
          <w:rFonts w:ascii="Book Antiqua" w:hAnsi="Book Antiqua" w:eastAsia="Book Antiqua" w:cs="Book Antiqua"/>
          <w:bCs/>
          <w:color w:val="000000"/>
        </w:rPr>
        <w:t>Figure 2C</w:t>
      </w:r>
      <w:r>
        <w:rPr>
          <w:rFonts w:ascii="Book Antiqua" w:hAnsi="Book Antiqua" w:eastAsia="Book Antiqua" w:cs="Book Antiqua"/>
          <w:color w:val="000000"/>
        </w:rPr>
        <w:t xml:space="preserve">). </w:t>
      </w:r>
    </w:p>
    <w:p>
      <w:pPr>
        <w:spacing w:line="360" w:lineRule="auto"/>
        <w:ind w:firstLine="420"/>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Establishing the iCEMIGE prognostic model</w:t>
      </w:r>
    </w:p>
    <w:p>
      <w:pPr>
        <w:spacing w:line="360" w:lineRule="auto"/>
        <w:jc w:val="both"/>
        <w:rPr>
          <w:rFonts w:ascii="Book Antiqua" w:hAnsi="Book Antiqua"/>
        </w:rPr>
      </w:pPr>
      <w:r>
        <w:rPr>
          <w:rFonts w:ascii="Book Antiqua" w:hAnsi="Book Antiqua" w:eastAsia="Book Antiqua" w:cs="Book Antiqua"/>
          <w:color w:val="000000"/>
        </w:rPr>
        <w:t>Omics analyses of cancers have further revealed their genomic heterogeneity. FDA has approved many genomic biomarkers for clinical use, such as PAM50. Based on the omics data, we have previously identified 12-gene</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and 15-microbe signatures</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for the prognosis of BC patients (Supplementary Table 3). We conducted a multivariate Cox regression analysis to address whether GMPS, MAPS, and GEPS are independent prognostic factors. Indeed, CMPS, MAPS, and GEPS </w:t>
      </w:r>
      <w:r>
        <w:rPr>
          <w:rFonts w:ascii="Book Antiqua" w:hAnsi="Book Antiqua" w:eastAsia="Book Antiqua" w:cs="Book Antiqua"/>
          <w:color w:val="000000"/>
          <w:shd w:val="clear" w:color="auto" w:fill="FFFFFF"/>
        </w:rPr>
        <w:t>were significantly and independently associated with OS (</w:t>
      </w:r>
      <w:r>
        <w:rPr>
          <w:rFonts w:ascii="Book Antiqua" w:hAnsi="Book Antiqua" w:eastAsia="Book Antiqua" w:cs="Book Antiqua"/>
          <w:bCs/>
          <w:color w:val="000000"/>
          <w:shd w:val="clear" w:color="auto" w:fill="FFFFFF"/>
        </w:rPr>
        <w:t>Figure 2D</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We then integrated 39 CMBs, 15 microbes, and 12 genes in an unsupervised representation framework (“iCEMIGE”) and mined 256 multi-modal biomarkers (Supplementary Table 3) with experimentally optimized parameters for C-index for OS (Supplementary Figure 3). The optimal iCEMIGE score was then constructed to assess a patient’s risk for death and disease progression (Supplementary Table 4, details see Materials and Methods).</w:t>
      </w:r>
    </w:p>
    <w:p>
      <w:pPr>
        <w:spacing w:line="360" w:lineRule="auto"/>
        <w:ind w:firstLine="720"/>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Evaluating</w:t>
      </w:r>
      <w:r>
        <w:rPr>
          <w:rFonts w:ascii="Book Antiqua" w:hAnsi="Book Antiqua" w:eastAsia="Book Antiqua" w:cs="Book Antiqua"/>
          <w:i/>
          <w:color w:val="000000"/>
        </w:rPr>
        <w:t xml:space="preserve"> </w:t>
      </w:r>
      <w:r>
        <w:rPr>
          <w:rFonts w:ascii="Book Antiqua" w:hAnsi="Book Antiqua" w:eastAsia="Book Antiqua" w:cs="Book Antiqua"/>
          <w:b/>
          <w:bCs/>
          <w:i/>
          <w:color w:val="000000"/>
        </w:rPr>
        <w:t xml:space="preserve">the prognostic value of the iCEMIGE score </w:t>
      </w:r>
    </w:p>
    <w:p>
      <w:pPr>
        <w:spacing w:line="360" w:lineRule="auto"/>
        <w:jc w:val="both"/>
        <w:rPr>
          <w:rFonts w:ascii="Book Antiqua" w:hAnsi="Book Antiqua"/>
        </w:rPr>
      </w:pPr>
      <w:r>
        <w:rPr>
          <w:rFonts w:ascii="Book Antiqua" w:hAnsi="Book Antiqua" w:eastAsia="Book Antiqua" w:cs="Book Antiqua"/>
          <w:color w:val="000000"/>
        </w:rPr>
        <w:t>A total of 919 BC patients in the TCGA-BRCA cohort with full signature (iCEMIGE) data were included in this evaluation (Supplementary Table 5). 919 BC patients were stratified into different prognostic groups (Poor: top third; Intermediate: middle third; and Good: bottom third) according to the iCEMIGE score. Patients within the poor prognosis group had significantly shorter OS compared to those within the intermediate and good prognosis 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 4.02E-58, </w:t>
      </w:r>
      <w:r>
        <w:rPr>
          <w:rFonts w:ascii="Book Antiqua" w:hAnsi="Book Antiqua" w:eastAsia="Book Antiqua" w:cs="Book Antiqua"/>
          <w:bCs/>
          <w:color w:val="000000"/>
        </w:rPr>
        <w:t>Figure 3A</w:t>
      </w:r>
      <w:r>
        <w:rPr>
          <w:rFonts w:ascii="Book Antiqua" w:hAnsi="Book Antiqua" w:eastAsia="Book Antiqua" w:cs="Book Antiqua"/>
          <w:color w:val="000000"/>
        </w:rPr>
        <w:t xml:space="preserve">). Importantly, we showed that the </w:t>
      </w:r>
      <w:r>
        <w:rPr>
          <w:rFonts w:ascii="Book Antiqua" w:hAnsi="Book Antiqua" w:eastAsia="Book Antiqua" w:cs="Book Antiqua"/>
          <w:color w:val="000000"/>
          <w:shd w:val="clear" w:color="auto" w:fill="FFFFFF"/>
        </w:rPr>
        <w:t xml:space="preserve">iCEMIGE score </w:t>
      </w:r>
      <w:r>
        <w:rPr>
          <w:rFonts w:ascii="Book Antiqua" w:hAnsi="Book Antiqua" w:eastAsia="Book Antiqua" w:cs="Book Antiqua"/>
          <w:color w:val="000000"/>
        </w:rPr>
        <w:t>was more effective in predicting OS of BC patients than CMPS, MAPS, and GEPS alone (</w:t>
      </w:r>
      <w:r>
        <w:rPr>
          <w:rFonts w:ascii="Book Antiqua" w:hAnsi="Book Antiqua" w:eastAsia="Book Antiqua" w:cs="Book Antiqua"/>
          <w:bCs/>
          <w:color w:val="000000"/>
        </w:rPr>
        <w:t xml:space="preserve">Figure 3B </w:t>
      </w:r>
      <w:r>
        <w:rPr>
          <w:rFonts w:ascii="Book Antiqua" w:hAnsi="Book Antiqua" w:eastAsia="Book Antiqua" w:cs="Book Antiqua"/>
          <w:color w:val="000000"/>
        </w:rPr>
        <w:t>and</w:t>
      </w:r>
      <w:r>
        <w:rPr>
          <w:rFonts w:ascii="Book Antiqua" w:hAnsi="Book Antiqua" w:eastAsia="Book Antiqua" w:cs="Book Antiqua"/>
          <w:b/>
          <w:bCs/>
          <w:color w:val="000000"/>
        </w:rPr>
        <w:t xml:space="preserve"> </w:t>
      </w:r>
      <w:r>
        <w:rPr>
          <w:rFonts w:ascii="Book Antiqua" w:hAnsi="Book Antiqua" w:eastAsia="Book Antiqua" w:cs="Book Antiqua"/>
          <w:bCs/>
          <w:color w:val="000000"/>
        </w:rPr>
        <w:t>C</w:t>
      </w:r>
      <w:r>
        <w:rPr>
          <w:rFonts w:ascii="Book Antiqua" w:hAnsi="Book Antiqua" w:eastAsia="Book Antiqua" w:cs="Book Antiqua"/>
          <w:color w:val="000000"/>
        </w:rPr>
        <w:t>; Supplementary Figure 2A and B). Moreover, we found that the iCEMIGE score was also significantly associated with PFS (</w:t>
      </w:r>
      <w:r>
        <w:rPr>
          <w:rFonts w:ascii="Book Antiqua" w:hAnsi="Book Antiqua" w:eastAsia="Book Antiqua" w:cs="Book Antiqua"/>
          <w:i/>
          <w:iCs/>
          <w:color w:val="000000"/>
        </w:rPr>
        <w:t>P</w:t>
      </w:r>
      <w:r>
        <w:rPr>
          <w:rFonts w:ascii="Book Antiqua" w:hAnsi="Book Antiqua" w:eastAsia="Book Antiqua" w:cs="Book Antiqua"/>
          <w:color w:val="000000"/>
        </w:rPr>
        <w:t xml:space="preserve"> = 2.40E-19, </w:t>
      </w:r>
      <w:r>
        <w:rPr>
          <w:rFonts w:ascii="Book Antiqua" w:hAnsi="Book Antiqua" w:eastAsia="Book Antiqua" w:cs="Book Antiqua"/>
          <w:bCs/>
          <w:color w:val="000000"/>
        </w:rPr>
        <w:t>Figure 3D</w:t>
      </w:r>
      <w:r>
        <w:rPr>
          <w:rFonts w:ascii="Book Antiqua" w:hAnsi="Book Antiqua" w:eastAsia="Book Antiqua" w:cs="Book Antiqua"/>
          <w:color w:val="000000"/>
        </w:rPr>
        <w:t>) and had more effective in predicting PFS (</w:t>
      </w:r>
      <w:r>
        <w:rPr>
          <w:rFonts w:ascii="Book Antiqua" w:hAnsi="Book Antiqua" w:eastAsia="Book Antiqua" w:cs="Book Antiqua"/>
          <w:bCs/>
          <w:color w:val="000000"/>
        </w:rPr>
        <w:t xml:space="preserve">Figure 3E </w:t>
      </w:r>
      <w:r>
        <w:rPr>
          <w:rFonts w:ascii="Book Antiqua" w:hAnsi="Book Antiqua" w:eastAsia="Book Antiqua" w:cs="Book Antiqua"/>
          <w:color w:val="000000"/>
        </w:rPr>
        <w:t>and</w:t>
      </w:r>
      <w:r>
        <w:rPr>
          <w:rFonts w:ascii="Book Antiqua" w:hAnsi="Book Antiqua" w:eastAsia="Book Antiqua" w:cs="Book Antiqua"/>
          <w:bCs/>
          <w:color w:val="000000"/>
        </w:rPr>
        <w:t xml:space="preserve"> F</w:t>
      </w:r>
      <w:r>
        <w:rPr>
          <w:rFonts w:ascii="Book Antiqua" w:hAnsi="Book Antiqua" w:eastAsia="Book Antiqua" w:cs="Book Antiqua"/>
          <w:color w:val="000000"/>
        </w:rPr>
        <w:t xml:space="preserve">; Supplementary Figure 2C and D). </w:t>
      </w:r>
    </w:p>
    <w:p>
      <w:pPr>
        <w:spacing w:line="360" w:lineRule="auto"/>
        <w:ind w:firstLine="720"/>
        <w:jc w:val="both"/>
        <w:rPr>
          <w:rFonts w:ascii="Book Antiqua" w:hAnsi="Book Antiqua"/>
        </w:rPr>
      </w:pPr>
      <w:r>
        <w:rPr>
          <w:rFonts w:ascii="Book Antiqua" w:hAnsi="Book Antiqua" w:eastAsia="Book Antiqua" w:cs="Book Antiqua"/>
          <w:color w:val="000000"/>
        </w:rPr>
        <w:t xml:space="preserve">We then evaluated whether the prognostic value of the iCEMIGE score was independent of ER status, stage, and molecular subtypes. As shown in </w:t>
      </w:r>
      <w:r>
        <w:rPr>
          <w:rFonts w:ascii="Book Antiqua" w:hAnsi="Book Antiqua" w:eastAsia="Book Antiqua" w:cs="Book Antiqua"/>
          <w:bCs/>
          <w:color w:val="000000"/>
        </w:rPr>
        <w:t>Figure 4A</w:t>
      </w:r>
      <w:r>
        <w:rPr>
          <w:rFonts w:ascii="Book Antiqua" w:hAnsi="Book Antiqua" w:eastAsia="Book Antiqua" w:cs="Book Antiqua"/>
          <w:color w:val="000000"/>
        </w:rPr>
        <w:t>, patients with poor iCEMIGE scores had significantly shorter OS and PFS compared to those with good iCEMIGE scores in both ER+ and ER- groups. Moreover, the iCEMIGE score was significantly associated with OS and PFS in all different stages (</w:t>
      </w:r>
      <w:r>
        <w:rPr>
          <w:rFonts w:ascii="Book Antiqua" w:hAnsi="Book Antiqua" w:eastAsia="Book Antiqua" w:cs="Book Antiqua"/>
          <w:bCs/>
          <w:color w:val="000000"/>
        </w:rPr>
        <w:t>Figure 4B</w:t>
      </w:r>
      <w:r>
        <w:rPr>
          <w:rFonts w:ascii="Book Antiqua" w:hAnsi="Book Antiqua" w:eastAsia="Book Antiqua" w:cs="Book Antiqua"/>
          <w:color w:val="000000"/>
        </w:rPr>
        <w:t>) and subtypes (</w:t>
      </w:r>
      <w:r>
        <w:rPr>
          <w:rFonts w:ascii="Book Antiqua" w:hAnsi="Book Antiqua" w:eastAsia="Book Antiqua" w:cs="Book Antiqua"/>
          <w:bCs/>
          <w:color w:val="000000"/>
        </w:rPr>
        <w:t>Figure 5</w:t>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Finally, using multivariate Cox regression analyses (including pathological stage, age, PR status, ER status, molecular subtype, iCEMIGE), we demonstrated that iCEMIGE was an independent prognostic factor for both OS (</w:t>
      </w:r>
      <w:r>
        <w:rPr>
          <w:rFonts w:ascii="Book Antiqua" w:hAnsi="Book Antiqua" w:eastAsia="Book Antiqua" w:cs="Book Antiqua"/>
          <w:bCs/>
          <w:color w:val="000000"/>
        </w:rPr>
        <w:t>Figure 6A</w:t>
      </w:r>
      <w:r>
        <w:rPr>
          <w:rFonts w:ascii="Book Antiqua" w:hAnsi="Book Antiqua" w:eastAsia="Book Antiqua" w:cs="Book Antiqua"/>
          <w:color w:val="000000"/>
        </w:rPr>
        <w:t>) and PFS (Supplementary Figure 4A). These findings indicate that the iCEMIGE score has an independent prognostic value in BCs.</w:t>
      </w:r>
    </w:p>
    <w:p>
      <w:pPr>
        <w:spacing w:line="360" w:lineRule="auto"/>
        <w:ind w:firstLine="720"/>
        <w:jc w:val="both"/>
        <w:rPr>
          <w:rFonts w:ascii="Book Antiqua" w:hAnsi="Book Antiqua"/>
        </w:rPr>
      </w:pPr>
      <w:r>
        <w:rPr>
          <w:rFonts w:ascii="Book Antiqua" w:hAnsi="Book Antiqua" w:eastAsia="Book Antiqua" w:cs="Book Antiqua"/>
          <w:color w:val="000000"/>
        </w:rPr>
        <w:t>To further assess the clinical value of the iCEMIGE score, we established a nomogram model, a valuable clinical tool for prognosis prediction</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where we integrated iCEMIGE with clinical factors (age, stage, ER, and PR), PAM50-based molecular subtypes to predict the 5- and 10-year OS probability of BC patient (</w:t>
      </w:r>
      <w:r>
        <w:rPr>
          <w:rFonts w:ascii="Book Antiqua" w:hAnsi="Book Antiqua" w:eastAsia="Book Antiqua" w:cs="Book Antiqua"/>
          <w:bCs/>
          <w:color w:val="000000"/>
        </w:rPr>
        <w:t>Figure 6B</w:t>
      </w:r>
      <w:r>
        <w:rPr>
          <w:rFonts w:ascii="Book Antiqua" w:hAnsi="Book Antiqua" w:eastAsia="Book Antiqua" w:cs="Book Antiqua"/>
          <w:color w:val="000000"/>
        </w:rPr>
        <w:t>). The iCEMIGE score significantly improved the predictive power of prognosis (</w:t>
      </w:r>
      <w:r>
        <w:rPr>
          <w:rFonts w:ascii="Book Antiqua" w:hAnsi="Book Antiqua" w:eastAsia="Book Antiqua" w:cs="Book Antiqua"/>
          <w:bCs/>
          <w:color w:val="000000"/>
        </w:rPr>
        <w:t>Figure 6C</w:t>
      </w:r>
      <w:r>
        <w:rPr>
          <w:rFonts w:ascii="Book Antiqua" w:hAnsi="Book Antiqua" w:eastAsia="Book Antiqua" w:cs="Book Antiqua"/>
          <w:color w:val="000000"/>
        </w:rPr>
        <w:t>). Similar results were found for PFS (Supplementary Figure 4B and C).</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High BC heterogeneity brings up a significant challenge for predicting a patient’s response to treatment or prognosis. In this study, we established a new strategy for tackling this challenge by integrating multimodal signatures and demonstrated that such approach significantly improved the power for prognostic prediction compared to the single modal biomarker. In addition, we showed that iCEMIGE is </w:t>
      </w:r>
      <w:r>
        <w:rPr>
          <w:rFonts w:ascii="Book Antiqua" w:hAnsi="Book Antiqua" w:eastAsia="Book Antiqua" w:cs="Book Antiqua"/>
          <w:color w:val="000000"/>
          <w:shd w:val="clear" w:color="auto" w:fill="FFFFFF"/>
        </w:rPr>
        <w:t>significantly superior in predicting OS and PFS compared</w:t>
      </w:r>
      <w:r>
        <w:rPr>
          <w:rFonts w:ascii="Book Antiqua" w:hAnsi="Book Antiqua" w:eastAsia="Book Antiqua" w:cs="Book Antiqua"/>
          <w:color w:val="000000"/>
        </w:rPr>
        <w:t xml:space="preserve"> to the PAM50-based molecular subtype in the TCGA-BRCA cohort, although additional validation is required, as stated later in the limitations of this study.</w:t>
      </w:r>
    </w:p>
    <w:p>
      <w:pPr>
        <w:spacing w:line="360" w:lineRule="auto"/>
        <w:ind w:firstLine="720"/>
        <w:jc w:val="both"/>
        <w:rPr>
          <w:rFonts w:ascii="Book Antiqua" w:hAnsi="Book Antiqua"/>
        </w:rPr>
      </w:pPr>
      <w:r>
        <w:rPr>
          <w:rFonts w:ascii="Book Antiqua" w:hAnsi="Book Antiqua" w:eastAsia="Book Antiqua" w:cs="Book Antiqua"/>
          <w:color w:val="000000"/>
        </w:rPr>
        <w:t xml:space="preserve">The majority of </w:t>
      </w:r>
      <w:r>
        <w:rPr>
          <w:rFonts w:ascii="Book Antiqua" w:hAnsi="Book Antiqua" w:eastAsia="Book Antiqua" w:cs="Book Antiqua"/>
          <w:color w:val="000000"/>
          <w:shd w:val="clear" w:color="auto" w:fill="FFFFFF"/>
        </w:rPr>
        <w:t>biomarker developments are limited to a single modal data</w:t>
      </w:r>
      <w:r>
        <w:rPr>
          <w:rFonts w:ascii="Book Antiqua" w:hAnsi="Book Antiqua" w:eastAsia="Book Antiqua" w:cs="Book Antiqua"/>
          <w:color w:val="000000"/>
          <w:vertAlign w:val="superscript"/>
        </w:rPr>
        <w:t>[20]</w:t>
      </w:r>
      <w:r>
        <w:rPr>
          <w:rFonts w:ascii="Book Antiqua" w:hAnsi="Book Antiqua" w:eastAsia="Book Antiqua" w:cs="Book Antiqua"/>
          <w:color w:val="000000"/>
          <w:shd w:val="clear" w:color="auto" w:fill="FFFFFF"/>
        </w:rPr>
        <w:t>. In the past, we followed the same path to define the 12-gene expression prognosis score (GEPS)</w:t>
      </w:r>
      <w:r>
        <w:rPr>
          <w:rFonts w:ascii="Book Antiqua" w:hAnsi="Book Antiqua" w:eastAsia="Book Antiqua" w:cs="Book Antiqua"/>
          <w:color w:val="000000"/>
          <w:vertAlign w:val="superscript"/>
        </w:rPr>
        <w:t>[21]</w:t>
      </w:r>
      <w:r>
        <w:rPr>
          <w:rFonts w:ascii="Book Antiqua" w:hAnsi="Book Antiqua" w:eastAsia="Book Antiqua" w:cs="Book Antiqua"/>
          <w:color w:val="000000"/>
          <w:shd w:val="clear" w:color="auto" w:fill="FFFFFF"/>
        </w:rPr>
        <w:t xml:space="preserve"> and the 15-microbe abundance prognosis score (MAPS)</w:t>
      </w:r>
      <w:r>
        <w:rPr>
          <w:rFonts w:ascii="Book Antiqua" w:hAnsi="Book Antiqua" w:eastAsia="Book Antiqua" w:cs="Book Antiqua"/>
          <w:color w:val="000000"/>
          <w:vertAlign w:val="superscript"/>
        </w:rPr>
        <w:t>[19]</w:t>
      </w:r>
      <w:r>
        <w:rPr>
          <w:rFonts w:ascii="Book Antiqua" w:hAnsi="Book Antiqua" w:eastAsia="Book Antiqua" w:cs="Book Antiqua"/>
          <w:color w:val="000000"/>
          <w:shd w:val="clear" w:color="auto" w:fill="FFFFFF"/>
        </w:rPr>
        <w:t xml:space="preserve"> in BC. Here, we developed the 39-CMB prognosis score (CMPS) using an </w:t>
      </w:r>
      <w:r>
        <w:rPr>
          <w:rFonts w:ascii="Book Antiqua" w:hAnsi="Book Antiqua" w:eastAsia="Book Antiqua" w:cs="Book Antiqua"/>
          <w:color w:val="000000"/>
        </w:rPr>
        <w:t>AI-driven CMB detection technique</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We found that CMPS, MAPS, and GEPS had an independent prognostic value. This </w:t>
      </w:r>
      <w:r>
        <w:rPr>
          <w:rFonts w:ascii="Book Antiqua" w:hAnsi="Book Antiqua" w:eastAsia="Book Antiqua" w:cs="Book Antiqua"/>
          <w:color w:val="000000"/>
          <w:shd w:val="clear" w:color="auto" w:fill="FFFFFF"/>
        </w:rPr>
        <w:t xml:space="preserve">suggests that different modal data provide unique clinical value for prognosis prediction and raises the possibility that integrating multimodal biomarkers can advance precision oncology by more accurately predicting the risk of treatment failure, relapse </w:t>
      </w:r>
      <w:r>
        <w:rPr>
          <w:rFonts w:ascii="Book Antiqua" w:hAnsi="Book Antiqua" w:eastAsia="Book Antiqua" w:cs="Book Antiqua"/>
          <w:i/>
          <w:iCs/>
          <w:color w:val="000000"/>
          <w:shd w:val="clear" w:color="auto" w:fill="FFFFFF"/>
        </w:rPr>
        <w:t>etc.</w:t>
      </w:r>
      <w:r>
        <w:rPr>
          <w:rFonts w:ascii="Book Antiqua" w:hAnsi="Book Antiqua" w:eastAsia="Book Antiqua" w:cs="Book Antiqua"/>
          <w:color w:val="000000"/>
          <w:shd w:val="clear" w:color="auto" w:fill="FFFFFF"/>
        </w:rPr>
        <w:t xml:space="preserve"> </w:t>
      </w:r>
    </w:p>
    <w:p>
      <w:pPr>
        <w:spacing w:line="360" w:lineRule="auto"/>
        <w:ind w:firstLine="720"/>
        <w:jc w:val="both"/>
        <w:rPr>
          <w:rFonts w:ascii="Book Antiqua" w:hAnsi="Book Antiqua"/>
        </w:rPr>
      </w:pPr>
      <w:r>
        <w:rPr>
          <w:rFonts w:ascii="Book Antiqua" w:hAnsi="Book Antiqua" w:eastAsia="Book Antiqua" w:cs="Book Antiqua"/>
          <w:color w:val="000000"/>
          <w:shd w:val="clear" w:color="auto" w:fill="FFFFFF"/>
        </w:rPr>
        <w:t xml:space="preserve">Integrating multimodal data to yield improved performance compared with each modality alone remains challenging. </w:t>
      </w:r>
      <w:r>
        <w:rPr>
          <w:rFonts w:ascii="Book Antiqua" w:hAnsi="Book Antiqua" w:eastAsia="Book Antiqua" w:cs="Book Antiqua"/>
          <w:color w:val="000000"/>
        </w:rPr>
        <w:t xml:space="preserve">In this study, we presented a multi-step approach to integrate cellular morphometric, molecular, and microbiome landscapes into a multimodal prognostic system for BC. Firstly, we identified the </w:t>
      </w:r>
      <w:r>
        <w:rPr>
          <w:rFonts w:ascii="Book Antiqua" w:hAnsi="Book Antiqua" w:eastAsia="Book Antiqua" w:cs="Book Antiqua"/>
          <w:color w:val="000000"/>
          <w:shd w:val="clear" w:color="auto" w:fill="FFFFFF"/>
        </w:rPr>
        <w:t>biomarker signature</w:t>
      </w:r>
      <w:r>
        <w:rPr>
          <w:rFonts w:ascii="Book Antiqua" w:hAnsi="Book Antiqua" w:eastAsia="Book Antiqua" w:cs="Book Antiqua"/>
          <w:color w:val="000000"/>
        </w:rPr>
        <w:t xml:space="preserve"> and systematically assessed its prognostic value in each type of modal data. Secondly, we investigated whether these modal-specific biomarker signatures are independent prognostic factors. Thirdly, we established the final predictive model incorporating all modal biomarker signatures with significantly improved prognostic </w:t>
      </w:r>
      <w:r>
        <w:rPr>
          <w:rFonts w:ascii="Book Antiqua" w:hAnsi="Book Antiqua" w:eastAsia="Book Antiqua" w:cs="Book Antiqua"/>
          <w:color w:val="000000"/>
          <w:shd w:val="clear" w:color="auto" w:fill="FFFFFF"/>
        </w:rPr>
        <w:t>risk stratification compared with each modality alone</w:t>
      </w:r>
      <w:r>
        <w:rPr>
          <w:rFonts w:ascii="Book Antiqua" w:hAnsi="Book Antiqua" w:eastAsia="Book Antiqua" w:cs="Book Antiqua"/>
          <w:color w:val="000000"/>
        </w:rPr>
        <w:t xml:space="preserve">. Finally, we systematically evaluated the clinical value of the final predictive model. Such a strategy can extend to other types of cancers.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Modern clinical instruments are generating massive amounts of multimodal data, including radiology, histology, and molecular data, where each of them provides unique value for cancer diagnosis and treatment. Therefore, the efficient and effective integration of multimodal data becomes critical and, however, remains challenging in terms of robustness, interpretability, and translational impact, even with the current advancesin artificial intelligence techniques</w:t>
      </w:r>
      <w:r>
        <w:rPr>
          <w:rFonts w:ascii="Book Antiqua" w:hAnsi="Book Antiqua" w:eastAsia="Book Antiqua" w:cs="Book Antiqua"/>
          <w:color w:val="000000"/>
          <w:vertAlign w:val="superscript"/>
        </w:rPr>
        <w:t>[26-28]</w:t>
      </w:r>
      <w:r>
        <w:rPr>
          <w:rFonts w:ascii="Book Antiqua" w:hAnsi="Book Antiqua" w:eastAsia="Book Antiqua" w:cs="Book Antiqua"/>
          <w:color w:val="000000"/>
        </w:rPr>
        <w:t>. Two major trends in multimodal integration in cancer research are modal-specific raw data integration (MDI)</w:t>
      </w:r>
      <w:r>
        <w:rPr>
          <w:rFonts w:ascii="Book Antiqua" w:hAnsi="Book Antiqua" w:eastAsia="Book Antiqua" w:cs="Book Antiqua"/>
          <w:color w:val="000000"/>
          <w:vertAlign w:val="superscript"/>
        </w:rPr>
        <w:t>[29,30]</w:t>
      </w:r>
      <w:r>
        <w:rPr>
          <w:rFonts w:ascii="Book Antiqua" w:hAnsi="Book Antiqua" w:eastAsia="Book Antiqua" w:cs="Book Antiqua"/>
          <w:color w:val="000000"/>
        </w:rPr>
        <w:t xml:space="preserve"> and modal-specific representation integration (MRI)</w:t>
      </w:r>
      <w:r>
        <w:rPr>
          <w:rFonts w:ascii="Book Antiqua" w:hAnsi="Book Antiqua" w:eastAsia="Book Antiqua" w:cs="Book Antiqua"/>
          <w:color w:val="000000"/>
          <w:vertAlign w:val="superscript"/>
        </w:rPr>
        <w:t>[31,32]</w:t>
      </w:r>
      <w:r>
        <w:rPr>
          <w:rFonts w:ascii="Book Antiqua" w:hAnsi="Book Antiqua" w:eastAsia="Book Antiqua" w:cs="Book Antiqua"/>
          <w:color w:val="000000"/>
        </w:rPr>
        <w:t>. The MDI strategy handles each modality (</w:t>
      </w:r>
      <w:r>
        <w:rPr>
          <w:rFonts w:ascii="Book Antiqua" w:hAnsi="Book Antiqua" w:eastAsia="Book Antiqua" w:cs="Book Antiqua"/>
          <w:i/>
          <w:color w:val="000000"/>
        </w:rPr>
        <w:t>e.g</w:t>
      </w:r>
      <w:r>
        <w:rPr>
          <w:rFonts w:ascii="Book Antiqua" w:hAnsi="Book Antiqua" w:eastAsia="Book Antiqua" w:cs="Book Antiqua"/>
          <w:color w:val="000000"/>
        </w:rPr>
        <w:t>., histology and genomics) using different neural network structures and then combines the corresponding output of each neural network branch in subsequent network layers to predict the health outcome. Trained in an end-to-end fashion (</w:t>
      </w:r>
      <w:r>
        <w:rPr>
          <w:rFonts w:ascii="Book Antiqua" w:hAnsi="Book Antiqua" w:eastAsia="Book Antiqua" w:cs="Book Antiqua"/>
          <w:i/>
          <w:color w:val="000000"/>
        </w:rPr>
        <w:t>i.e.</w:t>
      </w:r>
      <w:r>
        <w:rPr>
          <w:rFonts w:ascii="Book Antiqua" w:hAnsi="Book Antiqua" w:eastAsia="Book Antiqua" w:cs="Book Antiqua"/>
          <w:color w:val="000000"/>
        </w:rPr>
        <w:t>, black-box fashion), this strategy delivers a convenient and powerful utilization of information and interaction across modalities; however, in general, it lacks biomedical interpretability. In addition, such a strategy does not guarantee the learning of clinically significant and independent information per each modality, and thus the alternative deployment of an individual modality or a subset of modalities is nearly impossible.</w:t>
      </w:r>
    </w:p>
    <w:p>
      <w:pPr>
        <w:spacing w:line="360" w:lineRule="auto"/>
        <w:ind w:firstLine="720"/>
        <w:jc w:val="both"/>
        <w:rPr>
          <w:rFonts w:ascii="Book Antiqua" w:hAnsi="Book Antiqua"/>
        </w:rPr>
      </w:pPr>
      <w:r>
        <w:rPr>
          <w:rFonts w:ascii="Book Antiqua" w:hAnsi="Book Antiqua" w:eastAsia="Book Antiqua" w:cs="Book Antiqua"/>
          <w:color w:val="000000"/>
        </w:rPr>
        <w:t xml:space="preserve">In contrast, the MRI provides a stepwise strategy, where the first step consists of outcome-driven representation mining per modality, and the second step integrates modal-specific representation towards the outcome. Obviously, MRI is more likely (without guarantee) to mine model-specific representation with independent clinical value </w:t>
      </w:r>
      <w:r>
        <w:rPr>
          <w:rFonts w:ascii="Book Antiqua" w:hAnsi="Book Antiqua" w:eastAsia="Book Antiqua" w:cs="Book Antiqua"/>
          <w:i/>
          <w:iCs/>
          <w:color w:val="000000"/>
        </w:rPr>
        <w:t>via</w:t>
      </w:r>
      <w:r>
        <w:rPr>
          <w:rFonts w:ascii="Book Antiqua" w:hAnsi="Book Antiqua" w:eastAsia="Book Antiqua" w:cs="Book Antiqua"/>
          <w:color w:val="000000"/>
        </w:rPr>
        <w:t xml:space="preserve"> a stepwise mechanism and consequently provides more flexibility in individual/subset modality deployment. This flexibility is important in clinical practice, especially when all modalities are not available. Extended from the MRI strategy, our work realizes the modal-specific knowledge integration (MKI) by enforcing the mining and utilization of biomedically interpretable, clinically significant and independent, and double-blindly validated knowledge (</w:t>
      </w:r>
      <w:r>
        <w:rPr>
          <w:rFonts w:ascii="Book Antiqua" w:hAnsi="Book Antiqua" w:eastAsia="Book Antiqua" w:cs="Book Antiqua"/>
          <w:i/>
          <w:color w:val="000000"/>
        </w:rPr>
        <w:t>i.e</w:t>
      </w:r>
      <w:r>
        <w:rPr>
          <w:rFonts w:ascii="Book Antiqua" w:hAnsi="Book Antiqua" w:eastAsia="Book Antiqua" w:cs="Book Antiqua"/>
          <w:color w:val="000000"/>
        </w:rPr>
        <w:t>., cellular morphometric biomarkers, microbiome biomarkers, and genomic biomarkers) through an AI-powered systems biology workflow for maximized clinical implications and translation impact.</w:t>
      </w:r>
    </w:p>
    <w:p>
      <w:pPr>
        <w:spacing w:line="360" w:lineRule="auto"/>
        <w:ind w:firstLine="720"/>
        <w:jc w:val="both"/>
        <w:rPr>
          <w:rFonts w:ascii="Book Antiqua" w:hAnsi="Book Antiqua"/>
        </w:rPr>
      </w:pPr>
      <w:r>
        <w:rPr>
          <w:rFonts w:ascii="Book Antiqua" w:hAnsi="Book Antiqua" w:eastAsia="Book Antiqua" w:cs="Book Antiqua"/>
          <w:color w:val="000000"/>
        </w:rPr>
        <w:t xml:space="preserve">Our study established a new promising strategy for integrating multimodal data to enhance prognostic prediction. A significant limitation was that we did not have independent cohorts to validate our findings. In addition, due to the limited clinical information in the TCGA-BRCA cohort, we were unable to comprehensively explore the potential confounding clinical factors, including tumor size, different cancer treatments, </w:t>
      </w:r>
      <w:r>
        <w:rPr>
          <w:rFonts w:ascii="Book Antiqua" w:hAnsi="Book Antiqua" w:eastAsia="Book Antiqua" w:cs="Book Antiqua"/>
          <w:i/>
          <w:iCs/>
          <w:color w:val="000000"/>
        </w:rPr>
        <w:t>etc.</w:t>
      </w:r>
      <w:r>
        <w:rPr>
          <w:rFonts w:ascii="Book Antiqua" w:hAnsi="Book Antiqua" w:eastAsia="Book Antiqua" w:cs="Book Antiqua"/>
          <w:color w:val="000000"/>
        </w:rPr>
        <w:t xml:space="preserve"> The clinical utility of iCEMIGE needs to be further validated in retrospective and prospective cohort studies to determine whether the iCEMIGE score can provide sufficient predictive information to stratify patients by risk and guide treatment. If so, the iCEMIGE score could assist clinicians in decision-making about cancer treatment and enable more personalized cancer therapy. </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Our study demonstrates a novel and generic AI framework for multimodal data integration toward improving prognosis risk stratification of BC patients, which can be extended to other types of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To develop a strategy to integrate multimodal data and to investigate whether </w:t>
      </w:r>
      <w:r>
        <w:rPr>
          <w:rFonts w:ascii="Book Antiqua" w:hAnsi="Book Antiqua" w:eastAsia="Book Antiqua" w:cs="Book Antiqua"/>
          <w:color w:val="000000"/>
        </w:rPr>
        <w:t>iCEMIGE (</w:t>
      </w:r>
      <w:r>
        <w:rPr>
          <w:rFonts w:ascii="Book Antiqua" w:hAnsi="Book Antiqua" w:eastAsia="Book Antiqua" w:cs="Book Antiqua"/>
          <w:bCs/>
          <w:color w:val="000000"/>
          <w:shd w:val="clear" w:color="auto" w:fill="FFFFFF"/>
        </w:rPr>
        <w:t>i</w:t>
      </w:r>
      <w:r>
        <w:rPr>
          <w:rFonts w:ascii="Book Antiqua" w:hAnsi="Book Antiqua" w:eastAsia="Book Antiqua" w:cs="Book Antiqua"/>
          <w:color w:val="000000"/>
          <w:shd w:val="clear" w:color="auto" w:fill="FFFFFF"/>
        </w:rPr>
        <w:t>ntegration of</w:t>
      </w:r>
      <w:r>
        <w:rPr>
          <w:rFonts w:ascii="Book Antiqua" w:hAnsi="Book Antiqua" w:eastAsia="Book Antiqua" w:cs="Book Antiqua"/>
          <w:bCs/>
          <w:color w:val="000000"/>
        </w:rPr>
        <w:t xml:space="preserve"> ce</w:t>
      </w:r>
      <w:r>
        <w:rPr>
          <w:rFonts w:ascii="Book Antiqua" w:hAnsi="Book Antiqua" w:eastAsia="Book Antiqua" w:cs="Book Antiqua"/>
          <w:color w:val="000000"/>
        </w:rPr>
        <w:t xml:space="preserve">ll-morphometrics, </w:t>
      </w:r>
      <w:r>
        <w:rPr>
          <w:rFonts w:ascii="Book Antiqua" w:hAnsi="Book Antiqua" w:eastAsia="Book Antiqua" w:cs="Book Antiqua"/>
          <w:bCs/>
          <w:color w:val="000000"/>
        </w:rPr>
        <w:t>mi</w:t>
      </w:r>
      <w:r>
        <w:rPr>
          <w:rFonts w:ascii="Book Antiqua" w:hAnsi="Book Antiqua" w:eastAsia="Book Antiqua" w:cs="Book Antiqua"/>
          <w:color w:val="000000"/>
        </w:rPr>
        <w:t xml:space="preserve">crobiome, and </w:t>
      </w:r>
      <w:r>
        <w:rPr>
          <w:rFonts w:ascii="Book Antiqua" w:hAnsi="Book Antiqua" w:eastAsia="Book Antiqua" w:cs="Book Antiqua"/>
          <w:bCs/>
          <w:color w:val="000000"/>
        </w:rPr>
        <w:t>ge</w:t>
      </w:r>
      <w:r>
        <w:rPr>
          <w:rFonts w:ascii="Book Antiqua" w:hAnsi="Book Antiqua" w:eastAsia="Book Antiqua" w:cs="Book Antiqua"/>
          <w:color w:val="000000"/>
        </w:rPr>
        <w:t>ne biomarker signatures)</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improves the risk stratification</w:t>
      </w:r>
      <w:r>
        <w:rPr>
          <w:rFonts w:ascii="Book Antiqua" w:hAnsi="Book Antiqua" w:eastAsia="Book Antiqua" w:cs="Book Antiqua"/>
          <w:bCs/>
          <w:color w:val="000000"/>
        </w:rPr>
        <w:t xml:space="preserve"> </w:t>
      </w:r>
      <w:r>
        <w:rPr>
          <w:rFonts w:ascii="Book Antiqua" w:hAnsi="Book Antiqua" w:eastAsia="Book Antiqua" w:cs="Book Antiqua"/>
          <w:color w:val="000000"/>
        </w:rPr>
        <w:t>of breast cancer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Modern clinical instruments are generating massive amounts of multimodal data, including radiology, histology, and molecular data, where each of them provides unique value for cancer diagnosis and treatment. Efficient and effective integration of these multimodal data is believed to open a new era for precision oncology.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Cancer </w:t>
      </w:r>
      <w:r>
        <w:rPr>
          <w:rFonts w:ascii="Book Antiqua" w:hAnsi="Book Antiqua" w:eastAsia="Book Antiqua" w:cs="Book Antiqua"/>
          <w:color w:val="000000"/>
          <w:shd w:val="clear" w:color="auto" w:fill="FFFFFF"/>
        </w:rPr>
        <w:t>heterogeneity</w:t>
      </w:r>
      <w:r>
        <w:rPr>
          <w:rFonts w:ascii="Book Antiqua" w:hAnsi="Book Antiqua" w:eastAsia="Book Antiqua" w:cs="Book Antiqua"/>
          <w:color w:val="000000"/>
        </w:rPr>
        <w:t xml:space="preserve"> consistently results in a large variation in clinical outcomes of patients after treatment. The discovery of biomarkers for tailoring cancer treatments is a critical step toward personalized medicine.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 iCEMIGE score could assist clinicians in decision-making about cancer treatment and enable more personalized cancer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Our study indicates that multimodal integration (iCEMIGE) </w:t>
      </w:r>
      <w:r>
        <w:rPr>
          <w:rFonts w:ascii="Book Antiqua" w:hAnsi="Book Antiqua" w:eastAsia="Book Antiqua" w:cs="Book Antiqua"/>
          <w:color w:val="000000"/>
          <w:shd w:val="clear" w:color="auto" w:fill="FFFFFF"/>
        </w:rPr>
        <w:t>can more accurately predict the prognostic risk of breast cancer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iCEMIGE is </w:t>
      </w:r>
      <w:r>
        <w:rPr>
          <w:rFonts w:ascii="Book Antiqua" w:hAnsi="Book Antiqua" w:eastAsia="Book Antiqua" w:cs="Book Antiqua"/>
          <w:color w:val="000000"/>
          <w:shd w:val="clear" w:color="auto" w:fill="FFFFFF"/>
        </w:rPr>
        <w:t>significantly superior in predicting overall and progression-free survival of breast cancer patients compared</w:t>
      </w:r>
      <w:r>
        <w:rPr>
          <w:rFonts w:ascii="Book Antiqua" w:hAnsi="Book Antiqua" w:eastAsia="Book Antiqua" w:cs="Book Antiqua"/>
          <w:color w:val="000000"/>
        </w:rPr>
        <w:t xml:space="preserve"> to single modal biomarker and the PAM50-based molecular subtype, which is one of FDA approved biomarkers and is currently used in clinical practice.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The artificial intelligence pipeline powered is used to identify cellular morphometric biomarkers. Single modal biomarker signatures are integrated using t</w:t>
      </w:r>
      <w:r>
        <w:rPr>
          <w:rFonts w:ascii="Book Antiqua" w:hAnsi="Book Antiqua" w:eastAsia="Book Antiqua" w:cs="Book Antiqua"/>
          <w:color w:val="000000"/>
          <w:shd w:val="clear" w:color="auto" w:fill="FFFFFF"/>
        </w:rPr>
        <w:t>he sparse representation learning technique to establish iCEMIGE. Clinical value of iCEMIGE is evaluated using different statistical methods.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Allison KH</w:t>
      </w:r>
      <w:r>
        <w:rPr>
          <w:rFonts w:ascii="Book Antiqua" w:hAnsi="Book Antiqua"/>
        </w:rPr>
        <w:t xml:space="preserve">, Sledge GW. Heterogeneity and cancer. </w:t>
      </w:r>
      <w:r>
        <w:rPr>
          <w:rFonts w:ascii="Book Antiqua" w:hAnsi="Book Antiqua"/>
          <w:i/>
          <w:iCs/>
        </w:rPr>
        <w:t>Oncology (Williston Park)</w:t>
      </w:r>
      <w:r>
        <w:rPr>
          <w:rFonts w:ascii="Book Antiqua" w:hAnsi="Book Antiqua"/>
        </w:rPr>
        <w:t xml:space="preserve"> 2014; </w:t>
      </w:r>
      <w:r>
        <w:rPr>
          <w:rFonts w:ascii="Book Antiqua" w:hAnsi="Book Antiqua"/>
          <w:b/>
          <w:bCs/>
        </w:rPr>
        <w:t>28</w:t>
      </w:r>
      <w:r>
        <w:rPr>
          <w:rFonts w:ascii="Book Antiqua" w:hAnsi="Book Antiqua"/>
        </w:rPr>
        <w:t>: 772-778 [PMID: 25224475]</w:t>
      </w:r>
    </w:p>
    <w:p>
      <w:pPr>
        <w:spacing w:line="360" w:lineRule="auto"/>
        <w:jc w:val="both"/>
        <w:rPr>
          <w:rFonts w:ascii="Book Antiqua" w:hAnsi="Book Antiqua"/>
        </w:rPr>
      </w:pPr>
      <w:r>
        <w:rPr>
          <w:rFonts w:ascii="Book Antiqua" w:hAnsi="Book Antiqua"/>
        </w:rPr>
        <w:t xml:space="preserve">2 </w:t>
      </w:r>
      <w:r>
        <w:rPr>
          <w:rFonts w:ascii="Book Antiqua" w:hAnsi="Book Antiqua"/>
          <w:b/>
          <w:bCs/>
        </w:rPr>
        <w:t>Dagogo-Jack I</w:t>
      </w:r>
      <w:r>
        <w:rPr>
          <w:rFonts w:ascii="Book Antiqua" w:hAnsi="Book Antiqua"/>
        </w:rPr>
        <w:t xml:space="preserve">, Shaw AT. Tumour heterogeneity and resistance to cancer therapies. </w:t>
      </w:r>
      <w:r>
        <w:rPr>
          <w:rFonts w:ascii="Book Antiqua" w:hAnsi="Book Antiqua"/>
          <w:i/>
          <w:iCs/>
        </w:rPr>
        <w:t>Nat Rev Clin Oncol</w:t>
      </w:r>
      <w:r>
        <w:rPr>
          <w:rFonts w:ascii="Book Antiqua" w:hAnsi="Book Antiqua"/>
        </w:rPr>
        <w:t xml:space="preserve"> 2018; </w:t>
      </w:r>
      <w:r>
        <w:rPr>
          <w:rFonts w:ascii="Book Antiqua" w:hAnsi="Book Antiqua"/>
          <w:b/>
          <w:bCs/>
        </w:rPr>
        <w:t>15</w:t>
      </w:r>
      <w:r>
        <w:rPr>
          <w:rFonts w:ascii="Book Antiqua" w:hAnsi="Book Antiqua"/>
        </w:rPr>
        <w:t>: 81-94 [PMID: 29115304 DOI: 10.1038/nrclinonc.2017.166]</w:t>
      </w:r>
    </w:p>
    <w:p>
      <w:pPr>
        <w:spacing w:line="360" w:lineRule="auto"/>
        <w:jc w:val="both"/>
        <w:rPr>
          <w:rFonts w:ascii="Book Antiqua" w:hAnsi="Book Antiqua"/>
        </w:rPr>
      </w:pPr>
      <w:r>
        <w:rPr>
          <w:rFonts w:ascii="Book Antiqua" w:hAnsi="Book Antiqua"/>
        </w:rPr>
        <w:t xml:space="preserve">3 </w:t>
      </w:r>
      <w:r>
        <w:rPr>
          <w:rFonts w:ascii="Book Antiqua" w:hAnsi="Book Antiqua"/>
          <w:b/>
          <w:bCs/>
        </w:rPr>
        <w:t>Bardakjian T</w:t>
      </w:r>
      <w:r>
        <w:rPr>
          <w:rFonts w:ascii="Book Antiqua" w:hAnsi="Book Antiqua"/>
        </w:rPr>
        <w:t xml:space="preserve">, Gonzalez-Alegre P. Towards precision medicine. </w:t>
      </w:r>
      <w:r>
        <w:rPr>
          <w:rFonts w:ascii="Book Antiqua" w:hAnsi="Book Antiqua"/>
          <w:i/>
          <w:iCs/>
        </w:rPr>
        <w:t>Handb Clin Neurol</w:t>
      </w:r>
      <w:r>
        <w:rPr>
          <w:rFonts w:ascii="Book Antiqua" w:hAnsi="Book Antiqua"/>
        </w:rPr>
        <w:t xml:space="preserve"> 2018; </w:t>
      </w:r>
      <w:r>
        <w:rPr>
          <w:rFonts w:ascii="Book Antiqua" w:hAnsi="Book Antiqua"/>
          <w:b/>
          <w:bCs/>
        </w:rPr>
        <w:t>147</w:t>
      </w:r>
      <w:r>
        <w:rPr>
          <w:rFonts w:ascii="Book Antiqua" w:hAnsi="Book Antiqua"/>
        </w:rPr>
        <w:t>: 93-102 [PMID: 29325630 DOI: 10.1016/B978-0-444-63233-3.00008-7]</w:t>
      </w:r>
    </w:p>
    <w:p>
      <w:pPr>
        <w:spacing w:line="360" w:lineRule="auto"/>
        <w:jc w:val="both"/>
        <w:rPr>
          <w:rFonts w:ascii="Book Antiqua" w:hAnsi="Book Antiqua"/>
        </w:rPr>
      </w:pPr>
      <w:r>
        <w:rPr>
          <w:rFonts w:ascii="Book Antiqua" w:hAnsi="Book Antiqua"/>
        </w:rPr>
        <w:t xml:space="preserve">4 </w:t>
      </w:r>
      <w:r>
        <w:rPr>
          <w:rFonts w:ascii="Book Antiqua" w:hAnsi="Book Antiqua"/>
          <w:b/>
          <w:bCs/>
        </w:rPr>
        <w:t>Carels N</w:t>
      </w:r>
      <w:r>
        <w:rPr>
          <w:rFonts w:ascii="Book Antiqua" w:hAnsi="Book Antiqua"/>
        </w:rPr>
        <w:t xml:space="preserve">, Spinassé LB, Tilli TM, Tuszynski JA. Toward precision medicine of breast cancer. </w:t>
      </w:r>
      <w:r>
        <w:rPr>
          <w:rFonts w:ascii="Book Antiqua" w:hAnsi="Book Antiqua"/>
          <w:i/>
          <w:iCs/>
        </w:rPr>
        <w:t>Theor Biol Med Model</w:t>
      </w:r>
      <w:r>
        <w:rPr>
          <w:rFonts w:ascii="Book Antiqua" w:hAnsi="Book Antiqua"/>
        </w:rPr>
        <w:t xml:space="preserve"> 2016; </w:t>
      </w:r>
      <w:r>
        <w:rPr>
          <w:rFonts w:ascii="Book Antiqua" w:hAnsi="Book Antiqua"/>
          <w:b/>
          <w:bCs/>
        </w:rPr>
        <w:t>13</w:t>
      </w:r>
      <w:r>
        <w:rPr>
          <w:rFonts w:ascii="Book Antiqua" w:hAnsi="Book Antiqua"/>
        </w:rPr>
        <w:t>: 7 [PMID: 26925829 DOI: 10.1186/s12976-016-0035-4]</w:t>
      </w:r>
    </w:p>
    <w:p>
      <w:pPr>
        <w:spacing w:line="360" w:lineRule="auto"/>
        <w:jc w:val="both"/>
        <w:rPr>
          <w:rFonts w:ascii="Book Antiqua" w:hAnsi="Book Antiqua"/>
        </w:rPr>
      </w:pPr>
      <w:r>
        <w:rPr>
          <w:rFonts w:ascii="Book Antiqua" w:hAnsi="Book Antiqua"/>
        </w:rPr>
        <w:t xml:space="preserve">5 </w:t>
      </w:r>
      <w:r>
        <w:rPr>
          <w:rFonts w:ascii="Book Antiqua" w:hAnsi="Book Antiqua"/>
          <w:b/>
          <w:bCs/>
        </w:rPr>
        <w:t>Middleton G</w:t>
      </w:r>
      <w:r>
        <w:rPr>
          <w:rFonts w:ascii="Book Antiqua" w:hAnsi="Book Antiqua"/>
        </w:rPr>
        <w:t xml:space="preserve">, Robbins H, Andre F, Swanton C. A state-of-the-art review of stratified medicine in cancer: towards a future precision medicine strategy in cancer. </w:t>
      </w:r>
      <w:r>
        <w:rPr>
          <w:rFonts w:ascii="Book Antiqua" w:hAnsi="Book Antiqua"/>
          <w:i/>
          <w:iCs/>
        </w:rPr>
        <w:t>Ann Oncol</w:t>
      </w:r>
      <w:r>
        <w:rPr>
          <w:rFonts w:ascii="Book Antiqua" w:hAnsi="Book Antiqua"/>
        </w:rPr>
        <w:t xml:space="preserve"> 2022; </w:t>
      </w:r>
      <w:r>
        <w:rPr>
          <w:rFonts w:ascii="Book Antiqua" w:hAnsi="Book Antiqua"/>
          <w:b/>
          <w:bCs/>
        </w:rPr>
        <w:t>33</w:t>
      </w:r>
      <w:r>
        <w:rPr>
          <w:rFonts w:ascii="Book Antiqua" w:hAnsi="Book Antiqua"/>
        </w:rPr>
        <w:t>: 143-157 [PMID: 34808340 DOI: 10.1016/j.annonc.2021.11.004]</w:t>
      </w:r>
    </w:p>
    <w:p>
      <w:pPr>
        <w:spacing w:line="360" w:lineRule="auto"/>
        <w:jc w:val="both"/>
        <w:rPr>
          <w:rFonts w:ascii="Book Antiqua" w:hAnsi="Book Antiqua"/>
        </w:rPr>
      </w:pPr>
      <w:r>
        <w:rPr>
          <w:rFonts w:ascii="Book Antiqua" w:hAnsi="Book Antiqua"/>
        </w:rPr>
        <w:t xml:space="preserve">6 </w:t>
      </w:r>
      <w:r>
        <w:rPr>
          <w:rFonts w:ascii="Book Antiqua" w:hAnsi="Book Antiqua"/>
          <w:b/>
          <w:bCs/>
        </w:rPr>
        <w:t>Tsimberidou AM</w:t>
      </w:r>
      <w:r>
        <w:rPr>
          <w:rFonts w:ascii="Book Antiqua" w:hAnsi="Book Antiqua"/>
        </w:rPr>
        <w:t xml:space="preserve">, Fountzilas E, Nikanjam M, Kurzrock R. Review of precision cancer medicine: Evolution of the treatment paradigm. </w:t>
      </w:r>
      <w:r>
        <w:rPr>
          <w:rFonts w:ascii="Book Antiqua" w:hAnsi="Book Antiqua"/>
          <w:i/>
          <w:iCs/>
        </w:rPr>
        <w:t>Cancer Treat Rev</w:t>
      </w:r>
      <w:r>
        <w:rPr>
          <w:rFonts w:ascii="Book Antiqua" w:hAnsi="Book Antiqua"/>
        </w:rPr>
        <w:t xml:space="preserve"> 2020; </w:t>
      </w:r>
      <w:r>
        <w:rPr>
          <w:rFonts w:ascii="Book Antiqua" w:hAnsi="Book Antiqua"/>
          <w:b/>
          <w:bCs/>
        </w:rPr>
        <w:t>86</w:t>
      </w:r>
      <w:r>
        <w:rPr>
          <w:rFonts w:ascii="Book Antiqua" w:hAnsi="Book Antiqua"/>
        </w:rPr>
        <w:t>: 102019 [PMID: 32251926 DOI: 10.1016/j.ctrv.2020.102019]</w:t>
      </w:r>
    </w:p>
    <w:p>
      <w:pPr>
        <w:spacing w:line="360" w:lineRule="auto"/>
        <w:jc w:val="both"/>
        <w:rPr>
          <w:rFonts w:ascii="Book Antiqua" w:hAnsi="Book Antiqua"/>
        </w:rPr>
      </w:pPr>
      <w:r>
        <w:rPr>
          <w:rFonts w:ascii="Book Antiqua" w:hAnsi="Book Antiqua"/>
        </w:rPr>
        <w:t xml:space="preserve">7 </w:t>
      </w:r>
      <w:r>
        <w:rPr>
          <w:rFonts w:ascii="Book Antiqua" w:hAnsi="Book Antiqua"/>
          <w:b/>
          <w:bCs/>
        </w:rPr>
        <w:t>Louie AD</w:t>
      </w:r>
      <w:r>
        <w:rPr>
          <w:rFonts w:ascii="Book Antiqua" w:hAnsi="Book Antiqua"/>
        </w:rPr>
        <w:t xml:space="preserve">, Huntington K, Carlsen L, Zhou L, El-Deiry WS. Integrating Molecular Biomarker Inputs Into Development and Use of Clinical Cancer Therapeutics. </w:t>
      </w:r>
      <w:r>
        <w:rPr>
          <w:rFonts w:ascii="Book Antiqua" w:hAnsi="Book Antiqua"/>
          <w:i/>
          <w:iCs/>
        </w:rPr>
        <w:t>Front Pharmacol</w:t>
      </w:r>
      <w:r>
        <w:rPr>
          <w:rFonts w:ascii="Book Antiqua" w:hAnsi="Book Antiqua"/>
        </w:rPr>
        <w:t xml:space="preserve"> 2021; </w:t>
      </w:r>
      <w:r>
        <w:rPr>
          <w:rFonts w:ascii="Book Antiqua" w:hAnsi="Book Antiqua"/>
          <w:b/>
          <w:bCs/>
        </w:rPr>
        <w:t>12</w:t>
      </w:r>
      <w:r>
        <w:rPr>
          <w:rFonts w:ascii="Book Antiqua" w:hAnsi="Book Antiqua"/>
        </w:rPr>
        <w:t>: 747194 [PMID: 34737704 DOI: 10.3389/fphar.2021.747194]</w:t>
      </w:r>
    </w:p>
    <w:p>
      <w:pPr>
        <w:spacing w:line="360" w:lineRule="auto"/>
        <w:jc w:val="both"/>
        <w:rPr>
          <w:rFonts w:ascii="Book Antiqua" w:hAnsi="Book Antiqua"/>
        </w:rPr>
      </w:pPr>
      <w:r>
        <w:rPr>
          <w:rFonts w:ascii="Book Antiqua" w:hAnsi="Book Antiqua"/>
        </w:rPr>
        <w:t xml:space="preserve">8 </w:t>
      </w:r>
      <w:r>
        <w:rPr>
          <w:rFonts w:ascii="Book Antiqua" w:hAnsi="Book Antiqua"/>
          <w:b/>
          <w:bCs/>
        </w:rPr>
        <w:t>Parker JL</w:t>
      </w:r>
      <w:r>
        <w:rPr>
          <w:rFonts w:ascii="Book Antiqua" w:hAnsi="Book Antiqua"/>
        </w:rPr>
        <w:t xml:space="preserve">, Kuzulugil SS, Pereverzev K, Mac S, Lopes G, Shah Z, Weerasinghe A, Rubinger D, Falconi A, Bener A, Caglayan B, Tangri R, Mitsakakis N. Does biomarker use in oncology improve clinical trial failure risk? A large-scale analysis. </w:t>
      </w:r>
      <w:r>
        <w:rPr>
          <w:rFonts w:ascii="Book Antiqua" w:hAnsi="Book Antiqua"/>
          <w:i/>
          <w:iCs/>
        </w:rPr>
        <w:t>Cancer Med</w:t>
      </w:r>
      <w:r>
        <w:rPr>
          <w:rFonts w:ascii="Book Antiqua" w:hAnsi="Book Antiqua"/>
        </w:rPr>
        <w:t xml:space="preserve"> 2021; </w:t>
      </w:r>
      <w:r>
        <w:rPr>
          <w:rFonts w:ascii="Book Antiqua" w:hAnsi="Book Antiqua"/>
          <w:b/>
          <w:bCs/>
        </w:rPr>
        <w:t>10</w:t>
      </w:r>
      <w:r>
        <w:rPr>
          <w:rFonts w:ascii="Book Antiqua" w:hAnsi="Book Antiqua"/>
        </w:rPr>
        <w:t>: 1955-1963 [PMID: 33620160 DOI: 10.1002/cam4.3732]</w:t>
      </w:r>
    </w:p>
    <w:p>
      <w:pPr>
        <w:spacing w:line="360" w:lineRule="auto"/>
        <w:jc w:val="both"/>
        <w:rPr>
          <w:rFonts w:ascii="Book Antiqua" w:hAnsi="Book Antiqua"/>
        </w:rPr>
      </w:pPr>
      <w:r>
        <w:rPr>
          <w:rFonts w:ascii="Book Antiqua" w:hAnsi="Book Antiqua"/>
        </w:rPr>
        <w:t xml:space="preserve">9 </w:t>
      </w:r>
      <w:r>
        <w:rPr>
          <w:rFonts w:ascii="Book Antiqua" w:hAnsi="Book Antiqua"/>
          <w:b/>
          <w:bCs/>
        </w:rPr>
        <w:t>Perez EA</w:t>
      </w:r>
      <w:r>
        <w:rPr>
          <w:rFonts w:ascii="Book Antiqua" w:hAnsi="Book Antiqua"/>
        </w:rPr>
        <w:t>. Biomarkers and Precision Medicine in Oncology Practice and Clinical Trials. 2019 Dec 13. In: Advancing the Science of Cancer in Latinos [Internet]. Cham (CH): Springer; 2020 [PMID: 34460187]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Liu X-P,</w:t>
      </w:r>
      <w:r>
        <w:rPr>
          <w:rFonts w:ascii="Book Antiqua" w:hAnsi="Book Antiqua"/>
        </w:rPr>
        <w:t xml:space="preserve"> Jin X, Ahmadian S, Yang X, Tian S-F, Cai Y-X, Chawla K, Snijders A, Xia Y, Diest P, Weiss W, Mao J-H, Li Z-Q, Vogel H, Chang H. Clinical Significance and Molecular Annotation of Cellular Morphometric Subtypes in Lower Grade Gliomas discovered by Machine Learning. </w:t>
      </w:r>
      <w:r>
        <w:rPr>
          <w:rFonts w:ascii="Book Antiqua" w:hAnsi="Book Antiqua"/>
          <w:i/>
          <w:iCs/>
        </w:rPr>
        <w:t>Neuro Oncology</w:t>
      </w:r>
      <w:r>
        <w:rPr>
          <w:rFonts w:ascii="Book Antiqua" w:hAnsi="Book Antiqua"/>
        </w:rPr>
        <w:t xml:space="preserve"> 2022; </w:t>
      </w:r>
      <w:r>
        <w:rPr>
          <w:rFonts w:ascii="Book Antiqua" w:hAnsi="Book Antiqua"/>
          <w:b/>
          <w:bCs/>
        </w:rPr>
        <w:t>1</w:t>
      </w:r>
      <w:r>
        <w:rPr>
          <w:rFonts w:hint="eastAsia" w:ascii="Book Antiqua" w:hAnsi="Book Antiqua"/>
          <w:b/>
          <w:bCs/>
          <w:lang w:eastAsia="zh-CN"/>
        </w:rPr>
        <w:t>8</w:t>
      </w:r>
      <w:r>
        <w:rPr>
          <w:rFonts w:ascii="Book Antiqua" w:hAnsi="Book Antiqua"/>
        </w:rPr>
        <w:t xml:space="preserve">: </w:t>
      </w:r>
      <w:r>
        <w:rPr>
          <w:rFonts w:hint="eastAsia" w:ascii="Book Antiqua" w:hAnsi="Book Antiqua"/>
          <w:lang w:eastAsia="zh-CN"/>
        </w:rPr>
        <w:t>154</w:t>
      </w:r>
      <w:r>
        <w:rPr>
          <w:rFonts w:ascii="Book Antiqua" w:hAnsi="Book Antiqua"/>
        </w:rPr>
        <w:t xml:space="preserve"> [PMID: 35716369 DOI: 10.1093/neuonc/noac154]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Chang H</w:t>
      </w:r>
      <w:r>
        <w:rPr>
          <w:rFonts w:ascii="Book Antiqua" w:hAnsi="Book Antiqua"/>
        </w:rPr>
        <w:t xml:space="preserve">, Yang X, Moore J, Liu XP, Jen KY, Snijders AM, Ma L, Chou W, Corchado-Cobos R, García-Sancha N, Mendiburu-Eliçabe M, Pérez-Losada J, Barcellos-Hoff MH, Mao JH. From Mouse to Human: Cellular Morphometric Subtype Learned From Mouse Mammary Tumors Provides Prognostic Value in Human Breast Cancer. </w:t>
      </w:r>
      <w:r>
        <w:rPr>
          <w:rFonts w:ascii="Book Antiqua" w:hAnsi="Book Antiqua"/>
          <w:i/>
          <w:iCs/>
        </w:rPr>
        <w:t>Front Oncol</w:t>
      </w:r>
      <w:r>
        <w:rPr>
          <w:rFonts w:ascii="Book Antiqua" w:hAnsi="Book Antiqua"/>
        </w:rPr>
        <w:t xml:space="preserve"> 2021; </w:t>
      </w:r>
      <w:r>
        <w:rPr>
          <w:rFonts w:ascii="Book Antiqua" w:hAnsi="Book Antiqua"/>
          <w:b/>
          <w:bCs/>
        </w:rPr>
        <w:t>11</w:t>
      </w:r>
      <w:r>
        <w:rPr>
          <w:rFonts w:ascii="Book Antiqua" w:hAnsi="Book Antiqua"/>
        </w:rPr>
        <w:t>: 819565 [PMID: 35242697 DOI: 10.3389/fonc.2021.819565]</w:t>
      </w:r>
    </w:p>
    <w:p>
      <w:pPr>
        <w:spacing w:line="360" w:lineRule="auto"/>
        <w:jc w:val="both"/>
        <w:rPr>
          <w:rFonts w:ascii="Book Antiqua" w:hAnsi="Book Antiqua"/>
        </w:rPr>
      </w:pPr>
      <w:r>
        <w:rPr>
          <w:rFonts w:ascii="Book Antiqua" w:hAnsi="Book Antiqua"/>
        </w:rPr>
        <w:t xml:space="preserve">12 </w:t>
      </w:r>
      <w:r>
        <w:rPr>
          <w:rFonts w:ascii="Book Antiqua" w:hAnsi="Book Antiqua"/>
          <w:b/>
          <w:bCs/>
        </w:rPr>
        <w:t>Turnquist C</w:t>
      </w:r>
      <w:r>
        <w:rPr>
          <w:rFonts w:ascii="Book Antiqua" w:hAnsi="Book Antiqua"/>
        </w:rPr>
        <w:t xml:space="preserve">, Watson RA, Protheroe A, Verrill C, Sivakumar S. Tumor heterogeneity: does it matter? </w:t>
      </w:r>
      <w:r>
        <w:rPr>
          <w:rFonts w:ascii="Book Antiqua" w:hAnsi="Book Antiqua"/>
          <w:i/>
          <w:iCs/>
        </w:rPr>
        <w:t>Expert Rev Anticancer Ther</w:t>
      </w:r>
      <w:r>
        <w:rPr>
          <w:rFonts w:ascii="Book Antiqua" w:hAnsi="Book Antiqua"/>
        </w:rPr>
        <w:t xml:space="preserve"> 2019; </w:t>
      </w:r>
      <w:r>
        <w:rPr>
          <w:rFonts w:ascii="Book Antiqua" w:hAnsi="Book Antiqua"/>
          <w:b/>
          <w:bCs/>
        </w:rPr>
        <w:t>19</w:t>
      </w:r>
      <w:r>
        <w:rPr>
          <w:rFonts w:ascii="Book Antiqua" w:hAnsi="Book Antiqua"/>
        </w:rPr>
        <w:t>: 857-867 [PMID: 31510810 DOI: 10.1080/14737140.2019.1667236]</w:t>
      </w:r>
    </w:p>
    <w:p>
      <w:pPr>
        <w:spacing w:line="360" w:lineRule="auto"/>
        <w:jc w:val="both"/>
        <w:rPr>
          <w:rFonts w:ascii="Book Antiqua" w:hAnsi="Book Antiqua"/>
        </w:rPr>
      </w:pPr>
      <w:r>
        <w:rPr>
          <w:rFonts w:ascii="Book Antiqua" w:hAnsi="Book Antiqua"/>
        </w:rPr>
        <w:t xml:space="preserve">13 </w:t>
      </w:r>
      <w:r>
        <w:rPr>
          <w:rFonts w:ascii="Book Antiqua" w:hAnsi="Book Antiqua"/>
          <w:b/>
          <w:bCs/>
        </w:rPr>
        <w:t>Tarighati E</w:t>
      </w:r>
      <w:r>
        <w:rPr>
          <w:rFonts w:ascii="Book Antiqua" w:hAnsi="Book Antiqua"/>
        </w:rPr>
        <w:t xml:space="preserve">, Keivan H, Mahani H. A review of prognostic and predictive biomarkers in breast cancer. </w:t>
      </w:r>
      <w:r>
        <w:rPr>
          <w:rFonts w:ascii="Book Antiqua" w:hAnsi="Book Antiqua"/>
          <w:i/>
          <w:iCs/>
        </w:rPr>
        <w:t>Clin Exp Med</w:t>
      </w:r>
      <w:r>
        <w:rPr>
          <w:rFonts w:ascii="Book Antiqua" w:hAnsi="Book Antiqua"/>
        </w:rPr>
        <w:t xml:space="preserve"> 2022 [PMID: 35031885 DOI: 10.1007/s10238-021-00781-1]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Yadav BS</w:t>
      </w:r>
      <w:r>
        <w:rPr>
          <w:rFonts w:ascii="Book Antiqua" w:hAnsi="Book Antiqua"/>
        </w:rPr>
        <w:t xml:space="preserve">, Chanana P, Jhamb S. Biomarkers in triple negative breast cancer: A review. </w:t>
      </w:r>
      <w:r>
        <w:rPr>
          <w:rFonts w:ascii="Book Antiqua" w:hAnsi="Book Antiqua"/>
          <w:i/>
          <w:iCs/>
        </w:rPr>
        <w:t>World J Clin Oncol</w:t>
      </w:r>
      <w:r>
        <w:rPr>
          <w:rFonts w:ascii="Book Antiqua" w:hAnsi="Book Antiqua"/>
        </w:rPr>
        <w:t xml:space="preserve"> 2015; </w:t>
      </w:r>
      <w:r>
        <w:rPr>
          <w:rFonts w:ascii="Book Antiqua" w:hAnsi="Book Antiqua"/>
          <w:b/>
          <w:bCs/>
        </w:rPr>
        <w:t>6</w:t>
      </w:r>
      <w:r>
        <w:rPr>
          <w:rFonts w:ascii="Book Antiqua" w:hAnsi="Book Antiqua"/>
        </w:rPr>
        <w:t>: 252-263 [PMID: 26677438 DOI: 10.5306/wjco.v6.i6.252]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Sepich-Poore GD</w:t>
      </w:r>
      <w:r>
        <w:rPr>
          <w:rFonts w:ascii="Book Antiqua" w:hAnsi="Book Antiqua"/>
        </w:rPr>
        <w:t xml:space="preserve">, Zitvogel L, Straussman R, Hasty J, Wargo JA, Knight R. The microbiome and human cancer. </w:t>
      </w:r>
      <w:r>
        <w:rPr>
          <w:rFonts w:ascii="Book Antiqua" w:hAnsi="Book Antiqua"/>
          <w:i/>
          <w:iCs/>
        </w:rPr>
        <w:t>Science</w:t>
      </w:r>
      <w:r>
        <w:rPr>
          <w:rFonts w:ascii="Book Antiqua" w:hAnsi="Book Antiqua"/>
        </w:rPr>
        <w:t xml:space="preserve"> 2021; </w:t>
      </w:r>
      <w:r>
        <w:rPr>
          <w:rFonts w:ascii="Book Antiqua" w:hAnsi="Book Antiqua"/>
          <w:b/>
          <w:bCs/>
        </w:rPr>
        <w:t>371</w:t>
      </w:r>
      <w:r>
        <w:rPr>
          <w:rFonts w:ascii="Book Antiqua" w:hAnsi="Book Antiqua"/>
        </w:rPr>
        <w:t xml:space="preserve"> [PMID: 33766858 DOI: 10.1126/science.abc4552]</w:t>
      </w:r>
    </w:p>
    <w:p>
      <w:pPr>
        <w:spacing w:line="360" w:lineRule="auto"/>
        <w:jc w:val="both"/>
        <w:rPr>
          <w:rFonts w:ascii="Book Antiqua" w:hAnsi="Book Antiqua"/>
        </w:rPr>
      </w:pPr>
      <w:r>
        <w:rPr>
          <w:rFonts w:ascii="Book Antiqua" w:hAnsi="Book Antiqua"/>
        </w:rPr>
        <w:t xml:space="preserve">16 </w:t>
      </w:r>
      <w:r>
        <w:rPr>
          <w:rFonts w:ascii="Book Antiqua" w:hAnsi="Book Antiqua"/>
          <w:b/>
          <w:bCs/>
        </w:rPr>
        <w:t>Menati Rashno M</w:t>
      </w:r>
      <w:r>
        <w:rPr>
          <w:rFonts w:ascii="Book Antiqua" w:hAnsi="Book Antiqua"/>
        </w:rPr>
        <w:t xml:space="preserve">, Mehraban H, Naji B, Radmehr M. Microbiome in human cancers. </w:t>
      </w:r>
      <w:r>
        <w:rPr>
          <w:rFonts w:ascii="Book Antiqua" w:hAnsi="Book Antiqua"/>
          <w:i/>
          <w:iCs/>
        </w:rPr>
        <w:t>Access Microbiol</w:t>
      </w:r>
      <w:r>
        <w:rPr>
          <w:rFonts w:ascii="Book Antiqua" w:hAnsi="Book Antiqua"/>
        </w:rPr>
        <w:t xml:space="preserve"> 2021; </w:t>
      </w:r>
      <w:r>
        <w:rPr>
          <w:rFonts w:ascii="Book Antiqua" w:hAnsi="Book Antiqua"/>
          <w:b/>
          <w:bCs/>
        </w:rPr>
        <w:t>3</w:t>
      </w:r>
      <w:r>
        <w:rPr>
          <w:rFonts w:ascii="Book Antiqua" w:hAnsi="Book Antiqua"/>
        </w:rPr>
        <w:t>: 000247 [PMID: 34888478 DOI: 10.1099/acmi.0.000247]</w:t>
      </w:r>
    </w:p>
    <w:p>
      <w:pPr>
        <w:spacing w:line="360" w:lineRule="auto"/>
        <w:jc w:val="both"/>
        <w:rPr>
          <w:rFonts w:ascii="Book Antiqua" w:hAnsi="Book Antiqua"/>
        </w:rPr>
      </w:pPr>
      <w:r>
        <w:rPr>
          <w:rFonts w:ascii="Book Antiqua" w:hAnsi="Book Antiqua"/>
        </w:rPr>
        <w:t xml:space="preserve">17 </w:t>
      </w:r>
      <w:r>
        <w:rPr>
          <w:rFonts w:ascii="Book Antiqua" w:hAnsi="Book Antiqua"/>
          <w:b/>
          <w:bCs/>
        </w:rPr>
        <w:t>Cullin N</w:t>
      </w:r>
      <w:r>
        <w:rPr>
          <w:rFonts w:ascii="Book Antiqua" w:hAnsi="Book Antiqua"/>
        </w:rPr>
        <w:t xml:space="preserve">, Azevedo Antunes C, Straussman R, Stein-Thoeringer CK, Elinav E. Microbiome and cancer. </w:t>
      </w:r>
      <w:r>
        <w:rPr>
          <w:rFonts w:ascii="Book Antiqua" w:hAnsi="Book Antiqua"/>
          <w:i/>
          <w:iCs/>
        </w:rPr>
        <w:t>Cancer Cell</w:t>
      </w:r>
      <w:r>
        <w:rPr>
          <w:rFonts w:ascii="Book Antiqua" w:hAnsi="Book Antiqua"/>
        </w:rPr>
        <w:t xml:space="preserve"> 2021; </w:t>
      </w:r>
      <w:r>
        <w:rPr>
          <w:rFonts w:ascii="Book Antiqua" w:hAnsi="Book Antiqua"/>
          <w:b/>
          <w:bCs/>
        </w:rPr>
        <w:t>39</w:t>
      </w:r>
      <w:r>
        <w:rPr>
          <w:rFonts w:ascii="Book Antiqua" w:hAnsi="Book Antiqua"/>
        </w:rPr>
        <w:t>: 1317-1341 [PMID: 34506740 DOI: 10.1016/j.ccell.2021.08.006]</w:t>
      </w:r>
    </w:p>
    <w:p>
      <w:pPr>
        <w:spacing w:line="360" w:lineRule="auto"/>
        <w:jc w:val="both"/>
        <w:rPr>
          <w:rFonts w:ascii="Book Antiqua" w:hAnsi="Book Antiqua"/>
        </w:rPr>
      </w:pPr>
      <w:r>
        <w:rPr>
          <w:rFonts w:ascii="Book Antiqua" w:hAnsi="Book Antiqua"/>
        </w:rPr>
        <w:t xml:space="preserve">18 </w:t>
      </w:r>
      <w:r>
        <w:rPr>
          <w:rFonts w:ascii="Book Antiqua" w:hAnsi="Book Antiqua"/>
          <w:b/>
          <w:bCs/>
        </w:rPr>
        <w:t>Pham F</w:t>
      </w:r>
      <w:r>
        <w:rPr>
          <w:rFonts w:ascii="Book Antiqua" w:hAnsi="Book Antiqua"/>
        </w:rPr>
        <w:t xml:space="preserve">, Moinard-Butot F, Coutzac C, Chaput N. Cancer and immunotherapy: a role for microbiota composition. </w:t>
      </w:r>
      <w:r>
        <w:rPr>
          <w:rFonts w:ascii="Book Antiqua" w:hAnsi="Book Antiqua"/>
          <w:i/>
          <w:iCs/>
        </w:rPr>
        <w:t>Eur J Cancer</w:t>
      </w:r>
      <w:r>
        <w:rPr>
          <w:rFonts w:ascii="Book Antiqua" w:hAnsi="Book Antiqua"/>
        </w:rPr>
        <w:t xml:space="preserve"> 2021; </w:t>
      </w:r>
      <w:r>
        <w:rPr>
          <w:rFonts w:ascii="Book Antiqua" w:hAnsi="Book Antiqua"/>
          <w:b/>
          <w:bCs/>
        </w:rPr>
        <w:t>155</w:t>
      </w:r>
      <w:r>
        <w:rPr>
          <w:rFonts w:ascii="Book Antiqua" w:hAnsi="Book Antiqua"/>
        </w:rPr>
        <w:t>: 145-154 [PMID: 34375896 DOI: 10.1016/j.ejca.2021.06.051]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Mao AW</w:t>
      </w:r>
      <w:r>
        <w:rPr>
          <w:rFonts w:ascii="Book Antiqua" w:hAnsi="Book Antiqua"/>
        </w:rPr>
        <w:t xml:space="preserve">, Barck H, Young J, Paley A, Mao J-, Chang H. Identification of a novel cancer microbiome signature for predicting prognosis of human breast cancer patients. </w:t>
      </w:r>
      <w:r>
        <w:rPr>
          <w:rFonts w:ascii="Book Antiqua" w:hAnsi="Book Antiqua"/>
          <w:i/>
          <w:iCs/>
        </w:rPr>
        <w:t>Clin Transl Oncol</w:t>
      </w:r>
      <w:r>
        <w:rPr>
          <w:rFonts w:ascii="Book Antiqua" w:hAnsi="Book Antiqua"/>
        </w:rPr>
        <w:t xml:space="preserve"> 2022; </w:t>
      </w:r>
      <w:r>
        <w:rPr>
          <w:rFonts w:ascii="Book Antiqua" w:hAnsi="Book Antiqua"/>
          <w:b/>
          <w:bCs/>
        </w:rPr>
        <w:t>24</w:t>
      </w:r>
      <w:r>
        <w:rPr>
          <w:rFonts w:ascii="Book Antiqua" w:hAnsi="Book Antiqua"/>
        </w:rPr>
        <w:t>: 597-604 [PMID: 34741726 DOI: 10.1007/s12094-021-02725-3]</w:t>
      </w:r>
    </w:p>
    <w:p>
      <w:pPr>
        <w:spacing w:line="360" w:lineRule="auto"/>
        <w:jc w:val="both"/>
        <w:rPr>
          <w:rFonts w:ascii="Book Antiqua" w:hAnsi="Book Antiqua"/>
        </w:rPr>
      </w:pPr>
      <w:r>
        <w:rPr>
          <w:rFonts w:ascii="Book Antiqua" w:hAnsi="Book Antiqua"/>
        </w:rPr>
        <w:t xml:space="preserve">20 </w:t>
      </w:r>
      <w:r>
        <w:rPr>
          <w:rFonts w:ascii="Book Antiqua" w:hAnsi="Book Antiqua"/>
          <w:b/>
          <w:bCs/>
        </w:rPr>
        <w:t>Boehm KM</w:t>
      </w:r>
      <w:r>
        <w:rPr>
          <w:rFonts w:ascii="Book Antiqua" w:hAnsi="Book Antiqua"/>
        </w:rPr>
        <w:t xml:space="preserve">, Khosravi P, Vanguri R, Gao J, Shah SP. Harnessing multimodal data integration to advance precision oncology. </w:t>
      </w:r>
      <w:r>
        <w:rPr>
          <w:rFonts w:ascii="Book Antiqua" w:hAnsi="Book Antiqua"/>
          <w:i/>
          <w:iCs/>
        </w:rPr>
        <w:t>Nat Rev Cancer</w:t>
      </w:r>
      <w:r>
        <w:rPr>
          <w:rFonts w:ascii="Book Antiqua" w:hAnsi="Book Antiqua"/>
        </w:rPr>
        <w:t xml:space="preserve"> 2022; </w:t>
      </w:r>
      <w:r>
        <w:rPr>
          <w:rFonts w:ascii="Book Antiqua" w:hAnsi="Book Antiqua"/>
          <w:b/>
          <w:bCs/>
        </w:rPr>
        <w:t>22</w:t>
      </w:r>
      <w:r>
        <w:rPr>
          <w:rFonts w:ascii="Book Antiqua" w:hAnsi="Book Antiqua"/>
        </w:rPr>
        <w:t>: 114-126 [PMID: 34663944 DOI: 10.1038/s41568-021-00408-3]</w:t>
      </w:r>
    </w:p>
    <w:p>
      <w:pPr>
        <w:spacing w:line="360" w:lineRule="auto"/>
        <w:jc w:val="both"/>
        <w:rPr>
          <w:rFonts w:ascii="Book Antiqua" w:hAnsi="Book Antiqua"/>
        </w:rPr>
      </w:pPr>
      <w:r>
        <w:rPr>
          <w:rFonts w:ascii="Book Antiqua" w:hAnsi="Book Antiqua"/>
        </w:rPr>
        <w:t xml:space="preserve">21 </w:t>
      </w:r>
      <w:r>
        <w:rPr>
          <w:rFonts w:ascii="Book Antiqua" w:hAnsi="Book Antiqua"/>
          <w:b/>
          <w:bCs/>
        </w:rPr>
        <w:t>Mao XY</w:t>
      </w:r>
      <w:r>
        <w:rPr>
          <w:rFonts w:ascii="Book Antiqua" w:hAnsi="Book Antiqua"/>
        </w:rPr>
        <w:t xml:space="preserve">, Lee MJ, Zhu J, Zhu C, Law SM, Snijders AM. Genome-wide screen identifies a novel prognostic signature for breast cancer survival.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14003-14016 [PMID: 28122328 DOI: 10.18632/oncotarget.14776]</w:t>
      </w:r>
    </w:p>
    <w:p>
      <w:pPr>
        <w:spacing w:line="360" w:lineRule="auto"/>
        <w:jc w:val="both"/>
        <w:rPr>
          <w:rFonts w:ascii="Book Antiqua" w:hAnsi="Book Antiqua"/>
        </w:rPr>
      </w:pPr>
      <w:r>
        <w:rPr>
          <w:rFonts w:ascii="Book Antiqua" w:hAnsi="Book Antiqua"/>
        </w:rPr>
        <w:t xml:space="preserve">22 </w:t>
      </w:r>
      <w:r>
        <w:rPr>
          <w:rFonts w:ascii="Book Antiqua" w:hAnsi="Book Antiqua"/>
          <w:b/>
          <w:bCs/>
        </w:rPr>
        <w:t>Cerami E</w:t>
      </w:r>
      <w:r>
        <w:rPr>
          <w:rFonts w:ascii="Book Antiqua" w:hAnsi="Book Antiqua"/>
        </w:rPr>
        <w:t xml:space="preserve">, Gao J, Dogrusoz U, Gross BE, Sumer SO, Aksoy BA, Jacobsen A, Byrne CJ, Heuer ML, Larsson E, Antipin Y, Reva B, Goldberg AP, Sander C, Schultz N. The cBio cancer genomics portal: an open platform for exploring multidimensional cancer genomics data. </w:t>
      </w:r>
      <w:r>
        <w:rPr>
          <w:rFonts w:ascii="Book Antiqua" w:hAnsi="Book Antiqua"/>
          <w:i/>
          <w:iCs/>
        </w:rPr>
        <w:t>Cancer Discov</w:t>
      </w:r>
      <w:r>
        <w:rPr>
          <w:rFonts w:ascii="Book Antiqua" w:hAnsi="Book Antiqua"/>
        </w:rPr>
        <w:t xml:space="preserve"> 2012; </w:t>
      </w:r>
      <w:r>
        <w:rPr>
          <w:rFonts w:ascii="Book Antiqua" w:hAnsi="Book Antiqua"/>
          <w:b/>
          <w:bCs/>
        </w:rPr>
        <w:t>2</w:t>
      </w:r>
      <w:r>
        <w:rPr>
          <w:rFonts w:ascii="Book Antiqua" w:hAnsi="Book Antiqua"/>
        </w:rPr>
        <w:t>: 401-404 [PMID: 22588877 DOI: 10.1158/2159-8290.CD-12-0095]</w:t>
      </w:r>
    </w:p>
    <w:p>
      <w:pPr>
        <w:spacing w:line="360" w:lineRule="auto"/>
        <w:jc w:val="both"/>
        <w:rPr>
          <w:rFonts w:ascii="Book Antiqua" w:hAnsi="Book Antiqua"/>
        </w:rPr>
      </w:pPr>
      <w:r>
        <w:rPr>
          <w:rFonts w:ascii="Book Antiqua" w:hAnsi="Book Antiqua"/>
        </w:rPr>
        <w:t xml:space="preserve">23 </w:t>
      </w:r>
      <w:r>
        <w:rPr>
          <w:rFonts w:ascii="Book Antiqua" w:hAnsi="Book Antiqua"/>
          <w:b/>
          <w:bCs/>
        </w:rPr>
        <w:t>Gao J</w:t>
      </w:r>
      <w:r>
        <w:rPr>
          <w:rFonts w:ascii="Book Antiqua" w:hAnsi="Book Antiqua"/>
        </w:rPr>
        <w:t xml:space="preserve">, Aksoy BA, Dogrusoz U, Dresdner G, Gross B, Sumer SO, Sun Y, Jacobsen A, Sinha R, Larsson E, Cerami E, Sander C, Schultz N. Integrative analysis of complex cancer genomics and clinical profiles using the cBioPortal. </w:t>
      </w:r>
      <w:r>
        <w:rPr>
          <w:rFonts w:ascii="Book Antiqua" w:hAnsi="Book Antiqua"/>
          <w:i/>
          <w:iCs/>
        </w:rPr>
        <w:t>Sci Signal</w:t>
      </w:r>
      <w:r>
        <w:rPr>
          <w:rFonts w:ascii="Book Antiqua" w:hAnsi="Book Antiqua"/>
        </w:rPr>
        <w:t xml:space="preserve"> 2013; </w:t>
      </w:r>
      <w:r>
        <w:rPr>
          <w:rFonts w:ascii="Book Antiqua" w:hAnsi="Book Antiqua"/>
          <w:b/>
          <w:bCs/>
        </w:rPr>
        <w:t>6</w:t>
      </w:r>
      <w:r>
        <w:rPr>
          <w:rFonts w:ascii="Book Antiqua" w:hAnsi="Book Antiqua"/>
        </w:rPr>
        <w:t>: pl1 [PMID: 23550210 DOI: 10.1126/scisignal.2004088]</w:t>
      </w:r>
    </w:p>
    <w:p>
      <w:pPr>
        <w:spacing w:line="360" w:lineRule="auto"/>
        <w:jc w:val="both"/>
        <w:rPr>
          <w:rFonts w:ascii="Book Antiqua" w:hAnsi="Book Antiqua"/>
        </w:rPr>
      </w:pPr>
      <w:r>
        <w:rPr>
          <w:rFonts w:ascii="Book Antiqua" w:hAnsi="Book Antiqua"/>
        </w:rPr>
        <w:t xml:space="preserve">24 </w:t>
      </w:r>
      <w:r>
        <w:rPr>
          <w:rFonts w:ascii="Book Antiqua" w:hAnsi="Book Antiqua"/>
          <w:b/>
          <w:bCs/>
        </w:rPr>
        <w:t>Chang H</w:t>
      </w:r>
      <w:r>
        <w:rPr>
          <w:rFonts w:ascii="Book Antiqua" w:hAnsi="Book Antiqua"/>
        </w:rPr>
        <w:t xml:space="preserve">, Zhou Y, Borowsky A, Barner K, Spellman P, Parvin B. Stacked Predictive Sparse Decomposition for Classification of Histology Sections. </w:t>
      </w:r>
      <w:r>
        <w:rPr>
          <w:rFonts w:ascii="Book Antiqua" w:hAnsi="Book Antiqua"/>
          <w:i/>
          <w:iCs/>
        </w:rPr>
        <w:t>Int J Comput Vis</w:t>
      </w:r>
      <w:r>
        <w:rPr>
          <w:rFonts w:ascii="Book Antiqua" w:hAnsi="Book Antiqua"/>
        </w:rPr>
        <w:t xml:space="preserve"> 2015; </w:t>
      </w:r>
      <w:r>
        <w:rPr>
          <w:rFonts w:ascii="Book Antiqua" w:hAnsi="Book Antiqua"/>
          <w:b/>
          <w:bCs/>
        </w:rPr>
        <w:t>113</w:t>
      </w:r>
      <w:r>
        <w:rPr>
          <w:rFonts w:ascii="Book Antiqua" w:hAnsi="Book Antiqua"/>
        </w:rPr>
        <w:t>: 3-18 [PMID: 27721567 DOI: 10.1007/s11263-014-0790-9]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Yan H,</w:t>
      </w:r>
      <w:r>
        <w:rPr>
          <w:rFonts w:ascii="Book Antiqua" w:hAnsi="Book Antiqua"/>
        </w:rPr>
        <w:t xml:space="preserve"> Mao X, Yang X, Xia Y, Wang C, Wang J, Xia R, Xu X, Wang Z, Li Z. Development and Validation of an Unsupervised Feature Learning System for Leukocyte Characterization and Classification: A Multi-Hospital Study. </w:t>
      </w:r>
      <w:r>
        <w:rPr>
          <w:rFonts w:ascii="Book Antiqua" w:hAnsi="Book Antiqua"/>
          <w:i/>
        </w:rPr>
        <w:t>Int J Comput Vision</w:t>
      </w:r>
      <w:r>
        <w:rPr>
          <w:rFonts w:ascii="Book Antiqua" w:hAnsi="Book Antiqua"/>
        </w:rPr>
        <w:t xml:space="preserve"> 2021; </w:t>
      </w:r>
      <w:r>
        <w:rPr>
          <w:rFonts w:ascii="Book Antiqua" w:hAnsi="Book Antiqua"/>
          <w:b/>
        </w:rPr>
        <w:t>129:</w:t>
      </w:r>
      <w:r>
        <w:rPr>
          <w:rFonts w:ascii="Book Antiqua" w:hAnsi="Book Antiqua"/>
        </w:rPr>
        <w:t xml:space="preserve"> 1837-1856 [</w:t>
      </w:r>
      <w:r>
        <w:rPr>
          <w:rFonts w:ascii="Book Antiqua" w:hAnsi="Book Antiqua"/>
          <w:color w:val="4D5156"/>
          <w:shd w:val="clear" w:color="auto" w:fill="FFFFFF"/>
        </w:rPr>
        <w:t xml:space="preserve">DOI: </w:t>
      </w:r>
      <w:r>
        <w:rPr>
          <w:rStyle w:val="10"/>
          <w:rFonts w:ascii="Book Antiqua" w:hAnsi="Book Antiqua"/>
          <w:i w:val="0"/>
          <w:iCs w:val="0"/>
          <w:color w:val="000000" w:themeColor="text1"/>
          <w:shd w:val="clear" w:color="auto" w:fill="FFFFFF"/>
          <w14:textFill>
            <w14:solidFill>
              <w14:schemeClr w14:val="tx1"/>
            </w14:solidFill>
          </w14:textFill>
        </w:rPr>
        <w:t>10.1007</w:t>
      </w:r>
      <w:r>
        <w:rPr>
          <w:rFonts w:ascii="Book Antiqua" w:hAnsi="Book Antiqua"/>
          <w:color w:val="000000" w:themeColor="text1"/>
          <w:shd w:val="clear" w:color="auto" w:fill="FFFFFF"/>
          <w14:textFill>
            <w14:solidFill>
              <w14:schemeClr w14:val="tx1"/>
            </w14:solidFill>
          </w14:textFill>
        </w:rPr>
        <w:t>/</w:t>
      </w:r>
      <w:r>
        <w:rPr>
          <w:rStyle w:val="10"/>
          <w:rFonts w:ascii="Book Antiqua" w:hAnsi="Book Antiqua"/>
          <w:i w:val="0"/>
          <w:iCs w:val="0"/>
          <w:color w:val="000000" w:themeColor="text1"/>
          <w:shd w:val="clear" w:color="auto" w:fill="FFFFFF"/>
          <w14:textFill>
            <w14:solidFill>
              <w14:schemeClr w14:val="tx1"/>
            </w14:solidFill>
          </w14:textFill>
        </w:rPr>
        <w:t>s11263</w:t>
      </w:r>
      <w:r>
        <w:rPr>
          <w:rFonts w:ascii="Book Antiqua" w:hAnsi="Book Antiqua"/>
          <w:color w:val="000000" w:themeColor="text1"/>
          <w:shd w:val="clear" w:color="auto" w:fill="FFFFFF"/>
          <w14:textFill>
            <w14:solidFill>
              <w14:schemeClr w14:val="tx1"/>
            </w14:solidFill>
          </w14:textFill>
        </w:rPr>
        <w:t>-</w:t>
      </w:r>
      <w:r>
        <w:rPr>
          <w:rStyle w:val="10"/>
          <w:rFonts w:ascii="Book Antiqua" w:hAnsi="Book Antiqua"/>
          <w:i w:val="0"/>
          <w:iCs w:val="0"/>
          <w:color w:val="000000" w:themeColor="text1"/>
          <w:shd w:val="clear" w:color="auto" w:fill="FFFFFF"/>
          <w14:textFill>
            <w14:solidFill>
              <w14:schemeClr w14:val="tx1"/>
            </w14:solidFill>
          </w14:textFill>
        </w:rPr>
        <w:t>021-01449-9</w:t>
      </w:r>
      <w:r>
        <w:rPr>
          <w:rFonts w:ascii="Book Antiqua" w:hAnsi="Book Antiqua"/>
        </w:rPr>
        <w:t>]</w:t>
      </w:r>
    </w:p>
    <w:p>
      <w:pPr>
        <w:spacing w:line="360" w:lineRule="auto"/>
        <w:jc w:val="both"/>
        <w:rPr>
          <w:rFonts w:ascii="Book Antiqua" w:hAnsi="Book Antiqua"/>
        </w:rPr>
      </w:pPr>
      <w:r>
        <w:rPr>
          <w:rFonts w:ascii="Book Antiqua" w:hAnsi="Book Antiqua"/>
        </w:rPr>
        <w:t xml:space="preserve">26 </w:t>
      </w:r>
      <w:r>
        <w:rPr>
          <w:rFonts w:ascii="Book Antiqua" w:hAnsi="Book Antiqua"/>
          <w:b/>
          <w:bCs/>
        </w:rPr>
        <w:t>Xia Y</w:t>
      </w:r>
      <w:r>
        <w:rPr>
          <w:rFonts w:ascii="Book Antiqua" w:hAnsi="Book Antiqua"/>
        </w:rPr>
        <w:t xml:space="preserve">, Ji Z, Krylov A, Chang H, Cai W. Machine Learning in Multimodal Medical Imaging. </w:t>
      </w:r>
      <w:r>
        <w:rPr>
          <w:rFonts w:ascii="Book Antiqua" w:hAnsi="Book Antiqua"/>
          <w:i/>
          <w:iCs/>
        </w:rPr>
        <w:t>Biomed Res Int</w:t>
      </w:r>
      <w:r>
        <w:rPr>
          <w:rFonts w:ascii="Book Antiqua" w:hAnsi="Book Antiqua"/>
        </w:rPr>
        <w:t xml:space="preserve"> 2017; </w:t>
      </w:r>
      <w:r>
        <w:rPr>
          <w:rFonts w:ascii="Book Antiqua" w:hAnsi="Book Antiqua"/>
          <w:b/>
          <w:bCs/>
        </w:rPr>
        <w:t>2017</w:t>
      </w:r>
      <w:r>
        <w:rPr>
          <w:rFonts w:ascii="Book Antiqua" w:hAnsi="Book Antiqua"/>
        </w:rPr>
        <w:t>: 1278329 [PMID: 28357398 DOI: 10.1155/2017/1278329]</w:t>
      </w:r>
    </w:p>
    <w:p>
      <w:pPr>
        <w:spacing w:line="360" w:lineRule="auto"/>
        <w:jc w:val="both"/>
        <w:rPr>
          <w:rFonts w:ascii="Book Antiqua" w:hAnsi="Book Antiqua"/>
        </w:rPr>
      </w:pPr>
      <w:r>
        <w:rPr>
          <w:rFonts w:ascii="Book Antiqua" w:hAnsi="Book Antiqua"/>
        </w:rPr>
        <w:t xml:space="preserve">27 </w:t>
      </w:r>
      <w:r>
        <w:rPr>
          <w:rFonts w:ascii="Book Antiqua" w:hAnsi="Book Antiqua"/>
          <w:b/>
        </w:rPr>
        <w:t>Xu Y.</w:t>
      </w:r>
      <w:r>
        <w:rPr>
          <w:rFonts w:ascii="Book Antiqua" w:hAnsi="Book Antiqua"/>
        </w:rPr>
        <w:t xml:space="preserve"> Deep Learning in Multimodal Medical Image Analysis. In: Health Information Science: 2019// 2019; Cham: Springer International Publishing; 2019: 193-200. [DOI: 10.1007/978-3-030-32962-4_18]</w:t>
      </w:r>
    </w:p>
    <w:p>
      <w:pPr>
        <w:spacing w:line="360" w:lineRule="auto"/>
        <w:jc w:val="both"/>
        <w:rPr>
          <w:rFonts w:ascii="Book Antiqua" w:hAnsi="Book Antiqua"/>
        </w:rPr>
      </w:pPr>
      <w:r>
        <w:rPr>
          <w:rFonts w:ascii="Book Antiqua" w:hAnsi="Book Antiqua"/>
        </w:rPr>
        <w:t xml:space="preserve">28 </w:t>
      </w:r>
      <w:r>
        <w:rPr>
          <w:rFonts w:ascii="Book Antiqua" w:hAnsi="Book Antiqua"/>
          <w:b/>
          <w:bCs/>
        </w:rPr>
        <w:t>Tran KA</w:t>
      </w:r>
      <w:r>
        <w:rPr>
          <w:rFonts w:ascii="Book Antiqua" w:hAnsi="Book Antiqua"/>
        </w:rPr>
        <w:t xml:space="preserve">, Kondrashova O, Bradley A, Williams ED, Pearson JV, Waddell N. Deep learning in cancer diagnosis, prognosis and treatment selection. </w:t>
      </w:r>
      <w:r>
        <w:rPr>
          <w:rFonts w:ascii="Book Antiqua" w:hAnsi="Book Antiqua"/>
          <w:i/>
          <w:iCs/>
        </w:rPr>
        <w:t>Genome Med</w:t>
      </w:r>
      <w:r>
        <w:rPr>
          <w:rFonts w:ascii="Book Antiqua" w:hAnsi="Book Antiqua"/>
        </w:rPr>
        <w:t xml:space="preserve"> 2021; </w:t>
      </w:r>
      <w:r>
        <w:rPr>
          <w:rFonts w:ascii="Book Antiqua" w:hAnsi="Book Antiqua"/>
          <w:b/>
          <w:bCs/>
        </w:rPr>
        <w:t>13</w:t>
      </w:r>
      <w:r>
        <w:rPr>
          <w:rFonts w:ascii="Book Antiqua" w:hAnsi="Book Antiqua"/>
        </w:rPr>
        <w:t>: 152 [PMID: 34579788 DOI: 10.1186/s13073-021-00968-x]</w:t>
      </w:r>
    </w:p>
    <w:p>
      <w:pPr>
        <w:spacing w:line="360" w:lineRule="auto"/>
        <w:jc w:val="both"/>
        <w:rPr>
          <w:rFonts w:ascii="Book Antiqua" w:hAnsi="Book Antiqua"/>
        </w:rPr>
      </w:pPr>
      <w:r>
        <w:rPr>
          <w:rFonts w:ascii="Book Antiqua" w:hAnsi="Book Antiqua"/>
        </w:rPr>
        <w:t xml:space="preserve">29 </w:t>
      </w:r>
      <w:r>
        <w:rPr>
          <w:rFonts w:ascii="Book Antiqua" w:hAnsi="Book Antiqua"/>
          <w:b/>
          <w:bCs/>
        </w:rPr>
        <w:t>Mobadersany P,</w:t>
      </w:r>
      <w:r>
        <w:rPr>
          <w:rFonts w:ascii="Book Antiqua" w:hAnsi="Book Antiqua"/>
        </w:rPr>
        <w:t xml:space="preserve"> Yousefi S, Amgad M, Gutman DA, Barnholtz-Sloan JS, Velázquez Vega JE, Brat DJ, Cooper LAD: Predicting cancer outcomes from histology and genomics using convolutional networks. </w:t>
      </w:r>
      <w:r>
        <w:rPr>
          <w:rFonts w:ascii="Book Antiqua" w:hAnsi="Book Antiqua"/>
          <w:i/>
        </w:rPr>
        <w:t>Proc Natl Acad Sci</w:t>
      </w:r>
      <w:r>
        <w:rPr>
          <w:rFonts w:ascii="Book Antiqua" w:hAnsi="Book Antiqua"/>
        </w:rPr>
        <w:t xml:space="preserve"> 2018; </w:t>
      </w:r>
      <w:r>
        <w:rPr>
          <w:rFonts w:ascii="Book Antiqua" w:hAnsi="Book Antiqua"/>
          <w:b/>
        </w:rPr>
        <w:t>115:</w:t>
      </w:r>
      <w:r>
        <w:rPr>
          <w:rFonts w:ascii="Book Antiqua" w:hAnsi="Book Antiqua"/>
        </w:rPr>
        <w:t xml:space="preserve"> E2970 [DOI: 10.1101/198010]</w:t>
      </w:r>
      <w:r>
        <w:t xml:space="preserve"> </w:t>
      </w:r>
    </w:p>
    <w:p>
      <w:pPr>
        <w:spacing w:line="360" w:lineRule="auto"/>
        <w:jc w:val="both"/>
        <w:rPr>
          <w:rFonts w:ascii="Book Antiqua" w:hAnsi="Book Antiqua"/>
        </w:rPr>
      </w:pPr>
      <w:r>
        <w:rPr>
          <w:rFonts w:ascii="Book Antiqua" w:hAnsi="Book Antiqua"/>
        </w:rPr>
        <w:t xml:space="preserve">30 </w:t>
      </w:r>
      <w:r>
        <w:rPr>
          <w:rFonts w:ascii="Book Antiqua" w:hAnsi="Book Antiqua"/>
          <w:b/>
          <w:bCs/>
        </w:rPr>
        <w:t>Chaudhary K</w:t>
      </w:r>
      <w:r>
        <w:rPr>
          <w:rFonts w:ascii="Book Antiqua" w:hAnsi="Book Antiqua"/>
        </w:rPr>
        <w:t xml:space="preserve">, Poirion OB, Lu L, Garmire LX. Deep Learning-Based Multi-Omics Integration Robustly Predicts Survival in Liver Cancer. </w:t>
      </w:r>
      <w:r>
        <w:rPr>
          <w:rFonts w:ascii="Book Antiqua" w:hAnsi="Book Antiqua"/>
          <w:i/>
          <w:iCs/>
        </w:rPr>
        <w:t>Clin Cancer Res</w:t>
      </w:r>
      <w:r>
        <w:rPr>
          <w:rFonts w:ascii="Book Antiqua" w:hAnsi="Book Antiqua"/>
        </w:rPr>
        <w:t xml:space="preserve"> 2018; </w:t>
      </w:r>
      <w:r>
        <w:rPr>
          <w:rFonts w:ascii="Book Antiqua" w:hAnsi="Book Antiqua"/>
          <w:b/>
          <w:bCs/>
        </w:rPr>
        <w:t>24</w:t>
      </w:r>
      <w:r>
        <w:rPr>
          <w:rFonts w:ascii="Book Antiqua" w:hAnsi="Book Antiqua"/>
        </w:rPr>
        <w:t>: 1248-1259 [PMID: 28982688 DOI: 10.1158/1078-0432.CCR-17-0853]</w:t>
      </w:r>
    </w:p>
    <w:p>
      <w:pPr>
        <w:spacing w:line="360" w:lineRule="auto"/>
        <w:jc w:val="both"/>
        <w:rPr>
          <w:rFonts w:ascii="Book Antiqua" w:hAnsi="Book Antiqua"/>
        </w:rPr>
      </w:pPr>
      <w:r>
        <w:rPr>
          <w:rFonts w:ascii="Book Antiqua" w:hAnsi="Book Antiqua"/>
        </w:rPr>
        <w:t xml:space="preserve">31 </w:t>
      </w:r>
      <w:r>
        <w:rPr>
          <w:rFonts w:ascii="Book Antiqua" w:hAnsi="Book Antiqua"/>
          <w:b/>
          <w:bCs/>
        </w:rPr>
        <w:t>Chang H</w:t>
      </w:r>
      <w:r>
        <w:rPr>
          <w:rFonts w:ascii="Book Antiqua" w:hAnsi="Book Antiqua"/>
        </w:rPr>
        <w:t xml:space="preserve">, Fontenay GV, Han J, Cong G, Baehner FL, Gray JW, Spellman PT, Parvin B. Morphometic analysis of TCGA glioblastoma multiforme. </w:t>
      </w:r>
      <w:r>
        <w:rPr>
          <w:rFonts w:ascii="Book Antiqua" w:hAnsi="Book Antiqua"/>
          <w:i/>
          <w:iCs/>
        </w:rPr>
        <w:t>BMC Bioinformatics</w:t>
      </w:r>
      <w:r>
        <w:rPr>
          <w:rFonts w:ascii="Book Antiqua" w:hAnsi="Book Antiqua"/>
        </w:rPr>
        <w:t xml:space="preserve"> 2011; </w:t>
      </w:r>
      <w:r>
        <w:rPr>
          <w:rFonts w:ascii="Book Antiqua" w:hAnsi="Book Antiqua"/>
          <w:b/>
          <w:bCs/>
        </w:rPr>
        <w:t>12</w:t>
      </w:r>
      <w:r>
        <w:rPr>
          <w:rFonts w:ascii="Book Antiqua" w:hAnsi="Book Antiqua"/>
        </w:rPr>
        <w:t>: 484 [PMID: 22185703 DOI: 10.1186/1471-2105-12-484]</w:t>
      </w:r>
    </w:p>
    <w:p>
      <w:pPr>
        <w:spacing w:line="360" w:lineRule="auto"/>
        <w:jc w:val="both"/>
        <w:rPr>
          <w:rFonts w:ascii="Book Antiqua" w:hAnsi="Book Antiqua"/>
        </w:rPr>
      </w:pPr>
      <w:r>
        <w:rPr>
          <w:rFonts w:ascii="Book Antiqua" w:hAnsi="Book Antiqua"/>
        </w:rPr>
        <w:t xml:space="preserve">32 </w:t>
      </w:r>
      <w:r>
        <w:rPr>
          <w:rFonts w:ascii="Book Antiqua" w:hAnsi="Book Antiqua"/>
          <w:b/>
          <w:bCs/>
        </w:rPr>
        <w:t>Cheng J</w:t>
      </w:r>
      <w:r>
        <w:rPr>
          <w:rFonts w:ascii="Book Antiqua" w:hAnsi="Book Antiqua"/>
        </w:rPr>
        <w:t xml:space="preserve">, Zhang J, Han Y, Wang X, Ye X, Meng Y, Parwani A, Han Z, Feng Q, Huang K. Integrative Analysis of Histopathological Images and Genomic Data Predicts Clear Cell Renal Cell Carcinoma Prognosis. </w:t>
      </w:r>
      <w:r>
        <w:rPr>
          <w:rFonts w:ascii="Book Antiqua" w:hAnsi="Book Antiqua"/>
          <w:i/>
          <w:iCs/>
        </w:rPr>
        <w:t>Cancer Res</w:t>
      </w:r>
      <w:r>
        <w:rPr>
          <w:rFonts w:ascii="Book Antiqua" w:hAnsi="Book Antiqua"/>
        </w:rPr>
        <w:t xml:space="preserve"> 2017; </w:t>
      </w:r>
      <w:r>
        <w:rPr>
          <w:rFonts w:ascii="Book Antiqua" w:hAnsi="Book Antiqua"/>
          <w:b/>
          <w:bCs/>
        </w:rPr>
        <w:t>77</w:t>
      </w:r>
      <w:r>
        <w:rPr>
          <w:rFonts w:ascii="Book Antiqua" w:hAnsi="Book Antiqua"/>
        </w:rPr>
        <w:t>: e91-e100 [PMID: 29092949 DOI: 10.1158/0008-5472.CAN-17-0313]</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 xml:space="preserve">There was no requirement for ethical approval by Institutional Review Board since this study only involves data from public databases. The authors are responsible for the accuracy or integrity of any aspects of this study.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color w:val="000000"/>
        </w:rPr>
        <w:t>Informed consent statement</w:t>
      </w:r>
      <w:r>
        <w:rPr>
          <w:rFonts w:ascii="Book Antiqua" w:hAnsi="Book Antiqua"/>
          <w:b/>
          <w:bCs/>
          <w:iCs/>
          <w:color w:val="000000"/>
          <w:lang w:eastAsia="zh-CN"/>
        </w:rPr>
        <w:t>:</w:t>
      </w:r>
      <w:r>
        <w:rPr>
          <w:rFonts w:ascii="Book Antiqua" w:hAnsi="Book Antiqua"/>
          <w:lang w:val="en-GB"/>
        </w:rPr>
        <w:t xml:space="preserve"> </w:t>
      </w:r>
      <w:r>
        <w:rPr>
          <w:rFonts w:ascii="Book Antiqua" w:hAnsi="Book Antiqua"/>
        </w:rPr>
        <w:t>The data used in this study are from the public databases. Therefore, the informed consent is not applicable.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bCs/>
          <w:color w:val="000000"/>
        </w:rPr>
        <w:t xml:space="preserve">All </w:t>
      </w:r>
      <w:r>
        <w:rPr>
          <w:rFonts w:ascii="Book Antiqua" w:hAnsi="Book Antiqua" w:eastAsia="Book Antiqua" w:cs="Book Antiqua"/>
          <w:color w:val="000000"/>
        </w:rPr>
        <w:t>the authors declare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All data used in the study were downloaded from a publicly available source (GDCportal and cBioPortal).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STROBE statement: </w:t>
      </w:r>
      <w:r>
        <w:rPr>
          <w:rFonts w:ascii="Book Antiqua" w:hAnsi="Book Antiqua" w:eastAsia="Book Antiqua" w:cs="Book Antiqua"/>
          <w:color w:val="000000"/>
        </w:rPr>
        <w:t>All the authors have read the STROBE Statement—checklist of items, and the manuscript was prepared and revised according to the STROBE Statement—checklist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9,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13,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June 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Hou L, China; Lu H, China</w:t>
      </w:r>
      <w:r>
        <w:rPr>
          <w:rFonts w:ascii="Book Antiqua" w:hAnsi="Book Antiqua" w:eastAsia="Book Antiqua" w:cs="Book Antiqua"/>
          <w:b/>
          <w:color w:val="000000"/>
        </w:rPr>
        <w:t xml:space="preserve"> A-Editor: </w:t>
      </w:r>
      <w:r>
        <w:rPr>
          <w:rFonts w:ascii="Book Antiqua" w:hAnsi="Book Antiqua" w:eastAsia="Book Antiqua" w:cs="Book Antiqua"/>
          <w:color w:val="000000"/>
        </w:rPr>
        <w:t>Liu X,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Wu RR</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5872480" cy="4400550"/>
            <wp:effectExtent l="0" t="0" r="10160" b="3810"/>
            <wp:docPr id="3" name="图片 3" descr="WJCO-13-61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O-13-616-g001"/>
                    <pic:cNvPicPr>
                      <a:picLocks noChangeAspect="1"/>
                    </pic:cNvPicPr>
                  </pic:nvPicPr>
                  <pic:blipFill>
                    <a:blip r:embed="rId11"/>
                    <a:stretch>
                      <a:fillRect/>
                    </a:stretch>
                  </pic:blipFill>
                  <pic:spPr>
                    <a:xfrm>
                      <a:off x="0" y="0"/>
                      <a:ext cx="5872480" cy="440055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1 A schematic illustration for the study design. </w:t>
      </w:r>
      <w:r>
        <w:rPr>
          <w:rFonts w:ascii="Book Antiqua" w:hAnsi="Book Antiqua" w:eastAsia="Book Antiqua" w:cs="Book Antiqua"/>
          <w:color w:val="000000"/>
        </w:rPr>
        <w:t>Using an advanced unsupervised representation learning neural network</w:t>
      </w:r>
      <w:r>
        <w:rPr>
          <w:rFonts w:ascii="Book Antiqua" w:hAnsi="Book Antiqua" w:eastAsia="Book Antiqua" w:cs="Book Antiqua"/>
          <w:b/>
          <w:bCs/>
          <w:color w:val="000000"/>
        </w:rPr>
        <w:t xml:space="preserve">, </w:t>
      </w:r>
      <w:r>
        <w:rPr>
          <w:rFonts w:ascii="Book Antiqua" w:hAnsi="Book Antiqua" w:eastAsia="Book Antiqua" w:cs="Book Antiqua"/>
          <w:color w:val="000000"/>
        </w:rPr>
        <w:t>iCEMIGE</w:t>
      </w:r>
      <w:r>
        <w:rPr>
          <w:rFonts w:ascii="Book Antiqua" w:hAnsi="Book Antiqua" w:eastAsia="Book Antiqua" w:cs="Book Antiqua"/>
          <w:b/>
          <w:bCs/>
          <w:color w:val="000000"/>
        </w:rPr>
        <w:t xml:space="preserve"> </w:t>
      </w:r>
      <w:r>
        <w:rPr>
          <w:rFonts w:ascii="Book Antiqua" w:hAnsi="Book Antiqua" w:eastAsia="Book Antiqua" w:cs="Book Antiqua"/>
          <w:color w:val="000000"/>
        </w:rPr>
        <w:t>realizes efficient and effective multi-modal biomarker mining and extraction, ensuring the optimal integration of reconstructable individual biomarkers.</w:t>
      </w:r>
    </w:p>
    <w:p>
      <w:pPr>
        <w:spacing w:line="360" w:lineRule="auto"/>
        <w:jc w:val="both"/>
        <w:rPr>
          <w:rFonts w:ascii="Book Antiqua" w:hAnsi="Book Antiqua"/>
        </w:rPr>
      </w:pPr>
      <w:r>
        <w:rPr>
          <w:rFonts w:ascii="Book Antiqua" w:hAnsi="Book Antiqua"/>
        </w:rPr>
        <w:drawing>
          <wp:inline distT="0" distB="0" distL="114300" distR="114300">
            <wp:extent cx="5942965" cy="6302375"/>
            <wp:effectExtent l="0" t="0" r="635" b="6985"/>
            <wp:docPr id="4" name="图片 4" descr="WJCO-13-61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O-13-616-g002"/>
                    <pic:cNvPicPr>
                      <a:picLocks noChangeAspect="1"/>
                    </pic:cNvPicPr>
                  </pic:nvPicPr>
                  <pic:blipFill>
                    <a:blip r:embed="rId12"/>
                    <a:stretch>
                      <a:fillRect/>
                    </a:stretch>
                  </pic:blipFill>
                  <pic:spPr>
                    <a:xfrm>
                      <a:off x="0" y="0"/>
                      <a:ext cx="5942965" cy="630237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 Prognostic value of the cellular morphometric biomarker signature.</w:t>
      </w:r>
      <w:r>
        <w:rPr>
          <w:rFonts w:ascii="Book Antiqua" w:hAnsi="Book Antiqua" w:eastAsia="Book Antiqua" w:cs="Book Antiqua"/>
          <w:color w:val="000000"/>
        </w:rPr>
        <w:t xml:space="preserve"> </w:t>
      </w:r>
      <w:r>
        <w:rPr>
          <w:rFonts w:ascii="Book Antiqua" w:hAnsi="Book Antiqua" w:eastAsia="Book Antiqua" w:cs="Book Antiqua"/>
          <w:bCs/>
          <w:color w:val="000000"/>
        </w:rPr>
        <w:t>A:</w:t>
      </w:r>
      <w:r>
        <w:rPr>
          <w:rFonts w:ascii="Book Antiqua" w:hAnsi="Book Antiqua" w:eastAsia="Book Antiqua" w:cs="Book Antiqua"/>
          <w:color w:val="000000"/>
        </w:rPr>
        <w:t xml:space="preserve"> Multivariate Cox regression analysis with the hazard ratio (HR) represented as a forest plot for cellular morphometric biomarkers; </w:t>
      </w:r>
      <w:r>
        <w:rPr>
          <w:rFonts w:ascii="Book Antiqua" w:hAnsi="Book Antiqua" w:eastAsia="Book Antiqua" w:cs="Book Antiqua"/>
          <w:bCs/>
          <w:color w:val="000000"/>
        </w:rPr>
        <w:t>B:</w:t>
      </w:r>
      <w:r>
        <w:rPr>
          <w:rFonts w:ascii="Book Antiqua" w:hAnsi="Book Antiqua" w:eastAsia="Book Antiqua" w:cs="Book Antiqua"/>
          <w:color w:val="000000"/>
        </w:rPr>
        <w:t xml:space="preserve"> Kaplan-Meier curves on </w:t>
      </w:r>
      <w:r>
        <w:rPr>
          <w:rFonts w:ascii="Book Antiqua" w:hAnsi="Book Antiqua" w:eastAsia="Book Antiqua" w:cs="Book Antiqua"/>
          <w:color w:val="000000"/>
          <w:shd w:val="clear" w:color="auto" w:fill="FFFFFF"/>
        </w:rPr>
        <w:t>overall survival</w:t>
      </w:r>
      <w:r>
        <w:rPr>
          <w:rFonts w:ascii="Book Antiqua" w:hAnsi="Book Antiqua" w:eastAsia="Book Antiqua" w:cs="Book Antiqua"/>
          <w:color w:val="000000"/>
        </w:rPr>
        <w:t xml:space="preserve"> for breast cancer patients are presented with respect to the cellular morphometric prognosis score (CMPS) groups; </w:t>
      </w:r>
      <w:r>
        <w:rPr>
          <w:rFonts w:ascii="Book Antiqua" w:hAnsi="Book Antiqua" w:eastAsia="Book Antiqua" w:cs="Book Antiqua"/>
          <w:bCs/>
          <w:color w:val="000000"/>
        </w:rPr>
        <w:t>C:</w:t>
      </w:r>
      <w:r>
        <w:rPr>
          <w:rFonts w:ascii="Book Antiqua" w:hAnsi="Book Antiqua" w:eastAsia="Book Antiqua" w:cs="Book Antiqua"/>
          <w:color w:val="000000"/>
        </w:rPr>
        <w:t xml:space="preserve"> Multivariate Cox regression analysis with hazard ratio (HR) represented as a forest for CMPS groups, clinical factors, and PAM50 subtypes; </w:t>
      </w:r>
      <w:r>
        <w:rPr>
          <w:rFonts w:ascii="Book Antiqua" w:hAnsi="Book Antiqua" w:eastAsia="Book Antiqua" w:cs="Book Antiqua"/>
          <w:bCs/>
          <w:color w:val="000000"/>
        </w:rPr>
        <w:t xml:space="preserve">D: </w:t>
      </w:r>
      <w:r>
        <w:rPr>
          <w:rFonts w:ascii="Book Antiqua" w:hAnsi="Book Antiqua" w:eastAsia="Book Antiqua" w:cs="Book Antiqua"/>
          <w:color w:val="000000"/>
        </w:rPr>
        <w:t>Multivariate Cox regression analysis with the HR represented as a forest plot for CMPS, MAPS, and GEPS.</w:t>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5436235" cy="8226425"/>
            <wp:effectExtent l="0" t="0" r="4445" b="3175"/>
            <wp:docPr id="5" name="图片 5" descr="WJCO-13-61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O-13-616-g003"/>
                    <pic:cNvPicPr>
                      <a:picLocks noChangeAspect="1"/>
                    </pic:cNvPicPr>
                  </pic:nvPicPr>
                  <pic:blipFill>
                    <a:blip r:embed="rId13"/>
                    <a:stretch>
                      <a:fillRect/>
                    </a:stretch>
                  </pic:blipFill>
                  <pic:spPr>
                    <a:xfrm>
                      <a:off x="0" y="0"/>
                      <a:ext cx="5436235" cy="822642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3 iCEMIGE significantly outperforms cellular morphometric prognosis score, 15-microbe abundance prognosis score, and cellular morphometric prognosis score in prognosis prediction in the Cancer Genome Atlas breast cancer cohort. </w:t>
      </w:r>
      <w:r>
        <w:rPr>
          <w:rFonts w:ascii="Book Antiqua" w:hAnsi="Book Antiqua" w:eastAsia="Book Antiqua" w:cs="Book Antiqua"/>
          <w:bCs/>
          <w:color w:val="000000"/>
        </w:rPr>
        <w:t>A:</w:t>
      </w:r>
      <w:r>
        <w:rPr>
          <w:rFonts w:ascii="Book Antiqua" w:hAnsi="Book Antiqua" w:eastAsia="Book Antiqua" w:cs="Book Antiqua"/>
          <w:color w:val="000000"/>
        </w:rPr>
        <w:t xml:space="preserve"> Kaplan-Meier overall survival (OS) curves for breast cancer (BC) patients are presented according to iCEMIGE score groups; </w:t>
      </w:r>
      <w:r>
        <w:rPr>
          <w:rFonts w:ascii="Book Antiqua" w:hAnsi="Book Antiqua" w:eastAsia="Book Antiqua" w:cs="Book Antiqua"/>
          <w:bCs/>
          <w:color w:val="000000"/>
        </w:rPr>
        <w:t>B:</w:t>
      </w:r>
      <w:r>
        <w:rPr>
          <w:rFonts w:ascii="Book Antiqua" w:hAnsi="Book Antiqua" w:eastAsia="Book Antiqua" w:cs="Book Antiqua"/>
          <w:color w:val="000000"/>
        </w:rPr>
        <w:t xml:space="preserve"> ROC curves for 10-year OS prediction across different signature scores. </w:t>
      </w:r>
      <w:r>
        <w:rPr>
          <w:rFonts w:ascii="Book Antiqua" w:hAnsi="Book Antiqua" w:eastAsia="Book Antiqua" w:cs="Book Antiqua"/>
          <w:bCs/>
          <w:color w:val="000000"/>
        </w:rPr>
        <w:t>C:</w:t>
      </w:r>
      <w:r>
        <w:rPr>
          <w:rFonts w:ascii="Book Antiqua" w:hAnsi="Book Antiqua" w:eastAsia="Book Antiqua" w:cs="Book Antiqua"/>
          <w:color w:val="000000"/>
        </w:rPr>
        <w:t xml:space="preserve"> Area under the curve (AUC) of 10-year OS prediction across different signature scores; </w:t>
      </w:r>
      <w:r>
        <w:rPr>
          <w:rFonts w:ascii="Book Antiqua" w:hAnsi="Book Antiqua" w:eastAsia="Book Antiqua" w:cs="Book Antiqua"/>
          <w:bCs/>
          <w:color w:val="000000"/>
        </w:rPr>
        <w:t>D:</w:t>
      </w:r>
      <w:r>
        <w:rPr>
          <w:rFonts w:ascii="Book Antiqua" w:hAnsi="Book Antiqua" w:eastAsia="Book Antiqua" w:cs="Book Antiqua"/>
          <w:color w:val="000000"/>
        </w:rPr>
        <w:t xml:space="preserve"> Kaplan-Meier </w:t>
      </w:r>
      <w:r>
        <w:rPr>
          <w:rFonts w:ascii="Book Antiqua" w:hAnsi="Book Antiqua" w:eastAsia="Book Antiqua" w:cs="Book Antiqua"/>
          <w:color w:val="000000"/>
          <w:shd w:val="clear" w:color="auto" w:fill="FFFFFF"/>
        </w:rPr>
        <w:t>progress-free survival (PFS)</w:t>
      </w:r>
      <w:r>
        <w:rPr>
          <w:rFonts w:ascii="Book Antiqua" w:hAnsi="Book Antiqua" w:eastAsia="Book Antiqua" w:cs="Book Antiqua"/>
          <w:color w:val="000000"/>
        </w:rPr>
        <w:t xml:space="preserve"> curves for BC patients are presented according to iCEMIGE score groups; </w:t>
      </w:r>
      <w:r>
        <w:rPr>
          <w:rFonts w:ascii="Book Antiqua" w:hAnsi="Book Antiqua" w:eastAsia="Book Antiqua" w:cs="Book Antiqua"/>
          <w:bCs/>
          <w:color w:val="000000"/>
        </w:rPr>
        <w:t>E:</w:t>
      </w:r>
      <w:r>
        <w:rPr>
          <w:rFonts w:ascii="Book Antiqua" w:hAnsi="Book Antiqua" w:eastAsia="Book Antiqua" w:cs="Book Antiqua"/>
          <w:color w:val="000000"/>
        </w:rPr>
        <w:t xml:space="preserve"> Receiver operating characteristic (ROC) curves for 10-year PFS prediction across different signature scores. </w:t>
      </w:r>
      <w:r>
        <w:rPr>
          <w:rFonts w:ascii="Book Antiqua" w:hAnsi="Book Antiqua" w:eastAsia="Book Antiqua" w:cs="Book Antiqua"/>
          <w:bCs/>
          <w:color w:val="000000"/>
        </w:rPr>
        <w:t>F:</w:t>
      </w:r>
      <w:r>
        <w:rPr>
          <w:rFonts w:ascii="Book Antiqua" w:hAnsi="Book Antiqua" w:eastAsia="Book Antiqua" w:cs="Book Antiqua"/>
          <w:color w:val="000000"/>
        </w:rPr>
        <w:t xml:space="preserve"> AUC of 10-year PFS prediction across different signature scores. The Kaplan-Meier p-values were calculated by the log-rank test among the three groups. The </w:t>
      </w:r>
      <w:r>
        <w:rPr>
          <w:rFonts w:ascii="Book Antiqua" w:hAnsi="Book Antiqua" w:eastAsia="Book Antiqua" w:cs="Book Antiqua"/>
          <w:i/>
          <w:color w:val="000000"/>
        </w:rPr>
        <w:t>P</w:t>
      </w:r>
      <w:r>
        <w:rPr>
          <w:rFonts w:ascii="Book Antiqua" w:hAnsi="Book Antiqua" w:eastAsia="Book Antiqua" w:cs="Book Antiqua"/>
          <w:color w:val="000000"/>
        </w:rPr>
        <w:t xml:space="preserve"> values for AUC were obtained from </w:t>
      </w:r>
      <w:r>
        <w:rPr>
          <w:rFonts w:ascii="Book Antiqua" w:hAnsi="Book Antiqua" w:eastAsia="Book Antiqua" w:cs="Book Antiqua"/>
          <w:bCs/>
          <w:color w:val="000000"/>
          <w:shd w:val="clear" w:color="auto" w:fill="FFFFFF"/>
        </w:rPr>
        <w:t xml:space="preserve">Kruskal-Wallis </w:t>
      </w:r>
      <w:r>
        <w:rPr>
          <w:rFonts w:ascii="Book Antiqua" w:hAnsi="Book Antiqua" w:eastAsia="Book Antiqua" w:cs="Book Antiqua"/>
          <w:color w:val="000000"/>
          <w:shd w:val="clear" w:color="auto" w:fill="FFFFFF"/>
        </w:rPr>
        <w:t>test.</w:t>
      </w:r>
    </w:p>
    <w:p>
      <w:pPr>
        <w:spacing w:line="360" w:lineRule="auto"/>
        <w:jc w:val="both"/>
        <w:rPr>
          <w:rFonts w:ascii="Book Antiqua" w:hAnsi="Book Antiqua"/>
        </w:rPr>
      </w:pPr>
      <w:r>
        <w:rPr>
          <w:rFonts w:ascii="Book Antiqua" w:hAnsi="Book Antiqua"/>
        </w:rPr>
        <w:drawing>
          <wp:inline distT="0" distB="0" distL="114300" distR="114300">
            <wp:extent cx="4518025" cy="8223250"/>
            <wp:effectExtent l="0" t="0" r="8255" b="6350"/>
            <wp:docPr id="6" name="图片 6" descr="WJCO-13-61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O-13-616-g004"/>
                    <pic:cNvPicPr>
                      <a:picLocks noChangeAspect="1"/>
                    </pic:cNvPicPr>
                  </pic:nvPicPr>
                  <pic:blipFill>
                    <a:blip r:embed="rId14"/>
                    <a:stretch>
                      <a:fillRect/>
                    </a:stretch>
                  </pic:blipFill>
                  <pic:spPr>
                    <a:xfrm>
                      <a:off x="0" y="0"/>
                      <a:ext cx="4518025" cy="822325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4 Prognostic value of iCEMIGE score on overall survival and progress-free survival according to ER status and tumor stage. </w:t>
      </w:r>
      <w:r>
        <w:rPr>
          <w:rFonts w:ascii="Book Antiqua" w:hAnsi="Book Antiqua" w:eastAsia="Book Antiqua" w:cs="Book Antiqua"/>
          <w:color w:val="000000"/>
        </w:rPr>
        <w:t>A: Kaplan-Meier curves on overall survival (OS) (top panel) and progress-free survival (PFS) (bottom panel) for ER+ and</w:t>
      </w:r>
      <w:r>
        <w:rPr>
          <w:rFonts w:ascii="Book Antiqua" w:hAnsi="Book Antiqua" w:eastAsia="Book Antiqua" w:cs="Book Antiqua"/>
          <w:b/>
          <w:bCs/>
          <w:color w:val="000000"/>
        </w:rPr>
        <w:t xml:space="preserve"> </w:t>
      </w:r>
      <w:r>
        <w:rPr>
          <w:rFonts w:ascii="Book Antiqua" w:hAnsi="Book Antiqua" w:eastAsia="Book Antiqua" w:cs="Book Antiqua"/>
          <w:color w:val="000000"/>
        </w:rPr>
        <w:t>ER- breast cancer (BC) patients are presented according to iCEMIGE score groups; B: Kaplan-Meier curves on OS (top panel) and PFS (bottom panel) for Stage I,</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II, and III&amp;IV BC patients are presented according to iCEMIGE score groups. The </w:t>
      </w:r>
      <w:r>
        <w:rPr>
          <w:rFonts w:ascii="Book Antiqua" w:hAnsi="Book Antiqua" w:eastAsia="Book Antiqua" w:cs="Book Antiqua"/>
          <w:i/>
          <w:color w:val="000000"/>
        </w:rPr>
        <w:t>P</w:t>
      </w:r>
      <w:r>
        <w:rPr>
          <w:rFonts w:ascii="Book Antiqua" w:hAnsi="Book Antiqua" w:eastAsia="Book Antiqua" w:cs="Book Antiqua"/>
          <w:color w:val="000000"/>
        </w:rPr>
        <w:t xml:space="preserve"> values were obtained from the log-rank test among the three groups.</w:t>
      </w:r>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rPr>
        <w:drawing>
          <wp:inline distT="0" distB="0" distL="114300" distR="114300">
            <wp:extent cx="5939155" cy="2964180"/>
            <wp:effectExtent l="0" t="0" r="4445" b="7620"/>
            <wp:docPr id="7" name="图片 7" descr="WJCO-13-61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O-13-616-g005"/>
                    <pic:cNvPicPr>
                      <a:picLocks noChangeAspect="1"/>
                    </pic:cNvPicPr>
                  </pic:nvPicPr>
                  <pic:blipFill>
                    <a:blip r:embed="rId15"/>
                    <a:stretch>
                      <a:fillRect/>
                    </a:stretch>
                  </pic:blipFill>
                  <pic:spPr>
                    <a:xfrm>
                      <a:off x="0" y="0"/>
                      <a:ext cx="5939155" cy="296418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5 Prognostic value of iCEMIGE scores on overall survival and progress-free survival within different molecular subtypes. </w:t>
      </w:r>
      <w:r>
        <w:rPr>
          <w:rFonts w:ascii="Book Antiqua" w:hAnsi="Book Antiqua" w:eastAsia="Book Antiqua" w:cs="Book Antiqua"/>
          <w:color w:val="000000"/>
        </w:rPr>
        <w:t xml:space="preserve">Kaplan-Meier curves on overall survival (top panel) and progress-free survival (bottom panel) for breast cancer patients are presented with respect to the iCEMIGE score groups in different molecular subtypes. The </w:t>
      </w:r>
      <w:r>
        <w:rPr>
          <w:rFonts w:ascii="Book Antiqua" w:hAnsi="Book Antiqua" w:eastAsia="Book Antiqua" w:cs="Book Antiqua"/>
          <w:i/>
          <w:color w:val="000000"/>
        </w:rPr>
        <w:t>P</w:t>
      </w:r>
      <w:r>
        <w:rPr>
          <w:rFonts w:ascii="Book Antiqua" w:hAnsi="Book Antiqua" w:eastAsia="Book Antiqua" w:cs="Book Antiqua"/>
          <w:color w:val="000000"/>
        </w:rPr>
        <w:t xml:space="preserve"> values were calculated by the log-rank test among the three groups.</w:t>
      </w:r>
    </w:p>
    <w:p>
      <w:pPr>
        <w:spacing w:line="360" w:lineRule="auto"/>
        <w:jc w:val="both"/>
        <w:rPr>
          <w:rFonts w:ascii="Book Antiqua" w:hAnsi="Book Antiqua"/>
        </w:rPr>
      </w:pPr>
      <w:r>
        <w:rPr>
          <w:rFonts w:ascii="Book Antiqua" w:hAnsi="Book Antiqua"/>
        </w:rPr>
        <w:drawing>
          <wp:inline distT="0" distB="0" distL="114300" distR="114300">
            <wp:extent cx="5941060" cy="6290310"/>
            <wp:effectExtent l="0" t="0" r="2540" b="3810"/>
            <wp:docPr id="8" name="图片 8" descr="WJCO-13-616-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O-13-616-g006"/>
                    <pic:cNvPicPr>
                      <a:picLocks noChangeAspect="1"/>
                    </pic:cNvPicPr>
                  </pic:nvPicPr>
                  <pic:blipFill>
                    <a:blip r:embed="rId16"/>
                    <a:stretch>
                      <a:fillRect/>
                    </a:stretch>
                  </pic:blipFill>
                  <pic:spPr>
                    <a:xfrm>
                      <a:off x="0" y="0"/>
                      <a:ext cx="5941060" cy="6290310"/>
                    </a:xfrm>
                    <a:prstGeom prst="rect">
                      <a:avLst/>
                    </a:prstGeom>
                  </pic:spPr>
                </pic:pic>
              </a:graphicData>
            </a:graphic>
          </wp:inline>
        </w:drawing>
      </w:r>
      <w:bookmarkStart w:id="3" w:name="_GoBack"/>
      <w:bookmarkEnd w:id="3"/>
    </w:p>
    <w:p>
      <w:pPr>
        <w:spacing w:line="360" w:lineRule="auto"/>
        <w:jc w:val="both"/>
        <w:rPr>
          <w:rFonts w:ascii="Book Antiqua" w:hAnsi="Book Antiqua" w:eastAsia="Book Antiqua" w:cs="Book Antiqua"/>
          <w:color w:val="000000"/>
          <w:shd w:val="clear" w:color="auto" w:fill="FFFFFF"/>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6 iCEMIGE score provides significant and additional value for overall survival prediction. </w:t>
      </w:r>
      <w:r>
        <w:rPr>
          <w:rFonts w:ascii="Book Antiqua" w:hAnsi="Book Antiqua" w:eastAsia="Book Antiqua" w:cs="Book Antiqua"/>
          <w:bCs/>
          <w:color w:val="000000"/>
        </w:rPr>
        <w:t xml:space="preserve">A: </w:t>
      </w:r>
      <w:r>
        <w:rPr>
          <w:rFonts w:ascii="Book Antiqua" w:hAnsi="Book Antiqua" w:eastAsia="Book Antiqua" w:cs="Book Antiqua"/>
          <w:color w:val="000000"/>
        </w:rPr>
        <w:t xml:space="preserve">Multivariate Cox regression analysis of </w:t>
      </w:r>
      <w:r>
        <w:rPr>
          <w:rFonts w:ascii="Book Antiqua" w:hAnsi="Book Antiqua" w:eastAsia="Book Antiqua" w:cs="Book Antiqua"/>
          <w:color w:val="000000"/>
          <w:shd w:val="clear" w:color="auto" w:fill="FFFFFF"/>
        </w:rPr>
        <w:t xml:space="preserve">overall survival (OS) </w:t>
      </w:r>
      <w:r>
        <w:rPr>
          <w:rFonts w:ascii="Book Antiqua" w:hAnsi="Book Antiqua" w:eastAsia="Book Antiqua" w:cs="Book Antiqua"/>
          <w:color w:val="000000"/>
        </w:rPr>
        <w:t xml:space="preserve">with hazard ratio represented as a forest for iCEMIGE score, clinical factors, and PAM50 subtypes; </w:t>
      </w:r>
      <w:r>
        <w:rPr>
          <w:rFonts w:ascii="Book Antiqua" w:hAnsi="Book Antiqua" w:eastAsia="Book Antiqua" w:cs="Book Antiqua"/>
          <w:bCs/>
          <w:color w:val="000000"/>
        </w:rPr>
        <w:t xml:space="preserve">B: </w:t>
      </w:r>
      <w:r>
        <w:rPr>
          <w:rFonts w:ascii="Book Antiqua" w:hAnsi="Book Antiqua" w:eastAsia="Book Antiqua" w:cs="Book Antiqua"/>
          <w:color w:val="000000"/>
        </w:rPr>
        <w:t xml:space="preserve">Nomogram for predicting OS was constructed based on integrating clinical factors and molecular subtype with iCEMIGE; </w:t>
      </w:r>
      <w:r>
        <w:rPr>
          <w:rFonts w:ascii="Book Antiqua" w:hAnsi="Book Antiqua" w:eastAsia="Book Antiqua" w:cs="Book Antiqua"/>
          <w:bCs/>
          <w:color w:val="000000"/>
        </w:rPr>
        <w:t>C:</w:t>
      </w:r>
      <w:r>
        <w:rPr>
          <w:rFonts w:ascii="Book Antiqua" w:hAnsi="Book Antiqua" w:eastAsia="Book Antiqua" w:cs="Book Antiqua"/>
          <w:color w:val="000000"/>
        </w:rPr>
        <w:t xml:space="preserve"> C-index comparison for OS in different nomogram models with and without iCEMIGE. The </w:t>
      </w:r>
      <w:r>
        <w:rPr>
          <w:rFonts w:ascii="Book Antiqua" w:hAnsi="Book Antiqua" w:eastAsia="Book Antiqua" w:cs="Book Antiqua"/>
          <w:i/>
          <w:color w:val="000000"/>
        </w:rPr>
        <w:t>P</w:t>
      </w:r>
      <w:r>
        <w:rPr>
          <w:rFonts w:ascii="Book Antiqua" w:hAnsi="Book Antiqua" w:eastAsia="Book Antiqua" w:cs="Book Antiqua"/>
          <w:color w:val="000000"/>
        </w:rPr>
        <w:t xml:space="preserve"> value was calculated by </w:t>
      </w:r>
      <w:r>
        <w:rPr>
          <w:rFonts w:ascii="Book Antiqua" w:hAnsi="Book Antiqua" w:eastAsia="Book Antiqua" w:cs="Book Antiqua"/>
          <w:color w:val="000000"/>
          <w:shd w:val="clear" w:color="auto" w:fill="FFFFFF"/>
        </w:rPr>
        <w:t xml:space="preserve">Mann-Whitney non-parametric test. </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bookmarkStart w:id="1" w:name="OLE_LINK8"/>
      <w:bookmarkStart w:id="2" w:name="OLE_LINK5"/>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bookmarkEnd w:id="1"/>
    <w:bookmarkEnd w:id="2"/>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547266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27</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B59"/>
    <w:rsid w:val="000058C3"/>
    <w:rsid w:val="000161E2"/>
    <w:rsid w:val="000224DF"/>
    <w:rsid w:val="00037311"/>
    <w:rsid w:val="000457C0"/>
    <w:rsid w:val="0004622B"/>
    <w:rsid w:val="00052853"/>
    <w:rsid w:val="000578F9"/>
    <w:rsid w:val="00060EF3"/>
    <w:rsid w:val="0006217A"/>
    <w:rsid w:val="0007580A"/>
    <w:rsid w:val="000977CB"/>
    <w:rsid w:val="000A6669"/>
    <w:rsid w:val="000B22BB"/>
    <w:rsid w:val="000B22BD"/>
    <w:rsid w:val="000B63BC"/>
    <w:rsid w:val="000B7A89"/>
    <w:rsid w:val="000C3AF8"/>
    <w:rsid w:val="000C4F94"/>
    <w:rsid w:val="000F28D7"/>
    <w:rsid w:val="000F4ED4"/>
    <w:rsid w:val="00103B4A"/>
    <w:rsid w:val="00114F30"/>
    <w:rsid w:val="00115AC5"/>
    <w:rsid w:val="00116611"/>
    <w:rsid w:val="001413CF"/>
    <w:rsid w:val="00142707"/>
    <w:rsid w:val="00157779"/>
    <w:rsid w:val="00167AAA"/>
    <w:rsid w:val="00170448"/>
    <w:rsid w:val="0019133F"/>
    <w:rsid w:val="00192CC9"/>
    <w:rsid w:val="00196CAF"/>
    <w:rsid w:val="001A3FFE"/>
    <w:rsid w:val="001C6B0E"/>
    <w:rsid w:val="001D499E"/>
    <w:rsid w:val="001E154F"/>
    <w:rsid w:val="001F1CB4"/>
    <w:rsid w:val="00211583"/>
    <w:rsid w:val="002134FD"/>
    <w:rsid w:val="002307E0"/>
    <w:rsid w:val="00233C18"/>
    <w:rsid w:val="002374C1"/>
    <w:rsid w:val="002519ED"/>
    <w:rsid w:val="002555A2"/>
    <w:rsid w:val="00257FD4"/>
    <w:rsid w:val="00263A90"/>
    <w:rsid w:val="002768DC"/>
    <w:rsid w:val="00292287"/>
    <w:rsid w:val="00293DF4"/>
    <w:rsid w:val="002959E5"/>
    <w:rsid w:val="002A54AD"/>
    <w:rsid w:val="002A5566"/>
    <w:rsid w:val="002B15D1"/>
    <w:rsid w:val="002B197A"/>
    <w:rsid w:val="002C1938"/>
    <w:rsid w:val="002C6514"/>
    <w:rsid w:val="002C6EF2"/>
    <w:rsid w:val="002E520E"/>
    <w:rsid w:val="002E79B7"/>
    <w:rsid w:val="00322389"/>
    <w:rsid w:val="00330191"/>
    <w:rsid w:val="00335250"/>
    <w:rsid w:val="00341429"/>
    <w:rsid w:val="00346AFA"/>
    <w:rsid w:val="00356719"/>
    <w:rsid w:val="00362935"/>
    <w:rsid w:val="0036655C"/>
    <w:rsid w:val="00370E4B"/>
    <w:rsid w:val="0039408D"/>
    <w:rsid w:val="00396D80"/>
    <w:rsid w:val="003A0773"/>
    <w:rsid w:val="003A2DEE"/>
    <w:rsid w:val="003A38C8"/>
    <w:rsid w:val="003B6D75"/>
    <w:rsid w:val="003C129F"/>
    <w:rsid w:val="003C5CF6"/>
    <w:rsid w:val="003D05A1"/>
    <w:rsid w:val="003D3868"/>
    <w:rsid w:val="003E2CF0"/>
    <w:rsid w:val="003E5575"/>
    <w:rsid w:val="003F56CE"/>
    <w:rsid w:val="003F610E"/>
    <w:rsid w:val="00403E2D"/>
    <w:rsid w:val="00436A12"/>
    <w:rsid w:val="00445572"/>
    <w:rsid w:val="00457617"/>
    <w:rsid w:val="00466245"/>
    <w:rsid w:val="00482126"/>
    <w:rsid w:val="00487230"/>
    <w:rsid w:val="004932F9"/>
    <w:rsid w:val="00493C54"/>
    <w:rsid w:val="004B7142"/>
    <w:rsid w:val="004B7947"/>
    <w:rsid w:val="004C1FBD"/>
    <w:rsid w:val="004C2069"/>
    <w:rsid w:val="004C3CA9"/>
    <w:rsid w:val="004D1BB0"/>
    <w:rsid w:val="004D3338"/>
    <w:rsid w:val="004E0DEE"/>
    <w:rsid w:val="004E39D0"/>
    <w:rsid w:val="004E7B3F"/>
    <w:rsid w:val="0050032E"/>
    <w:rsid w:val="0050067C"/>
    <w:rsid w:val="005006F6"/>
    <w:rsid w:val="005011B0"/>
    <w:rsid w:val="00520986"/>
    <w:rsid w:val="005426D1"/>
    <w:rsid w:val="00545E09"/>
    <w:rsid w:val="005466C9"/>
    <w:rsid w:val="005527E9"/>
    <w:rsid w:val="00560E38"/>
    <w:rsid w:val="00566814"/>
    <w:rsid w:val="005676C4"/>
    <w:rsid w:val="00571594"/>
    <w:rsid w:val="00574A00"/>
    <w:rsid w:val="00577E3C"/>
    <w:rsid w:val="00581687"/>
    <w:rsid w:val="00587A77"/>
    <w:rsid w:val="00590474"/>
    <w:rsid w:val="00596B19"/>
    <w:rsid w:val="005A200B"/>
    <w:rsid w:val="005A3012"/>
    <w:rsid w:val="005B4B5A"/>
    <w:rsid w:val="005B65BC"/>
    <w:rsid w:val="005C0B44"/>
    <w:rsid w:val="005C5705"/>
    <w:rsid w:val="005C7BEE"/>
    <w:rsid w:val="005D41C4"/>
    <w:rsid w:val="005E055A"/>
    <w:rsid w:val="005E4456"/>
    <w:rsid w:val="005E5AF3"/>
    <w:rsid w:val="00603FD8"/>
    <w:rsid w:val="00605756"/>
    <w:rsid w:val="006068D0"/>
    <w:rsid w:val="00613E1F"/>
    <w:rsid w:val="00616CCB"/>
    <w:rsid w:val="006218D2"/>
    <w:rsid w:val="006349EA"/>
    <w:rsid w:val="00634C46"/>
    <w:rsid w:val="00635A55"/>
    <w:rsid w:val="00642DDC"/>
    <w:rsid w:val="00643EB7"/>
    <w:rsid w:val="00646021"/>
    <w:rsid w:val="006614AC"/>
    <w:rsid w:val="00671D3B"/>
    <w:rsid w:val="00672BFF"/>
    <w:rsid w:val="00673BAC"/>
    <w:rsid w:val="006779CC"/>
    <w:rsid w:val="0069433A"/>
    <w:rsid w:val="006A13F0"/>
    <w:rsid w:val="006A5A88"/>
    <w:rsid w:val="006D1D95"/>
    <w:rsid w:val="006D7D13"/>
    <w:rsid w:val="006E331B"/>
    <w:rsid w:val="00704F87"/>
    <w:rsid w:val="00706134"/>
    <w:rsid w:val="00706A5D"/>
    <w:rsid w:val="00711EA1"/>
    <w:rsid w:val="007142AE"/>
    <w:rsid w:val="00714F88"/>
    <w:rsid w:val="00716647"/>
    <w:rsid w:val="00723A22"/>
    <w:rsid w:val="0074517E"/>
    <w:rsid w:val="00767A09"/>
    <w:rsid w:val="00771F89"/>
    <w:rsid w:val="00776B58"/>
    <w:rsid w:val="0079032E"/>
    <w:rsid w:val="00795A3D"/>
    <w:rsid w:val="007B2EE4"/>
    <w:rsid w:val="007B3E15"/>
    <w:rsid w:val="007B6481"/>
    <w:rsid w:val="007D2182"/>
    <w:rsid w:val="007D557D"/>
    <w:rsid w:val="007E06DF"/>
    <w:rsid w:val="007F3651"/>
    <w:rsid w:val="007F3DF3"/>
    <w:rsid w:val="00820BF1"/>
    <w:rsid w:val="00836835"/>
    <w:rsid w:val="00836870"/>
    <w:rsid w:val="00842C05"/>
    <w:rsid w:val="0084466C"/>
    <w:rsid w:val="008767CC"/>
    <w:rsid w:val="0088559B"/>
    <w:rsid w:val="0088652D"/>
    <w:rsid w:val="00886A8B"/>
    <w:rsid w:val="0089138A"/>
    <w:rsid w:val="008B0893"/>
    <w:rsid w:val="008B5060"/>
    <w:rsid w:val="008B6367"/>
    <w:rsid w:val="008C49E1"/>
    <w:rsid w:val="008C618C"/>
    <w:rsid w:val="008D1703"/>
    <w:rsid w:val="008D5BA5"/>
    <w:rsid w:val="008D7EFE"/>
    <w:rsid w:val="008E1A8E"/>
    <w:rsid w:val="008E46C3"/>
    <w:rsid w:val="00903710"/>
    <w:rsid w:val="00903857"/>
    <w:rsid w:val="0090735A"/>
    <w:rsid w:val="0091366E"/>
    <w:rsid w:val="00917043"/>
    <w:rsid w:val="00920C21"/>
    <w:rsid w:val="0092545E"/>
    <w:rsid w:val="00926645"/>
    <w:rsid w:val="00956D5C"/>
    <w:rsid w:val="00970476"/>
    <w:rsid w:val="009709EB"/>
    <w:rsid w:val="00976136"/>
    <w:rsid w:val="00997A80"/>
    <w:rsid w:val="009A31DD"/>
    <w:rsid w:val="009B07F8"/>
    <w:rsid w:val="009B793F"/>
    <w:rsid w:val="009C60A0"/>
    <w:rsid w:val="009D7930"/>
    <w:rsid w:val="009E2680"/>
    <w:rsid w:val="009E3CAA"/>
    <w:rsid w:val="00A272AA"/>
    <w:rsid w:val="00A30024"/>
    <w:rsid w:val="00A43EA3"/>
    <w:rsid w:val="00A46673"/>
    <w:rsid w:val="00A53985"/>
    <w:rsid w:val="00A540DF"/>
    <w:rsid w:val="00A77994"/>
    <w:rsid w:val="00A77B3E"/>
    <w:rsid w:val="00A80FDC"/>
    <w:rsid w:val="00A811E7"/>
    <w:rsid w:val="00A82572"/>
    <w:rsid w:val="00A85603"/>
    <w:rsid w:val="00AC1989"/>
    <w:rsid w:val="00AC255C"/>
    <w:rsid w:val="00AC6647"/>
    <w:rsid w:val="00AC7567"/>
    <w:rsid w:val="00AD214C"/>
    <w:rsid w:val="00AE29E4"/>
    <w:rsid w:val="00AE45FD"/>
    <w:rsid w:val="00AE4679"/>
    <w:rsid w:val="00AF47B1"/>
    <w:rsid w:val="00B01A19"/>
    <w:rsid w:val="00B0234E"/>
    <w:rsid w:val="00B033C2"/>
    <w:rsid w:val="00B03BF4"/>
    <w:rsid w:val="00B0787C"/>
    <w:rsid w:val="00B240E8"/>
    <w:rsid w:val="00B27EAA"/>
    <w:rsid w:val="00B42B43"/>
    <w:rsid w:val="00B53DD9"/>
    <w:rsid w:val="00B63955"/>
    <w:rsid w:val="00B67235"/>
    <w:rsid w:val="00B70E66"/>
    <w:rsid w:val="00B75188"/>
    <w:rsid w:val="00B8076A"/>
    <w:rsid w:val="00B9606A"/>
    <w:rsid w:val="00BA3106"/>
    <w:rsid w:val="00BA326B"/>
    <w:rsid w:val="00BA5961"/>
    <w:rsid w:val="00BB2C02"/>
    <w:rsid w:val="00BF0C41"/>
    <w:rsid w:val="00BF35A6"/>
    <w:rsid w:val="00C074D8"/>
    <w:rsid w:val="00C07C7B"/>
    <w:rsid w:val="00C15211"/>
    <w:rsid w:val="00C34C2F"/>
    <w:rsid w:val="00C37A0C"/>
    <w:rsid w:val="00C5772C"/>
    <w:rsid w:val="00C65E4A"/>
    <w:rsid w:val="00C775E6"/>
    <w:rsid w:val="00C90AB8"/>
    <w:rsid w:val="00C919A3"/>
    <w:rsid w:val="00C928C7"/>
    <w:rsid w:val="00CA2A55"/>
    <w:rsid w:val="00CA3D24"/>
    <w:rsid w:val="00CA5074"/>
    <w:rsid w:val="00CA599F"/>
    <w:rsid w:val="00CA6402"/>
    <w:rsid w:val="00CB0D7F"/>
    <w:rsid w:val="00CD0949"/>
    <w:rsid w:val="00CD704A"/>
    <w:rsid w:val="00CF5D30"/>
    <w:rsid w:val="00D164ED"/>
    <w:rsid w:val="00D23A99"/>
    <w:rsid w:val="00D27601"/>
    <w:rsid w:val="00D30FD2"/>
    <w:rsid w:val="00D31E10"/>
    <w:rsid w:val="00D359DB"/>
    <w:rsid w:val="00D3747B"/>
    <w:rsid w:val="00D43192"/>
    <w:rsid w:val="00D44448"/>
    <w:rsid w:val="00D60003"/>
    <w:rsid w:val="00D6062A"/>
    <w:rsid w:val="00D60CBB"/>
    <w:rsid w:val="00D64028"/>
    <w:rsid w:val="00D71592"/>
    <w:rsid w:val="00D857A2"/>
    <w:rsid w:val="00D9191E"/>
    <w:rsid w:val="00DC43CF"/>
    <w:rsid w:val="00DF351A"/>
    <w:rsid w:val="00E0450D"/>
    <w:rsid w:val="00E32C0E"/>
    <w:rsid w:val="00E44AC7"/>
    <w:rsid w:val="00E5453F"/>
    <w:rsid w:val="00E60C31"/>
    <w:rsid w:val="00E60CCA"/>
    <w:rsid w:val="00E60DE2"/>
    <w:rsid w:val="00E6250B"/>
    <w:rsid w:val="00E74170"/>
    <w:rsid w:val="00E748DF"/>
    <w:rsid w:val="00E76E96"/>
    <w:rsid w:val="00E76FAD"/>
    <w:rsid w:val="00E80BFF"/>
    <w:rsid w:val="00E8156F"/>
    <w:rsid w:val="00E821AF"/>
    <w:rsid w:val="00E93D13"/>
    <w:rsid w:val="00EB2986"/>
    <w:rsid w:val="00EB5113"/>
    <w:rsid w:val="00EB58EC"/>
    <w:rsid w:val="00EC5347"/>
    <w:rsid w:val="00ED0BAA"/>
    <w:rsid w:val="00ED32A5"/>
    <w:rsid w:val="00F07D9D"/>
    <w:rsid w:val="00F100AC"/>
    <w:rsid w:val="00F15BEE"/>
    <w:rsid w:val="00F21A0F"/>
    <w:rsid w:val="00F24996"/>
    <w:rsid w:val="00F404A9"/>
    <w:rsid w:val="00F43EDD"/>
    <w:rsid w:val="00F53068"/>
    <w:rsid w:val="00F6578C"/>
    <w:rsid w:val="00F66FA4"/>
    <w:rsid w:val="00F857A5"/>
    <w:rsid w:val="00FD3B7E"/>
    <w:rsid w:val="00FE6E87"/>
    <w:rsid w:val="00FF0BD7"/>
    <w:rsid w:val="00FF3ECA"/>
    <w:rsid w:val="00FF5631"/>
    <w:rsid w:val="00FF7836"/>
    <w:rsid w:val="20406648"/>
    <w:rsid w:val="341D4A5E"/>
    <w:rsid w:val="366231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semiHidden="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unhideWhenUsed/>
    <w:uiPriority w:val="0"/>
  </w:style>
  <w:style w:type="paragraph" w:styleId="3">
    <w:name w:val="Balloon Text"/>
    <w:basedOn w:val="1"/>
    <w:link w:val="15"/>
    <w:uiPriority w:val="0"/>
    <w:rPr>
      <w:sz w:val="18"/>
      <w:szCs w:val="18"/>
    </w:rPr>
  </w:style>
  <w:style w:type="paragraph" w:styleId="4">
    <w:name w:val="footer"/>
    <w:basedOn w:val="1"/>
    <w:link w:val="19"/>
    <w:unhideWhenUsed/>
    <w:uiPriority w:val="99"/>
    <w:pPr>
      <w:tabs>
        <w:tab w:val="center" w:pos="4153"/>
        <w:tab w:val="right" w:pos="8306"/>
      </w:tabs>
      <w:snapToGrid w:val="0"/>
    </w:pPr>
    <w:rPr>
      <w:sz w:val="18"/>
      <w:szCs w:val="18"/>
    </w:rPr>
  </w:style>
  <w:style w:type="paragraph" w:styleId="5">
    <w:name w:val="header"/>
    <w:basedOn w:val="1"/>
    <w:link w:val="18"/>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uiPriority w:val="0"/>
    <w:rPr>
      <w:b/>
      <w:bCs/>
    </w:r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unhideWhenUsed/>
    <w:uiPriority w:val="0"/>
    <w:rPr>
      <w:color w:val="0000FF" w:themeColor="hyperlink"/>
      <w:u w:val="single"/>
      <w14:textFill>
        <w14:solidFill>
          <w14:schemeClr w14:val="hlink"/>
        </w14:solidFill>
      </w14:textFill>
    </w:rPr>
  </w:style>
  <w:style w:type="character" w:styleId="12">
    <w:name w:val="annotation reference"/>
    <w:basedOn w:val="8"/>
    <w:semiHidden/>
    <w:unhideWhenUsed/>
    <w:uiPriority w:val="0"/>
    <w:rPr>
      <w:sz w:val="21"/>
      <w:szCs w:val="21"/>
    </w:rPr>
  </w:style>
  <w:style w:type="paragraph" w:customStyle="1" w:styleId="13">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4">
    <w:name w:val="Unresolved Mention1"/>
    <w:basedOn w:val="8"/>
    <w:semiHidden/>
    <w:unhideWhenUsed/>
    <w:qFormat/>
    <w:uiPriority w:val="99"/>
    <w:rPr>
      <w:color w:val="605E5C"/>
      <w:shd w:val="clear" w:color="auto" w:fill="E1DFDD"/>
    </w:rPr>
  </w:style>
  <w:style w:type="character" w:customStyle="1" w:styleId="15">
    <w:name w:val="批注框文本 字符"/>
    <w:basedOn w:val="8"/>
    <w:link w:val="3"/>
    <w:uiPriority w:val="0"/>
    <w:rPr>
      <w:sz w:val="18"/>
      <w:szCs w:val="18"/>
    </w:rPr>
  </w:style>
  <w:style w:type="character" w:customStyle="1" w:styleId="16">
    <w:name w:val="批注文字 字符"/>
    <w:basedOn w:val="8"/>
    <w:link w:val="2"/>
    <w:qFormat/>
    <w:uiPriority w:val="0"/>
    <w:rPr>
      <w:sz w:val="24"/>
      <w:szCs w:val="24"/>
    </w:rPr>
  </w:style>
  <w:style w:type="character" w:customStyle="1" w:styleId="17">
    <w:name w:val="批注主题 字符"/>
    <w:basedOn w:val="16"/>
    <w:link w:val="6"/>
    <w:semiHidden/>
    <w:uiPriority w:val="0"/>
    <w:rPr>
      <w:b/>
      <w:bCs/>
      <w:sz w:val="24"/>
      <w:szCs w:val="24"/>
    </w:rPr>
  </w:style>
  <w:style w:type="character" w:customStyle="1" w:styleId="18">
    <w:name w:val="页眉 字符"/>
    <w:basedOn w:val="8"/>
    <w:link w:val="5"/>
    <w:qFormat/>
    <w:uiPriority w:val="0"/>
    <w:rPr>
      <w:sz w:val="18"/>
      <w:szCs w:val="18"/>
    </w:rPr>
  </w:style>
  <w:style w:type="character" w:customStyle="1" w:styleId="19">
    <w:name w:val="页脚 字符"/>
    <w:basedOn w:val="8"/>
    <w:link w:val="4"/>
    <w:qFormat/>
    <w:uiPriority w:val="99"/>
    <w:rPr>
      <w:sz w:val="18"/>
      <w:szCs w:val="18"/>
    </w:rPr>
  </w:style>
  <w:style w:type="character" w:customStyle="1" w:styleId="20">
    <w:name w:val="未处理的提及1"/>
    <w:basedOn w:val="8"/>
    <w:semiHidden/>
    <w:unhideWhenUsed/>
    <w:qFormat/>
    <w:uiPriority w:val="99"/>
    <w:rPr>
      <w:color w:val="605E5C"/>
      <w:shd w:val="clear" w:color="auto" w:fill="E1DFDD"/>
    </w:rPr>
  </w:style>
  <w:style w:type="character" w:styleId="21">
    <w:name w:val="Placeholder Text"/>
    <w:basedOn w:val="8"/>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6058</Words>
  <Characters>34536</Characters>
  <Lines>287</Lines>
  <Paragraphs>81</Paragraphs>
  <TotalTime>2</TotalTime>
  <ScaleCrop>false</ScaleCrop>
  <LinksUpToDate>false</LinksUpToDate>
  <CharactersWithSpaces>40513</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2022-06-03T07:40:00Z</dcterms:created>
  <dc:creator>Jian-Hua Mao</dc:creator>
  <cp:lastModifiedBy>千</cp:lastModifiedBy>
  <dcterms:modified xsi:type="dcterms:W3CDTF">2022-07-22T00:17:53Z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3296F2E2892D420D86CD7311E84DD15D</vt:lpwstr>
  </property>
</Properties>
</file>