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76741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Radiological review of rhinocerebral mucormycosis cases during the COVID-19 Pandemic: A single-center experience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Saneesh PS </w:t>
      </w:r>
      <w:r>
        <w:rPr>
          <w:rFonts w:ascii="Book Antiqua" w:hAnsi="Book Antiqua" w:eastAsia="Book Antiqua" w:cs="Book Antiqua"/>
          <w:i/>
          <w:color w:val="000000"/>
        </w:rPr>
        <w:t>et al</w:t>
      </w:r>
      <w:r>
        <w:rPr>
          <w:rFonts w:ascii="Book Antiqua" w:hAnsi="Book Antiqua" w:eastAsia="Book Antiqua" w:cs="Book Antiqua"/>
          <w:color w:val="000000"/>
        </w:rPr>
        <w:t>. Radiological review of rhinocerebral mucormycosis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 S Saneesh, Satya Chowdary Morampudi, Raghav Yelamanchi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 S Saneesh, </w:t>
      </w:r>
      <w:r>
        <w:rPr>
          <w:rFonts w:ascii="Book Antiqua" w:hAnsi="Book Antiqua" w:eastAsia="Book Antiqua" w:cs="Book Antiqua"/>
          <w:color w:val="000000"/>
        </w:rPr>
        <w:t>Department of Radiology, Aster MIMS, Kannur 670007, Kerala,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Satya Chowdary Morampudi, </w:t>
      </w:r>
      <w:r>
        <w:rPr>
          <w:rFonts w:ascii="Book Antiqua" w:hAnsi="Book Antiqua" w:eastAsia="Book Antiqua" w:cs="Book Antiqua"/>
          <w:color w:val="000000"/>
        </w:rPr>
        <w:t>Department of Radiodiagnosis, Pinnamaneni Siddhartha Institute of Medical Sciences &amp; Research Foundation, Gannavaram 521101, Andhra Pradesh,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Raghav Yelamanchi, </w:t>
      </w:r>
      <w:r>
        <w:rPr>
          <w:rFonts w:ascii="Book Antiqua" w:hAnsi="Book Antiqua" w:eastAsia="Book Antiqua" w:cs="Book Antiqua"/>
          <w:color w:val="000000"/>
        </w:rPr>
        <w:t>Department of Surgery, Atal Bihari Vajpayee Institute of Medical Sciences and Dr. Ram Manohar Lohia Hospital, Delhi 110001, Delhi,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Saneesh PS </w:t>
      </w:r>
      <w:r>
        <w:rPr>
          <w:rFonts w:ascii="Book Antiqua" w:hAnsi="Book Antiqua" w:eastAsia="Book Antiqua" w:cs="Book Antiqua"/>
          <w:color w:val="000000"/>
          <w:shd w:val="clear" w:color="auto" w:fill="FFFFFF"/>
        </w:rPr>
        <w:t>analyzed the data; Morampudi SC analyzed the data and wrote the manuscript; Yelamanchi R analyzed the data and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Raghav Yelamanchi, DNB, MS, Surgeon, Surgical Oncologist, </w:t>
      </w:r>
      <w:r>
        <w:rPr>
          <w:rFonts w:ascii="Book Antiqua" w:hAnsi="Book Antiqua" w:eastAsia="Book Antiqua" w:cs="Book Antiqua"/>
          <w:color w:val="000000"/>
        </w:rPr>
        <w:t>Department of Surgery, Atal Bihari Vajpayee Institute of Medical Sciences and Dr. Ram Manohar Lohia Hospital, Delhi 110001, Delhi, India. raghavyelamanchi@gmail.com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28,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18,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bookmarkStart w:id="0" w:name="OLE_LINK1"/>
      <w:r>
        <w:rPr>
          <w:rFonts w:hint="eastAsia" w:ascii="Book Antiqua" w:hAnsi="Book Antiqua" w:eastAsia="Book Antiqua" w:cs="Book Antiqua"/>
          <w:b w:val="0"/>
          <w:bCs w:val="0"/>
          <w:color w:val="000000"/>
        </w:rPr>
        <w:t>July 28, 2022</w:t>
      </w:r>
      <w:bookmarkEnd w:id="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Mucormycosis is caused by the fungi belonging to the order </w:t>
      </w:r>
      <w:r>
        <w:rPr>
          <w:rFonts w:ascii="Book Antiqua" w:hAnsi="Book Antiqua" w:eastAsia="Book Antiqua" w:cs="Book Antiqua"/>
          <w:i/>
          <w:iCs/>
          <w:color w:val="000000"/>
        </w:rPr>
        <w:t xml:space="preserve">Mucorales </w:t>
      </w:r>
      <w:r>
        <w:rPr>
          <w:rFonts w:ascii="Book Antiqua" w:hAnsi="Book Antiqua" w:eastAsia="Book Antiqua" w:cs="Book Antiqua"/>
          <w:color w:val="000000"/>
        </w:rPr>
        <w:t xml:space="preserve">and class </w:t>
      </w:r>
      <w:r>
        <w:rPr>
          <w:rFonts w:ascii="Book Antiqua" w:hAnsi="Book Antiqua" w:eastAsia="Book Antiqua" w:cs="Book Antiqua"/>
          <w:i/>
          <w:iCs/>
          <w:color w:val="000000"/>
        </w:rPr>
        <w:t>Zygomycetes.</w:t>
      </w:r>
      <w:r>
        <w:rPr>
          <w:rFonts w:ascii="Book Antiqua" w:hAnsi="Book Antiqua" w:eastAsia="Book Antiqua" w:cs="Book Antiqua"/>
          <w:color w:val="000000"/>
        </w:rPr>
        <w:t xml:space="preserve"> The incidence of mucormycosis has increased with the onset of the </w:t>
      </w:r>
      <w:r>
        <w:rPr>
          <w:rFonts w:ascii="Book Antiqua" w:hAnsi="Book Antiqua" w:eastAsia="Book Antiqua" w:cs="Book Antiqua"/>
          <w:color w:val="000000"/>
          <w:shd w:val="clear" w:color="auto" w:fill="FFFFFF"/>
        </w:rPr>
        <w:t xml:space="preserve">severe acute respiratory syndrome coronavirus 2 </w:t>
      </w:r>
      <w:r>
        <w:rPr>
          <w:rFonts w:ascii="Book Antiqua" w:hAnsi="Book Antiqua" w:eastAsia="Book Antiqua" w:cs="Book Antiqua"/>
          <w:color w:val="000000"/>
        </w:rPr>
        <w:t xml:space="preserve">infections leading to the </w:t>
      </w:r>
      <w:r>
        <w:rPr>
          <w:rFonts w:ascii="Book Antiqua" w:hAnsi="Book Antiqua" w:eastAsia="Book Antiqua" w:cs="Book Antiqua"/>
          <w:color w:val="000000"/>
          <w:shd w:val="clear" w:color="auto" w:fill="FFFFFF"/>
        </w:rPr>
        <w:t xml:space="preserve">coronavirus disease 2019 (COVID-19) </w:t>
      </w:r>
      <w:r>
        <w:rPr>
          <w:rFonts w:ascii="Book Antiqua" w:hAnsi="Book Antiqua" w:eastAsia="Book Antiqua" w:cs="Book Antiqua"/>
          <w:color w:val="000000"/>
        </w:rPr>
        <w:t>pandemic. This rise is attributed to the use of immunosuppressive medication to treat COVID-19 infections. Authors have retrospectively collected data of our cases of mucormycosis diagnosed from April 2020 to April 2021 at our institute. A total of 20 patients with rhinocerebral mucormycosis were studied. Most of the study subjects were male patients (90%) and were of the age group 41-50 years. Most patients in the review had comorbidities (85%) with diabetes being the most common comorbidity. Para nasal sinuses were involved in all the cases. Involvement of the neck spaces was present in 60% of the cases. Involvement of the central nervous system was present in 80% of the cases. Orbital involvement was present in 90% of the cases. The authors reviewed the various imaging findings of mucormycosis on computed tomography and magnetic resonance imaging in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Mucormycosis; Rhinocerebral infections; Fungal sinusitis; Medical imaging; Radiodiagnosis; COVID-19 pandemic</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Saneesh PS, Morampudi SC, Yelamanchi R. Radiological review of rhinocerebral mucormycosis cases during the COVID-19 pandemic: A single-center experience.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209-218</w:t>
      </w:r>
      <w:r>
        <w:rPr>
          <w:rFonts w:hint="eastAsia" w:ascii="Book Antiqua" w:hAnsi="Book Antiqua" w:eastAsia="Book Antiqua" w:cs="Book Antiqua"/>
          <w:b w:val="0"/>
          <w:bCs w:val="0"/>
          <w:color w:val="000000"/>
        </w:rPr>
        <w:t xml:space="preserve">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w:t>
      </w:r>
      <w:r>
        <w:rPr>
          <w:rFonts w:hint="default" w:ascii="Book Antiqua" w:hAnsi="Book Antiqua" w:eastAsia="Book Antiqua" w:cs="Book Antiqua"/>
          <w:i w:val="0"/>
          <w:iCs w:val="0"/>
          <w:color w:val="000000"/>
          <w:kern w:val="0"/>
          <w:sz w:val="24"/>
          <w:szCs w:val="24"/>
          <w:u w:val="none"/>
          <w:lang w:val="en-US" w:eastAsia="zh-CN" w:bidi="ar"/>
        </w:rPr>
        <w:t>209</w:t>
      </w:r>
      <w:r>
        <w:rPr>
          <w:rFonts w:hint="eastAsia" w:ascii="Book Antiqua" w:hAnsi="Book Antiqua" w:eastAsia="Book Antiqua" w:cs="Book Antiqua"/>
          <w:b w:val="0"/>
          <w:bCs w:val="0"/>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7</w:t>
      </w:r>
      <w:r>
        <w:rPr>
          <w:rFonts w:hint="eastAsia" w:ascii="Book Antiqua" w:hAnsi="Book Antiqua" w:eastAsia="Book Antiqua" w:cs="Book Antiqua"/>
          <w:b w:val="0"/>
          <w:bCs w:val="0"/>
          <w:color w:val="000000"/>
        </w:rPr>
        <w:t>.</w:t>
      </w:r>
      <w:r>
        <w:rPr>
          <w:rFonts w:hint="default" w:ascii="Book Antiqua" w:hAnsi="Book Antiqua" w:eastAsia="Book Antiqua" w:cs="Book Antiqua"/>
          <w:i w:val="0"/>
          <w:iCs w:val="0"/>
          <w:color w:val="000000"/>
          <w:kern w:val="0"/>
          <w:sz w:val="24"/>
          <w:szCs w:val="24"/>
          <w:u w:val="none"/>
          <w:lang w:val="en-US" w:eastAsia="zh-CN" w:bidi="ar"/>
        </w:rPr>
        <w:t>209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Rhinocerebral mucormycosis constituted the aftermath of the </w:t>
      </w:r>
      <w:r>
        <w:rPr>
          <w:rFonts w:ascii="Book Antiqua" w:hAnsi="Book Antiqua" w:eastAsia="Book Antiqua" w:cs="Book Antiqua"/>
          <w:color w:val="000000"/>
          <w:shd w:val="clear" w:color="auto" w:fill="FFFFFF"/>
        </w:rPr>
        <w:t>coronavirus disease 2019</w:t>
      </w:r>
      <w:r>
        <w:rPr>
          <w:rFonts w:ascii="Book Antiqua" w:hAnsi="Book Antiqua" w:eastAsia="Book Antiqua" w:cs="Book Antiqua"/>
          <w:color w:val="000000"/>
        </w:rPr>
        <w:t xml:space="preserve"> pandemic, leading to rapid increase in the number of cases, which were previously restricted only to few susceptible groups of patients. Rhinocerebral mucormycosis is associated with high mortality and morbidity. After clinical examination, imaging is the backbone for the diagnosis of this severe disease. Computed tomography helps in the preliminary diagnosis and helps to stage the disease. However, when orbital and intracranial extension is present, magnetic resonance imaging (MRI) is preferred because it delineates the involvement of these structures better. MRI can also delineate vascular involvement better. This article reviews the various imaging findings of mucormycosis.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Mucormycosis is caused by fungi belonging to the order </w:t>
      </w:r>
      <w:r>
        <w:rPr>
          <w:rFonts w:ascii="Book Antiqua" w:hAnsi="Book Antiqua" w:eastAsia="Book Antiqua" w:cs="Book Antiqua"/>
          <w:i/>
          <w:iCs/>
          <w:color w:val="000000"/>
        </w:rPr>
        <w:t xml:space="preserve">Mucorales </w:t>
      </w:r>
      <w:r>
        <w:rPr>
          <w:rFonts w:ascii="Book Antiqua" w:hAnsi="Book Antiqua" w:eastAsia="Book Antiqua" w:cs="Book Antiqua"/>
          <w:color w:val="000000"/>
        </w:rPr>
        <w:t xml:space="preserve">and class </w:t>
      </w:r>
      <w:r>
        <w:rPr>
          <w:rFonts w:ascii="Book Antiqua" w:hAnsi="Book Antiqua" w:eastAsia="Book Antiqua" w:cs="Book Antiqua"/>
          <w:i/>
          <w:iCs/>
          <w:color w:val="000000"/>
        </w:rPr>
        <w:t>Zygomycetes</w:t>
      </w:r>
      <w:r>
        <w:rPr>
          <w:rFonts w:ascii="Book Antiqua" w:hAnsi="Book Antiqua" w:eastAsia="Book Antiqua" w:cs="Book Antiqua"/>
          <w:color w:val="000000"/>
          <w:vertAlign w:val="superscript"/>
        </w:rPr>
        <w:t>[1]</w:t>
      </w:r>
      <w:r>
        <w:rPr>
          <w:rFonts w:ascii="Book Antiqua" w:hAnsi="Book Antiqua" w:eastAsia="Book Antiqua" w:cs="Book Antiqua"/>
          <w:color w:val="000000"/>
        </w:rPr>
        <w:t>. Fungal spores that are present in the air constitute a source of infection. However, these fungi rarely infect healthy individuals, as normal host defense mechanisms prevent invasion by these organisms. However, when host defense mechanisms are weakened due to several factors, such as congenital disorders, acquired immunodeficiency syndrome, hematological malignancies, uncontrolled systemic illnesses, and the use of immunosuppressive medication, these organisms invade and proliferate in human tissues. The incidence of mucormycosis has increased over the past few years due to the aging population, medical comorbidities, the increase in the incidence of malignancies, and the pandemic of human immunodeficiency virus infection</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situation has worsened with the onset of the </w:t>
      </w:r>
      <w:r>
        <w:rPr>
          <w:rFonts w:ascii="Book Antiqua" w:hAnsi="Book Antiqua" w:eastAsia="Book Antiqua" w:cs="Book Antiqua"/>
          <w:color w:val="000000"/>
          <w:shd w:val="clear" w:color="auto" w:fill="FFFFFF"/>
        </w:rPr>
        <w:t xml:space="preserve">severe acute respiratory syndrome coronavirus 2 </w:t>
      </w:r>
      <w:r>
        <w:rPr>
          <w:rFonts w:ascii="Book Antiqua" w:hAnsi="Book Antiqua" w:eastAsia="Book Antiqua" w:cs="Book Antiqua"/>
          <w:color w:val="000000"/>
        </w:rPr>
        <w:t xml:space="preserve">infections, which has led to the </w:t>
      </w:r>
      <w:r>
        <w:rPr>
          <w:rFonts w:ascii="Book Antiqua" w:hAnsi="Book Antiqua" w:eastAsia="Book Antiqua" w:cs="Book Antiqua"/>
          <w:color w:val="000000"/>
          <w:shd w:val="clear" w:color="auto" w:fill="FFFFFF"/>
        </w:rPr>
        <w:t xml:space="preserve">coronavirus disease 2019 (COVID-19) </w:t>
      </w:r>
      <w:r>
        <w:rPr>
          <w:rFonts w:ascii="Book Antiqua" w:hAnsi="Book Antiqua" w:eastAsia="Book Antiqua" w:cs="Book Antiqua"/>
          <w:color w:val="000000"/>
        </w:rPr>
        <w:t>pandemic that began in late 2019 and has continued till the present. The main pathogenesis of the complications of this viral infection is due to the excessive immunological response that leads to damage to host’s own tissues</w:t>
      </w:r>
      <w:r>
        <w:rPr>
          <w:rFonts w:ascii="Book Antiqua" w:hAnsi="Book Antiqua" w:eastAsia="Book Antiqua" w:cs="Book Antiqua"/>
          <w:color w:val="000000"/>
          <w:vertAlign w:val="superscript"/>
        </w:rPr>
        <w:t>[3]</w:t>
      </w:r>
      <w:r>
        <w:rPr>
          <w:rFonts w:ascii="Book Antiqua" w:hAnsi="Book Antiqua" w:eastAsia="Book Antiqua" w:cs="Book Antiqua"/>
          <w:color w:val="000000"/>
        </w:rPr>
        <w:t>. This has resulted in the use of immunosuppressive medication in the form of corticosteroids, interleukin antagonists, and various antibodies to counter the inflammatory cytokines. These drugs have proved to be efficacious in dealing with the complications and cytokine storm of COVID-19. However, they come with serious side effects of immunosuppression.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number of cases of mucormycosis has rapidly increased in the last few months. This rise is attributed to the use of immunosuppressive medication to treat COVID-19 infections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The paranasal sinuses and lungs, being the first spaces to come in contact with the fungus, are most commonly affected. Once the disease is established, it spreads to the surrounding structures, such as the orbit, brain, mediastinum, </w:t>
      </w:r>
      <w:r>
        <w:rPr>
          <w:rFonts w:ascii="Book Antiqua" w:hAnsi="Book Antiqua" w:eastAsia="Book Antiqua" w:cs="Book Antiqua"/>
          <w:i/>
          <w:iCs/>
          <w:color w:val="000000"/>
        </w:rPr>
        <w:t>etc</w:t>
      </w:r>
      <w:r>
        <w:rPr>
          <w:rFonts w:ascii="Book Antiqua" w:hAnsi="Book Antiqua" w:eastAsia="Book Antiqua" w:cs="Book Antiqua"/>
          <w:color w:val="000000"/>
        </w:rPr>
        <w:t>. The overall mortality of mucormycosis is more than 50%, and the mortality rate for disseminated disease reaches 100%</w:t>
      </w:r>
      <w:r>
        <w:rPr>
          <w:rFonts w:ascii="Book Antiqua" w:hAnsi="Book Antiqua" w:eastAsia="Book Antiqua" w:cs="Book Antiqua"/>
          <w:color w:val="000000"/>
          <w:vertAlign w:val="superscript"/>
        </w:rPr>
        <w:t>[5]</w:t>
      </w:r>
      <w:r>
        <w:rPr>
          <w:rFonts w:ascii="Book Antiqua" w:hAnsi="Book Antiqua" w:eastAsia="Book Antiqua" w:cs="Book Antiqua"/>
          <w:color w:val="000000"/>
        </w:rPr>
        <w:t>. The infection responds to only a few antifungals, such as amphotericin B, which are very toxic</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The authors of the present study have also come across many cases of mucormycosis in the last few months during the times of the COVID-19 pandemic. The following is a mini-review of the radiological findings of the rhinocerebral mucormycosis cases recorded by us in the last few months. </w:t>
      </w:r>
    </w:p>
    <w:p>
      <w:pPr>
        <w:spacing w:line="360" w:lineRule="auto"/>
        <w:ind w:firstLine="480" w:firstLineChars="200"/>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We have retrospectively collected data on cases of mucormycosis diagnosed from April 2020 to April 2021 at our institute, which is a tertiary care center located in the state of Kerala, India.</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 adult patients above the age of 18 years who were diagnosed with mucormycosis by imaging post–COVID-19 infection and confirmed by histopathological examination were studied. Patients with an unknown medical history, absent hospital records, and unknown outcomes were excluded from the review.</w:t>
      </w:r>
    </w:p>
    <w:p>
      <w:pPr>
        <w:spacing w:line="360" w:lineRule="auto"/>
        <w:ind w:firstLine="480" w:firstLineChars="200"/>
        <w:jc w:val="both"/>
        <w:rPr>
          <w:rFonts w:ascii="Book Antiqua" w:hAnsi="Book Antiqua"/>
        </w:rPr>
      </w:pPr>
      <w:r>
        <w:rPr>
          <w:rFonts w:ascii="Book Antiqua" w:hAnsi="Book Antiqua" w:eastAsia="Book Antiqua" w:cs="Book Antiqua"/>
          <w:color w:val="000000"/>
        </w:rPr>
        <w:t>Hospital databases in the radiology department of our hospital were searched with the keyword “mucormycosis,” and results were obtained. A list of cases was obtained, which was filtered to include only those cases from April 2020 to April 2021. Hospital identification numbers were then used to trace the clinical details and outcomes of the patients. The demographic details of the patients were recorded, and the COVID-19 infection history and treatment history were noted. History of various comorbidities, including malignancies, was obtained from the hospital records. The findings of the CECT scans,which were obtained using a 128-slice dual-energy CT scanner (SOMATOM Definition Flash, Siemens, Germany), were reviewed by the same radiologist to ensure uniformity in reporting. Images were acquired with 1–3 mm collimation and a pitch of up to 2:1 to allow for coverage of the area of interest in a single breath-hold.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Imaging was repeated at one-month follow-up to study the lesions.</w:t>
      </w:r>
    </w:p>
    <w:p>
      <w:pPr>
        <w:spacing w:line="360" w:lineRule="auto"/>
        <w:ind w:firstLine="480" w:firstLineChars="200"/>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aps/>
          <w:color w:val="000000"/>
          <w:u w:val="single"/>
        </w:rPr>
      </w:pPr>
      <w:r>
        <w:rPr>
          <w:rFonts w:ascii="Book Antiqua" w:hAnsi="Book Antiqua" w:eastAsia="Book Antiqua" w:cs="Book Antiqua"/>
          <w:b/>
          <w:bCs/>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 xml:space="preserve">A total of 20 patients with rhinocerebral mucormycosis were studied. Eighteen patients had isolated rhino-cerebral mucormycosis, and two patients had combined pulmonary and rhino-cerebral mucormycosis (Table 1). Most study subjects were male patients (90%). The age distribution of the subjects is as follows: 10% were between 20–30 years of age, 20% were between 31–40 years of age, 30% were between 41–50 years of age, 5% were between 51–60 years of age,20% were between 61–70 years of age, and 15% were between 71–80 years of age. Most patients in the review had comorbidities (85%): 20% had hematological malignancy, 40% had diabetes, 10% had acquired immunodeficiency syndrome, and 15% were transplant recipients on immunosuppressive medication.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Sinuses were involved in all the cases. Unilateral involvement of the sinuses was more common than bilateral involvement. In most cases (35%), all four sinuses (maxillary, frontal, ethmoid, and sphenoid) were involved. The isolated maxillary sinus was involved in 20% of the cases. The isolated frontal sinus was involved in 5% of the cases. The ethmoid and sphenoid sinuses combined were involved in 10% of the cases. The frontal, ethmoid, and sphenoid sinuses combined were involved in 5% of the cases.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Involvement of the neck spaces was present in 60% of the cases (Table 2). The pterygopalatine space was involved in 50% of the cases. The infratemporal fossa was involved in 40% of the cases. The masticator space, retropharyngeal space, and parapharyngeal spaces were each involved in 10% of the cases.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At one month follow-up, only 50% of the patients survived, 25% had progression of the lesions, 20% had improvement in the lesions, and 5% had static lesions.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There were no cases of isolated cerebral mucormycosis. Involvement of the central nervous system (CNS) was present in 80% of the cases. The involvement of CNS included the following: leptomeningeal enhancement, meningoencephalitis, brain infarcts, brain abscesses, internal carotid artery thrombosis, cavernous sinus thrombosis, dural venous sinus thrombosis, and epidural abscesses.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involvement of various structures of the CNS is listed in Table 2. Vascular involvement was present in 60% of the patients in our study, with the most common lesion being cavernous sinus thrombosis. Orbital involvement, which included orbital fat involvement, extraocular muscle involvement, and orbital cellulitis, was present in 90% of the cases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Most cases of rhinocerebral mucormycosis occurred in males in the present review as in other previous case series and reviews</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Most patients had comorbidities, with diabetes being the predominant comorbidity as in other previous studies. In the study by Dubey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all post–COVID-19 patients diagnosed with rhinocerebral mucormycosis were diabetic. This also includes new-onset diabetes due to the usage of corticosteroids during the treatment of COVID-19, which is as high as 38.18%</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the present study, similar to the study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unilateral involvement of the sinuses was more common. The ethmoid sinus was the most common sinus to be involved in the present study, followed by the maxillary sinus, as in the studies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and Patel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 the study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the most common site to be involved other than the sinuses was the orbit (76%) and the face (57%), followed by the orbital apex, masticator space, pterygopalatine fossa, bone, skull base, cavernous sinus, brain, and </w:t>
      </w:r>
      <w:r>
        <w:fldChar w:fldCharType="begin"/>
      </w:r>
      <w:r>
        <w:instrText xml:space="preserve"> HYPERLINK "https://www.sciencedirect.com/topics/medicine-and-dentistry/internal-carotid-artery" \o "Learn more about internal carotid artery from ScienceDirect's AI-generated Topic Pages" </w:instrText>
      </w:r>
      <w:r>
        <w:fldChar w:fldCharType="separate"/>
      </w:r>
      <w:r>
        <w:rPr>
          <w:rFonts w:ascii="Book Antiqua" w:hAnsi="Book Antiqua" w:eastAsia="Book Antiqua" w:cs="Book Antiqua"/>
          <w:color w:val="000000"/>
        </w:rPr>
        <w:t>internal carotid artery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.Orbital involvement was also very common in the present study, accounting for 90% of the cases. However, in the study by </w:t>
      </w:r>
      <w:r>
        <w:rPr>
          <w:rFonts w:ascii="Book Antiqua" w:hAnsi="Book Antiqua" w:eastAsia="Book Antiqua" w:cs="Book Antiqua"/>
          <w:color w:val="000000"/>
          <w:shd w:val="clear" w:color="auto" w:fill="FFFFFF"/>
        </w:rPr>
        <w:t xml:space="preserve">Patel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orbital involvement was present in only 60% of the cases.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Infection by fungi of the order </w:t>
      </w:r>
      <w:r>
        <w:rPr>
          <w:rFonts w:ascii="Book Antiqua" w:hAnsi="Book Antiqua" w:eastAsia="Book Antiqua" w:cs="Book Antiqua"/>
          <w:i/>
          <w:iCs/>
          <w:color w:val="000000"/>
        </w:rPr>
        <w:t>Mucorales</w:t>
      </w:r>
      <w:r>
        <w:rPr>
          <w:rFonts w:ascii="Book Antiqua" w:hAnsi="Book Antiqua" w:eastAsia="Book Antiqua" w:cs="Book Antiqua"/>
          <w:color w:val="000000"/>
        </w:rPr>
        <w:t xml:space="preserve"> begins in the nasal cavity mostly in the middle turbinate and starts spreading, mostly invading the sphenoethmoidal complex</w:t>
      </w:r>
      <w:r>
        <w:rPr>
          <w:rFonts w:ascii="Book Antiqua" w:hAnsi="Book Antiqua" w:eastAsia="Book Antiqua" w:cs="Book Antiqua"/>
          <w:color w:val="000000"/>
          <w:vertAlign w:val="superscript"/>
        </w:rPr>
        <w:t>[11,12]</w:t>
      </w:r>
      <w:r>
        <w:rPr>
          <w:rFonts w:ascii="Book Antiqua" w:hAnsi="Book Antiqua" w:eastAsia="Book Antiqua" w:cs="Book Antiqua"/>
          <w:color w:val="000000"/>
        </w:rPr>
        <w:t>. As the fungi have the ability to invade the blood vessels and the bony walls, they spread rapidly in immunocompromised hosts and those with chronic debilitating illnesses, to reach the sinus cavity</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necrotic tissue formed due to vascular occlusion acts as a rich niche for the further growth of the organism. Further invasion of the orbits and brain occurs through the foramen and through the sphenopalatine and internal maxillary arteries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The invasion in mucormycosis can be divided into three stages as per Rupa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Stage 1: The infection is localized to the nasal cavity and paranasal sinuses.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Stage 2: The infection begins to spread to the peri-sinus areas, which are completely resectable.</w:t>
      </w:r>
    </w:p>
    <w:p>
      <w:pPr>
        <w:spacing w:line="360" w:lineRule="auto"/>
        <w:ind w:firstLine="480" w:firstLineChars="200"/>
        <w:jc w:val="both"/>
        <w:rPr>
          <w:rFonts w:ascii="Book Antiqua" w:hAnsi="Book Antiqua"/>
        </w:rPr>
      </w:pPr>
      <w:r>
        <w:rPr>
          <w:rFonts w:ascii="Book Antiqua" w:hAnsi="Book Antiqua" w:eastAsia="Book Antiqua" w:cs="Book Antiqua"/>
          <w:color w:val="000000"/>
        </w:rPr>
        <w:t>Stage 3: The infection spreads into the intracranial cavity and to the surrounding areas of the sinuses, which are partially resectable.</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Computed tomography appearance of the lesions in the sinuses</w:t>
      </w:r>
    </w:p>
    <w:p>
      <w:pPr>
        <w:spacing w:line="360" w:lineRule="auto"/>
        <w:jc w:val="both"/>
        <w:rPr>
          <w:rFonts w:ascii="Book Antiqua" w:hAnsi="Book Antiqua"/>
        </w:rPr>
      </w:pPr>
      <w:r>
        <w:rPr>
          <w:rFonts w:ascii="Book Antiqua" w:hAnsi="Book Antiqua" w:eastAsia="Book Antiqua" w:cs="Book Antiqua"/>
          <w:color w:val="000000"/>
        </w:rPr>
        <w:t>Computed tomography (CT) is usually the first investigation to be performed whenever invasive rhinocerebral mucormycosis is suspected based on clinical history and examination. The CT findings are nonspecific and include inflammatory changes in the sinuses. Early changes include mucosal thickening due to inflammation, bony erosions, and the formation of a mass lesion inside the sinuses, leading to the opacification of the sinuses. Hyperattenuation of the secretions on CT is suggestive of fungal sinusitis. The hyperdense areas seen in the sinuses are due to the presence of fungal hyphae and debris. Early changes suggestive of the spread of the infection outside the sinus include loss of normal fat density in the periantral fat (anterior, premaxillary, or retroantral) and orbit owing to edemafrom vascular congestion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Superficial cellulitis is another early sign of invasion, which is not common in nonfungal sinusitis</w:t>
      </w:r>
      <w:r>
        <w:rPr>
          <w:rFonts w:ascii="Book Antiqua" w:hAnsi="Book Antiqua" w:eastAsia="Book Antiqua" w:cs="Book Antiqua"/>
          <w:color w:val="000000"/>
          <w:vertAlign w:val="superscript"/>
        </w:rPr>
        <w:t>[10]</w:t>
      </w:r>
      <w:r>
        <w:rPr>
          <w:rFonts w:ascii="Book Antiqua" w:hAnsi="Book Antiqua" w:eastAsia="Book Antiqua" w:cs="Book Antiqua"/>
          <w:color w:val="000000"/>
        </w:rPr>
        <w:t>. Late stages are characterized by signs suggestive of gross invasion of the structures of the orbit and the cranial cavity, which are more specific (Figure 1). Bone changes are also better visualized on CT.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enhancement pattern of the lesions on contrast-enhanced computed tomography (CECT) varies from none to mild to heterogeneous enhancement, which was also seen in the cases in the present study</w:t>
      </w:r>
      <w:r>
        <w:rPr>
          <w:rFonts w:ascii="Book Antiqua" w:hAnsi="Book Antiqua" w:eastAsia="Book Antiqua" w:cs="Book Antiqua"/>
          <w:color w:val="000000"/>
          <w:vertAlign w:val="superscript"/>
        </w:rPr>
        <w:t>[9,10]</w:t>
      </w:r>
      <w:r>
        <w:rPr>
          <w:rFonts w:ascii="Book Antiqua" w:hAnsi="Book Antiqua" w:eastAsia="Book Antiqua" w:cs="Book Antiqua"/>
          <w:color w:val="000000"/>
        </w:rPr>
        <w:t xml:space="preserve">. The mild form was the most common type of enhancement observed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Mucosal involvement may appear as a diffuse thickening or nodular thickening. Bone involvement was seen in the form of bone rarefaction, erosion, and permeative destruction in 40% of the cases in the study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Middlebrooks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shd w:val="clear" w:color="auto" w:fill="FFFFFF"/>
        </w:rPr>
        <w:t xml:space="preserve">designed a CT-based model based on seven variables; this model can be used to suspect acute invasive fungal sinusitis. The variables are </w:t>
      </w:r>
      <w:r>
        <w:rPr>
          <w:rFonts w:ascii="Book Antiqua" w:hAnsi="Book Antiqua" w:eastAsia="Book Antiqua" w:cs="Book Antiqua"/>
          <w:color w:val="000000"/>
        </w:rPr>
        <w:t>periantral fat</w:t>
      </w:r>
      <w:r>
        <w:rPr>
          <w:rFonts w:ascii="Book Antiqua" w:hAnsi="Book Antiqua" w:eastAsia="Book Antiqua" w:cs="Book Antiqua"/>
          <w:color w:val="000000"/>
          <w:shd w:val="clear" w:color="auto" w:fill="FFFFFF"/>
        </w:rPr>
        <w:t>involvement</w:t>
      </w:r>
      <w:r>
        <w:rPr>
          <w:rFonts w:ascii="Book Antiqua" w:hAnsi="Book Antiqua" w:eastAsia="Book Antiqua" w:cs="Book Antiqua"/>
          <w:color w:val="000000"/>
        </w:rPr>
        <w:t xml:space="preserve">, bone dehiscence, orbital invasion, septal ulceration, pterygopalatine fossa, nasolacrimal duct, and lacrimal sac. In a study by </w:t>
      </w:r>
      <w:r>
        <w:rPr>
          <w:rFonts w:ascii="Book Antiqua" w:hAnsi="Book Antiqua" w:eastAsia="Book Antiqua" w:cs="Book Antiqua"/>
          <w:color w:val="000000"/>
          <w:shd w:val="clear" w:color="auto" w:fill="FFFFFF"/>
        </w:rPr>
        <w:t xml:space="preserve">Silverman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[16]</w:t>
      </w:r>
      <w:r>
        <w:rPr>
          <w:rFonts w:ascii="Book Antiqua" w:hAnsi="Book Antiqua" w:eastAsia="Book Antiqua" w:cs="Book Antiqua"/>
          <w:color w:val="000000"/>
          <w:shd w:val="clear" w:color="auto" w:fill="FFFFFF"/>
        </w:rPr>
        <w:t xml:space="preserve">, most cases of extra sinus invasion occurred without bony invasion, suggesting that perivascular or perineural invasion plays an important role in the spread of mucormycosis. In the same study, Silverman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shd w:val="clear" w:color="auto" w:fill="FFFFFF"/>
        </w:rPr>
        <w:t xml:space="preserve"> noted that the </w:t>
      </w:r>
      <w:r>
        <w:rPr>
          <w:rFonts w:ascii="Book Antiqua" w:hAnsi="Book Antiqua" w:eastAsia="Book Antiqua" w:cs="Book Antiqua"/>
          <w:color w:val="000000"/>
        </w:rPr>
        <w:t>presence of retroantral, facial, and orbital fat stranding was associated with a more aggressive infection.</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Magnetic resonance imaging appearance of the sinus lesions</w:t>
      </w:r>
    </w:p>
    <w:p>
      <w:pPr>
        <w:spacing w:line="360" w:lineRule="auto"/>
        <w:jc w:val="both"/>
        <w:rPr>
          <w:rFonts w:ascii="Book Antiqua" w:hAnsi="Book Antiqua"/>
        </w:rPr>
      </w:pPr>
      <w:r>
        <w:rPr>
          <w:rFonts w:ascii="Book Antiqua" w:hAnsi="Book Antiqua" w:eastAsia="Book Antiqua" w:cs="Book Antiqua"/>
          <w:color w:val="000000"/>
        </w:rPr>
        <w:t xml:space="preserve">Orbital and intracranial invasions are best seen by magnetic resonance imaging (MRI). Early changes are nonspecific. These include mucosal thickening, which appears hypointense on T1-weighted images and hyperintense on T2-weighted images. In the study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on a T2-weighted sequence,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37% of the lesions were isointense to mildly hypointense, 32% were heterogeneous, and 32% were hyperintense. Fungal elements are hypointense on T2-weighted images (Figure 2). The enhancement pattern is best studied on fat-suppressed post-gadolinium images and is different for different lesions. Of all the cases in the study by Therakathu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29% showed intense homogenous enhancement, 36% showed heterogeneous enhancement, and 36% showed no enhancement.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Because of the angioinvasive nature of mucormycosis, the vessels get thrombosed. Upon injection of the contrast, the normal expected pattern of mucosal enhancement in case of inflammatory lesions may not be visible. Instead, there will be a low-signal intensity of the affected mucosa of the nasal turbinate on T2-weighted MRI images associated with an increased signal on diffusion-weighted images. This was referred to as the black turbinate sign by </w:t>
      </w:r>
      <w:r>
        <w:rPr>
          <w:rFonts w:ascii="Book Antiqua" w:hAnsi="Book Antiqua" w:eastAsia="Book Antiqua" w:cs="Book Antiqua"/>
          <w:color w:val="000000"/>
          <w:shd w:val="clear" w:color="auto" w:fill="FFFFFF"/>
        </w:rPr>
        <w:t xml:space="preserve">Safder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[18]</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Differential diagnosis on imaging for mucormycosis includes the following: Acute rhinosinusitis with complications, Wegener’s granulomatosis, and squamous cell carcinoma.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However, in the COVID-19pandemic, mucormycosis should be considered the first differential diagnosis.</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Imaging features of intracranial mucormycosis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Most of the imaging features correlate with the angioinvasive pattern of the mucormycosis infection. The imaging findings are nonspecific, but early diagnosis is of paramount importance because of the associated morbidity and mortality. </w:t>
      </w:r>
      <w:r>
        <w:rPr>
          <w:rFonts w:ascii="Book Antiqua" w:hAnsi="Book Antiqua" w:eastAsia="Book Antiqua" w:cs="Book Antiqua"/>
          <w:color w:val="000000"/>
        </w:rPr>
        <w:t>Sen</w:t>
      </w:r>
      <w:r>
        <w:rPr>
          <w:rFonts w:ascii="Book Antiqua" w:hAnsi="Book Antiqua" w:eastAsia="Book Antiqua" w:cs="Book Antiqua"/>
          <w:i/>
          <w:iCs/>
          <w:color w:val="000000"/>
        </w:rPr>
        <w:t>et al</w:t>
      </w:r>
      <w:r>
        <w:rPr>
          <w:rFonts w:ascii="Book Antiqua" w:hAnsi="Book Antiqua" w:eastAsia="Book Antiqua" w:cs="Book Antiqua"/>
          <w:color w:val="000000"/>
          <w:shd w:val="clear" w:color="auto" w:fill="FFFFFF"/>
          <w:vertAlign w:val="superscript"/>
        </w:rPr>
        <w:t>[19]</w:t>
      </w:r>
      <w:r>
        <w:rPr>
          <w:rFonts w:ascii="Book Antiqua" w:hAnsi="Book Antiqua" w:eastAsia="Book Antiqua" w:cs="Book Antiqua"/>
          <w:color w:val="000000"/>
        </w:rPr>
        <w:t xml:space="preserve"> found that </w:t>
      </w:r>
      <w:r>
        <w:fldChar w:fldCharType="begin"/>
      </w:r>
      <w:r>
        <w:instrText xml:space="preserve"> HYPERLINK "https://www.sciencedirect.com/topics/medicine-and-dentistry/cavernous-sinus-thrombosis" \o "Learn more about cavernous sinus thrombosis from ScienceDirect's AI-generated Topic Pages" </w:instrText>
      </w:r>
      <w:r>
        <w:fldChar w:fldCharType="separate"/>
      </w:r>
      <w:r>
        <w:rPr>
          <w:rFonts w:ascii="Book Antiqua" w:hAnsi="Book Antiqua" w:eastAsia="Book Antiqua" w:cs="Book Antiqua"/>
          <w:color w:val="000000"/>
        </w:rPr>
        <w:t>cavernous sinus thrombosis</w:t>
      </w:r>
      <w:r>
        <w:rPr>
          <w:rFonts w:ascii="Book Antiqua" w:hAnsi="Book Antiqua" w:eastAsia="Book Antiqua" w:cs="Book Antiqua"/>
          <w:color w:val="000000"/>
        </w:rPr>
        <w:fldChar w:fldCharType="end"/>
      </w:r>
      <w:r>
        <w:t xml:space="preserve"> </w:t>
      </w:r>
      <w:r>
        <w:rPr>
          <w:rFonts w:ascii="Book Antiqua" w:hAnsi="Book Antiqua" w:eastAsia="Book Antiqua" w:cs="Book Antiqua"/>
          <w:color w:val="000000"/>
        </w:rPr>
        <w:t xml:space="preserve">and </w:t>
      </w:r>
      <w:r>
        <w:fldChar w:fldCharType="begin"/>
      </w:r>
      <w:r>
        <w:instrText xml:space="preserve"> HYPERLINK "https://www.sciencedirect.com/topics/medicine-and-dentistry/cribriform-plate" \o "Learn more about cribriform plate from ScienceDirect's AI-generated Topic Pages" </w:instrText>
      </w:r>
      <w:r>
        <w:fldChar w:fldCharType="separate"/>
      </w:r>
      <w:r>
        <w:rPr>
          <w:rFonts w:ascii="Book Antiqua" w:hAnsi="Book Antiqua" w:eastAsia="Book Antiqua" w:cs="Book Antiqua"/>
          <w:color w:val="000000"/>
        </w:rPr>
        <w:t>cribriform plate</w:t>
      </w:r>
      <w:r>
        <w:rPr>
          <w:rFonts w:ascii="Book Antiqua" w:hAnsi="Book Antiqua" w:eastAsia="Book Antiqua" w:cs="Book Antiqua"/>
          <w:color w:val="000000"/>
        </w:rPr>
        <w:fldChar w:fldCharType="end"/>
      </w:r>
      <w:r>
        <w:t xml:space="preserve"> </w:t>
      </w:r>
      <w:r>
        <w:rPr>
          <w:rFonts w:ascii="Book Antiqua" w:hAnsi="Book Antiqua" w:eastAsia="Book Antiqua" w:cs="Book Antiqua"/>
          <w:color w:val="000000"/>
        </w:rPr>
        <w:t>erosion were the commonest pathways of spread into the cranium and were present in 76% and 22% of the patients, respectively</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The involvement may appear as leptomeningeal inflammation, which appears as leptomeningeal enhancement and involvement of the cranial nerves with signs of meningism.This may be accompanied by cerebritis. Cerebritis appears as T2-FLAIR hyperintensity with variable enhancement and heterogeneous diffusion restriction on diffusion-weighted imaging. Invasion of the parenchyma may appear as granuloma formation or abscess formation. Fungal granulomas may show faint enhancement and surrounding edema.</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In contrast to the pyogenic abscess, fungal abscesses are frequently multiple and form at the corticomedullary junction and in the basal ganglia. Isolated fungal abscesses are rare, and one should suspect intravenous drug abuse if encountered with such a situation. Fungal abscesses have crenated borders and non-enhancing, diffusion-restricting intracavitary projections</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.They are hypointense on T1 and hyperintense on T2 and show rim enhancement</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On diffusion-weighted imaging, Luthra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found that fungal abscesses showed restriction of diffusion in the projections and the wall, and the core of the abscess had no restriction of diffusion. In the same study, the authors found that the apparent diffusion coefficient was higher for the wall of the abscess when compared to the intracavitary projections for the fungal abscess, and it was statistically significant</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Vascular complications are observed in the late stages. They include both venous and arterial complications such as cavernous sinus thrombosis, arterial thrombosis, and aneurysmal dilatation (Figure 3). In the study by Mohindra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[21]</w:t>
      </w:r>
      <w:r>
        <w:rPr>
          <w:rFonts w:ascii="Book Antiqua" w:hAnsi="Book Antiqua" w:eastAsia="Book Antiqua" w:cs="Book Antiqua"/>
          <w:color w:val="000000"/>
          <w:shd w:val="clear" w:color="auto" w:fill="FFFFFF"/>
        </w:rPr>
        <w:t>, the role of MRI in the detection of vascular lesions was studied. In the study by Razek</w:t>
      </w:r>
      <w:r>
        <w:rPr>
          <w:rFonts w:hint="eastAsia" w:ascii="Book Antiqua" w:hAnsi="Book Antiqua" w:eastAsia="宋体" w:cs="Book Antiqua"/>
          <w:color w:val="000000"/>
          <w:shd w:val="clear" w:color="auto" w:fill="FFFFFF"/>
          <w:lang w:val="en-US" w:eastAsia="zh-CN"/>
        </w:rPr>
        <w:t xml:space="preserve">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cavernous sinus involvement in mucormycosis appears hypointense on T1 and T2 sequences with intense, inhomogeneous post-contrast enhancement. Cavernous sinus thrombosis is the most common complication in the present study, as in certain published studies.</w:t>
      </w:r>
    </w:p>
    <w:p>
      <w:pPr>
        <w:spacing w:line="360" w:lineRule="auto"/>
        <w:jc w:val="both"/>
        <w:rPr>
          <w:rFonts w:ascii="Book Antiqua" w:hAnsi="Book Antiqua" w:eastAsia="Book Antiqua" w:cs="Book Antiqua"/>
          <w:b/>
          <w:bCs/>
          <w:i/>
          <w:iCs/>
          <w:color w:val="000000"/>
        </w:rPr>
      </w:pPr>
    </w:p>
    <w:p>
      <w:pPr>
        <w:spacing w:line="360" w:lineRule="auto"/>
        <w:jc w:val="both"/>
        <w:rPr>
          <w:rFonts w:ascii="Book Antiqua" w:hAnsi="Book Antiqua"/>
        </w:rPr>
      </w:pPr>
      <w:r>
        <w:rPr>
          <w:rFonts w:ascii="Book Antiqua" w:hAnsi="Book Antiqua" w:eastAsia="Book Antiqua" w:cs="Book Antiqua"/>
          <w:b/>
          <w:bCs/>
          <w:i/>
          <w:iCs/>
          <w:color w:val="000000"/>
        </w:rPr>
        <w:t>Cause of the increased incidence and severity of mucormycosis during the COVID-19 pandemic</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Diabetes was one of the major predisposing factors for mucormycosis during the COVID-19 pandemic. Prakash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[23]</w:t>
      </w:r>
      <w:r>
        <w:rPr>
          <w:rFonts w:ascii="Book Antiqua" w:hAnsi="Book Antiqua" w:eastAsia="Book Antiqua" w:cs="Book Antiqua"/>
          <w:color w:val="000000"/>
          <w:shd w:val="clear" w:color="auto" w:fill="FFFFFF"/>
        </w:rPr>
        <w:t xml:space="preserve"> highlighted that rhinocerebral mucormycosis cases were predominantly present in those with uncontrolled diabetes and diabetic ketoacidosis, and few were present in immunosuppressed hosts. The findings were similar to those in other studies by Sen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[18]</w:t>
      </w:r>
      <w:r>
        <w:rPr>
          <w:rFonts w:ascii="Book Antiqua" w:hAnsi="Book Antiqua" w:eastAsia="Book Antiqua" w:cs="Book Antiqua"/>
          <w:color w:val="000000"/>
          <w:shd w:val="clear" w:color="auto" w:fill="FFFFFF"/>
        </w:rPr>
        <w:t xml:space="preserve">, John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[24]</w:t>
      </w:r>
      <w:r>
        <w:rPr>
          <w:rFonts w:ascii="Book Antiqua" w:hAnsi="Book Antiqua" w:eastAsia="Book Antiqua" w:cs="Book Antiqua"/>
          <w:color w:val="000000"/>
          <w:shd w:val="clear" w:color="auto" w:fill="FFFFFF"/>
        </w:rPr>
        <w:t xml:space="preserve">, and Hoenigl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[25]</w:t>
      </w:r>
      <w:r>
        <w:rPr>
          <w:rFonts w:ascii="Book Antiqua" w:hAnsi="Book Antiqua" w:eastAsia="Book Antiqua" w:cs="Book Antiqua"/>
          <w:color w:val="000000"/>
          <w:shd w:val="clear" w:color="auto" w:fill="FFFFFF"/>
        </w:rPr>
        <w:t xml:space="preserve">. In the afore mentioned studies, the prevalence of diabetes was 78%-94% among patients with mucormycosis post–COVID-19 infection. In Patel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rPr>
        <w:t>’s study, patients with mucormycosis with poor glycemic control had a more invasive disease, which was statistically significant (</w:t>
      </w:r>
      <w:r>
        <w:rPr>
          <w:rFonts w:ascii="Book Antiqua" w:hAnsi="Book Antiqua" w:eastAsia="Book Antiqua" w:cs="Book Antiqua"/>
          <w:i/>
          <w:color w:val="000000"/>
          <w:shd w:val="clear" w:color="auto" w:fill="FFFFFF"/>
        </w:rPr>
        <w:t xml:space="preserve">P </w:t>
      </w:r>
      <w:r>
        <w:rPr>
          <w:rFonts w:ascii="Book Antiqua" w:hAnsi="Book Antiqua" w:eastAsia="Book Antiqua" w:cs="Book Antiqua"/>
          <w:color w:val="000000"/>
          <w:shd w:val="clear" w:color="auto" w:fill="FFFFFF"/>
        </w:rPr>
        <w:t>value = 0.040)</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The rampant use of corticosteroids and other immunomodulatory drugs to control the severity of the COVID-19 infection has further led to the increased predisposition</w:t>
      </w:r>
      <w:r>
        <w:rPr>
          <w:rFonts w:ascii="Book Antiqua" w:hAnsi="Book Antiqua" w:eastAsia="Book Antiqua" w:cs="Book Antiqua"/>
          <w:color w:val="000000"/>
          <w:shd w:val="clear" w:color="auto" w:fill="FFFFFF"/>
          <w:vertAlign w:val="superscript"/>
        </w:rPr>
        <w:t>[26]</w:t>
      </w:r>
      <w:r>
        <w:rPr>
          <w:rFonts w:ascii="Book Antiqua" w:hAnsi="Book Antiqua" w:eastAsia="Book Antiqua" w:cs="Book Antiqua"/>
          <w:color w:val="000000"/>
          <w:shd w:val="clear" w:color="auto" w:fill="FFFFFF"/>
        </w:rPr>
        <w:t>. During the peak of the pandemic, when healthcare facilities were functioning beyond their capacities, there were instances of unsupervised treatment with these immunomodulatory agents, leading to further escalation of the problem.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Rhinocerebral mucormycosis constituted the aftermath of the COVID-19 pandemic, leading to a rapid increase in the number of cases, which were previously restricted to only a few susceptible groups of patients. Rhinocerebral mucormycosis is associated with high mortality and morbidity. Hence, it should be suspected in any patient who presents symptoms of sinusitis, facial swelling, or </w:t>
      </w:r>
      <w:r>
        <w:rPr>
          <w:rFonts w:ascii="Book Antiqua" w:hAnsi="Book Antiqua" w:eastAsia="Book Antiqua" w:cs="Book Antiqua"/>
          <w:color w:val="000000"/>
        </w:rPr>
        <w:t>CNS</w:t>
      </w:r>
      <w:r>
        <w:rPr>
          <w:rFonts w:ascii="Book Antiqua" w:hAnsi="Book Antiqua" w:eastAsia="Book Antiqua" w:cs="Book Antiqua"/>
          <w:color w:val="000000"/>
          <w:shd w:val="clear" w:color="auto" w:fill="FFFFFF"/>
        </w:rPr>
        <w:t xml:space="preserve"> symptoms. After clinical examination, imaging is the backbone of the diagnosis of this severe disease. </w:t>
      </w:r>
      <w:r>
        <w:rPr>
          <w:rFonts w:ascii="Book Antiqua" w:hAnsi="Book Antiqua" w:eastAsia="Book Antiqua" w:cs="Book Antiqua"/>
          <w:color w:val="000000"/>
        </w:rPr>
        <w:t>CT</w:t>
      </w:r>
      <w:r>
        <w:rPr>
          <w:rFonts w:ascii="Book Antiqua" w:hAnsi="Book Antiqua" w:eastAsia="Book Antiqua" w:cs="Book Antiqua"/>
          <w:color w:val="000000"/>
          <w:shd w:val="clear" w:color="auto" w:fill="FFFFFF"/>
        </w:rPr>
        <w:t xml:space="preserve"> helps in the preliminary diagnosis and helps stage the disease. CT detects bony erosion better. However, when an orbital and intracranial extension is present, </w:t>
      </w:r>
      <w:r>
        <w:rPr>
          <w:rFonts w:ascii="Book Antiqua" w:hAnsi="Book Antiqua" w:eastAsia="Book Antiqua" w:cs="Book Antiqua"/>
          <w:color w:val="000000"/>
        </w:rPr>
        <w:t>MRI</w:t>
      </w:r>
      <w:r>
        <w:rPr>
          <w:rFonts w:ascii="Book Antiqua" w:hAnsi="Book Antiqua" w:eastAsia="Book Antiqua" w:cs="Book Antiqua"/>
          <w:color w:val="000000"/>
          <w:shd w:val="clear" w:color="auto" w:fill="FFFFFF"/>
        </w:rPr>
        <w:t xml:space="preserve"> is preferred, as it delineates the involvement of these structures better. MRI can also delineate vascular involvement better. In accessible sites, biopsy and potassium hydroxide mount help clinch the diagnosis. The treatment of rhinocerebral mucormycosis consists of debridement of the necrotic tissue along with intravenous antifungals for a prolonged duration. Control of diabetes and judicious use of corticosteroids and immunomodulatory drugs can decrease the incidence of this life-threatening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Ibrahim AS</w:t>
      </w:r>
      <w:r>
        <w:rPr>
          <w:rFonts w:ascii="Book Antiqua" w:hAnsi="Book Antiqua"/>
        </w:rPr>
        <w:t xml:space="preserve">, Spellberg B, Walsh TJ, Kontoyiannis DP. Pathogenesis of mucormycosis. </w:t>
      </w:r>
      <w:r>
        <w:rPr>
          <w:rFonts w:ascii="Book Antiqua" w:hAnsi="Book Antiqua"/>
          <w:i/>
          <w:iCs/>
        </w:rPr>
        <w:t>Clin Infect Dis</w:t>
      </w:r>
      <w:r>
        <w:rPr>
          <w:rFonts w:ascii="Book Antiqua" w:hAnsi="Book Antiqua"/>
        </w:rPr>
        <w:t xml:space="preserve"> 2012; </w:t>
      </w:r>
      <w:r>
        <w:rPr>
          <w:rFonts w:ascii="Book Antiqua" w:hAnsi="Book Antiqua"/>
          <w:b/>
          <w:bCs/>
        </w:rPr>
        <w:t>54 Suppl 1</w:t>
      </w:r>
      <w:r>
        <w:rPr>
          <w:rFonts w:ascii="Book Antiqua" w:hAnsi="Book Antiqua"/>
        </w:rPr>
        <w:t>: S16-S22 [PMID: 22247441 DOI: 10.1093/cid/cir865]</w:t>
      </w:r>
    </w:p>
    <w:p>
      <w:pPr>
        <w:spacing w:line="360" w:lineRule="auto"/>
        <w:jc w:val="both"/>
        <w:rPr>
          <w:rFonts w:ascii="Book Antiqua" w:hAnsi="Book Antiqua"/>
        </w:rPr>
      </w:pPr>
      <w:r>
        <w:rPr>
          <w:rFonts w:ascii="Book Antiqua" w:hAnsi="Book Antiqua"/>
        </w:rPr>
        <w:t xml:space="preserve">2 </w:t>
      </w:r>
      <w:r>
        <w:rPr>
          <w:rFonts w:ascii="Book Antiqua" w:hAnsi="Book Antiqua"/>
          <w:b/>
          <w:bCs/>
        </w:rPr>
        <w:t>Camara-Lemarroy CR</w:t>
      </w:r>
      <w:r>
        <w:rPr>
          <w:rFonts w:ascii="Book Antiqua" w:hAnsi="Book Antiqua"/>
        </w:rPr>
        <w:t xml:space="preserve">, González-Moreno EI, Rodríguez-Gutiérrez R, Rendón-Ramírez EJ, Ayala-Cortés AS, Fraga-Hernández ML, García-Labastida L, Galarza-Delgado DÁ. Clinical features and outcome of mucormycosis. </w:t>
      </w:r>
      <w:r>
        <w:rPr>
          <w:rFonts w:ascii="Book Antiqua" w:hAnsi="Book Antiqua"/>
          <w:i/>
          <w:iCs/>
        </w:rPr>
        <w:t>Interdiscip Perspect Infect Dis</w:t>
      </w:r>
      <w:r>
        <w:rPr>
          <w:rFonts w:ascii="Book Antiqua" w:hAnsi="Book Antiqua"/>
        </w:rPr>
        <w:t xml:space="preserve"> 2014; </w:t>
      </w:r>
      <w:r>
        <w:rPr>
          <w:rFonts w:ascii="Book Antiqua" w:hAnsi="Book Antiqua"/>
          <w:b/>
          <w:bCs/>
        </w:rPr>
        <w:t>2014</w:t>
      </w:r>
      <w:r>
        <w:rPr>
          <w:rFonts w:ascii="Book Antiqua" w:hAnsi="Book Antiqua"/>
        </w:rPr>
        <w:t>: 562610 [PMID: 25210515 DOI: 10.1155/2014/562610]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Sweeney RM</w:t>
      </w:r>
      <w:r>
        <w:rPr>
          <w:rFonts w:ascii="Book Antiqua" w:hAnsi="Book Antiqua"/>
        </w:rPr>
        <w:t xml:space="preserve">, McAuley DF. Acute respiratory distress syndrome. </w:t>
      </w:r>
      <w:r>
        <w:rPr>
          <w:rFonts w:ascii="Book Antiqua" w:hAnsi="Book Antiqua"/>
          <w:i/>
          <w:iCs/>
        </w:rPr>
        <w:t>Lancet</w:t>
      </w:r>
      <w:r>
        <w:rPr>
          <w:rFonts w:ascii="Book Antiqua" w:hAnsi="Book Antiqua"/>
        </w:rPr>
        <w:t xml:space="preserve"> 2016; </w:t>
      </w:r>
      <w:r>
        <w:rPr>
          <w:rFonts w:ascii="Book Antiqua" w:hAnsi="Book Antiqua"/>
          <w:b/>
          <w:bCs/>
        </w:rPr>
        <w:t>388</w:t>
      </w:r>
      <w:r>
        <w:rPr>
          <w:rFonts w:ascii="Book Antiqua" w:hAnsi="Book Antiqua"/>
        </w:rPr>
        <w:t>: 2416-2430 [PMID: 27133972 DOI: 10.1016/S0140-6736(16)00578-X]</w:t>
      </w:r>
    </w:p>
    <w:p>
      <w:pPr>
        <w:spacing w:line="360" w:lineRule="auto"/>
        <w:jc w:val="both"/>
        <w:rPr>
          <w:rFonts w:ascii="Book Antiqua" w:hAnsi="Book Antiqua"/>
        </w:rPr>
      </w:pPr>
      <w:r>
        <w:rPr>
          <w:rFonts w:ascii="Book Antiqua" w:hAnsi="Book Antiqua"/>
        </w:rPr>
        <w:t xml:space="preserve">4 </w:t>
      </w:r>
      <w:r>
        <w:rPr>
          <w:rFonts w:ascii="Book Antiqua" w:hAnsi="Book Antiqua"/>
          <w:b/>
          <w:bCs/>
        </w:rPr>
        <w:t>Song G</w:t>
      </w:r>
      <w:r>
        <w:rPr>
          <w:rFonts w:ascii="Book Antiqua" w:hAnsi="Book Antiqua"/>
        </w:rPr>
        <w:t xml:space="preserve">, Liang G, Liu W. Fungal Co-infections Associated with Global COVID-19 Pandemic: A Clinical and Diagnostic Perspective from China. </w:t>
      </w:r>
      <w:r>
        <w:rPr>
          <w:rFonts w:ascii="Book Antiqua" w:hAnsi="Book Antiqua"/>
          <w:i/>
          <w:iCs/>
        </w:rPr>
        <w:t>Mycopathologia</w:t>
      </w:r>
      <w:r>
        <w:rPr>
          <w:rFonts w:ascii="Book Antiqua" w:hAnsi="Book Antiqua"/>
        </w:rPr>
        <w:t xml:space="preserve"> 2020; </w:t>
      </w:r>
      <w:r>
        <w:rPr>
          <w:rFonts w:ascii="Book Antiqua" w:hAnsi="Book Antiqua"/>
          <w:b/>
          <w:bCs/>
        </w:rPr>
        <w:t>185</w:t>
      </w:r>
      <w:r>
        <w:rPr>
          <w:rFonts w:ascii="Book Antiqua" w:hAnsi="Book Antiqua"/>
        </w:rPr>
        <w:t>: 599-606 [PMID: 32737747 DOI: 10.1007/s11046-020-00462-9]</w:t>
      </w:r>
    </w:p>
    <w:p>
      <w:pPr>
        <w:spacing w:line="360" w:lineRule="auto"/>
        <w:jc w:val="both"/>
        <w:rPr>
          <w:rFonts w:ascii="Book Antiqua" w:hAnsi="Book Antiqua"/>
        </w:rPr>
      </w:pPr>
      <w:r>
        <w:rPr>
          <w:rFonts w:ascii="Book Antiqua" w:hAnsi="Book Antiqua"/>
        </w:rPr>
        <w:t xml:space="preserve">5 </w:t>
      </w:r>
      <w:r>
        <w:rPr>
          <w:rFonts w:ascii="Book Antiqua" w:hAnsi="Book Antiqua"/>
          <w:b/>
          <w:bCs/>
        </w:rPr>
        <w:t>Roden MM</w:t>
      </w:r>
      <w:r>
        <w:rPr>
          <w:rFonts w:ascii="Book Antiqua" w:hAnsi="Book Antiqua"/>
        </w:rPr>
        <w:t xml:space="preserve">, Zaoutis TE, Buchanan WL, Knudsen TA, Sarkisova TA, Schaufele RL, Sein M, Sein T, Chiou CC, Chu JH, Kontoyiannis DP, Walsh TJ. Epidemiology and outcome of zygomycosis: a review of 929 reported cases. </w:t>
      </w:r>
      <w:r>
        <w:rPr>
          <w:rFonts w:ascii="Book Antiqua" w:hAnsi="Book Antiqua"/>
          <w:i/>
          <w:iCs/>
        </w:rPr>
        <w:t>Clin Infect Dis</w:t>
      </w:r>
      <w:r>
        <w:rPr>
          <w:rFonts w:ascii="Book Antiqua" w:hAnsi="Book Antiqua"/>
        </w:rPr>
        <w:t xml:space="preserve"> 2005; </w:t>
      </w:r>
      <w:r>
        <w:rPr>
          <w:rFonts w:ascii="Book Antiqua" w:hAnsi="Book Antiqua"/>
          <w:b/>
          <w:bCs/>
        </w:rPr>
        <w:t>41</w:t>
      </w:r>
      <w:r>
        <w:rPr>
          <w:rFonts w:ascii="Book Antiqua" w:hAnsi="Book Antiqua"/>
        </w:rPr>
        <w:t>: 634-653 [PMID: 16080086 DOI: 10.1086/432579]</w:t>
      </w:r>
    </w:p>
    <w:p>
      <w:pPr>
        <w:spacing w:line="360" w:lineRule="auto"/>
        <w:jc w:val="both"/>
        <w:rPr>
          <w:rFonts w:ascii="Book Antiqua" w:hAnsi="Book Antiqua"/>
        </w:rPr>
      </w:pPr>
      <w:r>
        <w:rPr>
          <w:rFonts w:ascii="Book Antiqua" w:hAnsi="Book Antiqua"/>
        </w:rPr>
        <w:t xml:space="preserve">6 </w:t>
      </w:r>
      <w:r>
        <w:rPr>
          <w:rFonts w:ascii="Book Antiqua" w:hAnsi="Book Antiqua"/>
          <w:b/>
          <w:bCs/>
        </w:rPr>
        <w:t>Herrera DA</w:t>
      </w:r>
      <w:r>
        <w:rPr>
          <w:rFonts w:ascii="Book Antiqua" w:hAnsi="Book Antiqua"/>
        </w:rPr>
        <w:t xml:space="preserve">, Dublin AB, Ormsby EL, Aminpour S, Howell LP. Imaging findings of rhinocerebral mucormycosis. </w:t>
      </w:r>
      <w:r>
        <w:rPr>
          <w:rFonts w:ascii="Book Antiqua" w:hAnsi="Book Antiqua"/>
          <w:i/>
          <w:iCs/>
        </w:rPr>
        <w:t>Skull Base</w:t>
      </w:r>
      <w:r>
        <w:rPr>
          <w:rFonts w:ascii="Book Antiqua" w:hAnsi="Book Antiqua"/>
        </w:rPr>
        <w:t xml:space="preserve"> 2009; </w:t>
      </w:r>
      <w:r>
        <w:rPr>
          <w:rFonts w:ascii="Book Antiqua" w:hAnsi="Book Antiqua"/>
          <w:b/>
          <w:bCs/>
        </w:rPr>
        <w:t>19</w:t>
      </w:r>
      <w:r>
        <w:rPr>
          <w:rFonts w:ascii="Book Antiqua" w:hAnsi="Book Antiqua"/>
        </w:rPr>
        <w:t>: 117-125 [PMID: 19721767 DOI: 10.1055/s-0028-1096209]</w:t>
      </w:r>
    </w:p>
    <w:p>
      <w:pPr>
        <w:spacing w:line="360" w:lineRule="auto"/>
        <w:jc w:val="both"/>
        <w:rPr>
          <w:rFonts w:ascii="Book Antiqua" w:hAnsi="Book Antiqua"/>
        </w:rPr>
      </w:pPr>
      <w:r>
        <w:rPr>
          <w:rFonts w:ascii="Book Antiqua" w:hAnsi="Book Antiqua"/>
        </w:rPr>
        <w:t xml:space="preserve">7 </w:t>
      </w:r>
      <w:r>
        <w:rPr>
          <w:rFonts w:ascii="Book Antiqua" w:hAnsi="Book Antiqua"/>
          <w:b/>
          <w:bCs/>
        </w:rPr>
        <w:t>Gupta N,</w:t>
      </w:r>
      <w:r>
        <w:rPr>
          <w:rFonts w:ascii="Book Antiqua" w:hAnsi="Book Antiqua"/>
        </w:rPr>
        <w:t xml:space="preserve"> Dembla S. Cranial nerve involvement in mucormycosis in post-COVID patients: a case series. </w:t>
      </w:r>
      <w:r>
        <w:rPr>
          <w:rFonts w:ascii="Book Antiqua" w:hAnsi="Book Antiqua"/>
          <w:i/>
        </w:rPr>
        <w:t>Egypt J Radiol Nucl Med</w:t>
      </w:r>
      <w:r>
        <w:rPr>
          <w:rFonts w:ascii="Book Antiqua" w:hAnsi="Book Antiqua"/>
        </w:rPr>
        <w:t xml:space="preserve"> 2022;</w:t>
      </w:r>
      <w:r>
        <w:rPr>
          <w:rFonts w:ascii="Book Antiqua" w:hAnsi="Book Antiqua"/>
          <w:b/>
        </w:rPr>
        <w:t>53:</w:t>
      </w:r>
      <w:r>
        <w:rPr>
          <w:rFonts w:ascii="Book Antiqua" w:hAnsi="Book Antiqua"/>
        </w:rPr>
        <w:t>28 [DOI: 10.1186/s43055-022-00700-8]</w:t>
      </w:r>
    </w:p>
    <w:p>
      <w:pPr>
        <w:spacing w:line="360" w:lineRule="auto"/>
        <w:jc w:val="both"/>
        <w:rPr>
          <w:rFonts w:ascii="Book Antiqua" w:hAnsi="Book Antiqua"/>
        </w:rPr>
      </w:pPr>
      <w:r>
        <w:rPr>
          <w:rFonts w:ascii="Book Antiqua" w:hAnsi="Book Antiqua"/>
        </w:rPr>
        <w:t xml:space="preserve">8 </w:t>
      </w:r>
      <w:r>
        <w:rPr>
          <w:rFonts w:ascii="Book Antiqua" w:hAnsi="Book Antiqua"/>
          <w:b/>
          <w:bCs/>
        </w:rPr>
        <w:t>Dubey S</w:t>
      </w:r>
      <w:r>
        <w:rPr>
          <w:rFonts w:ascii="Book Antiqua" w:hAnsi="Book Antiqua"/>
        </w:rPr>
        <w:t xml:space="preserve">, Mukherjee D, Sarkar P, Mukhopadhyay P, Barman D, Bandopadhyay M, Pandit A, Sengupta A, Das S, Ghosh S, Adhikari S, Biswas PS, Pal P, Roy H, Patra N, Das A, Sinha P, Mondal MK, Shrivastava SR, Bhattacharya K, Mukhopadhyay M, Ahmed K, Halder TK, Saha M, Ahmed K, Maity S, Mandal A, Chatterjee D, Saha S, Chunakar A, Saha A, Ray BK. COVID-19 associated rhino-orbital-cerebral mucormycosis: An observational study from Eastern India, with special emphasis on neurological spectrum. </w:t>
      </w:r>
      <w:r>
        <w:rPr>
          <w:rFonts w:ascii="Book Antiqua" w:hAnsi="Book Antiqua"/>
          <w:i/>
          <w:iCs/>
        </w:rPr>
        <w:t>Diabetes Metab Syndr</w:t>
      </w:r>
      <w:r>
        <w:rPr>
          <w:rFonts w:ascii="Book Antiqua" w:hAnsi="Book Antiqua"/>
        </w:rPr>
        <w:t xml:space="preserve"> 2021; </w:t>
      </w:r>
      <w:r>
        <w:rPr>
          <w:rFonts w:ascii="Book Antiqua" w:hAnsi="Book Antiqua"/>
          <w:b/>
          <w:bCs/>
        </w:rPr>
        <w:t>15</w:t>
      </w:r>
      <w:r>
        <w:rPr>
          <w:rFonts w:ascii="Book Antiqua" w:hAnsi="Book Antiqua"/>
        </w:rPr>
        <w:t>: 102267 [PMID: 34509790 DOI: 10.1016/j.dsx.2021.102267]</w:t>
      </w:r>
    </w:p>
    <w:p>
      <w:pPr>
        <w:spacing w:line="360" w:lineRule="auto"/>
        <w:jc w:val="both"/>
        <w:rPr>
          <w:rFonts w:ascii="Book Antiqua" w:hAnsi="Book Antiqua"/>
        </w:rPr>
      </w:pPr>
      <w:r>
        <w:rPr>
          <w:rFonts w:ascii="Book Antiqua" w:hAnsi="Book Antiqua"/>
        </w:rPr>
        <w:t xml:space="preserve">9 </w:t>
      </w:r>
      <w:r>
        <w:rPr>
          <w:rFonts w:ascii="Book Antiqua" w:hAnsi="Book Antiqua"/>
          <w:b/>
          <w:bCs/>
        </w:rPr>
        <w:t>Therakathu J,</w:t>
      </w:r>
      <w:r>
        <w:rPr>
          <w:rFonts w:ascii="Book Antiqua" w:hAnsi="Book Antiqua"/>
        </w:rPr>
        <w:t xml:space="preserve"> Prabhu S, Irodi A, Sudhakar SV, Yadav VK, Rupa V. Imaging features of rhinocerebral mucormycosis: a study of 43 patients. </w:t>
      </w:r>
      <w:r>
        <w:rPr>
          <w:rFonts w:ascii="Book Antiqua" w:hAnsi="Book Antiqua"/>
          <w:i/>
        </w:rPr>
        <w:t>Egypt J Radiol Nucl Med</w:t>
      </w:r>
      <w:r>
        <w:rPr>
          <w:rFonts w:ascii="Book Antiqua" w:hAnsi="Book Antiqua"/>
        </w:rPr>
        <w:t xml:space="preserve"> 2018; </w:t>
      </w:r>
      <w:r>
        <w:rPr>
          <w:rFonts w:ascii="Book Antiqua" w:hAnsi="Book Antiqua"/>
          <w:b/>
        </w:rPr>
        <w:t xml:space="preserve">49: </w:t>
      </w:r>
      <w:r>
        <w:rPr>
          <w:rFonts w:ascii="Book Antiqua" w:hAnsi="Book Antiqua"/>
        </w:rPr>
        <w:t>447-452 [DOI:10.1016/j.ejrnm.2018.01.001]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Patel DD</w:t>
      </w:r>
      <w:r>
        <w:rPr>
          <w:rFonts w:ascii="Book Antiqua" w:hAnsi="Book Antiqua"/>
        </w:rPr>
        <w:t xml:space="preserve">, Adke S, Badhe PV, Lamture S, Marfatia H, Mhatre P. COVID-19 associated Rhino-Orbito-Cerebral Mucormycosis: Imaging spectrum and Clinico-radiological correlation- a single Centre experience. </w:t>
      </w:r>
      <w:r>
        <w:rPr>
          <w:rFonts w:ascii="Book Antiqua" w:hAnsi="Book Antiqua"/>
          <w:i/>
          <w:iCs/>
        </w:rPr>
        <w:t>Clin Imaging</w:t>
      </w:r>
      <w:r>
        <w:rPr>
          <w:rFonts w:ascii="Book Antiqua" w:hAnsi="Book Antiqua"/>
        </w:rPr>
        <w:t xml:space="preserve"> 2022; </w:t>
      </w:r>
      <w:r>
        <w:rPr>
          <w:rFonts w:ascii="Book Antiqua" w:hAnsi="Book Antiqua"/>
          <w:b/>
          <w:bCs/>
        </w:rPr>
        <w:t>82</w:t>
      </w:r>
      <w:r>
        <w:rPr>
          <w:rFonts w:ascii="Book Antiqua" w:hAnsi="Book Antiqua"/>
        </w:rPr>
        <w:t>: 172-178 [PMID: 34864270 DOI: 10.1016/j.clinimag.2021.10.014]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Gillespie MB</w:t>
      </w:r>
      <w:r>
        <w:rPr>
          <w:rFonts w:ascii="Book Antiqua" w:hAnsi="Book Antiqua"/>
        </w:rPr>
        <w:t xml:space="preserve">, Huchton DM, O'Malley BW. Role of middle turbinate biopsy in the diagnosis of fulminant invasive fungal rhinosinusitis. </w:t>
      </w:r>
      <w:r>
        <w:rPr>
          <w:rFonts w:ascii="Book Antiqua" w:hAnsi="Book Antiqua"/>
          <w:i/>
          <w:iCs/>
        </w:rPr>
        <w:t>Laryngoscope</w:t>
      </w:r>
      <w:r>
        <w:rPr>
          <w:rFonts w:ascii="Book Antiqua" w:hAnsi="Book Antiqua"/>
        </w:rPr>
        <w:t xml:space="preserve"> 2000; </w:t>
      </w:r>
      <w:r>
        <w:rPr>
          <w:rFonts w:ascii="Book Antiqua" w:hAnsi="Book Antiqua"/>
          <w:b/>
          <w:bCs/>
        </w:rPr>
        <w:t>110</w:t>
      </w:r>
      <w:r>
        <w:rPr>
          <w:rFonts w:ascii="Book Antiqua" w:hAnsi="Book Antiqua"/>
        </w:rPr>
        <w:t>: 1832-1836 [PMID: 11081595 DOI: 10.1097/00005537-200011000-00013]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Gillespie MB</w:t>
      </w:r>
      <w:r>
        <w:rPr>
          <w:rFonts w:ascii="Book Antiqua" w:hAnsi="Book Antiqua"/>
        </w:rPr>
        <w:t xml:space="preserve">, O'Malley BW Jr, Francis HW. An approach to fulminant invasive fungal rhinosinusitis in the immunocompromised host. </w:t>
      </w:r>
      <w:r>
        <w:rPr>
          <w:rFonts w:ascii="Book Antiqua" w:hAnsi="Book Antiqua"/>
          <w:i/>
          <w:iCs/>
        </w:rPr>
        <w:t>Arch Otolaryngol Head Neck Surg</w:t>
      </w:r>
      <w:r>
        <w:rPr>
          <w:rFonts w:ascii="Book Antiqua" w:hAnsi="Book Antiqua"/>
        </w:rPr>
        <w:t xml:space="preserve"> 1998; </w:t>
      </w:r>
      <w:r>
        <w:rPr>
          <w:rFonts w:ascii="Book Antiqua" w:hAnsi="Book Antiqua"/>
          <w:b/>
          <w:bCs/>
        </w:rPr>
        <w:t>124</w:t>
      </w:r>
      <w:r>
        <w:rPr>
          <w:rFonts w:ascii="Book Antiqua" w:hAnsi="Book Antiqua"/>
        </w:rPr>
        <w:t>: 520-526 [PMID: 9604977 DOI: 10.1001/archotol.124.5.520]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Skiada A</w:t>
      </w:r>
      <w:r>
        <w:rPr>
          <w:rFonts w:ascii="Book Antiqua" w:hAnsi="Book Antiqua"/>
        </w:rPr>
        <w:t xml:space="preserve">, Pavleas I, Drogari-Apiranthitou M. Epidemiology and Diagnosis of Mucormycosis: An Update. </w:t>
      </w:r>
      <w:r>
        <w:rPr>
          <w:rFonts w:ascii="Book Antiqua" w:hAnsi="Book Antiqua"/>
          <w:i/>
          <w:iCs/>
        </w:rPr>
        <w:t>J Fungi (Basel)</w:t>
      </w:r>
      <w:r>
        <w:rPr>
          <w:rFonts w:ascii="Book Antiqua" w:hAnsi="Book Antiqua"/>
        </w:rPr>
        <w:t xml:space="preserve"> 2020; </w:t>
      </w:r>
      <w:r>
        <w:rPr>
          <w:rFonts w:ascii="Book Antiqua" w:hAnsi="Book Antiqua"/>
          <w:b/>
          <w:bCs/>
        </w:rPr>
        <w:t>6</w:t>
      </w:r>
      <w:r>
        <w:rPr>
          <w:rFonts w:ascii="Book Antiqua" w:hAnsi="Book Antiqua"/>
        </w:rPr>
        <w:t xml:space="preserve"> [PMID: 33147877 DOI: 10.3390/jof6040265]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Bhandari J,</w:t>
      </w:r>
      <w:r>
        <w:rPr>
          <w:rFonts w:ascii="Book Antiqua" w:hAnsi="Book Antiqua"/>
        </w:rPr>
        <w:t xml:space="preserve"> Thada PK, Nagalli S. Rhinocerebral Mucormycosis. [Updated 2021 Nov 25]. In: StatPearls [Internet]. Treasure Island (FL): StatPearls Publishing; 2022 Jan. Available from: https://www.ncbi.nlm.nih.gov/books/NBK559288/</w:t>
      </w:r>
    </w:p>
    <w:p>
      <w:pPr>
        <w:spacing w:line="360" w:lineRule="auto"/>
        <w:jc w:val="both"/>
        <w:rPr>
          <w:rFonts w:ascii="Book Antiqua" w:hAnsi="Book Antiqua"/>
        </w:rPr>
      </w:pPr>
      <w:r>
        <w:rPr>
          <w:rFonts w:ascii="Book Antiqua" w:hAnsi="Book Antiqua"/>
        </w:rPr>
        <w:t xml:space="preserve">15 </w:t>
      </w:r>
      <w:r>
        <w:rPr>
          <w:rFonts w:ascii="Book Antiqua" w:hAnsi="Book Antiqua"/>
          <w:b/>
          <w:bCs/>
        </w:rPr>
        <w:t>Rupa V</w:t>
      </w:r>
      <w:r>
        <w:rPr>
          <w:rFonts w:ascii="Book Antiqua" w:hAnsi="Book Antiqua"/>
        </w:rPr>
        <w:t xml:space="preserve">, Maheswaran S, Ebenezer J, Mathews SS. Current therapeutic protocols for chronic granulomatous fungal sinusitis. </w:t>
      </w:r>
      <w:r>
        <w:rPr>
          <w:rFonts w:ascii="Book Antiqua" w:hAnsi="Book Antiqua"/>
          <w:i/>
          <w:iCs/>
        </w:rPr>
        <w:t>Rhinology</w:t>
      </w:r>
      <w:r>
        <w:rPr>
          <w:rFonts w:ascii="Book Antiqua" w:hAnsi="Book Antiqua"/>
        </w:rPr>
        <w:t xml:space="preserve"> 2015; </w:t>
      </w:r>
      <w:r>
        <w:rPr>
          <w:rFonts w:ascii="Book Antiqua" w:hAnsi="Book Antiqua"/>
          <w:b/>
          <w:bCs/>
        </w:rPr>
        <w:t>53</w:t>
      </w:r>
      <w:r>
        <w:rPr>
          <w:rFonts w:ascii="Book Antiqua" w:hAnsi="Book Antiqua"/>
        </w:rPr>
        <w:t>: 181-186 [PMID: 26030043 DOI: 10.4193/Rhino14.183]</w:t>
      </w:r>
    </w:p>
    <w:p>
      <w:pPr>
        <w:spacing w:line="360" w:lineRule="auto"/>
        <w:jc w:val="both"/>
        <w:rPr>
          <w:rFonts w:ascii="Book Antiqua" w:hAnsi="Book Antiqua"/>
        </w:rPr>
      </w:pPr>
      <w:r>
        <w:rPr>
          <w:rFonts w:ascii="Book Antiqua" w:hAnsi="Book Antiqua"/>
        </w:rPr>
        <w:t xml:space="preserve">16 </w:t>
      </w:r>
      <w:r>
        <w:rPr>
          <w:rFonts w:ascii="Book Antiqua" w:hAnsi="Book Antiqua"/>
          <w:b/>
          <w:bCs/>
        </w:rPr>
        <w:t>Silverman CS</w:t>
      </w:r>
      <w:r>
        <w:rPr>
          <w:rFonts w:ascii="Book Antiqua" w:hAnsi="Book Antiqua"/>
        </w:rPr>
        <w:t xml:space="preserve">, Mancuso AA. Periantral soft-tissue infiltration and its relevance to the early detection of invasive fungal sinusitis: CT and MR findings. </w:t>
      </w:r>
      <w:r>
        <w:rPr>
          <w:rFonts w:ascii="Book Antiqua" w:hAnsi="Book Antiqua"/>
          <w:i/>
          <w:iCs/>
        </w:rPr>
        <w:t>AJNR Am J Neuroradiol</w:t>
      </w:r>
      <w:r>
        <w:rPr>
          <w:rFonts w:ascii="Book Antiqua" w:hAnsi="Book Antiqua"/>
        </w:rPr>
        <w:t xml:space="preserve"> 1998; </w:t>
      </w:r>
      <w:r>
        <w:rPr>
          <w:rFonts w:ascii="Book Antiqua" w:hAnsi="Book Antiqua"/>
          <w:b/>
          <w:bCs/>
        </w:rPr>
        <w:t>19</w:t>
      </w:r>
      <w:r>
        <w:rPr>
          <w:rFonts w:ascii="Book Antiqua" w:hAnsi="Book Antiqua"/>
        </w:rPr>
        <w:t>: 321-325 [PMID: 9504486]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Middlebrooks EH</w:t>
      </w:r>
      <w:r>
        <w:rPr>
          <w:rFonts w:ascii="Book Antiqua" w:hAnsi="Book Antiqua"/>
        </w:rPr>
        <w:t xml:space="preserve">, Frost CJ, De Jesus RO, Massini TC, Schmalfuss IM, Mancuso AA. Acute Invasive Fungal Rhinosinusitis: A Comprehensive Update of CT Findings and Design of an Effective Diagnostic Imaging Model. </w:t>
      </w:r>
      <w:r>
        <w:rPr>
          <w:rFonts w:ascii="Book Antiqua" w:hAnsi="Book Antiqua"/>
          <w:i/>
          <w:iCs/>
        </w:rPr>
        <w:t>AJNR Am J Neuroradiol</w:t>
      </w:r>
      <w:r>
        <w:rPr>
          <w:rFonts w:ascii="Book Antiqua" w:hAnsi="Book Antiqua"/>
        </w:rPr>
        <w:t xml:space="preserve"> 2015; </w:t>
      </w:r>
      <w:r>
        <w:rPr>
          <w:rFonts w:ascii="Book Antiqua" w:hAnsi="Book Antiqua"/>
          <w:b/>
          <w:bCs/>
        </w:rPr>
        <w:t>36</w:t>
      </w:r>
      <w:r>
        <w:rPr>
          <w:rFonts w:ascii="Book Antiqua" w:hAnsi="Book Antiqua"/>
        </w:rPr>
        <w:t>: 1529-1535 [PMID: 25882281 DOI: 10.3174/ajnr.A4298]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Safder S</w:t>
      </w:r>
      <w:r>
        <w:rPr>
          <w:rFonts w:ascii="Book Antiqua" w:hAnsi="Book Antiqua"/>
        </w:rPr>
        <w:t xml:space="preserve">, Carpenter JS, Roberts TD, Bailey N. The "Black Turbinate" sign: An early MR imaging finding of nasal mucormycosis. </w:t>
      </w:r>
      <w:r>
        <w:rPr>
          <w:rFonts w:ascii="Book Antiqua" w:hAnsi="Book Antiqua"/>
          <w:i/>
          <w:iCs/>
        </w:rPr>
        <w:t>AJNR Am J Neuroradiol</w:t>
      </w:r>
      <w:r>
        <w:rPr>
          <w:rFonts w:ascii="Book Antiqua" w:hAnsi="Book Antiqua"/>
        </w:rPr>
        <w:t xml:space="preserve"> 2010; </w:t>
      </w:r>
      <w:r>
        <w:rPr>
          <w:rFonts w:ascii="Book Antiqua" w:hAnsi="Book Antiqua"/>
          <w:b/>
          <w:bCs/>
        </w:rPr>
        <w:t>31</w:t>
      </w:r>
      <w:r>
        <w:rPr>
          <w:rFonts w:ascii="Book Antiqua" w:hAnsi="Book Antiqua"/>
        </w:rPr>
        <w:t>: 771-774 [PMID: 19942703 DOI: 10.3174/ajnr.A1808]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Sen M</w:t>
      </w:r>
      <w:r>
        <w:rPr>
          <w:rFonts w:ascii="Book Antiqua" w:hAnsi="Book Antiqua"/>
        </w:rPr>
        <w:t xml:space="preserve">, Honavar SG, Bansal R, Sengupta S, Rao R, Kim U, Sharma M, Sachdev M, Grover AK, Surve A, Budharapu A, Ramadhin AK, Tripathi AK, Gupta A, Bhargava A, Sahu A, Khairnar A, Kochar A, Madhavani A, Shrivastava AK, Desai AK, Paul A, Ayyar A, Bhatnagar A, Singhal A, Nikose AS, Bhargava A, Tenagi AL, Kamble A, Nariani A, Patel B, Kashyap B, Dhawan B, Vohra B, Mandke C, Thrishulamurthy C, Sambare C, Sarkar D, Mankad DS, Maheshwari D, Lalwani D, Kanani D, Patel D, Manjandavida FP, Godhani F, Agarwal GA, Ravulaparthi G, Shilpa GV, Deshpande G, Thakkar H, Shah H, Ojha HR, Jani H, Gontia J, Mishrikotkar JP, Likhari K, Prajapati K, Porwal K, Koka K, Dharawat KS, Ramamurthy LB, Bhattacharyya M, Saini M, Christy MC, Das M, Hada M, Panchal M, Pandharpurkar M, Ali MO, Porwal M, Gangashetappa N, Mehrotra N, Bijlani N, Gajendragadkar N, Nagarkar NM, Modi P, Rewri P, Sao P, Patil PS, Giri P, Kapadia P, Yadav P, Bhagat P, Parekh R, Dyaberi R, Chauhan RS, Kaur R, Duvesh RK, Murthy R, Dandu RV, Kathiara R, Beri R, Pandit R, Rani RH, Gupta R, Pherwani R, Sapkal R, Mehta R, Tadepalli S, Fatima S, Karmarkar S, Patil SS, Shah S, Shah S, Shah S, Dubey S, Gandhi S, Kanakpur S, Mohan S, Bhomaj S, Kerkar S, Jariwala S, Sahu S, Tara S, Maru SK, Jhavar S, Sharma S, Gupta S, Kumari S, Das S, Menon S, Burkule S, Nisar SP, Kaliaperumal S, Rao S, Pakrasi S, Rathod S, Biradar SG, Kumar S, Dutt S, Bansal S, Ravani SA, Lohiya S, Ali Rizvi SW, Gokhale T, Lahane TP, Vukkadala T, Grover T, Bhesaniya T, Chawla U, Singh U, Une VL, Nandedkar V, Subramaniam V, Eswaran V, Chaudhry VN, Rangarajan V, Dehane V, Sahasrabudhe VM, Sowjanya Y, Tupkary Y, Phadke Y; members of the Collaborative OPAI-IJO Study on Mucormycosis in COVID-19 (COSMIC) Study Group. Epidemiology, clinical profile, management, and outcome of COVID-19-associated rhino-orbital-cerebral mucormycosis in 2826 patients in India - Collaborative OPAI-IJO Study on Mucormycosis in COVID-19 (COSMIC), Report 1. </w:t>
      </w:r>
      <w:r>
        <w:rPr>
          <w:rFonts w:ascii="Book Antiqua" w:hAnsi="Book Antiqua"/>
          <w:i/>
          <w:iCs/>
        </w:rPr>
        <w:t>Indian J Ophthalmol</w:t>
      </w:r>
      <w:r>
        <w:rPr>
          <w:rFonts w:ascii="Book Antiqua" w:hAnsi="Book Antiqua"/>
        </w:rPr>
        <w:t xml:space="preserve"> 2021; </w:t>
      </w:r>
      <w:r>
        <w:rPr>
          <w:rFonts w:ascii="Book Antiqua" w:hAnsi="Book Antiqua"/>
          <w:b/>
          <w:bCs/>
        </w:rPr>
        <w:t>69</w:t>
      </w:r>
      <w:r>
        <w:rPr>
          <w:rFonts w:ascii="Book Antiqua" w:hAnsi="Book Antiqua"/>
        </w:rPr>
        <w:t>: 1670-1692 [PMID: 34156034 DOI: 10.4103/ijo.IJO_1565_21]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Luthra G</w:t>
      </w:r>
      <w:r>
        <w:rPr>
          <w:rFonts w:ascii="Book Antiqua" w:hAnsi="Book Antiqua"/>
        </w:rPr>
        <w:t xml:space="preserve">, Parihar A, Nath K, Jaiswal S, Prasad KN, Husain N, Husain M, Singh S, Behari S, Gupta RK. Comparative evaluation of fungal, tubercular, and pyogenic brain abscesses with conventional and diffusion MR imaging and proton MR spectroscopy. </w:t>
      </w:r>
      <w:r>
        <w:rPr>
          <w:rFonts w:ascii="Book Antiqua" w:hAnsi="Book Antiqua"/>
          <w:i/>
          <w:iCs/>
        </w:rPr>
        <w:t>AJNR Am J Neuroradiol</w:t>
      </w:r>
      <w:r>
        <w:rPr>
          <w:rFonts w:ascii="Book Antiqua" w:hAnsi="Book Antiqua"/>
        </w:rPr>
        <w:t xml:space="preserve"> 2007; </w:t>
      </w:r>
      <w:r>
        <w:rPr>
          <w:rFonts w:ascii="Book Antiqua" w:hAnsi="Book Antiqua"/>
          <w:b/>
          <w:bCs/>
        </w:rPr>
        <w:t>28</w:t>
      </w:r>
      <w:r>
        <w:rPr>
          <w:rFonts w:ascii="Book Antiqua" w:hAnsi="Book Antiqua"/>
        </w:rPr>
        <w:t>: 1332-1338 [PMID: 17698537 DOI: 10.3174/ajnr.A0548]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Mohindra S</w:t>
      </w:r>
      <w:r>
        <w:rPr>
          <w:rFonts w:ascii="Book Antiqua" w:hAnsi="Book Antiqua"/>
        </w:rPr>
        <w:t xml:space="preserve">, Mohindra S, Gupta R, Bakshi J, Gupta SK. Rhinocerebral mucormycosis: the disease spectrum in 27 patients. </w:t>
      </w:r>
      <w:r>
        <w:rPr>
          <w:rFonts w:ascii="Book Antiqua" w:hAnsi="Book Antiqua"/>
          <w:i/>
          <w:iCs/>
        </w:rPr>
        <w:t>Mycoses</w:t>
      </w:r>
      <w:r>
        <w:rPr>
          <w:rFonts w:ascii="Book Antiqua" w:hAnsi="Book Antiqua"/>
        </w:rPr>
        <w:t xml:space="preserve"> 2007; </w:t>
      </w:r>
      <w:r>
        <w:rPr>
          <w:rFonts w:ascii="Book Antiqua" w:hAnsi="Book Antiqua"/>
          <w:b/>
          <w:bCs/>
        </w:rPr>
        <w:t>50</w:t>
      </w:r>
      <w:r>
        <w:rPr>
          <w:rFonts w:ascii="Book Antiqua" w:hAnsi="Book Antiqua"/>
        </w:rPr>
        <w:t>: 290-296 [PMID: 17576322 DOI: 10.1111/j.1439-0507.2007.01364.x]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Razek AA</w:t>
      </w:r>
      <w:r>
        <w:rPr>
          <w:rFonts w:ascii="Book Antiqua" w:hAnsi="Book Antiqua"/>
        </w:rPr>
        <w:t xml:space="preserve">, Castillo M. Imaging lesions of the cavernous sinus. </w:t>
      </w:r>
      <w:r>
        <w:rPr>
          <w:rFonts w:ascii="Book Antiqua" w:hAnsi="Book Antiqua"/>
          <w:i/>
          <w:iCs/>
        </w:rPr>
        <w:t>AJNR Am J Neuroradiol</w:t>
      </w:r>
      <w:r>
        <w:rPr>
          <w:rFonts w:ascii="Book Antiqua" w:hAnsi="Book Antiqua"/>
        </w:rPr>
        <w:t xml:space="preserve"> 2009; </w:t>
      </w:r>
      <w:r>
        <w:rPr>
          <w:rFonts w:ascii="Book Antiqua" w:hAnsi="Book Antiqua"/>
          <w:b/>
          <w:bCs/>
        </w:rPr>
        <w:t>30</w:t>
      </w:r>
      <w:r>
        <w:rPr>
          <w:rFonts w:ascii="Book Antiqua" w:hAnsi="Book Antiqua"/>
        </w:rPr>
        <w:t>: 444-452 [PMID: 19095789 DOI: 10.3174/ajnr.A1398]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Prakash H</w:t>
      </w:r>
      <w:r>
        <w:rPr>
          <w:rFonts w:ascii="Book Antiqua" w:hAnsi="Book Antiqua"/>
        </w:rPr>
        <w:t xml:space="preserve">, Chakrabarti A. Global Epidemiology of Mucormycosis. </w:t>
      </w:r>
      <w:r>
        <w:rPr>
          <w:rFonts w:ascii="Book Antiqua" w:hAnsi="Book Antiqua"/>
          <w:i/>
          <w:iCs/>
        </w:rPr>
        <w:t>J Fungi (Basel)</w:t>
      </w:r>
      <w:r>
        <w:rPr>
          <w:rFonts w:ascii="Book Antiqua" w:hAnsi="Book Antiqua"/>
        </w:rPr>
        <w:t xml:space="preserve"> 2019; </w:t>
      </w:r>
      <w:r>
        <w:rPr>
          <w:rFonts w:ascii="Book Antiqua" w:hAnsi="Book Antiqua"/>
          <w:b/>
          <w:bCs/>
        </w:rPr>
        <w:t>5</w:t>
      </w:r>
      <w:r>
        <w:rPr>
          <w:rFonts w:ascii="Book Antiqua" w:hAnsi="Book Antiqua"/>
        </w:rPr>
        <w:t xml:space="preserve"> [PMID: 30901907 DOI: 10.3390/jof5010026]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John TM</w:t>
      </w:r>
      <w:r>
        <w:rPr>
          <w:rFonts w:ascii="Book Antiqua" w:hAnsi="Book Antiqua"/>
        </w:rPr>
        <w:t xml:space="preserve">, Jacob CN, Kontoyiannis DP. When Uncontrolled Diabetes Mellitus and Severe COVID-19 Converge: The Perfect Storm for Mucormycosis. </w:t>
      </w:r>
      <w:r>
        <w:rPr>
          <w:rFonts w:ascii="Book Antiqua" w:hAnsi="Book Antiqua"/>
          <w:i/>
          <w:iCs/>
        </w:rPr>
        <w:t>J Fungi (Basel)</w:t>
      </w:r>
      <w:r>
        <w:rPr>
          <w:rFonts w:ascii="Book Antiqua" w:hAnsi="Book Antiqua"/>
        </w:rPr>
        <w:t xml:space="preserve"> 2021; </w:t>
      </w:r>
      <w:r>
        <w:rPr>
          <w:rFonts w:ascii="Book Antiqua" w:hAnsi="Book Antiqua"/>
          <w:b/>
          <w:bCs/>
        </w:rPr>
        <w:t>7</w:t>
      </w:r>
      <w:r>
        <w:rPr>
          <w:rFonts w:ascii="Book Antiqua" w:hAnsi="Book Antiqua"/>
        </w:rPr>
        <w:t xml:space="preserve"> [PMID: 33920755 DOI: 10.3390/jof7040298]</w:t>
      </w:r>
    </w:p>
    <w:p>
      <w:pPr>
        <w:spacing w:line="360" w:lineRule="auto"/>
        <w:jc w:val="both"/>
        <w:rPr>
          <w:rFonts w:ascii="Book Antiqua" w:hAnsi="Book Antiqua"/>
        </w:rPr>
      </w:pPr>
      <w:r>
        <w:rPr>
          <w:rFonts w:ascii="Book Antiqua" w:hAnsi="Book Antiqua"/>
        </w:rPr>
        <w:t xml:space="preserve">25 </w:t>
      </w:r>
      <w:r>
        <w:rPr>
          <w:rFonts w:ascii="Book Antiqua" w:hAnsi="Book Antiqua"/>
          <w:b/>
          <w:bCs/>
        </w:rPr>
        <w:t>Hoenigl M</w:t>
      </w:r>
      <w:r>
        <w:rPr>
          <w:rFonts w:ascii="Book Antiqua" w:hAnsi="Book Antiqua"/>
        </w:rPr>
        <w:t xml:space="preserve">, Seidel D, Carvalho A, Rudramurthy SM, Arastehfar A, Gangneux JP, Nasir N, Bonifaz A, Araiza J, Klimko N, Serris A, Lagrou K, Meis JF, Cornely OA, Perfect JR, White PL, Chakrabarti A; ECMM and ISHAM collaborators. The emergence of COVID-19 associated mucormycosis: a review of cases from 18 countries. </w:t>
      </w:r>
      <w:r>
        <w:rPr>
          <w:rFonts w:ascii="Book Antiqua" w:hAnsi="Book Antiqua"/>
          <w:i/>
          <w:iCs/>
        </w:rPr>
        <w:t>Lancet Microbe</w:t>
      </w:r>
      <w:r>
        <w:rPr>
          <w:rFonts w:ascii="Book Antiqua" w:hAnsi="Book Antiqua"/>
        </w:rPr>
        <w:t xml:space="preserve"> 2022; </w:t>
      </w:r>
      <w:r>
        <w:rPr>
          <w:rFonts w:ascii="Book Antiqua" w:hAnsi="Book Antiqua"/>
          <w:b/>
          <w:bCs/>
        </w:rPr>
        <w:t>3</w:t>
      </w:r>
      <w:r>
        <w:rPr>
          <w:rFonts w:ascii="Book Antiqua" w:hAnsi="Book Antiqua"/>
        </w:rPr>
        <w:t>: e543-e552 [PMID: 35098179 DOI: 10.1016/S2666-5247(21)00237-8]</w:t>
      </w:r>
    </w:p>
    <w:p>
      <w:pPr>
        <w:spacing w:line="360" w:lineRule="auto"/>
        <w:jc w:val="both"/>
        <w:rPr>
          <w:rFonts w:ascii="Book Antiqua" w:hAnsi="Book Antiqua"/>
        </w:rPr>
      </w:pPr>
      <w:r>
        <w:rPr>
          <w:rFonts w:ascii="Book Antiqua" w:hAnsi="Book Antiqua"/>
        </w:rPr>
        <w:t xml:space="preserve">26 </w:t>
      </w:r>
      <w:r>
        <w:rPr>
          <w:rFonts w:ascii="Book Antiqua" w:hAnsi="Book Antiqua"/>
          <w:b/>
          <w:bCs/>
        </w:rPr>
        <w:t>Al-Tawfiq JA</w:t>
      </w:r>
      <w:r>
        <w:rPr>
          <w:rFonts w:ascii="Book Antiqua" w:hAnsi="Book Antiqua"/>
        </w:rPr>
        <w:t xml:space="preserve">, Alhumaid S, Alshukairi AN, Temsah MH, Barry M, Al Mutair A, Rabaan AA, Al-Omari A, Tirupathi R, AlQahtani M, AlBahrani S, Dhama K. COVID-19 and mucormycosis superinfection: the perfect storm. </w:t>
      </w:r>
      <w:r>
        <w:rPr>
          <w:rFonts w:ascii="Book Antiqua" w:hAnsi="Book Antiqua"/>
          <w:i/>
          <w:iCs/>
        </w:rPr>
        <w:t>Infection</w:t>
      </w:r>
      <w:r>
        <w:rPr>
          <w:rFonts w:ascii="Book Antiqua" w:hAnsi="Book Antiqua"/>
        </w:rPr>
        <w:t xml:space="preserve"> 2021; </w:t>
      </w:r>
      <w:r>
        <w:rPr>
          <w:rFonts w:ascii="Book Antiqua" w:hAnsi="Book Antiqua"/>
          <w:b/>
          <w:bCs/>
        </w:rPr>
        <w:t>49</w:t>
      </w:r>
      <w:r>
        <w:rPr>
          <w:rFonts w:ascii="Book Antiqua" w:hAnsi="Book Antiqua"/>
        </w:rPr>
        <w:t>: 833-853 [PMID: 34302291 DOI: 10.1007/s15010-021-01670-1]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None of the authors in the study have any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July 18,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Chavan RP, India; Fan YW, China; Roushdy TM, Egypt</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4121150" cy="3779520"/>
            <wp:effectExtent l="0" t="0" r="8890" b="0"/>
            <wp:docPr id="3" name="图片 3" descr="WJR-14-2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R-14-209-g001"/>
                    <pic:cNvPicPr>
                      <a:picLocks noChangeAspect="1"/>
                    </pic:cNvPicPr>
                  </pic:nvPicPr>
                  <pic:blipFill>
                    <a:blip r:embed="rId5"/>
                    <a:stretch>
                      <a:fillRect/>
                    </a:stretch>
                  </pic:blipFill>
                  <pic:spPr>
                    <a:xfrm>
                      <a:off x="0" y="0"/>
                      <a:ext cx="4121150" cy="37795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 Non contrast computed tomography image of a 40 year old male post renal transplant patient showing. </w:t>
      </w:r>
      <w:r>
        <w:rPr>
          <w:rFonts w:ascii="Book Antiqua" w:hAnsi="Book Antiqua"/>
          <w:lang w:eastAsia="zh-CN"/>
        </w:rPr>
        <w:t xml:space="preserve">A: </w:t>
      </w:r>
      <w:r>
        <w:rPr>
          <w:rFonts w:ascii="Book Antiqua" w:hAnsi="Book Antiqua" w:eastAsia="Book Antiqua" w:cs="Book Antiqua"/>
          <w:color w:val="000000"/>
        </w:rPr>
        <w:t>Soft tissue density in maxillary, ethmoidal, sphenoidal and frontal sinus</w:t>
      </w:r>
      <w:r>
        <w:rPr>
          <w:rFonts w:hint="eastAsia" w:ascii="Book Antiqua" w:hAnsi="Book Antiqua"/>
          <w:lang w:eastAsia="zh-CN"/>
        </w:rPr>
        <w:t>;</w:t>
      </w:r>
      <w:r>
        <w:rPr>
          <w:rFonts w:ascii="Book Antiqua" w:hAnsi="Book Antiqua"/>
          <w:lang w:eastAsia="zh-CN"/>
        </w:rPr>
        <w:t xml:space="preserve"> B: </w:t>
      </w:r>
      <w:r>
        <w:rPr>
          <w:rFonts w:ascii="Book Antiqua" w:hAnsi="Book Antiqua" w:eastAsia="Book Antiqua" w:cs="Book Antiqua"/>
          <w:color w:val="000000"/>
        </w:rPr>
        <w:t>Rarefaction of ethmoidal lamella, lamina papyracea and floor of anterior cranial fossa and erosion of maxillary walls</w:t>
      </w:r>
      <w:r>
        <w:rPr>
          <w:rFonts w:hint="eastAsia" w:ascii="Book Antiqua" w:hAnsi="Book Antiqua"/>
          <w:lang w:eastAsia="zh-CN"/>
        </w:rPr>
        <w:t>;</w:t>
      </w:r>
      <w:r>
        <w:rPr>
          <w:rFonts w:ascii="Book Antiqua" w:hAnsi="Book Antiqua"/>
          <w:lang w:eastAsia="zh-CN"/>
        </w:rPr>
        <w:t xml:space="preserve"> C: </w:t>
      </w:r>
      <w:r>
        <w:rPr>
          <w:rFonts w:ascii="Book Antiqua" w:hAnsi="Book Antiqua" w:eastAsia="Book Antiqua" w:cs="Book Antiqua"/>
          <w:color w:val="000000"/>
        </w:rPr>
        <w:t>Section showing orbital involvement; D: Section showing erosions of the cribriform plate.</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3755390" cy="3764280"/>
            <wp:effectExtent l="0" t="0" r="8890" b="0"/>
            <wp:docPr id="4" name="图片 4" descr="WJR-14-2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R-14-209-g002"/>
                    <pic:cNvPicPr>
                      <a:picLocks noChangeAspect="1"/>
                    </pic:cNvPicPr>
                  </pic:nvPicPr>
                  <pic:blipFill>
                    <a:blip r:embed="rId6"/>
                    <a:stretch>
                      <a:fillRect/>
                    </a:stretch>
                  </pic:blipFill>
                  <pic:spPr>
                    <a:xfrm>
                      <a:off x="0" y="0"/>
                      <a:ext cx="3755390" cy="37642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2 Magnetic resonance imaging of the patient of Figure 1 showing. </w:t>
      </w:r>
      <w:r>
        <w:rPr>
          <w:rFonts w:ascii="Book Antiqua" w:hAnsi="Book Antiqua" w:eastAsia="Book Antiqua" w:cs="Book Antiqua"/>
          <w:color w:val="000000"/>
        </w:rPr>
        <w:t>A: T1 image showing orbital involvement</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color w:val="000000"/>
        </w:rPr>
        <w:t>B: T2 image showing orbital and infratemporal fossa involvement</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color w:val="000000"/>
        </w:rPr>
        <w:t>C: T1+C showing infratemporal fossa involvement</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color w:val="000000"/>
        </w:rPr>
        <w:t>D: T1+C showing cavernous sinus thrombosis.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3852545" cy="3773170"/>
            <wp:effectExtent l="0" t="0" r="3175" b="6350"/>
            <wp:docPr id="5" name="图片 5" descr="WJR-14-2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R-14-209-g003"/>
                    <pic:cNvPicPr>
                      <a:picLocks noChangeAspect="1"/>
                    </pic:cNvPicPr>
                  </pic:nvPicPr>
                  <pic:blipFill>
                    <a:blip r:embed="rId7"/>
                    <a:stretch>
                      <a:fillRect/>
                    </a:stretch>
                  </pic:blipFill>
                  <pic:spPr>
                    <a:xfrm>
                      <a:off x="0" y="0"/>
                      <a:ext cx="3852545" cy="3773170"/>
                    </a:xfrm>
                    <a:prstGeom prst="rect">
                      <a:avLst/>
                    </a:prstGeom>
                  </pic:spPr>
                </pic:pic>
              </a:graphicData>
            </a:graphic>
          </wp:inline>
        </w:drawing>
      </w:r>
      <w:bookmarkStart w:id="1" w:name="_GoBack"/>
      <w:bookmarkEnd w:id="1"/>
    </w:p>
    <w:p>
      <w:pPr>
        <w:spacing w:line="360" w:lineRule="auto"/>
        <w:jc w:val="both"/>
        <w:rPr>
          <w:rFonts w:ascii="Book Antiqua" w:hAnsi="Book Antiqua"/>
        </w:rPr>
      </w:pPr>
      <w:r>
        <w:rPr>
          <w:rFonts w:ascii="Book Antiqua" w:hAnsi="Book Antiqua" w:eastAsia="Book Antiqua" w:cs="Book Antiqua"/>
          <w:b/>
          <w:bCs/>
          <w:color w:val="000000"/>
        </w:rPr>
        <w:t xml:space="preserve">Figure 3 Magnetic resonance imaging images of a patient of rhinocerebral mucormycosis showing.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Enhancing soft tissue thickening in right nasal cavity involving right maxillary, ethmoid and sphenoid sinus; B</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T1+C showing right infratemporal fossa involvement; C</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T1+C showing right parapharangeal space involvement; D</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Angiogram showing right internal carotid artery thrombosis.</w:t>
      </w:r>
    </w:p>
    <w:p>
      <w:pPr>
        <w:spacing w:line="360" w:lineRule="auto"/>
        <w:jc w:val="both"/>
        <w:rPr>
          <w:rFonts w:ascii="Book Antiqua" w:hAnsi="Book Antiqua"/>
          <w:b/>
        </w:rPr>
      </w:pPr>
      <w:r>
        <w:rPr>
          <w:rFonts w:ascii="Book Antiqua" w:hAnsi="Book Antiqua" w:eastAsia="Book Antiqua" w:cs="Book Antiqua"/>
          <w:color w:val="000000"/>
        </w:rPr>
        <w:br w:type="page"/>
      </w:r>
      <w:r>
        <w:rPr>
          <w:rFonts w:ascii="Book Antiqua" w:hAnsi="Book Antiqua"/>
          <w:b/>
        </w:rPr>
        <w:t>Table 1 Table showing the demographic data and findings of the patients under study</w:t>
      </w:r>
    </w:p>
    <w:tbl>
      <w:tblPr>
        <w:tblStyle w:val="9"/>
        <w:tblpPr w:leftFromText="180" w:rightFromText="180" w:vertAnchor="text" w:horzAnchor="margin" w:tblpY="571"/>
        <w:tblW w:w="9198"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709"/>
        <w:gridCol w:w="708"/>
        <w:gridCol w:w="1418"/>
        <w:gridCol w:w="1276"/>
        <w:gridCol w:w="1559"/>
        <w:gridCol w:w="992"/>
        <w:gridCol w:w="1577"/>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59"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360" w:lineRule="auto"/>
              <w:jc w:val="both"/>
              <w:rPr>
                <w:rFonts w:hint="eastAsia" w:ascii="Book Antiqua" w:hAnsi="Book Antiqua" w:eastAsia="宋体" w:cs="Times New Roman"/>
                <w:b w:val="0"/>
                <w:bCs w:val="0"/>
                <w:color w:val="000000" w:themeColor="text1"/>
                <w:lang w:val="en-US" w:eastAsia="zh-CN"/>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Serial No</w:t>
            </w:r>
            <w:r>
              <w:rPr>
                <w:rFonts w:hint="eastAsia" w:ascii="Book Antiqua" w:hAnsi="Book Antiqua" w:eastAsia="宋体" w:cs="Times New Roman"/>
                <w:b/>
                <w:bCs/>
                <w:color w:val="000000" w:themeColor="text1"/>
                <w:lang w:val="en-US" w:eastAsia="zh-CN"/>
                <w14:textFill>
                  <w14:solidFill>
                    <w14:schemeClr w14:val="tx1"/>
                  </w14:solidFill>
                </w14:textFill>
              </w:rPr>
              <w:t>.</w:t>
            </w:r>
          </w:p>
        </w:tc>
        <w:tc>
          <w:tcPr>
            <w:tcW w:w="70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 xml:space="preserve">Age </w:t>
            </w:r>
          </w:p>
        </w:tc>
        <w:tc>
          <w:tcPr>
            <w:tcW w:w="70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Sex</w:t>
            </w:r>
          </w:p>
        </w:tc>
        <w:tc>
          <w:tcPr>
            <w:tcW w:w="14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 xml:space="preserve">Co-morbidities </w:t>
            </w:r>
          </w:p>
        </w:tc>
        <w:tc>
          <w:tcPr>
            <w:tcW w:w="1276"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 xml:space="preserve">Primary location </w:t>
            </w:r>
          </w:p>
        </w:tc>
        <w:tc>
          <w:tcPr>
            <w:tcW w:w="155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 xml:space="preserve">Cerebral involvement </w:t>
            </w:r>
          </w:p>
        </w:tc>
        <w:tc>
          <w:tcPr>
            <w:tcW w:w="992"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Orbital involvement</w:t>
            </w:r>
          </w:p>
        </w:tc>
        <w:tc>
          <w:tcPr>
            <w:tcW w:w="1577"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 xml:space="preserve">Involvement of neck spaces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2" w:hRule="atLeast"/>
        </w:trPr>
        <w:tc>
          <w:tcPr>
            <w:tcW w:w="959" w:type="dxa"/>
            <w:tcBorders>
              <w:left w:val="nil"/>
              <w:right w:val="nil"/>
              <w:insideV w:val="nil"/>
            </w:tcBorders>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1</w:t>
            </w:r>
          </w:p>
        </w:tc>
        <w:tc>
          <w:tcPr>
            <w:tcW w:w="70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34</w:t>
            </w:r>
          </w:p>
        </w:tc>
        <w:tc>
          <w:tcPr>
            <w:tcW w:w="70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Acute myeloid leukemia</w:t>
            </w:r>
          </w:p>
        </w:tc>
        <w:tc>
          <w:tcPr>
            <w:tcW w:w="1276"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Right nasal cavity, Right ethmoid, Sphenoid</w:t>
            </w:r>
          </w:p>
        </w:tc>
        <w:tc>
          <w:tcPr>
            <w:tcW w:w="155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ICA thrombosis, Cavernous sinus thrombosis, Leptomeningeal enhancement </w:t>
            </w:r>
          </w:p>
        </w:tc>
        <w:tc>
          <w:tcPr>
            <w:tcW w:w="992"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No </w:t>
            </w:r>
          </w:p>
        </w:tc>
        <w:tc>
          <w:tcPr>
            <w:tcW w:w="1577"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Right pterygopalatine, Right infra temporal, Bilateral parapharangeal, Retropharyngeal space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959" w:type="dxa"/>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2</w:t>
            </w:r>
          </w:p>
        </w:tc>
        <w:tc>
          <w:tcPr>
            <w:tcW w:w="70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64</w:t>
            </w:r>
          </w:p>
        </w:tc>
        <w:tc>
          <w:tcPr>
            <w:tcW w:w="70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Renal transplant </w:t>
            </w:r>
          </w:p>
        </w:tc>
        <w:tc>
          <w:tcPr>
            <w:tcW w:w="1276"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Pan sinusitis</w:t>
            </w:r>
          </w:p>
        </w:tc>
        <w:tc>
          <w:tcPr>
            <w:tcW w:w="155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&gt; Meningoencephalitis, &gt; infiltration into left basifrontal and gangliocapsular region along olfactory fossa</w:t>
            </w:r>
          </w:p>
        </w:tc>
        <w:tc>
          <w:tcPr>
            <w:tcW w:w="992"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Extra ocular muscles, Orbital cellulitis </w:t>
            </w:r>
          </w:p>
        </w:tc>
        <w:tc>
          <w:tcPr>
            <w:tcW w:w="1577"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No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959" w:type="dxa"/>
            <w:tcBorders>
              <w:left w:val="nil"/>
              <w:right w:val="nil"/>
              <w:insideV w:val="nil"/>
            </w:tcBorders>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3</w:t>
            </w:r>
          </w:p>
        </w:tc>
        <w:tc>
          <w:tcPr>
            <w:tcW w:w="70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72</w:t>
            </w:r>
          </w:p>
        </w:tc>
        <w:tc>
          <w:tcPr>
            <w:tcW w:w="70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Left maxillary, Ethmoid, Frontal, Sphenoid</w:t>
            </w:r>
          </w:p>
        </w:tc>
        <w:tc>
          <w:tcPr>
            <w:tcW w:w="155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Ganglio-capsular infarctcavernous sinus thrombosis </w:t>
            </w:r>
          </w:p>
        </w:tc>
        <w:tc>
          <w:tcPr>
            <w:tcW w:w="992"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Retro- orbitalfat and extra ocular muscles and  orbital apex</w:t>
            </w:r>
          </w:p>
        </w:tc>
        <w:tc>
          <w:tcPr>
            <w:tcW w:w="1577"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No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1" w:hRule="atLeast"/>
        </w:trPr>
        <w:tc>
          <w:tcPr>
            <w:tcW w:w="959" w:type="dxa"/>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4</w:t>
            </w:r>
          </w:p>
        </w:tc>
        <w:tc>
          <w:tcPr>
            <w:tcW w:w="70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50</w:t>
            </w:r>
          </w:p>
        </w:tc>
        <w:tc>
          <w:tcPr>
            <w:tcW w:w="70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No</w:t>
            </w:r>
          </w:p>
        </w:tc>
        <w:tc>
          <w:tcPr>
            <w:tcW w:w="1276"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Right maxillary</w:t>
            </w:r>
          </w:p>
        </w:tc>
        <w:tc>
          <w:tcPr>
            <w:tcW w:w="155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Cavernous sinus, Subdural abscess </w:t>
            </w:r>
          </w:p>
        </w:tc>
        <w:tc>
          <w:tcPr>
            <w:tcW w:w="992"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Orbital apex, Orbital abscess</w:t>
            </w:r>
          </w:p>
        </w:tc>
        <w:tc>
          <w:tcPr>
            <w:tcW w:w="1577"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Temporal, pterygopalatine, masticator space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959" w:type="dxa"/>
            <w:tcBorders>
              <w:left w:val="nil"/>
              <w:right w:val="nil"/>
              <w:insideV w:val="nil"/>
            </w:tcBorders>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5</w:t>
            </w:r>
          </w:p>
        </w:tc>
        <w:tc>
          <w:tcPr>
            <w:tcW w:w="70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40</w:t>
            </w:r>
          </w:p>
        </w:tc>
        <w:tc>
          <w:tcPr>
            <w:tcW w:w="70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Post renal transplant</w:t>
            </w:r>
          </w:p>
        </w:tc>
        <w:tc>
          <w:tcPr>
            <w:tcW w:w="1276"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Pan sinus</w:t>
            </w:r>
          </w:p>
        </w:tc>
        <w:tc>
          <w:tcPr>
            <w:tcW w:w="155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Cavernous sinus thrombosis, Temporal lobe involvement </w:t>
            </w:r>
          </w:p>
        </w:tc>
        <w:tc>
          <w:tcPr>
            <w:tcW w:w="992"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Extra conal extension, Right extra ocular muscles, Orbital floor</w:t>
            </w:r>
          </w:p>
        </w:tc>
        <w:tc>
          <w:tcPr>
            <w:tcW w:w="1577"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Infratemporal fossa, pterygopalatine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959" w:type="dxa"/>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6</w:t>
            </w:r>
          </w:p>
        </w:tc>
        <w:tc>
          <w:tcPr>
            <w:tcW w:w="70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45</w:t>
            </w:r>
          </w:p>
        </w:tc>
        <w:tc>
          <w:tcPr>
            <w:tcW w:w="70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Acquired immunodeficiency syndrome</w:t>
            </w:r>
          </w:p>
        </w:tc>
        <w:tc>
          <w:tcPr>
            <w:tcW w:w="1276"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Frontal</w:t>
            </w:r>
          </w:p>
        </w:tc>
        <w:tc>
          <w:tcPr>
            <w:tcW w:w="155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ICA thrombosis cavernous sinus thrombosis, Cerebral infarct epidural abscess </w:t>
            </w:r>
          </w:p>
        </w:tc>
        <w:tc>
          <w:tcPr>
            <w:tcW w:w="992"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Left orbit, Extra ocular muscles</w:t>
            </w:r>
          </w:p>
        </w:tc>
        <w:tc>
          <w:tcPr>
            <w:tcW w:w="1577"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Left pterygopalatine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959" w:type="dxa"/>
            <w:tcBorders>
              <w:left w:val="nil"/>
              <w:right w:val="nil"/>
              <w:insideV w:val="nil"/>
            </w:tcBorders>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7</w:t>
            </w:r>
          </w:p>
        </w:tc>
        <w:tc>
          <w:tcPr>
            <w:tcW w:w="70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67F</w:t>
            </w:r>
          </w:p>
        </w:tc>
        <w:tc>
          <w:tcPr>
            <w:tcW w:w="70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Female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Pan-sinus</w:t>
            </w:r>
          </w:p>
        </w:tc>
        <w:tc>
          <w:tcPr>
            <w:tcW w:w="155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Basifrontal brain parenchyma involvement, meningoencephalitis </w:t>
            </w:r>
          </w:p>
        </w:tc>
        <w:tc>
          <w:tcPr>
            <w:tcW w:w="992"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Orbital apex, extra ocular muscles Subperiosteal abscess</w:t>
            </w:r>
          </w:p>
        </w:tc>
        <w:tc>
          <w:tcPr>
            <w:tcW w:w="1577"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Right infra temporal fossa, retropharyngeal space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8</w:t>
            </w:r>
          </w:p>
        </w:tc>
        <w:tc>
          <w:tcPr>
            <w:tcW w:w="70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75</w:t>
            </w:r>
          </w:p>
        </w:tc>
        <w:tc>
          <w:tcPr>
            <w:tcW w:w="70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Pan-sinusitis</w:t>
            </w:r>
          </w:p>
        </w:tc>
        <w:tc>
          <w:tcPr>
            <w:tcW w:w="155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No cerebral involvement  </w:t>
            </w:r>
          </w:p>
        </w:tc>
        <w:tc>
          <w:tcPr>
            <w:tcW w:w="992"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Extraconal fat involvement</w:t>
            </w:r>
          </w:p>
        </w:tc>
        <w:tc>
          <w:tcPr>
            <w:tcW w:w="1577"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No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959" w:type="dxa"/>
            <w:tcBorders>
              <w:left w:val="nil"/>
              <w:right w:val="nil"/>
              <w:insideV w:val="nil"/>
            </w:tcBorders>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9</w:t>
            </w:r>
          </w:p>
        </w:tc>
        <w:tc>
          <w:tcPr>
            <w:tcW w:w="70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22</w:t>
            </w:r>
          </w:p>
        </w:tc>
        <w:tc>
          <w:tcPr>
            <w:tcW w:w="70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ALL </w:t>
            </w:r>
          </w:p>
        </w:tc>
        <w:tc>
          <w:tcPr>
            <w:tcW w:w="1276"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Right maxillary sinus</w:t>
            </w:r>
          </w:p>
        </w:tc>
        <w:tc>
          <w:tcPr>
            <w:tcW w:w="1559"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ICA thrombosis, Cavernous sinus involvement, Cerebral infarct </w:t>
            </w:r>
          </w:p>
        </w:tc>
        <w:tc>
          <w:tcPr>
            <w:tcW w:w="992"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Extra ocular muscle, Orbital apex, Subperiosteal abscess </w:t>
            </w:r>
          </w:p>
        </w:tc>
        <w:tc>
          <w:tcPr>
            <w:tcW w:w="1577"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Right Infratemporal fossa, Right pterygopalatine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eastAsia="Times New Roman" w:cs="Times New Roman"/>
                <w:b w:val="0"/>
                <w:bCs w:val="0"/>
                <w:color w:val="000000" w:themeColor="text1"/>
                <w14:textFill>
                  <w14:solidFill>
                    <w14:schemeClr w14:val="tx1"/>
                  </w14:solidFill>
                </w14:textFill>
              </w:rPr>
            </w:pPr>
            <w:r>
              <w:rPr>
                <w:rFonts w:ascii="Book Antiqua" w:hAnsi="Book Antiqua" w:eastAsia="Times New Roman" w:cs="Times New Roman"/>
                <w:b/>
                <w:bCs/>
                <w:color w:val="000000" w:themeColor="text1"/>
                <w14:textFill>
                  <w14:solidFill>
                    <w14:schemeClr w14:val="tx1"/>
                  </w14:solidFill>
                </w14:textFill>
              </w:rPr>
              <w:t>10</w:t>
            </w:r>
          </w:p>
        </w:tc>
        <w:tc>
          <w:tcPr>
            <w:tcW w:w="70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50</w:t>
            </w:r>
          </w:p>
        </w:tc>
        <w:tc>
          <w:tcPr>
            <w:tcW w:w="70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Left maxillary sinus </w:t>
            </w:r>
          </w:p>
        </w:tc>
        <w:tc>
          <w:tcPr>
            <w:tcW w:w="1559"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No cerebral involvement </w:t>
            </w:r>
          </w:p>
        </w:tc>
        <w:tc>
          <w:tcPr>
            <w:tcW w:w="992"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Left extraconal space</w:t>
            </w:r>
          </w:p>
        </w:tc>
        <w:tc>
          <w:tcPr>
            <w:tcW w:w="1577"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No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left w:val="nil"/>
              <w:right w:val="nil"/>
              <w:insideV w:val="nil"/>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11</w:t>
            </w:r>
          </w:p>
        </w:tc>
        <w:tc>
          <w:tcPr>
            <w:tcW w:w="70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50</w:t>
            </w:r>
          </w:p>
        </w:tc>
        <w:tc>
          <w:tcPr>
            <w:tcW w:w="70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Acquired immunodeficiency syndrome</w:t>
            </w:r>
          </w:p>
        </w:tc>
        <w:tc>
          <w:tcPr>
            <w:tcW w:w="1276"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Pan sinusitis </w:t>
            </w:r>
          </w:p>
        </w:tc>
        <w:tc>
          <w:tcPr>
            <w:tcW w:w="155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Cavernous sinus, Epidural abscess </w:t>
            </w:r>
          </w:p>
        </w:tc>
        <w:tc>
          <w:tcPr>
            <w:tcW w:w="992"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Orbital Apex, Extra ocular muscles involvement, Subperiosteal abscess </w:t>
            </w:r>
          </w:p>
        </w:tc>
        <w:tc>
          <w:tcPr>
            <w:tcW w:w="1577"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Pterygopalatine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12</w:t>
            </w:r>
          </w:p>
        </w:tc>
        <w:tc>
          <w:tcPr>
            <w:tcW w:w="70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40</w:t>
            </w:r>
          </w:p>
        </w:tc>
        <w:tc>
          <w:tcPr>
            <w:tcW w:w="708"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Kidney transplant </w:t>
            </w:r>
          </w:p>
        </w:tc>
        <w:tc>
          <w:tcPr>
            <w:tcW w:w="1276"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Frontal, Ethmoid, sphenoid</w:t>
            </w:r>
          </w:p>
        </w:tc>
        <w:tc>
          <w:tcPr>
            <w:tcW w:w="155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ICA thrombosis, Temporal lobe abscess </w:t>
            </w:r>
          </w:p>
        </w:tc>
        <w:tc>
          <w:tcPr>
            <w:tcW w:w="992"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Orbital apex, Extra ocular muscles, Subperiosteal abscess, Cellulitis </w:t>
            </w:r>
          </w:p>
        </w:tc>
        <w:tc>
          <w:tcPr>
            <w:tcW w:w="1577"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No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left w:val="nil"/>
              <w:right w:val="nil"/>
              <w:insideV w:val="nil"/>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13</w:t>
            </w:r>
          </w:p>
        </w:tc>
        <w:tc>
          <w:tcPr>
            <w:tcW w:w="70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21</w:t>
            </w:r>
          </w:p>
        </w:tc>
        <w:tc>
          <w:tcPr>
            <w:tcW w:w="70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Female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Acute lymphocytic leukemia</w:t>
            </w:r>
          </w:p>
        </w:tc>
        <w:tc>
          <w:tcPr>
            <w:tcW w:w="1276"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Right maxillary sinus and nasal cavity </w:t>
            </w:r>
          </w:p>
        </w:tc>
        <w:tc>
          <w:tcPr>
            <w:tcW w:w="155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ICA thrombosis, Frontal lobe abscess, Infarct </w:t>
            </w:r>
          </w:p>
        </w:tc>
        <w:tc>
          <w:tcPr>
            <w:tcW w:w="992"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 Extra ocular muscles, Intraconal fat </w:t>
            </w:r>
          </w:p>
        </w:tc>
        <w:tc>
          <w:tcPr>
            <w:tcW w:w="1577"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Pterygopalatine fossa and infratemporal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14</w:t>
            </w:r>
          </w:p>
        </w:tc>
        <w:tc>
          <w:tcPr>
            <w:tcW w:w="70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64</w:t>
            </w:r>
          </w:p>
        </w:tc>
        <w:tc>
          <w:tcPr>
            <w:tcW w:w="708"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Pan sinusitis</w:t>
            </w:r>
          </w:p>
        </w:tc>
        <w:tc>
          <w:tcPr>
            <w:tcW w:w="155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Cavernous sinus, Subdural abscess </w:t>
            </w:r>
          </w:p>
        </w:tc>
        <w:tc>
          <w:tcPr>
            <w:tcW w:w="992"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Orbital apex, Extraocular muscles, Subperiosteal abscess</w:t>
            </w:r>
          </w:p>
        </w:tc>
        <w:tc>
          <w:tcPr>
            <w:tcW w:w="1577"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No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left w:val="nil"/>
              <w:right w:val="nil"/>
              <w:insideV w:val="nil"/>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15</w:t>
            </w:r>
          </w:p>
        </w:tc>
        <w:tc>
          <w:tcPr>
            <w:tcW w:w="70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48</w:t>
            </w:r>
          </w:p>
        </w:tc>
        <w:tc>
          <w:tcPr>
            <w:tcW w:w="70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No </w:t>
            </w:r>
          </w:p>
        </w:tc>
        <w:tc>
          <w:tcPr>
            <w:tcW w:w="1276"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Pan sinusitis</w:t>
            </w:r>
          </w:p>
        </w:tc>
        <w:tc>
          <w:tcPr>
            <w:tcW w:w="1559" w:type="dxa"/>
            <w:tcBorders>
              <w:right w:val="nil"/>
              <w:insideV w:val="nil"/>
            </w:tcBorders>
            <w:shd w:val="clear" w:color="auto" w:fill="auto"/>
          </w:tcPr>
          <w:p>
            <w:pPr>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heme="minorBidi"/>
                <w:color w:val="000000" w:themeColor="text1"/>
                <w14:textFill>
                  <w14:solidFill>
                    <w14:schemeClr w14:val="tx1"/>
                  </w14:solidFill>
                </w14:textFill>
              </w:rPr>
              <w:t>Cavernous sinus</w:t>
            </w:r>
            <w:r>
              <w:rPr>
                <w:rFonts w:hint="eastAsia" w:ascii="Book Antiqua" w:hAnsi="Book Antiqua" w:cstheme="minorBidi"/>
                <w:color w:val="000000" w:themeColor="text1"/>
                <w:lang w:eastAsia="zh-CN"/>
                <w14:textFill>
                  <w14:solidFill>
                    <w14:schemeClr w14:val="tx1"/>
                  </w14:solidFill>
                </w14:textFill>
              </w:rPr>
              <w:t xml:space="preserve">, </w:t>
            </w:r>
            <w:r>
              <w:rPr>
                <w:rFonts w:ascii="Book Antiqua" w:hAnsi="Book Antiqua" w:cstheme="minorBidi"/>
                <w:color w:val="000000" w:themeColor="text1"/>
                <w14:textFill>
                  <w14:solidFill>
                    <w14:schemeClr w14:val="tx1"/>
                  </w14:solidFill>
                </w14:textFill>
              </w:rPr>
              <w:t>ICA thrombosis</w:t>
            </w:r>
          </w:p>
        </w:tc>
        <w:tc>
          <w:tcPr>
            <w:tcW w:w="992"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Orbital apex, Extra ocular muscles, Orbital abscess </w:t>
            </w:r>
          </w:p>
        </w:tc>
        <w:tc>
          <w:tcPr>
            <w:tcW w:w="1577"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Pterygopalatine fossa, Infra temporal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16</w:t>
            </w:r>
          </w:p>
        </w:tc>
        <w:tc>
          <w:tcPr>
            <w:tcW w:w="70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68</w:t>
            </w:r>
          </w:p>
        </w:tc>
        <w:tc>
          <w:tcPr>
            <w:tcW w:w="708"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Pan sinusitis</w:t>
            </w:r>
          </w:p>
        </w:tc>
        <w:tc>
          <w:tcPr>
            <w:tcW w:w="155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Not involved </w:t>
            </w:r>
          </w:p>
        </w:tc>
        <w:tc>
          <w:tcPr>
            <w:tcW w:w="992"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Extraconal fat </w:t>
            </w:r>
          </w:p>
        </w:tc>
        <w:tc>
          <w:tcPr>
            <w:tcW w:w="1577"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Pterygopalatine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left w:val="nil"/>
              <w:right w:val="nil"/>
              <w:insideV w:val="nil"/>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17</w:t>
            </w:r>
          </w:p>
        </w:tc>
        <w:tc>
          <w:tcPr>
            <w:tcW w:w="70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57</w:t>
            </w:r>
          </w:p>
        </w:tc>
        <w:tc>
          <w:tcPr>
            <w:tcW w:w="70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Pan sinusitis</w:t>
            </w:r>
          </w:p>
        </w:tc>
        <w:tc>
          <w:tcPr>
            <w:tcW w:w="155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Subdural abscess </w:t>
            </w:r>
          </w:p>
        </w:tc>
        <w:tc>
          <w:tcPr>
            <w:tcW w:w="992"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Extraconal orbital fat, Extra ocular muscles, Orbital cellulitis </w:t>
            </w:r>
          </w:p>
        </w:tc>
        <w:tc>
          <w:tcPr>
            <w:tcW w:w="1577"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Infratemporal fossa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18</w:t>
            </w:r>
          </w:p>
        </w:tc>
        <w:tc>
          <w:tcPr>
            <w:tcW w:w="70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71</w:t>
            </w:r>
          </w:p>
        </w:tc>
        <w:tc>
          <w:tcPr>
            <w:tcW w:w="708"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Diabetes</w:t>
            </w:r>
          </w:p>
        </w:tc>
        <w:tc>
          <w:tcPr>
            <w:tcW w:w="1276"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Sphenoid, Ethmoid, Nasal cavity</w:t>
            </w:r>
          </w:p>
        </w:tc>
        <w:tc>
          <w:tcPr>
            <w:tcW w:w="1559"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Frontal lobe </w:t>
            </w:r>
          </w:p>
        </w:tc>
        <w:tc>
          <w:tcPr>
            <w:tcW w:w="992"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Orbital apex, Extra ocular muscles </w:t>
            </w:r>
          </w:p>
        </w:tc>
        <w:tc>
          <w:tcPr>
            <w:tcW w:w="1577" w:type="dxa"/>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Para pharyngeal space, Pterygopalatine fossa </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left w:val="nil"/>
              <w:right w:val="nil"/>
              <w:insideV w:val="nil"/>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19</w:t>
            </w:r>
          </w:p>
        </w:tc>
        <w:tc>
          <w:tcPr>
            <w:tcW w:w="70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48</w:t>
            </w:r>
          </w:p>
        </w:tc>
        <w:tc>
          <w:tcPr>
            <w:tcW w:w="708"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right w:val="nil"/>
              <w:insideV w:val="nil"/>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No </w:t>
            </w:r>
          </w:p>
        </w:tc>
        <w:tc>
          <w:tcPr>
            <w:tcW w:w="1276"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Right pan sinusitis, Nasal cavity</w:t>
            </w:r>
          </w:p>
        </w:tc>
        <w:tc>
          <w:tcPr>
            <w:tcW w:w="1559"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Frontal lobe, Cavernous sinus </w:t>
            </w:r>
          </w:p>
        </w:tc>
        <w:tc>
          <w:tcPr>
            <w:tcW w:w="992"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Extraconal fat, extra ocular muscles </w:t>
            </w:r>
          </w:p>
        </w:tc>
        <w:tc>
          <w:tcPr>
            <w:tcW w:w="1577" w:type="dxa"/>
            <w:tcBorders>
              <w:right w:val="nil"/>
              <w:insideV w:val="nil"/>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No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959" w:type="dxa"/>
            <w:tcBorders>
              <w:bottom w:val="single" w:color="000000" w:themeColor="text1" w:sz="8" w:space="0"/>
            </w:tcBorders>
            <w:shd w:val="clear" w:color="auto" w:fill="auto"/>
          </w:tcPr>
          <w:p>
            <w:pPr>
              <w:spacing w:line="360" w:lineRule="auto"/>
              <w:jc w:val="both"/>
              <w:rPr>
                <w:rFonts w:ascii="Book Antiqua" w:hAnsi="Book Antiqua" w:cstheme="minorBidi"/>
                <w:b/>
                <w:bCs/>
                <w:color w:val="000000" w:themeColor="text1"/>
                <w14:textFill>
                  <w14:solidFill>
                    <w14:schemeClr w14:val="tx1"/>
                  </w14:solidFill>
                </w14:textFill>
              </w:rPr>
            </w:pPr>
            <w:r>
              <w:rPr>
                <w:rFonts w:ascii="Book Antiqua" w:hAnsi="Book Antiqua" w:cstheme="minorBidi"/>
                <w:b/>
                <w:bCs/>
                <w:color w:val="000000" w:themeColor="text1"/>
                <w14:textFill>
                  <w14:solidFill>
                    <w14:schemeClr w14:val="tx1"/>
                  </w14:solidFill>
                </w14:textFill>
              </w:rPr>
              <w:t>20</w:t>
            </w:r>
          </w:p>
        </w:tc>
        <w:tc>
          <w:tcPr>
            <w:tcW w:w="709"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37</w:t>
            </w:r>
          </w:p>
        </w:tc>
        <w:tc>
          <w:tcPr>
            <w:tcW w:w="708"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Male</w:t>
            </w:r>
          </w:p>
        </w:tc>
        <w:tc>
          <w:tcPr>
            <w:tcW w:w="1418" w:type="dxa"/>
            <w:tcBorders>
              <w:bottom w:val="single" w:color="000000" w:themeColor="text1" w:sz="8" w:space="0"/>
            </w:tcBorders>
            <w:shd w:val="clear" w:color="auto" w:fill="auto"/>
          </w:tcPr>
          <w:p>
            <w:pPr>
              <w:spacing w:line="360" w:lineRule="auto"/>
              <w:jc w:val="both"/>
              <w:rPr>
                <w:rFonts w:ascii="Book Antiqua" w:hAnsi="Book Antiqua" w:eastAsia="Times New Roman" w:cs="Times New Roman"/>
                <w:color w:val="000000" w:themeColor="text1"/>
                <w14:textFill>
                  <w14:solidFill>
                    <w14:schemeClr w14:val="tx1"/>
                  </w14:solidFill>
                </w14:textFill>
              </w:rPr>
            </w:pPr>
            <w:r>
              <w:rPr>
                <w:rFonts w:ascii="Book Antiqua" w:hAnsi="Book Antiqua" w:eastAsia="Times New Roman" w:cs="Times New Roman"/>
                <w:color w:val="000000" w:themeColor="text1"/>
                <w14:textFill>
                  <w14:solidFill>
                    <w14:schemeClr w14:val="tx1"/>
                  </w14:solidFill>
                </w14:textFill>
              </w:rPr>
              <w:t xml:space="preserve">Lymphoma </w:t>
            </w:r>
          </w:p>
        </w:tc>
        <w:tc>
          <w:tcPr>
            <w:tcW w:w="1276"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Right sinusitis </w:t>
            </w:r>
          </w:p>
        </w:tc>
        <w:tc>
          <w:tcPr>
            <w:tcW w:w="1559"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Not involved </w:t>
            </w:r>
          </w:p>
        </w:tc>
        <w:tc>
          <w:tcPr>
            <w:tcW w:w="992"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Extraconal orbital fat </w:t>
            </w:r>
          </w:p>
        </w:tc>
        <w:tc>
          <w:tcPr>
            <w:tcW w:w="1577" w:type="dxa"/>
            <w:tcBorders>
              <w:bottom w:val="single" w:color="000000" w:themeColor="text1" w:sz="8" w:space="0"/>
            </w:tcBorders>
            <w:shd w:val="clear" w:color="auto" w:fill="auto"/>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 xml:space="preserve">No </w:t>
            </w:r>
          </w:p>
        </w:tc>
      </w:tr>
    </w:tbl>
    <w:p>
      <w:pPr>
        <w:spacing w:line="360" w:lineRule="auto"/>
        <w:jc w:val="both"/>
        <w:rPr>
          <w:rFonts w:ascii="Book Antiqua" w:hAnsi="Book Antiqua"/>
          <w:lang w:eastAsia="zh-CN"/>
        </w:rPr>
      </w:pPr>
      <w:r>
        <w:rPr>
          <w:rFonts w:ascii="Book Antiqua" w:hAnsi="Book Antiqua"/>
        </w:rPr>
        <w:t>ICA: Internal carotid artery</w:t>
      </w:r>
      <w:r>
        <w:rPr>
          <w:rFonts w:hint="eastAsia" w:ascii="Book Antiqua" w:hAnsi="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p>
    <w:p>
      <w:pPr>
        <w:spacing w:line="360" w:lineRule="auto"/>
        <w:jc w:val="both"/>
        <w:rPr>
          <w:rFonts w:ascii="Book Antiqua" w:hAnsi="Book Antiqua"/>
          <w:b/>
        </w:rPr>
      </w:pPr>
    </w:p>
    <w:p>
      <w:pPr>
        <w:spacing w:line="360" w:lineRule="auto"/>
        <w:jc w:val="both"/>
        <w:rPr>
          <w:rFonts w:ascii="Book Antiqua" w:hAnsi="Book Antiqua"/>
          <w:b/>
        </w:rPr>
      </w:pPr>
    </w:p>
    <w:p>
      <w:pPr>
        <w:spacing w:line="360" w:lineRule="auto"/>
        <w:jc w:val="both"/>
        <w:rPr>
          <w:rFonts w:ascii="Book Antiqua" w:hAnsi="Book Antiqua"/>
          <w:b/>
        </w:rPr>
      </w:pPr>
      <w:r>
        <w:rPr>
          <w:rFonts w:ascii="Book Antiqua" w:hAnsi="Book Antiqua"/>
          <w:b/>
        </w:rPr>
        <w:br w:type="page"/>
      </w:r>
      <w:r>
        <w:rPr>
          <w:rFonts w:ascii="Book Antiqua" w:hAnsi="Book Antiqua"/>
          <w:b/>
        </w:rPr>
        <w:t>Table 2 Table showing the summary of central nervous system involvement, orbital involvement and neck space involvement</w:t>
      </w:r>
    </w:p>
    <w:tbl>
      <w:tblPr>
        <w:tblStyle w:val="7"/>
        <w:tblW w:w="7938"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21"/>
        <w:gridCol w:w="1417"/>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trPr>
        <w:tc>
          <w:tcPr>
            <w:tcW w:w="6521" w:type="dxa"/>
            <w:tcBorders>
              <w:top w:val="single" w:color="000000" w:themeColor="text1" w:sz="8" w:space="0"/>
              <w:bottom w:val="single" w:color="000000" w:themeColor="text1" w:sz="8" w:space="0"/>
            </w:tcBorders>
            <w:shd w:val="clear" w:color="auto" w:fill="auto"/>
            <w:vAlign w:val="center"/>
          </w:tcPr>
          <w:p>
            <w:pPr>
              <w:spacing w:line="360" w:lineRule="auto"/>
              <w:jc w:val="both"/>
              <w:rPr>
                <w:rFonts w:ascii="Book Antiqua" w:hAnsi="Book Antiqua" w:eastAsia="等线" w:cs="宋体"/>
                <w:b/>
                <w:color w:val="000000"/>
                <w:lang w:eastAsia="zh-CN"/>
              </w:rPr>
            </w:pPr>
            <w:r>
              <w:rPr>
                <w:rFonts w:ascii="Book Antiqua" w:hAnsi="Book Antiqua" w:eastAsia="等线" w:cs="宋体"/>
                <w:b/>
                <w:color w:val="000000"/>
                <w:lang w:eastAsia="zh-CN"/>
              </w:rPr>
              <w:t xml:space="preserve">Complication/local invasion </w:t>
            </w:r>
          </w:p>
        </w:tc>
        <w:tc>
          <w:tcPr>
            <w:tcW w:w="1417" w:type="dxa"/>
            <w:tcBorders>
              <w:top w:val="single" w:color="000000" w:themeColor="text1" w:sz="8" w:space="0"/>
              <w:bottom w:val="single" w:color="000000" w:themeColor="text1" w:sz="8" w:space="0"/>
            </w:tcBorders>
            <w:shd w:val="clear" w:color="auto" w:fill="auto"/>
            <w:vAlign w:val="center"/>
          </w:tcPr>
          <w:p>
            <w:pPr>
              <w:spacing w:line="360" w:lineRule="auto"/>
              <w:jc w:val="both"/>
              <w:rPr>
                <w:rFonts w:ascii="Book Antiqua" w:hAnsi="Book Antiqua" w:eastAsia="等线" w:cs="宋体"/>
                <w:b/>
                <w:color w:val="000000"/>
                <w:lang w:eastAsia="zh-CN"/>
              </w:rPr>
            </w:pPr>
            <w:r>
              <w:rPr>
                <w:rFonts w:ascii="Book Antiqua" w:hAnsi="Book Antiqua" w:eastAsia="等线" w:cs="宋体"/>
                <w:b/>
                <w:color w:val="000000"/>
                <w:lang w:eastAsia="zh-CN"/>
              </w:rPr>
              <w:t>N = 20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tcBorders>
              <w:top w:val="single" w:color="000000" w:themeColor="text1" w:sz="8"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Cerebral </w:t>
            </w:r>
          </w:p>
        </w:tc>
        <w:tc>
          <w:tcPr>
            <w:tcW w:w="1417" w:type="dxa"/>
            <w:tcBorders>
              <w:top w:val="single" w:color="000000" w:themeColor="text1" w:sz="8"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16/20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Arterial involvement (ICA thrombosis)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6</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Cavernous sinus thrombosis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Brain Parenchymal involvement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Meninges and Dural/epidural involvement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7</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Orbit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18/20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Extraocular muscles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Orbital apex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Orbital fat only/orbital cellulitis/abscess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16</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Neck spaces </w:t>
            </w:r>
          </w:p>
        </w:tc>
        <w:tc>
          <w:tcPr>
            <w:tcW w:w="1417" w:type="dxa"/>
            <w:shd w:val="clear" w:color="auto" w:fill="auto"/>
            <w:vAlign w:val="center"/>
          </w:tcPr>
          <w:p>
            <w:pPr>
              <w:spacing w:line="360" w:lineRule="auto"/>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12/20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Pterygopalatine foramen and fossa</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Infratemporal fossa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Masticator space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Retropharyngeal space </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21"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Parapharyngeal space</w:t>
            </w:r>
          </w:p>
        </w:tc>
        <w:tc>
          <w:tcPr>
            <w:tcW w:w="1417"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w:t>
            </w:r>
          </w:p>
        </w:tc>
      </w:tr>
    </w:tbl>
    <w:p>
      <w:pPr>
        <w:spacing w:line="360" w:lineRule="auto"/>
        <w:jc w:val="both"/>
        <w:rPr>
          <w:rFonts w:ascii="Book Antiqua" w:hAnsi="Book Antiqua"/>
        </w:rPr>
      </w:pPr>
      <w:r>
        <w:rPr>
          <w:rFonts w:ascii="Book Antiqua" w:hAnsi="Book Antiqua"/>
        </w:rPr>
        <w:t>ICA: Internal carotid artery.</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585288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0C8"/>
    <w:rsid w:val="00023462"/>
    <w:rsid w:val="00023764"/>
    <w:rsid w:val="00032B13"/>
    <w:rsid w:val="00036749"/>
    <w:rsid w:val="00052ACE"/>
    <w:rsid w:val="00072CB9"/>
    <w:rsid w:val="00084219"/>
    <w:rsid w:val="000A42A7"/>
    <w:rsid w:val="000A7AF6"/>
    <w:rsid w:val="000C4D75"/>
    <w:rsid w:val="000C722C"/>
    <w:rsid w:val="0012082F"/>
    <w:rsid w:val="00157B22"/>
    <w:rsid w:val="0016575A"/>
    <w:rsid w:val="001669BB"/>
    <w:rsid w:val="00173F35"/>
    <w:rsid w:val="00177122"/>
    <w:rsid w:val="00183FBF"/>
    <w:rsid w:val="00186537"/>
    <w:rsid w:val="001910A8"/>
    <w:rsid w:val="00191997"/>
    <w:rsid w:val="001A035B"/>
    <w:rsid w:val="001A0C6F"/>
    <w:rsid w:val="001B3213"/>
    <w:rsid w:val="001C0F5D"/>
    <w:rsid w:val="001C5A46"/>
    <w:rsid w:val="001D0576"/>
    <w:rsid w:val="001E0D0C"/>
    <w:rsid w:val="001E6FD6"/>
    <w:rsid w:val="001F3155"/>
    <w:rsid w:val="001F57D0"/>
    <w:rsid w:val="00207979"/>
    <w:rsid w:val="002137DE"/>
    <w:rsid w:val="0024360F"/>
    <w:rsid w:val="00270958"/>
    <w:rsid w:val="00273DEA"/>
    <w:rsid w:val="002766FD"/>
    <w:rsid w:val="002833B0"/>
    <w:rsid w:val="00283BB8"/>
    <w:rsid w:val="0028553F"/>
    <w:rsid w:val="00287DB5"/>
    <w:rsid w:val="00296357"/>
    <w:rsid w:val="002A3913"/>
    <w:rsid w:val="002B4F4B"/>
    <w:rsid w:val="002C6128"/>
    <w:rsid w:val="002D6BED"/>
    <w:rsid w:val="00306768"/>
    <w:rsid w:val="00321F38"/>
    <w:rsid w:val="00324198"/>
    <w:rsid w:val="0034560D"/>
    <w:rsid w:val="003456F0"/>
    <w:rsid w:val="003632E1"/>
    <w:rsid w:val="00364645"/>
    <w:rsid w:val="00383A4A"/>
    <w:rsid w:val="00383BBC"/>
    <w:rsid w:val="0039168D"/>
    <w:rsid w:val="003A527E"/>
    <w:rsid w:val="003C6480"/>
    <w:rsid w:val="003F5FBF"/>
    <w:rsid w:val="003F7169"/>
    <w:rsid w:val="00402161"/>
    <w:rsid w:val="00414220"/>
    <w:rsid w:val="004179D0"/>
    <w:rsid w:val="00423064"/>
    <w:rsid w:val="004244D4"/>
    <w:rsid w:val="0046017F"/>
    <w:rsid w:val="00467493"/>
    <w:rsid w:val="00474C28"/>
    <w:rsid w:val="00485DC6"/>
    <w:rsid w:val="00497B54"/>
    <w:rsid w:val="004A6A51"/>
    <w:rsid w:val="004B4BA2"/>
    <w:rsid w:val="004F7BFF"/>
    <w:rsid w:val="0051282F"/>
    <w:rsid w:val="00520377"/>
    <w:rsid w:val="00523A64"/>
    <w:rsid w:val="0052453B"/>
    <w:rsid w:val="005261F0"/>
    <w:rsid w:val="005271AF"/>
    <w:rsid w:val="005412BB"/>
    <w:rsid w:val="005710F8"/>
    <w:rsid w:val="0058697C"/>
    <w:rsid w:val="00597417"/>
    <w:rsid w:val="00597E2C"/>
    <w:rsid w:val="005B06E4"/>
    <w:rsid w:val="005B4C78"/>
    <w:rsid w:val="005C6724"/>
    <w:rsid w:val="005E53F9"/>
    <w:rsid w:val="005E62CC"/>
    <w:rsid w:val="005F1B7D"/>
    <w:rsid w:val="0063364D"/>
    <w:rsid w:val="006416AD"/>
    <w:rsid w:val="00657F5D"/>
    <w:rsid w:val="00660830"/>
    <w:rsid w:val="00663047"/>
    <w:rsid w:val="0066784E"/>
    <w:rsid w:val="0068382B"/>
    <w:rsid w:val="006944CC"/>
    <w:rsid w:val="006B18FF"/>
    <w:rsid w:val="006D45BB"/>
    <w:rsid w:val="006F69DF"/>
    <w:rsid w:val="0070003E"/>
    <w:rsid w:val="007050DE"/>
    <w:rsid w:val="0070659E"/>
    <w:rsid w:val="007068B7"/>
    <w:rsid w:val="007326E1"/>
    <w:rsid w:val="00755087"/>
    <w:rsid w:val="007C23E7"/>
    <w:rsid w:val="007C5556"/>
    <w:rsid w:val="007D1682"/>
    <w:rsid w:val="007D534E"/>
    <w:rsid w:val="007D7EB1"/>
    <w:rsid w:val="007E4E5E"/>
    <w:rsid w:val="007E56FE"/>
    <w:rsid w:val="007F315F"/>
    <w:rsid w:val="007F3519"/>
    <w:rsid w:val="007F36F8"/>
    <w:rsid w:val="007F47E2"/>
    <w:rsid w:val="0081309E"/>
    <w:rsid w:val="008172BA"/>
    <w:rsid w:val="00823AE4"/>
    <w:rsid w:val="00835448"/>
    <w:rsid w:val="00851633"/>
    <w:rsid w:val="00853D6A"/>
    <w:rsid w:val="00872433"/>
    <w:rsid w:val="008726E7"/>
    <w:rsid w:val="00873526"/>
    <w:rsid w:val="00877726"/>
    <w:rsid w:val="00884854"/>
    <w:rsid w:val="0089365D"/>
    <w:rsid w:val="008A0A62"/>
    <w:rsid w:val="008A6F96"/>
    <w:rsid w:val="008D1E81"/>
    <w:rsid w:val="008E1C80"/>
    <w:rsid w:val="008E25E5"/>
    <w:rsid w:val="008F0E19"/>
    <w:rsid w:val="009233DF"/>
    <w:rsid w:val="00942331"/>
    <w:rsid w:val="009456DE"/>
    <w:rsid w:val="00975793"/>
    <w:rsid w:val="00975EF5"/>
    <w:rsid w:val="00986EF7"/>
    <w:rsid w:val="009B3408"/>
    <w:rsid w:val="009D5FFF"/>
    <w:rsid w:val="009E4252"/>
    <w:rsid w:val="00A001C1"/>
    <w:rsid w:val="00A03893"/>
    <w:rsid w:val="00A10596"/>
    <w:rsid w:val="00A20099"/>
    <w:rsid w:val="00A26F98"/>
    <w:rsid w:val="00A43CCB"/>
    <w:rsid w:val="00A473F2"/>
    <w:rsid w:val="00A47686"/>
    <w:rsid w:val="00A51365"/>
    <w:rsid w:val="00A55B84"/>
    <w:rsid w:val="00A561CB"/>
    <w:rsid w:val="00A574AC"/>
    <w:rsid w:val="00A6427B"/>
    <w:rsid w:val="00A64C71"/>
    <w:rsid w:val="00A76837"/>
    <w:rsid w:val="00A771FB"/>
    <w:rsid w:val="00A77B3E"/>
    <w:rsid w:val="00A93190"/>
    <w:rsid w:val="00AA5A22"/>
    <w:rsid w:val="00AC49CA"/>
    <w:rsid w:val="00AC6A25"/>
    <w:rsid w:val="00AD3485"/>
    <w:rsid w:val="00AD6240"/>
    <w:rsid w:val="00AF2AD6"/>
    <w:rsid w:val="00B23706"/>
    <w:rsid w:val="00B269E3"/>
    <w:rsid w:val="00B46058"/>
    <w:rsid w:val="00B460BE"/>
    <w:rsid w:val="00B531A6"/>
    <w:rsid w:val="00B600BC"/>
    <w:rsid w:val="00B6027A"/>
    <w:rsid w:val="00B71E5C"/>
    <w:rsid w:val="00BA4CD8"/>
    <w:rsid w:val="00BA7572"/>
    <w:rsid w:val="00BB0245"/>
    <w:rsid w:val="00BD1051"/>
    <w:rsid w:val="00BD6E77"/>
    <w:rsid w:val="00BE0534"/>
    <w:rsid w:val="00BF6B96"/>
    <w:rsid w:val="00C22BA1"/>
    <w:rsid w:val="00C35FEA"/>
    <w:rsid w:val="00C36A81"/>
    <w:rsid w:val="00C36AF6"/>
    <w:rsid w:val="00C40D99"/>
    <w:rsid w:val="00C47272"/>
    <w:rsid w:val="00C73CE5"/>
    <w:rsid w:val="00C806B7"/>
    <w:rsid w:val="00C825D9"/>
    <w:rsid w:val="00C85575"/>
    <w:rsid w:val="00C86D57"/>
    <w:rsid w:val="00CA2031"/>
    <w:rsid w:val="00CA2A55"/>
    <w:rsid w:val="00CB4785"/>
    <w:rsid w:val="00CD21DC"/>
    <w:rsid w:val="00CD5DA7"/>
    <w:rsid w:val="00D00365"/>
    <w:rsid w:val="00D0303B"/>
    <w:rsid w:val="00D14892"/>
    <w:rsid w:val="00D34EFB"/>
    <w:rsid w:val="00D41FB3"/>
    <w:rsid w:val="00D64B82"/>
    <w:rsid w:val="00D75CDA"/>
    <w:rsid w:val="00D97465"/>
    <w:rsid w:val="00DA3310"/>
    <w:rsid w:val="00DA3CCC"/>
    <w:rsid w:val="00DC5607"/>
    <w:rsid w:val="00DD3C6A"/>
    <w:rsid w:val="00DF12CB"/>
    <w:rsid w:val="00DF3078"/>
    <w:rsid w:val="00DF61E1"/>
    <w:rsid w:val="00E03906"/>
    <w:rsid w:val="00E10A7C"/>
    <w:rsid w:val="00E128D6"/>
    <w:rsid w:val="00E155E9"/>
    <w:rsid w:val="00E81342"/>
    <w:rsid w:val="00E84A11"/>
    <w:rsid w:val="00E96B83"/>
    <w:rsid w:val="00EA102E"/>
    <w:rsid w:val="00EA5432"/>
    <w:rsid w:val="00EA7DAD"/>
    <w:rsid w:val="00EC0DAD"/>
    <w:rsid w:val="00EE28E5"/>
    <w:rsid w:val="00EF0AC6"/>
    <w:rsid w:val="00F03C55"/>
    <w:rsid w:val="00F06171"/>
    <w:rsid w:val="00F440BC"/>
    <w:rsid w:val="00F56524"/>
    <w:rsid w:val="00F61CAC"/>
    <w:rsid w:val="00F7539D"/>
    <w:rsid w:val="00FA1422"/>
    <w:rsid w:val="00FA6B57"/>
    <w:rsid w:val="00FB2218"/>
    <w:rsid w:val="00FB3F7A"/>
    <w:rsid w:val="00FB5476"/>
    <w:rsid w:val="00FB5AF9"/>
    <w:rsid w:val="00FC2524"/>
    <w:rsid w:val="00FC792F"/>
    <w:rsid w:val="00FD1D40"/>
    <w:rsid w:val="19EC18E7"/>
    <w:rsid w:val="2E4A6BE4"/>
    <w:rsid w:val="355467F8"/>
    <w:rsid w:val="3BEE4B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39" w:semiHidden="0" w:name="Table Grid"/>
    <w:lsdException w:uiPriority="0"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7"/>
    <w:semiHidden/>
    <w:unhideWhenUsed/>
    <w:qFormat/>
    <w:uiPriority w:val="0"/>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39"/>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Light Shading"/>
    <w:basedOn w:val="7"/>
    <w:qFormat/>
    <w:uiPriority w:val="60"/>
    <w:rPr>
      <w:rFonts w:asciiTheme="minorHAnsi" w:hAnsiTheme="minorHAnsi" w:cstheme="minorBidi"/>
      <w:color w:val="000000" w:themeColor="text1" w:themeShade="BF"/>
      <w:sz w:val="22"/>
      <w:szCs w:val="22"/>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11">
    <w:name w:val="annotation reference"/>
    <w:basedOn w:val="10"/>
    <w:semiHidden/>
    <w:unhideWhenUsed/>
    <w:qFormat/>
    <w:uiPriority w:val="0"/>
    <w:rPr>
      <w:sz w:val="21"/>
      <w:szCs w:val="21"/>
    </w:rPr>
  </w:style>
  <w:style w:type="character" w:customStyle="1" w:styleId="12">
    <w:name w:val="页眉 字符"/>
    <w:basedOn w:val="10"/>
    <w:link w:val="5"/>
    <w:qFormat/>
    <w:uiPriority w:val="0"/>
    <w:rPr>
      <w:sz w:val="18"/>
      <w:szCs w:val="18"/>
    </w:rPr>
  </w:style>
  <w:style w:type="character" w:customStyle="1" w:styleId="13">
    <w:name w:val="页脚 字符"/>
    <w:basedOn w:val="10"/>
    <w:link w:val="4"/>
    <w:qFormat/>
    <w:uiPriority w:val="99"/>
    <w:rPr>
      <w:sz w:val="18"/>
      <w:szCs w:val="18"/>
    </w:rPr>
  </w:style>
  <w:style w:type="paragraph" w:styleId="14">
    <w:name w:val="List Paragraph"/>
    <w:basedOn w:val="1"/>
    <w:qFormat/>
    <w:uiPriority w:val="34"/>
    <w:pPr>
      <w:spacing w:after="160" w:line="259" w:lineRule="auto"/>
      <w:ind w:left="720"/>
      <w:contextualSpacing/>
    </w:pPr>
    <w:rPr>
      <w:rFonts w:asciiTheme="minorHAnsi" w:hAnsiTheme="minorHAnsi" w:eastAsiaTheme="minorHAnsi" w:cstheme="minorBidi"/>
      <w:sz w:val="22"/>
      <w:szCs w:val="22"/>
    </w:rPr>
  </w:style>
  <w:style w:type="character" w:customStyle="1" w:styleId="15">
    <w:name w:val="批注文字 字符"/>
    <w:basedOn w:val="10"/>
    <w:link w:val="2"/>
    <w:semiHidden/>
    <w:qFormat/>
    <w:uiPriority w:val="0"/>
    <w:rPr>
      <w:sz w:val="24"/>
      <w:szCs w:val="24"/>
    </w:rPr>
  </w:style>
  <w:style w:type="character" w:customStyle="1" w:styleId="16">
    <w:name w:val="批注主题 字符"/>
    <w:basedOn w:val="15"/>
    <w:link w:val="6"/>
    <w:semiHidden/>
    <w:qFormat/>
    <w:uiPriority w:val="0"/>
    <w:rPr>
      <w:b/>
      <w:bCs/>
      <w:sz w:val="24"/>
      <w:szCs w:val="24"/>
    </w:rPr>
  </w:style>
  <w:style w:type="character" w:customStyle="1" w:styleId="17">
    <w:name w:val="批注框文本 字符"/>
    <w:basedOn w:val="10"/>
    <w:link w:val="3"/>
    <w:semiHidden/>
    <w:qFormat/>
    <w:uiPriority w:val="0"/>
    <w:rPr>
      <w:sz w:val="18"/>
      <w:szCs w:val="18"/>
    </w:rPr>
  </w:style>
  <w:style w:type="paragraph" w:customStyle="1" w:styleId="18">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5393</Words>
  <Characters>30744</Characters>
  <Lines>256</Lines>
  <Paragraphs>72</Paragraphs>
  <TotalTime>3</TotalTime>
  <ScaleCrop>false</ScaleCrop>
  <LinksUpToDate>false</LinksUpToDate>
  <CharactersWithSpaces>36065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2022-07-17T22:13:00Z</dcterms:created>
  <dc:creator>百世登</dc:creator>
  <cp:lastModifiedBy>千</cp:lastModifiedBy>
  <dcterms:modified xsi:type="dcterms:W3CDTF">2022-07-27T09:47:08Z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D3B8C2BAD9C84418A7939ED240019691</vt:lpwstr>
  </property>
</Properties>
</file>