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179D9"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AC6341"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77486</w:t>
      </w:r>
    </w:p>
    <w:p w14:paraId="2B68A455"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75241F" w14:textId="77777777" w:rsidR="00146E29" w:rsidRDefault="00146E29" w:rsidP="00123BD2">
      <w:pPr>
        <w:spacing w:line="360" w:lineRule="auto"/>
        <w:jc w:val="both"/>
        <w:rPr>
          <w:rFonts w:ascii="Book Antiqua" w:hAnsi="Book Antiqua"/>
        </w:rPr>
      </w:pPr>
    </w:p>
    <w:p w14:paraId="70F7B1E5"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Immune checkpoint inhibitor-associated arthritis in advanced pulmonary adenocarcinoma: A case report</w:t>
      </w:r>
    </w:p>
    <w:p w14:paraId="697088F6" w14:textId="77777777" w:rsidR="00146E29" w:rsidRDefault="00146E29" w:rsidP="00123BD2">
      <w:pPr>
        <w:spacing w:line="360" w:lineRule="auto"/>
        <w:jc w:val="both"/>
        <w:rPr>
          <w:rFonts w:ascii="Book Antiqua" w:hAnsi="Book Antiqua"/>
        </w:rPr>
      </w:pPr>
    </w:p>
    <w:p w14:paraId="1D433F6E" w14:textId="31EDED51"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Yang Y</w:t>
      </w:r>
      <w:r>
        <w:rPr>
          <w:rFonts w:ascii="Book Antiqua" w:eastAsia="Book Antiqua" w:hAnsi="Book Antiqua" w:cs="Book Antiqua"/>
          <w:i/>
          <w:iCs/>
          <w:color w:val="000000"/>
        </w:rPr>
        <w:t xml:space="preserve"> et al.</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Severe ICI-associated arthritis</w:t>
      </w:r>
    </w:p>
    <w:p w14:paraId="37E50E51" w14:textId="77777777" w:rsidR="00146E29" w:rsidRDefault="00146E29" w:rsidP="00123BD2">
      <w:pPr>
        <w:spacing w:line="360" w:lineRule="auto"/>
        <w:jc w:val="both"/>
        <w:rPr>
          <w:rFonts w:ascii="Book Antiqua" w:hAnsi="Book Antiqua"/>
        </w:rPr>
      </w:pPr>
    </w:p>
    <w:p w14:paraId="69630B78" w14:textId="7E636DB3" w:rsidR="00146E29" w:rsidRPr="009B5022" w:rsidRDefault="003308C2" w:rsidP="00123BD2">
      <w:pPr>
        <w:spacing w:line="360" w:lineRule="auto"/>
        <w:jc w:val="both"/>
        <w:rPr>
          <w:rFonts w:ascii="Book Antiqua" w:hAnsi="Book Antiqua"/>
          <w:lang w:eastAsia="zh-CN"/>
        </w:rPr>
      </w:pPr>
      <w:r>
        <w:rPr>
          <w:rFonts w:ascii="Book Antiqua" w:eastAsia="Book Antiqua" w:hAnsi="Book Antiqua" w:cs="Book Antiqua"/>
          <w:color w:val="000000"/>
        </w:rPr>
        <w:t>Yan</w:t>
      </w:r>
      <w:r w:rsidR="009B5022">
        <w:rPr>
          <w:rFonts w:ascii="Book Antiqua" w:hAnsi="Book Antiqua" w:cs="Book Antiqua" w:hint="eastAsia"/>
          <w:color w:val="000000"/>
          <w:lang w:eastAsia="zh-CN"/>
        </w:rPr>
        <w:t xml:space="preserve"> </w:t>
      </w:r>
      <w:r w:rsidR="009B5022">
        <w:rPr>
          <w:rFonts w:ascii="Book Antiqua" w:eastAsia="Book Antiqua" w:hAnsi="Book Antiqua" w:cs="Book Antiqua"/>
          <w:color w:val="000000"/>
        </w:rPr>
        <w:t>Yang</w:t>
      </w:r>
      <w:r>
        <w:rPr>
          <w:rFonts w:ascii="Book Antiqua" w:eastAsia="Book Antiqua" w:hAnsi="Book Antiqua" w:cs="Book Antiqua"/>
          <w:color w:val="000000"/>
        </w:rPr>
        <w:t>, Xiao-</w:t>
      </w:r>
      <w:proofErr w:type="spellStart"/>
      <w:r>
        <w:rPr>
          <w:rFonts w:ascii="Book Antiqua" w:eastAsia="Book Antiqua" w:hAnsi="Book Antiqua" w:cs="Book Antiqua"/>
          <w:color w:val="000000"/>
        </w:rPr>
        <w:t>Jie</w:t>
      </w:r>
      <w:proofErr w:type="spellEnd"/>
      <w:r w:rsidR="009B5022">
        <w:rPr>
          <w:rFonts w:ascii="Book Antiqua" w:hAnsi="Book Antiqua" w:cs="Book Antiqua" w:hint="eastAsia"/>
          <w:color w:val="000000"/>
          <w:lang w:eastAsia="zh-CN"/>
        </w:rPr>
        <w:t xml:space="preserve"> </w:t>
      </w:r>
      <w:r w:rsidR="009B5022">
        <w:rPr>
          <w:rFonts w:ascii="Book Antiqua" w:eastAsia="Book Antiqua" w:hAnsi="Book Antiqua" w:cs="Book Antiqua"/>
          <w:color w:val="000000"/>
        </w:rPr>
        <w:t>Huang</w:t>
      </w:r>
    </w:p>
    <w:p w14:paraId="17BBF6D4" w14:textId="77777777" w:rsidR="00146E29" w:rsidRDefault="00146E29" w:rsidP="00123BD2">
      <w:pPr>
        <w:spacing w:line="360" w:lineRule="auto"/>
        <w:jc w:val="both"/>
        <w:rPr>
          <w:rFonts w:ascii="Book Antiqua" w:hAnsi="Book Antiqua"/>
        </w:rPr>
      </w:pPr>
    </w:p>
    <w:p w14:paraId="20F8DCA3" w14:textId="6FA1C4BE" w:rsidR="00146E29" w:rsidRDefault="009B5022" w:rsidP="00123BD2">
      <w:pPr>
        <w:spacing w:line="360" w:lineRule="auto"/>
        <w:jc w:val="both"/>
        <w:rPr>
          <w:rFonts w:ascii="Book Antiqua" w:hAnsi="Book Antiqua"/>
        </w:rPr>
      </w:pPr>
      <w:r w:rsidRPr="009B5022">
        <w:rPr>
          <w:rFonts w:ascii="Book Antiqua" w:eastAsia="Book Antiqua" w:hAnsi="Book Antiqua" w:cs="Book Antiqua"/>
          <w:b/>
          <w:bCs/>
          <w:color w:val="000000"/>
        </w:rPr>
        <w:t>Yan Yang</w:t>
      </w:r>
      <w:r w:rsidR="003308C2">
        <w:rPr>
          <w:rFonts w:ascii="Book Antiqua" w:eastAsia="Book Antiqua" w:hAnsi="Book Antiqua" w:cs="Book Antiqua"/>
          <w:b/>
          <w:bCs/>
          <w:color w:val="000000"/>
        </w:rPr>
        <w:t xml:space="preserve">, </w:t>
      </w:r>
      <w:r w:rsidR="003308C2">
        <w:rPr>
          <w:rFonts w:ascii="Book Antiqua" w:eastAsia="Book Antiqua" w:hAnsi="Book Antiqua" w:cs="Book Antiqua"/>
          <w:color w:val="000000"/>
        </w:rPr>
        <w:t xml:space="preserve">Department of Respiratory Medicine, The </w:t>
      </w:r>
      <w:r w:rsidR="003308C2">
        <w:rPr>
          <w:rFonts w:ascii="Book Antiqua" w:eastAsia="SimSun" w:hAnsi="Book Antiqua" w:cs="Book Antiqua" w:hint="eastAsia"/>
          <w:color w:val="000000"/>
          <w:lang w:eastAsia="zh-CN"/>
        </w:rPr>
        <w:t>S</w:t>
      </w:r>
      <w:r w:rsidR="003308C2">
        <w:rPr>
          <w:rFonts w:ascii="Book Antiqua" w:eastAsia="Book Antiqua" w:hAnsi="Book Antiqua" w:cs="Book Antiqua"/>
          <w:color w:val="000000"/>
        </w:rPr>
        <w:t>econd Affiliated Hospital, Zhejiang University School of Medicine, Hangzhou 310000, Zhejiang Province, China</w:t>
      </w:r>
    </w:p>
    <w:p w14:paraId="063526D8" w14:textId="77777777" w:rsidR="00146E29" w:rsidRDefault="00146E29" w:rsidP="00123BD2">
      <w:pPr>
        <w:spacing w:line="360" w:lineRule="auto"/>
        <w:jc w:val="both"/>
        <w:rPr>
          <w:rFonts w:ascii="Book Antiqua" w:hAnsi="Book Antiqua"/>
        </w:rPr>
      </w:pPr>
    </w:p>
    <w:p w14:paraId="401FE6D7" w14:textId="116F858F" w:rsidR="00146E29" w:rsidRDefault="009B5022" w:rsidP="00123BD2">
      <w:pPr>
        <w:spacing w:line="360" w:lineRule="auto"/>
        <w:jc w:val="both"/>
        <w:rPr>
          <w:rFonts w:ascii="Book Antiqua" w:hAnsi="Book Antiqua"/>
        </w:rPr>
      </w:pPr>
      <w:r w:rsidRPr="009B5022">
        <w:rPr>
          <w:rFonts w:ascii="Book Antiqua" w:eastAsia="Book Antiqua" w:hAnsi="Book Antiqua" w:cs="Book Antiqua"/>
          <w:b/>
          <w:bCs/>
          <w:color w:val="000000"/>
        </w:rPr>
        <w:t>Xiao-</w:t>
      </w:r>
      <w:proofErr w:type="spellStart"/>
      <w:r w:rsidRPr="009B5022">
        <w:rPr>
          <w:rFonts w:ascii="Book Antiqua" w:eastAsia="Book Antiqua" w:hAnsi="Book Antiqua" w:cs="Book Antiqua"/>
          <w:b/>
          <w:bCs/>
          <w:color w:val="000000"/>
        </w:rPr>
        <w:t>Jie</w:t>
      </w:r>
      <w:proofErr w:type="spellEnd"/>
      <w:r w:rsidRPr="009B5022">
        <w:rPr>
          <w:rFonts w:ascii="Book Antiqua" w:eastAsia="Book Antiqua" w:hAnsi="Book Antiqua" w:cs="Book Antiqua"/>
          <w:b/>
          <w:bCs/>
          <w:color w:val="000000"/>
        </w:rPr>
        <w:t xml:space="preserve"> Huang</w:t>
      </w:r>
      <w:r w:rsidR="003308C2">
        <w:rPr>
          <w:rFonts w:ascii="Book Antiqua" w:eastAsia="Book Antiqua" w:hAnsi="Book Antiqua" w:cs="Book Antiqua"/>
          <w:b/>
          <w:bCs/>
          <w:color w:val="000000"/>
        </w:rPr>
        <w:t xml:space="preserve">, </w:t>
      </w:r>
      <w:r w:rsidR="003308C2">
        <w:rPr>
          <w:rFonts w:ascii="Book Antiqua" w:eastAsia="Book Antiqua" w:hAnsi="Book Antiqua" w:cs="Book Antiqua"/>
          <w:color w:val="000000"/>
        </w:rPr>
        <w:t>Department of Respiratory Medicine, The Second Affiliated Hospital, Zhejiang University School of Medicine, Hangzhou 310000, Zhejiang Province, China</w:t>
      </w:r>
    </w:p>
    <w:p w14:paraId="22E78CB1" w14:textId="77777777" w:rsidR="00146E29" w:rsidRDefault="00146E29" w:rsidP="00123BD2">
      <w:pPr>
        <w:spacing w:line="360" w:lineRule="auto"/>
        <w:jc w:val="both"/>
        <w:rPr>
          <w:rFonts w:ascii="Book Antiqua" w:hAnsi="Book Antiqua"/>
        </w:rPr>
      </w:pPr>
    </w:p>
    <w:p w14:paraId="280D19D3"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Y designed the study, interpreted the data, and drafted the paper; Huang XJ participated in clinical treatment and revised the manuscript; both authors approved the final version to be published.</w:t>
      </w:r>
    </w:p>
    <w:p w14:paraId="19A47DFC" w14:textId="77777777" w:rsidR="00146E29" w:rsidRDefault="00146E29" w:rsidP="00123BD2">
      <w:pPr>
        <w:spacing w:line="360" w:lineRule="auto"/>
        <w:jc w:val="both"/>
        <w:rPr>
          <w:rFonts w:ascii="Book Antiqua" w:hAnsi="Book Antiqua"/>
        </w:rPr>
      </w:pPr>
    </w:p>
    <w:p w14:paraId="5681E737"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Corresponding author: Yang Yan, MM, Associate Chief Physician, </w:t>
      </w:r>
      <w:r>
        <w:rPr>
          <w:rFonts w:ascii="Book Antiqua" w:eastAsia="Book Antiqua" w:hAnsi="Book Antiqua" w:cs="Book Antiqua"/>
          <w:color w:val="000000"/>
        </w:rPr>
        <w:t xml:space="preserve">Department of Respiratory Medicine, The </w:t>
      </w:r>
      <w:r>
        <w:rPr>
          <w:rFonts w:ascii="Book Antiqua" w:eastAsia="SimSun" w:hAnsi="Book Antiqua" w:cs="Book Antiqua" w:hint="eastAsia"/>
          <w:color w:val="000000"/>
          <w:lang w:eastAsia="zh-CN"/>
        </w:rPr>
        <w:t>S</w:t>
      </w:r>
      <w:r>
        <w:rPr>
          <w:rFonts w:ascii="Book Antiqua" w:eastAsia="Book Antiqua" w:hAnsi="Book Antiqua" w:cs="Book Antiqua"/>
          <w:color w:val="000000"/>
        </w:rPr>
        <w:t>econd Affiliated Hospital, Zhejiang University School of Medicine, 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Hangzhou 310000, Zhejiang Province, China. 163987@zju.edu.cn</w:t>
      </w:r>
    </w:p>
    <w:p w14:paraId="50900B70" w14:textId="77777777" w:rsidR="00146E29" w:rsidRDefault="00146E29" w:rsidP="00123BD2">
      <w:pPr>
        <w:spacing w:line="360" w:lineRule="auto"/>
        <w:jc w:val="both"/>
        <w:rPr>
          <w:rFonts w:ascii="Book Antiqua" w:hAnsi="Book Antiqua"/>
        </w:rPr>
      </w:pPr>
    </w:p>
    <w:p w14:paraId="41139517"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10, 2022</w:t>
      </w:r>
    </w:p>
    <w:p w14:paraId="274B5F2F"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16, 2022</w:t>
      </w:r>
    </w:p>
    <w:p w14:paraId="118F6106" w14:textId="0FCABA7C" w:rsidR="00146E29" w:rsidRPr="00332FC8" w:rsidRDefault="003308C2" w:rsidP="00123BD2">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ins w:id="0" w:author="Liansheng" w:date="2022-09-01T02:52:00Z">
        <w:r w:rsidR="006F04E0" w:rsidRPr="006F04E0">
          <w:rPr>
            <w:rFonts w:ascii="Book Antiqua" w:eastAsia="Book Antiqua" w:hAnsi="Book Antiqua" w:cs="Book Antiqua"/>
            <w:b/>
            <w:bCs/>
            <w:color w:val="000000"/>
          </w:rPr>
          <w:t>September 1, 2022</w:t>
        </w:r>
      </w:ins>
    </w:p>
    <w:p w14:paraId="4489D994" w14:textId="11354D17" w:rsidR="00146E29" w:rsidRDefault="003308C2" w:rsidP="00123BD2">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Published online: </w:t>
      </w:r>
    </w:p>
    <w:p w14:paraId="776CD7A8" w14:textId="77777777" w:rsidR="00146E29" w:rsidRDefault="00146E29" w:rsidP="00123BD2">
      <w:pPr>
        <w:spacing w:line="360" w:lineRule="auto"/>
        <w:jc w:val="both"/>
        <w:rPr>
          <w:rFonts w:ascii="Book Antiqua" w:hAnsi="Book Antiqua"/>
        </w:rPr>
        <w:sectPr w:rsidR="00146E29">
          <w:footerReference w:type="default" r:id="rId6"/>
          <w:pgSz w:w="12240" w:h="15840"/>
          <w:pgMar w:top="1440" w:right="1440" w:bottom="1440" w:left="1440" w:header="720" w:footer="720" w:gutter="0"/>
          <w:cols w:space="720"/>
          <w:docGrid w:linePitch="360"/>
        </w:sectPr>
      </w:pPr>
    </w:p>
    <w:p w14:paraId="259A4085"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9A9E4CA"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BACKGROUND</w:t>
      </w:r>
    </w:p>
    <w:p w14:paraId="75BAF53E"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With the wide application of immune checkpoint inhibitors (ICIs) in cancer treatment, immune-related adverse events occur frequently, involving almost all organs and systems. The incidence of ICI-associated arthritis (IA) is unknown. In most cases, IA is not serious and non-lethal. Higher checkpoint inhibitor arthritis disease activity may be associated with cancer progression. Here, we report a severe case of IA with high arthritis disease activity in advanced pulmonary adenocarcinoma, causing permanent withdrawal of pembrolizumab</w:t>
      </w:r>
      <w:r w:rsidR="009B75F6">
        <w:rPr>
          <w:rFonts w:ascii="Book Antiqua" w:eastAsia="Book Antiqua" w:hAnsi="Book Antiqua" w:cs="Book Antiqua"/>
          <w:color w:val="000000"/>
        </w:rPr>
        <w:t>,</w:t>
      </w:r>
      <w:r>
        <w:rPr>
          <w:rFonts w:ascii="Book Antiqua" w:eastAsia="Book Antiqua" w:hAnsi="Book Antiqua" w:cs="Book Antiqua"/>
          <w:color w:val="000000"/>
        </w:rPr>
        <w:t xml:space="preserve"> but </w:t>
      </w:r>
      <w:r w:rsidR="009B75F6">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remained in complete remission (CR)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development of IA.</w:t>
      </w:r>
    </w:p>
    <w:p w14:paraId="205F3FE4" w14:textId="77777777" w:rsidR="00146E29" w:rsidRDefault="00146E29" w:rsidP="00123BD2">
      <w:pPr>
        <w:spacing w:line="360" w:lineRule="auto"/>
        <w:jc w:val="both"/>
        <w:rPr>
          <w:rFonts w:ascii="Book Antiqua" w:hAnsi="Book Antiqua"/>
        </w:rPr>
      </w:pPr>
    </w:p>
    <w:p w14:paraId="0122C4C1"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CASE SUMMARY</w:t>
      </w:r>
    </w:p>
    <w:p w14:paraId="2DE2D90F" w14:textId="4E4F06CA"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An 81-year-old smoking </w:t>
      </w:r>
      <w:r w:rsidR="009B75F6">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admitted to our hospital because of left chest pain for 9 mo. He was finally diagnosed with advanced pulmonary adenocarcinoma, with programmed cell death 1 </w:t>
      </w:r>
      <w:r w:rsidR="009B75F6">
        <w:rPr>
          <w:rFonts w:ascii="Book Antiqua" w:eastAsia="Book Antiqua" w:hAnsi="Book Antiqua" w:cs="Book Antiqua"/>
          <w:color w:val="000000"/>
        </w:rPr>
        <w:t xml:space="preserve">ligand </w:t>
      </w:r>
      <w:r>
        <w:rPr>
          <w:rFonts w:ascii="Book Antiqua" w:eastAsia="Book Antiqua" w:hAnsi="Book Antiqua" w:cs="Book Antiqua"/>
          <w:color w:val="000000"/>
        </w:rPr>
        <w:t>1 expression of 70%. The patient responded to pembrolizumab treatment and achieved CR, but IA occurred after the 5</w:t>
      </w:r>
      <w:r>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cycle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of pembrolizumab administration. Although non-steroidal anti-inflammatory drugs and disease-modifying anti-rheumatic drugs were prescribed, arthralgia and joint swelling occurred. The symptoms of arthritis were further aggravated when immunotherapy was given again after short-term withdrawal. Clinical Disease Activity Index (CDAI) score, a traditional measure of arthritis activity</w:t>
      </w:r>
      <w:r w:rsidR="009B75F6">
        <w:rPr>
          <w:rFonts w:ascii="Book Antiqua" w:eastAsia="Book Antiqua" w:hAnsi="Book Antiqua" w:cs="Book Antiqua"/>
          <w:color w:val="000000"/>
        </w:rPr>
        <w:t>,</w:t>
      </w:r>
      <w:r>
        <w:rPr>
          <w:rFonts w:ascii="Book Antiqua" w:eastAsia="Book Antiqua" w:hAnsi="Book Antiqua" w:cs="Book Antiqua"/>
          <w:color w:val="000000"/>
        </w:rPr>
        <w:t xml:space="preserve"> was 43. Intravenous methylprednisolone was prescribed at 20 mg/d and then tapered over the subsequent 4 wk. The symptoms of arthritis steadily improved and completely resolved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withdrawal of pembrolizumab. A recent follow-up in June 2022 revealed satisfactory clinical recovery of arthritis and the patient remained in CR.</w:t>
      </w:r>
    </w:p>
    <w:p w14:paraId="72ADF016" w14:textId="77777777" w:rsidR="00146E29" w:rsidRDefault="00146E29" w:rsidP="00123BD2">
      <w:pPr>
        <w:spacing w:line="360" w:lineRule="auto"/>
        <w:jc w:val="both"/>
        <w:rPr>
          <w:rFonts w:ascii="Book Antiqua" w:hAnsi="Book Antiqua"/>
        </w:rPr>
      </w:pPr>
    </w:p>
    <w:p w14:paraId="15E066F5"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CONCLUSION</w:t>
      </w:r>
    </w:p>
    <w:p w14:paraId="5CDA7089" w14:textId="48C44128" w:rsidR="00146E29" w:rsidRDefault="009B75F6" w:rsidP="00123BD2">
      <w:pPr>
        <w:spacing w:line="360" w:lineRule="auto"/>
        <w:jc w:val="both"/>
        <w:rPr>
          <w:rFonts w:ascii="Book Antiqua" w:hAnsi="Book Antiqua"/>
        </w:rPr>
      </w:pPr>
      <w:r>
        <w:rPr>
          <w:rFonts w:ascii="Book Antiqua" w:eastAsia="Book Antiqua" w:hAnsi="Book Antiqua" w:cs="Book Antiqua"/>
          <w:color w:val="000000"/>
        </w:rPr>
        <w:t>This case report</w:t>
      </w:r>
      <w:r w:rsidR="003308C2">
        <w:rPr>
          <w:rFonts w:ascii="Book Antiqua" w:eastAsia="Book Antiqua" w:hAnsi="Book Antiqua" w:cs="Book Antiqua"/>
          <w:color w:val="000000"/>
        </w:rPr>
        <w:t xml:space="preserve"> highlight</w:t>
      </w:r>
      <w:r>
        <w:rPr>
          <w:rFonts w:ascii="Book Antiqua" w:eastAsia="Book Antiqua" w:hAnsi="Book Antiqua" w:cs="Book Antiqua"/>
          <w:color w:val="000000"/>
        </w:rPr>
        <w:t>s</w:t>
      </w:r>
      <w:r w:rsidR="003308C2">
        <w:rPr>
          <w:rFonts w:ascii="Book Antiqua" w:eastAsia="Book Antiqua" w:hAnsi="Book Antiqua" w:cs="Book Antiqua"/>
          <w:color w:val="000000"/>
        </w:rPr>
        <w:t xml:space="preserve"> that early recognition of IA and appropriate treatment are critical to improving the outcome of both ICI-arthritis and lung cancer.</w:t>
      </w:r>
    </w:p>
    <w:p w14:paraId="431C2610" w14:textId="77777777" w:rsidR="00146E29" w:rsidRDefault="00146E29" w:rsidP="00123BD2">
      <w:pPr>
        <w:spacing w:line="360" w:lineRule="auto"/>
        <w:jc w:val="both"/>
        <w:rPr>
          <w:rFonts w:ascii="Book Antiqua" w:hAnsi="Book Antiqua"/>
        </w:rPr>
      </w:pPr>
    </w:p>
    <w:p w14:paraId="29ED1C0A" w14:textId="724A43EB" w:rsidR="00146E29" w:rsidRPr="00123BD2" w:rsidRDefault="003308C2" w:rsidP="00123BD2">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Immune checkpoint inhibitors; Immune checkpoint inhibitor-associated arthritis; Pembrolizumab; Clinical Disease Activity Index</w:t>
      </w:r>
      <w:r w:rsidR="00123BD2">
        <w:rPr>
          <w:rFonts w:ascii="Book Antiqua" w:hAnsi="Book Antiqua" w:cs="Book Antiqua" w:hint="eastAsia"/>
          <w:color w:val="000000"/>
          <w:lang w:eastAsia="zh-CN"/>
        </w:rPr>
        <w:t>; Case report</w:t>
      </w:r>
    </w:p>
    <w:p w14:paraId="08597883" w14:textId="77777777" w:rsidR="00146E29" w:rsidRDefault="00146E29" w:rsidP="00123BD2">
      <w:pPr>
        <w:spacing w:line="360" w:lineRule="auto"/>
        <w:jc w:val="both"/>
        <w:rPr>
          <w:rFonts w:ascii="Book Antiqua" w:hAnsi="Book Antiqua"/>
        </w:rPr>
      </w:pPr>
    </w:p>
    <w:p w14:paraId="6B70FB00"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Yan Y, Xiao-</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 Immune checkpoint inhibitor-associated arthritis in advanced pulmonary adenocarcinoma: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85A1ECA" w14:textId="77777777" w:rsidR="00146E29" w:rsidRDefault="00146E29" w:rsidP="00123BD2">
      <w:pPr>
        <w:spacing w:line="360" w:lineRule="auto"/>
        <w:jc w:val="both"/>
        <w:rPr>
          <w:rFonts w:ascii="Book Antiqua" w:hAnsi="Book Antiqua"/>
        </w:rPr>
      </w:pPr>
    </w:p>
    <w:p w14:paraId="645C2BE2" w14:textId="2C048A34"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severe case of immune checkpoint inhibitor-associated arthritis (IA) in advanced pulmonary adenocarcinoma. A recent study suggested that higher checkpoint inhibitor arthritis disease activity may be associated with cancer progression. In our case, Clinical Disease Activity Index (CDAI) score increased </w:t>
      </w:r>
      <w:r w:rsidR="009B75F6">
        <w:rPr>
          <w:rFonts w:ascii="Book Antiqua" w:eastAsia="Book Antiqua" w:hAnsi="Book Antiqua" w:cs="Book Antiqua"/>
          <w:color w:val="000000"/>
        </w:rPr>
        <w:t xml:space="preserve">to </w:t>
      </w:r>
      <w:r>
        <w:rPr>
          <w:rFonts w:ascii="Book Antiqua" w:eastAsia="Book Antiqua" w:hAnsi="Book Antiqua" w:cs="Book Antiqua"/>
          <w:color w:val="000000"/>
        </w:rPr>
        <w:t xml:space="preserve">as high as 43, but cancer disease remained in complete remission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development of IA. Whether CDAI can be a predictor of disease progression needs to be confirmed in future studies.</w:t>
      </w:r>
    </w:p>
    <w:p w14:paraId="3F0C6AA6" w14:textId="77777777" w:rsidR="00146E29" w:rsidRDefault="00146E29" w:rsidP="00123BD2">
      <w:pPr>
        <w:spacing w:line="360" w:lineRule="auto"/>
        <w:jc w:val="both"/>
        <w:rPr>
          <w:rFonts w:ascii="Book Antiqua" w:hAnsi="Book Antiqua"/>
        </w:rPr>
      </w:pPr>
    </w:p>
    <w:p w14:paraId="5A642B35"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FDA8657" w14:textId="5D53D511"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Immune checkpoint inhibitors (ICIs) have resulted in a marked change in the therapeutic modality of non-small cell lung cancer (NSCLC). However, due to the widespread application of ICIs, 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involving all organs and systems may occur due to immunological enhancement. ICI-associated arthritis (IA) is rarely reported as case reports or in randomized controlled clinical studies. The reason for this may be that the symptoms such as joint pain are usually not serious and are non-fatal. Therefore, it does not attract enough attention from patients and clinicians, and the diagnosis is easily missed. In addition, some patients have </w:t>
      </w:r>
      <w:proofErr w:type="spellStart"/>
      <w:r>
        <w:rPr>
          <w:rFonts w:ascii="Book Antiqua" w:eastAsia="Book Antiqua" w:hAnsi="Book Antiqua" w:cs="Book Antiqua"/>
          <w:color w:val="000000"/>
        </w:rPr>
        <w:t>osteoarthiritis</w:t>
      </w:r>
      <w:proofErr w:type="spellEnd"/>
      <w:r>
        <w:rPr>
          <w:rFonts w:ascii="Book Antiqua" w:eastAsia="Book Antiqua" w:hAnsi="Book Antiqua" w:cs="Book Antiqua"/>
          <w:color w:val="000000"/>
        </w:rPr>
        <w:t xml:space="preserve">, which is easily confused with immune-related arthritis symptoms by </w:t>
      </w:r>
      <w:r w:rsidR="009B75F6">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themselves. With the wide application of immunotherapy in the field of cancer, we have reason to believe that many more cases of IA will be reported. In most cases, IA is mild or moderate and non-fatal. However, it can affect the life quality of patients, reduce their confidence in disease treatment, interrupt the treatment plan, and finally </w:t>
      </w:r>
      <w:r>
        <w:rPr>
          <w:rFonts w:ascii="Book Antiqua" w:eastAsia="Book Antiqua" w:hAnsi="Book Antiqua" w:cs="Book Antiqua"/>
          <w:color w:val="000000"/>
        </w:rPr>
        <w:lastRenderedPageBreak/>
        <w:t>affect the treatment effect or survival. Prompt recognition and appropriate treatment are critical to improving the outcome of IA, which can be realized if physicians are familiar with the clinical manifestations and therapeutic measures. However, in clinical practice, sometimes the diagnosis of IA is difficult or delayed.</w:t>
      </w:r>
    </w:p>
    <w:p w14:paraId="0D609BA3" w14:textId="77777777" w:rsidR="00146E29" w:rsidRDefault="003308C2" w:rsidP="00123BD2">
      <w:pPr>
        <w:spacing w:line="360" w:lineRule="auto"/>
        <w:ind w:firstLine="240"/>
        <w:jc w:val="both"/>
        <w:rPr>
          <w:rFonts w:ascii="Book Antiqua" w:hAnsi="Book Antiqua"/>
        </w:rPr>
      </w:pPr>
      <w:r>
        <w:rPr>
          <w:rFonts w:ascii="Book Antiqua" w:eastAsia="Book Antiqua" w:hAnsi="Book Antiqua" w:cs="Book Antiqua"/>
          <w:color w:val="000000"/>
        </w:rPr>
        <w:t xml:space="preserve">Herein, we report a case of IA in a patient with advanced lung adenocarcinoma treated with pembrolizumab. The patient achieved complete remission (CR), but had to permanently discontinue pembrolizumab after 10 treatment cycles due to severe IA. A recent study found that Clinical Disease Activity Index (CDAI) may be a predictor of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Our patient had a high CDAI score of 43, but remained in CR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development of IA. Thus, whether the CDAI can be used a predictor of disease progression requires confirmation in future studies.</w:t>
      </w:r>
    </w:p>
    <w:p w14:paraId="4E3F827F" w14:textId="77777777" w:rsidR="00146E29" w:rsidRDefault="00146E29" w:rsidP="00123BD2">
      <w:pPr>
        <w:spacing w:line="360" w:lineRule="auto"/>
        <w:ind w:firstLine="240"/>
        <w:jc w:val="both"/>
        <w:rPr>
          <w:rFonts w:ascii="Book Antiqua" w:hAnsi="Book Antiqua"/>
        </w:rPr>
      </w:pPr>
    </w:p>
    <w:p w14:paraId="757E2A82"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431BE68"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Chief complaints</w:t>
      </w:r>
    </w:p>
    <w:p w14:paraId="036254F5" w14:textId="7421D6D2"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An 81-year-old smoking </w:t>
      </w:r>
      <w:r w:rsidR="009B75F6">
        <w:rPr>
          <w:rFonts w:ascii="Book Antiqua" w:eastAsia="Book Antiqua" w:hAnsi="Book Antiqua" w:cs="Book Antiqua"/>
          <w:color w:val="000000"/>
        </w:rPr>
        <w:t xml:space="preserve">man </w:t>
      </w:r>
      <w:r>
        <w:rPr>
          <w:rFonts w:ascii="Book Antiqua" w:eastAsia="Book Antiqua" w:hAnsi="Book Antiqua" w:cs="Book Antiqua"/>
          <w:color w:val="000000"/>
        </w:rPr>
        <w:t>complained of bilateral wrist, knee and ankle pain (grade 1) with mild edema (grade 1)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of pembrolizumab administration for lung cancer.</w:t>
      </w:r>
    </w:p>
    <w:p w14:paraId="6E61DED1" w14:textId="77777777" w:rsidR="00146E29" w:rsidRDefault="00146E29" w:rsidP="00123BD2">
      <w:pPr>
        <w:spacing w:line="360" w:lineRule="auto"/>
        <w:jc w:val="both"/>
        <w:rPr>
          <w:rFonts w:ascii="Book Antiqua" w:hAnsi="Book Antiqua"/>
        </w:rPr>
      </w:pPr>
    </w:p>
    <w:p w14:paraId="3BADF163"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B122761" w14:textId="6E863955"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The patient was admitted to the Second Affiliated Hospital, Zhejiang University School of Medicine on May 31, 2020 due to left chest pain for 9 mo. Diffuse thickening of the left pleura and interlobar pleura was found on a chest computed tomography (CT) scan (Figure 1A). CT-guided lung puncture was performed and pathology revealed adenocarcinoma of the lung, with programmed cell death 1 </w:t>
      </w:r>
      <w:r w:rsidR="009B75F6">
        <w:rPr>
          <w:rFonts w:ascii="Book Antiqua" w:eastAsia="Book Antiqua" w:hAnsi="Book Antiqua" w:cs="Book Antiqua"/>
          <w:color w:val="000000"/>
        </w:rPr>
        <w:t xml:space="preserve">ligand </w:t>
      </w:r>
      <w:r>
        <w:rPr>
          <w:rFonts w:ascii="Book Antiqua" w:eastAsia="Book Antiqua" w:hAnsi="Book Antiqua" w:cs="Book Antiqua"/>
          <w:color w:val="000000"/>
        </w:rPr>
        <w:t xml:space="preserve">1 (PD-L1) expression of 70%. He was finally diagnosed with NSCLC (stage IV, adenocarcinoma) at our hospital. Lung cancer related genes including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sidR="009B75F6">
        <w:rPr>
          <w:rFonts w:ascii="Book Antiqua" w:eastAsia="Book Antiqua" w:hAnsi="Book Antiqua" w:cs="Book Antiqua"/>
          <w:i/>
          <w:iCs/>
          <w:color w:val="000000"/>
        </w:rPr>
        <w:t>ALK</w:t>
      </w:r>
      <w:r w:rsidR="009B75F6">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ROS1</w:t>
      </w:r>
      <w:r>
        <w:rPr>
          <w:rFonts w:ascii="Book Antiqua" w:eastAsia="Book Antiqua" w:hAnsi="Book Antiqua" w:cs="Book Antiqua"/>
          <w:color w:val="000000"/>
        </w:rPr>
        <w:t xml:space="preserve"> were negative. The patient was treated with first-line pembrolizumab monotherapy at a standard dosage of 2 mg/kg every 3 wk. From June 2020 to August 2020, the patient received </w:t>
      </w:r>
      <w:r w:rsidR="009B75F6">
        <w:rPr>
          <w:rFonts w:ascii="Book Antiqua" w:eastAsia="Book Antiqua" w:hAnsi="Book Antiqua" w:cs="Book Antiqua"/>
          <w:color w:val="000000"/>
        </w:rPr>
        <w:t xml:space="preserve">three </w:t>
      </w:r>
      <w:r>
        <w:rPr>
          <w:rFonts w:ascii="Book Antiqua" w:eastAsia="Book Antiqua" w:hAnsi="Book Antiqua" w:cs="Book Antiqua"/>
          <w:color w:val="000000"/>
        </w:rPr>
        <w:t xml:space="preserve">cycles of pembrolizumab. His left chest pain was relieved and chest CT scanning revealed </w:t>
      </w:r>
      <w:r>
        <w:rPr>
          <w:rFonts w:ascii="Book Antiqua" w:eastAsia="Book Antiqua" w:hAnsi="Book Antiqua" w:cs="Book Antiqua"/>
          <w:color w:val="000000"/>
        </w:rPr>
        <w:lastRenderedPageBreak/>
        <w:t xml:space="preserve">stable disease (Figure 1B). The patient complained of mild weakness, which was grade 1 according to the Common Terminology Criteria for Adverse Events (CTCAE v4.0). Another </w:t>
      </w:r>
      <w:r w:rsidR="009B75F6">
        <w:rPr>
          <w:rFonts w:ascii="Book Antiqua" w:eastAsia="Book Antiqua" w:hAnsi="Book Antiqua" w:cs="Book Antiqua"/>
          <w:color w:val="000000"/>
        </w:rPr>
        <w:t xml:space="preserve">two </w:t>
      </w:r>
      <w:r>
        <w:rPr>
          <w:rFonts w:ascii="Book Antiqua" w:eastAsia="Book Antiqua" w:hAnsi="Book Antiqua" w:cs="Book Antiqua"/>
          <w:color w:val="000000"/>
        </w:rPr>
        <w:t>cycles of pembrolizumab were administered. Left chest pain disappeared and he achieved CR (Figure 1C).</w:t>
      </w:r>
    </w:p>
    <w:p w14:paraId="227D617F" w14:textId="77777777" w:rsidR="00146E29" w:rsidRDefault="00146E29" w:rsidP="00123BD2">
      <w:pPr>
        <w:spacing w:line="360" w:lineRule="auto"/>
        <w:jc w:val="both"/>
        <w:rPr>
          <w:rFonts w:ascii="Book Antiqua" w:hAnsi="Book Antiqua"/>
        </w:rPr>
      </w:pPr>
    </w:p>
    <w:p w14:paraId="3F1213E3"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391C1A2"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The patient had a history of lumbar 2 vertebral compression fractures and recovered well after surgical treatment.</w:t>
      </w:r>
    </w:p>
    <w:p w14:paraId="79BE3957" w14:textId="77777777" w:rsidR="00146E29" w:rsidRDefault="00146E29" w:rsidP="00123BD2">
      <w:pPr>
        <w:spacing w:line="360" w:lineRule="auto"/>
        <w:jc w:val="both"/>
        <w:rPr>
          <w:rFonts w:ascii="Book Antiqua" w:hAnsi="Book Antiqua"/>
        </w:rPr>
      </w:pPr>
    </w:p>
    <w:p w14:paraId="11AAC87A"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FD9AC30"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The patient had smoked for more than 50 years, 20 cigarettes/d, and stopped smoking following the diagnosis of lung cancer. He had a history of penicillin anaphylaxis. The patient had no previous rheumatoid arthritis or rheumatic immune system diseases.</w:t>
      </w:r>
    </w:p>
    <w:p w14:paraId="3CAF8C4C" w14:textId="77777777" w:rsidR="00146E29" w:rsidRDefault="00146E29" w:rsidP="00123BD2">
      <w:pPr>
        <w:spacing w:line="360" w:lineRule="auto"/>
        <w:jc w:val="both"/>
        <w:rPr>
          <w:rFonts w:ascii="Book Antiqua" w:hAnsi="Book Antiqua"/>
        </w:rPr>
      </w:pPr>
    </w:p>
    <w:p w14:paraId="35A617CD"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Physical examination</w:t>
      </w:r>
    </w:p>
    <w:p w14:paraId="3FEBE54B" w14:textId="02A4CF78"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Bilateral wrist</w:t>
      </w:r>
      <w:r w:rsidR="009B75F6">
        <w:rPr>
          <w:rFonts w:ascii="Book Antiqua" w:eastAsia="Book Antiqua" w:hAnsi="Book Antiqua" w:cs="Book Antiqua"/>
          <w:color w:val="000000"/>
        </w:rPr>
        <w:t>s</w:t>
      </w:r>
      <w:r>
        <w:rPr>
          <w:rFonts w:ascii="Book Antiqua" w:eastAsia="Book Antiqua" w:hAnsi="Book Antiqua" w:cs="Book Antiqua"/>
          <w:color w:val="000000"/>
        </w:rPr>
        <w:t>, knee</w:t>
      </w:r>
      <w:r w:rsidR="009B75F6">
        <w:rPr>
          <w:rFonts w:ascii="Book Antiqua" w:eastAsia="Book Antiqua" w:hAnsi="Book Antiqua" w:cs="Book Antiqua"/>
          <w:color w:val="000000"/>
        </w:rPr>
        <w:t>s,</w:t>
      </w:r>
      <w:r>
        <w:rPr>
          <w:rFonts w:ascii="Book Antiqua" w:eastAsia="Book Antiqua" w:hAnsi="Book Antiqua" w:cs="Book Antiqua"/>
          <w:color w:val="000000"/>
        </w:rPr>
        <w:t xml:space="preserve"> and ankle</w:t>
      </w:r>
      <w:r w:rsidR="009B75F6">
        <w:rPr>
          <w:rFonts w:ascii="Book Antiqua" w:eastAsia="Book Antiqua" w:hAnsi="Book Antiqua" w:cs="Book Antiqua"/>
          <w:color w:val="000000"/>
        </w:rPr>
        <w:t>s</w:t>
      </w:r>
      <w:r>
        <w:rPr>
          <w:rFonts w:ascii="Book Antiqua" w:eastAsia="Book Antiqua" w:hAnsi="Book Antiqua" w:cs="Book Antiqua"/>
          <w:color w:val="000000"/>
        </w:rPr>
        <w:t xml:space="preserve"> showed slightly depressed edema with pain. Functional limitation was reported and symptoms did not abate after mobilization.</w:t>
      </w:r>
    </w:p>
    <w:p w14:paraId="57C85592" w14:textId="77777777" w:rsidR="00146E29" w:rsidRDefault="00146E29" w:rsidP="00123BD2">
      <w:pPr>
        <w:spacing w:line="360" w:lineRule="auto"/>
        <w:jc w:val="both"/>
        <w:rPr>
          <w:rFonts w:ascii="Book Antiqua" w:hAnsi="Book Antiqua"/>
        </w:rPr>
      </w:pPr>
    </w:p>
    <w:p w14:paraId="3B87AE63"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F39D877"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Anti-cyclic citrullinated peptide antibody, rheumatoid factor, antinuclear antibody, anti-neutrophil cytoplasmic antibodies, </w:t>
      </w:r>
      <w:r w:rsidR="009B75F6">
        <w:rPr>
          <w:rFonts w:ascii="Book Antiqua" w:eastAsia="Book Antiqua" w:hAnsi="Book Antiqua" w:cs="Book Antiqua"/>
          <w:color w:val="000000"/>
        </w:rPr>
        <w:t xml:space="preserve">and </w:t>
      </w:r>
      <w:r>
        <w:rPr>
          <w:rFonts w:ascii="Book Antiqua" w:eastAsia="Book Antiqua" w:hAnsi="Book Antiqua" w:cs="Book Antiqua"/>
          <w:color w:val="000000"/>
        </w:rPr>
        <w:t>hepatic and renal function analysis were performed and were found to be normal. C-reactive protein level was 18.5 mg/L, and the erythrocyte sedimentation rate was 44 mm/h. The CDAI score was 43.</w:t>
      </w:r>
    </w:p>
    <w:p w14:paraId="49323887" w14:textId="77777777" w:rsidR="00146E29" w:rsidRDefault="00146E29" w:rsidP="00123BD2">
      <w:pPr>
        <w:spacing w:line="360" w:lineRule="auto"/>
        <w:jc w:val="both"/>
        <w:rPr>
          <w:rFonts w:ascii="Book Antiqua" w:hAnsi="Book Antiqua"/>
        </w:rPr>
      </w:pPr>
    </w:p>
    <w:p w14:paraId="26AF7114" w14:textId="77777777" w:rsidR="00146E29" w:rsidRDefault="003308C2" w:rsidP="00123BD2">
      <w:pPr>
        <w:spacing w:line="360" w:lineRule="auto"/>
        <w:jc w:val="both"/>
        <w:rPr>
          <w:rFonts w:ascii="Book Antiqua" w:hAnsi="Book Antiqua"/>
        </w:rPr>
      </w:pPr>
      <w:r>
        <w:rPr>
          <w:rFonts w:ascii="Book Antiqua" w:eastAsia="Book Antiqua" w:hAnsi="Book Antiqua" w:cs="Book Antiqua"/>
          <w:b/>
          <w:i/>
          <w:color w:val="000000"/>
        </w:rPr>
        <w:t>Imaging examinations</w:t>
      </w:r>
    </w:p>
    <w:p w14:paraId="3391E488"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X-ray of the hands was normal (Figure 2).</w:t>
      </w:r>
    </w:p>
    <w:p w14:paraId="7EF90E31" w14:textId="77777777" w:rsidR="00146E29" w:rsidRDefault="00146E29" w:rsidP="00123BD2">
      <w:pPr>
        <w:spacing w:line="360" w:lineRule="auto"/>
        <w:jc w:val="both"/>
        <w:rPr>
          <w:rFonts w:ascii="Book Antiqua" w:hAnsi="Book Antiqua"/>
        </w:rPr>
      </w:pPr>
    </w:p>
    <w:p w14:paraId="33A2775F"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ACA3DDE"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IA and advanced lung adenocarcinoma.</w:t>
      </w:r>
    </w:p>
    <w:p w14:paraId="3BB45CFE" w14:textId="77777777" w:rsidR="00146E29" w:rsidRDefault="00146E29" w:rsidP="00123BD2">
      <w:pPr>
        <w:spacing w:line="360" w:lineRule="auto"/>
        <w:jc w:val="both"/>
        <w:rPr>
          <w:rFonts w:ascii="Book Antiqua" w:hAnsi="Book Antiqua"/>
        </w:rPr>
      </w:pPr>
    </w:p>
    <w:p w14:paraId="116052F8"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75BADA4" w14:textId="07B7F04F"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Non-steroidal anti-inflammatory drugs (NSAIDs) were administered and treatment with pembrolizumab was continued. However, the manifestations of arthritis persisted</w:t>
      </w:r>
      <w:r w:rsidR="009B75F6">
        <w:rPr>
          <w:rFonts w:ascii="Book Antiqua" w:eastAsia="Book Antiqua" w:hAnsi="Book Antiqua" w:cs="Book Antiqua"/>
          <w:color w:val="000000"/>
        </w:rPr>
        <w:t>,</w:t>
      </w:r>
      <w:r>
        <w:rPr>
          <w:rFonts w:ascii="Book Antiqua" w:eastAsia="Book Antiqua" w:hAnsi="Book Antiqua" w:cs="Book Antiqua"/>
          <w:color w:val="000000"/>
        </w:rPr>
        <w:t xml:space="preserve"> defined as arthralgia (grade 1) and swollen joints (grade 2). After consultation with a </w:t>
      </w:r>
      <w:r w:rsidR="009B75F6">
        <w:rPr>
          <w:rFonts w:ascii="Book Antiqua" w:eastAsia="Book Antiqua" w:hAnsi="Book Antiqua" w:cs="Book Antiqua"/>
          <w:color w:val="000000"/>
        </w:rPr>
        <w:t xml:space="preserve">rheumatic </w:t>
      </w:r>
      <w:r>
        <w:rPr>
          <w:rFonts w:ascii="Book Antiqua" w:eastAsia="Book Antiqua" w:hAnsi="Book Antiqua" w:cs="Book Antiqua"/>
          <w:color w:val="000000"/>
        </w:rPr>
        <w:t>immunologist, diuretics and disease modifying anti-rheumatic drugs (DMARDs) were prescribed. Pembrolizumab was discontinued temporarily. When IA returned to grade 1, pembrolizumab therapy was continued. After the 10</w:t>
      </w:r>
      <w:r>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cycle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of pembrolizumab administration, pain in the fingers, wrists</w:t>
      </w:r>
      <w:r w:rsidR="009B75F6">
        <w:rPr>
          <w:rFonts w:ascii="Book Antiqua" w:eastAsia="Book Antiqua" w:hAnsi="Book Antiqua" w:cs="Book Antiqua"/>
          <w:color w:val="000000"/>
        </w:rPr>
        <w:t>,</w:t>
      </w:r>
      <w:r>
        <w:rPr>
          <w:rFonts w:ascii="Book Antiqua" w:eastAsia="Book Antiqua" w:hAnsi="Book Antiqua" w:cs="Book Antiqua"/>
          <w:color w:val="000000"/>
        </w:rPr>
        <w:t xml:space="preserve"> and ankles increased (grade 3). The life quality of the patient was seriously affected due to joint swelling and pain. In addition, the patient felt anxious and fearful of lung cancer progression. Intravenous methylprednisolone at 20 mg/d was prescribed and then tapered over the subsequent 4 wk.</w:t>
      </w:r>
    </w:p>
    <w:p w14:paraId="5321333C" w14:textId="77777777" w:rsidR="00146E29" w:rsidRDefault="00146E29" w:rsidP="00123BD2">
      <w:pPr>
        <w:spacing w:line="360" w:lineRule="auto"/>
        <w:jc w:val="both"/>
        <w:rPr>
          <w:rFonts w:ascii="Book Antiqua" w:hAnsi="Book Antiqua"/>
        </w:rPr>
      </w:pPr>
    </w:p>
    <w:p w14:paraId="3BB769A7"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65CF1E1" w14:textId="368AC5A4"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The symptoms of arthritis steadily improved after steroid treatment and completely resolved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withdrawal of immunotherapy. A recent follow-up in June 2022 revealed satisfactory clinical recovery of arthritis and lung cancer was still in CR as shown by CT scanning.</w:t>
      </w:r>
    </w:p>
    <w:p w14:paraId="36B7FFC8" w14:textId="77777777" w:rsidR="00146E29" w:rsidRDefault="00146E29" w:rsidP="00123BD2">
      <w:pPr>
        <w:spacing w:line="360" w:lineRule="auto"/>
        <w:jc w:val="both"/>
        <w:rPr>
          <w:rFonts w:ascii="Book Antiqua" w:hAnsi="Book Antiqua"/>
        </w:rPr>
      </w:pPr>
    </w:p>
    <w:p w14:paraId="4BDC7A97"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457D203"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ICIs have been confirmed to be an effective treatment modality and are widely used for the treatment of NSCLC. With increasing use of ICIs, a large spectrum of immune side effects, described as </w:t>
      </w:r>
      <w:proofErr w:type="spellStart"/>
      <w:r>
        <w:rPr>
          <w:rFonts w:ascii="Book Antiqua" w:eastAsia="Book Antiqua" w:hAnsi="Book Antiqua" w:cs="Book Antiqua"/>
          <w:color w:val="000000"/>
        </w:rPr>
        <w:t>irAEs</w:t>
      </w:r>
      <w:proofErr w:type="spellEnd"/>
      <w:r w:rsidR="006B3698">
        <w:rPr>
          <w:rFonts w:ascii="Book Antiqua" w:eastAsia="Book Antiqua" w:hAnsi="Book Antiqua" w:cs="Book Antiqua"/>
          <w:color w:val="000000"/>
        </w:rPr>
        <w:t>,</w:t>
      </w:r>
      <w:r>
        <w:rPr>
          <w:rFonts w:ascii="Book Antiqua" w:eastAsia="Book Antiqua" w:hAnsi="Book Antiqua" w:cs="Book Antiqua"/>
          <w:color w:val="000000"/>
        </w:rPr>
        <w:t xml:space="preserve"> have emerged. Dermatologic, gastrointestinal, pulmonary, cardiac, endocrine, skin, and rheumatologic systems, and almost all organs of the body can be </w:t>
      </w:r>
      <w:proofErr w:type="gramStart"/>
      <w:r>
        <w:rPr>
          <w:rFonts w:ascii="Book Antiqua" w:eastAsia="Book Antiqua" w:hAnsi="Book Antiqua" w:cs="Book Antiqua"/>
          <w:color w:val="000000"/>
        </w:rPr>
        <w:t>affected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Unlike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in other systems, rheumatic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mainly reported in case reports, and are usually ignored in the clinic both by patients and </w:t>
      </w:r>
      <w:proofErr w:type="gramStart"/>
      <w:r>
        <w:rPr>
          <w:rFonts w:ascii="Book Antiqua" w:eastAsia="Book Antiqua" w:hAnsi="Book Antiqua" w:cs="Book Antiqua"/>
          <w:color w:val="000000"/>
        </w:rPr>
        <w:t>physicians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Arthralgia/arthritis and myalgia/myositis are the most frequently reported rheumatic </w:t>
      </w:r>
      <w:proofErr w:type="spellStart"/>
      <w:proofErr w:type="gramStart"/>
      <w:r>
        <w:rPr>
          <w:rFonts w:ascii="Book Antiqua" w:eastAsia="Book Antiqua" w:hAnsi="Book Antiqua" w:cs="Book Antiqua"/>
          <w:color w:val="000000"/>
        </w:rPr>
        <w:lastRenderedPageBreak/>
        <w:t>irAEs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A single-center prospective cohort study reported the incidence of IA to be 3.8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820B128" w14:textId="77777777" w:rsidR="00146E29" w:rsidRDefault="003308C2" w:rsidP="00123BD2">
      <w:pPr>
        <w:spacing w:line="360" w:lineRule="auto"/>
        <w:ind w:firstLine="240"/>
        <w:jc w:val="both"/>
        <w:rPr>
          <w:rFonts w:ascii="Book Antiqua" w:hAnsi="Book Antiqua"/>
        </w:rPr>
      </w:pPr>
      <w:r>
        <w:rPr>
          <w:rFonts w:ascii="Book Antiqua" w:eastAsia="Book Antiqua" w:hAnsi="Book Antiqua" w:cs="Book Antiqua"/>
          <w:color w:val="000000"/>
        </w:rPr>
        <w:t xml:space="preserve">The most frequent clinical manifestations of IA are similar to </w:t>
      </w:r>
      <w:r w:rsidR="006B3698">
        <w:rPr>
          <w:rFonts w:ascii="Book Antiqua" w:eastAsia="Book Antiqua" w:hAnsi="Book Antiqua" w:cs="Book Antiqua"/>
          <w:color w:val="000000"/>
        </w:rPr>
        <w:t xml:space="preserve">those of </w:t>
      </w:r>
      <w:r>
        <w:rPr>
          <w:rFonts w:ascii="Book Antiqua" w:eastAsia="Book Antiqua" w:hAnsi="Book Antiqua" w:cs="Book Antiqua"/>
          <w:color w:val="000000"/>
        </w:rPr>
        <w:t xml:space="preserve">rheumatoid </w:t>
      </w:r>
      <w:proofErr w:type="gramStart"/>
      <w:r>
        <w:rPr>
          <w:rFonts w:ascii="Book Antiqua" w:eastAsia="Book Antiqua" w:hAnsi="Book Antiqua" w:cs="Book Antiqua"/>
          <w:color w:val="000000"/>
        </w:rPr>
        <w:t>arthritis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As in our case, IA is characterized by small-joint involvement of the metacarpophalangeal joint, proximal interphalangeal joint, the wrist, knee</w:t>
      </w:r>
      <w:r w:rsidR="006B369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feet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Rheumatoid factor and anti-citrullinated peptide antibody levels are usually </w:t>
      </w:r>
      <w:proofErr w:type="gramStart"/>
      <w:r>
        <w:rPr>
          <w:rFonts w:ascii="Book Antiqua" w:eastAsia="Book Antiqua" w:hAnsi="Book Antiqua" w:cs="Book Antiqua"/>
          <w:color w:val="000000"/>
        </w:rPr>
        <w:t>normal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Another relatively rare phenotype closely resembles</w:t>
      </w:r>
      <w:r w:rsidR="006B3698">
        <w:rPr>
          <w:rFonts w:ascii="Book Antiqua" w:eastAsia="Book Antiqua" w:hAnsi="Book Antiqua" w:cs="Book Antiqua"/>
          <w:color w:val="000000"/>
        </w:rPr>
        <w:t xml:space="preserve"> that of</w:t>
      </w:r>
      <w:r>
        <w:rPr>
          <w:rFonts w:ascii="Book Antiqua" w:eastAsia="Book Antiqua" w:hAnsi="Book Antiqua" w:cs="Book Antiqua"/>
          <w:color w:val="000000"/>
        </w:rPr>
        <w:t xml:space="preserve"> spinal arthritis, which is characterized by large joint involvement, such as inflammatory back pain, adhesion point inflammation, and </w:t>
      </w:r>
      <w:proofErr w:type="spellStart"/>
      <w:proofErr w:type="gramStart"/>
      <w:r>
        <w:rPr>
          <w:rFonts w:ascii="Book Antiqua" w:eastAsia="Book Antiqua" w:hAnsi="Book Antiqua" w:cs="Book Antiqua"/>
          <w:color w:val="000000"/>
        </w:rPr>
        <w:t>phalangitis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Unlike spinal arthritis, human leukocyte antigen-B27 was negative in most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39390CDF" w14:textId="04CD053B" w:rsidR="00146E29" w:rsidRDefault="003308C2" w:rsidP="00123BD2">
      <w:pPr>
        <w:spacing w:line="360" w:lineRule="auto"/>
        <w:ind w:firstLine="240"/>
        <w:jc w:val="both"/>
        <w:rPr>
          <w:rFonts w:ascii="Book Antiqua" w:hAnsi="Book Antiqua"/>
        </w:rPr>
      </w:pPr>
      <w:r>
        <w:rPr>
          <w:rFonts w:ascii="Book Antiqua" w:eastAsia="Book Antiqua" w:hAnsi="Book Antiqua" w:cs="Book Antiqua"/>
          <w:color w:val="000000"/>
        </w:rPr>
        <w:t xml:space="preserve">The time to arthritis occurrence after administration of ICIs varies, ranging from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symptoms may persist for more than </w:t>
      </w:r>
      <w:r w:rsidR="006B3698">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14-18]</w:t>
      </w:r>
      <w:r>
        <w:rPr>
          <w:rFonts w:ascii="Book Antiqua" w:eastAsia="Book Antiqua" w:hAnsi="Book Antiqua" w:cs="Book Antiqua"/>
          <w:color w:val="000000"/>
        </w:rPr>
        <w:t>, regardless of whether the ICI is discontinued</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persistence of IA demonstrated in our study lasted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D61F1E">
        <w:rPr>
          <w:rFonts w:ascii="Book Antiqua" w:eastAsia="Book Antiqua" w:hAnsi="Book Antiqua" w:cs="Book Antiqua"/>
        </w:rPr>
        <w:t>(</w:t>
      </w:r>
      <w:r w:rsidRPr="00D61F1E">
        <w:rPr>
          <w:rFonts w:ascii="Book Antiqua" w:eastAsia="SimSun" w:hAnsi="Book Antiqua" w:cs="Book Antiqua"/>
          <w:lang w:eastAsia="zh-CN"/>
        </w:rPr>
        <w:t>4</w:t>
      </w:r>
      <w:r w:rsidRPr="00D61F1E">
        <w:rPr>
          <w:rFonts w:ascii="Book Antiqua" w:eastAsia="SimSun" w:hAnsi="Book Antiqua" w:cs="Book Antiqua" w:hint="eastAsia"/>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pembrolizumab discontinuation), which was consistent with other reported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w:t>
      </w:r>
    </w:p>
    <w:p w14:paraId="5CAF8979" w14:textId="484E58C3" w:rsidR="00146E29" w:rsidRDefault="003308C2" w:rsidP="00123BD2">
      <w:pPr>
        <w:spacing w:line="360" w:lineRule="auto"/>
        <w:ind w:firstLine="240"/>
        <w:jc w:val="both"/>
        <w:rPr>
          <w:rFonts w:ascii="Book Antiqua" w:hAnsi="Book Antiqua"/>
        </w:rPr>
      </w:pPr>
      <w:r>
        <w:rPr>
          <w:rFonts w:ascii="Book Antiqua" w:eastAsia="Book Antiqua" w:hAnsi="Book Antiqua" w:cs="Book Antiqua"/>
          <w:color w:val="000000"/>
        </w:rPr>
        <w:t xml:space="preserve">The treatment principles recommended by the National Comprehensive Cancer Network, European Society for Medical Oncology, and Chinese Society of Clinical Oncology guidelines are basically the same. Therapeutic drugs mainly include NSAIDs, glucocorticoids, and DMARDs. For patients </w:t>
      </w:r>
      <w:r w:rsidR="006B3698">
        <w:rPr>
          <w:rFonts w:ascii="Book Antiqua" w:eastAsia="Book Antiqua" w:hAnsi="Book Antiqua" w:cs="Book Antiqua"/>
          <w:color w:val="000000"/>
        </w:rPr>
        <w:t xml:space="preserve">with </w:t>
      </w:r>
      <w:proofErr w:type="spellStart"/>
      <w:r w:rsidR="006B3698">
        <w:rPr>
          <w:rFonts w:ascii="Book Antiqua" w:eastAsia="Book Antiqua" w:hAnsi="Book Antiqua" w:cs="Book Antiqua"/>
          <w:color w:val="000000"/>
        </w:rPr>
        <w:t>irAEs</w:t>
      </w:r>
      <w:proofErr w:type="spellEnd"/>
      <w:r w:rsidR="006B3698">
        <w:rPr>
          <w:rFonts w:ascii="Book Antiqua" w:eastAsia="Book Antiqua" w:hAnsi="Book Antiqua" w:cs="Book Antiqua"/>
          <w:color w:val="000000"/>
        </w:rPr>
        <w:t xml:space="preserve"> </w:t>
      </w:r>
      <w:r>
        <w:rPr>
          <w:rFonts w:ascii="Book Antiqua" w:eastAsia="Book Antiqua" w:hAnsi="Book Antiqua" w:cs="Book Antiqua"/>
          <w:color w:val="000000"/>
        </w:rPr>
        <w:t xml:space="preserve">above the G2 </w:t>
      </w:r>
      <w:r w:rsidR="006B3698">
        <w:rPr>
          <w:rFonts w:ascii="Book Antiqua" w:eastAsia="Book Antiqua" w:hAnsi="Book Antiqua" w:cs="Book Antiqua"/>
          <w:color w:val="000000"/>
        </w:rPr>
        <w:t>level</w:t>
      </w:r>
      <w:r>
        <w:rPr>
          <w:rFonts w:ascii="Book Antiqua" w:eastAsia="Book Antiqua" w:hAnsi="Book Antiqua" w:cs="Book Antiqua"/>
          <w:color w:val="000000"/>
        </w:rPr>
        <w:t xml:space="preserve">, most require systemic corticosteroids in addition to DMARDs. A large single-institution retrospective study found that 37% of patients with musculoskeletal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needed either higher prednisone doses or low-dose maintenance therapy. Several patients even received steroids for more than 1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If symptoms do not improve after initial treatment, consultation with rheumatology experts is necessary for disease control. Some patients even require more than one type of immunosuppressive therapy.</w:t>
      </w:r>
    </w:p>
    <w:p w14:paraId="5539C537" w14:textId="77777777" w:rsidR="00146E29" w:rsidRDefault="003308C2" w:rsidP="00123BD2">
      <w:pPr>
        <w:spacing w:line="360" w:lineRule="auto"/>
        <w:ind w:firstLine="240"/>
        <w:jc w:val="both"/>
        <w:rPr>
          <w:rFonts w:ascii="Book Antiqua" w:hAnsi="Book Antiqua"/>
        </w:rPr>
      </w:pPr>
      <w:r>
        <w:rPr>
          <w:rFonts w:ascii="Book Antiqua" w:eastAsia="Book Antiqua" w:hAnsi="Book Antiqua" w:cs="Book Antiqua"/>
          <w:color w:val="000000"/>
        </w:rPr>
        <w:t xml:space="preserve">IA patients rarely require hospitalization and most cases are defined as </w:t>
      </w:r>
      <w:r w:rsidR="006B3698">
        <w:rPr>
          <w:rFonts w:ascii="Book Antiqua" w:eastAsia="Book Antiqua" w:hAnsi="Book Antiqua" w:cs="Book Antiqua"/>
          <w:color w:val="000000"/>
        </w:rPr>
        <w:t xml:space="preserve">having </w:t>
      </w:r>
      <w:r>
        <w:rPr>
          <w:rFonts w:ascii="Book Antiqua" w:eastAsia="Book Antiqua" w:hAnsi="Book Antiqua" w:cs="Book Antiqua"/>
          <w:color w:val="000000"/>
        </w:rPr>
        <w:t>grade 1 or 2</w:t>
      </w:r>
      <w:r w:rsidR="006B3698">
        <w:rPr>
          <w:rFonts w:ascii="Book Antiqua" w:eastAsia="Book Antiqua" w:hAnsi="Book Antiqua" w:cs="Book Antiqua"/>
          <w:color w:val="000000"/>
        </w:rPr>
        <w:t xml:space="preserve"> disease</w:t>
      </w:r>
      <w:r>
        <w:rPr>
          <w:rFonts w:ascii="Book Antiqua" w:eastAsia="Book Antiqua" w:hAnsi="Book Antiqua" w:cs="Book Antiqua"/>
          <w:color w:val="000000"/>
        </w:rPr>
        <w:t xml:space="preserve">. However, some patients reported significant impairment both in function and emotion, even when characterized as low </w:t>
      </w:r>
      <w:proofErr w:type="gramStart"/>
      <w:r>
        <w:rPr>
          <w:rFonts w:ascii="Book Antiqua" w:eastAsia="Book Antiqua" w:hAnsi="Book Antiqua" w:cs="Book Antiqua"/>
          <w:color w:val="000000"/>
        </w:rPr>
        <w:t>grade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Thus, in addition to the CTCAE grade, the CDAI, a traditional measure of arthritis activity</w:t>
      </w:r>
      <w:r w:rsidR="006B3698">
        <w:rPr>
          <w:rFonts w:ascii="Book Antiqua" w:eastAsia="Book Antiqua" w:hAnsi="Book Antiqua" w:cs="Book Antiqua"/>
          <w:color w:val="000000"/>
        </w:rPr>
        <w:t>,</w:t>
      </w:r>
      <w:r>
        <w:rPr>
          <w:rFonts w:ascii="Book Antiqua" w:eastAsia="Book Antiqua" w:hAnsi="Book Antiqua" w:cs="Book Antiqua"/>
          <w:color w:val="000000"/>
        </w:rPr>
        <w:t xml:space="preserve"> is recommended to </w:t>
      </w:r>
      <w:r>
        <w:rPr>
          <w:rFonts w:ascii="Book Antiqua" w:eastAsia="Book Antiqua" w:hAnsi="Book Antiqua" w:cs="Book Antiqua"/>
          <w:color w:val="000000"/>
        </w:rPr>
        <w:lastRenderedPageBreak/>
        <w:t xml:space="preserve">assess </w:t>
      </w:r>
      <w:proofErr w:type="gramStart"/>
      <w:r>
        <w:rPr>
          <w:rFonts w:ascii="Book Antiqua" w:eastAsia="Book Antiqua" w:hAnsi="Book Antiqua" w:cs="Book Antiqua"/>
          <w:color w:val="000000"/>
        </w:rPr>
        <w:t>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interesting that increased CDAI may be related to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However, in our case, the CDAI increased during the treatment of IA, but the patient remained in CR (Figure 3). Whether the CDAI can be used as a predictor of disease progression requires confirmation in future studies.</w:t>
      </w:r>
    </w:p>
    <w:p w14:paraId="244FBC27" w14:textId="77777777" w:rsidR="00146E29" w:rsidRDefault="00146E29" w:rsidP="00123BD2">
      <w:pPr>
        <w:spacing w:line="360" w:lineRule="auto"/>
        <w:ind w:firstLine="240"/>
        <w:jc w:val="both"/>
        <w:rPr>
          <w:rFonts w:ascii="Book Antiqua" w:hAnsi="Book Antiqua"/>
        </w:rPr>
      </w:pPr>
    </w:p>
    <w:p w14:paraId="21F1F099"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9A7DB8C" w14:textId="00B010C1"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Immunotherapy has opened a new chapter in the treatment of advanced NSCLC. However, with the wide application of ICIs, more and more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have been reported. Rheumatic arthritis/myalgia has rarely been reported in previous clinical trials. However, the actual incidence in the real world may be much higher than the data shown in current clinical studies. During the course of immunotherapy, clinicians should pay attention to symptoms of arthritis, distinguish IA from traditional rheumatic diseases</w:t>
      </w:r>
      <w:r w:rsidR="006B3698">
        <w:rPr>
          <w:rFonts w:ascii="Book Antiqua" w:eastAsia="Book Antiqua" w:hAnsi="Book Antiqua" w:cs="Book Antiqua"/>
          <w:color w:val="000000"/>
        </w:rPr>
        <w:t>,</w:t>
      </w:r>
      <w:r>
        <w:rPr>
          <w:rFonts w:ascii="Book Antiqua" w:eastAsia="Book Antiqua" w:hAnsi="Book Antiqua" w:cs="Book Antiqua"/>
          <w:color w:val="000000"/>
        </w:rPr>
        <w:t xml:space="preserve"> and provide appropriate treatment. In addition to the CTCAE grade, the CDAI is recommended to assess IA. A recent study found that the CDAI may be a predictor of cancer disease progression, which</w:t>
      </w:r>
      <w:r w:rsidR="006B3698">
        <w:rPr>
          <w:rFonts w:ascii="Book Antiqua" w:eastAsia="Book Antiqua" w:hAnsi="Book Antiqua" w:cs="Book Antiqua"/>
          <w:color w:val="000000"/>
        </w:rPr>
        <w:t xml:space="preserve"> </w:t>
      </w:r>
      <w:r>
        <w:rPr>
          <w:rFonts w:ascii="Book Antiqua" w:eastAsia="Book Antiqua" w:hAnsi="Book Antiqua" w:cs="Book Antiqua"/>
          <w:color w:val="000000"/>
        </w:rPr>
        <w:t>needs to be confirmed in future studies. Early recognition of IA and appropriate treatment are critical to improving the outcome of both IA and lung cancer.</w:t>
      </w:r>
    </w:p>
    <w:p w14:paraId="179E6C05" w14:textId="77777777" w:rsidR="00146E29" w:rsidRDefault="00146E29" w:rsidP="00123BD2">
      <w:pPr>
        <w:spacing w:line="360" w:lineRule="auto"/>
        <w:jc w:val="both"/>
        <w:rPr>
          <w:rFonts w:ascii="Book Antiqua" w:hAnsi="Book Antiqua"/>
        </w:rPr>
      </w:pPr>
    </w:p>
    <w:p w14:paraId="33A2AD58" w14:textId="77777777" w:rsidR="00146E29" w:rsidRDefault="003308C2" w:rsidP="00123BD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2E0E549"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We thank the patient for providing consent for the publication of this case</w:t>
      </w:r>
      <w:r w:rsidR="006B3698">
        <w:rPr>
          <w:rFonts w:ascii="Book Antiqua" w:eastAsia="Book Antiqua" w:hAnsi="Book Antiqua" w:cs="Book Antiqua"/>
          <w:color w:val="000000"/>
        </w:rPr>
        <w:t xml:space="preserve"> report</w:t>
      </w:r>
      <w:r>
        <w:rPr>
          <w:rFonts w:ascii="Book Antiqua" w:eastAsia="Book Antiqua" w:hAnsi="Book Antiqua" w:cs="Book Antiqua"/>
          <w:color w:val="000000"/>
        </w:rPr>
        <w:t xml:space="preserve">. </w:t>
      </w:r>
    </w:p>
    <w:p w14:paraId="08C8CC9B" w14:textId="77777777" w:rsidR="00146E29" w:rsidRDefault="00146E29" w:rsidP="00123BD2">
      <w:pPr>
        <w:spacing w:line="360" w:lineRule="auto"/>
        <w:jc w:val="both"/>
        <w:rPr>
          <w:rFonts w:ascii="Book Antiqua" w:hAnsi="Book Antiqua"/>
        </w:rPr>
      </w:pPr>
    </w:p>
    <w:p w14:paraId="1A5E1ACC"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REFERENCES</w:t>
      </w:r>
    </w:p>
    <w:p w14:paraId="2736CF54"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Chan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Tirpack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Vitone</w:t>
      </w:r>
      <w:proofErr w:type="spellEnd"/>
      <w:r>
        <w:rPr>
          <w:rFonts w:ascii="Book Antiqua" w:eastAsia="Book Antiqua" w:hAnsi="Book Antiqua" w:cs="Book Antiqua"/>
          <w:color w:val="000000"/>
        </w:rPr>
        <w:t xml:space="preserve"> G, Benson C, Nguyen J, Ghosh N, Jannat-</w:t>
      </w:r>
      <w:proofErr w:type="spellStart"/>
      <w:r>
        <w:rPr>
          <w:rFonts w:ascii="Book Antiqua" w:eastAsia="Book Antiqua" w:hAnsi="Book Antiqua" w:cs="Book Antiqua"/>
          <w:color w:val="000000"/>
        </w:rPr>
        <w:t>Khah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Bykerk</w:t>
      </w:r>
      <w:proofErr w:type="spellEnd"/>
      <w:r>
        <w:rPr>
          <w:rFonts w:ascii="Book Antiqua" w:eastAsia="Book Antiqua" w:hAnsi="Book Antiqua" w:cs="Book Antiqua"/>
          <w:color w:val="000000"/>
        </w:rPr>
        <w:t xml:space="preserve"> V, Bass AR. Higher Checkpoint Inhibitor Arthritis Disease Activity may be Associated With Cancer Progression: Results From an Observational Registry. </w:t>
      </w:r>
      <w:r>
        <w:rPr>
          <w:rFonts w:ascii="Book Antiqua" w:eastAsia="Book Antiqua" w:hAnsi="Book Antiqua" w:cs="Book Antiqua"/>
          <w:i/>
          <w:iCs/>
          <w:color w:val="000000"/>
        </w:rPr>
        <w:t xml:space="preserve">ACR Open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595-604 [PMID: 33010198 DOI: 10.1002/acr2.11181]</w:t>
      </w:r>
    </w:p>
    <w:p w14:paraId="7CBCA231"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Suarez-</w:t>
      </w:r>
      <w:proofErr w:type="spellStart"/>
      <w:r>
        <w:rPr>
          <w:rFonts w:ascii="Book Antiqua" w:eastAsia="Book Antiqua" w:hAnsi="Book Antiqua" w:cs="Book Antiqua"/>
          <w:b/>
          <w:bCs/>
          <w:color w:val="000000"/>
        </w:rPr>
        <w:t>Almazor</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Kim ST, Abdel-Wahab N, Diab A. Review: Immune-Related Adverse Events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Use of Checkpoint Inhibitors for Immunotherapy of Cancer.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687-699 [PMID: 28085999 DOI: 10.1002/art.40043]</w:t>
      </w:r>
    </w:p>
    <w:p w14:paraId="6BA71DBC"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Khoja L</w:t>
      </w:r>
      <w:r>
        <w:rPr>
          <w:rFonts w:ascii="Book Antiqua" w:eastAsia="Book Antiqua" w:hAnsi="Book Antiqua" w:cs="Book Antiqua"/>
          <w:color w:val="000000"/>
        </w:rPr>
        <w:t xml:space="preserve">, Day D, Wei-Wu Chen T, Siu LL, Hansen 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class-specific patterns of immune-related adverse events of immune checkpoint inhibitors: a systematic review.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2377-2385 [PMID: 28945858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/mdx286]</w:t>
      </w:r>
    </w:p>
    <w:p w14:paraId="052C94FC"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Xiao Y</w:t>
      </w:r>
      <w:r>
        <w:rPr>
          <w:rFonts w:ascii="Book Antiqua" w:eastAsia="Book Antiqua" w:hAnsi="Book Antiqua" w:cs="Book Antiqua"/>
          <w:color w:val="000000"/>
        </w:rPr>
        <w:t xml:space="preserve">, Zeng L, Shen Q, Zhou Z, Mao Z, Wang Q, Zhang X, Li Y, Yao W. Diagnosis and Treatment of Rheumatic Adverse Events Related to Immune Checkpoint Inhibitors.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2640273 [PMID: 32832568 DOI: 10.1155/2020/2640273]</w:t>
      </w:r>
    </w:p>
    <w:p w14:paraId="1A5C3960"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Cappelli LC</w:t>
      </w:r>
      <w:r>
        <w:rPr>
          <w:rFonts w:ascii="Book Antiqua" w:eastAsia="Book Antiqua" w:hAnsi="Book Antiqua" w:cs="Book Antiqua"/>
          <w:color w:val="000000"/>
        </w:rPr>
        <w:t xml:space="preserve">, Gutierrez AK, Bingham CO 3rd, Shah AA. Rheumatic and Musculoskeletal Immune-Related Adverse Events Due to Immune Checkpoint Inhibitors: A Systematic Review of the Literature.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1751-1763 [PMID: 27998041 DOI: 10.1002/acr.23177]</w:t>
      </w:r>
    </w:p>
    <w:p w14:paraId="5F11E9B2"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Kostine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Rouxel L, </w:t>
      </w:r>
      <w:proofErr w:type="spellStart"/>
      <w:r>
        <w:rPr>
          <w:rFonts w:ascii="Book Antiqua" w:eastAsia="Book Antiqua" w:hAnsi="Book Antiqua" w:cs="Book Antiqua"/>
          <w:color w:val="000000"/>
        </w:rPr>
        <w:t>Barnetche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Veillon</w:t>
      </w:r>
      <w:proofErr w:type="spellEnd"/>
      <w:r>
        <w:rPr>
          <w:rFonts w:ascii="Book Antiqua" w:eastAsia="Book Antiqua" w:hAnsi="Book Antiqua" w:cs="Book Antiqua"/>
          <w:color w:val="000000"/>
        </w:rPr>
        <w:t xml:space="preserve"> R, Martin F, </w:t>
      </w:r>
      <w:proofErr w:type="spellStart"/>
      <w:r>
        <w:rPr>
          <w:rFonts w:ascii="Book Antiqua" w:eastAsia="Book Antiqua" w:hAnsi="Book Antiqua" w:cs="Book Antiqua"/>
          <w:color w:val="000000"/>
        </w:rPr>
        <w:t>Dutriaux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L, Pham-</w:t>
      </w:r>
      <w:proofErr w:type="spellStart"/>
      <w:r>
        <w:rPr>
          <w:rFonts w:ascii="Book Antiqua" w:eastAsia="Book Antiqua" w:hAnsi="Book Antiqua" w:cs="Book Antiqua"/>
          <w:color w:val="000000"/>
        </w:rPr>
        <w:t>Ledard</w:t>
      </w:r>
      <w:proofErr w:type="spellEnd"/>
      <w:r>
        <w:rPr>
          <w:rFonts w:ascii="Book Antiqua" w:eastAsia="Book Antiqua" w:hAnsi="Book Antiqua" w:cs="Book Antiqua"/>
          <w:color w:val="000000"/>
        </w:rPr>
        <w:t xml:space="preserve"> A, Prey S, </w:t>
      </w:r>
      <w:proofErr w:type="spellStart"/>
      <w:r>
        <w:rPr>
          <w:rFonts w:ascii="Book Antiqua" w:eastAsia="Book Antiqua" w:hAnsi="Book Antiqua" w:cs="Book Antiqua"/>
          <w:color w:val="000000"/>
        </w:rPr>
        <w:t>Beylot</w:t>
      </w:r>
      <w:proofErr w:type="spellEnd"/>
      <w:r>
        <w:rPr>
          <w:rFonts w:ascii="Book Antiqua" w:eastAsia="Book Antiqua" w:hAnsi="Book Antiqua" w:cs="Book Antiqua"/>
          <w:color w:val="000000"/>
        </w:rPr>
        <w:t xml:space="preserve">-Barry M, </w:t>
      </w:r>
      <w:proofErr w:type="spellStart"/>
      <w:r>
        <w:rPr>
          <w:rFonts w:ascii="Book Antiqua" w:eastAsia="Book Antiqua" w:hAnsi="Book Antiqua" w:cs="Book Antiqua"/>
          <w:color w:val="000000"/>
        </w:rPr>
        <w:t>Daste</w:t>
      </w:r>
      <w:proofErr w:type="spellEnd"/>
      <w:r>
        <w:rPr>
          <w:rFonts w:ascii="Book Antiqua" w:eastAsia="Book Antiqua" w:hAnsi="Book Antiqua" w:cs="Book Antiqua"/>
          <w:color w:val="000000"/>
        </w:rPr>
        <w:t xml:space="preserve"> A, Gross-</w:t>
      </w:r>
      <w:proofErr w:type="spellStart"/>
      <w:r>
        <w:rPr>
          <w:rFonts w:ascii="Book Antiqua" w:eastAsia="Book Antiqua" w:hAnsi="Book Antiqua" w:cs="Book Antiqua"/>
          <w:color w:val="000000"/>
        </w:rPr>
        <w:t>Goupil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Lallier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Ravaud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Forcade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Bannwarth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Truchetet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Richez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Mehsen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Schaeverbeke</w:t>
      </w:r>
      <w:proofErr w:type="spellEnd"/>
      <w:r>
        <w:rPr>
          <w:rFonts w:ascii="Book Antiqua" w:eastAsia="Book Antiqua" w:hAnsi="Book Antiqua" w:cs="Book Antiqua"/>
          <w:color w:val="000000"/>
        </w:rPr>
        <w:t xml:space="preserve"> T; FHU ACRONIM. Rheumatic disorders associated with immune checkpoint inhibitors in patients with cancer-clinical aspects and relationship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prospective cohort study.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77</w:t>
      </w:r>
      <w:r>
        <w:rPr>
          <w:rFonts w:ascii="Book Antiqua" w:eastAsia="Book Antiqua" w:hAnsi="Book Antiqua" w:cs="Book Antiqua"/>
          <w:color w:val="000000"/>
        </w:rPr>
        <w:t>: 393-398 [PMID: 29146737 DOI: 10.1136/annrheumdis-2017-212257]</w:t>
      </w:r>
    </w:p>
    <w:p w14:paraId="4D3F38FD"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Richter MD</w:t>
      </w:r>
      <w:r>
        <w:rPr>
          <w:rFonts w:ascii="Book Antiqua" w:eastAsia="Book Antiqua" w:hAnsi="Book Antiqua" w:cs="Book Antiqua"/>
          <w:color w:val="000000"/>
        </w:rPr>
        <w:t xml:space="preserve">, Crowson C, </w:t>
      </w:r>
      <w:proofErr w:type="spellStart"/>
      <w:r>
        <w:rPr>
          <w:rFonts w:ascii="Book Antiqua" w:eastAsia="Book Antiqua" w:hAnsi="Book Antiqua" w:cs="Book Antiqua"/>
          <w:color w:val="000000"/>
        </w:rPr>
        <w:t>Kottschade</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Finnes</w:t>
      </w:r>
      <w:proofErr w:type="spellEnd"/>
      <w:r>
        <w:rPr>
          <w:rFonts w:ascii="Book Antiqua" w:eastAsia="Book Antiqua" w:hAnsi="Book Antiqua" w:cs="Book Antiqua"/>
          <w:color w:val="000000"/>
        </w:rPr>
        <w:t xml:space="preserve"> HD, Markovic SN, </w:t>
      </w:r>
      <w:proofErr w:type="spellStart"/>
      <w:r>
        <w:rPr>
          <w:rFonts w:ascii="Book Antiqua" w:eastAsia="Book Antiqua" w:hAnsi="Book Antiqua" w:cs="Book Antiqua"/>
          <w:color w:val="000000"/>
        </w:rPr>
        <w:t>Thanarajasingam</w:t>
      </w:r>
      <w:proofErr w:type="spellEnd"/>
      <w:r>
        <w:rPr>
          <w:rFonts w:ascii="Book Antiqua" w:eastAsia="Book Antiqua" w:hAnsi="Book Antiqua" w:cs="Book Antiqua"/>
          <w:color w:val="000000"/>
        </w:rPr>
        <w:t xml:space="preserve"> U. Rheumatic Syndromes Associated With Immune Checkpoint Inhibitors: A Single-Center Cohort of Sixty-One Patients.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468-475 [PMID: 30281202 DOI: 10.1002/art.40745]</w:t>
      </w:r>
    </w:p>
    <w:p w14:paraId="0D7A2E43"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Arnaud L</w:t>
      </w:r>
      <w:r>
        <w:rPr>
          <w:rFonts w:ascii="Book Antiqua" w:eastAsia="Book Antiqua" w:hAnsi="Book Antiqua" w:cs="Book Antiqua"/>
          <w:color w:val="000000"/>
        </w:rPr>
        <w:t>, Lebrun-</w:t>
      </w:r>
      <w:proofErr w:type="spellStart"/>
      <w:r>
        <w:rPr>
          <w:rFonts w:ascii="Book Antiqua" w:eastAsia="Book Antiqua" w:hAnsi="Book Antiqua" w:cs="Book Antiqua"/>
          <w:color w:val="000000"/>
        </w:rPr>
        <w:t>Vignes</w:t>
      </w:r>
      <w:proofErr w:type="spellEnd"/>
      <w:r>
        <w:rPr>
          <w:rFonts w:ascii="Book Antiqua" w:eastAsia="Book Antiqua" w:hAnsi="Book Antiqua" w:cs="Book Antiqua"/>
          <w:color w:val="000000"/>
        </w:rPr>
        <w:t xml:space="preserve"> B, Salem JE. Checkpoint inhibitor-associated immune arthritis.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e68 [PMID: 29724725 DOI: 10.1136/annrheumdis-2018-213470]</w:t>
      </w:r>
    </w:p>
    <w:p w14:paraId="234D667B"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Haikal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Borba</w:t>
      </w:r>
      <w:proofErr w:type="spellEnd"/>
      <w:r>
        <w:rPr>
          <w:rFonts w:ascii="Book Antiqua" w:eastAsia="Book Antiqua" w:hAnsi="Book Antiqua" w:cs="Book Antiqua"/>
          <w:color w:val="000000"/>
        </w:rPr>
        <w:t xml:space="preserve"> E, Khaja T, Doolittle G, Schmidt P. Nivolumab-induced new-onset seronegative rheumatoid arthritis in a patient with advanced metastatic melanoma: A case report and literature review. </w:t>
      </w:r>
      <w:r>
        <w:rPr>
          <w:rFonts w:ascii="Book Antiqua" w:eastAsia="Book Antiqua" w:hAnsi="Book Antiqua" w:cs="Book Antiqua"/>
          <w:i/>
          <w:iCs/>
          <w:color w:val="000000"/>
        </w:rPr>
        <w:t>Avicenna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34-36 [PMID: 29404271 DOI: 10.4103/ajm.AJM_127_17]</w:t>
      </w:r>
    </w:p>
    <w:p w14:paraId="6B61419E"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Puzanov</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Diab A, Abdallah K, Bingham CO 3rd, Brogdon C, </w:t>
      </w:r>
      <w:proofErr w:type="spellStart"/>
      <w:r>
        <w:rPr>
          <w:rFonts w:ascii="Book Antiqua" w:eastAsia="Book Antiqua" w:hAnsi="Book Antiqua" w:cs="Book Antiqua"/>
          <w:color w:val="000000"/>
        </w:rPr>
        <w:t>Dadu</w:t>
      </w:r>
      <w:proofErr w:type="spellEnd"/>
      <w:r>
        <w:rPr>
          <w:rFonts w:ascii="Book Antiqua" w:eastAsia="Book Antiqua" w:hAnsi="Book Antiqua" w:cs="Book Antiqua"/>
          <w:color w:val="000000"/>
        </w:rPr>
        <w:t xml:space="preserve"> R, Hamad L, Kim S, </w:t>
      </w:r>
      <w:proofErr w:type="spellStart"/>
      <w:r>
        <w:rPr>
          <w:rFonts w:ascii="Book Antiqua" w:eastAsia="Book Antiqua" w:hAnsi="Book Antiqua" w:cs="Book Antiqua"/>
          <w:color w:val="000000"/>
        </w:rPr>
        <w:t>Lacouture</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LeBoeuf</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Lenihan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Onofrei</w:t>
      </w:r>
      <w:proofErr w:type="spellEnd"/>
      <w:r>
        <w:rPr>
          <w:rFonts w:ascii="Book Antiqua" w:eastAsia="Book Antiqua" w:hAnsi="Book Antiqua" w:cs="Book Antiqua"/>
          <w:color w:val="000000"/>
        </w:rPr>
        <w:t xml:space="preserve"> C, Shannon V, Sharma R, Silk AW, </w:t>
      </w:r>
      <w:proofErr w:type="spellStart"/>
      <w:r>
        <w:rPr>
          <w:rFonts w:ascii="Book Antiqua" w:eastAsia="Book Antiqua" w:hAnsi="Book Antiqua" w:cs="Book Antiqua"/>
          <w:color w:val="000000"/>
        </w:rPr>
        <w:t>Skondra</w:t>
      </w:r>
      <w:proofErr w:type="spellEnd"/>
      <w:r>
        <w:rPr>
          <w:rFonts w:ascii="Book Antiqua" w:eastAsia="Book Antiqua" w:hAnsi="Book Antiqua" w:cs="Book Antiqua"/>
          <w:color w:val="000000"/>
        </w:rPr>
        <w:t xml:space="preserve"> D, Suarez-</w:t>
      </w:r>
      <w:proofErr w:type="spellStart"/>
      <w:r>
        <w:rPr>
          <w:rFonts w:ascii="Book Antiqua" w:eastAsia="Book Antiqua" w:hAnsi="Book Antiqua" w:cs="Book Antiqua"/>
          <w:color w:val="000000"/>
        </w:rPr>
        <w:t>Almazor</w:t>
      </w:r>
      <w:proofErr w:type="spellEnd"/>
      <w:r>
        <w:rPr>
          <w:rFonts w:ascii="Book Antiqua" w:eastAsia="Book Antiqua" w:hAnsi="Book Antiqua" w:cs="Book Antiqua"/>
          <w:color w:val="000000"/>
        </w:rPr>
        <w:t xml:space="preserve"> ME, Wang Y, Wiley K, Kaufman HL, </w:t>
      </w:r>
      <w:proofErr w:type="spellStart"/>
      <w:r>
        <w:rPr>
          <w:rFonts w:ascii="Book Antiqua" w:eastAsia="Book Antiqua" w:hAnsi="Book Antiqua" w:cs="Book Antiqua"/>
          <w:color w:val="000000"/>
        </w:rPr>
        <w:t>Ernstoff</w:t>
      </w:r>
      <w:proofErr w:type="spellEnd"/>
      <w:r>
        <w:rPr>
          <w:rFonts w:ascii="Book Antiqua" w:eastAsia="Book Antiqua" w:hAnsi="Book Antiqua" w:cs="Book Antiqua"/>
          <w:color w:val="000000"/>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95 [PMID: 29162153 DOI: 10.1186/s40425-017-0300-z]</w:t>
      </w:r>
    </w:p>
    <w:p w14:paraId="0D1F2870"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Tocut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Brenner R, </w:t>
      </w:r>
      <w:proofErr w:type="spellStart"/>
      <w:r>
        <w:rPr>
          <w:rFonts w:ascii="Book Antiqua" w:eastAsia="Book Antiqua" w:hAnsi="Book Antiqua" w:cs="Book Antiqua"/>
          <w:color w:val="000000"/>
        </w:rPr>
        <w:t>Zandman</w:t>
      </w:r>
      <w:proofErr w:type="spellEnd"/>
      <w:r>
        <w:rPr>
          <w:rFonts w:ascii="Book Antiqua" w:eastAsia="Book Antiqua" w:hAnsi="Book Antiqua" w:cs="Book Antiqua"/>
          <w:color w:val="000000"/>
        </w:rPr>
        <w:t xml:space="preserve">-Goddard G. Autoimmune phenomena and disease in cancer patients treated with immune checkpoint inhibitors.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610-616 [PMID: 29631064 DOI: 10.1016/j.autrev.2018.01.010]</w:t>
      </w:r>
    </w:p>
    <w:p w14:paraId="7F5F02A9"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Ohnuma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R, Dang NH, Morimoto C. Rheumatic diseases associated with immune checkpoint inhibitors in cancer immunotherapy.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721-732 [PMID: 30285531 DOI: 10.1080/14397595.2018.1532559]</w:t>
      </w:r>
    </w:p>
    <w:p w14:paraId="7AF61383"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Lee KA</w:t>
      </w:r>
      <w:r>
        <w:rPr>
          <w:rFonts w:ascii="Book Antiqua" w:eastAsia="Book Antiqua" w:hAnsi="Book Antiqua" w:cs="Book Antiqua"/>
          <w:color w:val="000000"/>
        </w:rPr>
        <w:t xml:space="preserve">, Kim HR, Yoon SY. Rheumatic complications in cancer patients treated with immune checkpoint inhibitors.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1197-1209 [PMID: 31014065 DOI: 10.3904/kjim.2019.060]</w:t>
      </w:r>
    </w:p>
    <w:p w14:paraId="4D578E09"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Smith MH</w:t>
      </w:r>
      <w:r>
        <w:rPr>
          <w:rFonts w:ascii="Book Antiqua" w:eastAsia="Book Antiqua" w:hAnsi="Book Antiqua" w:cs="Book Antiqua"/>
          <w:color w:val="000000"/>
        </w:rPr>
        <w:t xml:space="preserve">, Bass AR. Arthritis After Cancer Immunotherapy: Symptom Duration and Treatment Response.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362-366 [PMID: 29125905 DOI: 10.1002/acr.23467]</w:t>
      </w:r>
    </w:p>
    <w:p w14:paraId="32F0DC71"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Mooradian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Nasrallah M, </w:t>
      </w:r>
      <w:proofErr w:type="spellStart"/>
      <w:r>
        <w:rPr>
          <w:rFonts w:ascii="Book Antiqua" w:eastAsia="Book Antiqua" w:hAnsi="Book Antiqua" w:cs="Book Antiqua"/>
          <w:color w:val="000000"/>
        </w:rPr>
        <w:t>Gainor</w:t>
      </w:r>
      <w:proofErr w:type="spellEnd"/>
      <w:r>
        <w:rPr>
          <w:rFonts w:ascii="Book Antiqua" w:eastAsia="Book Antiqua" w:hAnsi="Book Antiqua" w:cs="Book Antiqua"/>
          <w:color w:val="000000"/>
        </w:rPr>
        <w:t xml:space="preserve"> JF, Reynolds KL, Cohen JV, Lawrence DP, </w:t>
      </w:r>
      <w:proofErr w:type="spellStart"/>
      <w:r>
        <w:rPr>
          <w:rFonts w:ascii="Book Antiqua" w:eastAsia="Book Antiqua" w:hAnsi="Book Antiqua" w:cs="Book Antiqua"/>
          <w:color w:val="000000"/>
        </w:rPr>
        <w:t>Miloslavsky</w:t>
      </w:r>
      <w:proofErr w:type="spellEnd"/>
      <w:r>
        <w:rPr>
          <w:rFonts w:ascii="Book Antiqua" w:eastAsia="Book Antiqua" w:hAnsi="Book Antiqua" w:cs="Book Antiqua"/>
          <w:color w:val="000000"/>
        </w:rPr>
        <w:t xml:space="preserve"> EM, Kohler MJ, Sullivan RJ, Schoenfeld SR. Musculoskeletal rheumatic complications of immune checkpoint inhibitor therapy: A single center experience.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1127-1132 [PMID: 30409415 DOI: 10.1016/j.semarthrit.2018.10.012]</w:t>
      </w:r>
    </w:p>
    <w:p w14:paraId="5D45A77A"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Lidar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Garelick</w:t>
      </w:r>
      <w:proofErr w:type="spellEnd"/>
      <w:r>
        <w:rPr>
          <w:rFonts w:ascii="Book Antiqua" w:eastAsia="Book Antiqua" w:hAnsi="Book Antiqua" w:cs="Book Antiqua"/>
          <w:color w:val="000000"/>
        </w:rPr>
        <w:t xml:space="preserve"> D, Horowitz Y, </w:t>
      </w:r>
      <w:proofErr w:type="spellStart"/>
      <w:r>
        <w:rPr>
          <w:rFonts w:ascii="Book Antiqua" w:eastAsia="Book Antiqua" w:hAnsi="Book Antiqua" w:cs="Book Antiqua"/>
          <w:color w:val="000000"/>
        </w:rPr>
        <w:t>Amital</w:t>
      </w:r>
      <w:proofErr w:type="spellEnd"/>
      <w:r>
        <w:rPr>
          <w:rFonts w:ascii="Book Antiqua" w:eastAsia="Book Antiqua" w:hAnsi="Book Antiqua" w:cs="Book Antiqua"/>
          <w:color w:val="000000"/>
        </w:rPr>
        <w:t xml:space="preserve"> H, Steinberg-</w:t>
      </w:r>
      <w:proofErr w:type="spellStart"/>
      <w:r>
        <w:rPr>
          <w:rFonts w:ascii="Book Antiqua" w:eastAsia="Book Antiqua" w:hAnsi="Book Antiqua" w:cs="Book Antiqua"/>
          <w:color w:val="000000"/>
        </w:rPr>
        <w:t>Silman</w:t>
      </w:r>
      <w:proofErr w:type="spellEnd"/>
      <w:r>
        <w:rPr>
          <w:rFonts w:ascii="Book Antiqua" w:eastAsia="Book Antiqua" w:hAnsi="Book Antiqua" w:cs="Book Antiqua"/>
          <w:color w:val="000000"/>
        </w:rPr>
        <w:t xml:space="preserve"> Y, Schachter J, Shapira-</w:t>
      </w:r>
      <w:proofErr w:type="spellStart"/>
      <w:r>
        <w:rPr>
          <w:rFonts w:ascii="Book Antiqua" w:eastAsia="Book Antiqua" w:hAnsi="Book Antiqua" w:cs="Book Antiqua"/>
          <w:color w:val="000000"/>
        </w:rPr>
        <w:t>Frommer</w:t>
      </w:r>
      <w:proofErr w:type="spellEnd"/>
      <w:r>
        <w:rPr>
          <w:rFonts w:ascii="Book Antiqua" w:eastAsia="Book Antiqua" w:hAnsi="Book Antiqua" w:cs="Book Antiqua"/>
          <w:color w:val="000000"/>
        </w:rPr>
        <w:t xml:space="preserve"> R, Markel G. Rheumatic manifestations among cancer patients treated with immune checkpoint inhibitors.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284-289 [PMID: 29341936 DOI: 10.1016/j.autrev.2018.01.003]</w:t>
      </w:r>
    </w:p>
    <w:p w14:paraId="5436D7A6"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Cappelli LC</w:t>
      </w:r>
      <w:r>
        <w:rPr>
          <w:rFonts w:ascii="Book Antiqua" w:eastAsia="Book Antiqua" w:hAnsi="Book Antiqua" w:cs="Book Antiqua"/>
          <w:color w:val="000000"/>
        </w:rPr>
        <w:t xml:space="preserve">, Gutierrez AK, Baer AN, </w:t>
      </w:r>
      <w:proofErr w:type="spellStart"/>
      <w:r>
        <w:rPr>
          <w:rFonts w:ascii="Book Antiqua" w:eastAsia="Book Antiqua" w:hAnsi="Book Antiqua" w:cs="Book Antiqua"/>
          <w:color w:val="000000"/>
        </w:rPr>
        <w:t>Albayda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Manno</w:t>
      </w:r>
      <w:proofErr w:type="spellEnd"/>
      <w:r>
        <w:rPr>
          <w:rFonts w:ascii="Book Antiqua" w:eastAsia="Book Antiqua" w:hAnsi="Book Antiqua" w:cs="Book Antiqua"/>
          <w:color w:val="000000"/>
        </w:rPr>
        <w:t xml:space="preserve"> RL, Haque U, Lipson EJ, Bleich KB, Shah AA, Naidoo J,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Le D, Bingham CO 3rd. Inflammatory arthritis and sicca syndrome induced by nivolumab and ipilimumab.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76</w:t>
      </w:r>
      <w:r>
        <w:rPr>
          <w:rFonts w:ascii="Book Antiqua" w:eastAsia="Book Antiqua" w:hAnsi="Book Antiqua" w:cs="Book Antiqua"/>
          <w:color w:val="000000"/>
        </w:rPr>
        <w:t>: 43-50 [PMID: 27307501 DOI: 10.1136/annrheumdis-2016-209595]</w:t>
      </w:r>
    </w:p>
    <w:p w14:paraId="56FBDD76" w14:textId="5E77CDD4"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18 </w:t>
      </w:r>
      <w:r w:rsidR="00BC4229" w:rsidRPr="00BC4229">
        <w:rPr>
          <w:rFonts w:ascii="Book Antiqua" w:eastAsia="Book Antiqua" w:hAnsi="Book Antiqua" w:cs="Book Antiqua"/>
          <w:b/>
          <w:color w:val="000000"/>
        </w:rPr>
        <w:t>Calabrese C,</w:t>
      </w:r>
      <w:r w:rsidR="00BC4229" w:rsidRPr="00BC4229">
        <w:rPr>
          <w:rFonts w:ascii="Book Antiqua" w:eastAsia="Book Antiqua" w:hAnsi="Book Antiqua" w:cs="Book Antiqua"/>
          <w:color w:val="000000"/>
        </w:rPr>
        <w:t xml:space="preserve"> Kirchner E, </w:t>
      </w:r>
      <w:proofErr w:type="spellStart"/>
      <w:r w:rsidR="00BC4229" w:rsidRPr="00BC4229">
        <w:rPr>
          <w:rFonts w:ascii="Book Antiqua" w:eastAsia="Book Antiqua" w:hAnsi="Book Antiqua" w:cs="Book Antiqua"/>
          <w:color w:val="000000"/>
        </w:rPr>
        <w:t>Kontz</w:t>
      </w:r>
      <w:r w:rsidR="00BC4229">
        <w:rPr>
          <w:rFonts w:ascii="Book Antiqua" w:eastAsia="Book Antiqua" w:hAnsi="Book Antiqua" w:cs="Book Antiqua"/>
          <w:color w:val="000000"/>
        </w:rPr>
        <w:t>ias</w:t>
      </w:r>
      <w:proofErr w:type="spellEnd"/>
      <w:r w:rsidR="00BC4229">
        <w:rPr>
          <w:rFonts w:ascii="Book Antiqua" w:eastAsia="Book Antiqua" w:hAnsi="Book Antiqua" w:cs="Book Antiqua"/>
          <w:color w:val="000000"/>
        </w:rPr>
        <w:t xml:space="preserve"> A, </w:t>
      </w:r>
      <w:proofErr w:type="spellStart"/>
      <w:r w:rsidR="00BC4229">
        <w:rPr>
          <w:rFonts w:ascii="Book Antiqua" w:eastAsia="Book Antiqua" w:hAnsi="Book Antiqua" w:cs="Book Antiqua"/>
          <w:color w:val="000000"/>
        </w:rPr>
        <w:t>Velcheti</w:t>
      </w:r>
      <w:proofErr w:type="spellEnd"/>
      <w:r w:rsidR="00BC4229">
        <w:rPr>
          <w:rFonts w:ascii="Book Antiqua" w:eastAsia="Book Antiqua" w:hAnsi="Book Antiqua" w:cs="Book Antiqua"/>
          <w:color w:val="000000"/>
        </w:rPr>
        <w:t xml:space="preserve"> V, Calabrese LH</w:t>
      </w:r>
      <w:r>
        <w:rPr>
          <w:rFonts w:ascii="Book Antiqua" w:eastAsia="Book Antiqua" w:hAnsi="Book Antiqua" w:cs="Book Antiqua"/>
          <w:color w:val="000000"/>
        </w:rPr>
        <w:t xml:space="preserve">. Correction: Rheumatic immune-related adverse events of checkpoint therapy for cancer: case series of a new </w:t>
      </w:r>
      <w:proofErr w:type="spellStart"/>
      <w:r>
        <w:rPr>
          <w:rFonts w:ascii="Book Antiqua" w:eastAsia="Book Antiqua" w:hAnsi="Book Antiqua" w:cs="Book Antiqua"/>
          <w:color w:val="000000"/>
        </w:rPr>
        <w:t>nosological</w:t>
      </w:r>
      <w:proofErr w:type="spellEnd"/>
      <w:r>
        <w:rPr>
          <w:rFonts w:ascii="Book Antiqua" w:eastAsia="Book Antiqua" w:hAnsi="Book Antiqua" w:cs="Book Antiqua"/>
          <w:color w:val="000000"/>
        </w:rPr>
        <w:t xml:space="preserve"> entity. </w:t>
      </w:r>
      <w:r>
        <w:rPr>
          <w:rFonts w:ascii="Book Antiqua" w:eastAsia="Book Antiqua" w:hAnsi="Book Antiqua" w:cs="Book Antiqua"/>
          <w:i/>
          <w:iCs/>
          <w:color w:val="000000"/>
        </w:rPr>
        <w:t>RMD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e000412corr1 [PMID: 29299345 DOI: 10.1136/rmdopen-2016-000412corr1]</w:t>
      </w:r>
    </w:p>
    <w:p w14:paraId="176BCFC3"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Smolen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Breedveld</w:t>
      </w:r>
      <w:proofErr w:type="spellEnd"/>
      <w:r>
        <w:rPr>
          <w:rFonts w:ascii="Book Antiqua" w:eastAsia="Book Antiqua" w:hAnsi="Book Antiqua" w:cs="Book Antiqua"/>
          <w:color w:val="000000"/>
        </w:rPr>
        <w:t xml:space="preserve"> FC, Schiff MH, </w:t>
      </w:r>
      <w:proofErr w:type="spellStart"/>
      <w:r>
        <w:rPr>
          <w:rFonts w:ascii="Book Antiqua" w:eastAsia="Book Antiqua" w:hAnsi="Book Antiqua" w:cs="Book Antiqua"/>
          <w:color w:val="000000"/>
        </w:rPr>
        <w:t>Kalden</w:t>
      </w:r>
      <w:proofErr w:type="spellEnd"/>
      <w:r>
        <w:rPr>
          <w:rFonts w:ascii="Book Antiqua" w:eastAsia="Book Antiqua" w:hAnsi="Book Antiqua" w:cs="Book Antiqua"/>
          <w:color w:val="000000"/>
        </w:rPr>
        <w:t xml:space="preserve"> JR, Emery P, </w:t>
      </w:r>
      <w:proofErr w:type="spellStart"/>
      <w:r>
        <w:rPr>
          <w:rFonts w:ascii="Book Antiqua" w:eastAsia="Book Antiqua" w:hAnsi="Book Antiqua" w:cs="Book Antiqua"/>
          <w:color w:val="000000"/>
        </w:rPr>
        <w:t>Eberl</w:t>
      </w:r>
      <w:proofErr w:type="spellEnd"/>
      <w:r>
        <w:rPr>
          <w:rFonts w:ascii="Book Antiqua" w:eastAsia="Book Antiqua" w:hAnsi="Book Antiqua" w:cs="Book Antiqua"/>
          <w:color w:val="000000"/>
        </w:rPr>
        <w:t xml:space="preserve"> G, van Riel PL, </w:t>
      </w:r>
      <w:proofErr w:type="spellStart"/>
      <w:r>
        <w:rPr>
          <w:rFonts w:ascii="Book Antiqua" w:eastAsia="Book Antiqua" w:hAnsi="Book Antiqua" w:cs="Book Antiqua"/>
          <w:color w:val="000000"/>
        </w:rPr>
        <w:t>Tugwell</w:t>
      </w:r>
      <w:proofErr w:type="spellEnd"/>
      <w:r>
        <w:rPr>
          <w:rFonts w:ascii="Book Antiqua" w:eastAsia="Book Antiqua" w:hAnsi="Book Antiqua" w:cs="Book Antiqua"/>
          <w:color w:val="000000"/>
        </w:rPr>
        <w:t xml:space="preserve"> P. A simplified disease activity index for rheumatoid arthritis for use in clinical practice.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2003; </w:t>
      </w:r>
      <w:r>
        <w:rPr>
          <w:rFonts w:ascii="Book Antiqua" w:eastAsia="Book Antiqua" w:hAnsi="Book Antiqua" w:cs="Book Antiqua"/>
          <w:b/>
          <w:bCs/>
          <w:color w:val="000000"/>
        </w:rPr>
        <w:t>42</w:t>
      </w:r>
      <w:r>
        <w:rPr>
          <w:rFonts w:ascii="Book Antiqua" w:eastAsia="Book Antiqua" w:hAnsi="Book Antiqua" w:cs="Book Antiqua"/>
          <w:color w:val="000000"/>
        </w:rPr>
        <w:t>: 244-257 [PMID: 12595618 DOI: 10.1093/rheumatology/keg072]</w:t>
      </w:r>
    </w:p>
    <w:p w14:paraId="1E0E21CA"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Braaten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Forde PM, Le D, Lipson EJ, Naidoo J, </w:t>
      </w:r>
      <w:proofErr w:type="spellStart"/>
      <w:r>
        <w:rPr>
          <w:rFonts w:ascii="Book Antiqua" w:eastAsia="Book Antiqua" w:hAnsi="Book Antiqua" w:cs="Book Antiqua"/>
          <w:color w:val="000000"/>
        </w:rPr>
        <w:t>Schollenberger</w:t>
      </w:r>
      <w:proofErr w:type="spellEnd"/>
      <w:r>
        <w:rPr>
          <w:rFonts w:ascii="Book Antiqua" w:eastAsia="Book Antiqua" w:hAnsi="Book Antiqua" w:cs="Book Antiqua"/>
          <w:color w:val="000000"/>
        </w:rPr>
        <w:t xml:space="preserve"> M, Zheng L, Bingham CO, Shah AA, Cappelli LC. Immune checkpoint inhibitor-induced inflammatory arthritis persists after immunotherapy cessation.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332-338 [PMID: 31540935 DOI: 10.1136/annrheumdis-2019-216109]</w:t>
      </w:r>
    </w:p>
    <w:p w14:paraId="1F3313D5"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Cappelli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Grieb</w:t>
      </w:r>
      <w:proofErr w:type="spellEnd"/>
      <w:r>
        <w:rPr>
          <w:rFonts w:ascii="Book Antiqua" w:eastAsia="Book Antiqua" w:hAnsi="Book Antiqua" w:cs="Book Antiqua"/>
          <w:color w:val="000000"/>
        </w:rPr>
        <w:t xml:space="preserve"> SM, Shah AA, Bingham CO 3rd, </w:t>
      </w:r>
      <w:proofErr w:type="spellStart"/>
      <w:r>
        <w:rPr>
          <w:rFonts w:ascii="Book Antiqua" w:eastAsia="Book Antiqua" w:hAnsi="Book Antiqua" w:cs="Book Antiqua"/>
          <w:color w:val="000000"/>
        </w:rPr>
        <w:t>Orbai</w:t>
      </w:r>
      <w:proofErr w:type="spellEnd"/>
      <w:r>
        <w:rPr>
          <w:rFonts w:ascii="Book Antiqua" w:eastAsia="Book Antiqua" w:hAnsi="Book Antiqua" w:cs="Book Antiqua"/>
          <w:color w:val="000000"/>
        </w:rPr>
        <w:t xml:space="preserve"> AM. Immune checkpoint inhibitor-induced inflammatory arthritis: a qualitative study identifying unmet patient needs and care gaps.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32 [PMID: 32766511 DOI: 10.1186/s41927-020-00133-8]</w:t>
      </w:r>
    </w:p>
    <w:p w14:paraId="058C96DE" w14:textId="77777777" w:rsidR="00146E29" w:rsidRDefault="00146E29" w:rsidP="00123BD2">
      <w:pPr>
        <w:spacing w:line="360" w:lineRule="auto"/>
        <w:jc w:val="both"/>
        <w:rPr>
          <w:rFonts w:ascii="Book Antiqua" w:hAnsi="Book Antiqua"/>
        </w:rPr>
        <w:sectPr w:rsidR="00146E29">
          <w:pgSz w:w="12240" w:h="15840"/>
          <w:pgMar w:top="1440" w:right="1440" w:bottom="1440" w:left="1440" w:header="720" w:footer="720" w:gutter="0"/>
          <w:cols w:space="720"/>
          <w:docGrid w:linePitch="360"/>
        </w:sectPr>
      </w:pPr>
    </w:p>
    <w:p w14:paraId="7D8476DF"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DD13A01" w14:textId="7D7F5C6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3EAB0EE8" w14:textId="77777777" w:rsidR="00146E29" w:rsidRDefault="00146E29" w:rsidP="00123BD2">
      <w:pPr>
        <w:spacing w:line="360" w:lineRule="auto"/>
        <w:jc w:val="both"/>
        <w:rPr>
          <w:rFonts w:ascii="Book Antiqua" w:hAnsi="Book Antiqua"/>
        </w:rPr>
      </w:pPr>
    </w:p>
    <w:p w14:paraId="4367AC41"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6B3698">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7B480882" w14:textId="77777777" w:rsidR="00146E29" w:rsidRDefault="00146E29" w:rsidP="00123BD2">
      <w:pPr>
        <w:spacing w:line="360" w:lineRule="auto"/>
        <w:jc w:val="both"/>
        <w:rPr>
          <w:rFonts w:ascii="Book Antiqua" w:hAnsi="Book Antiqua"/>
        </w:rPr>
      </w:pPr>
    </w:p>
    <w:p w14:paraId="157B6DB2"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2C12EA" w14:textId="77777777" w:rsidR="00146E29" w:rsidRDefault="00146E29" w:rsidP="00123BD2">
      <w:pPr>
        <w:spacing w:line="360" w:lineRule="auto"/>
        <w:jc w:val="both"/>
        <w:rPr>
          <w:rFonts w:ascii="Book Antiqua" w:hAnsi="Book Antiqua"/>
        </w:rPr>
      </w:pPr>
    </w:p>
    <w:p w14:paraId="24DE7F44" w14:textId="77777777" w:rsidR="00146E29" w:rsidRDefault="003308C2" w:rsidP="00123BD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C50888" w14:textId="77777777" w:rsidR="00146E29" w:rsidRDefault="00146E29" w:rsidP="00123BD2">
      <w:pPr>
        <w:spacing w:line="360" w:lineRule="auto"/>
        <w:jc w:val="both"/>
        <w:rPr>
          <w:rFonts w:ascii="Book Antiqua" w:hAnsi="Book Antiqua"/>
        </w:rPr>
      </w:pPr>
    </w:p>
    <w:p w14:paraId="4FE4FF0E"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F199806"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3E9F326" w14:textId="77777777" w:rsidR="00146E29" w:rsidRDefault="00146E29" w:rsidP="00123BD2">
      <w:pPr>
        <w:spacing w:line="360" w:lineRule="auto"/>
        <w:jc w:val="both"/>
        <w:rPr>
          <w:rFonts w:ascii="Book Antiqua" w:hAnsi="Book Antiqua"/>
        </w:rPr>
      </w:pPr>
    </w:p>
    <w:p w14:paraId="3121D1E5"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10, 2022</w:t>
      </w:r>
    </w:p>
    <w:p w14:paraId="797E16E7"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2022</w:t>
      </w:r>
    </w:p>
    <w:p w14:paraId="75419E84" w14:textId="48DB8814" w:rsidR="00146E29" w:rsidRPr="00D81709" w:rsidRDefault="003308C2" w:rsidP="00123BD2">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p>
    <w:p w14:paraId="716B1EDE" w14:textId="77777777" w:rsidR="00146E29" w:rsidRDefault="00146E29" w:rsidP="00123BD2">
      <w:pPr>
        <w:spacing w:line="360" w:lineRule="auto"/>
        <w:jc w:val="both"/>
        <w:rPr>
          <w:rFonts w:ascii="Book Antiqua" w:hAnsi="Book Antiqua"/>
        </w:rPr>
      </w:pPr>
    </w:p>
    <w:p w14:paraId="358C20A9" w14:textId="77777777" w:rsidR="00146E29" w:rsidRDefault="003308C2" w:rsidP="00123BD2">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5BCDD087"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C5C2C8" w14:textId="77777777" w:rsidR="00146E29" w:rsidRDefault="003308C2" w:rsidP="00123BD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ACE302D"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Grade A (Excellent): A</w:t>
      </w:r>
    </w:p>
    <w:p w14:paraId="731AE6B1"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6A111BEB"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Grade C (Good): 0</w:t>
      </w:r>
    </w:p>
    <w:p w14:paraId="2D68FDBC"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Grade D (Fair): 0</w:t>
      </w:r>
    </w:p>
    <w:p w14:paraId="2FDAD656" w14:textId="77777777" w:rsidR="00146E29" w:rsidRDefault="003308C2" w:rsidP="00123BD2">
      <w:pPr>
        <w:spacing w:line="360" w:lineRule="auto"/>
        <w:jc w:val="both"/>
        <w:rPr>
          <w:rFonts w:ascii="Book Antiqua" w:hAnsi="Book Antiqua"/>
        </w:rPr>
      </w:pPr>
      <w:r>
        <w:rPr>
          <w:rFonts w:ascii="Book Antiqua" w:eastAsia="Book Antiqua" w:hAnsi="Book Antiqua" w:cs="Book Antiqua"/>
          <w:color w:val="000000"/>
        </w:rPr>
        <w:t>Grade E (Poor): 0</w:t>
      </w:r>
    </w:p>
    <w:p w14:paraId="795D6E31" w14:textId="77777777" w:rsidR="00146E29" w:rsidRDefault="00146E29" w:rsidP="00123BD2">
      <w:pPr>
        <w:spacing w:line="360" w:lineRule="auto"/>
        <w:jc w:val="both"/>
        <w:rPr>
          <w:rFonts w:ascii="Book Antiqua" w:hAnsi="Book Antiqua"/>
        </w:rPr>
      </w:pPr>
    </w:p>
    <w:p w14:paraId="749AA820" w14:textId="77777777" w:rsidR="00D81709" w:rsidRDefault="003308C2" w:rsidP="00123BD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Dauyey</w:t>
      </w:r>
      <w:proofErr w:type="spellEnd"/>
      <w:r>
        <w:rPr>
          <w:rFonts w:ascii="Book Antiqua" w:eastAsia="Book Antiqua" w:hAnsi="Book Antiqua" w:cs="Book Antiqua"/>
          <w:color w:val="000000"/>
        </w:rPr>
        <w:t xml:space="preserve"> K, Kazakhstan; </w:t>
      </w:r>
      <w:proofErr w:type="spellStart"/>
      <w:r>
        <w:rPr>
          <w:rFonts w:ascii="Book Antiqua" w:eastAsia="Book Antiqua" w:hAnsi="Book Antiqua" w:cs="Book Antiqua"/>
          <w:color w:val="000000"/>
        </w:rPr>
        <w:t>Tovoli</w:t>
      </w:r>
      <w:proofErr w:type="spellEnd"/>
      <w:r>
        <w:rPr>
          <w:rFonts w:ascii="Book Antiqua" w:eastAsia="Book Antiqua" w:hAnsi="Book Antiqua" w:cs="Book Antiqua"/>
          <w:color w:val="000000"/>
        </w:rPr>
        <w:t xml:space="preserve"> F, Italy</w:t>
      </w:r>
      <w:r>
        <w:rPr>
          <w:rFonts w:ascii="Book Antiqua" w:eastAsia="Book Antiqua" w:hAnsi="Book Antiqua" w:cs="Book Antiqua"/>
          <w:b/>
          <w:color w:val="000000"/>
        </w:rPr>
        <w:t xml:space="preserve"> S-Editor: </w:t>
      </w:r>
      <w:r>
        <w:rPr>
          <w:rFonts w:ascii="Book Antiqua" w:hAnsi="Book Antiqua" w:cs="Book Antiqua"/>
          <w:color w:val="000000"/>
          <w:lang w:eastAsia="zh-CN"/>
        </w:rPr>
        <w:t>Chen YL</w:t>
      </w:r>
      <w:r>
        <w:rPr>
          <w:rFonts w:ascii="Book Antiqua" w:eastAsia="Book Antiqua" w:hAnsi="Book Antiqua" w:cs="Book Antiqua"/>
          <w:b/>
          <w:color w:val="000000"/>
        </w:rPr>
        <w:t xml:space="preserve"> L-Editor: </w:t>
      </w:r>
      <w:r w:rsidR="006B3698" w:rsidRPr="00086631">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D81709">
        <w:rPr>
          <w:rFonts w:ascii="Book Antiqua" w:hAnsi="Book Antiqua" w:cs="Book Antiqua" w:hint="eastAsia"/>
          <w:b/>
          <w:color w:val="000000"/>
          <w:lang w:eastAsia="zh-CN"/>
        </w:rPr>
        <w:t xml:space="preserve"> </w:t>
      </w:r>
      <w:r w:rsidR="00D81709">
        <w:rPr>
          <w:rFonts w:ascii="Book Antiqua" w:hAnsi="Book Antiqua" w:cs="Book Antiqua"/>
          <w:color w:val="000000"/>
          <w:lang w:eastAsia="zh-CN"/>
        </w:rPr>
        <w:t>Chen YL</w:t>
      </w:r>
    </w:p>
    <w:p w14:paraId="10593C8C" w14:textId="24C8C564" w:rsidR="00146E29" w:rsidRPr="00D81709" w:rsidRDefault="00146E29" w:rsidP="00123BD2">
      <w:pPr>
        <w:spacing w:line="360" w:lineRule="auto"/>
        <w:jc w:val="both"/>
        <w:rPr>
          <w:rFonts w:ascii="Book Antiqua" w:hAnsi="Book Antiqua" w:cs="Book Antiqua"/>
          <w:b/>
          <w:color w:val="000000"/>
          <w:lang w:eastAsia="zh-CN"/>
        </w:rPr>
        <w:sectPr w:rsidR="00146E29" w:rsidRPr="00D81709">
          <w:pgSz w:w="12240" w:h="15840"/>
          <w:pgMar w:top="1440" w:right="1440" w:bottom="1440" w:left="1440" w:header="720" w:footer="720" w:gutter="0"/>
          <w:cols w:space="720"/>
          <w:docGrid w:linePitch="360"/>
        </w:sectPr>
      </w:pPr>
    </w:p>
    <w:p w14:paraId="4A748C2B" w14:textId="77777777" w:rsidR="00146E29" w:rsidRDefault="003308C2" w:rsidP="00123BD2">
      <w:pPr>
        <w:spacing w:line="360" w:lineRule="auto"/>
        <w:jc w:val="both"/>
        <w:rPr>
          <w:rFonts w:ascii="Book Antiqua" w:hAnsi="Book Antiqua"/>
          <w:b/>
          <w:lang w:eastAsia="zh-CN"/>
        </w:rPr>
      </w:pPr>
      <w:r>
        <w:rPr>
          <w:rFonts w:ascii="Book Antiqua" w:hAnsi="Book Antiqua"/>
          <w:b/>
          <w:lang w:eastAsia="zh-CN"/>
        </w:rPr>
        <w:lastRenderedPageBreak/>
        <w:t>Figure Legends</w:t>
      </w:r>
    </w:p>
    <w:p w14:paraId="74322822" w14:textId="4D43C85B" w:rsidR="00146E29" w:rsidRDefault="0052298C" w:rsidP="00123BD2">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0FD920A" wp14:editId="07F48716">
            <wp:extent cx="5504899" cy="4070542"/>
            <wp:effectExtent l="0" t="0" r="6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8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899" cy="4070542"/>
                    </a:xfrm>
                    <a:prstGeom prst="rect">
                      <a:avLst/>
                    </a:prstGeom>
                  </pic:spPr>
                </pic:pic>
              </a:graphicData>
            </a:graphic>
          </wp:inline>
        </w:drawing>
      </w:r>
    </w:p>
    <w:p w14:paraId="433A8A60" w14:textId="6284CCF6" w:rsidR="00146E29" w:rsidRPr="00D61F1E" w:rsidRDefault="003308C2" w:rsidP="00123BD2">
      <w:pPr>
        <w:adjustRightInd w:val="0"/>
        <w:spacing w:line="360" w:lineRule="auto"/>
        <w:contextualSpacing/>
        <w:jc w:val="both"/>
        <w:rPr>
          <w:rFonts w:ascii="Book Antiqua" w:hAnsi="Book Antiqua"/>
        </w:rPr>
      </w:pPr>
      <w:r w:rsidRPr="00D61F1E">
        <w:rPr>
          <w:rFonts w:ascii="Book Antiqua" w:hAnsi="Book Antiqua"/>
          <w:b/>
          <w:lang w:eastAsia="zh-CN"/>
        </w:rPr>
        <w:t>Figure 1</w:t>
      </w:r>
      <w:r w:rsidR="00D61F1E" w:rsidRPr="00D61F1E">
        <w:rPr>
          <w:rFonts w:ascii="Book Antiqua" w:hAnsi="Book Antiqua" w:hint="eastAsia"/>
          <w:b/>
          <w:lang w:eastAsia="zh-CN"/>
        </w:rPr>
        <w:t xml:space="preserve"> </w:t>
      </w:r>
      <w:r w:rsidRPr="00D61F1E">
        <w:rPr>
          <w:rFonts w:ascii="Book Antiqua" w:hAnsi="Book Antiqua"/>
          <w:b/>
        </w:rPr>
        <w:t xml:space="preserve">Chest </w:t>
      </w:r>
      <w:r w:rsidR="00D61F1E" w:rsidRPr="00D61F1E">
        <w:rPr>
          <w:rFonts w:ascii="Book Antiqua" w:hAnsi="Book Antiqua" w:cs="Book Antiqua"/>
          <w:b/>
        </w:rPr>
        <w:t xml:space="preserve">computed tomography </w:t>
      </w:r>
      <w:r w:rsidRPr="00D61F1E">
        <w:rPr>
          <w:rFonts w:ascii="Book Antiqua" w:hAnsi="Book Antiqua"/>
          <w:b/>
        </w:rPr>
        <w:t xml:space="preserve">images. </w:t>
      </w:r>
      <w:r w:rsidR="00D61F1E" w:rsidRPr="00D61F1E">
        <w:rPr>
          <w:rFonts w:ascii="Book Antiqua" w:hAnsi="Book Antiqua" w:hint="eastAsia"/>
          <w:lang w:eastAsia="zh-CN"/>
        </w:rPr>
        <w:t>A</w:t>
      </w:r>
      <w:r w:rsidRPr="00D61F1E">
        <w:rPr>
          <w:rFonts w:ascii="Book Antiqua" w:hAnsi="Book Antiqua"/>
          <w:bCs/>
        </w:rPr>
        <w:t>:</w:t>
      </w:r>
      <w:r w:rsidRPr="00D61F1E">
        <w:rPr>
          <w:rFonts w:ascii="Book Antiqua" w:hAnsi="Book Antiqua"/>
        </w:rPr>
        <w:t xml:space="preserve"> Chest </w:t>
      </w:r>
      <w:r w:rsidR="00D61F1E" w:rsidRPr="00D61F1E">
        <w:rPr>
          <w:rFonts w:ascii="Book Antiqua" w:hAnsi="Book Antiqua" w:cs="Book Antiqua"/>
        </w:rPr>
        <w:t xml:space="preserve">computed tomography </w:t>
      </w:r>
      <w:r w:rsidR="00D61F1E" w:rsidRPr="00D61F1E">
        <w:rPr>
          <w:rFonts w:ascii="Book Antiqua" w:hAnsi="Book Antiqua" w:cs="Book Antiqua" w:hint="eastAsia"/>
          <w:lang w:eastAsia="zh-CN"/>
        </w:rPr>
        <w:t>(CT)</w:t>
      </w:r>
      <w:r w:rsidRPr="00D61F1E">
        <w:rPr>
          <w:rFonts w:ascii="Book Antiqua" w:hAnsi="Book Antiqua"/>
        </w:rPr>
        <w:t xml:space="preserve"> before therapy;</w:t>
      </w:r>
      <w:r w:rsidRPr="00D61F1E">
        <w:rPr>
          <w:rFonts w:ascii="Book Antiqua" w:hAnsi="Book Antiqua" w:hint="eastAsia"/>
        </w:rPr>
        <w:t xml:space="preserve"> </w:t>
      </w:r>
      <w:r w:rsidR="00D61F1E" w:rsidRPr="00D61F1E">
        <w:rPr>
          <w:rFonts w:ascii="Book Antiqua" w:hAnsi="Book Antiqua" w:hint="eastAsia"/>
          <w:lang w:eastAsia="zh-CN"/>
        </w:rPr>
        <w:t>B</w:t>
      </w:r>
      <w:r w:rsidRPr="00D61F1E">
        <w:rPr>
          <w:rFonts w:ascii="Book Antiqua" w:hAnsi="Book Antiqua"/>
          <w:bCs/>
        </w:rPr>
        <w:t>:</w:t>
      </w:r>
      <w:r w:rsidRPr="00D61F1E">
        <w:rPr>
          <w:rFonts w:ascii="Book Antiqua" w:hAnsi="Book Antiqua"/>
        </w:rPr>
        <w:t xml:space="preserve"> Chest CT after </w:t>
      </w:r>
      <w:r w:rsidR="006B3698">
        <w:rPr>
          <w:rFonts w:ascii="Book Antiqua" w:hAnsi="Book Antiqua"/>
        </w:rPr>
        <w:t>three</w:t>
      </w:r>
      <w:r w:rsidR="006B3698" w:rsidRPr="00D61F1E">
        <w:rPr>
          <w:rFonts w:ascii="Book Antiqua" w:hAnsi="Book Antiqua"/>
        </w:rPr>
        <w:t xml:space="preserve"> </w:t>
      </w:r>
      <w:r w:rsidRPr="00D61F1E">
        <w:rPr>
          <w:rFonts w:ascii="Book Antiqua" w:hAnsi="Book Antiqua"/>
        </w:rPr>
        <w:t>cycles of pembrolizumab;</w:t>
      </w:r>
      <w:r w:rsidR="00D61F1E" w:rsidRPr="00D61F1E">
        <w:rPr>
          <w:rFonts w:ascii="Book Antiqua" w:hAnsi="Book Antiqua" w:hint="eastAsia"/>
          <w:lang w:eastAsia="zh-CN"/>
        </w:rPr>
        <w:t xml:space="preserve"> </w:t>
      </w:r>
      <w:r w:rsidR="00D61F1E" w:rsidRPr="00D61F1E">
        <w:rPr>
          <w:rFonts w:ascii="Book Antiqua" w:hAnsi="Book Antiqua" w:hint="eastAsia"/>
          <w:bCs/>
          <w:lang w:eastAsia="zh-CN"/>
        </w:rPr>
        <w:t>C</w:t>
      </w:r>
      <w:r w:rsidRPr="00D61F1E">
        <w:rPr>
          <w:rFonts w:ascii="Book Antiqua" w:hAnsi="Book Antiqua"/>
          <w:bCs/>
        </w:rPr>
        <w:t xml:space="preserve">: </w:t>
      </w:r>
      <w:r w:rsidRPr="00D61F1E">
        <w:rPr>
          <w:rFonts w:ascii="Book Antiqua" w:hAnsi="Book Antiqua"/>
        </w:rPr>
        <w:t xml:space="preserve">Chest CT after </w:t>
      </w:r>
      <w:r w:rsidR="006B3698">
        <w:rPr>
          <w:rFonts w:ascii="Book Antiqua" w:hAnsi="Book Antiqua"/>
        </w:rPr>
        <w:t>five</w:t>
      </w:r>
      <w:r w:rsidR="006B3698" w:rsidRPr="00D61F1E">
        <w:rPr>
          <w:rFonts w:ascii="Book Antiqua" w:hAnsi="Book Antiqua"/>
        </w:rPr>
        <w:t xml:space="preserve"> </w:t>
      </w:r>
      <w:r w:rsidRPr="00D61F1E">
        <w:rPr>
          <w:rFonts w:ascii="Book Antiqua" w:hAnsi="Book Antiqua"/>
        </w:rPr>
        <w:t>cycles of pembrolizumab.</w:t>
      </w:r>
    </w:p>
    <w:p w14:paraId="37DB5F9D" w14:textId="77777777" w:rsidR="00146E29" w:rsidRPr="00D61F1E" w:rsidRDefault="00146E29" w:rsidP="00123BD2">
      <w:pPr>
        <w:spacing w:line="360" w:lineRule="auto"/>
        <w:jc w:val="both"/>
        <w:rPr>
          <w:rFonts w:ascii="Book Antiqua" w:hAnsi="Book Antiqua"/>
          <w:b/>
          <w:lang w:eastAsia="zh-CN"/>
        </w:rPr>
      </w:pPr>
    </w:p>
    <w:p w14:paraId="75EFE299" w14:textId="3FCEED15" w:rsidR="00D61F1E" w:rsidRPr="00D61F1E" w:rsidRDefault="0052298C" w:rsidP="00123BD2">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06A1241" wp14:editId="55E6062B">
            <wp:extent cx="2717178" cy="1980405"/>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86-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178" cy="1980405"/>
                    </a:xfrm>
                    <a:prstGeom prst="rect">
                      <a:avLst/>
                    </a:prstGeom>
                  </pic:spPr>
                </pic:pic>
              </a:graphicData>
            </a:graphic>
          </wp:inline>
        </w:drawing>
      </w:r>
    </w:p>
    <w:p w14:paraId="0ED4FC40" w14:textId="77777777" w:rsidR="00146E29" w:rsidRPr="00D61F1E" w:rsidRDefault="003308C2" w:rsidP="00123BD2">
      <w:pPr>
        <w:spacing w:line="360" w:lineRule="auto"/>
        <w:jc w:val="both"/>
        <w:rPr>
          <w:rFonts w:ascii="Book Antiqua" w:hAnsi="Book Antiqua"/>
          <w:b/>
          <w:lang w:eastAsia="zh-CN"/>
        </w:rPr>
      </w:pPr>
      <w:r w:rsidRPr="00D61F1E">
        <w:rPr>
          <w:rFonts w:ascii="Book Antiqua" w:hAnsi="Book Antiqua"/>
          <w:b/>
          <w:lang w:eastAsia="zh-CN"/>
        </w:rPr>
        <w:t>Figure 2</w:t>
      </w:r>
      <w:r w:rsidRPr="00D61F1E">
        <w:rPr>
          <w:rFonts w:ascii="Book Antiqua" w:hAnsi="Book Antiqua" w:hint="eastAsia"/>
          <w:b/>
          <w:lang w:eastAsia="zh-CN"/>
        </w:rPr>
        <w:t xml:space="preserve"> </w:t>
      </w:r>
      <w:r w:rsidRPr="00D61F1E">
        <w:rPr>
          <w:rFonts w:ascii="Book Antiqua" w:hAnsi="Book Antiqua"/>
          <w:b/>
        </w:rPr>
        <w:t>X-ray of the patient’s h</w:t>
      </w:r>
      <w:r w:rsidRPr="00D61F1E">
        <w:rPr>
          <w:rFonts w:ascii="Book Antiqua" w:hAnsi="Book Antiqua" w:hint="eastAsia"/>
          <w:b/>
          <w:lang w:eastAsia="zh-CN"/>
        </w:rPr>
        <w:t>ands</w:t>
      </w:r>
      <w:r w:rsidR="00D61F1E" w:rsidRPr="00D61F1E">
        <w:rPr>
          <w:rFonts w:ascii="Book Antiqua" w:hAnsi="Book Antiqua" w:hint="eastAsia"/>
          <w:b/>
          <w:lang w:eastAsia="zh-CN"/>
        </w:rPr>
        <w:t>.</w:t>
      </w:r>
    </w:p>
    <w:p w14:paraId="1BDDCFAF" w14:textId="77777777" w:rsidR="00146E29" w:rsidRDefault="00146E29" w:rsidP="00123BD2">
      <w:pPr>
        <w:spacing w:line="360" w:lineRule="auto"/>
        <w:jc w:val="both"/>
        <w:rPr>
          <w:rFonts w:ascii="Book Antiqua" w:hAnsi="Book Antiqua"/>
          <w:b/>
          <w:lang w:eastAsia="zh-CN"/>
        </w:rPr>
      </w:pPr>
    </w:p>
    <w:p w14:paraId="7487809C" w14:textId="295934A0" w:rsidR="0052298C" w:rsidRDefault="0052298C" w:rsidP="00123BD2">
      <w:pPr>
        <w:spacing w:line="360" w:lineRule="auto"/>
        <w:jc w:val="both"/>
        <w:rPr>
          <w:rFonts w:ascii="Book Antiqua" w:hAnsi="Book Antiqua"/>
          <w:b/>
          <w:lang w:eastAsia="zh-CN"/>
        </w:rPr>
      </w:pPr>
    </w:p>
    <w:p w14:paraId="2C9794AD" w14:textId="0EC90C0E" w:rsidR="00C35758" w:rsidRPr="00D61F1E" w:rsidRDefault="00C35758" w:rsidP="00123BD2">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1E033BA" wp14:editId="5F3257A5">
            <wp:extent cx="5700849" cy="3707381"/>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86-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0849" cy="3707381"/>
                    </a:xfrm>
                    <a:prstGeom prst="rect">
                      <a:avLst/>
                    </a:prstGeom>
                  </pic:spPr>
                </pic:pic>
              </a:graphicData>
            </a:graphic>
          </wp:inline>
        </w:drawing>
      </w:r>
    </w:p>
    <w:p w14:paraId="57749530" w14:textId="29DED990" w:rsidR="00146E29" w:rsidRPr="00A2703A" w:rsidRDefault="003308C2" w:rsidP="00123BD2">
      <w:pPr>
        <w:spacing w:line="360" w:lineRule="auto"/>
        <w:jc w:val="both"/>
        <w:rPr>
          <w:rFonts w:ascii="Book Antiqua" w:hAnsi="Book Antiqua"/>
          <w:b/>
          <w:lang w:eastAsia="zh-CN"/>
        </w:rPr>
      </w:pPr>
      <w:r w:rsidRPr="00D61F1E">
        <w:rPr>
          <w:rFonts w:ascii="Book Antiqua" w:hAnsi="Book Antiqua"/>
          <w:b/>
          <w:lang w:eastAsia="zh-CN"/>
        </w:rPr>
        <w:t xml:space="preserve">Figure </w:t>
      </w:r>
      <w:r w:rsidRPr="00D61F1E">
        <w:rPr>
          <w:rFonts w:ascii="Book Antiqua" w:hAnsi="Book Antiqua" w:hint="eastAsia"/>
          <w:b/>
          <w:lang w:eastAsia="zh-CN"/>
        </w:rPr>
        <w:t xml:space="preserve">3 </w:t>
      </w:r>
      <w:r w:rsidR="006B3698">
        <w:rPr>
          <w:rFonts w:ascii="Book Antiqua" w:hAnsi="Book Antiqua"/>
          <w:b/>
        </w:rPr>
        <w:t>F</w:t>
      </w:r>
      <w:r w:rsidRPr="00D61F1E">
        <w:rPr>
          <w:rFonts w:ascii="Book Antiqua" w:hAnsi="Book Antiqua"/>
          <w:b/>
        </w:rPr>
        <w:t>low diagram of the treatment process</w:t>
      </w:r>
      <w:r w:rsidR="00D61F1E" w:rsidRPr="00D61F1E">
        <w:rPr>
          <w:rFonts w:ascii="Book Antiqua" w:hAnsi="Book Antiqua"/>
          <w:b/>
        </w:rPr>
        <w:t>.</w:t>
      </w:r>
      <w:r w:rsidR="0052298C">
        <w:rPr>
          <w:rFonts w:ascii="Book Antiqua" w:hAnsi="Book Antiqua" w:hint="eastAsia"/>
          <w:b/>
          <w:lang w:eastAsia="zh-CN"/>
        </w:rPr>
        <w:t xml:space="preserve"> </w:t>
      </w:r>
      <w:r w:rsidR="0052298C">
        <w:rPr>
          <w:rFonts w:ascii="Book Antiqua" w:eastAsia="Book Antiqua" w:hAnsi="Book Antiqua" w:cs="Book Antiqua"/>
          <w:color w:val="000000"/>
        </w:rPr>
        <w:t>PD-L1</w:t>
      </w:r>
      <w:r w:rsidR="0052298C">
        <w:rPr>
          <w:rFonts w:ascii="Book Antiqua" w:hAnsi="Book Antiqua" w:cs="Book Antiqua" w:hint="eastAsia"/>
          <w:color w:val="000000"/>
          <w:lang w:eastAsia="zh-CN"/>
        </w:rPr>
        <w:t>: P</w:t>
      </w:r>
      <w:r w:rsidR="0052298C">
        <w:rPr>
          <w:rFonts w:ascii="Book Antiqua" w:eastAsia="Book Antiqua" w:hAnsi="Book Antiqua" w:cs="Book Antiqua"/>
          <w:color w:val="000000"/>
        </w:rPr>
        <w:t>rogrammed cell death 1 ligand 1</w:t>
      </w:r>
      <w:r w:rsidR="0052298C">
        <w:rPr>
          <w:rFonts w:ascii="Book Antiqua" w:hAnsi="Book Antiqua" w:cs="Book Antiqua" w:hint="eastAsia"/>
          <w:color w:val="000000"/>
          <w:lang w:eastAsia="zh-CN"/>
        </w:rPr>
        <w:t xml:space="preserve">; </w:t>
      </w:r>
      <w:r w:rsidR="0052298C">
        <w:rPr>
          <w:rFonts w:ascii="Book Antiqua" w:eastAsia="Book Antiqua" w:hAnsi="Book Antiqua" w:cs="Book Antiqua"/>
          <w:color w:val="000000"/>
        </w:rPr>
        <w:t>NSAID</w:t>
      </w:r>
      <w:r w:rsidR="0052298C">
        <w:rPr>
          <w:rFonts w:ascii="Book Antiqua" w:hAnsi="Book Antiqua" w:cs="Book Antiqua" w:hint="eastAsia"/>
          <w:color w:val="000000"/>
          <w:lang w:eastAsia="zh-CN"/>
        </w:rPr>
        <w:t>:</w:t>
      </w:r>
      <w:r w:rsidR="0052298C">
        <w:rPr>
          <w:rFonts w:ascii="Book Antiqua" w:eastAsia="Book Antiqua" w:hAnsi="Book Antiqua" w:cs="Book Antiqua"/>
          <w:color w:val="000000"/>
        </w:rPr>
        <w:t xml:space="preserve"> Non-steroidal anti-inflammatory drugs</w:t>
      </w:r>
      <w:r w:rsidR="00A2703A">
        <w:rPr>
          <w:rFonts w:ascii="Book Antiqua" w:hAnsi="Book Antiqua" w:cs="Book Antiqua" w:hint="eastAsia"/>
          <w:color w:val="000000"/>
          <w:lang w:eastAsia="zh-CN"/>
        </w:rPr>
        <w:t xml:space="preserve">; </w:t>
      </w:r>
      <w:r w:rsidR="00A2703A">
        <w:rPr>
          <w:rFonts w:ascii="Book Antiqua" w:eastAsia="Book Antiqua" w:hAnsi="Book Antiqua" w:cs="Book Antiqua"/>
          <w:color w:val="000000"/>
        </w:rPr>
        <w:t>CTCAE</w:t>
      </w:r>
      <w:r w:rsidR="00A2703A">
        <w:rPr>
          <w:rFonts w:ascii="Book Antiqua" w:hAnsi="Book Antiqua" w:cs="Book Antiqua" w:hint="eastAsia"/>
          <w:color w:val="000000"/>
          <w:lang w:eastAsia="zh-CN"/>
        </w:rPr>
        <w:t>:</w:t>
      </w:r>
      <w:r w:rsidR="00A2703A">
        <w:rPr>
          <w:rFonts w:ascii="Book Antiqua" w:eastAsia="Book Antiqua" w:hAnsi="Book Antiqua" w:cs="Book Antiqua"/>
          <w:color w:val="000000"/>
        </w:rPr>
        <w:t xml:space="preserve"> Common Terminology Criteria for Adverse Events</w:t>
      </w:r>
      <w:r w:rsidR="00A2703A">
        <w:rPr>
          <w:rFonts w:ascii="Book Antiqua" w:hAnsi="Book Antiqua" w:cs="Book Antiqua" w:hint="eastAsia"/>
          <w:color w:val="000000"/>
          <w:lang w:eastAsia="zh-CN"/>
        </w:rPr>
        <w:t xml:space="preserve">; </w:t>
      </w:r>
      <w:r w:rsidR="00A2703A">
        <w:rPr>
          <w:rFonts w:ascii="Book Antiqua" w:eastAsia="Book Antiqua" w:hAnsi="Book Antiqua" w:cs="Book Antiqua"/>
          <w:color w:val="000000"/>
        </w:rPr>
        <w:t>CR</w:t>
      </w:r>
      <w:r w:rsidR="00A2703A">
        <w:rPr>
          <w:rFonts w:ascii="Book Antiqua" w:hAnsi="Book Antiqua" w:cs="Book Antiqua" w:hint="eastAsia"/>
          <w:color w:val="000000"/>
          <w:lang w:eastAsia="zh-CN"/>
        </w:rPr>
        <w:t>:</w:t>
      </w:r>
      <w:r w:rsidR="00A2703A">
        <w:rPr>
          <w:rFonts w:ascii="Book Antiqua" w:eastAsia="Book Antiqua" w:hAnsi="Book Antiqua" w:cs="Book Antiqua"/>
          <w:color w:val="000000"/>
        </w:rPr>
        <w:t xml:space="preserve"> </w:t>
      </w:r>
      <w:r w:rsidR="00A2703A">
        <w:rPr>
          <w:rFonts w:ascii="Book Antiqua" w:hAnsi="Book Antiqua" w:cs="Book Antiqua" w:hint="eastAsia"/>
          <w:color w:val="000000"/>
          <w:lang w:eastAsia="zh-CN"/>
        </w:rPr>
        <w:t>C</w:t>
      </w:r>
      <w:r w:rsidR="00A2703A">
        <w:rPr>
          <w:rFonts w:ascii="Book Antiqua" w:eastAsia="Book Antiqua" w:hAnsi="Book Antiqua" w:cs="Book Antiqua"/>
          <w:color w:val="000000"/>
        </w:rPr>
        <w:t>omplete remission</w:t>
      </w:r>
      <w:r w:rsidR="00A2703A">
        <w:rPr>
          <w:rFonts w:ascii="Book Antiqua" w:hAnsi="Book Antiqua" w:cs="Book Antiqua" w:hint="eastAsia"/>
          <w:color w:val="000000"/>
          <w:lang w:eastAsia="zh-CN"/>
        </w:rPr>
        <w:t>.</w:t>
      </w:r>
    </w:p>
    <w:sectPr w:rsidR="00146E29" w:rsidRPr="00A270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94A3C" w14:textId="77777777" w:rsidR="00B451F3" w:rsidRDefault="00B451F3" w:rsidP="00D61F1E">
      <w:r>
        <w:separator/>
      </w:r>
    </w:p>
  </w:endnote>
  <w:endnote w:type="continuationSeparator" w:id="0">
    <w:p w14:paraId="56B0B2FF" w14:textId="77777777" w:rsidR="00B451F3" w:rsidRDefault="00B451F3" w:rsidP="00D61F1E">
      <w:r>
        <w:continuationSeparator/>
      </w:r>
    </w:p>
  </w:endnote>
  <w:endnote w:type="continuationNotice" w:id="1">
    <w:p w14:paraId="658D50D5" w14:textId="77777777" w:rsidR="00B451F3" w:rsidRDefault="00B45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42062"/>
      <w:docPartObj>
        <w:docPartGallery w:val="Page Numbers (Bottom of Page)"/>
        <w:docPartUnique/>
      </w:docPartObj>
    </w:sdtPr>
    <w:sdtContent>
      <w:sdt>
        <w:sdtPr>
          <w:id w:val="860082579"/>
          <w:docPartObj>
            <w:docPartGallery w:val="Page Numbers (Top of Page)"/>
            <w:docPartUnique/>
          </w:docPartObj>
        </w:sdtPr>
        <w:sdtContent>
          <w:p w14:paraId="2E8C4A2D" w14:textId="77777777" w:rsidR="00D61F1E" w:rsidRDefault="00D61F1E">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5052">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5052">
              <w:rPr>
                <w:b/>
                <w:bCs/>
                <w:noProof/>
              </w:rPr>
              <w:t>16</w:t>
            </w:r>
            <w:r>
              <w:rPr>
                <w:b/>
                <w:bCs/>
                <w:sz w:val="24"/>
                <w:szCs w:val="24"/>
              </w:rPr>
              <w:fldChar w:fldCharType="end"/>
            </w:r>
          </w:p>
        </w:sdtContent>
      </w:sdt>
    </w:sdtContent>
  </w:sdt>
  <w:p w14:paraId="57065DDD" w14:textId="77777777" w:rsidR="00D61F1E" w:rsidRDefault="00D61F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895E" w14:textId="77777777" w:rsidR="00B451F3" w:rsidRDefault="00B451F3" w:rsidP="00D61F1E">
      <w:r>
        <w:separator/>
      </w:r>
    </w:p>
  </w:footnote>
  <w:footnote w:type="continuationSeparator" w:id="0">
    <w:p w14:paraId="39FC07AC" w14:textId="77777777" w:rsidR="00B451F3" w:rsidRDefault="00B451F3" w:rsidP="00D61F1E">
      <w:r>
        <w:continuationSeparator/>
      </w:r>
    </w:p>
  </w:footnote>
  <w:footnote w:type="continuationNotice" w:id="1">
    <w:p w14:paraId="06974DB0" w14:textId="77777777" w:rsidR="00B451F3" w:rsidRDefault="00B451F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E2YzI4YmQ4ZDkzYzUzZWY0MTRmN2FkZjNmYTI2OTcifQ=="/>
  </w:docVars>
  <w:rsids>
    <w:rsidRoot w:val="00A77B3E"/>
    <w:rsid w:val="00077006"/>
    <w:rsid w:val="00086631"/>
    <w:rsid w:val="000C5052"/>
    <w:rsid w:val="000F4B6C"/>
    <w:rsid w:val="00123BD2"/>
    <w:rsid w:val="00146E29"/>
    <w:rsid w:val="00205E1F"/>
    <w:rsid w:val="003308C2"/>
    <w:rsid w:val="00332FC8"/>
    <w:rsid w:val="00475FF2"/>
    <w:rsid w:val="0052298C"/>
    <w:rsid w:val="00585121"/>
    <w:rsid w:val="0067531F"/>
    <w:rsid w:val="00690829"/>
    <w:rsid w:val="006B3698"/>
    <w:rsid w:val="006D778D"/>
    <w:rsid w:val="006F04E0"/>
    <w:rsid w:val="00792129"/>
    <w:rsid w:val="009B5022"/>
    <w:rsid w:val="009B75F6"/>
    <w:rsid w:val="00A2703A"/>
    <w:rsid w:val="00A77B3E"/>
    <w:rsid w:val="00B451F3"/>
    <w:rsid w:val="00BC4229"/>
    <w:rsid w:val="00BE44B8"/>
    <w:rsid w:val="00BF730F"/>
    <w:rsid w:val="00C35758"/>
    <w:rsid w:val="00C444E4"/>
    <w:rsid w:val="00CA2A55"/>
    <w:rsid w:val="00D10C3F"/>
    <w:rsid w:val="00D30828"/>
    <w:rsid w:val="00D61F1E"/>
    <w:rsid w:val="00D81709"/>
    <w:rsid w:val="00F74436"/>
    <w:rsid w:val="00FB4C27"/>
    <w:rsid w:val="0C843DA0"/>
    <w:rsid w:val="11965BC6"/>
    <w:rsid w:val="15485429"/>
    <w:rsid w:val="17B62B1E"/>
    <w:rsid w:val="33A37FA3"/>
    <w:rsid w:val="41973C9F"/>
    <w:rsid w:val="4F7800DE"/>
    <w:rsid w:val="58C85C32"/>
    <w:rsid w:val="69124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EA3F207-89FA-4684-9F76-C0C8FF5E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annotation subject"/>
    <w:basedOn w:val="a3"/>
    <w:next w:val="a3"/>
    <w:link w:val="a8"/>
    <w:rPr>
      <w:b/>
      <w:bCs/>
    </w:rPr>
  </w:style>
  <w:style w:type="character" w:styleId="a9">
    <w:name w:val="annotation reference"/>
    <w:basedOn w:val="a0"/>
    <w:rPr>
      <w:sz w:val="21"/>
      <w:szCs w:val="21"/>
    </w:rPr>
  </w:style>
  <w:style w:type="character" w:customStyle="1" w:styleId="MsoCommentReference0">
    <w:name w:val="MsoCommentReference"/>
    <w:basedOn w:val="a0"/>
  </w:style>
  <w:style w:type="character" w:customStyle="1" w:styleId="a4">
    <w:name w:val="批注文字 字符"/>
    <w:basedOn w:val="a0"/>
    <w:link w:val="a3"/>
    <w:rPr>
      <w:sz w:val="24"/>
      <w:szCs w:val="24"/>
    </w:rPr>
  </w:style>
  <w:style w:type="character" w:customStyle="1" w:styleId="a8">
    <w:name w:val="批注主题 字符"/>
    <w:basedOn w:val="a4"/>
    <w:link w:val="a7"/>
    <w:rPr>
      <w:b/>
      <w:bCs/>
      <w:sz w:val="24"/>
      <w:szCs w:val="24"/>
    </w:rPr>
  </w:style>
  <w:style w:type="character" w:customStyle="1" w:styleId="a6">
    <w:name w:val="批注框文本 字符"/>
    <w:basedOn w:val="a0"/>
    <w:link w:val="a5"/>
    <w:rPr>
      <w:sz w:val="18"/>
      <w:szCs w:val="18"/>
    </w:rPr>
  </w:style>
  <w:style w:type="paragraph" w:styleId="aa">
    <w:name w:val="header"/>
    <w:basedOn w:val="a"/>
    <w:link w:val="ab"/>
    <w:rsid w:val="00D61F1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61F1E"/>
    <w:rPr>
      <w:sz w:val="18"/>
      <w:szCs w:val="18"/>
      <w:lang w:eastAsia="en-US"/>
    </w:rPr>
  </w:style>
  <w:style w:type="paragraph" w:styleId="ac">
    <w:name w:val="footer"/>
    <w:basedOn w:val="a"/>
    <w:link w:val="ad"/>
    <w:uiPriority w:val="99"/>
    <w:rsid w:val="00D61F1E"/>
    <w:pPr>
      <w:tabs>
        <w:tab w:val="center" w:pos="4153"/>
        <w:tab w:val="right" w:pos="8306"/>
      </w:tabs>
      <w:snapToGrid w:val="0"/>
    </w:pPr>
    <w:rPr>
      <w:sz w:val="18"/>
      <w:szCs w:val="18"/>
    </w:rPr>
  </w:style>
  <w:style w:type="character" w:customStyle="1" w:styleId="ad">
    <w:name w:val="页脚 字符"/>
    <w:basedOn w:val="a0"/>
    <w:link w:val="ac"/>
    <w:uiPriority w:val="99"/>
    <w:rsid w:val="00D61F1E"/>
    <w:rPr>
      <w:sz w:val="18"/>
      <w:szCs w:val="18"/>
      <w:lang w:eastAsia="en-US"/>
    </w:rPr>
  </w:style>
  <w:style w:type="paragraph" w:styleId="ae">
    <w:name w:val="Revision"/>
    <w:hidden/>
    <w:uiPriority w:val="99"/>
    <w:semiHidden/>
    <w:rsid w:val="006F04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3221</Words>
  <Characters>18365</Characters>
  <Application>Microsoft Office Word</Application>
  <DocSecurity>0</DocSecurity>
  <Lines>153</Lines>
  <Paragraphs>43</Paragraphs>
  <ScaleCrop>false</ScaleCrop>
  <Company/>
  <LinksUpToDate>false</LinksUpToDate>
  <CharactersWithSpaces>21543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Liansheng</cp:lastModifiedBy>
  <cp:revision>2</cp:revision>
  <dcterms:created xsi:type="dcterms:W3CDTF">2022-08-31T18:53:00Z</dcterms:created>
  <dcterms:modified xsi:type="dcterms:W3CDTF">2022-08-31T18:53:00Z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C95F79C364004B0EA94C674B8005507E</vt:lpwstr>
  </property>
</Properties>
</file>