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1EBFA" w14:textId="77777777" w:rsidR="00A77B3E" w:rsidRDefault="005C288A">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Transplantation</w:t>
      </w:r>
    </w:p>
    <w:p w14:paraId="27568687" w14:textId="77777777" w:rsidR="00A77B3E" w:rsidRDefault="005C288A">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78241</w:t>
      </w:r>
    </w:p>
    <w:p w14:paraId="3D739F11" w14:textId="77777777" w:rsidR="00A77B3E" w:rsidRDefault="005C288A">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REVIEW</w:t>
      </w:r>
    </w:p>
    <w:p w14:paraId="17AA2798" w14:textId="77777777" w:rsidR="00A77B3E" w:rsidRDefault="00A77B3E">
      <w:pPr>
        <w:spacing w:line="360" w:lineRule="auto"/>
        <w:jc w:val="both"/>
      </w:pPr>
    </w:p>
    <w:p w14:paraId="75BDB294" w14:textId="77777777" w:rsidR="00A77B3E" w:rsidRDefault="005C288A">
      <w:pPr>
        <w:spacing w:line="360" w:lineRule="auto"/>
        <w:jc w:val="both"/>
      </w:pPr>
      <w:r>
        <w:rPr>
          <w:rFonts w:ascii="Book Antiqua" w:eastAsia="Book Antiqua" w:hAnsi="Book Antiqua" w:cs="Book Antiqua"/>
          <w:b/>
          <w:color w:val="000000"/>
        </w:rPr>
        <w:t>Role of immunotherapy in downsizing hepatocellular carcinoma prior to liver transplantation</w:t>
      </w:r>
    </w:p>
    <w:p w14:paraId="0978D918" w14:textId="77777777" w:rsidR="00A77B3E" w:rsidRDefault="00A77B3E">
      <w:pPr>
        <w:spacing w:line="360" w:lineRule="auto"/>
        <w:jc w:val="both"/>
      </w:pPr>
    </w:p>
    <w:p w14:paraId="7C2D34F9" w14:textId="1AF776F4" w:rsidR="00A77B3E" w:rsidRDefault="00C83032">
      <w:pPr>
        <w:spacing w:line="360" w:lineRule="auto"/>
        <w:jc w:val="both"/>
      </w:pPr>
      <w:r>
        <w:rPr>
          <w:rFonts w:ascii="Book Antiqua" w:eastAsia="Book Antiqua" w:hAnsi="Book Antiqua" w:cs="Book Antiqua"/>
          <w:color w:val="000000"/>
        </w:rPr>
        <w:t>Oura</w:t>
      </w:r>
      <w:r w:rsidRPr="00C83032">
        <w:rPr>
          <w:rFonts w:ascii="Book Antiqua" w:eastAsia="Book Antiqua" w:hAnsi="Book Antiqua" w:cs="Book Antiqua"/>
          <w:color w:val="000000"/>
        </w:rPr>
        <w:t xml:space="preserve">nos K </w:t>
      </w:r>
      <w:r w:rsidRPr="00C83032">
        <w:rPr>
          <w:rFonts w:ascii="Book Antiqua" w:hAnsi="Book Antiqua" w:cs="Book Antiqua"/>
          <w:i/>
          <w:iCs/>
          <w:color w:val="000000"/>
          <w:lang w:eastAsia="zh-CN"/>
        </w:rPr>
        <w:t xml:space="preserve">et </w:t>
      </w:r>
      <w:r w:rsidRPr="00C83032">
        <w:rPr>
          <w:rFonts w:ascii="Book Antiqua" w:eastAsia="Book Antiqua" w:hAnsi="Book Antiqua" w:cs="Book Antiqua"/>
          <w:i/>
          <w:iCs/>
          <w:color w:val="000000"/>
        </w:rPr>
        <w:t>al</w:t>
      </w:r>
      <w:r w:rsidRPr="00C83032">
        <w:rPr>
          <w:rFonts w:ascii="Book Antiqua" w:eastAsia="Book Antiqua" w:hAnsi="Book Antiqua" w:cs="Book Antiqua"/>
          <w:color w:val="000000"/>
        </w:rPr>
        <w:t>. Im</w:t>
      </w:r>
      <w:r>
        <w:rPr>
          <w:rFonts w:ascii="Book Antiqua" w:eastAsia="Book Antiqua" w:hAnsi="Book Antiqua" w:cs="Book Antiqua"/>
          <w:color w:val="000000"/>
        </w:rPr>
        <w:t>munotherapy prior to liver transplantation</w:t>
      </w:r>
    </w:p>
    <w:p w14:paraId="6D562AB1" w14:textId="77777777" w:rsidR="00A77B3E" w:rsidRDefault="00A77B3E">
      <w:pPr>
        <w:spacing w:line="360" w:lineRule="auto"/>
        <w:jc w:val="both"/>
      </w:pPr>
    </w:p>
    <w:p w14:paraId="1DB0BA6B" w14:textId="77777777" w:rsidR="00A77B3E" w:rsidRDefault="005C288A">
      <w:pPr>
        <w:spacing w:line="360" w:lineRule="auto"/>
        <w:jc w:val="both"/>
      </w:pPr>
      <w:r>
        <w:rPr>
          <w:rFonts w:ascii="Book Antiqua" w:eastAsia="Book Antiqua" w:hAnsi="Book Antiqua" w:cs="Book Antiqua"/>
          <w:color w:val="000000"/>
        </w:rPr>
        <w:t>Konstantinos Ouranos, Anthi Chatziioannou, Ioannis Goulis, Emmanouil Sinakos</w:t>
      </w:r>
    </w:p>
    <w:p w14:paraId="1FEC66ED" w14:textId="77777777" w:rsidR="00A77B3E" w:rsidRDefault="00A77B3E">
      <w:pPr>
        <w:spacing w:line="360" w:lineRule="auto"/>
        <w:jc w:val="both"/>
      </w:pPr>
    </w:p>
    <w:p w14:paraId="4B355396" w14:textId="77777777" w:rsidR="00A77B3E" w:rsidRDefault="005C288A">
      <w:pPr>
        <w:spacing w:line="360" w:lineRule="auto"/>
        <w:jc w:val="both"/>
      </w:pPr>
      <w:r>
        <w:rPr>
          <w:rFonts w:ascii="Book Antiqua" w:eastAsia="Book Antiqua" w:hAnsi="Book Antiqua" w:cs="Book Antiqua"/>
          <w:b/>
          <w:bCs/>
          <w:color w:val="000000"/>
        </w:rPr>
        <w:t xml:space="preserve">Konstantinos Ouranos, Anthi Chatziioannou, Ioannis Goulis, Emmanouil Sinakos, </w:t>
      </w:r>
      <w:r>
        <w:rPr>
          <w:rFonts w:ascii="Book Antiqua" w:eastAsia="Book Antiqua" w:hAnsi="Book Antiqua" w:cs="Book Antiqua"/>
          <w:color w:val="000000"/>
        </w:rPr>
        <w:t>4th Medical Department, Hippokratio Hospital, Aristotle University of Thessaloniki, Thessaloniki 54642, Greece</w:t>
      </w:r>
    </w:p>
    <w:p w14:paraId="57D471E4" w14:textId="77777777" w:rsidR="00A77B3E" w:rsidRDefault="00A77B3E">
      <w:pPr>
        <w:spacing w:line="360" w:lineRule="auto"/>
        <w:jc w:val="both"/>
      </w:pPr>
    </w:p>
    <w:p w14:paraId="0C220DD9" w14:textId="410A18C4" w:rsidR="00A77B3E" w:rsidRDefault="005C288A">
      <w:pPr>
        <w:spacing w:line="360" w:lineRule="auto"/>
        <w:jc w:val="both"/>
      </w:pPr>
      <w:r>
        <w:rPr>
          <w:rFonts w:ascii="Book Antiqua" w:eastAsia="Book Antiqua" w:hAnsi="Book Antiqua" w:cs="Book Antiqua"/>
          <w:b/>
          <w:bCs/>
          <w:color w:val="000000"/>
          <w:szCs w:val="22"/>
        </w:rPr>
        <w:t>Author contributions:</w:t>
      </w:r>
      <w:r w:rsidR="00C83032">
        <w:rPr>
          <w:rFonts w:ascii="Book Antiqua" w:eastAsia="Book Antiqua" w:hAnsi="Book Antiqua" w:cs="Book Antiqua"/>
          <w:color w:val="000000"/>
        </w:rPr>
        <w:t xml:space="preserve"> </w:t>
      </w:r>
      <w:r>
        <w:rPr>
          <w:rFonts w:ascii="Book Antiqua" w:eastAsia="Book Antiqua" w:hAnsi="Book Antiqua" w:cs="Book Antiqua"/>
          <w:color w:val="000000"/>
        </w:rPr>
        <w:t xml:space="preserve">Ouranos </w:t>
      </w:r>
      <w:r w:rsidR="00C83032">
        <w:rPr>
          <w:rFonts w:ascii="Book Antiqua" w:eastAsia="Book Antiqua" w:hAnsi="Book Antiqua" w:cs="Book Antiqua"/>
          <w:color w:val="000000"/>
        </w:rPr>
        <w:t xml:space="preserve">K </w:t>
      </w:r>
      <w:r>
        <w:rPr>
          <w:rFonts w:ascii="Book Antiqua" w:eastAsia="Book Antiqua" w:hAnsi="Book Antiqua" w:cs="Book Antiqua"/>
          <w:color w:val="000000"/>
        </w:rPr>
        <w:t>drafted the article;</w:t>
      </w:r>
      <w:r w:rsidR="00C83032">
        <w:rPr>
          <w:rFonts w:ascii="Book Antiqua" w:eastAsia="Book Antiqua" w:hAnsi="Book Antiqua" w:cs="Book Antiqua"/>
          <w:color w:val="000000"/>
        </w:rPr>
        <w:t xml:space="preserve"> </w:t>
      </w:r>
      <w:r>
        <w:rPr>
          <w:rFonts w:ascii="Book Antiqua" w:eastAsia="Book Antiqua" w:hAnsi="Book Antiqua" w:cs="Book Antiqua"/>
          <w:color w:val="000000"/>
        </w:rPr>
        <w:t xml:space="preserve">Chatziioannou </w:t>
      </w:r>
      <w:r w:rsidR="00C83032">
        <w:rPr>
          <w:rFonts w:ascii="Book Antiqua" w:eastAsia="Book Antiqua" w:hAnsi="Book Antiqua" w:cs="Book Antiqua"/>
          <w:color w:val="000000"/>
        </w:rPr>
        <w:t xml:space="preserve">A </w:t>
      </w:r>
      <w:r>
        <w:rPr>
          <w:rFonts w:ascii="Book Antiqua" w:eastAsia="Book Antiqua" w:hAnsi="Book Antiqua" w:cs="Book Antiqua"/>
          <w:color w:val="000000"/>
        </w:rPr>
        <w:t>contributed to the acquisition of analyses of data;</w:t>
      </w:r>
      <w:r w:rsidR="00C83032">
        <w:rPr>
          <w:rFonts w:ascii="Book Antiqua" w:eastAsia="Book Antiqua" w:hAnsi="Book Antiqua" w:cs="Book Antiqua"/>
          <w:color w:val="000000"/>
        </w:rPr>
        <w:t xml:space="preserve"> </w:t>
      </w:r>
      <w:r>
        <w:rPr>
          <w:rFonts w:ascii="Book Antiqua" w:eastAsia="Book Antiqua" w:hAnsi="Book Antiqua" w:cs="Book Antiqua"/>
          <w:color w:val="000000"/>
        </w:rPr>
        <w:t xml:space="preserve">Goulis </w:t>
      </w:r>
      <w:r w:rsidR="00C83032">
        <w:rPr>
          <w:rFonts w:ascii="Book Antiqua" w:eastAsia="Book Antiqua" w:hAnsi="Book Antiqua" w:cs="Book Antiqua"/>
          <w:color w:val="000000"/>
        </w:rPr>
        <w:t xml:space="preserve">I </w:t>
      </w:r>
      <w:r>
        <w:rPr>
          <w:rFonts w:ascii="Book Antiqua" w:eastAsia="Book Antiqua" w:hAnsi="Book Antiqua" w:cs="Book Antiqua"/>
          <w:color w:val="000000"/>
        </w:rPr>
        <w:t>made critical revisions related to important intellectual content and approved the final version of the manuscript;</w:t>
      </w:r>
      <w:r w:rsidR="00C83032">
        <w:rPr>
          <w:rFonts w:ascii="Book Antiqua" w:eastAsia="Book Antiqua" w:hAnsi="Book Antiqua" w:cs="Book Antiqua"/>
          <w:color w:val="000000"/>
        </w:rPr>
        <w:t xml:space="preserve"> </w:t>
      </w:r>
      <w:r>
        <w:rPr>
          <w:rFonts w:ascii="Book Antiqua" w:eastAsia="Book Antiqua" w:hAnsi="Book Antiqua" w:cs="Book Antiqua"/>
          <w:color w:val="000000"/>
        </w:rPr>
        <w:t>Sinakos</w:t>
      </w:r>
      <w:r w:rsidR="00C83032">
        <w:rPr>
          <w:rFonts w:ascii="Book Antiqua" w:eastAsia="Book Antiqua" w:hAnsi="Book Antiqua" w:cs="Book Antiqua"/>
          <w:color w:val="000000"/>
        </w:rPr>
        <w:t xml:space="preserve"> E</w:t>
      </w:r>
      <w:r>
        <w:rPr>
          <w:rFonts w:ascii="Book Antiqua" w:eastAsia="Book Antiqua" w:hAnsi="Book Antiqua" w:cs="Book Antiqua"/>
          <w:color w:val="000000"/>
        </w:rPr>
        <w:t xml:space="preserve"> designed the study, made critical revisions related to important intellectual content, approved the final version of the manuscript and supervised the project.</w:t>
      </w:r>
    </w:p>
    <w:p w14:paraId="117A0564" w14:textId="77777777" w:rsidR="00A77B3E" w:rsidRDefault="00A77B3E">
      <w:pPr>
        <w:spacing w:line="360" w:lineRule="auto"/>
        <w:jc w:val="both"/>
      </w:pPr>
    </w:p>
    <w:p w14:paraId="112D92B7" w14:textId="25810B54" w:rsidR="00A77B3E" w:rsidRDefault="005C288A">
      <w:pPr>
        <w:spacing w:line="360" w:lineRule="auto"/>
        <w:jc w:val="both"/>
      </w:pPr>
      <w:r>
        <w:rPr>
          <w:rFonts w:ascii="Book Antiqua" w:eastAsia="Book Antiqua" w:hAnsi="Book Antiqua" w:cs="Book Antiqua"/>
          <w:b/>
          <w:bCs/>
          <w:color w:val="000000"/>
        </w:rPr>
        <w:t xml:space="preserve">Corresponding author: Konstantinos Ouranos, MD, </w:t>
      </w:r>
      <w:r>
        <w:rPr>
          <w:rFonts w:ascii="Book Antiqua" w:eastAsia="Book Antiqua" w:hAnsi="Book Antiqua" w:cs="Book Antiqua"/>
          <w:color w:val="000000"/>
        </w:rPr>
        <w:t>4th Medical Department, Hippokratio Hospital, Aristotle University of Thessaloniki, 49, Konstantinoupoleos Str, Thessaloniki 54642, Greece. kostassky@hotmail.com</w:t>
      </w:r>
    </w:p>
    <w:p w14:paraId="1C62319A" w14:textId="77777777" w:rsidR="00A77B3E" w:rsidRDefault="00A77B3E">
      <w:pPr>
        <w:spacing w:line="360" w:lineRule="auto"/>
        <w:jc w:val="both"/>
      </w:pPr>
    </w:p>
    <w:p w14:paraId="7E15A07B" w14:textId="77777777" w:rsidR="00A77B3E" w:rsidRDefault="005C288A">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15, 2022</w:t>
      </w:r>
    </w:p>
    <w:p w14:paraId="1EBA9016" w14:textId="08D0D029" w:rsidR="00A77B3E" w:rsidRDefault="005C288A">
      <w:pPr>
        <w:spacing w:line="360" w:lineRule="auto"/>
        <w:jc w:val="both"/>
      </w:pPr>
      <w:r>
        <w:rPr>
          <w:rFonts w:ascii="Book Antiqua" w:eastAsia="Book Antiqua" w:hAnsi="Book Antiqua" w:cs="Book Antiqua"/>
          <w:b/>
          <w:bCs/>
          <w:color w:val="000000"/>
        </w:rPr>
        <w:t xml:space="preserve">Revised: </w:t>
      </w:r>
      <w:r w:rsidR="00C83032" w:rsidRPr="00C83032">
        <w:rPr>
          <w:rFonts w:ascii="Book Antiqua" w:eastAsia="Book Antiqua" w:hAnsi="Book Antiqua" w:cs="Book Antiqua"/>
          <w:color w:val="000000"/>
        </w:rPr>
        <w:t>August 10, 2022</w:t>
      </w:r>
    </w:p>
    <w:p w14:paraId="76366A24" w14:textId="2DF261BF" w:rsidR="00A77B3E" w:rsidRDefault="005C288A">
      <w:pPr>
        <w:spacing w:line="360" w:lineRule="auto"/>
        <w:jc w:val="both"/>
      </w:pPr>
      <w:r>
        <w:rPr>
          <w:rFonts w:ascii="Book Antiqua" w:eastAsia="Book Antiqua" w:hAnsi="Book Antiqua" w:cs="Book Antiqua"/>
          <w:b/>
          <w:bCs/>
          <w:color w:val="000000"/>
        </w:rPr>
        <w:t xml:space="preserve">Accepted: </w:t>
      </w:r>
      <w:r w:rsidR="009B00A4" w:rsidRPr="006A44F3">
        <w:rPr>
          <w:rFonts w:ascii="Book Antiqua" w:eastAsia="Book Antiqua" w:hAnsi="Book Antiqua" w:cs="Book Antiqua"/>
          <w:color w:val="000000"/>
        </w:rPr>
        <w:t>October 19, 2022</w:t>
      </w:r>
    </w:p>
    <w:p w14:paraId="2092D23A" w14:textId="77777777" w:rsidR="00A77B3E" w:rsidRDefault="005C288A">
      <w:pPr>
        <w:spacing w:line="360" w:lineRule="auto"/>
        <w:jc w:val="both"/>
      </w:pPr>
      <w:r>
        <w:rPr>
          <w:rFonts w:ascii="Book Antiqua" w:eastAsia="Book Antiqua" w:hAnsi="Book Antiqua" w:cs="Book Antiqua"/>
          <w:b/>
          <w:bCs/>
          <w:color w:val="000000"/>
        </w:rPr>
        <w:t xml:space="preserve">Published online: </w:t>
      </w:r>
    </w:p>
    <w:p w14:paraId="3B97CB52"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95FD0DF" w14:textId="3E4BE6EC" w:rsidR="00A77B3E" w:rsidRDefault="00746336">
      <w:pPr>
        <w:spacing w:line="360" w:lineRule="auto"/>
        <w:jc w:val="both"/>
      </w:pPr>
      <w:r>
        <w:rPr>
          <w:rFonts w:ascii="Book Antiqua" w:eastAsia="Book Antiqua" w:hAnsi="Book Antiqua" w:cs="Book Antiqua"/>
          <w:b/>
          <w:color w:val="000000"/>
        </w:rPr>
        <w:lastRenderedPageBreak/>
        <w:t>ABSTRACT</w:t>
      </w:r>
    </w:p>
    <w:p w14:paraId="7BDCCACF" w14:textId="3AA133CF" w:rsidR="00A77B3E" w:rsidRDefault="005C288A">
      <w:pPr>
        <w:spacing w:line="360" w:lineRule="auto"/>
        <w:jc w:val="both"/>
      </w:pPr>
      <w:r>
        <w:rPr>
          <w:rFonts w:ascii="Book Antiqua" w:eastAsia="Book Antiqua" w:hAnsi="Book Antiqua" w:cs="Book Antiqua"/>
          <w:color w:val="000000"/>
        </w:rPr>
        <w:t>Hepatocellular carcinoma (HCC) is an aggressive primary liver neoplasm that, according to tumor stage, can be treated with resection, transplantation, locoregional treatment options</w:t>
      </w:r>
      <w:r w:rsidR="00746336">
        <w:rPr>
          <w:rFonts w:ascii="Book Antiqua" w:eastAsia="Book Antiqua" w:hAnsi="Book Antiqua" w:cs="Book Antiqua"/>
          <w:color w:val="000000"/>
        </w:rPr>
        <w:t>,</w:t>
      </w:r>
      <w:r>
        <w:rPr>
          <w:rFonts w:ascii="Book Antiqua" w:eastAsia="Book Antiqua" w:hAnsi="Book Antiqua" w:cs="Book Antiqua"/>
          <w:color w:val="000000"/>
        </w:rPr>
        <w:t xml:space="preserve"> or systemic therapy. Although interventions only in early-stage disease can offer complete tumor regression, systemic therapy in advanced disease can significantly prolong overall survival, according to published clinical trials. The emergence of immunotherapy in the field of cancer therapy has had a positive impact on patients with HCC, resulting in atezolizumab</w:t>
      </w:r>
      <w:r w:rsidR="00746336">
        <w:rPr>
          <w:rFonts w:ascii="Book Antiqua" w:eastAsia="Book Antiqua" w:hAnsi="Book Antiqua" w:cs="Book Antiqua"/>
          <w:color w:val="000000"/>
        </w:rPr>
        <w:t>–</w:t>
      </w:r>
      <w:r>
        <w:rPr>
          <w:rFonts w:ascii="Book Antiqua" w:eastAsia="Book Antiqua" w:hAnsi="Book Antiqua" w:cs="Book Antiqua"/>
          <w:color w:val="000000"/>
        </w:rPr>
        <w:t>bevacizumab currently being the first-line option for treatment of advanced HCC.</w:t>
      </w:r>
      <w:r w:rsidR="00A7005B">
        <w:rPr>
          <w:rFonts w:ascii="Book Antiqua" w:eastAsia="Book Antiqua" w:hAnsi="Book Antiqua" w:cs="Book Antiqua"/>
          <w:color w:val="000000"/>
        </w:rPr>
        <w:t xml:space="preserve"> </w:t>
      </w:r>
      <w:r>
        <w:rPr>
          <w:rFonts w:ascii="Book Antiqua" w:eastAsia="Book Antiqua" w:hAnsi="Book Antiqua" w:cs="Book Antiqua"/>
          <w:color w:val="000000"/>
        </w:rPr>
        <w:t>In light of this, application of immunotherapy in the preoperative process could increase the number of patients fulfilling the criteria for liver transplantation (LT). Implementation of this approach is faced with challenges regarding the safety of immunotherapy and the possibly increased risk of rejection in the perioperative period. Case reports and clinical trials assessing the safety profile and effectiveness of neoadjuvant immunotherapy, highlight important aspects regarding this newly evolving approach to HCC management. More studies need to be conducted in order to reach a consensus regarding the optimal way to administer immunotherapy prior to LT. In this review, we summarize the role, safety profile and future considerations regarding the use of neoadjuvant immunotherapy prior to LT in patients with HCC.</w:t>
      </w:r>
    </w:p>
    <w:p w14:paraId="605D5232" w14:textId="77777777" w:rsidR="00A77B3E" w:rsidRDefault="00A77B3E">
      <w:pPr>
        <w:spacing w:line="360" w:lineRule="auto"/>
        <w:jc w:val="both"/>
      </w:pPr>
    </w:p>
    <w:p w14:paraId="772730B0" w14:textId="77777777" w:rsidR="00A77B3E" w:rsidRDefault="005C288A">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Hepatocellular carcinoma; Immunotherapy; Tumor downsizing; Liver transplantation; Neoadjuvant; Rejection</w:t>
      </w:r>
    </w:p>
    <w:p w14:paraId="3583B8B0" w14:textId="77777777" w:rsidR="00A77B3E" w:rsidRDefault="00A77B3E">
      <w:pPr>
        <w:spacing w:line="360" w:lineRule="auto"/>
        <w:jc w:val="both"/>
      </w:pPr>
    </w:p>
    <w:p w14:paraId="19510F62" w14:textId="77777777" w:rsidR="00A77B3E" w:rsidRDefault="005C288A">
      <w:pPr>
        <w:spacing w:line="360" w:lineRule="auto"/>
        <w:jc w:val="both"/>
      </w:pPr>
      <w:r>
        <w:rPr>
          <w:rFonts w:ascii="Book Antiqua" w:eastAsia="Book Antiqua" w:hAnsi="Book Antiqua" w:cs="Book Antiqua"/>
          <w:color w:val="000000"/>
        </w:rPr>
        <w:t xml:space="preserve">Ouranos K, Chatziioannou A, Goulis I, Sinakos E. Role of immunotherapy in downsizing hepatocellular carcinoma prior to liver transplantation. </w:t>
      </w:r>
      <w:r>
        <w:rPr>
          <w:rFonts w:ascii="Book Antiqua" w:eastAsia="Book Antiqua" w:hAnsi="Book Antiqua" w:cs="Book Antiqua"/>
          <w:i/>
          <w:iCs/>
          <w:color w:val="000000"/>
        </w:rPr>
        <w:t>World J Transplant</w:t>
      </w:r>
      <w:r>
        <w:rPr>
          <w:rFonts w:ascii="Book Antiqua" w:eastAsia="Book Antiqua" w:hAnsi="Book Antiqua" w:cs="Book Antiqua"/>
          <w:color w:val="000000"/>
        </w:rPr>
        <w:t xml:space="preserve"> 2022; In press</w:t>
      </w:r>
    </w:p>
    <w:p w14:paraId="55C7D51A" w14:textId="77777777" w:rsidR="00A77B3E" w:rsidRDefault="00A77B3E">
      <w:pPr>
        <w:spacing w:line="360" w:lineRule="auto"/>
        <w:jc w:val="both"/>
      </w:pPr>
    </w:p>
    <w:p w14:paraId="6E47309E" w14:textId="554D56C0" w:rsidR="00A77B3E" w:rsidRDefault="005C288A">
      <w:pPr>
        <w:spacing w:line="360" w:lineRule="auto"/>
        <w:jc w:val="both"/>
      </w:pPr>
      <w:r>
        <w:rPr>
          <w:rFonts w:ascii="Book Antiqua" w:eastAsia="Book Antiqua" w:hAnsi="Book Antiqua" w:cs="Book Antiqua"/>
          <w:b/>
          <w:bCs/>
          <w:color w:val="000000"/>
        </w:rPr>
        <w:t xml:space="preserve">Core </w:t>
      </w:r>
      <w:r w:rsidR="00746336">
        <w:rPr>
          <w:rFonts w:ascii="Book Antiqua" w:eastAsia="Book Antiqua" w:hAnsi="Book Antiqua" w:cs="Book Antiqua"/>
          <w:b/>
          <w:bCs/>
          <w:color w:val="000000"/>
        </w:rPr>
        <w:t>tip</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Immunotherapy has been used in the treatment of advanced hepatocellular carcinoma (HCC) with promising results. Extending its use in the preoperative period prior to liver transplantation (LT), either alone or in combination with other locoregional treatment modalities, could increase the pool of potential LT candidates. Data from case </w:t>
      </w:r>
      <w:r>
        <w:rPr>
          <w:rFonts w:ascii="Book Antiqua" w:eastAsia="Book Antiqua" w:hAnsi="Book Antiqua" w:cs="Book Antiqua"/>
          <w:color w:val="000000"/>
        </w:rPr>
        <w:lastRenderedPageBreak/>
        <w:t>reports and ongoing clinical trials assessing neoadjuvant immunotherapy prior to LT could revolutionize the current consensus regarding HCC downsizing practices and improve survival of patients with this type of malignancy.</w:t>
      </w:r>
    </w:p>
    <w:p w14:paraId="3C210600" w14:textId="77777777" w:rsidR="00A77B3E" w:rsidRDefault="00A77B3E">
      <w:pPr>
        <w:spacing w:line="360" w:lineRule="auto"/>
        <w:jc w:val="both"/>
      </w:pPr>
    </w:p>
    <w:p w14:paraId="59EFF75B" w14:textId="77777777" w:rsidR="00A77B3E" w:rsidRDefault="005C288A">
      <w:pPr>
        <w:spacing w:line="360" w:lineRule="auto"/>
        <w:jc w:val="both"/>
      </w:pPr>
      <w:r>
        <w:rPr>
          <w:rFonts w:ascii="Book Antiqua" w:eastAsia="Book Antiqua" w:hAnsi="Book Antiqua" w:cs="Book Antiqua"/>
          <w:b/>
          <w:caps/>
          <w:color w:val="000000"/>
          <w:u w:val="single"/>
        </w:rPr>
        <w:t>INTRODUCTION</w:t>
      </w:r>
    </w:p>
    <w:p w14:paraId="259A1313" w14:textId="6748AB07" w:rsidR="00ED0411" w:rsidRDefault="005C288A">
      <w:pPr>
        <w:spacing w:line="360" w:lineRule="auto"/>
        <w:jc w:val="both"/>
      </w:pPr>
      <w:r>
        <w:rPr>
          <w:rFonts w:ascii="Book Antiqua" w:eastAsia="Book Antiqua" w:hAnsi="Book Antiqua" w:cs="Book Antiqua"/>
          <w:color w:val="000000"/>
        </w:rPr>
        <w:t>Hepatocellular carcinoma (HCC), the most common primary liver malignancy, constitutes the sixth most common cancer worldwide and the fourth most common cause of cancer-related mortality</w:t>
      </w:r>
      <w:r w:rsidR="00ED0411" w:rsidRPr="00ED0411">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Incidence of HCC has been on the rise in </w:t>
      </w:r>
      <w:r w:rsidR="00257AD0">
        <w:rPr>
          <w:rFonts w:ascii="Book Antiqua" w:eastAsia="Book Antiqua" w:hAnsi="Book Antiqua" w:cs="Book Antiqua"/>
          <w:color w:val="000000"/>
        </w:rPr>
        <w:t xml:space="preserve">some </w:t>
      </w:r>
      <w:r>
        <w:rPr>
          <w:rFonts w:ascii="Book Antiqua" w:eastAsia="Book Antiqua" w:hAnsi="Book Antiqua" w:cs="Book Antiqua"/>
          <w:color w:val="000000"/>
        </w:rPr>
        <w:t xml:space="preserve">parts of the world, such as Europe and the </w:t>
      </w:r>
      <w:r w:rsidR="00257AD0">
        <w:rPr>
          <w:rFonts w:ascii="Book Antiqua" w:eastAsia="Book Antiqua" w:hAnsi="Book Antiqua" w:cs="Book Antiqua"/>
          <w:color w:val="000000"/>
        </w:rPr>
        <w:t>USA</w:t>
      </w:r>
      <w:r>
        <w:rPr>
          <w:rFonts w:ascii="Book Antiqua" w:eastAsia="Book Antiqua" w:hAnsi="Book Antiqua" w:cs="Book Antiqua"/>
          <w:color w:val="000000"/>
        </w:rPr>
        <w:t>, where the main risk factors for HCC development include HBV and HCV infection, alcohol consumption and nonalcoholic fatty liver disease (NAFLD)</w:t>
      </w:r>
      <w:r w:rsidR="00ED0411" w:rsidRPr="00ED0411">
        <w:rPr>
          <w:rFonts w:ascii="Book Antiqua" w:eastAsia="Book Antiqua" w:hAnsi="Book Antiqua" w:cs="Book Antiqua"/>
          <w:color w:val="000000"/>
          <w:vertAlign w:val="superscript"/>
        </w:rPr>
        <w:t>[</w:t>
      </w:r>
      <w:r w:rsidR="00ED0411">
        <w:rPr>
          <w:rFonts w:ascii="Book Antiqua" w:eastAsia="Book Antiqua" w:hAnsi="Book Antiqua" w:cs="Book Antiqua"/>
          <w:color w:val="000000"/>
          <w:vertAlign w:val="superscript"/>
        </w:rPr>
        <w:t>2</w:t>
      </w:r>
      <w:r w:rsidR="00FF7131">
        <w:rPr>
          <w:rFonts w:ascii="Book Antiqua" w:eastAsia="Book Antiqua" w:hAnsi="Book Antiqua" w:cs="Book Antiqua"/>
          <w:color w:val="000000"/>
          <w:vertAlign w:val="superscript"/>
        </w:rPr>
        <w:t>-4</w:t>
      </w:r>
      <w:r w:rsidR="00ED0411" w:rsidRPr="00ED0411">
        <w:rPr>
          <w:rFonts w:ascii="Book Antiqua" w:eastAsia="Book Antiqua" w:hAnsi="Book Antiqua" w:cs="Book Antiqua"/>
          <w:color w:val="000000"/>
          <w:vertAlign w:val="superscript"/>
        </w:rPr>
        <w:t>]</w:t>
      </w:r>
      <w:r>
        <w:rPr>
          <w:rFonts w:ascii="Book Antiqua" w:eastAsia="Book Antiqua" w:hAnsi="Book Antiqua" w:cs="Book Antiqua"/>
          <w:color w:val="000000"/>
        </w:rPr>
        <w:t>. Due to the fact that HCC has been the fastest-rising cause of cancer-related mortality</w:t>
      </w:r>
      <w:r w:rsidR="00ED0411" w:rsidRPr="00ED0411">
        <w:rPr>
          <w:rFonts w:ascii="Book Antiqua" w:eastAsia="Book Antiqua" w:hAnsi="Book Antiqua" w:cs="Book Antiqua"/>
          <w:color w:val="000000"/>
          <w:vertAlign w:val="superscript"/>
        </w:rPr>
        <w:t>[</w:t>
      </w:r>
      <w:r w:rsidR="00ED0411">
        <w:rPr>
          <w:rFonts w:ascii="Book Antiqua" w:eastAsia="Book Antiqua" w:hAnsi="Book Antiqua" w:cs="Book Antiqua"/>
          <w:color w:val="000000"/>
          <w:vertAlign w:val="superscript"/>
        </w:rPr>
        <w:t>2</w:t>
      </w:r>
      <w:r w:rsidR="00ED0411" w:rsidRPr="00ED041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that most patients present at an advanced stage at the time of diagnosis, multiple treatment approaches have been thoroughly investigated by the scientific community in an effort not only to detect the cancer at an earlier stage, when more treatment modalities are applicable, but also ensure complete eradication of the tumor. </w:t>
      </w:r>
    </w:p>
    <w:p w14:paraId="6C3DF9E6" w14:textId="60417359" w:rsidR="00ED0411" w:rsidRDefault="005C288A" w:rsidP="00ED0411">
      <w:pPr>
        <w:spacing w:line="360" w:lineRule="auto"/>
        <w:ind w:firstLineChars="200" w:firstLine="480"/>
        <w:jc w:val="both"/>
      </w:pPr>
      <w:r>
        <w:rPr>
          <w:rFonts w:ascii="Book Antiqua" w:eastAsia="Book Antiqua" w:hAnsi="Book Antiqua" w:cs="Book Antiqua"/>
          <w:color w:val="000000"/>
        </w:rPr>
        <w:t>Optimal treatment options for HCC depend on tumor morphological characteristics, liver functionality and overall physical status of the patient, as suggested by the Barcelona Clinic Liver Cancer staging system (BCLC</w:t>
      </w:r>
      <w:r w:rsidR="00257AD0">
        <w:rPr>
          <w:rFonts w:ascii="Book Antiqua" w:eastAsia="Book Antiqua" w:hAnsi="Book Antiqua" w:cs="Book Antiqua"/>
          <w:color w:val="000000"/>
        </w:rPr>
        <w:t xml:space="preserve">); </w:t>
      </w:r>
      <w:r>
        <w:rPr>
          <w:rFonts w:ascii="Book Antiqua" w:eastAsia="Book Antiqua" w:hAnsi="Book Antiqua" w:cs="Book Antiqua"/>
          <w:color w:val="000000"/>
        </w:rPr>
        <w:t xml:space="preserve">one of the most used staging systems. According to BCLC, very early (0) and early (A) stages are potentially curative with radiofrequency ablation (RFA), surgical resection or liver transplantation (LT), with an overall survival (OS) </w:t>
      </w:r>
      <w:r w:rsidR="00257AD0">
        <w:rPr>
          <w:rFonts w:ascii="Book Antiqua" w:eastAsia="Book Antiqua" w:hAnsi="Book Antiqua" w:cs="Book Antiqua"/>
          <w:color w:val="000000"/>
        </w:rPr>
        <w:t>&gt;</w:t>
      </w:r>
      <w:r>
        <w:rPr>
          <w:rFonts w:ascii="Book Antiqua" w:eastAsia="Book Antiqua" w:hAnsi="Book Antiqua" w:cs="Book Antiqua"/>
          <w:color w:val="000000"/>
        </w:rPr>
        <w:t xml:space="preserve"> 60 mo. Patients with intermediate (B), advanced (C) and terminal (D) disease, however, who are not candidates for curative resection or transplantation, are best treated with transarterial chemoembolization (TACE), systemic therapy and supportive care, respectively, and face a grim prognosis with an OS of 20 mo for stages B and C and </w:t>
      </w:r>
      <w:r w:rsidR="00257AD0">
        <w:rPr>
          <w:rFonts w:ascii="Book Antiqua" w:eastAsia="Book Antiqua" w:hAnsi="Book Antiqua" w:cs="Book Antiqua"/>
          <w:color w:val="000000"/>
        </w:rPr>
        <w:t>&lt;</w:t>
      </w:r>
      <w:r>
        <w:rPr>
          <w:rFonts w:ascii="Book Antiqua" w:eastAsia="Book Antiqua" w:hAnsi="Book Antiqua" w:cs="Book Antiqua"/>
          <w:color w:val="000000"/>
        </w:rPr>
        <w:t xml:space="preserve"> 3 mo for stage D</w:t>
      </w:r>
      <w:r w:rsidR="00ED0411" w:rsidRPr="00ED0411">
        <w:rPr>
          <w:rFonts w:ascii="Book Antiqua" w:eastAsia="Book Antiqua" w:hAnsi="Book Antiqua" w:cs="Book Antiqua"/>
          <w:color w:val="000000"/>
          <w:vertAlign w:val="superscript"/>
        </w:rPr>
        <w:t>[</w:t>
      </w:r>
      <w:r w:rsidR="00ED0411">
        <w:rPr>
          <w:rFonts w:ascii="Book Antiqua" w:eastAsia="Book Antiqua" w:hAnsi="Book Antiqua" w:cs="Book Antiqua"/>
          <w:color w:val="000000"/>
          <w:vertAlign w:val="superscript"/>
        </w:rPr>
        <w:t>5-7</w:t>
      </w:r>
      <w:r w:rsidR="00ED0411" w:rsidRPr="00ED0411">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FF56023" w14:textId="0A48D5EB" w:rsidR="007228F1" w:rsidRDefault="005C288A" w:rsidP="007228F1">
      <w:pPr>
        <w:spacing w:line="360" w:lineRule="auto"/>
        <w:ind w:firstLineChars="200" w:firstLine="480"/>
        <w:jc w:val="both"/>
      </w:pPr>
      <w:r>
        <w:rPr>
          <w:rFonts w:ascii="Book Antiqua" w:eastAsia="Book Antiqua" w:hAnsi="Book Antiqua" w:cs="Book Antiqua"/>
          <w:color w:val="000000"/>
        </w:rPr>
        <w:t xml:space="preserve">Patients with early-stage disease who are not candidates for surgical resection can undergo liver transplantation (LT) as a curative option, given that they fulfill the respected criteria, with a 4-year survival rate of 75%. These criteria, widely known as the Milan criteria (MC), screen patients for liver transplantation eligibility based on </w:t>
      </w:r>
      <w:r>
        <w:rPr>
          <w:rFonts w:ascii="Book Antiqua" w:eastAsia="Book Antiqua" w:hAnsi="Book Antiqua" w:cs="Book Antiqua"/>
          <w:color w:val="000000"/>
        </w:rPr>
        <w:lastRenderedPageBreak/>
        <w:t>morphological characteristics of the tumor. However, strict application of the MC can exclude many patients from receiving the potentially curative treatment of LT, solely on the basis of tumor size and number</w:t>
      </w:r>
      <w:r w:rsidR="00ED0411" w:rsidRPr="00ED0411">
        <w:rPr>
          <w:rFonts w:ascii="Book Antiqua" w:eastAsia="Book Antiqua" w:hAnsi="Book Antiqua" w:cs="Book Antiqua"/>
          <w:color w:val="000000"/>
          <w:vertAlign w:val="superscript"/>
        </w:rPr>
        <w:t>[</w:t>
      </w:r>
      <w:r w:rsidR="00ED0411">
        <w:rPr>
          <w:rFonts w:ascii="Book Antiqua" w:eastAsia="Book Antiqua" w:hAnsi="Book Antiqua" w:cs="Book Antiqua"/>
          <w:color w:val="000000"/>
          <w:vertAlign w:val="superscript"/>
        </w:rPr>
        <w:t>8,9</w:t>
      </w:r>
      <w:r w:rsidR="00ED0411" w:rsidRPr="00ED0411">
        <w:rPr>
          <w:rFonts w:ascii="Book Antiqua" w:eastAsia="Book Antiqua" w:hAnsi="Book Antiqua" w:cs="Book Antiqua"/>
          <w:color w:val="000000"/>
          <w:vertAlign w:val="superscript"/>
        </w:rPr>
        <w:t>]</w:t>
      </w:r>
      <w:r>
        <w:rPr>
          <w:rFonts w:ascii="Book Antiqua" w:eastAsia="Book Antiqua" w:hAnsi="Book Antiqua" w:cs="Book Antiqua"/>
          <w:color w:val="000000"/>
        </w:rPr>
        <w:t>. In an effort to include more patients within the MC and further utilize the clinical benefits of LT, the concept of downstaging has been introduced in the treatment of HCC. Downstaging refers to a decrease in the tumor burden to the point where patients meet the MC and can receive LT. Downstaging options include, but are not limited to, TACE combined or not with doxorubicin eluting bead</w:t>
      </w:r>
      <w:r w:rsidR="00257AD0">
        <w:rPr>
          <w:rFonts w:ascii="Book Antiqua" w:eastAsia="Book Antiqua" w:hAnsi="Book Antiqua" w:cs="Book Antiqua"/>
          <w:color w:val="000000"/>
        </w:rPr>
        <w:t>s</w:t>
      </w:r>
      <w:r>
        <w:rPr>
          <w:rFonts w:ascii="Book Antiqua" w:eastAsia="Book Antiqua" w:hAnsi="Book Antiqua" w:cs="Book Antiqua"/>
          <w:color w:val="000000"/>
        </w:rPr>
        <w:t xml:space="preserve"> (TACE ± DEB), RFA, microwave ablation (MWA), transarterial radioembolization (TARE), irreversible electroporation (IRE), high</w:t>
      </w:r>
      <w:r w:rsidR="00257AD0">
        <w:rPr>
          <w:rFonts w:ascii="Book Antiqua" w:eastAsia="Book Antiqua" w:hAnsi="Book Antiqua" w:cs="Book Antiqua"/>
          <w:color w:val="000000"/>
        </w:rPr>
        <w:t>-</w:t>
      </w:r>
      <w:r>
        <w:rPr>
          <w:rFonts w:ascii="Book Antiqua" w:eastAsia="Book Antiqua" w:hAnsi="Book Antiqua" w:cs="Book Antiqua"/>
          <w:color w:val="000000"/>
        </w:rPr>
        <w:t>intensity focus</w:t>
      </w:r>
      <w:r w:rsidR="00257AD0">
        <w:rPr>
          <w:rFonts w:ascii="Book Antiqua" w:eastAsia="Book Antiqua" w:hAnsi="Book Antiqua" w:cs="Book Antiqua"/>
          <w:color w:val="000000"/>
        </w:rPr>
        <w:t>ed</w:t>
      </w:r>
      <w:r>
        <w:rPr>
          <w:rFonts w:ascii="Book Antiqua" w:eastAsia="Book Antiqua" w:hAnsi="Book Antiqua" w:cs="Book Antiqua"/>
          <w:color w:val="000000"/>
        </w:rPr>
        <w:t xml:space="preserve"> ultrasound (HIFU), stereotactic body radiotherapy (SBRT)</w:t>
      </w:r>
      <w:r w:rsidR="00257AD0">
        <w:rPr>
          <w:rFonts w:ascii="Book Antiqua" w:eastAsia="Book Antiqua" w:hAnsi="Book Antiqua" w:cs="Book Antiqua"/>
          <w:color w:val="000000"/>
        </w:rPr>
        <w:t>,</w:t>
      </w:r>
      <w:r>
        <w:rPr>
          <w:rFonts w:ascii="Book Antiqua" w:eastAsia="Book Antiqua" w:hAnsi="Book Antiqua" w:cs="Book Antiqua"/>
          <w:color w:val="000000"/>
        </w:rPr>
        <w:t xml:space="preserve"> and systemic therapy</w:t>
      </w:r>
      <w:r w:rsidR="007228F1" w:rsidRPr="00ED0411">
        <w:rPr>
          <w:rFonts w:ascii="Book Antiqua" w:eastAsia="Book Antiqua" w:hAnsi="Book Antiqua" w:cs="Book Antiqua"/>
          <w:color w:val="000000"/>
          <w:vertAlign w:val="superscript"/>
        </w:rPr>
        <w:t>[1</w:t>
      </w:r>
      <w:r w:rsidR="007228F1">
        <w:rPr>
          <w:rFonts w:ascii="Book Antiqua" w:eastAsia="Book Antiqua" w:hAnsi="Book Antiqua" w:cs="Book Antiqua"/>
          <w:color w:val="000000"/>
          <w:vertAlign w:val="superscript"/>
        </w:rPr>
        <w:t>0</w:t>
      </w:r>
      <w:r w:rsidR="007228F1" w:rsidRPr="00ED0411">
        <w:rPr>
          <w:rFonts w:ascii="Book Antiqua" w:eastAsia="Book Antiqua" w:hAnsi="Book Antiqua" w:cs="Book Antiqua"/>
          <w:color w:val="000000"/>
          <w:vertAlign w:val="superscript"/>
        </w:rPr>
        <w:t>]</w:t>
      </w:r>
      <w:r>
        <w:rPr>
          <w:rFonts w:ascii="Book Antiqua" w:eastAsia="Book Antiqua" w:hAnsi="Book Antiqua" w:cs="Book Antiqua"/>
          <w:color w:val="000000"/>
        </w:rPr>
        <w:t>. Post-transplant survival rate in patients who had undergone LT after successful downstaging to MC have been shown to be comparable to that of patients undergoing LT and initially presenting within the MC</w:t>
      </w:r>
      <w:r w:rsidR="007228F1" w:rsidRPr="00ED0411">
        <w:rPr>
          <w:rFonts w:ascii="Book Antiqua" w:eastAsia="Book Antiqua" w:hAnsi="Book Antiqua" w:cs="Book Antiqua"/>
          <w:color w:val="000000"/>
          <w:vertAlign w:val="superscript"/>
        </w:rPr>
        <w:t>[1</w:t>
      </w:r>
      <w:r w:rsidR="007228F1">
        <w:rPr>
          <w:rFonts w:ascii="Book Antiqua" w:eastAsia="Book Antiqua" w:hAnsi="Book Antiqua" w:cs="Book Antiqua"/>
          <w:color w:val="000000"/>
          <w:vertAlign w:val="superscript"/>
        </w:rPr>
        <w:t>1</w:t>
      </w:r>
      <w:r w:rsidR="007228F1" w:rsidRPr="00ED0411">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7C99210B" w14:textId="274341F5" w:rsidR="00A77B3E" w:rsidRDefault="005C288A" w:rsidP="007228F1">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In the modern era of cancer immunotherapy, alteration of signals that modulate the interaction between cancer cells and cells of the immune system, has led to many advances in the treatment of various cancer types, including HCC</w:t>
      </w:r>
      <w:r w:rsidR="007228F1" w:rsidRPr="00ED0411">
        <w:rPr>
          <w:rFonts w:ascii="Book Antiqua" w:eastAsia="Book Antiqua" w:hAnsi="Book Antiqua" w:cs="Book Antiqua"/>
          <w:color w:val="000000"/>
          <w:vertAlign w:val="superscript"/>
        </w:rPr>
        <w:t>[1</w:t>
      </w:r>
      <w:r w:rsidR="007228F1">
        <w:rPr>
          <w:rFonts w:ascii="Book Antiqua" w:eastAsia="Book Antiqua" w:hAnsi="Book Antiqua" w:cs="Book Antiqua"/>
          <w:color w:val="000000"/>
          <w:vertAlign w:val="superscript"/>
        </w:rPr>
        <w:t>2</w:t>
      </w:r>
      <w:r w:rsidR="007228F1" w:rsidRPr="00ED0411">
        <w:rPr>
          <w:rFonts w:ascii="Book Antiqua" w:eastAsia="Book Antiqua" w:hAnsi="Book Antiqua" w:cs="Book Antiqua"/>
          <w:color w:val="000000"/>
          <w:vertAlign w:val="superscript"/>
        </w:rPr>
        <w:t>]</w:t>
      </w:r>
      <w:r>
        <w:rPr>
          <w:rFonts w:ascii="Book Antiqua" w:eastAsia="Book Antiqua" w:hAnsi="Book Antiqua" w:cs="Book Antiqua"/>
          <w:color w:val="000000"/>
        </w:rPr>
        <w:t>. Although immun</w:t>
      </w:r>
      <w:r w:rsidR="00E73993">
        <w:rPr>
          <w:rFonts w:ascii="Book Antiqua" w:eastAsia="Book Antiqua" w:hAnsi="Book Antiqua" w:cs="Book Antiqua"/>
          <w:color w:val="000000"/>
        </w:rPr>
        <w:t>o</w:t>
      </w:r>
      <w:r>
        <w:rPr>
          <w:rFonts w:ascii="Book Antiqua" w:eastAsia="Book Antiqua" w:hAnsi="Book Antiqua" w:cs="Book Antiqua"/>
          <w:color w:val="000000"/>
        </w:rPr>
        <w:t>modulating therapies are mainly used in advanced HCC, neoadjuvant immunotherapy is a promising approach as a means of downstaging the tumor prior to LT, yielding positive outcomes in the post-transplant period</w:t>
      </w:r>
      <w:r w:rsidR="007228F1" w:rsidRPr="00ED0411">
        <w:rPr>
          <w:rFonts w:ascii="Book Antiqua" w:eastAsia="Book Antiqua" w:hAnsi="Book Antiqua" w:cs="Book Antiqua"/>
          <w:color w:val="000000"/>
          <w:vertAlign w:val="superscript"/>
        </w:rPr>
        <w:t>[1</w:t>
      </w:r>
      <w:r w:rsidR="007228F1">
        <w:rPr>
          <w:rFonts w:ascii="Book Antiqua" w:eastAsia="Book Antiqua" w:hAnsi="Book Antiqua" w:cs="Book Antiqua"/>
          <w:color w:val="000000"/>
          <w:vertAlign w:val="superscript"/>
        </w:rPr>
        <w:t>3,14</w:t>
      </w:r>
      <w:r w:rsidR="007228F1" w:rsidRPr="00ED0411">
        <w:rPr>
          <w:rFonts w:ascii="Book Antiqua" w:eastAsia="Book Antiqua" w:hAnsi="Book Antiqua" w:cs="Book Antiqua"/>
          <w:color w:val="000000"/>
          <w:vertAlign w:val="superscript"/>
        </w:rPr>
        <w:t>]</w:t>
      </w:r>
      <w:r>
        <w:rPr>
          <w:rFonts w:ascii="Book Antiqua" w:eastAsia="Book Antiqua" w:hAnsi="Book Antiqua" w:cs="Book Antiqua"/>
          <w:color w:val="000000"/>
        </w:rPr>
        <w:t>. The aim of this review is to summarize the role of immunotherapy as a downstaging technique and also highlight future considerations regarding its safety and clinically beneficial endpoints in the perioperative period and beyond.</w:t>
      </w:r>
    </w:p>
    <w:p w14:paraId="1225ACE0" w14:textId="4A65D3BB" w:rsidR="00F46DFF" w:rsidRDefault="00F46DFF" w:rsidP="00F46DFF">
      <w:pPr>
        <w:spacing w:line="360" w:lineRule="auto"/>
        <w:jc w:val="both"/>
        <w:rPr>
          <w:rFonts w:ascii="Book Antiqua" w:eastAsia="Book Antiqua" w:hAnsi="Book Antiqua" w:cs="Book Antiqua"/>
          <w:color w:val="000000"/>
        </w:rPr>
      </w:pPr>
    </w:p>
    <w:p w14:paraId="169AAF85" w14:textId="167A7D27" w:rsidR="00F46DFF" w:rsidRPr="002B1108" w:rsidRDefault="00076063" w:rsidP="00F46DFF">
      <w:pPr>
        <w:spacing w:line="360" w:lineRule="auto"/>
        <w:jc w:val="both"/>
        <w:rPr>
          <w:rFonts w:ascii="Book Antiqua" w:eastAsia="Calibri" w:hAnsi="Book Antiqua"/>
          <w:b/>
          <w:bCs/>
          <w:u w:val="single"/>
        </w:rPr>
      </w:pPr>
      <w:r w:rsidRPr="002B1108">
        <w:rPr>
          <w:rFonts w:ascii="Book Antiqua" w:eastAsia="Calibri" w:hAnsi="Book Antiqua"/>
          <w:b/>
          <w:bCs/>
          <w:u w:val="single"/>
        </w:rPr>
        <w:t xml:space="preserve">ORTHOTOPIC </w:t>
      </w:r>
      <w:r w:rsidR="000F6F14">
        <w:rPr>
          <w:rFonts w:ascii="Book Antiqua" w:eastAsia="Calibri" w:hAnsi="Book Antiqua"/>
          <w:b/>
          <w:bCs/>
          <w:u w:val="single"/>
        </w:rPr>
        <w:t>LT</w:t>
      </w:r>
      <w:r w:rsidRPr="002B1108">
        <w:rPr>
          <w:rFonts w:ascii="Book Antiqua" w:eastAsia="Calibri" w:hAnsi="Book Antiqua"/>
          <w:b/>
          <w:bCs/>
          <w:u w:val="single"/>
        </w:rPr>
        <w:t xml:space="preserve"> FOR </w:t>
      </w:r>
      <w:r w:rsidR="000F6F14">
        <w:rPr>
          <w:rFonts w:ascii="Book Antiqua" w:eastAsia="Calibri" w:hAnsi="Book Antiqua"/>
          <w:b/>
          <w:bCs/>
          <w:u w:val="single"/>
        </w:rPr>
        <w:t>HCC</w:t>
      </w:r>
      <w:r w:rsidRPr="002B1108">
        <w:rPr>
          <w:rFonts w:ascii="Book Antiqua" w:eastAsia="Calibri" w:hAnsi="Book Antiqua"/>
          <w:b/>
          <w:bCs/>
          <w:u w:val="single"/>
        </w:rPr>
        <w:t xml:space="preserve"> </w:t>
      </w:r>
    </w:p>
    <w:p w14:paraId="529D7564" w14:textId="7CE9F273" w:rsidR="00F46DFF" w:rsidRPr="00F46DFF" w:rsidRDefault="00F46DFF" w:rsidP="00F46DFF">
      <w:pPr>
        <w:spacing w:line="360" w:lineRule="auto"/>
        <w:jc w:val="both"/>
        <w:rPr>
          <w:rFonts w:ascii="Book Antiqua" w:eastAsia="Calibri" w:hAnsi="Book Antiqua"/>
        </w:rPr>
      </w:pPr>
      <w:r w:rsidRPr="00F46DFF">
        <w:rPr>
          <w:rFonts w:ascii="Book Antiqua" w:eastAsia="Calibri" w:hAnsi="Book Antiqua"/>
        </w:rPr>
        <w:t xml:space="preserve">The MC have been widely used as a tool for determining which patients are eligible for LT. According to these criteria, patients may undergo LT if the following requirements are met: </w:t>
      </w:r>
      <w:r w:rsidR="009D66E2">
        <w:rPr>
          <w:rFonts w:ascii="Book Antiqua" w:eastAsia="Calibri" w:hAnsi="Book Antiqua"/>
        </w:rPr>
        <w:t>(1</w:t>
      </w:r>
      <w:r w:rsidRPr="00F46DFF">
        <w:rPr>
          <w:rFonts w:ascii="Book Antiqua" w:eastAsia="Calibri" w:hAnsi="Book Antiqua"/>
        </w:rPr>
        <w:t>) single tumor with a diameter</w:t>
      </w:r>
      <w:r w:rsidR="002B1108">
        <w:rPr>
          <w:rFonts w:ascii="Book Antiqua" w:eastAsia="Calibri" w:hAnsi="Book Antiqua"/>
        </w:rPr>
        <w:t xml:space="preserve"> </w:t>
      </w:r>
      <w:r w:rsidR="002B1108" w:rsidRPr="002B1108">
        <w:rPr>
          <w:rFonts w:ascii="Book Antiqua" w:hAnsi="Book Antiqua"/>
          <w:lang w:eastAsia="zh-CN"/>
        </w:rPr>
        <w:t>≤</w:t>
      </w:r>
      <w:r w:rsidRPr="00F46DFF">
        <w:rPr>
          <w:rFonts w:ascii="Book Antiqua" w:eastAsia="Calibri" w:hAnsi="Book Antiqua"/>
        </w:rPr>
        <w:t xml:space="preserve"> 5 cm</w:t>
      </w:r>
      <w:r w:rsidR="000F6F14">
        <w:rPr>
          <w:rFonts w:ascii="Book Antiqua" w:eastAsia="Calibri" w:hAnsi="Book Antiqua"/>
        </w:rPr>
        <w:t>,</w:t>
      </w:r>
      <w:r w:rsidRPr="00F46DFF">
        <w:rPr>
          <w:rFonts w:ascii="Book Antiqua" w:eastAsia="Calibri" w:hAnsi="Book Antiqua"/>
        </w:rPr>
        <w:t xml:space="preserve"> or </w:t>
      </w:r>
      <w:r w:rsidR="009D66E2">
        <w:rPr>
          <w:rFonts w:ascii="Book Antiqua" w:eastAsia="Calibri" w:hAnsi="Book Antiqua"/>
        </w:rPr>
        <w:t>(2</w:t>
      </w:r>
      <w:r w:rsidRPr="00F46DFF">
        <w:rPr>
          <w:rFonts w:ascii="Book Antiqua" w:eastAsia="Calibri" w:hAnsi="Book Antiqua"/>
        </w:rPr>
        <w:t xml:space="preserve">) up to three tumors, each </w:t>
      </w:r>
      <w:r w:rsidR="002B1108" w:rsidRPr="002B1108">
        <w:rPr>
          <w:rFonts w:ascii="Book Antiqua" w:hAnsi="Book Antiqua"/>
          <w:lang w:eastAsia="zh-CN"/>
        </w:rPr>
        <w:t>≤</w:t>
      </w:r>
      <w:r w:rsidR="002B1108">
        <w:rPr>
          <w:rFonts w:ascii="Book Antiqua" w:hAnsi="Book Antiqua"/>
          <w:lang w:eastAsia="zh-CN"/>
        </w:rPr>
        <w:t xml:space="preserve"> </w:t>
      </w:r>
      <w:r w:rsidRPr="00F46DFF">
        <w:rPr>
          <w:rFonts w:ascii="Book Antiqua" w:eastAsia="Calibri" w:hAnsi="Book Antiqua"/>
        </w:rPr>
        <w:t xml:space="preserve">3 </w:t>
      </w:r>
      <w:r w:rsidR="000F6F14">
        <w:rPr>
          <w:rFonts w:ascii="Book Antiqua" w:eastAsia="Calibri" w:hAnsi="Book Antiqua"/>
        </w:rPr>
        <w:t xml:space="preserve">cm </w:t>
      </w:r>
      <w:r w:rsidRPr="00F46DFF">
        <w:rPr>
          <w:rFonts w:ascii="Book Antiqua" w:eastAsia="Calibri" w:hAnsi="Book Antiqua"/>
        </w:rPr>
        <w:t xml:space="preserve">in diameter and no extrahepatic spread or vascular involvement. Although patients with HCC transplanted within the MC have a 4-year survival rate of 75% and a recurrence-free survival rate of 83%, there are studies suggesting that patients not fulfilling the MC </w:t>
      </w:r>
      <w:r w:rsidRPr="00F46DFF">
        <w:rPr>
          <w:rFonts w:ascii="Book Antiqua" w:eastAsia="Calibri" w:hAnsi="Book Antiqua"/>
        </w:rPr>
        <w:lastRenderedPageBreak/>
        <w:t>may still benefit from LT</w:t>
      </w:r>
      <w:r w:rsidR="002B1108" w:rsidRPr="002B1108">
        <w:rPr>
          <w:rFonts w:ascii="Book Antiqua" w:eastAsia="Calibri" w:hAnsi="Book Antiqua"/>
          <w:vertAlign w:val="superscript"/>
        </w:rPr>
        <w:t>[15,16]</w:t>
      </w:r>
      <w:r w:rsidRPr="00F46DFF">
        <w:rPr>
          <w:rFonts w:ascii="Book Antiqua" w:eastAsia="Calibri" w:hAnsi="Book Antiqua"/>
        </w:rPr>
        <w:t xml:space="preserve">. Overdependence on the MC may mask the true number of patients that would benefit from a transplant.  In light of this, several expanded criteria have been proposed in an effort to include patients in the transplant process. What makes these criteria stand out </w:t>
      </w:r>
      <w:r w:rsidR="000F6F14">
        <w:rPr>
          <w:rFonts w:ascii="Book Antiqua" w:eastAsia="Calibri" w:hAnsi="Book Antiqua"/>
        </w:rPr>
        <w:t>from</w:t>
      </w:r>
      <w:r w:rsidR="000F6F14" w:rsidRPr="00F46DFF">
        <w:rPr>
          <w:rFonts w:ascii="Book Antiqua" w:eastAsia="Calibri" w:hAnsi="Book Antiqua"/>
        </w:rPr>
        <w:t xml:space="preserve"> </w:t>
      </w:r>
      <w:r w:rsidRPr="00F46DFF">
        <w:rPr>
          <w:rFonts w:ascii="Book Antiqua" w:eastAsia="Calibri" w:hAnsi="Book Antiqua"/>
        </w:rPr>
        <w:t>MC, is that they take into account not only morphological characteristics of the tumor, but also integrate biological aspects of the disease and response to locoregional treatment (LRT) in their algorithm</w:t>
      </w:r>
      <w:r w:rsidR="00D6201E" w:rsidRPr="00D6201E">
        <w:rPr>
          <w:rFonts w:ascii="Book Antiqua" w:eastAsia="Calibri" w:hAnsi="Book Antiqua"/>
          <w:vertAlign w:val="superscript"/>
        </w:rPr>
        <w:t>[17]</w:t>
      </w:r>
      <w:r w:rsidRPr="00F46DFF">
        <w:rPr>
          <w:rFonts w:ascii="Book Antiqua" w:eastAsia="Calibri" w:hAnsi="Book Antiqua"/>
        </w:rPr>
        <w:t xml:space="preserve">. One of the most commonly used biological parameter is </w:t>
      </w:r>
      <w:r w:rsidR="000F6F14">
        <w:rPr>
          <w:rFonts w:ascii="Book Antiqua" w:eastAsia="Calibri" w:hAnsi="Book Antiqua"/>
        </w:rPr>
        <w:sym w:font="Symbol" w:char="F061"/>
      </w:r>
      <w:r w:rsidRPr="00F46DFF">
        <w:rPr>
          <w:rFonts w:ascii="Book Antiqua" w:eastAsia="Calibri" w:hAnsi="Book Antiqua"/>
        </w:rPr>
        <w:t xml:space="preserve">-fetoprotein (AFP). AFP serves as marker of HCC differentiation and can be used in the pretransplant period to identify patients at high risk for HCC recurrence after LT. AFP levels </w:t>
      </w:r>
      <w:r w:rsidR="0099131E" w:rsidRPr="0099131E">
        <w:rPr>
          <w:rFonts w:ascii="Book Antiqua" w:hAnsi="Book Antiqua"/>
          <w:lang w:eastAsia="zh-CN"/>
        </w:rPr>
        <w:t>≥</w:t>
      </w:r>
      <w:r w:rsidRPr="00F46DFF">
        <w:rPr>
          <w:rFonts w:ascii="Book Antiqua" w:eastAsia="Calibri" w:hAnsi="Book Antiqua"/>
        </w:rPr>
        <w:t xml:space="preserve"> 1000 ng/m</w:t>
      </w:r>
      <w:r w:rsidR="00DB0CD2">
        <w:rPr>
          <w:rFonts w:ascii="Book Antiqua" w:eastAsia="Calibri" w:hAnsi="Book Antiqua"/>
        </w:rPr>
        <w:t>L</w:t>
      </w:r>
      <w:r w:rsidRPr="00F46DFF">
        <w:rPr>
          <w:rFonts w:ascii="Book Antiqua" w:eastAsia="Calibri" w:hAnsi="Book Antiqua"/>
        </w:rPr>
        <w:t xml:space="preserve"> are associated with poor outcomes following LT, although there are no established guidelines that indicate the optimal AFP threshold that accurately predicts post-LT outcomes</w:t>
      </w:r>
      <w:r w:rsidR="00265645" w:rsidRPr="00265645">
        <w:rPr>
          <w:rFonts w:ascii="Book Antiqua" w:eastAsia="Calibri" w:hAnsi="Book Antiqua"/>
          <w:vertAlign w:val="superscript"/>
        </w:rPr>
        <w:t>[18,19]</w:t>
      </w:r>
      <w:r w:rsidRPr="00F46DFF">
        <w:rPr>
          <w:rFonts w:ascii="Book Antiqua" w:eastAsia="Calibri" w:hAnsi="Book Antiqua"/>
        </w:rPr>
        <w:t>. Other well-studied biological parameters that can be taken into consideration include des-</w:t>
      </w:r>
      <w:r w:rsidR="000F6F14">
        <w:rPr>
          <w:rFonts w:ascii="Book Antiqua" w:eastAsia="Calibri" w:hAnsi="Book Antiqua"/>
        </w:rPr>
        <w:sym w:font="Symbol" w:char="F067"/>
      </w:r>
      <w:r w:rsidRPr="00F46DFF">
        <w:rPr>
          <w:rFonts w:ascii="Book Antiqua" w:eastAsia="Calibri" w:hAnsi="Book Antiqua"/>
        </w:rPr>
        <w:t>-carboxyprothrombin (DCP) levels, neutrophil-to-lymphocyte ratio (NLR), prognostic nutritional index, aspartate aminotransferase-to-platelet ratio index</w:t>
      </w:r>
      <w:r w:rsidR="000F6F14">
        <w:rPr>
          <w:rFonts w:ascii="Book Antiqua" w:eastAsia="Calibri" w:hAnsi="Book Antiqua"/>
        </w:rPr>
        <w:t>,</w:t>
      </w:r>
      <w:r w:rsidRPr="00F46DFF">
        <w:rPr>
          <w:rFonts w:ascii="Book Antiqua" w:eastAsia="Calibri" w:hAnsi="Book Antiqua"/>
        </w:rPr>
        <w:t xml:space="preserve"> </w:t>
      </w:r>
      <w:r w:rsidR="000F6F14">
        <w:rPr>
          <w:rFonts w:ascii="Book Antiqua" w:eastAsia="Calibri" w:hAnsi="Book Antiqua"/>
        </w:rPr>
        <w:t xml:space="preserve">and </w:t>
      </w:r>
      <w:r w:rsidRPr="00F46DFF">
        <w:rPr>
          <w:rFonts w:ascii="Book Antiqua" w:eastAsia="Calibri" w:hAnsi="Book Antiqua"/>
        </w:rPr>
        <w:t>aspartate aminotransferase-to-neutrophil ratio index</w:t>
      </w:r>
      <w:r w:rsidR="00372B1A" w:rsidRPr="00372B1A">
        <w:rPr>
          <w:rFonts w:ascii="Book Antiqua" w:eastAsia="Calibri" w:hAnsi="Book Antiqua"/>
          <w:vertAlign w:val="superscript"/>
        </w:rPr>
        <w:t>[18]</w:t>
      </w:r>
      <w:r w:rsidRPr="00F46DFF">
        <w:rPr>
          <w:rFonts w:ascii="Book Antiqua" w:eastAsia="Calibri" w:hAnsi="Book Antiqua"/>
        </w:rPr>
        <w:t>. Evaluation of tumor response to LRT is a newly evolving concept in optimal selection of patients for LT, that aims to downstage patients within the MC, promising comparable survival rates to patients with HCC receiving LT and already within the MC. Response to treatments that result in decreased tumor burden can be viewed as a complementary marker of the biological aggressiveness of the tumor and risk of HCC recurrence after LT</w:t>
      </w:r>
      <w:r w:rsidR="002D763F" w:rsidRPr="002D763F">
        <w:rPr>
          <w:rFonts w:ascii="Book Antiqua" w:eastAsia="Calibri" w:hAnsi="Book Antiqua"/>
          <w:vertAlign w:val="superscript"/>
        </w:rPr>
        <w:t>[15]</w:t>
      </w:r>
      <w:r w:rsidRPr="00F46DFF">
        <w:rPr>
          <w:rFonts w:ascii="Book Antiqua" w:eastAsia="Calibri" w:hAnsi="Book Antiqua"/>
        </w:rPr>
        <w:t>. All of the proposed expanded criteria that include the aforementioned parameters have 5-year survival rates that approximate that of MC, resulting in many institutions adopting them for the purpose of selecting patients with HCC for LT</w:t>
      </w:r>
      <w:r w:rsidR="00604543" w:rsidRPr="00604543">
        <w:rPr>
          <w:rFonts w:ascii="Book Antiqua" w:eastAsia="Calibri" w:hAnsi="Book Antiqua"/>
          <w:vertAlign w:val="superscript"/>
        </w:rPr>
        <w:t>[18]</w:t>
      </w:r>
      <w:r w:rsidRPr="00F46DFF">
        <w:rPr>
          <w:rFonts w:ascii="Book Antiqua" w:eastAsia="Calibri" w:hAnsi="Book Antiqua"/>
        </w:rPr>
        <w:t xml:space="preserve">. </w:t>
      </w:r>
    </w:p>
    <w:p w14:paraId="7DAD5717" w14:textId="55119897" w:rsidR="00F46DFF" w:rsidRPr="00F46DFF" w:rsidRDefault="00F46DFF" w:rsidP="00BC114B">
      <w:pPr>
        <w:spacing w:line="360" w:lineRule="auto"/>
        <w:ind w:firstLineChars="200" w:firstLine="480"/>
        <w:jc w:val="both"/>
        <w:rPr>
          <w:rFonts w:ascii="Book Antiqua" w:eastAsia="Calibri" w:hAnsi="Book Antiqua"/>
        </w:rPr>
      </w:pPr>
      <w:r w:rsidRPr="00F46DFF">
        <w:rPr>
          <w:rFonts w:ascii="Book Antiqua" w:eastAsia="Calibri" w:hAnsi="Book Antiqua"/>
        </w:rPr>
        <w:t xml:space="preserve">Application of the expanded criteria, however, requires an adequate reserve of available organs for transplantation, since more patients are included in the transplant process. And while this is not a problem for countries located in Asia, where living donor </w:t>
      </w:r>
      <w:r w:rsidR="000F6F14">
        <w:rPr>
          <w:rFonts w:ascii="Book Antiqua" w:eastAsia="Calibri" w:hAnsi="Book Antiqua"/>
        </w:rPr>
        <w:t>LT</w:t>
      </w:r>
      <w:r w:rsidRPr="00F46DFF">
        <w:rPr>
          <w:rFonts w:ascii="Book Antiqua" w:eastAsia="Calibri" w:hAnsi="Book Antiqua"/>
        </w:rPr>
        <w:t xml:space="preserve"> (LDLT) is the main organ source, </w:t>
      </w:r>
      <w:r w:rsidR="000F6F14">
        <w:rPr>
          <w:rFonts w:ascii="Book Antiqua" w:eastAsia="Calibri" w:hAnsi="Book Antiqua"/>
        </w:rPr>
        <w:t xml:space="preserve">western </w:t>
      </w:r>
      <w:r w:rsidRPr="00F46DFF">
        <w:rPr>
          <w:rFonts w:ascii="Book Antiqua" w:eastAsia="Calibri" w:hAnsi="Book Antiqua"/>
        </w:rPr>
        <w:t xml:space="preserve">countries mainly depend on deceased donor </w:t>
      </w:r>
      <w:r w:rsidR="000F6F14">
        <w:rPr>
          <w:rFonts w:ascii="Book Antiqua" w:eastAsia="Calibri" w:hAnsi="Book Antiqua"/>
        </w:rPr>
        <w:t>LT</w:t>
      </w:r>
      <w:r w:rsidRPr="00F46DFF">
        <w:rPr>
          <w:rFonts w:ascii="Book Antiqua" w:eastAsia="Calibri" w:hAnsi="Book Antiqua"/>
        </w:rPr>
        <w:t xml:space="preserve"> (DDLT), which necessitates strict selection of eligible patients for LT</w:t>
      </w:r>
      <w:r w:rsidR="00EC7308" w:rsidRPr="00EC7308">
        <w:rPr>
          <w:rFonts w:ascii="Book Antiqua" w:eastAsia="Calibri" w:hAnsi="Book Antiqua"/>
          <w:vertAlign w:val="superscript"/>
        </w:rPr>
        <w:t>[19]</w:t>
      </w:r>
      <w:r w:rsidRPr="00F46DFF">
        <w:rPr>
          <w:rFonts w:ascii="Book Antiqua" w:eastAsia="Calibri" w:hAnsi="Book Antiqua"/>
        </w:rPr>
        <w:t xml:space="preserve">. Moreover, patients receiving DDLT typically have longer wait times when compared to patients receiving LDLT, raising concern for tumor progression in such circumstances. The above </w:t>
      </w:r>
      <w:r w:rsidRPr="00F46DFF">
        <w:rPr>
          <w:rFonts w:ascii="Book Antiqua" w:eastAsia="Calibri" w:hAnsi="Book Antiqua"/>
        </w:rPr>
        <w:lastRenderedPageBreak/>
        <w:t xml:space="preserve">remarks highlight the importance of careful selection of patients for LT, in order to maximize the positive outcomes following LT. Downstaging therapy, ideally within the MC, is common practice nowadays and has a robust armamentarium of treatment approaches that serve to reduce tumor burden and make HCC amenable to transplantation. Also, bridging therapy aims to halt tumor progression and allow patients to receive curative treatment. Although there are no clear-cut indications for downstaging or bridging therapy, results from various studies suggest that patients presenting with tumor characteristics beyond the established criteria for LT, as well as patients with waiting times </w:t>
      </w:r>
      <w:r w:rsidR="000F6F14">
        <w:rPr>
          <w:rFonts w:ascii="Book Antiqua" w:eastAsia="Calibri" w:hAnsi="Book Antiqua"/>
        </w:rPr>
        <w:t xml:space="preserve">≥ </w:t>
      </w:r>
      <w:r w:rsidRPr="00F46DFF">
        <w:rPr>
          <w:rFonts w:ascii="Book Antiqua" w:eastAsia="Calibri" w:hAnsi="Book Antiqua"/>
        </w:rPr>
        <w:t>6 mo until LT, should receive neoadjuvant therapy</w:t>
      </w:r>
      <w:r w:rsidR="00B453C5" w:rsidRPr="00B453C5">
        <w:rPr>
          <w:rFonts w:ascii="Book Antiqua" w:eastAsia="Calibri" w:hAnsi="Book Antiqua"/>
          <w:vertAlign w:val="superscript"/>
        </w:rPr>
        <w:t>[20,21]</w:t>
      </w:r>
      <w:r w:rsidRPr="00F46DFF">
        <w:rPr>
          <w:rFonts w:ascii="Book Antiqua" w:eastAsia="Calibri" w:hAnsi="Book Antiqua"/>
        </w:rPr>
        <w:t xml:space="preserve">. Outcomes following implementation of pretransplant treatment modalities have been mixed. A study from Yao </w:t>
      </w:r>
      <w:r w:rsidRPr="00C628E6">
        <w:rPr>
          <w:rFonts w:ascii="Book Antiqua" w:eastAsia="Calibri" w:hAnsi="Book Antiqua"/>
          <w:i/>
          <w:iCs/>
        </w:rPr>
        <w:t>et al</w:t>
      </w:r>
      <w:r w:rsidR="00C628E6" w:rsidRPr="00962425">
        <w:rPr>
          <w:rFonts w:ascii="Book Antiqua" w:eastAsia="Calibri" w:hAnsi="Book Antiqua"/>
          <w:vertAlign w:val="superscript"/>
        </w:rPr>
        <w:t>[8</w:t>
      </w:r>
      <w:r w:rsidR="00C628E6">
        <w:rPr>
          <w:rFonts w:ascii="Book Antiqua" w:eastAsia="Calibri" w:hAnsi="Book Antiqua"/>
          <w:vertAlign w:val="superscript"/>
        </w:rPr>
        <w:t>]</w:t>
      </w:r>
      <w:r w:rsidRPr="00F46DFF">
        <w:rPr>
          <w:rFonts w:ascii="Book Antiqua" w:eastAsia="Calibri" w:hAnsi="Book Antiqua"/>
        </w:rPr>
        <w:t xml:space="preserve"> revealed post-transplant survival and recurrence-free probabilities of patients with HCC successfully downstaged within MC to be comparable to those observed in patients with HCC and already within the MC at the time of diagnosis</w:t>
      </w:r>
      <w:r w:rsidR="00962425" w:rsidRPr="00962425">
        <w:rPr>
          <w:rFonts w:ascii="Book Antiqua" w:eastAsia="Calibri" w:hAnsi="Book Antiqua"/>
          <w:vertAlign w:val="superscript"/>
        </w:rPr>
        <w:t>[22]</w:t>
      </w:r>
      <w:r w:rsidRPr="00F46DFF">
        <w:rPr>
          <w:rFonts w:ascii="Book Antiqua" w:eastAsia="Calibri" w:hAnsi="Book Antiqua"/>
        </w:rPr>
        <w:t xml:space="preserve">. Other studies conducted by </w:t>
      </w:r>
      <w:r w:rsidR="00C10909">
        <w:rPr>
          <w:rFonts w:ascii="Book Antiqua" w:eastAsia="Calibri" w:hAnsi="Book Antiqua"/>
        </w:rPr>
        <w:t>Lao</w:t>
      </w:r>
      <w:r w:rsidRPr="00F46DFF">
        <w:rPr>
          <w:rFonts w:ascii="Book Antiqua" w:eastAsia="Calibri" w:hAnsi="Book Antiqua"/>
        </w:rPr>
        <w:t xml:space="preserve"> </w:t>
      </w:r>
      <w:r w:rsidRPr="00C77E9A">
        <w:rPr>
          <w:rFonts w:ascii="Book Antiqua" w:eastAsia="Calibri" w:hAnsi="Book Antiqua"/>
          <w:i/>
          <w:iCs/>
        </w:rPr>
        <w:t>et al</w:t>
      </w:r>
      <w:r w:rsidR="00C77E9A" w:rsidRPr="00C77E9A">
        <w:rPr>
          <w:rFonts w:ascii="Book Antiqua" w:eastAsia="Calibri" w:hAnsi="Book Antiqua"/>
          <w:vertAlign w:val="superscript"/>
        </w:rPr>
        <w:t>[2</w:t>
      </w:r>
      <w:r w:rsidR="00C10909">
        <w:rPr>
          <w:rFonts w:ascii="Book Antiqua" w:eastAsia="Calibri" w:hAnsi="Book Antiqua"/>
          <w:vertAlign w:val="superscript"/>
        </w:rPr>
        <w:t>3</w:t>
      </w:r>
      <w:r w:rsidR="00C77E9A" w:rsidRPr="00C77E9A">
        <w:rPr>
          <w:rFonts w:ascii="Book Antiqua" w:eastAsia="Calibri" w:hAnsi="Book Antiqua"/>
          <w:vertAlign w:val="superscript"/>
        </w:rPr>
        <w:t>]</w:t>
      </w:r>
      <w:r w:rsidRPr="00F46DFF">
        <w:rPr>
          <w:rFonts w:ascii="Book Antiqua" w:eastAsia="Calibri" w:hAnsi="Book Antiqua"/>
        </w:rPr>
        <w:t xml:space="preserve">, </w:t>
      </w:r>
      <w:r w:rsidR="00C10909">
        <w:rPr>
          <w:rFonts w:ascii="Book Antiqua" w:eastAsia="Calibri" w:hAnsi="Book Antiqua"/>
        </w:rPr>
        <w:t xml:space="preserve">Chapman </w:t>
      </w:r>
      <w:r w:rsidR="00C77E9A" w:rsidRPr="00C77E9A">
        <w:rPr>
          <w:rFonts w:ascii="Book Antiqua" w:eastAsia="Calibri" w:hAnsi="Book Antiqua"/>
          <w:i/>
          <w:iCs/>
        </w:rPr>
        <w:t>et al</w:t>
      </w:r>
      <w:r w:rsidR="00C77E9A" w:rsidRPr="00C77E9A">
        <w:rPr>
          <w:rFonts w:ascii="Book Antiqua" w:eastAsia="Calibri" w:hAnsi="Book Antiqua"/>
          <w:vertAlign w:val="superscript"/>
        </w:rPr>
        <w:t>[2</w:t>
      </w:r>
      <w:r w:rsidR="00C10909">
        <w:rPr>
          <w:rFonts w:ascii="Book Antiqua" w:eastAsia="Calibri" w:hAnsi="Book Antiqua"/>
          <w:vertAlign w:val="superscript"/>
        </w:rPr>
        <w:t>4</w:t>
      </w:r>
      <w:r w:rsidR="00C77E9A" w:rsidRPr="00C77E9A">
        <w:rPr>
          <w:rFonts w:ascii="Book Antiqua" w:eastAsia="Calibri" w:hAnsi="Book Antiqua"/>
          <w:vertAlign w:val="superscript"/>
        </w:rPr>
        <w:t>]</w:t>
      </w:r>
      <w:r w:rsidRPr="00F46DFF">
        <w:rPr>
          <w:rFonts w:ascii="Book Antiqua" w:eastAsia="Calibri" w:hAnsi="Book Antiqua"/>
        </w:rPr>
        <w:t xml:space="preserve">, and </w:t>
      </w:r>
      <w:r w:rsidR="00FA00A8" w:rsidRPr="00FA00A8">
        <w:rPr>
          <w:rFonts w:ascii="Book Antiqua" w:eastAsia="Calibri" w:hAnsi="Book Antiqua"/>
        </w:rPr>
        <w:t>Gordon-Weeks</w:t>
      </w:r>
      <w:r w:rsidR="00FA00A8" w:rsidRPr="00FA00A8" w:rsidDel="00FA00A8">
        <w:rPr>
          <w:rFonts w:ascii="Book Antiqua" w:eastAsia="Calibri" w:hAnsi="Book Antiqua"/>
        </w:rPr>
        <w:t xml:space="preserve"> </w:t>
      </w:r>
      <w:r w:rsidRPr="00F46DFF">
        <w:rPr>
          <w:rFonts w:ascii="Book Antiqua" w:eastAsia="Calibri" w:hAnsi="Book Antiqua"/>
        </w:rPr>
        <w:t xml:space="preserve"> </w:t>
      </w:r>
      <w:r w:rsidR="00C77E9A" w:rsidRPr="00C77E9A">
        <w:rPr>
          <w:rFonts w:ascii="Book Antiqua" w:eastAsia="Calibri" w:hAnsi="Book Antiqua"/>
          <w:i/>
          <w:iCs/>
        </w:rPr>
        <w:t>et al</w:t>
      </w:r>
      <w:r w:rsidR="00C77E9A" w:rsidRPr="00C77E9A">
        <w:rPr>
          <w:rFonts w:ascii="Book Antiqua" w:eastAsia="Calibri" w:hAnsi="Book Antiqua"/>
          <w:vertAlign w:val="superscript"/>
        </w:rPr>
        <w:t>[2</w:t>
      </w:r>
      <w:r w:rsidR="00C77E9A">
        <w:rPr>
          <w:rFonts w:ascii="Book Antiqua" w:eastAsia="Calibri" w:hAnsi="Book Antiqua"/>
          <w:vertAlign w:val="superscript"/>
        </w:rPr>
        <w:t>5</w:t>
      </w:r>
      <w:r w:rsidR="00C77E9A" w:rsidRPr="00C77E9A">
        <w:rPr>
          <w:rFonts w:ascii="Book Antiqua" w:eastAsia="Calibri" w:hAnsi="Book Antiqua"/>
          <w:vertAlign w:val="superscript"/>
        </w:rPr>
        <w:t>]</w:t>
      </w:r>
      <w:r w:rsidRPr="00F46DFF">
        <w:rPr>
          <w:rFonts w:ascii="Book Antiqua" w:eastAsia="Calibri" w:hAnsi="Book Antiqua"/>
        </w:rPr>
        <w:t xml:space="preserve"> have also reached to similar conclusions. However, several other studies examining the effect of LRT on post-LT outcomes found out that neoadjuvant therapy is not associated with improved outcomes and may even increase recurrence of HCC following downstaging protocol implementation</w:t>
      </w:r>
      <w:r w:rsidR="0099529A" w:rsidRPr="00C77E9A">
        <w:rPr>
          <w:rFonts w:ascii="Book Antiqua" w:eastAsia="Calibri" w:hAnsi="Book Antiqua"/>
          <w:vertAlign w:val="superscript"/>
        </w:rPr>
        <w:t>[</w:t>
      </w:r>
      <w:r w:rsidR="0099529A" w:rsidRPr="0099529A">
        <w:rPr>
          <w:rFonts w:ascii="Book Antiqua" w:eastAsia="Calibri" w:hAnsi="Book Antiqua"/>
          <w:vertAlign w:val="superscript"/>
        </w:rPr>
        <w:t>26-3</w:t>
      </w:r>
      <w:r w:rsidR="00A96ABF">
        <w:rPr>
          <w:rFonts w:ascii="Book Antiqua" w:eastAsia="Calibri" w:hAnsi="Book Antiqua"/>
          <w:vertAlign w:val="superscript"/>
        </w:rPr>
        <w:t>0</w:t>
      </w:r>
      <w:r w:rsidR="0099529A" w:rsidRPr="00C77E9A">
        <w:rPr>
          <w:rFonts w:ascii="Book Antiqua" w:eastAsia="Calibri" w:hAnsi="Book Antiqua"/>
          <w:vertAlign w:val="superscript"/>
        </w:rPr>
        <w:t>]</w:t>
      </w:r>
      <w:r w:rsidRPr="00F46DFF">
        <w:rPr>
          <w:rFonts w:ascii="Book Antiqua" w:eastAsia="Calibri" w:hAnsi="Book Antiqua"/>
        </w:rPr>
        <w:t>. The lack of consistent outcomes following LRT application prior to LT has generated an extensive discussion of whether conventional LRT should be modified or enriched with the aim of enhancing the downstaging and bridging options for HCC</w:t>
      </w:r>
      <w:r w:rsidR="00F166C4" w:rsidRPr="00F166C4">
        <w:rPr>
          <w:rFonts w:ascii="Book Antiqua" w:eastAsia="Calibri" w:hAnsi="Book Antiqua"/>
          <w:vertAlign w:val="superscript"/>
        </w:rPr>
        <w:t>[31]</w:t>
      </w:r>
      <w:r w:rsidRPr="00F46DFF">
        <w:rPr>
          <w:rFonts w:ascii="Book Antiqua" w:eastAsia="Calibri" w:hAnsi="Book Antiqua"/>
        </w:rPr>
        <w:t>. Immunotherapy has been on the spotlight of HCC in recent years and is mainly used for late-stage disease when curative treatment is unfeasible, resulting in improved OS and progression-free survival (PFS)</w:t>
      </w:r>
      <w:r w:rsidR="000E47E2" w:rsidRPr="000E47E2">
        <w:rPr>
          <w:rFonts w:ascii="Book Antiqua" w:eastAsia="Calibri" w:hAnsi="Book Antiqua"/>
          <w:vertAlign w:val="superscript"/>
        </w:rPr>
        <w:t>[32]</w:t>
      </w:r>
      <w:r w:rsidRPr="00F46DFF">
        <w:rPr>
          <w:rFonts w:ascii="Book Antiqua" w:eastAsia="Calibri" w:hAnsi="Book Antiqua"/>
        </w:rPr>
        <w:t xml:space="preserve">. Neoadjuvant immunotherapy as a form of LRT prior to LT is a promising new approach that aims to leave behind the flaws associated with conventional LRT and increase the number of patients receiving curative treatment. </w:t>
      </w:r>
    </w:p>
    <w:p w14:paraId="7DF2FE6B" w14:textId="77777777" w:rsidR="00F46DFF" w:rsidRPr="00F46DFF" w:rsidRDefault="00F46DFF" w:rsidP="00F46DFF">
      <w:pPr>
        <w:spacing w:line="360" w:lineRule="auto"/>
        <w:jc w:val="both"/>
        <w:rPr>
          <w:rFonts w:ascii="Book Antiqua" w:eastAsia="Calibri" w:hAnsi="Book Antiqua"/>
        </w:rPr>
      </w:pPr>
    </w:p>
    <w:p w14:paraId="0FD11730" w14:textId="1F17C2F5" w:rsidR="00F46DFF" w:rsidRPr="00697512" w:rsidRDefault="00076063" w:rsidP="00F46DFF">
      <w:pPr>
        <w:spacing w:line="360" w:lineRule="auto"/>
        <w:jc w:val="both"/>
        <w:rPr>
          <w:rFonts w:ascii="Book Antiqua" w:eastAsia="Calibri" w:hAnsi="Book Antiqua"/>
          <w:b/>
          <w:bCs/>
          <w:u w:val="single"/>
        </w:rPr>
      </w:pPr>
      <w:r w:rsidRPr="00697512">
        <w:rPr>
          <w:rFonts w:ascii="Book Antiqua" w:eastAsia="Calibri" w:hAnsi="Book Antiqua"/>
          <w:b/>
          <w:bCs/>
          <w:u w:val="single"/>
        </w:rPr>
        <w:t xml:space="preserve">IMMUNOTHERAPY FOR ADVANCED </w:t>
      </w:r>
      <w:r w:rsidR="000F6F14">
        <w:rPr>
          <w:rFonts w:ascii="Book Antiqua" w:eastAsia="Calibri" w:hAnsi="Book Antiqua"/>
          <w:b/>
          <w:bCs/>
          <w:u w:val="single"/>
        </w:rPr>
        <w:t>HCC</w:t>
      </w:r>
      <w:r w:rsidRPr="00697512">
        <w:rPr>
          <w:rFonts w:ascii="Book Antiqua" w:eastAsia="Calibri" w:hAnsi="Book Antiqua"/>
          <w:b/>
          <w:bCs/>
          <w:u w:val="single"/>
        </w:rPr>
        <w:t xml:space="preserve"> </w:t>
      </w:r>
    </w:p>
    <w:p w14:paraId="53094CC0" w14:textId="6D9EEC45" w:rsidR="00F46DFF" w:rsidRPr="00FD67BD" w:rsidRDefault="00697512" w:rsidP="00FD67BD">
      <w:pPr>
        <w:spacing w:line="360" w:lineRule="auto"/>
        <w:contextualSpacing/>
        <w:jc w:val="both"/>
        <w:rPr>
          <w:rFonts w:ascii="Book Antiqua" w:eastAsia="Calibri" w:hAnsi="Book Antiqua"/>
          <w:b/>
          <w:bCs/>
          <w:i/>
          <w:iCs/>
        </w:rPr>
      </w:pPr>
      <w:r w:rsidRPr="00697512">
        <w:rPr>
          <w:rFonts w:ascii="Book Antiqua" w:eastAsia="Calibri" w:hAnsi="Book Antiqua"/>
          <w:b/>
          <w:bCs/>
          <w:i/>
          <w:iCs/>
        </w:rPr>
        <w:t xml:space="preserve">Tumor microenvironment in </w:t>
      </w:r>
      <w:r w:rsidR="000F6F14">
        <w:rPr>
          <w:rFonts w:ascii="Book Antiqua" w:eastAsia="Calibri" w:hAnsi="Book Antiqua"/>
          <w:b/>
          <w:bCs/>
          <w:i/>
          <w:iCs/>
        </w:rPr>
        <w:t>HCC</w:t>
      </w:r>
      <w:r w:rsidRPr="00697512">
        <w:rPr>
          <w:rFonts w:ascii="Book Antiqua" w:eastAsia="Calibri" w:hAnsi="Book Antiqua"/>
          <w:b/>
          <w:bCs/>
          <w:i/>
          <w:iCs/>
        </w:rPr>
        <w:t xml:space="preserve"> </w:t>
      </w:r>
    </w:p>
    <w:p w14:paraId="26D2567D" w14:textId="3F92070F" w:rsidR="00F46DFF" w:rsidRPr="00F46DFF" w:rsidRDefault="00F46DFF" w:rsidP="00F46DFF">
      <w:pPr>
        <w:spacing w:line="360" w:lineRule="auto"/>
        <w:jc w:val="both"/>
        <w:rPr>
          <w:rFonts w:ascii="Book Antiqua" w:eastAsia="Calibri" w:hAnsi="Book Antiqua" w:cs="Times New Roman (Body CS)"/>
          <w:bCs/>
        </w:rPr>
      </w:pPr>
      <w:r w:rsidRPr="00F46DFF">
        <w:rPr>
          <w:rFonts w:ascii="Book Antiqua" w:eastAsia="Calibri" w:hAnsi="Book Antiqua" w:cs="Times New Roman (Body CS)" w:hint="cs"/>
          <w:bCs/>
        </w:rPr>
        <w:lastRenderedPageBreak/>
        <w:t>T</w:t>
      </w:r>
      <w:r w:rsidRPr="00F46DFF">
        <w:rPr>
          <w:rFonts w:ascii="Book Antiqua" w:eastAsia="Calibri" w:hAnsi="Book Antiqua" w:cs="Times New Roman (Body CS)"/>
          <w:bCs/>
        </w:rPr>
        <w:t>he liver is an immunogenically active organ. Under normal conditions, antigen-presenting cells (APCs) take up, process and present the antigens that enter the hepatic sinusoids on T cells, in an effort to elicit a robust immune response and prevent tissue damage. Kupffer cells, which are liver-specific macrophages, liver sinusoidal endothelial cells (LSECs) and hepatic stellate cells (HSCs) constitute the most important APCs in the liver parenchyma and, apart from their antigen-presenting role, complement the immunological repertoire of the liver by other means as well</w:t>
      </w:r>
      <w:r w:rsidR="00FD67BD" w:rsidRPr="00FD67BD">
        <w:rPr>
          <w:rFonts w:ascii="Book Antiqua" w:eastAsia="Calibri" w:hAnsi="Book Antiqua" w:cs="Times New Roman (Body CS)"/>
          <w:bCs/>
          <w:vertAlign w:val="superscript"/>
        </w:rPr>
        <w:t>[33]</w:t>
      </w:r>
      <w:r w:rsidRPr="00F46DFF">
        <w:rPr>
          <w:rFonts w:ascii="Book Antiqua" w:eastAsia="Calibri" w:hAnsi="Book Antiqua" w:cs="Times New Roman (Body CS)"/>
          <w:bCs/>
        </w:rPr>
        <w:t>. Kupffer cells produce anti-inflammatory molecules, mainly interleukin (IL</w:t>
      </w:r>
      <w:r w:rsidR="00174F45">
        <w:rPr>
          <w:rFonts w:ascii="Book Antiqua" w:eastAsia="Calibri" w:hAnsi="Book Antiqua" w:cs="Times New Roman (Body CS)"/>
          <w:bCs/>
        </w:rPr>
        <w:t>)</w:t>
      </w:r>
      <w:r w:rsidRPr="00F46DFF">
        <w:rPr>
          <w:rFonts w:ascii="Book Antiqua" w:eastAsia="Calibri" w:hAnsi="Book Antiqua" w:cs="Times New Roman (Body CS)"/>
          <w:bCs/>
        </w:rPr>
        <w:t xml:space="preserve">-10 and </w:t>
      </w:r>
      <w:r w:rsidR="00174F45">
        <w:rPr>
          <w:rFonts w:ascii="Book Antiqua" w:eastAsia="Calibri" w:hAnsi="Book Antiqua" w:cs="Times New Roman (Body CS)"/>
          <w:bCs/>
        </w:rPr>
        <w:t>transforming growth factor (</w:t>
      </w:r>
      <w:r w:rsidRPr="00F46DFF">
        <w:rPr>
          <w:rFonts w:ascii="Book Antiqua" w:eastAsia="Calibri" w:hAnsi="Book Antiqua" w:cs="Times New Roman (Body CS)"/>
          <w:bCs/>
        </w:rPr>
        <w:t>TGF</w:t>
      </w:r>
      <w:r w:rsidR="00174F45">
        <w:rPr>
          <w:rFonts w:ascii="Book Antiqua" w:eastAsia="Calibri" w:hAnsi="Book Antiqua" w:cs="Times New Roman (Body CS)"/>
          <w:bCs/>
        </w:rPr>
        <w:t>)</w:t>
      </w:r>
      <w:r w:rsidRPr="00F46DFF">
        <w:rPr>
          <w:rFonts w:ascii="Book Antiqua" w:eastAsia="Calibri" w:hAnsi="Book Antiqua" w:cs="Times New Roman (Body CS)"/>
          <w:bCs/>
        </w:rPr>
        <w:t xml:space="preserve">-β, attracting regulatory T (Tregs) </w:t>
      </w:r>
      <w:r w:rsidR="00174F45" w:rsidRPr="00F46DFF">
        <w:rPr>
          <w:rFonts w:ascii="Book Antiqua" w:eastAsia="Calibri" w:hAnsi="Book Antiqua" w:cs="Times New Roman (Body CS)"/>
          <w:bCs/>
        </w:rPr>
        <w:t xml:space="preserve">cells </w:t>
      </w:r>
      <w:r w:rsidRPr="00F46DFF">
        <w:rPr>
          <w:rFonts w:ascii="Book Antiqua" w:eastAsia="Calibri" w:hAnsi="Book Antiqua" w:cs="Times New Roman (Body CS)"/>
          <w:bCs/>
        </w:rPr>
        <w:t>that possess immunosuppressive properties, whereas LSECs and HSCs express high levels of programmed cell death</w:t>
      </w:r>
      <w:r w:rsidR="00174F45">
        <w:rPr>
          <w:rFonts w:ascii="Book Antiqua" w:eastAsia="Calibri" w:hAnsi="Book Antiqua" w:cs="Times New Roman (Body CS)"/>
          <w:bCs/>
        </w:rPr>
        <w:t xml:space="preserve"> </w:t>
      </w:r>
      <w:r w:rsidRPr="00F46DFF">
        <w:rPr>
          <w:rFonts w:ascii="Book Antiqua" w:eastAsia="Calibri" w:hAnsi="Book Antiqua" w:cs="Times New Roman (Body CS)"/>
          <w:bCs/>
        </w:rPr>
        <w:t>ligand (PDL</w:t>
      </w:r>
      <w:r w:rsidR="00174F45">
        <w:rPr>
          <w:rFonts w:ascii="Book Antiqua" w:eastAsia="Calibri" w:hAnsi="Book Antiqua" w:cs="Times New Roman (Body CS)"/>
          <w:bCs/>
        </w:rPr>
        <w:t>)</w:t>
      </w:r>
      <w:r w:rsidRPr="00F46DFF">
        <w:rPr>
          <w:rFonts w:ascii="Book Antiqua" w:eastAsia="Calibri" w:hAnsi="Book Antiqua" w:cs="Times New Roman (Body CS)"/>
          <w:bCs/>
        </w:rPr>
        <w:t>1, contributing to attenuation of the immune response</w:t>
      </w:r>
      <w:r w:rsidR="00B37C81" w:rsidRPr="00B37C81">
        <w:rPr>
          <w:rFonts w:ascii="Book Antiqua" w:eastAsia="Calibri" w:hAnsi="Book Antiqua" w:cs="Times New Roman (Body CS)"/>
          <w:bCs/>
          <w:vertAlign w:val="superscript"/>
        </w:rPr>
        <w:t>[34]</w:t>
      </w:r>
      <w:r w:rsidRPr="00F46DFF">
        <w:rPr>
          <w:rFonts w:ascii="Book Antiqua" w:eastAsia="Calibri" w:hAnsi="Book Antiqua" w:cs="Times New Roman (Body CS)"/>
          <w:bCs/>
        </w:rPr>
        <w:t xml:space="preserve">. As a result, the liver can fight off antigens that could cause tissue damage and also maintain immune tolerance, thereby avoiding autoimmunity. </w:t>
      </w:r>
    </w:p>
    <w:p w14:paraId="7B3B0169" w14:textId="16D66E37" w:rsidR="00A55159" w:rsidRDefault="00F46DFF" w:rsidP="00A55159">
      <w:pPr>
        <w:spacing w:line="360" w:lineRule="auto"/>
        <w:ind w:firstLineChars="200" w:firstLine="480"/>
        <w:jc w:val="both"/>
        <w:rPr>
          <w:rFonts w:ascii="Book Antiqua" w:eastAsia="Calibri" w:hAnsi="Book Antiqua" w:cs="Times New Roman (Body CS)"/>
          <w:bCs/>
        </w:rPr>
      </w:pPr>
      <w:r w:rsidRPr="00F46DFF">
        <w:rPr>
          <w:rFonts w:ascii="Book Antiqua" w:eastAsia="Calibri" w:hAnsi="Book Antiqua" w:cs="Times New Roman (Body CS)"/>
          <w:bCs/>
        </w:rPr>
        <w:t>HCC development is governed by alterations in the normal liver environment that promote tumoral spread via upregulation of immunosuppressive molecules that hinder the immune response against cancer cells</w:t>
      </w:r>
      <w:r w:rsidR="00A90ED0" w:rsidRPr="00A90ED0">
        <w:rPr>
          <w:rFonts w:ascii="Book Antiqua" w:eastAsia="Calibri" w:hAnsi="Book Antiqua" w:cs="Times New Roman (Body CS)"/>
          <w:bCs/>
          <w:vertAlign w:val="superscript"/>
        </w:rPr>
        <w:t>[35]</w:t>
      </w:r>
      <w:r w:rsidRPr="00F46DFF">
        <w:rPr>
          <w:rFonts w:ascii="Book Antiqua" w:eastAsia="Calibri" w:hAnsi="Book Antiqua" w:cs="Times New Roman (Body CS)"/>
          <w:bCs/>
        </w:rPr>
        <w:t>. Maintenance of this immunosuppressive tumor microenvironment (TME) is achieved not only by liver-residing immune cells, but also from migrating populations of lymphocytes, collectively referred to as tumor-infiltrating cells (TICs)</w:t>
      </w:r>
      <w:r w:rsidR="00CA4B41" w:rsidRPr="00CA4B41">
        <w:rPr>
          <w:rFonts w:ascii="Book Antiqua" w:eastAsia="Calibri" w:hAnsi="Book Antiqua" w:cs="Times New Roman (Body CS)"/>
          <w:bCs/>
          <w:vertAlign w:val="superscript"/>
        </w:rPr>
        <w:t>[36]</w:t>
      </w:r>
      <w:r w:rsidRPr="00F46DFF">
        <w:rPr>
          <w:rFonts w:ascii="Book Antiqua" w:eastAsia="Calibri" w:hAnsi="Book Antiqua" w:cs="Times New Roman (Body CS)"/>
          <w:bCs/>
        </w:rPr>
        <w:t>. According to the subpopulation being studied, TICs can elicit an antitumoral immune response or result in upregulation of immune evasion by cancer cells. Figure 1 depicts the dynamic and complex interactions of the components of the TME and their effect on tumor spread</w:t>
      </w:r>
      <w:r w:rsidR="00BD1990" w:rsidRPr="00BD1990">
        <w:rPr>
          <w:rFonts w:ascii="Book Antiqua" w:eastAsia="Calibri" w:hAnsi="Book Antiqua" w:cs="Times New Roman (Body CS)"/>
          <w:bCs/>
          <w:vertAlign w:val="superscript"/>
        </w:rPr>
        <w:t>[3</w:t>
      </w:r>
      <w:r w:rsidR="00A96ABF">
        <w:rPr>
          <w:rFonts w:ascii="Book Antiqua" w:eastAsia="Calibri" w:hAnsi="Book Antiqua" w:cs="Times New Roman (Body CS)"/>
          <w:bCs/>
          <w:vertAlign w:val="superscript"/>
        </w:rPr>
        <w:t>5</w:t>
      </w:r>
      <w:r w:rsidR="00BD1990" w:rsidRPr="00BD1990">
        <w:rPr>
          <w:rFonts w:ascii="Book Antiqua" w:eastAsia="Calibri" w:hAnsi="Book Antiqua" w:cs="Times New Roman (Body CS)"/>
          <w:bCs/>
          <w:vertAlign w:val="superscript"/>
        </w:rPr>
        <w:t>-38]</w:t>
      </w:r>
      <w:r w:rsidRPr="00F46DFF">
        <w:rPr>
          <w:rFonts w:ascii="Book Antiqua" w:eastAsia="Calibri" w:hAnsi="Book Antiqua" w:cs="Times New Roman (Body CS)"/>
          <w:bCs/>
        </w:rPr>
        <w:t xml:space="preserve"> </w:t>
      </w:r>
      <w:r w:rsidRPr="00F166C4">
        <w:rPr>
          <w:rFonts w:ascii="Book Antiqua" w:eastAsia="Calibri" w:hAnsi="Book Antiqua" w:cs="Times New Roman (Body CS)"/>
          <w:bCs/>
        </w:rPr>
        <w:t>(Figure 1)</w:t>
      </w:r>
      <w:r w:rsidRPr="00F46DFF">
        <w:rPr>
          <w:rFonts w:ascii="Book Antiqua" w:eastAsia="Calibri" w:hAnsi="Book Antiqua" w:cs="Times New Roman (Body CS)"/>
          <w:bCs/>
        </w:rPr>
        <w:t>.</w:t>
      </w:r>
    </w:p>
    <w:p w14:paraId="144B502F" w14:textId="0F706754" w:rsidR="00F46DFF" w:rsidRPr="00F46DFF" w:rsidRDefault="00F46DFF" w:rsidP="00A55159">
      <w:pPr>
        <w:spacing w:line="360" w:lineRule="auto"/>
        <w:ind w:firstLineChars="200" w:firstLine="480"/>
        <w:jc w:val="both"/>
        <w:rPr>
          <w:rFonts w:ascii="Book Antiqua" w:eastAsia="Calibri" w:hAnsi="Book Antiqua" w:cs="Times New Roman (Body CS)"/>
          <w:bCs/>
        </w:rPr>
      </w:pPr>
      <w:r w:rsidRPr="00F46DFF">
        <w:rPr>
          <w:rFonts w:ascii="Book Antiqua" w:eastAsia="Calibri" w:hAnsi="Book Antiqua" w:cs="Times New Roman (Body CS)"/>
          <w:bCs/>
        </w:rPr>
        <w:t>Mechanisms of immune evasion are of special concern, since many cancer treatment modalities depend on them. Immune checkpoint molecules modulate T-cell activation and function, attenuate the immune response against cancer cells and allow for unchecked cellular proliferation</w:t>
      </w:r>
      <w:r w:rsidR="00A24801" w:rsidRPr="00A24801">
        <w:rPr>
          <w:rFonts w:ascii="Book Antiqua" w:eastAsia="Calibri" w:hAnsi="Book Antiqua" w:cs="Times New Roman (Body CS)"/>
          <w:bCs/>
          <w:vertAlign w:val="superscript"/>
        </w:rPr>
        <w:t>[39,40]</w:t>
      </w:r>
      <w:r w:rsidRPr="00F46DFF">
        <w:rPr>
          <w:rFonts w:ascii="Book Antiqua" w:eastAsia="Calibri" w:hAnsi="Book Antiqua" w:cs="Times New Roman (Body CS)"/>
          <w:bCs/>
        </w:rPr>
        <w:t>. More specifically, PDL1, expressed by cancer cells or cells of the TME, binds to PD1 on the surface of T</w:t>
      </w:r>
      <w:r w:rsidR="00174F45">
        <w:rPr>
          <w:rFonts w:ascii="Book Antiqua" w:eastAsia="Calibri" w:hAnsi="Book Antiqua" w:cs="Times New Roman (Body CS)"/>
          <w:bCs/>
        </w:rPr>
        <w:t xml:space="preserve"> </w:t>
      </w:r>
      <w:r w:rsidRPr="00F46DFF">
        <w:rPr>
          <w:rFonts w:ascii="Book Antiqua" w:eastAsia="Calibri" w:hAnsi="Book Antiqua" w:cs="Times New Roman (Body CS)"/>
          <w:bCs/>
        </w:rPr>
        <w:t>cells, leading to T-cell exhaustion and inability to mount an effective immune response. Also, cytotoxic T-lymphocyte-associated protein (CTLA</w:t>
      </w:r>
      <w:r w:rsidR="00174F45">
        <w:rPr>
          <w:rFonts w:ascii="Book Antiqua" w:eastAsia="Calibri" w:hAnsi="Book Antiqua" w:cs="Times New Roman (Body CS)"/>
          <w:bCs/>
        </w:rPr>
        <w:t>)</w:t>
      </w:r>
      <w:r w:rsidRPr="00F46DFF">
        <w:rPr>
          <w:rFonts w:ascii="Book Antiqua" w:eastAsia="Calibri" w:hAnsi="Book Antiqua" w:cs="Times New Roman (Body CS)"/>
          <w:bCs/>
        </w:rPr>
        <w:t>-4 on T cells outcompetes CD28 for B7 on the surface of APCs, leading to loss of the co-stimulatory signal necessary for T-cell activation</w:t>
      </w:r>
      <w:r w:rsidR="009E2BF0" w:rsidRPr="009E2BF0">
        <w:rPr>
          <w:rFonts w:ascii="Book Antiqua" w:eastAsia="Calibri" w:hAnsi="Book Antiqua" w:cs="Times New Roman (Body CS)"/>
          <w:bCs/>
          <w:vertAlign w:val="superscript"/>
        </w:rPr>
        <w:t>[41]</w:t>
      </w:r>
      <w:r w:rsidRPr="00F46DFF">
        <w:rPr>
          <w:rFonts w:ascii="Book Antiqua" w:eastAsia="Calibri" w:hAnsi="Book Antiqua" w:cs="Times New Roman (Body CS)"/>
          <w:bCs/>
        </w:rPr>
        <w:t xml:space="preserve">. In order to </w:t>
      </w:r>
      <w:r w:rsidRPr="00F46DFF">
        <w:rPr>
          <w:rFonts w:ascii="Book Antiqua" w:eastAsia="Calibri" w:hAnsi="Book Antiqua" w:cs="Times New Roman (Body CS)"/>
          <w:bCs/>
        </w:rPr>
        <w:lastRenderedPageBreak/>
        <w:t>halt tumorigenesis, alteration of the signals that promote immune evasion was made possible with the introduction of antibodies known as immune checkpoint inhibitors (ICIs). Such antibodies that mainly target PD1 (cepilimumab, nivolumab</w:t>
      </w:r>
      <w:r w:rsidR="00174F45">
        <w:rPr>
          <w:rFonts w:ascii="Book Antiqua" w:eastAsia="Calibri" w:hAnsi="Book Antiqua" w:cs="Times New Roman (Body CS)"/>
          <w:bCs/>
        </w:rPr>
        <w:t xml:space="preserve"> and</w:t>
      </w:r>
      <w:r w:rsidR="00174F45" w:rsidRPr="00F46DFF">
        <w:rPr>
          <w:rFonts w:ascii="Book Antiqua" w:eastAsia="Calibri" w:hAnsi="Book Antiqua" w:cs="Times New Roman (Body CS)"/>
          <w:bCs/>
        </w:rPr>
        <w:t xml:space="preserve"> </w:t>
      </w:r>
      <w:r w:rsidRPr="00F46DFF">
        <w:rPr>
          <w:rFonts w:ascii="Book Antiqua" w:eastAsia="Calibri" w:hAnsi="Book Antiqua" w:cs="Times New Roman (Body CS)"/>
          <w:bCs/>
        </w:rPr>
        <w:t>pembrolizumab), PDL1 (atezolizumab, durvalumab</w:t>
      </w:r>
      <w:r w:rsidR="00174F45">
        <w:rPr>
          <w:rFonts w:ascii="Book Antiqua" w:eastAsia="Calibri" w:hAnsi="Book Antiqua" w:cs="Times New Roman (Body CS)"/>
          <w:bCs/>
        </w:rPr>
        <w:t xml:space="preserve"> and</w:t>
      </w:r>
      <w:r w:rsidR="00174F45" w:rsidRPr="00F46DFF">
        <w:rPr>
          <w:rFonts w:ascii="Book Antiqua" w:eastAsia="Calibri" w:hAnsi="Book Antiqua" w:cs="Times New Roman (Body CS)"/>
          <w:bCs/>
        </w:rPr>
        <w:t xml:space="preserve"> </w:t>
      </w:r>
      <w:r w:rsidRPr="00F46DFF">
        <w:rPr>
          <w:rFonts w:ascii="Book Antiqua" w:eastAsia="Calibri" w:hAnsi="Book Antiqua" w:cs="Times New Roman (Body CS)"/>
          <w:bCs/>
        </w:rPr>
        <w:t>avelumab) and CTLA-4 (ipilimumab), have been used in the treatment of various cancers, including HCC, and have been shown to correlate with improved OS in major studies assessing their efficacy</w:t>
      </w:r>
      <w:r w:rsidR="007B4945" w:rsidRPr="007B4945">
        <w:rPr>
          <w:rFonts w:ascii="Book Antiqua" w:eastAsia="Calibri" w:hAnsi="Book Antiqua" w:cs="Times New Roman (Body CS)"/>
          <w:bCs/>
          <w:vertAlign w:val="superscript"/>
        </w:rPr>
        <w:t>[42]</w:t>
      </w:r>
      <w:r w:rsidRPr="00F46DFF">
        <w:rPr>
          <w:rFonts w:ascii="Book Antiqua" w:eastAsia="Calibri" w:hAnsi="Book Antiqua" w:cs="Times New Roman (Body CS)"/>
          <w:bCs/>
        </w:rPr>
        <w:t>.</w:t>
      </w:r>
    </w:p>
    <w:p w14:paraId="284FD658" w14:textId="77777777" w:rsidR="00F46DFF" w:rsidRPr="00F46DFF" w:rsidRDefault="00F46DFF" w:rsidP="00F46DFF">
      <w:pPr>
        <w:spacing w:line="360" w:lineRule="auto"/>
        <w:jc w:val="both"/>
        <w:rPr>
          <w:rFonts w:ascii="Book Antiqua" w:eastAsia="Calibri" w:hAnsi="Book Antiqua" w:cs="Times New Roman (Body CS)"/>
          <w:bCs/>
        </w:rPr>
      </w:pPr>
    </w:p>
    <w:p w14:paraId="19DEBB72" w14:textId="26C3DA1F" w:rsidR="00F46DFF" w:rsidRPr="001A12A8" w:rsidRDefault="00174F45" w:rsidP="001A12A8">
      <w:pPr>
        <w:spacing w:line="360" w:lineRule="auto"/>
        <w:contextualSpacing/>
        <w:jc w:val="both"/>
        <w:rPr>
          <w:rFonts w:ascii="Book Antiqua" w:eastAsia="Calibri" w:hAnsi="Book Antiqua" w:cs="Times New Roman (Body CS)"/>
          <w:b/>
          <w:i/>
          <w:iCs/>
        </w:rPr>
      </w:pPr>
      <w:r>
        <w:rPr>
          <w:rFonts w:ascii="Book Antiqua" w:eastAsia="Calibri" w:hAnsi="Book Antiqua" w:cs="Times New Roman (Body CS)"/>
          <w:b/>
          <w:i/>
          <w:iCs/>
        </w:rPr>
        <w:t>R</w:t>
      </w:r>
      <w:r w:rsidR="001A12A8" w:rsidRPr="001A12A8">
        <w:rPr>
          <w:rFonts w:ascii="Book Antiqua" w:eastAsia="Calibri" w:hAnsi="Book Antiqua" w:cs="Times New Roman (Body CS)"/>
          <w:b/>
          <w:i/>
          <w:iCs/>
        </w:rPr>
        <w:t xml:space="preserve">ole of immunotherapy in advanced </w:t>
      </w:r>
      <w:r>
        <w:rPr>
          <w:rFonts w:ascii="Book Antiqua" w:eastAsia="Calibri" w:hAnsi="Book Antiqua" w:cs="Times New Roman (Body CS)"/>
          <w:b/>
          <w:i/>
          <w:iCs/>
        </w:rPr>
        <w:t>HCC</w:t>
      </w:r>
    </w:p>
    <w:p w14:paraId="33214D64" w14:textId="2D011C56" w:rsidR="00C37D21" w:rsidRDefault="00F46DFF" w:rsidP="00F46DFF">
      <w:pPr>
        <w:spacing w:line="360" w:lineRule="auto"/>
        <w:jc w:val="both"/>
        <w:rPr>
          <w:rFonts w:ascii="Book Antiqua" w:eastAsia="Calibri" w:hAnsi="Book Antiqua" w:cs="Times New Roman (Body CS)"/>
          <w:bCs/>
        </w:rPr>
      </w:pPr>
      <w:r w:rsidRPr="00F46DFF">
        <w:rPr>
          <w:rFonts w:ascii="Book Antiqua" w:eastAsia="Calibri" w:hAnsi="Book Antiqua" w:cs="Times New Roman (Body CS)"/>
          <w:bCs/>
        </w:rPr>
        <w:t>Although systemic therapy targeting signal conduction pathways appeared in the treatment of HCC in 2007, immunotherapy lagged for about a decade before making a debut in 2017</w:t>
      </w:r>
      <w:r w:rsidR="003A5F22" w:rsidRPr="003A5F22">
        <w:rPr>
          <w:rFonts w:ascii="Book Antiqua" w:eastAsia="Calibri" w:hAnsi="Book Antiqua" w:cs="Times New Roman (Body CS)"/>
          <w:bCs/>
          <w:vertAlign w:val="superscript"/>
        </w:rPr>
        <w:t>[43-45]</w:t>
      </w:r>
      <w:r w:rsidRPr="00F46DFF">
        <w:rPr>
          <w:rFonts w:ascii="Book Antiqua" w:eastAsia="Calibri" w:hAnsi="Book Antiqua" w:cs="Times New Roman (Body CS)"/>
          <w:bCs/>
        </w:rPr>
        <w:t>. Nivolumab, a PD1 immune checkpoint inhibitor, was the first monoclonal antibody to be assessed in the treatment of advanced HCC. The CheckMate 040 was a noncomparative, dose escalation and expansion trial that included 262 patients (48 in the dose escalation and 214 in the dose expansion phase) and revealed that nivolumab had an objective response rate (ORR) of 15</w:t>
      </w:r>
      <w:r w:rsidR="00174F45" w:rsidRPr="00F46DFF">
        <w:rPr>
          <w:rFonts w:ascii="Book Antiqua" w:eastAsia="Calibri" w:hAnsi="Book Antiqua" w:cs="Times New Roman (Body CS)"/>
          <w:bCs/>
        </w:rPr>
        <w:t>%</w:t>
      </w:r>
      <w:r w:rsidR="00174F45">
        <w:rPr>
          <w:rFonts w:ascii="Book Antiqua" w:eastAsia="Calibri" w:hAnsi="Book Antiqua" w:cs="Times New Roman (Body CS)"/>
          <w:bCs/>
        </w:rPr>
        <w:t>–</w:t>
      </w:r>
      <w:r w:rsidRPr="00F46DFF">
        <w:rPr>
          <w:rFonts w:ascii="Book Antiqua" w:eastAsia="Calibri" w:hAnsi="Book Antiqua" w:cs="Times New Roman (Body CS)"/>
          <w:bCs/>
        </w:rPr>
        <w:t>20% according to the mRECIST criteria and a median OS of 13</w:t>
      </w:r>
      <w:r w:rsidR="00BE60A8">
        <w:rPr>
          <w:rFonts w:ascii="Book Antiqua" w:eastAsia="Calibri" w:hAnsi="Book Antiqua" w:cs="Times New Roman (Body CS)"/>
          <w:bCs/>
        </w:rPr>
        <w:t>.</w:t>
      </w:r>
      <w:r w:rsidRPr="00F46DFF">
        <w:rPr>
          <w:rFonts w:ascii="Book Antiqua" w:eastAsia="Calibri" w:hAnsi="Book Antiqua" w:cs="Times New Roman (Body CS)"/>
          <w:bCs/>
        </w:rPr>
        <w:t>2</w:t>
      </w:r>
      <w:r w:rsidR="00174F45">
        <w:rPr>
          <w:rFonts w:ascii="Book Antiqua" w:eastAsia="Calibri" w:hAnsi="Book Antiqua" w:cs="Times New Roman (Body CS)"/>
          <w:bCs/>
        </w:rPr>
        <w:t>–</w:t>
      </w:r>
      <w:r w:rsidRPr="00F46DFF">
        <w:rPr>
          <w:rFonts w:ascii="Book Antiqua" w:eastAsia="Calibri" w:hAnsi="Book Antiqua" w:cs="Times New Roman (Body CS)"/>
          <w:bCs/>
        </w:rPr>
        <w:t>15 mo</w:t>
      </w:r>
      <w:r w:rsidR="00174F45">
        <w:rPr>
          <w:rFonts w:ascii="Book Antiqua" w:eastAsia="Calibri" w:hAnsi="Book Antiqua" w:cs="Times New Roman (Body CS)"/>
          <w:bCs/>
        </w:rPr>
        <w:t>;</w:t>
      </w:r>
      <w:r w:rsidR="00174F45" w:rsidRPr="00F46DFF">
        <w:rPr>
          <w:rFonts w:ascii="Book Antiqua" w:eastAsia="Calibri" w:hAnsi="Book Antiqua" w:cs="Times New Roman (Body CS)"/>
          <w:bCs/>
        </w:rPr>
        <w:t xml:space="preserve"> </w:t>
      </w:r>
      <w:r w:rsidRPr="00F46DFF">
        <w:rPr>
          <w:rFonts w:ascii="Book Antiqua" w:eastAsia="Calibri" w:hAnsi="Book Antiqua" w:cs="Times New Roman (Body CS)"/>
          <w:bCs/>
        </w:rPr>
        <w:t xml:space="preserve">findings that were comparable to the outcomes produced by sorafenib, the first-line treatment for HCC at that time. Due to the fact that no control arm was available in that trial, subsequent analyses comparing nivolumab to sorafenib were conducted. The CheckMate 459 phase </w:t>
      </w:r>
      <w:r w:rsidR="00174F45">
        <w:rPr>
          <w:rFonts w:ascii="Book Antiqua" w:eastAsia="Calibri" w:hAnsi="Book Antiqua" w:cs="Times New Roman (Body CS)"/>
          <w:bCs/>
        </w:rPr>
        <w:t>III</w:t>
      </w:r>
      <w:r w:rsidR="00174F45" w:rsidRPr="00F46DFF">
        <w:rPr>
          <w:rFonts w:ascii="Book Antiqua" w:eastAsia="Calibri" w:hAnsi="Book Antiqua" w:cs="Times New Roman (Body CS)"/>
          <w:bCs/>
        </w:rPr>
        <w:t xml:space="preserve"> </w:t>
      </w:r>
      <w:r w:rsidRPr="00F46DFF">
        <w:rPr>
          <w:rFonts w:ascii="Book Antiqua" w:eastAsia="Calibri" w:hAnsi="Book Antiqua" w:cs="Times New Roman (Body CS)"/>
          <w:bCs/>
        </w:rPr>
        <w:t xml:space="preserve">trial, assigning 743 patients with HCC to receive either nivolumab (intervention arm) or sorafenib (control arm), however, failed to show a statistically significant improvement in median OS </w:t>
      </w:r>
      <w:r w:rsidR="00E12BEF">
        <w:rPr>
          <w:rFonts w:ascii="Book Antiqua" w:eastAsia="Calibri" w:hAnsi="Book Antiqua" w:cs="Times New Roman (Body CS)"/>
          <w:bCs/>
        </w:rPr>
        <w:t>[</w:t>
      </w:r>
      <w:r w:rsidRPr="00F46DFF">
        <w:rPr>
          <w:rFonts w:ascii="Book Antiqua" w:eastAsia="Calibri" w:hAnsi="Book Antiqua" w:cs="Times New Roman (Body CS)"/>
          <w:bCs/>
        </w:rPr>
        <w:t xml:space="preserve">hazard ratio </w:t>
      </w:r>
      <w:r w:rsidR="00174F45">
        <w:rPr>
          <w:rFonts w:ascii="Book Antiqua" w:eastAsia="Calibri" w:hAnsi="Book Antiqua" w:cs="Times New Roman (Body CS)"/>
          <w:bCs/>
        </w:rPr>
        <w:t xml:space="preserve">(HR) </w:t>
      </w:r>
      <w:r w:rsidRPr="00F46DFF">
        <w:rPr>
          <w:rFonts w:ascii="Book Antiqua" w:eastAsia="Calibri" w:hAnsi="Book Antiqua" w:cs="Times New Roman (Body CS)"/>
          <w:bCs/>
        </w:rPr>
        <w:t xml:space="preserve">0.85 </w:t>
      </w:r>
      <w:r w:rsidR="004604F9" w:rsidRPr="00F46DFF">
        <w:rPr>
          <w:rFonts w:ascii="Book Antiqua" w:eastAsia="Calibri" w:hAnsi="Book Antiqua" w:cs="Times New Roman (Body CS)"/>
          <w:bCs/>
        </w:rPr>
        <w:t>(</w:t>
      </w:r>
      <w:r w:rsidR="00B65164">
        <w:rPr>
          <w:rFonts w:ascii="Book Antiqua" w:eastAsia="Calibri" w:hAnsi="Book Antiqua" w:cs="Times New Roman (Body CS)"/>
          <w:bCs/>
        </w:rPr>
        <w:t>95%</w:t>
      </w:r>
      <w:r w:rsidR="00174F45">
        <w:rPr>
          <w:rFonts w:ascii="Book Antiqua" w:eastAsia="Calibri" w:hAnsi="Book Antiqua" w:cs="Times New Roman (Body CS)"/>
          <w:bCs/>
        </w:rPr>
        <w:t xml:space="preserve"> confidence interval (</w:t>
      </w:r>
      <w:r w:rsidR="00B65164">
        <w:rPr>
          <w:rFonts w:ascii="Book Antiqua" w:eastAsia="Calibri" w:hAnsi="Book Antiqua" w:cs="Times New Roman (Body CS)"/>
          <w:bCs/>
        </w:rPr>
        <w:t>CI</w:t>
      </w:r>
      <w:r w:rsidR="00174F45">
        <w:rPr>
          <w:rFonts w:ascii="Book Antiqua" w:eastAsia="Calibri" w:hAnsi="Book Antiqua" w:cs="Times New Roman (Body CS)"/>
          <w:bCs/>
        </w:rPr>
        <w:t>)</w:t>
      </w:r>
      <w:r w:rsidR="00B65164">
        <w:rPr>
          <w:rFonts w:ascii="Book Antiqua" w:eastAsia="Calibri" w:hAnsi="Book Antiqua" w:cs="Times New Roman (Body CS)"/>
          <w:bCs/>
        </w:rPr>
        <w:t>:</w:t>
      </w:r>
      <w:r w:rsidRPr="00F46DFF">
        <w:rPr>
          <w:rFonts w:ascii="Book Antiqua" w:eastAsia="Calibri" w:hAnsi="Book Antiqua" w:cs="Times New Roman (Body CS)"/>
          <w:bCs/>
        </w:rPr>
        <w:t xml:space="preserve"> 0.72</w:t>
      </w:r>
      <w:r w:rsidR="00174F45">
        <w:rPr>
          <w:rFonts w:ascii="Book Antiqua" w:eastAsia="Calibri" w:hAnsi="Book Antiqua" w:cs="Times New Roman (Body CS)"/>
          <w:bCs/>
        </w:rPr>
        <w:t>–</w:t>
      </w:r>
      <w:r w:rsidRPr="00F46DFF">
        <w:rPr>
          <w:rFonts w:ascii="Book Antiqua" w:eastAsia="Calibri" w:hAnsi="Book Antiqua" w:cs="Times New Roman (Body CS)"/>
          <w:bCs/>
        </w:rPr>
        <w:t>1.02</w:t>
      </w:r>
      <w:r w:rsidR="004604F9" w:rsidRPr="00F46DFF">
        <w:rPr>
          <w:rFonts w:ascii="Book Antiqua" w:eastAsia="Calibri" w:hAnsi="Book Antiqua" w:cs="Times New Roman (Body CS)"/>
          <w:bCs/>
        </w:rPr>
        <w:t>)</w:t>
      </w:r>
      <w:r w:rsidRPr="00F46DFF">
        <w:rPr>
          <w:rFonts w:ascii="Book Antiqua" w:eastAsia="Calibri" w:hAnsi="Book Antiqua" w:cs="Times New Roman (Body CS)"/>
          <w:bCs/>
        </w:rPr>
        <w:t xml:space="preserve">; </w:t>
      </w:r>
      <w:r w:rsidR="004604F9" w:rsidRPr="004604F9">
        <w:rPr>
          <w:rFonts w:ascii="Book Antiqua" w:eastAsia="Calibri" w:hAnsi="Book Antiqua" w:cs="Times New Roman (Body CS)"/>
          <w:bCs/>
          <w:i/>
          <w:iCs/>
        </w:rPr>
        <w:t>P</w:t>
      </w:r>
      <w:r w:rsidRPr="00F46DFF">
        <w:rPr>
          <w:rFonts w:ascii="Book Antiqua" w:eastAsia="Calibri" w:hAnsi="Book Antiqua" w:cs="Times New Roman (Body CS)"/>
          <w:bCs/>
        </w:rPr>
        <w:t xml:space="preserve"> value above the protocol-defined significance level</w:t>
      </w:r>
      <w:r w:rsidR="00E12BEF">
        <w:rPr>
          <w:rFonts w:ascii="Book Antiqua" w:eastAsia="Calibri" w:hAnsi="Book Antiqua" w:cs="Times New Roman (Body CS)"/>
          <w:bCs/>
        </w:rPr>
        <w:t>]</w:t>
      </w:r>
      <w:r w:rsidRPr="00F46DFF">
        <w:rPr>
          <w:rFonts w:ascii="Book Antiqua" w:eastAsia="Calibri" w:hAnsi="Book Antiqua" w:cs="Times New Roman (Body CS)"/>
          <w:bCs/>
        </w:rPr>
        <w:t xml:space="preserve"> and PFS </w:t>
      </w:r>
      <w:r w:rsidR="00256C0A">
        <w:rPr>
          <w:rFonts w:ascii="Book Antiqua" w:eastAsia="Calibri" w:hAnsi="Book Antiqua" w:cs="Times New Roman (Body CS)"/>
          <w:bCs/>
        </w:rPr>
        <w:t>[</w:t>
      </w:r>
      <w:r w:rsidR="00174F45">
        <w:rPr>
          <w:rFonts w:ascii="Book Antiqua" w:eastAsia="Calibri" w:hAnsi="Book Antiqua" w:cs="Times New Roman (Body CS)"/>
          <w:bCs/>
        </w:rPr>
        <w:t>HR</w:t>
      </w:r>
      <w:r w:rsidRPr="00F46DFF">
        <w:rPr>
          <w:rFonts w:ascii="Book Antiqua" w:eastAsia="Calibri" w:hAnsi="Book Antiqua" w:cs="Times New Roman (Body CS)"/>
          <w:bCs/>
        </w:rPr>
        <w:t xml:space="preserve"> 0.93 </w:t>
      </w:r>
      <w:r w:rsidR="00256C0A" w:rsidRPr="00F46DFF">
        <w:rPr>
          <w:rFonts w:ascii="Book Antiqua" w:eastAsia="Calibri" w:hAnsi="Book Antiqua" w:cs="Times New Roman (Body CS)"/>
          <w:bCs/>
        </w:rPr>
        <w:t>(</w:t>
      </w:r>
      <w:r w:rsidR="00B65164">
        <w:rPr>
          <w:rFonts w:ascii="Book Antiqua" w:eastAsia="Calibri" w:hAnsi="Book Antiqua" w:cs="Times New Roman (Body CS)"/>
          <w:bCs/>
        </w:rPr>
        <w:t>95%</w:t>
      </w:r>
      <w:r w:rsidR="00174F45">
        <w:rPr>
          <w:rFonts w:ascii="Book Antiqua" w:eastAsia="Calibri" w:hAnsi="Book Antiqua" w:cs="Times New Roman (Body CS)"/>
          <w:bCs/>
        </w:rPr>
        <w:t xml:space="preserve"> </w:t>
      </w:r>
      <w:r w:rsidR="00B65164">
        <w:rPr>
          <w:rFonts w:ascii="Book Antiqua" w:eastAsia="Calibri" w:hAnsi="Book Antiqua" w:cs="Times New Roman (Body CS)"/>
          <w:bCs/>
        </w:rPr>
        <w:t>CI:</w:t>
      </w:r>
      <w:r w:rsidRPr="00F46DFF">
        <w:rPr>
          <w:rFonts w:ascii="Book Antiqua" w:eastAsia="Calibri" w:hAnsi="Book Antiqua" w:cs="Times New Roman (Body CS)"/>
          <w:bCs/>
        </w:rPr>
        <w:t xml:space="preserve"> 0.79</w:t>
      </w:r>
      <w:r w:rsidR="00174F45">
        <w:rPr>
          <w:rFonts w:ascii="Book Antiqua" w:eastAsia="Calibri" w:hAnsi="Book Antiqua" w:cs="Times New Roman (Body CS)"/>
          <w:bCs/>
        </w:rPr>
        <w:t>–</w:t>
      </w:r>
      <w:r w:rsidRPr="00F46DFF">
        <w:rPr>
          <w:rFonts w:ascii="Book Antiqua" w:eastAsia="Calibri" w:hAnsi="Book Antiqua" w:cs="Times New Roman (Body CS)"/>
          <w:bCs/>
        </w:rPr>
        <w:t>1.1</w:t>
      </w:r>
      <w:r w:rsidR="00256C0A" w:rsidRPr="00F46DFF">
        <w:rPr>
          <w:rFonts w:ascii="Book Antiqua" w:eastAsia="Calibri" w:hAnsi="Book Antiqua" w:cs="Times New Roman (Body CS)"/>
          <w:bCs/>
        </w:rPr>
        <w:t>)</w:t>
      </w:r>
      <w:r w:rsidRPr="00F46DFF">
        <w:rPr>
          <w:rFonts w:ascii="Book Antiqua" w:eastAsia="Calibri" w:hAnsi="Book Antiqua" w:cs="Times New Roman (Body CS)"/>
          <w:bCs/>
        </w:rPr>
        <w:t xml:space="preserve">; </w:t>
      </w:r>
      <w:r w:rsidR="009951F1" w:rsidRPr="004604F9">
        <w:rPr>
          <w:rFonts w:ascii="Book Antiqua" w:eastAsia="Calibri" w:hAnsi="Book Antiqua" w:cs="Times New Roman (Body CS)"/>
          <w:bCs/>
          <w:i/>
          <w:iCs/>
        </w:rPr>
        <w:t>P</w:t>
      </w:r>
      <w:r w:rsidRPr="00F46DFF">
        <w:rPr>
          <w:rFonts w:ascii="Book Antiqua" w:eastAsia="Calibri" w:hAnsi="Book Antiqua" w:cs="Times New Roman (Body CS)"/>
          <w:bCs/>
        </w:rPr>
        <w:t xml:space="preserve"> value above the protocol-defined significance level</w:t>
      </w:r>
      <w:r w:rsidR="00256C0A">
        <w:rPr>
          <w:rFonts w:ascii="Book Antiqua" w:eastAsia="Calibri" w:hAnsi="Book Antiqua" w:cs="Times New Roman (Body CS)"/>
          <w:bCs/>
        </w:rPr>
        <w:t>]</w:t>
      </w:r>
      <w:r w:rsidRPr="00F46DFF">
        <w:rPr>
          <w:rFonts w:ascii="Book Antiqua" w:eastAsia="Calibri" w:hAnsi="Book Antiqua" w:cs="Times New Roman (Body CS)"/>
          <w:bCs/>
        </w:rPr>
        <w:t xml:space="preserve">, but revealed a clinically significant median OS of 16.4 mo </w:t>
      </w:r>
      <w:r w:rsidR="00174F45">
        <w:rPr>
          <w:rFonts w:ascii="Book Antiqua" w:eastAsia="Calibri" w:hAnsi="Book Antiqua" w:cs="Times New Roman (Body CS)"/>
          <w:bCs/>
        </w:rPr>
        <w:t>versus</w:t>
      </w:r>
      <w:r w:rsidR="00174F45" w:rsidRPr="00F46DFF">
        <w:rPr>
          <w:rFonts w:ascii="Book Antiqua" w:eastAsia="Calibri" w:hAnsi="Book Antiqua" w:cs="Times New Roman (Body CS)"/>
          <w:bCs/>
        </w:rPr>
        <w:t xml:space="preserve"> </w:t>
      </w:r>
      <w:r w:rsidRPr="00F46DFF">
        <w:rPr>
          <w:rFonts w:ascii="Book Antiqua" w:eastAsia="Calibri" w:hAnsi="Book Antiqua" w:cs="Times New Roman (Body CS)"/>
          <w:bCs/>
        </w:rPr>
        <w:t>14.7 mo in the intervention and control arms, respectively. Even more, grade 3</w:t>
      </w:r>
      <w:r w:rsidR="00174F45">
        <w:rPr>
          <w:rFonts w:ascii="Book Antiqua" w:eastAsia="Calibri" w:hAnsi="Book Antiqua" w:cs="Times New Roman (Body CS)"/>
          <w:bCs/>
        </w:rPr>
        <w:t>/</w:t>
      </w:r>
      <w:r w:rsidRPr="00F46DFF">
        <w:rPr>
          <w:rFonts w:ascii="Book Antiqua" w:eastAsia="Calibri" w:hAnsi="Book Antiqua" w:cs="Times New Roman (Body CS)"/>
          <w:bCs/>
        </w:rPr>
        <w:t xml:space="preserve">4 adverse effects were reported in 22% of patients treated with nivolumab </w:t>
      </w:r>
      <w:r w:rsidR="00174F45">
        <w:rPr>
          <w:rFonts w:ascii="Book Antiqua" w:eastAsia="Calibri" w:hAnsi="Book Antiqua" w:cs="Times New Roman (Body CS)"/>
          <w:bCs/>
        </w:rPr>
        <w:t>compared with</w:t>
      </w:r>
      <w:r w:rsidR="00174F45" w:rsidRPr="00F46DFF">
        <w:rPr>
          <w:rFonts w:ascii="Book Antiqua" w:eastAsia="Calibri" w:hAnsi="Book Antiqua" w:cs="Times New Roman (Body CS)"/>
          <w:bCs/>
        </w:rPr>
        <w:t xml:space="preserve"> </w:t>
      </w:r>
      <w:r w:rsidRPr="00F46DFF">
        <w:rPr>
          <w:rFonts w:ascii="Book Antiqua" w:eastAsia="Calibri" w:hAnsi="Book Antiqua" w:cs="Times New Roman (Body CS)"/>
          <w:bCs/>
        </w:rPr>
        <w:t>49% of patients treated with sorafenib, justifying the use of this immun</w:t>
      </w:r>
      <w:r w:rsidR="00174F45">
        <w:rPr>
          <w:rFonts w:ascii="Book Antiqua" w:eastAsia="Calibri" w:hAnsi="Book Antiqua" w:cs="Times New Roman (Body CS)"/>
          <w:bCs/>
        </w:rPr>
        <w:t>o</w:t>
      </w:r>
      <w:r w:rsidRPr="00F46DFF">
        <w:rPr>
          <w:rFonts w:ascii="Book Antiqua" w:eastAsia="Calibri" w:hAnsi="Book Antiqua" w:cs="Times New Roman (Body CS)"/>
          <w:bCs/>
        </w:rPr>
        <w:t>modulating therapy in patients who are not candidates for sorafenib</w:t>
      </w:r>
      <w:r w:rsidR="00124259" w:rsidRPr="00124259">
        <w:rPr>
          <w:rFonts w:ascii="Book Antiqua" w:eastAsia="Calibri" w:hAnsi="Book Antiqua" w:cs="Times New Roman (Body CS)"/>
          <w:bCs/>
          <w:vertAlign w:val="superscript"/>
        </w:rPr>
        <w:t>[32,46-48]</w:t>
      </w:r>
      <w:r w:rsidRPr="00F46DFF">
        <w:rPr>
          <w:rFonts w:ascii="Book Antiqua" w:eastAsia="Calibri" w:hAnsi="Book Antiqua" w:cs="Times New Roman (Body CS)"/>
          <w:bCs/>
        </w:rPr>
        <w:t xml:space="preserve">. Pembrolizumab, another PD1 immune checkpoint inhibitor, was also assessed in the KEYNOTE 224 study, </w:t>
      </w:r>
      <w:r w:rsidRPr="00F46DFF">
        <w:rPr>
          <w:rFonts w:ascii="Book Antiqua" w:eastAsia="Calibri" w:hAnsi="Book Antiqua" w:cs="Times New Roman (Body CS)"/>
          <w:bCs/>
        </w:rPr>
        <w:lastRenderedPageBreak/>
        <w:t>yielding an ORR of 17% and median OS of 12.9 mo</w:t>
      </w:r>
      <w:r w:rsidR="00CB4E66" w:rsidRPr="00CB4E66">
        <w:rPr>
          <w:rFonts w:ascii="Book Antiqua" w:eastAsia="Calibri" w:hAnsi="Book Antiqua" w:cs="Times New Roman (Body CS)"/>
          <w:bCs/>
          <w:vertAlign w:val="superscript"/>
        </w:rPr>
        <w:t>[49]</w:t>
      </w:r>
      <w:r w:rsidRPr="00F46DFF">
        <w:rPr>
          <w:rFonts w:ascii="Book Antiqua" w:eastAsia="Calibri" w:hAnsi="Book Antiqua" w:cs="Times New Roman (Body CS)"/>
          <w:bCs/>
        </w:rPr>
        <w:t xml:space="preserve">. Phase </w:t>
      </w:r>
      <w:r w:rsidR="00174F45">
        <w:rPr>
          <w:rFonts w:ascii="Book Antiqua" w:eastAsia="Calibri" w:hAnsi="Book Antiqua" w:cs="Times New Roman (Body CS)"/>
          <w:bCs/>
        </w:rPr>
        <w:t>III</w:t>
      </w:r>
      <w:r w:rsidR="00174F45" w:rsidRPr="00F46DFF">
        <w:rPr>
          <w:rFonts w:ascii="Book Antiqua" w:eastAsia="Calibri" w:hAnsi="Book Antiqua" w:cs="Times New Roman (Body CS)"/>
          <w:bCs/>
        </w:rPr>
        <w:t xml:space="preserve"> </w:t>
      </w:r>
      <w:r w:rsidRPr="00F46DFF">
        <w:rPr>
          <w:rFonts w:ascii="Book Antiqua" w:eastAsia="Calibri" w:hAnsi="Book Antiqua" w:cs="Times New Roman (Body CS)"/>
          <w:bCs/>
        </w:rPr>
        <w:t>trials assessing the comparative efficacy of pembrolizumab to best supportive care, failed to show significance in the primary endpoints of OS and PFS</w:t>
      </w:r>
      <w:r w:rsidR="00174F45">
        <w:rPr>
          <w:rFonts w:ascii="Book Antiqua" w:eastAsia="Calibri" w:hAnsi="Book Antiqua" w:cs="Times New Roman (Body CS)"/>
          <w:bCs/>
        </w:rPr>
        <w:t>;</w:t>
      </w:r>
      <w:r w:rsidR="00174F45" w:rsidRPr="00F46DFF">
        <w:rPr>
          <w:rFonts w:ascii="Book Antiqua" w:eastAsia="Calibri" w:hAnsi="Book Antiqua" w:cs="Times New Roman (Body CS)"/>
          <w:bCs/>
        </w:rPr>
        <w:t xml:space="preserve"> </w:t>
      </w:r>
      <w:r w:rsidRPr="00F46DFF">
        <w:rPr>
          <w:rFonts w:ascii="Book Antiqua" w:eastAsia="Calibri" w:hAnsi="Book Antiqua" w:cs="Times New Roman (Body CS)"/>
          <w:bCs/>
        </w:rPr>
        <w:t>albeit a clinically significant increase in OS</w:t>
      </w:r>
      <w:r w:rsidR="002414AB" w:rsidRPr="002414AB">
        <w:rPr>
          <w:rFonts w:ascii="Book Antiqua" w:eastAsia="Calibri" w:hAnsi="Book Antiqua" w:cs="Times New Roman (Body CS)"/>
          <w:bCs/>
          <w:vertAlign w:val="superscript"/>
        </w:rPr>
        <w:t>[32,50,51]</w:t>
      </w:r>
      <w:r w:rsidRPr="00F46DFF">
        <w:rPr>
          <w:rFonts w:ascii="Book Antiqua" w:eastAsia="Calibri" w:hAnsi="Book Antiqua" w:cs="Times New Roman (Body CS)"/>
          <w:bCs/>
        </w:rPr>
        <w:t xml:space="preserve">. </w:t>
      </w:r>
      <w:r w:rsidR="00174F45">
        <w:rPr>
          <w:rFonts w:ascii="Book Antiqua" w:eastAsia="Calibri" w:hAnsi="Book Antiqua" w:cs="Times New Roman (Body CS)"/>
          <w:bCs/>
        </w:rPr>
        <w:t>Several</w:t>
      </w:r>
      <w:r w:rsidR="00174F45" w:rsidRPr="00F46DFF">
        <w:rPr>
          <w:rFonts w:ascii="Book Antiqua" w:eastAsia="Calibri" w:hAnsi="Book Antiqua" w:cs="Times New Roman (Body CS)"/>
          <w:bCs/>
        </w:rPr>
        <w:t xml:space="preserve"> </w:t>
      </w:r>
      <w:r w:rsidRPr="00F46DFF">
        <w:rPr>
          <w:rFonts w:ascii="Book Antiqua" w:eastAsia="Calibri" w:hAnsi="Book Antiqua" w:cs="Times New Roman (Body CS)"/>
          <w:bCs/>
        </w:rPr>
        <w:t>other monoclonal antibodies have been thoroughly investigated as potential first-line treatment options for advanced HCC, including tislelizumab, durvalumab, avelumab, tremelimumab and atezolizumab. Results from these studies have revealed promising outcomes regarding the effect of these immunotherapies in OS and PFS when compared to currently established first-line options for HCC. Table 1 summarizes the major trials that harness immunotherapy, either alone or in combination with other modalities (</w:t>
      </w:r>
      <w:r w:rsidRPr="00C37D21">
        <w:rPr>
          <w:rFonts w:ascii="Book Antiqua" w:eastAsia="Calibri" w:hAnsi="Book Antiqua" w:cs="Times New Roman (Body CS)"/>
          <w:bCs/>
          <w:i/>
          <w:iCs/>
        </w:rPr>
        <w:t>e.g.,</w:t>
      </w:r>
      <w:r w:rsidRPr="00F46DFF">
        <w:rPr>
          <w:rFonts w:ascii="Book Antiqua" w:eastAsia="Calibri" w:hAnsi="Book Antiqua" w:cs="Times New Roman (Body CS)"/>
          <w:bCs/>
        </w:rPr>
        <w:t xml:space="preserve"> addition of a second ICI or systemic therapy), for the treatment of advanced HCC</w:t>
      </w:r>
      <w:r w:rsidR="00BE007C" w:rsidRPr="00BE007C">
        <w:rPr>
          <w:rFonts w:ascii="Book Antiqua" w:eastAsia="Calibri" w:hAnsi="Book Antiqua" w:cs="Times New Roman (Body CS)"/>
          <w:bCs/>
          <w:vertAlign w:val="superscript"/>
        </w:rPr>
        <w:t>[32,33,39-42,46,47,49,52-54]</w:t>
      </w:r>
      <w:r w:rsidRPr="00F46DFF">
        <w:rPr>
          <w:rFonts w:ascii="Book Antiqua" w:eastAsia="Calibri" w:hAnsi="Book Antiqua" w:cs="Times New Roman (Body CS)"/>
          <w:bCs/>
        </w:rPr>
        <w:t xml:space="preserve"> </w:t>
      </w:r>
      <w:r w:rsidRPr="00C37D21">
        <w:rPr>
          <w:rFonts w:ascii="Book Antiqua" w:eastAsia="Calibri" w:hAnsi="Book Antiqua" w:cs="Times New Roman (Body CS)"/>
          <w:bCs/>
        </w:rPr>
        <w:t>(Table 1)</w:t>
      </w:r>
      <w:r w:rsidRPr="00F46DFF">
        <w:rPr>
          <w:rFonts w:ascii="Book Antiqua" w:eastAsia="Calibri" w:hAnsi="Book Antiqua" w:cs="Times New Roman (Body CS)"/>
          <w:bCs/>
        </w:rPr>
        <w:t>.</w:t>
      </w:r>
    </w:p>
    <w:p w14:paraId="0C810705" w14:textId="26CFE9D2" w:rsidR="009068E7" w:rsidRDefault="00F46DFF" w:rsidP="009068E7">
      <w:pPr>
        <w:spacing w:line="360" w:lineRule="auto"/>
        <w:ind w:firstLineChars="200" w:firstLine="480"/>
        <w:jc w:val="both"/>
        <w:rPr>
          <w:rFonts w:ascii="Book Antiqua" w:eastAsia="Calibri" w:hAnsi="Book Antiqua" w:cs="Times New Roman (Body CS)"/>
          <w:bCs/>
        </w:rPr>
      </w:pPr>
      <w:r w:rsidRPr="00F46DFF">
        <w:rPr>
          <w:rFonts w:ascii="Book Antiqua" w:eastAsia="Calibri" w:hAnsi="Book Antiqua" w:cs="Times New Roman (Body CS)"/>
          <w:bCs/>
        </w:rPr>
        <w:t xml:space="preserve">The IMbrave150 trial was a cornerstone in the management of advanced HCC. This global, open-label phase </w:t>
      </w:r>
      <w:r w:rsidR="00174F45">
        <w:rPr>
          <w:rFonts w:ascii="Book Antiqua" w:eastAsia="Calibri" w:hAnsi="Book Antiqua" w:cs="Times New Roman (Body CS)"/>
          <w:bCs/>
        </w:rPr>
        <w:t>III</w:t>
      </w:r>
      <w:r w:rsidR="00174F45" w:rsidRPr="00F46DFF">
        <w:rPr>
          <w:rFonts w:ascii="Book Antiqua" w:eastAsia="Calibri" w:hAnsi="Book Antiqua" w:cs="Times New Roman (Body CS)"/>
          <w:bCs/>
        </w:rPr>
        <w:t xml:space="preserve"> </w:t>
      </w:r>
      <w:r w:rsidRPr="00F46DFF">
        <w:rPr>
          <w:rFonts w:ascii="Book Antiqua" w:eastAsia="Calibri" w:hAnsi="Book Antiqua" w:cs="Times New Roman (Body CS)"/>
          <w:bCs/>
        </w:rPr>
        <w:t>randomized trial compared atezolizumab</w:t>
      </w:r>
      <w:r w:rsidR="00174F45">
        <w:rPr>
          <w:rFonts w:ascii="Book Antiqua" w:eastAsia="Calibri" w:hAnsi="Book Antiqua" w:cs="Times New Roman (Body CS)"/>
          <w:bCs/>
        </w:rPr>
        <w:t>–</w:t>
      </w:r>
      <w:r w:rsidRPr="00F46DFF">
        <w:rPr>
          <w:rFonts w:ascii="Book Antiqua" w:eastAsia="Calibri" w:hAnsi="Book Antiqua" w:cs="Times New Roman (Body CS)"/>
          <w:bCs/>
        </w:rPr>
        <w:t xml:space="preserve">bevacizumab </w:t>
      </w:r>
      <w:r w:rsidR="00174F45">
        <w:rPr>
          <w:rFonts w:ascii="Book Antiqua" w:eastAsia="Calibri" w:hAnsi="Book Antiqua" w:cs="Times New Roman (Body CS)"/>
          <w:bCs/>
        </w:rPr>
        <w:t>with</w:t>
      </w:r>
      <w:r w:rsidR="00174F45" w:rsidRPr="00F46DFF">
        <w:rPr>
          <w:rFonts w:ascii="Book Antiqua" w:eastAsia="Calibri" w:hAnsi="Book Antiqua" w:cs="Times New Roman (Body CS)"/>
          <w:bCs/>
        </w:rPr>
        <w:t xml:space="preserve"> </w:t>
      </w:r>
      <w:r w:rsidRPr="00F46DFF">
        <w:rPr>
          <w:rFonts w:ascii="Book Antiqua" w:eastAsia="Calibri" w:hAnsi="Book Antiqua" w:cs="Times New Roman (Body CS)"/>
          <w:bCs/>
        </w:rPr>
        <w:t xml:space="preserve">sorafenib in the treatment of advanced HCC. Atezolizumab is a PDL1 </w:t>
      </w:r>
      <w:r w:rsidR="00174F45">
        <w:rPr>
          <w:rFonts w:ascii="Book Antiqua" w:eastAsia="Calibri" w:hAnsi="Book Antiqua" w:cs="Times New Roman (Body CS)"/>
          <w:bCs/>
        </w:rPr>
        <w:t>ICI</w:t>
      </w:r>
      <w:r w:rsidRPr="00F46DFF">
        <w:rPr>
          <w:rFonts w:ascii="Book Antiqua" w:eastAsia="Calibri" w:hAnsi="Book Antiqua" w:cs="Times New Roman (Body CS)"/>
          <w:bCs/>
        </w:rPr>
        <w:t xml:space="preserve"> and bevacizumab is a vascular endothelial growth factor inhibitor. 501 patients were randomly assigned in 2:1 ratio to receive either atezolizumab-bevacizumab or sorafenib until there was clinical benefit or emergence of unacceptable side effects. The primary endpoints were OS and PFS, whereas secondary endpoints included ORR, duration of response, deterioration of quality of life, physical functioning, and role</w:t>
      </w:r>
      <w:r w:rsidR="00174F45">
        <w:rPr>
          <w:rFonts w:ascii="Book Antiqua" w:eastAsia="Calibri" w:hAnsi="Book Antiqua" w:cs="Times New Roman (Body CS)"/>
          <w:bCs/>
        </w:rPr>
        <w:t xml:space="preserve"> </w:t>
      </w:r>
      <w:r w:rsidRPr="00F46DFF">
        <w:rPr>
          <w:rFonts w:ascii="Book Antiqua" w:eastAsia="Calibri" w:hAnsi="Book Antiqua" w:cs="Times New Roman (Body CS)"/>
          <w:bCs/>
        </w:rPr>
        <w:t>functioning. According to the results, median OS was 19.2 mo (</w:t>
      </w:r>
      <w:r w:rsidR="00B65164">
        <w:rPr>
          <w:rFonts w:ascii="Book Antiqua" w:eastAsia="Calibri" w:hAnsi="Book Antiqua" w:cs="Times New Roman (Body CS)"/>
          <w:bCs/>
        </w:rPr>
        <w:t>95%</w:t>
      </w:r>
      <w:r w:rsidR="00174F45">
        <w:rPr>
          <w:rFonts w:ascii="Book Antiqua" w:eastAsia="Calibri" w:hAnsi="Book Antiqua" w:cs="Times New Roman (Body CS)"/>
          <w:bCs/>
        </w:rPr>
        <w:t xml:space="preserve"> </w:t>
      </w:r>
      <w:r w:rsidR="00B65164">
        <w:rPr>
          <w:rFonts w:ascii="Book Antiqua" w:eastAsia="Calibri" w:hAnsi="Book Antiqua" w:cs="Times New Roman (Body CS)"/>
          <w:bCs/>
        </w:rPr>
        <w:t>CI:</w:t>
      </w:r>
      <w:r w:rsidRPr="00F46DFF">
        <w:rPr>
          <w:rFonts w:ascii="Book Antiqua" w:eastAsia="Calibri" w:hAnsi="Book Antiqua" w:cs="Times New Roman (Body CS)"/>
          <w:bCs/>
        </w:rPr>
        <w:t xml:space="preserve"> 17.0</w:t>
      </w:r>
      <w:r w:rsidR="00174F45">
        <w:rPr>
          <w:rFonts w:ascii="Book Antiqua" w:eastAsia="Calibri" w:hAnsi="Book Antiqua" w:cs="Times New Roman (Body CS)"/>
          <w:bCs/>
        </w:rPr>
        <w:t>–</w:t>
      </w:r>
      <w:r w:rsidRPr="00F46DFF">
        <w:rPr>
          <w:rFonts w:ascii="Book Antiqua" w:eastAsia="Calibri" w:hAnsi="Book Antiqua" w:cs="Times New Roman (Body CS)"/>
          <w:bCs/>
        </w:rPr>
        <w:t>23.7) with atezolizumab</w:t>
      </w:r>
      <w:r w:rsidR="00174F45">
        <w:rPr>
          <w:rFonts w:ascii="Book Antiqua" w:eastAsia="Calibri" w:hAnsi="Book Antiqua" w:cs="Times New Roman (Body CS)"/>
          <w:bCs/>
        </w:rPr>
        <w:t>–</w:t>
      </w:r>
      <w:r w:rsidRPr="00F46DFF">
        <w:rPr>
          <w:rFonts w:ascii="Book Antiqua" w:eastAsia="Calibri" w:hAnsi="Book Antiqua" w:cs="Times New Roman (Body CS)"/>
          <w:bCs/>
        </w:rPr>
        <w:t>bevacizumab and 13.4 mo (</w:t>
      </w:r>
      <w:r w:rsidR="00B65164">
        <w:rPr>
          <w:rFonts w:ascii="Book Antiqua" w:eastAsia="Calibri" w:hAnsi="Book Antiqua" w:cs="Times New Roman (Body CS)"/>
          <w:bCs/>
        </w:rPr>
        <w:t>95%CI:</w:t>
      </w:r>
      <w:r w:rsidRPr="00F46DFF">
        <w:rPr>
          <w:rFonts w:ascii="Book Antiqua" w:eastAsia="Calibri" w:hAnsi="Book Antiqua" w:cs="Times New Roman (Body CS)"/>
          <w:bCs/>
        </w:rPr>
        <w:t xml:space="preserve"> 11.4-16.9) with sorafenib </w:t>
      </w:r>
      <w:r w:rsidR="00F93DF7" w:rsidRPr="00F46DFF">
        <w:rPr>
          <w:rFonts w:ascii="Book Antiqua" w:eastAsia="Calibri" w:hAnsi="Book Antiqua" w:cs="Times New Roman (Body CS)"/>
          <w:bCs/>
        </w:rPr>
        <w:t>[</w:t>
      </w:r>
      <w:r w:rsidR="00174F45">
        <w:rPr>
          <w:rFonts w:ascii="Book Antiqua" w:eastAsia="Calibri" w:hAnsi="Book Antiqua" w:cs="Times New Roman (Body CS)"/>
          <w:bCs/>
        </w:rPr>
        <w:t>HR</w:t>
      </w:r>
      <w:r w:rsidRPr="00F46DFF">
        <w:rPr>
          <w:rFonts w:ascii="Book Antiqua" w:eastAsia="Calibri" w:hAnsi="Book Antiqua" w:cs="Times New Roman (Body CS)"/>
          <w:bCs/>
        </w:rPr>
        <w:t xml:space="preserve"> 0.66 </w:t>
      </w:r>
      <w:r w:rsidR="00D554C6">
        <w:rPr>
          <w:rFonts w:ascii="Book Antiqua" w:eastAsia="Calibri" w:hAnsi="Book Antiqua" w:cs="Times New Roman (Body CS)"/>
          <w:bCs/>
        </w:rPr>
        <w:t>(</w:t>
      </w:r>
      <w:r w:rsidR="00B65164">
        <w:rPr>
          <w:rFonts w:ascii="Book Antiqua" w:eastAsia="Calibri" w:hAnsi="Book Antiqua" w:cs="Times New Roman (Body CS)"/>
          <w:bCs/>
        </w:rPr>
        <w:t>95%</w:t>
      </w:r>
      <w:r w:rsidR="00174F45">
        <w:rPr>
          <w:rFonts w:ascii="Book Antiqua" w:eastAsia="Calibri" w:hAnsi="Book Antiqua" w:cs="Times New Roman (Body CS)"/>
          <w:bCs/>
        </w:rPr>
        <w:t xml:space="preserve"> </w:t>
      </w:r>
      <w:r w:rsidR="00B65164">
        <w:rPr>
          <w:rFonts w:ascii="Book Antiqua" w:eastAsia="Calibri" w:hAnsi="Book Antiqua" w:cs="Times New Roman (Body CS)"/>
          <w:bCs/>
        </w:rPr>
        <w:t>CI:</w:t>
      </w:r>
      <w:r w:rsidRPr="00F46DFF">
        <w:rPr>
          <w:rFonts w:ascii="Book Antiqua" w:eastAsia="Calibri" w:hAnsi="Book Antiqua" w:cs="Times New Roman (Body CS)"/>
          <w:bCs/>
        </w:rPr>
        <w:t xml:space="preserve"> 0.52</w:t>
      </w:r>
      <w:r w:rsidR="00174F45">
        <w:rPr>
          <w:rFonts w:ascii="Book Antiqua" w:eastAsia="Calibri" w:hAnsi="Book Antiqua" w:cs="Times New Roman (Body CS)"/>
          <w:bCs/>
        </w:rPr>
        <w:t>–</w:t>
      </w:r>
      <w:r w:rsidRPr="00F46DFF">
        <w:rPr>
          <w:rFonts w:ascii="Book Antiqua" w:eastAsia="Calibri" w:hAnsi="Book Antiqua" w:cs="Times New Roman (Body CS)"/>
          <w:bCs/>
        </w:rPr>
        <w:t>0.85</w:t>
      </w:r>
      <w:r w:rsidR="00D554C6">
        <w:rPr>
          <w:rFonts w:ascii="Book Antiqua" w:eastAsia="Calibri" w:hAnsi="Book Antiqua" w:cs="Times New Roman (Body CS)"/>
          <w:bCs/>
        </w:rPr>
        <w:t>)</w:t>
      </w:r>
      <w:r w:rsidRPr="00F46DFF">
        <w:rPr>
          <w:rFonts w:ascii="Book Antiqua" w:eastAsia="Calibri" w:hAnsi="Book Antiqua" w:cs="Times New Roman (Body CS)"/>
          <w:bCs/>
        </w:rPr>
        <w:t xml:space="preserve">, </w:t>
      </w:r>
      <w:r w:rsidR="00D554C6" w:rsidRPr="00D554C6">
        <w:rPr>
          <w:rFonts w:ascii="Book Antiqua" w:eastAsia="Calibri" w:hAnsi="Book Antiqua" w:cs="Times New Roman (Body CS)"/>
          <w:bCs/>
          <w:i/>
          <w:iCs/>
        </w:rPr>
        <w:t>P</w:t>
      </w:r>
      <w:r w:rsidRPr="00F46DFF">
        <w:rPr>
          <w:rFonts w:ascii="Book Antiqua" w:eastAsia="Calibri" w:hAnsi="Book Antiqua" w:cs="Times New Roman (Body CS)"/>
          <w:bCs/>
        </w:rPr>
        <w:t xml:space="preserve"> &lt;</w:t>
      </w:r>
      <w:r w:rsidR="00D554C6">
        <w:rPr>
          <w:rFonts w:ascii="Book Antiqua" w:eastAsia="Calibri" w:hAnsi="Book Antiqua" w:cs="Times New Roman (Body CS)"/>
          <w:bCs/>
        </w:rPr>
        <w:t xml:space="preserve"> </w:t>
      </w:r>
      <w:r w:rsidRPr="00F46DFF">
        <w:rPr>
          <w:rFonts w:ascii="Book Antiqua" w:eastAsia="Calibri" w:hAnsi="Book Antiqua" w:cs="Times New Roman (Body CS)"/>
          <w:bCs/>
        </w:rPr>
        <w:t>0.001</w:t>
      </w:r>
      <w:r w:rsidR="00F93DF7">
        <w:rPr>
          <w:rFonts w:ascii="Book Antiqua" w:eastAsia="Calibri" w:hAnsi="Book Antiqua" w:cs="Times New Roman (Body CS)"/>
          <w:bCs/>
        </w:rPr>
        <w:t>]</w:t>
      </w:r>
      <w:r w:rsidRPr="00F46DFF">
        <w:rPr>
          <w:rFonts w:ascii="Book Antiqua" w:eastAsia="Calibri" w:hAnsi="Book Antiqua" w:cs="Times New Roman (Body CS)"/>
          <w:bCs/>
        </w:rPr>
        <w:t>, whereas PFS was 6.9 mo (</w:t>
      </w:r>
      <w:r w:rsidR="00B65164">
        <w:rPr>
          <w:rFonts w:ascii="Book Antiqua" w:eastAsia="Calibri" w:hAnsi="Book Antiqua" w:cs="Times New Roman (Body CS)"/>
          <w:bCs/>
        </w:rPr>
        <w:t>95%</w:t>
      </w:r>
      <w:r w:rsidR="00174F45">
        <w:rPr>
          <w:rFonts w:ascii="Book Antiqua" w:eastAsia="Calibri" w:hAnsi="Book Antiqua" w:cs="Times New Roman (Body CS)"/>
          <w:bCs/>
        </w:rPr>
        <w:t xml:space="preserve"> </w:t>
      </w:r>
      <w:r w:rsidR="00B65164">
        <w:rPr>
          <w:rFonts w:ascii="Book Antiqua" w:eastAsia="Calibri" w:hAnsi="Book Antiqua" w:cs="Times New Roman (Body CS)"/>
          <w:bCs/>
        </w:rPr>
        <w:t>CI:</w:t>
      </w:r>
      <w:r w:rsidRPr="00F46DFF">
        <w:rPr>
          <w:rFonts w:ascii="Book Antiqua" w:eastAsia="Calibri" w:hAnsi="Book Antiqua" w:cs="Times New Roman (Body CS)"/>
          <w:bCs/>
        </w:rPr>
        <w:t xml:space="preserve"> 5.7</w:t>
      </w:r>
      <w:r w:rsidR="00174F45">
        <w:rPr>
          <w:rFonts w:ascii="Book Antiqua" w:eastAsia="Calibri" w:hAnsi="Book Antiqua" w:cs="Times New Roman (Body CS)"/>
          <w:bCs/>
        </w:rPr>
        <w:t>–</w:t>
      </w:r>
      <w:r w:rsidRPr="00F46DFF">
        <w:rPr>
          <w:rFonts w:ascii="Book Antiqua" w:eastAsia="Calibri" w:hAnsi="Book Antiqua" w:cs="Times New Roman (Body CS)"/>
          <w:bCs/>
        </w:rPr>
        <w:t>8.6) with atezolizumab</w:t>
      </w:r>
      <w:r w:rsidR="00174F45">
        <w:rPr>
          <w:rFonts w:ascii="Book Antiqua" w:eastAsia="Calibri" w:hAnsi="Book Antiqua" w:cs="Times New Roman (Body CS)"/>
          <w:bCs/>
        </w:rPr>
        <w:t>–</w:t>
      </w:r>
      <w:r w:rsidRPr="00F46DFF">
        <w:rPr>
          <w:rFonts w:ascii="Book Antiqua" w:eastAsia="Calibri" w:hAnsi="Book Antiqua" w:cs="Times New Roman (Body CS)"/>
          <w:bCs/>
        </w:rPr>
        <w:t>bevacizumab and 4.3 mo (</w:t>
      </w:r>
      <w:r w:rsidR="00B65164">
        <w:rPr>
          <w:rFonts w:ascii="Book Antiqua" w:eastAsia="Calibri" w:hAnsi="Book Antiqua" w:cs="Times New Roman (Body CS)"/>
          <w:bCs/>
        </w:rPr>
        <w:t>95%</w:t>
      </w:r>
      <w:r w:rsidR="00174F45">
        <w:rPr>
          <w:rFonts w:ascii="Book Antiqua" w:eastAsia="Calibri" w:hAnsi="Book Antiqua" w:cs="Times New Roman (Body CS)"/>
          <w:bCs/>
        </w:rPr>
        <w:t xml:space="preserve"> </w:t>
      </w:r>
      <w:r w:rsidR="00B65164">
        <w:rPr>
          <w:rFonts w:ascii="Book Antiqua" w:eastAsia="Calibri" w:hAnsi="Book Antiqua" w:cs="Times New Roman (Body CS)"/>
          <w:bCs/>
        </w:rPr>
        <w:t>CI:</w:t>
      </w:r>
      <w:r w:rsidRPr="00F46DFF">
        <w:rPr>
          <w:rFonts w:ascii="Book Antiqua" w:eastAsia="Calibri" w:hAnsi="Book Antiqua" w:cs="Times New Roman (Body CS)"/>
          <w:bCs/>
        </w:rPr>
        <w:t xml:space="preserve"> 4.0</w:t>
      </w:r>
      <w:r w:rsidR="00174F45">
        <w:rPr>
          <w:rFonts w:ascii="Book Antiqua" w:eastAsia="Calibri" w:hAnsi="Book Antiqua" w:cs="Times New Roman (Body CS)"/>
          <w:bCs/>
        </w:rPr>
        <w:t>–</w:t>
      </w:r>
      <w:r w:rsidRPr="00F46DFF">
        <w:rPr>
          <w:rFonts w:ascii="Book Antiqua" w:eastAsia="Calibri" w:hAnsi="Book Antiqua" w:cs="Times New Roman (Body CS)"/>
          <w:bCs/>
        </w:rPr>
        <w:t xml:space="preserve">5.6) with sorafenib </w:t>
      </w:r>
      <w:r w:rsidR="00810F39">
        <w:rPr>
          <w:rFonts w:ascii="Book Antiqua" w:eastAsia="Calibri" w:hAnsi="Book Antiqua" w:cs="Times New Roman (Body CS)"/>
          <w:bCs/>
        </w:rPr>
        <w:t>[</w:t>
      </w:r>
      <w:r w:rsidR="00174F45">
        <w:rPr>
          <w:rFonts w:ascii="Book Antiqua" w:eastAsia="Calibri" w:hAnsi="Book Antiqua" w:cs="Times New Roman (Body CS)"/>
          <w:bCs/>
        </w:rPr>
        <w:t>HR</w:t>
      </w:r>
      <w:r w:rsidRPr="00F46DFF">
        <w:rPr>
          <w:rFonts w:ascii="Book Antiqua" w:eastAsia="Calibri" w:hAnsi="Book Antiqua" w:cs="Times New Roman (Body CS)"/>
          <w:bCs/>
        </w:rPr>
        <w:t xml:space="preserve"> 0.65 </w:t>
      </w:r>
      <w:r w:rsidR="00810F39">
        <w:rPr>
          <w:rFonts w:ascii="Book Antiqua" w:eastAsia="Calibri" w:hAnsi="Book Antiqua" w:cs="Times New Roman (Body CS)"/>
          <w:bCs/>
        </w:rPr>
        <w:t>(</w:t>
      </w:r>
      <w:r w:rsidR="00B65164">
        <w:rPr>
          <w:rFonts w:ascii="Book Antiqua" w:eastAsia="Calibri" w:hAnsi="Book Antiqua" w:cs="Times New Roman (Body CS)"/>
          <w:bCs/>
        </w:rPr>
        <w:t>95%</w:t>
      </w:r>
      <w:r w:rsidR="00174F45">
        <w:rPr>
          <w:rFonts w:ascii="Book Antiqua" w:eastAsia="Calibri" w:hAnsi="Book Antiqua" w:cs="Times New Roman (Body CS)"/>
          <w:bCs/>
        </w:rPr>
        <w:t xml:space="preserve"> </w:t>
      </w:r>
      <w:r w:rsidR="00B65164">
        <w:rPr>
          <w:rFonts w:ascii="Book Antiqua" w:eastAsia="Calibri" w:hAnsi="Book Antiqua" w:cs="Times New Roman (Body CS)"/>
          <w:bCs/>
        </w:rPr>
        <w:t>CI:</w:t>
      </w:r>
      <w:r w:rsidRPr="00F46DFF">
        <w:rPr>
          <w:rFonts w:ascii="Book Antiqua" w:eastAsia="Calibri" w:hAnsi="Book Antiqua" w:cs="Times New Roman (Body CS)"/>
          <w:bCs/>
        </w:rPr>
        <w:t xml:space="preserve"> 0.53</w:t>
      </w:r>
      <w:r w:rsidR="00174F45">
        <w:rPr>
          <w:rFonts w:ascii="Book Antiqua" w:eastAsia="Calibri" w:hAnsi="Book Antiqua" w:cs="Times New Roman (Body CS)"/>
          <w:bCs/>
        </w:rPr>
        <w:t>–</w:t>
      </w:r>
      <w:r w:rsidRPr="00F46DFF">
        <w:rPr>
          <w:rFonts w:ascii="Book Antiqua" w:eastAsia="Calibri" w:hAnsi="Book Antiqua" w:cs="Times New Roman (Body CS)"/>
          <w:bCs/>
        </w:rPr>
        <w:t>0.81</w:t>
      </w:r>
      <w:r w:rsidR="00810F39">
        <w:rPr>
          <w:rFonts w:ascii="Book Antiqua" w:eastAsia="Calibri" w:hAnsi="Book Antiqua" w:cs="Times New Roman (Body CS)"/>
          <w:bCs/>
        </w:rPr>
        <w:t>)</w:t>
      </w:r>
      <w:r w:rsidRPr="00F46DFF">
        <w:rPr>
          <w:rFonts w:ascii="Book Antiqua" w:eastAsia="Calibri" w:hAnsi="Book Antiqua" w:cs="Times New Roman (Body CS)"/>
          <w:bCs/>
        </w:rPr>
        <w:t xml:space="preserve">, </w:t>
      </w:r>
      <w:r w:rsidR="008660EF" w:rsidRPr="00D554C6">
        <w:rPr>
          <w:rFonts w:ascii="Book Antiqua" w:eastAsia="Calibri" w:hAnsi="Book Antiqua" w:cs="Times New Roman (Body CS)"/>
          <w:bCs/>
          <w:i/>
          <w:iCs/>
        </w:rPr>
        <w:t>P</w:t>
      </w:r>
      <w:r w:rsidRPr="00F46DFF">
        <w:rPr>
          <w:rFonts w:ascii="Book Antiqua" w:eastAsia="Calibri" w:hAnsi="Book Antiqua" w:cs="Times New Roman (Body CS)"/>
          <w:bCs/>
        </w:rPr>
        <w:t xml:space="preserve"> &lt;</w:t>
      </w:r>
      <w:r w:rsidR="00810F39">
        <w:rPr>
          <w:rFonts w:ascii="Book Antiqua" w:eastAsia="Calibri" w:hAnsi="Book Antiqua" w:cs="Times New Roman (Body CS)"/>
          <w:bCs/>
        </w:rPr>
        <w:t xml:space="preserve"> </w:t>
      </w:r>
      <w:r w:rsidRPr="00F46DFF">
        <w:rPr>
          <w:rFonts w:ascii="Book Antiqua" w:eastAsia="Calibri" w:hAnsi="Book Antiqua" w:cs="Times New Roman (Body CS)"/>
          <w:bCs/>
        </w:rPr>
        <w:t>0.001</w:t>
      </w:r>
      <w:r w:rsidR="00810F39">
        <w:rPr>
          <w:rFonts w:ascii="Book Antiqua" w:eastAsia="Calibri" w:hAnsi="Book Antiqua" w:cs="Times New Roman (Body CS)"/>
          <w:bCs/>
        </w:rPr>
        <w:t>]</w:t>
      </w:r>
      <w:r w:rsidRPr="00F46DFF">
        <w:rPr>
          <w:rFonts w:ascii="Book Antiqua" w:eastAsia="Calibri" w:hAnsi="Book Antiqua" w:cs="Times New Roman (Body CS)"/>
          <w:bCs/>
        </w:rPr>
        <w:t>. Results of secondary endpoints were also significant and favored the atezolizumab</w:t>
      </w:r>
      <w:r w:rsidR="00174F45">
        <w:rPr>
          <w:rFonts w:ascii="Book Antiqua" w:eastAsia="Calibri" w:hAnsi="Book Antiqua" w:cs="Times New Roman (Body CS)"/>
          <w:bCs/>
        </w:rPr>
        <w:t>–</w:t>
      </w:r>
      <w:r w:rsidRPr="00F46DFF">
        <w:rPr>
          <w:rFonts w:ascii="Book Antiqua" w:eastAsia="Calibri" w:hAnsi="Book Antiqua" w:cs="Times New Roman (Body CS)"/>
          <w:bCs/>
        </w:rPr>
        <w:t>bevacizumab arm. Grade 3</w:t>
      </w:r>
      <w:r w:rsidR="00174F45">
        <w:rPr>
          <w:rFonts w:ascii="Book Antiqua" w:eastAsia="Calibri" w:hAnsi="Book Antiqua" w:cs="Times New Roman (Body CS)"/>
          <w:bCs/>
        </w:rPr>
        <w:t>/</w:t>
      </w:r>
      <w:r w:rsidRPr="00F46DFF">
        <w:rPr>
          <w:rFonts w:ascii="Book Antiqua" w:eastAsia="Calibri" w:hAnsi="Book Antiqua" w:cs="Times New Roman (Body CS)"/>
          <w:bCs/>
        </w:rPr>
        <w:t xml:space="preserve">4 adverse effects occurred in 56.5% and 55.1% of patients in the intervention </w:t>
      </w:r>
      <w:r w:rsidR="004607B0">
        <w:rPr>
          <w:rFonts w:ascii="Book Antiqua" w:eastAsia="Calibri" w:hAnsi="Book Antiqua" w:cs="Times New Roman (Body CS)"/>
          <w:bCs/>
        </w:rPr>
        <w:t>versus</w:t>
      </w:r>
      <w:r w:rsidRPr="00F46DFF">
        <w:rPr>
          <w:rFonts w:ascii="Book Antiqua" w:eastAsia="Calibri" w:hAnsi="Book Antiqua" w:cs="Times New Roman (Body CS)"/>
          <w:bCs/>
        </w:rPr>
        <w:t xml:space="preserve"> control arm, respectively, with the most frequent severe adverse effect in the atezolizumab</w:t>
      </w:r>
      <w:r w:rsidR="00174F45">
        <w:rPr>
          <w:rFonts w:ascii="Book Antiqua" w:eastAsia="Calibri" w:hAnsi="Book Antiqua" w:cs="Times New Roman (Body CS)"/>
          <w:bCs/>
        </w:rPr>
        <w:t>–</w:t>
      </w:r>
      <w:r w:rsidRPr="00F46DFF">
        <w:rPr>
          <w:rFonts w:ascii="Book Antiqua" w:eastAsia="Calibri" w:hAnsi="Book Antiqua" w:cs="Times New Roman (Body CS)"/>
          <w:bCs/>
        </w:rPr>
        <w:t>bevacizumab group being high-grade hypertension (15.2% of patients)</w:t>
      </w:r>
      <w:r w:rsidR="00F166C4" w:rsidRPr="00F166C4">
        <w:rPr>
          <w:rFonts w:ascii="Book Antiqua" w:eastAsia="Calibri" w:hAnsi="Book Antiqua" w:cs="Times New Roman (Body CS)"/>
          <w:bCs/>
          <w:vertAlign w:val="superscript"/>
        </w:rPr>
        <w:t>[55]</w:t>
      </w:r>
      <w:r w:rsidRPr="00F46DFF">
        <w:rPr>
          <w:rFonts w:ascii="Book Antiqua" w:eastAsia="Calibri" w:hAnsi="Book Antiqua" w:cs="Times New Roman (Body CS)"/>
          <w:bCs/>
        </w:rPr>
        <w:t>. The overall outcome of this study resulted in atezolizumab-bevacizumab being the current first-line treatment option for managing advanced HCC</w:t>
      </w:r>
      <w:r w:rsidR="007A5783" w:rsidRPr="007A5783">
        <w:rPr>
          <w:rFonts w:ascii="Book Antiqua" w:eastAsia="Calibri" w:hAnsi="Book Antiqua" w:cs="Times New Roman (Body CS)"/>
          <w:bCs/>
          <w:vertAlign w:val="superscript"/>
        </w:rPr>
        <w:t>[5</w:t>
      </w:r>
      <w:r w:rsidR="00A96ABF">
        <w:rPr>
          <w:rFonts w:ascii="Book Antiqua" w:eastAsia="Calibri" w:hAnsi="Book Antiqua" w:cs="Times New Roman (Body CS)"/>
          <w:bCs/>
          <w:vertAlign w:val="superscript"/>
        </w:rPr>
        <w:t>6</w:t>
      </w:r>
      <w:r w:rsidR="007A5783" w:rsidRPr="007A5783">
        <w:rPr>
          <w:rFonts w:ascii="Book Antiqua" w:eastAsia="Calibri" w:hAnsi="Book Antiqua" w:cs="Times New Roman (Body CS)"/>
          <w:bCs/>
          <w:vertAlign w:val="superscript"/>
        </w:rPr>
        <w:t>-59]</w:t>
      </w:r>
      <w:r w:rsidRPr="00F46DFF">
        <w:rPr>
          <w:rFonts w:ascii="Book Antiqua" w:eastAsia="Calibri" w:hAnsi="Book Antiqua" w:cs="Times New Roman (Body CS)"/>
          <w:bCs/>
        </w:rPr>
        <w:t xml:space="preserve">. </w:t>
      </w:r>
    </w:p>
    <w:p w14:paraId="509129FC" w14:textId="5D8DA47C" w:rsidR="00CB0696" w:rsidRDefault="00F46DFF" w:rsidP="00CB0696">
      <w:pPr>
        <w:spacing w:line="360" w:lineRule="auto"/>
        <w:ind w:firstLineChars="200" w:firstLine="480"/>
        <w:jc w:val="both"/>
        <w:rPr>
          <w:rFonts w:ascii="Book Antiqua" w:eastAsia="Calibri" w:hAnsi="Book Antiqua" w:cs="Times New Roman (Body CS)"/>
          <w:bCs/>
        </w:rPr>
      </w:pPr>
      <w:r w:rsidRPr="00F46DFF">
        <w:rPr>
          <w:rFonts w:ascii="Book Antiqua" w:eastAsia="Calibri" w:hAnsi="Book Antiqua" w:cs="Times New Roman (Body CS)"/>
          <w:bCs/>
        </w:rPr>
        <w:lastRenderedPageBreak/>
        <w:t xml:space="preserve">Recently, the HIMALAYA study assessed the efficacy of combination tremelimumab and durvalumab in advanced HCC. This phase </w:t>
      </w:r>
      <w:r w:rsidR="00174F45">
        <w:rPr>
          <w:rFonts w:ascii="Book Antiqua" w:eastAsia="Calibri" w:hAnsi="Book Antiqua" w:cs="Times New Roman (Body CS)"/>
          <w:bCs/>
        </w:rPr>
        <w:t>III</w:t>
      </w:r>
      <w:r w:rsidR="00174F45" w:rsidRPr="00F46DFF">
        <w:rPr>
          <w:rFonts w:ascii="Book Antiqua" w:eastAsia="Calibri" w:hAnsi="Book Antiqua" w:cs="Times New Roman (Body CS)"/>
          <w:bCs/>
        </w:rPr>
        <w:t xml:space="preserve"> </w:t>
      </w:r>
      <w:r w:rsidRPr="00F46DFF">
        <w:rPr>
          <w:rFonts w:ascii="Book Antiqua" w:eastAsia="Calibri" w:hAnsi="Book Antiqua" w:cs="Times New Roman (Body CS)"/>
          <w:bCs/>
        </w:rPr>
        <w:t>study involved 1234 patients that were randomly assigned to receive durvalumab and tremelimumab or sorafenib or durvalumab monotherapy. The ORR was 20</w:t>
      </w:r>
      <w:r w:rsidR="00CB0696">
        <w:rPr>
          <w:rFonts w:ascii="Book Antiqua" w:eastAsia="Calibri" w:hAnsi="Book Antiqua" w:cs="Times New Roman (Body CS)"/>
          <w:bCs/>
        </w:rPr>
        <w:t>.</w:t>
      </w:r>
      <w:r w:rsidRPr="00F46DFF">
        <w:rPr>
          <w:rFonts w:ascii="Book Antiqua" w:eastAsia="Calibri" w:hAnsi="Book Antiqua" w:cs="Times New Roman (Body CS)"/>
          <w:bCs/>
        </w:rPr>
        <w:t>1% in the durvalumab</w:t>
      </w:r>
      <w:r w:rsidR="00174F45">
        <w:rPr>
          <w:rFonts w:ascii="Book Antiqua" w:eastAsia="Calibri" w:hAnsi="Book Antiqua" w:cs="Times New Roman (Body CS)"/>
          <w:bCs/>
        </w:rPr>
        <w:t>–</w:t>
      </w:r>
      <w:r w:rsidRPr="00F46DFF">
        <w:rPr>
          <w:rFonts w:ascii="Book Antiqua" w:eastAsia="Calibri" w:hAnsi="Book Antiqua" w:cs="Times New Roman (Body CS)"/>
          <w:bCs/>
        </w:rPr>
        <w:t xml:space="preserve">tremelimumab group </w:t>
      </w:r>
      <w:r w:rsidR="00174F45">
        <w:rPr>
          <w:rFonts w:ascii="Book Antiqua" w:eastAsia="Calibri" w:hAnsi="Book Antiqua" w:cs="Times New Roman (Body CS)"/>
          <w:bCs/>
        </w:rPr>
        <w:t xml:space="preserve">compared with </w:t>
      </w:r>
      <w:r w:rsidRPr="00F46DFF">
        <w:rPr>
          <w:rFonts w:ascii="Book Antiqua" w:eastAsia="Calibri" w:hAnsi="Book Antiqua" w:cs="Times New Roman (Body CS)"/>
          <w:bCs/>
        </w:rPr>
        <w:t>5</w:t>
      </w:r>
      <w:r w:rsidR="00906BDC">
        <w:rPr>
          <w:rFonts w:ascii="Book Antiqua" w:eastAsia="Calibri" w:hAnsi="Book Antiqua" w:cs="Times New Roman (Body CS)"/>
          <w:bCs/>
        </w:rPr>
        <w:t>.</w:t>
      </w:r>
      <w:r w:rsidRPr="00F46DFF">
        <w:rPr>
          <w:rFonts w:ascii="Book Antiqua" w:eastAsia="Calibri" w:hAnsi="Book Antiqua" w:cs="Times New Roman (Body CS)"/>
          <w:bCs/>
        </w:rPr>
        <w:t>1% and 17% in the sorafenib and durvalumab groups, respectively. The PFS and OS were 3</w:t>
      </w:r>
      <w:r w:rsidR="00CB0696">
        <w:rPr>
          <w:rFonts w:ascii="Book Antiqua" w:eastAsia="Calibri" w:hAnsi="Book Antiqua" w:cs="Times New Roman (Body CS)"/>
          <w:bCs/>
        </w:rPr>
        <w:t>.</w:t>
      </w:r>
      <w:r w:rsidRPr="00F46DFF">
        <w:rPr>
          <w:rFonts w:ascii="Book Antiqua" w:eastAsia="Calibri" w:hAnsi="Book Antiqua" w:cs="Times New Roman (Body CS)"/>
          <w:bCs/>
        </w:rPr>
        <w:t>78 and 16</w:t>
      </w:r>
      <w:r w:rsidR="00492F8E">
        <w:rPr>
          <w:rFonts w:ascii="Book Antiqua" w:eastAsia="Calibri" w:hAnsi="Book Antiqua" w:cs="Times New Roman (Body CS)"/>
          <w:bCs/>
        </w:rPr>
        <w:t>.</w:t>
      </w:r>
      <w:r w:rsidRPr="00F46DFF">
        <w:rPr>
          <w:rFonts w:ascii="Book Antiqua" w:eastAsia="Calibri" w:hAnsi="Book Antiqua" w:cs="Times New Roman (Body CS)"/>
          <w:bCs/>
        </w:rPr>
        <w:t>4 mo in the durvalumab and tremelimumab group, 4</w:t>
      </w:r>
      <w:r w:rsidR="00F166C4">
        <w:rPr>
          <w:rFonts w:ascii="Book Antiqua" w:eastAsia="Calibri" w:hAnsi="Book Antiqua" w:cs="Times New Roman (Body CS)"/>
          <w:bCs/>
        </w:rPr>
        <w:t>.</w:t>
      </w:r>
      <w:r w:rsidRPr="00F46DFF">
        <w:rPr>
          <w:rFonts w:ascii="Book Antiqua" w:eastAsia="Calibri" w:hAnsi="Book Antiqua" w:cs="Times New Roman (Body CS)"/>
          <w:bCs/>
        </w:rPr>
        <w:t>07 and 13</w:t>
      </w:r>
      <w:r w:rsidR="00CB0696">
        <w:rPr>
          <w:rFonts w:ascii="Book Antiqua" w:eastAsia="Calibri" w:hAnsi="Book Antiqua" w:cs="Times New Roman (Body CS)"/>
          <w:bCs/>
        </w:rPr>
        <w:t>.</w:t>
      </w:r>
      <w:r w:rsidRPr="00F46DFF">
        <w:rPr>
          <w:rFonts w:ascii="Book Antiqua" w:eastAsia="Calibri" w:hAnsi="Book Antiqua" w:cs="Times New Roman (Body CS)"/>
          <w:bCs/>
        </w:rPr>
        <w:t>8 mo in the sorafenib group, and 3</w:t>
      </w:r>
      <w:r w:rsidR="00F166C4">
        <w:rPr>
          <w:rFonts w:ascii="Book Antiqua" w:eastAsia="Calibri" w:hAnsi="Book Antiqua" w:cs="Times New Roman (Body CS)"/>
          <w:bCs/>
        </w:rPr>
        <w:t>.</w:t>
      </w:r>
      <w:r w:rsidRPr="00F46DFF">
        <w:rPr>
          <w:rFonts w:ascii="Book Antiqua" w:eastAsia="Calibri" w:hAnsi="Book Antiqua" w:cs="Times New Roman (Body CS)"/>
          <w:bCs/>
        </w:rPr>
        <w:t>65 and 16</w:t>
      </w:r>
      <w:r w:rsidR="00F166C4">
        <w:rPr>
          <w:rFonts w:ascii="Book Antiqua" w:eastAsia="Calibri" w:hAnsi="Book Antiqua" w:cs="Times New Roman (Body CS)"/>
          <w:bCs/>
        </w:rPr>
        <w:t>.</w:t>
      </w:r>
      <w:r w:rsidRPr="00F46DFF">
        <w:rPr>
          <w:rFonts w:ascii="Book Antiqua" w:eastAsia="Calibri" w:hAnsi="Book Antiqua" w:cs="Times New Roman (Body CS)"/>
          <w:bCs/>
        </w:rPr>
        <w:t>6 mo in the durvalumab group. Grade 3</w:t>
      </w:r>
      <w:r w:rsidR="00174F45">
        <w:rPr>
          <w:rFonts w:ascii="Book Antiqua" w:eastAsia="Calibri" w:hAnsi="Book Antiqua" w:cs="Times New Roman (Body CS)"/>
          <w:bCs/>
        </w:rPr>
        <w:t>/</w:t>
      </w:r>
      <w:r w:rsidRPr="00F46DFF">
        <w:rPr>
          <w:rFonts w:ascii="Book Antiqua" w:eastAsia="Calibri" w:hAnsi="Book Antiqua" w:cs="Times New Roman (Body CS)"/>
          <w:bCs/>
        </w:rPr>
        <w:t>4 adverse events occurred at a lower rate in the durvalumab</w:t>
      </w:r>
      <w:r w:rsidR="00174F45">
        <w:rPr>
          <w:rFonts w:ascii="Book Antiqua" w:eastAsia="Calibri" w:hAnsi="Book Antiqua" w:cs="Times New Roman (Body CS)"/>
          <w:bCs/>
        </w:rPr>
        <w:t>–</w:t>
      </w:r>
      <w:r w:rsidRPr="00F46DFF">
        <w:rPr>
          <w:rFonts w:ascii="Book Antiqua" w:eastAsia="Calibri" w:hAnsi="Book Antiqua" w:cs="Times New Roman (Body CS)"/>
          <w:bCs/>
        </w:rPr>
        <w:t xml:space="preserve">tremelimumab and durvalumab groups when compared </w:t>
      </w:r>
      <w:r w:rsidR="00174F45">
        <w:rPr>
          <w:rFonts w:ascii="Book Antiqua" w:eastAsia="Calibri" w:hAnsi="Book Antiqua" w:cs="Times New Roman (Body CS)"/>
          <w:bCs/>
        </w:rPr>
        <w:t>with</w:t>
      </w:r>
      <w:r w:rsidR="00174F45" w:rsidRPr="00F46DFF">
        <w:rPr>
          <w:rFonts w:ascii="Book Antiqua" w:eastAsia="Calibri" w:hAnsi="Book Antiqua" w:cs="Times New Roman (Body CS)"/>
          <w:bCs/>
        </w:rPr>
        <w:t xml:space="preserve"> </w:t>
      </w:r>
      <w:r w:rsidRPr="00F46DFF">
        <w:rPr>
          <w:rFonts w:ascii="Book Antiqua" w:eastAsia="Calibri" w:hAnsi="Book Antiqua" w:cs="Times New Roman (Body CS)"/>
          <w:bCs/>
        </w:rPr>
        <w:t>the sorafenib arm. Overall results of this breakthrough study open up new treatment options that could be integrated into the treatment algorithm of HCC management</w:t>
      </w:r>
      <w:r w:rsidR="00CB0696" w:rsidRPr="00F166C4">
        <w:rPr>
          <w:rFonts w:ascii="Book Antiqua" w:eastAsia="Calibri" w:hAnsi="Book Antiqua" w:cs="Times New Roman (Body CS)"/>
          <w:bCs/>
          <w:vertAlign w:val="superscript"/>
        </w:rPr>
        <w:t>[</w:t>
      </w:r>
      <w:r w:rsidR="00CB0696">
        <w:rPr>
          <w:rFonts w:ascii="Book Antiqua" w:eastAsia="Calibri" w:hAnsi="Book Antiqua" w:cs="Times New Roman (Body CS)"/>
          <w:bCs/>
          <w:vertAlign w:val="superscript"/>
        </w:rPr>
        <w:t>60</w:t>
      </w:r>
      <w:r w:rsidR="00CB0696" w:rsidRPr="00F166C4">
        <w:rPr>
          <w:rFonts w:ascii="Book Antiqua" w:eastAsia="Calibri" w:hAnsi="Book Antiqua" w:cs="Times New Roman (Body CS)"/>
          <w:bCs/>
          <w:vertAlign w:val="superscript"/>
        </w:rPr>
        <w:t>]</w:t>
      </w:r>
      <w:r w:rsidRPr="00F46DFF">
        <w:rPr>
          <w:rFonts w:ascii="Book Antiqua" w:eastAsia="Calibri" w:hAnsi="Book Antiqua" w:cs="Times New Roman (Body CS)"/>
          <w:bCs/>
        </w:rPr>
        <w:t>.</w:t>
      </w:r>
    </w:p>
    <w:p w14:paraId="0E777279" w14:textId="1DEC1D43" w:rsidR="00B75C78" w:rsidRDefault="00F46DFF" w:rsidP="00CB0696">
      <w:pPr>
        <w:spacing w:line="360" w:lineRule="auto"/>
        <w:ind w:firstLineChars="200" w:firstLine="480"/>
        <w:jc w:val="both"/>
        <w:rPr>
          <w:rFonts w:ascii="Book Antiqua" w:eastAsia="Calibri" w:hAnsi="Book Antiqua" w:cs="Times New Roman (Body CS)"/>
          <w:bCs/>
        </w:rPr>
      </w:pPr>
      <w:r w:rsidRPr="00F46DFF">
        <w:rPr>
          <w:rFonts w:ascii="Book Antiqua" w:eastAsia="Calibri" w:hAnsi="Book Antiqua" w:cs="Times New Roman (Body CS)"/>
          <w:bCs/>
        </w:rPr>
        <w:t xml:space="preserve">As suggested by the above remarks and </w:t>
      </w:r>
      <w:r w:rsidR="00CB0696">
        <w:rPr>
          <w:rFonts w:ascii="Book Antiqua" w:eastAsia="Calibri" w:hAnsi="Book Antiqua" w:cs="Times New Roman (Body CS)"/>
          <w:bCs/>
        </w:rPr>
        <w:t>T</w:t>
      </w:r>
      <w:r w:rsidRPr="00F46DFF">
        <w:rPr>
          <w:rFonts w:ascii="Book Antiqua" w:eastAsia="Calibri" w:hAnsi="Book Antiqua" w:cs="Times New Roman (Body CS)"/>
          <w:bCs/>
        </w:rPr>
        <w:t>able 1, clinical trials assessing the combination of immunotherapy and systemic therapy or the use of two ICIs concurrently, have shown greater outcomes when compared to trials that use single-agent therapy (immun</w:t>
      </w:r>
      <w:r w:rsidR="00174F45">
        <w:rPr>
          <w:rFonts w:ascii="Book Antiqua" w:eastAsia="Calibri" w:hAnsi="Book Antiqua" w:cs="Times New Roman (Body CS)"/>
          <w:bCs/>
        </w:rPr>
        <w:t>o</w:t>
      </w:r>
      <w:r w:rsidRPr="00F46DFF">
        <w:rPr>
          <w:rFonts w:ascii="Book Antiqua" w:eastAsia="Calibri" w:hAnsi="Book Antiqua" w:cs="Times New Roman (Body CS)"/>
          <w:bCs/>
        </w:rPr>
        <w:t>modulating or systemic) in the intervention arm. An ambitious treatment approach is the combination of ICIs with LRT, the latter of which is traditionally used in early-stage disease or as a means of downstaging or bridging therapy prior to LT</w:t>
      </w:r>
      <w:r w:rsidR="000B2F03" w:rsidRPr="000B2F03">
        <w:rPr>
          <w:rFonts w:ascii="Book Antiqua" w:eastAsia="Calibri" w:hAnsi="Book Antiqua" w:cs="Times New Roman (Body CS)"/>
          <w:bCs/>
          <w:vertAlign w:val="superscript"/>
        </w:rPr>
        <w:t>[61]</w:t>
      </w:r>
      <w:r w:rsidRPr="00F46DFF">
        <w:rPr>
          <w:rFonts w:ascii="Book Antiqua" w:eastAsia="Calibri" w:hAnsi="Book Antiqua" w:cs="Times New Roman (Body CS)"/>
          <w:bCs/>
        </w:rPr>
        <w:t>. The idea behind this approach is that LRT can alter the TME by inducing a robust antitumoral immune response and reduce the number of immunosuppressive molecules. Although these effects could theoretically justify LRT as a single therapy to control tumor progression, evidence suggests that such responses are weak and transient and cannot completely control the tumor. The addition of immunotherapy could amplify the antitumoral responses produced by LRT, thus creating a synergistic interaction between ICIs and LRT that could effectively control tumor spread</w:t>
      </w:r>
      <w:r w:rsidR="00F74A50" w:rsidRPr="00F74A50">
        <w:rPr>
          <w:rFonts w:ascii="Book Antiqua" w:eastAsia="Calibri" w:hAnsi="Book Antiqua" w:cs="Times New Roman (Body CS)"/>
          <w:bCs/>
          <w:vertAlign w:val="superscript"/>
        </w:rPr>
        <w:t>[62,63]</w:t>
      </w:r>
      <w:r w:rsidRPr="00F46DFF">
        <w:rPr>
          <w:rFonts w:ascii="Book Antiqua" w:eastAsia="Calibri" w:hAnsi="Book Antiqua" w:cs="Times New Roman (Body CS)"/>
          <w:bCs/>
        </w:rPr>
        <w:t>. There are a few trials assessing the combination of LRT with ICIs, since most of them take advantage of immunotherapy in the form of adoptive cell and vaccine therapy. However, results from these studies have demonstrated favorable outcomes in terms of OS and safety, thus encouraging the implementation of this combination in case other first-line treatment modalities fail</w:t>
      </w:r>
      <w:r w:rsidR="00B75C78" w:rsidRPr="00B75C78">
        <w:rPr>
          <w:rFonts w:ascii="Book Antiqua" w:eastAsia="Calibri" w:hAnsi="Book Antiqua" w:cs="Times New Roman (Body CS)"/>
          <w:bCs/>
          <w:vertAlign w:val="superscript"/>
        </w:rPr>
        <w:t>[62]</w:t>
      </w:r>
      <w:r w:rsidRPr="00F46DFF">
        <w:rPr>
          <w:rFonts w:ascii="Book Antiqua" w:eastAsia="Calibri" w:hAnsi="Book Antiqua" w:cs="Times New Roman (Body CS)"/>
          <w:bCs/>
        </w:rPr>
        <w:t xml:space="preserve">. </w:t>
      </w:r>
    </w:p>
    <w:p w14:paraId="2317E1FA" w14:textId="4EAAEDF3" w:rsidR="00F46DFF" w:rsidRPr="00B75C78" w:rsidRDefault="00F46DFF" w:rsidP="00B75C78">
      <w:pPr>
        <w:spacing w:line="360" w:lineRule="auto"/>
        <w:ind w:firstLineChars="200" w:firstLine="480"/>
        <w:jc w:val="both"/>
        <w:rPr>
          <w:rFonts w:ascii="Book Antiqua" w:eastAsia="Calibri" w:hAnsi="Book Antiqua" w:cs="Times New Roman (Body CS)"/>
          <w:bCs/>
        </w:rPr>
      </w:pPr>
      <w:r w:rsidRPr="00F46DFF">
        <w:rPr>
          <w:rFonts w:ascii="Book Antiqua" w:eastAsia="Calibri" w:hAnsi="Book Antiqua" w:cs="Times New Roman (Body CS)"/>
          <w:bCs/>
          <w:iCs/>
        </w:rPr>
        <w:lastRenderedPageBreak/>
        <w:t>Although combination immunotherapy is a superior approach than single-agent immunotherapy for the treatment of HCC, there are a few remarks that need to be pointed out. The need of combining various immunotherapeutic drugs in specific dosages may come as a challenge for smaller hospitals that are neither readily equipped, nor familiar with the specific combination regimens used to treat HCC. The lack of availability of highly efficacious drugs in resource-limited hospitals prevents the widespread application of immunotherapy, leaving healthcare providers with a restricted panel of drug options, mainly systemic chemotherapeutic agents, that, although effective, do not demonstrate the superiority of immunotherapy in treating HCC. Unfortunately, this hurdle inevitably affects pre-transplant ICI use for the same reasons mentioned above.</w:t>
      </w:r>
    </w:p>
    <w:p w14:paraId="02030250" w14:textId="77777777" w:rsidR="00F46DFF" w:rsidRPr="00F46DFF" w:rsidRDefault="00F46DFF" w:rsidP="00F46DFF">
      <w:pPr>
        <w:spacing w:line="360" w:lineRule="auto"/>
        <w:jc w:val="both"/>
        <w:rPr>
          <w:rFonts w:ascii="Book Antiqua" w:eastAsia="Calibri" w:hAnsi="Book Antiqua" w:cs="Times New Roman (Body CS)"/>
          <w:bCs/>
        </w:rPr>
      </w:pPr>
    </w:p>
    <w:p w14:paraId="487C5DCD" w14:textId="062B629E" w:rsidR="00F46DFF" w:rsidRPr="00FD2958" w:rsidRDefault="00076063" w:rsidP="00F46DFF">
      <w:pPr>
        <w:spacing w:line="360" w:lineRule="auto"/>
        <w:jc w:val="both"/>
        <w:rPr>
          <w:rFonts w:ascii="Book Antiqua" w:eastAsia="Calibri" w:hAnsi="Book Antiqua" w:cs="Times New Roman (Body CS)"/>
          <w:b/>
          <w:u w:val="single"/>
        </w:rPr>
      </w:pPr>
      <w:r w:rsidRPr="00FD2958">
        <w:rPr>
          <w:rFonts w:ascii="Book Antiqua" w:eastAsia="Calibri" w:hAnsi="Book Antiqua" w:cs="Times New Roman (Body CS)"/>
          <w:b/>
          <w:u w:val="single"/>
        </w:rPr>
        <w:t xml:space="preserve">IMMUNOTHERAPY AS A DOWNSTAGING THERAPY PRIOR TO </w:t>
      </w:r>
      <w:r w:rsidR="006D19D5">
        <w:rPr>
          <w:rFonts w:ascii="Book Antiqua" w:eastAsia="Calibri" w:hAnsi="Book Antiqua" w:cs="Times New Roman (Body CS)"/>
          <w:b/>
          <w:u w:val="single"/>
        </w:rPr>
        <w:t>LT</w:t>
      </w:r>
    </w:p>
    <w:p w14:paraId="0E5FDAD2" w14:textId="4973019E" w:rsidR="00F46DFF" w:rsidRPr="00F46DFF" w:rsidRDefault="00F46DFF" w:rsidP="00F46DFF">
      <w:pPr>
        <w:spacing w:line="360" w:lineRule="auto"/>
        <w:jc w:val="both"/>
        <w:rPr>
          <w:rFonts w:ascii="Book Antiqua" w:eastAsia="Calibri" w:hAnsi="Book Antiqua" w:cs="Times New Roman (Body CS)"/>
          <w:bCs/>
        </w:rPr>
      </w:pPr>
      <w:r w:rsidRPr="00F46DFF">
        <w:rPr>
          <w:rFonts w:ascii="Book Antiqua" w:eastAsia="Calibri" w:hAnsi="Book Antiqua" w:cs="Times New Roman (Body CS)"/>
          <w:bCs/>
        </w:rPr>
        <w:t>It seems evident that immunotherapy has an integral role in the management of advanced HCC. The success of ICI</w:t>
      </w:r>
      <w:r w:rsidR="006D19D5">
        <w:rPr>
          <w:rFonts w:ascii="Book Antiqua" w:eastAsia="Calibri" w:hAnsi="Book Antiqua" w:cs="Times New Roman (Body CS)"/>
          <w:bCs/>
        </w:rPr>
        <w:t>s</w:t>
      </w:r>
      <w:r w:rsidRPr="00F46DFF">
        <w:rPr>
          <w:rFonts w:ascii="Book Antiqua" w:eastAsia="Calibri" w:hAnsi="Book Antiqua" w:cs="Times New Roman (Body CS)"/>
          <w:bCs/>
        </w:rPr>
        <w:t xml:space="preserve"> use in the long-term survival of patients with HCC has brought into question whether immunotherapy could also produce significant outcomes in early-stage disease and mainly as neoadjuvant treatment modality prior to LT. Although data on this topic are scarce, valuable information can be extracted regarding the future applications of ICIs in HCC management.</w:t>
      </w:r>
    </w:p>
    <w:p w14:paraId="0E5A5620" w14:textId="77777777" w:rsidR="00F46DFF" w:rsidRPr="00F46DFF" w:rsidRDefault="00F46DFF" w:rsidP="00F46DFF">
      <w:pPr>
        <w:spacing w:line="360" w:lineRule="auto"/>
        <w:jc w:val="both"/>
        <w:rPr>
          <w:rFonts w:ascii="Book Antiqua" w:eastAsia="Calibri" w:hAnsi="Book Antiqua" w:cs="Times New Roman (Body CS)"/>
          <w:bCs/>
        </w:rPr>
      </w:pPr>
    </w:p>
    <w:p w14:paraId="3AA6C711" w14:textId="15A4DDF7" w:rsidR="00F46DFF" w:rsidRPr="00B62CB1" w:rsidRDefault="00B62CB1" w:rsidP="00B62CB1">
      <w:pPr>
        <w:spacing w:line="360" w:lineRule="auto"/>
        <w:contextualSpacing/>
        <w:jc w:val="both"/>
        <w:rPr>
          <w:rFonts w:ascii="Book Antiqua" w:eastAsia="Calibri" w:hAnsi="Book Antiqua" w:cs="Times New Roman (Body CS)"/>
          <w:b/>
          <w:i/>
          <w:iCs/>
        </w:rPr>
      </w:pPr>
      <w:r w:rsidRPr="00B62CB1">
        <w:rPr>
          <w:rFonts w:ascii="Book Antiqua" w:eastAsia="Calibri" w:hAnsi="Book Antiqua" w:cs="Times New Roman (Body CS)"/>
          <w:b/>
          <w:i/>
          <w:iCs/>
        </w:rPr>
        <w:t>Goals of neoadjuvant immunotherapy</w:t>
      </w:r>
    </w:p>
    <w:p w14:paraId="5F563BBF" w14:textId="7C04DAFC" w:rsidR="00F46DFF" w:rsidRPr="00F46DFF" w:rsidRDefault="00F46DFF" w:rsidP="00F46DFF">
      <w:pPr>
        <w:spacing w:line="360" w:lineRule="auto"/>
        <w:jc w:val="both"/>
        <w:rPr>
          <w:rFonts w:ascii="Book Antiqua" w:eastAsia="Calibri" w:hAnsi="Book Antiqua" w:cs="Times New Roman (Body CS)"/>
          <w:bCs/>
        </w:rPr>
      </w:pPr>
      <w:r w:rsidRPr="00F46DFF">
        <w:rPr>
          <w:rFonts w:ascii="Book Antiqua" w:eastAsia="Calibri" w:hAnsi="Book Antiqua" w:cs="Times New Roman (Body CS)"/>
          <w:bCs/>
        </w:rPr>
        <w:t xml:space="preserve">Delivery of immunotherapy prior to LT serves the same goals as application of conventional LRT, and, at the same time, establishes new perspectives in terms of prediction of post-LT outcomes and survival following transplantation. Bridging and downstaging ICI therapy is a novel approach </w:t>
      </w:r>
      <w:r w:rsidR="006D19D5">
        <w:rPr>
          <w:rFonts w:ascii="Book Antiqua" w:eastAsia="Calibri" w:hAnsi="Book Antiqua" w:cs="Times New Roman (Body CS)"/>
          <w:bCs/>
        </w:rPr>
        <w:t>to</w:t>
      </w:r>
      <w:r w:rsidR="006D19D5" w:rsidRPr="00F46DFF">
        <w:rPr>
          <w:rFonts w:ascii="Book Antiqua" w:eastAsia="Calibri" w:hAnsi="Book Antiqua" w:cs="Times New Roman (Body CS)"/>
          <w:bCs/>
        </w:rPr>
        <w:t xml:space="preserve"> </w:t>
      </w:r>
      <w:r w:rsidRPr="00F46DFF">
        <w:rPr>
          <w:rFonts w:ascii="Book Antiqua" w:eastAsia="Calibri" w:hAnsi="Book Antiqua" w:cs="Times New Roman (Body CS)"/>
          <w:bCs/>
        </w:rPr>
        <w:t>maintaining or even increasing the pool of transplant HCC candidates able to undergo curative LT. Beyond that, ICIs may have additional benefits post-LT, since they may be able to decrease disease recurrence by treating micrometastatic disease that was not detected prior to LT</w:t>
      </w:r>
      <w:r w:rsidR="008C3F5B" w:rsidRPr="008C3F5B">
        <w:rPr>
          <w:rFonts w:ascii="Book Antiqua" w:eastAsia="Calibri" w:hAnsi="Book Antiqua" w:cs="Times New Roman (Body CS)"/>
          <w:bCs/>
          <w:vertAlign w:val="superscript"/>
        </w:rPr>
        <w:t>[14]</w:t>
      </w:r>
      <w:r w:rsidRPr="00F46DFF">
        <w:rPr>
          <w:rFonts w:ascii="Book Antiqua" w:eastAsia="Calibri" w:hAnsi="Book Antiqua" w:cs="Times New Roman (Body CS)"/>
          <w:bCs/>
        </w:rPr>
        <w:t xml:space="preserve">. The basis behind the already mentioned promising benefits of neoadjuvant immunotherapy stems from the ability of ICIs to reconstitute the immune response towards an antitumoral </w:t>
      </w:r>
      <w:r w:rsidRPr="00F46DFF">
        <w:rPr>
          <w:rFonts w:ascii="Book Antiqua" w:eastAsia="Calibri" w:hAnsi="Book Antiqua" w:cs="Times New Roman (Body CS)"/>
          <w:bCs/>
        </w:rPr>
        <w:lastRenderedPageBreak/>
        <w:t>microenvironment that halts disease progression. More specifically, histologic</w:t>
      </w:r>
      <w:r w:rsidR="006D19D5">
        <w:rPr>
          <w:rFonts w:ascii="Book Antiqua" w:eastAsia="Calibri" w:hAnsi="Book Antiqua" w:cs="Times New Roman (Body CS)"/>
          <w:bCs/>
        </w:rPr>
        <w:t>al</w:t>
      </w:r>
      <w:r w:rsidRPr="00F46DFF">
        <w:rPr>
          <w:rFonts w:ascii="Book Antiqua" w:eastAsia="Calibri" w:hAnsi="Book Antiqua" w:cs="Times New Roman (Body CS)"/>
          <w:bCs/>
        </w:rPr>
        <w:t xml:space="preserve"> analysis of a specimen from a subject enrolled in a study evaluating the perioperative use of ICIs in patients with HCC revealed an increase in the number of cytotoxic CD8</w:t>
      </w:r>
      <w:r w:rsidRPr="006A44F3">
        <w:rPr>
          <w:rFonts w:ascii="Book Antiqua" w:eastAsia="Calibri" w:hAnsi="Book Antiqua" w:cs="Times New Roman (Body CS)"/>
          <w:bCs/>
          <w:vertAlign w:val="superscript"/>
        </w:rPr>
        <w:t>+</w:t>
      </w:r>
      <w:r w:rsidRPr="00F46DFF">
        <w:rPr>
          <w:rFonts w:ascii="Book Antiqua" w:eastAsia="Calibri" w:hAnsi="Book Antiqua" w:cs="Times New Roman (Body CS)"/>
          <w:bCs/>
        </w:rPr>
        <w:t xml:space="preserve"> T</w:t>
      </w:r>
      <w:r w:rsidR="006D19D5">
        <w:rPr>
          <w:rFonts w:ascii="Book Antiqua" w:eastAsia="Calibri" w:hAnsi="Book Antiqua" w:cs="Times New Roman (Body CS)"/>
          <w:bCs/>
        </w:rPr>
        <w:t xml:space="preserve"> </w:t>
      </w:r>
      <w:r w:rsidRPr="00F46DFF">
        <w:rPr>
          <w:rFonts w:ascii="Book Antiqua" w:eastAsia="Calibri" w:hAnsi="Book Antiqua" w:cs="Times New Roman (Body CS)"/>
          <w:bCs/>
        </w:rPr>
        <w:t>cells and levels of interferon (IFN</w:t>
      </w:r>
      <w:r w:rsidR="006D19D5">
        <w:rPr>
          <w:rFonts w:ascii="Book Antiqua" w:eastAsia="Calibri" w:hAnsi="Book Antiqua" w:cs="Times New Roman (Body CS)"/>
          <w:bCs/>
        </w:rPr>
        <w:t>)</w:t>
      </w:r>
      <w:r w:rsidRPr="00F46DFF">
        <w:rPr>
          <w:rFonts w:ascii="Book Antiqua" w:eastAsia="Calibri" w:hAnsi="Book Antiqua" w:cs="Times New Roman (Body CS)"/>
          <w:bCs/>
        </w:rPr>
        <w:t>-</w:t>
      </w:r>
      <w:r w:rsidRPr="00F46DFF">
        <w:rPr>
          <w:rFonts w:ascii="Book Antiqua" w:eastAsia="Calibri" w:hAnsi="Book Antiqua" w:cs="Times New Roman (Body CS)"/>
          <w:bCs/>
          <w:lang w:val="el-GR"/>
        </w:rPr>
        <w:t>γ</w:t>
      </w:r>
      <w:r w:rsidRPr="00F46DFF">
        <w:rPr>
          <w:rFonts w:ascii="Book Antiqua" w:eastAsia="Calibri" w:hAnsi="Book Antiqua" w:cs="Times New Roman (Body CS)"/>
          <w:bCs/>
        </w:rPr>
        <w:t xml:space="preserve">, which are both known to mitigate the immunosuppressive TME seen in HCC and at the same time mount an effective antitumoral, inflammatory response that controls tumor spread. Also, although the cluster of </w:t>
      </w:r>
      <w:r w:rsidR="006D19D5">
        <w:rPr>
          <w:rFonts w:ascii="Book Antiqua" w:eastAsia="Calibri" w:hAnsi="Book Antiqua" w:cs="Times New Roman (Body CS)"/>
          <w:bCs/>
        </w:rPr>
        <w:t xml:space="preserve">Treg </w:t>
      </w:r>
      <w:r w:rsidRPr="00F46DFF">
        <w:rPr>
          <w:rFonts w:ascii="Book Antiqua" w:eastAsia="Calibri" w:hAnsi="Book Antiqua" w:cs="Times New Roman (Body CS)"/>
          <w:bCs/>
        </w:rPr>
        <w:t>cells, which are known to induce an immunosuppressive environment and promote cancer spread, was increased, there was an eventual complete pathologic response observed in the analyzed specimen. This could be due to the high CD8</w:t>
      </w:r>
      <w:r w:rsidRPr="006A44F3">
        <w:rPr>
          <w:rFonts w:ascii="Book Antiqua" w:eastAsia="Calibri" w:hAnsi="Book Antiqua" w:cs="Times New Roman (Body CS)"/>
          <w:bCs/>
          <w:vertAlign w:val="superscript"/>
        </w:rPr>
        <w:t>+</w:t>
      </w:r>
      <w:r w:rsidRPr="00F46DFF">
        <w:rPr>
          <w:rFonts w:ascii="Book Antiqua" w:eastAsia="Calibri" w:hAnsi="Book Antiqua" w:cs="Times New Roman (Body CS)"/>
          <w:bCs/>
        </w:rPr>
        <w:t xml:space="preserve"> T</w:t>
      </w:r>
      <w:r w:rsidR="006D19D5">
        <w:rPr>
          <w:rFonts w:ascii="Book Antiqua" w:eastAsia="Calibri" w:hAnsi="Book Antiqua" w:cs="Times New Roman (Body CS)"/>
          <w:bCs/>
        </w:rPr>
        <w:t xml:space="preserve"> </w:t>
      </w:r>
      <w:r w:rsidRPr="00F46DFF">
        <w:rPr>
          <w:rFonts w:ascii="Book Antiqua" w:eastAsia="Calibri" w:hAnsi="Book Antiqua" w:cs="Times New Roman (Body CS)"/>
          <w:bCs/>
        </w:rPr>
        <w:t>cell/</w:t>
      </w:r>
      <w:r w:rsidR="006D19D5">
        <w:rPr>
          <w:rFonts w:ascii="Book Antiqua" w:eastAsia="Calibri" w:hAnsi="Book Antiqua" w:cs="Times New Roman (Body CS)"/>
          <w:bCs/>
        </w:rPr>
        <w:t xml:space="preserve">Treg </w:t>
      </w:r>
      <w:r w:rsidRPr="00F46DFF">
        <w:rPr>
          <w:rFonts w:ascii="Book Antiqua" w:eastAsia="Calibri" w:hAnsi="Book Antiqua" w:cs="Times New Roman (Body CS)"/>
          <w:bCs/>
        </w:rPr>
        <w:t>cell ratio, favoring the antitumoral immune response, or to the presence of a mixed population of regulatory T</w:t>
      </w:r>
      <w:r w:rsidR="006D19D5">
        <w:rPr>
          <w:rFonts w:ascii="Book Antiqua" w:eastAsia="Calibri" w:hAnsi="Book Antiqua" w:cs="Times New Roman (Body CS)"/>
          <w:bCs/>
        </w:rPr>
        <w:t xml:space="preserve"> </w:t>
      </w:r>
      <w:r w:rsidRPr="00F46DFF">
        <w:rPr>
          <w:rFonts w:ascii="Book Antiqua" w:eastAsia="Calibri" w:hAnsi="Book Antiqua" w:cs="Times New Roman (Body CS)"/>
          <w:bCs/>
        </w:rPr>
        <w:t>cells that serve to halt disease progression</w:t>
      </w:r>
      <w:r w:rsidR="00E06C28" w:rsidRPr="00E06C28">
        <w:rPr>
          <w:rFonts w:ascii="Book Antiqua" w:eastAsia="Calibri" w:hAnsi="Book Antiqua" w:cs="Times New Roman (Body CS)"/>
          <w:bCs/>
          <w:vertAlign w:val="superscript"/>
        </w:rPr>
        <w:t>[64]</w:t>
      </w:r>
      <w:r w:rsidRPr="00F46DFF">
        <w:rPr>
          <w:rFonts w:ascii="Book Antiqua" w:eastAsia="Calibri" w:hAnsi="Book Antiqua" w:cs="Times New Roman (Body CS)"/>
          <w:bCs/>
        </w:rPr>
        <w:t xml:space="preserve">. Other studies have also evaluated the mechanisms responsible for producing favoring outcomes following periprocedural ICI administration and have concluded that the overwhelming infiltration of tumor-specific CD8+ T-cells, the release of inflammatory cytokines, such as IFN-γ and </w:t>
      </w:r>
      <w:r w:rsidR="006D19D5">
        <w:rPr>
          <w:rFonts w:ascii="Book Antiqua" w:eastAsia="Calibri" w:hAnsi="Book Antiqua" w:cs="Times New Roman (Body CS)"/>
          <w:bCs/>
        </w:rPr>
        <w:t>tumor necrosis factor (</w:t>
      </w:r>
      <w:r w:rsidRPr="00F46DFF">
        <w:rPr>
          <w:rFonts w:ascii="Book Antiqua" w:eastAsia="Calibri" w:hAnsi="Book Antiqua" w:cs="Times New Roman (Body CS)"/>
          <w:bCs/>
        </w:rPr>
        <w:t>TNF</w:t>
      </w:r>
      <w:r w:rsidR="006D19D5">
        <w:rPr>
          <w:rFonts w:ascii="Book Antiqua" w:eastAsia="Calibri" w:hAnsi="Book Antiqua" w:cs="Times New Roman (Body CS)"/>
          <w:bCs/>
        </w:rPr>
        <w:t>)</w:t>
      </w:r>
      <w:r w:rsidRPr="00F46DFF">
        <w:rPr>
          <w:rFonts w:ascii="Book Antiqua" w:eastAsia="Calibri" w:hAnsi="Book Antiqua" w:cs="Times New Roman (Body CS)"/>
          <w:bCs/>
        </w:rPr>
        <w:t xml:space="preserve">-α, the elevated number of tumor neoantigens that attract T cells and the relative decrease in the number of immunosuppressive and </w:t>
      </w:r>
      <w:r w:rsidR="006D19D5">
        <w:rPr>
          <w:rFonts w:ascii="Book Antiqua" w:eastAsia="Calibri" w:hAnsi="Book Antiqua" w:cs="Times New Roman (Body CS)"/>
          <w:bCs/>
        </w:rPr>
        <w:t xml:space="preserve">Treg </w:t>
      </w:r>
      <w:r w:rsidRPr="00F46DFF">
        <w:rPr>
          <w:rFonts w:ascii="Book Antiqua" w:eastAsia="Calibri" w:hAnsi="Book Antiqua" w:cs="Times New Roman (Body CS)"/>
          <w:bCs/>
        </w:rPr>
        <w:t>cells, all contribute to the positive immun</w:t>
      </w:r>
      <w:r w:rsidR="006D19D5">
        <w:rPr>
          <w:rFonts w:ascii="Book Antiqua" w:eastAsia="Calibri" w:hAnsi="Book Antiqua" w:cs="Times New Roman (Body CS)"/>
          <w:bCs/>
        </w:rPr>
        <w:t>o</w:t>
      </w:r>
      <w:r w:rsidRPr="00F46DFF">
        <w:rPr>
          <w:rFonts w:ascii="Book Antiqua" w:eastAsia="Calibri" w:hAnsi="Book Antiqua" w:cs="Times New Roman (Body CS)"/>
          <w:bCs/>
        </w:rPr>
        <w:t>modulating outcomes of neoadjuvant ICI use</w:t>
      </w:r>
      <w:r w:rsidR="00041313" w:rsidRPr="00041313">
        <w:rPr>
          <w:rFonts w:ascii="Book Antiqua" w:eastAsia="Calibri" w:hAnsi="Book Antiqua" w:cs="Times New Roman (Body CS)"/>
          <w:bCs/>
          <w:vertAlign w:val="superscript"/>
        </w:rPr>
        <w:t>[65-68]</w:t>
      </w:r>
      <w:r w:rsidRPr="00F46DFF">
        <w:rPr>
          <w:rFonts w:ascii="Book Antiqua" w:eastAsia="Calibri" w:hAnsi="Book Antiqua" w:cs="Times New Roman (Body CS)"/>
          <w:bCs/>
        </w:rPr>
        <w:t xml:space="preserve">. Overall, neoadjuvant immunotherapy prior to LT in HCC serves three main goals: </w:t>
      </w:r>
      <w:r w:rsidR="006D19D5">
        <w:rPr>
          <w:rFonts w:ascii="Book Antiqua" w:eastAsia="Calibri" w:hAnsi="Book Antiqua" w:cs="Times New Roman (Body CS)"/>
          <w:bCs/>
        </w:rPr>
        <w:t>(</w:t>
      </w:r>
      <w:r w:rsidRPr="00F46DFF">
        <w:rPr>
          <w:rFonts w:ascii="Book Antiqua" w:eastAsia="Calibri" w:hAnsi="Book Antiqua" w:cs="Times New Roman (Body CS)"/>
          <w:bCs/>
        </w:rPr>
        <w:t>1</w:t>
      </w:r>
      <w:r w:rsidR="006D19D5">
        <w:rPr>
          <w:rFonts w:ascii="Book Antiqua" w:eastAsia="Calibri" w:hAnsi="Book Antiqua" w:cs="Times New Roman (Body CS)"/>
          <w:bCs/>
        </w:rPr>
        <w:t>)</w:t>
      </w:r>
      <w:r w:rsidR="006D19D5" w:rsidRPr="00F46DFF">
        <w:rPr>
          <w:rFonts w:ascii="Book Antiqua" w:eastAsia="Calibri" w:hAnsi="Book Antiqua" w:cs="Times New Roman (Body CS)"/>
          <w:bCs/>
        </w:rPr>
        <w:t xml:space="preserve"> </w:t>
      </w:r>
      <w:r w:rsidRPr="00F46DFF">
        <w:rPr>
          <w:rFonts w:ascii="Book Antiqua" w:eastAsia="Calibri" w:hAnsi="Book Antiqua" w:cs="Times New Roman (Body CS)"/>
          <w:bCs/>
        </w:rPr>
        <w:t>preventing patients from waitlist dropout, when the time interval to LT is substantial (bridging therapy</w:t>
      </w:r>
      <w:r w:rsidR="006D19D5" w:rsidRPr="00F46DFF">
        <w:rPr>
          <w:rFonts w:ascii="Book Antiqua" w:eastAsia="Calibri" w:hAnsi="Book Antiqua" w:cs="Times New Roman (Body CS)"/>
          <w:bCs/>
        </w:rPr>
        <w:t>)</w:t>
      </w:r>
      <w:r w:rsidR="006D19D5">
        <w:rPr>
          <w:rFonts w:ascii="Book Antiqua" w:eastAsia="Calibri" w:hAnsi="Book Antiqua" w:cs="Times New Roman (Body CS)"/>
          <w:bCs/>
        </w:rPr>
        <w:t>;</w:t>
      </w:r>
      <w:r w:rsidR="006D19D5" w:rsidRPr="00F46DFF">
        <w:rPr>
          <w:rFonts w:ascii="Book Antiqua" w:eastAsia="Calibri" w:hAnsi="Book Antiqua" w:cs="Times New Roman (Body CS)"/>
          <w:bCs/>
        </w:rPr>
        <w:t xml:space="preserve"> </w:t>
      </w:r>
      <w:r w:rsidR="006D19D5">
        <w:rPr>
          <w:rFonts w:ascii="Book Antiqua" w:eastAsia="Calibri" w:hAnsi="Book Antiqua" w:cs="Times New Roman (Body CS)"/>
          <w:bCs/>
        </w:rPr>
        <w:t>(</w:t>
      </w:r>
      <w:r w:rsidRPr="00F46DFF">
        <w:rPr>
          <w:rFonts w:ascii="Book Antiqua" w:eastAsia="Calibri" w:hAnsi="Book Antiqua" w:cs="Times New Roman (Body CS)"/>
          <w:bCs/>
        </w:rPr>
        <w:t>2</w:t>
      </w:r>
      <w:r w:rsidR="006D19D5">
        <w:rPr>
          <w:rFonts w:ascii="Book Antiqua" w:eastAsia="Calibri" w:hAnsi="Book Antiqua" w:cs="Times New Roman (Body CS)"/>
          <w:bCs/>
        </w:rPr>
        <w:t>)</w:t>
      </w:r>
      <w:r w:rsidR="006D19D5" w:rsidRPr="00F46DFF">
        <w:rPr>
          <w:rFonts w:ascii="Book Antiqua" w:eastAsia="Calibri" w:hAnsi="Book Antiqua" w:cs="Times New Roman (Body CS)"/>
          <w:bCs/>
        </w:rPr>
        <w:t xml:space="preserve"> </w:t>
      </w:r>
      <w:r w:rsidRPr="00F46DFF">
        <w:rPr>
          <w:rFonts w:ascii="Book Antiqua" w:eastAsia="Calibri" w:hAnsi="Book Antiqua" w:cs="Times New Roman (Body CS)"/>
          <w:bCs/>
        </w:rPr>
        <w:t>increasing the number of patients eligible for transplantation by including them in established LT criteria (downstaging therapy)</w:t>
      </w:r>
      <w:r w:rsidR="006D19D5">
        <w:rPr>
          <w:rFonts w:ascii="Book Antiqua" w:eastAsia="Calibri" w:hAnsi="Book Antiqua" w:cs="Times New Roman (Body CS)"/>
          <w:bCs/>
        </w:rPr>
        <w:t>;</w:t>
      </w:r>
      <w:r w:rsidRPr="00F46DFF">
        <w:rPr>
          <w:rFonts w:ascii="Book Antiqua" w:eastAsia="Calibri" w:hAnsi="Book Antiqua" w:cs="Times New Roman (Body CS)"/>
          <w:bCs/>
        </w:rPr>
        <w:t xml:space="preserve"> and </w:t>
      </w:r>
      <w:r w:rsidR="006D19D5">
        <w:rPr>
          <w:rFonts w:ascii="Book Antiqua" w:eastAsia="Calibri" w:hAnsi="Book Antiqua" w:cs="Times New Roman (Body CS)"/>
          <w:bCs/>
        </w:rPr>
        <w:t>(</w:t>
      </w:r>
      <w:r w:rsidRPr="00F46DFF">
        <w:rPr>
          <w:rFonts w:ascii="Book Antiqua" w:eastAsia="Calibri" w:hAnsi="Book Antiqua" w:cs="Times New Roman (Body CS)"/>
          <w:bCs/>
        </w:rPr>
        <w:t>3</w:t>
      </w:r>
      <w:r w:rsidR="006D19D5">
        <w:rPr>
          <w:rFonts w:ascii="Book Antiqua" w:eastAsia="Calibri" w:hAnsi="Book Antiqua" w:cs="Times New Roman (Body CS)"/>
          <w:bCs/>
        </w:rPr>
        <w:t>)</w:t>
      </w:r>
      <w:r w:rsidR="006D19D5" w:rsidRPr="00F46DFF">
        <w:rPr>
          <w:rFonts w:ascii="Book Antiqua" w:eastAsia="Calibri" w:hAnsi="Book Antiqua" w:cs="Times New Roman (Body CS)"/>
          <w:bCs/>
        </w:rPr>
        <w:t xml:space="preserve"> </w:t>
      </w:r>
      <w:r w:rsidRPr="00F46DFF">
        <w:rPr>
          <w:rFonts w:ascii="Book Antiqua" w:eastAsia="Calibri" w:hAnsi="Book Antiqua" w:cs="Times New Roman (Body CS)"/>
          <w:bCs/>
        </w:rPr>
        <w:t>ensuring micrometastatic spread eradication after LT, thereby increasing the chances of prolonged survival after surgery.</w:t>
      </w:r>
    </w:p>
    <w:p w14:paraId="0A3EE814" w14:textId="77777777" w:rsidR="00F46DFF" w:rsidRPr="00F46DFF" w:rsidRDefault="00F46DFF" w:rsidP="00F46DFF">
      <w:pPr>
        <w:spacing w:line="360" w:lineRule="auto"/>
        <w:jc w:val="both"/>
        <w:rPr>
          <w:rFonts w:ascii="Book Antiqua" w:eastAsia="Calibri" w:hAnsi="Book Antiqua" w:cs="Times New Roman (Body CS)"/>
          <w:bCs/>
        </w:rPr>
      </w:pPr>
    </w:p>
    <w:p w14:paraId="2A5A0B01" w14:textId="36102E71" w:rsidR="00F46DFF" w:rsidRPr="00260460" w:rsidRDefault="00260460" w:rsidP="00260460">
      <w:pPr>
        <w:spacing w:line="360" w:lineRule="auto"/>
        <w:contextualSpacing/>
        <w:jc w:val="both"/>
        <w:rPr>
          <w:rFonts w:ascii="Book Antiqua" w:eastAsia="Calibri" w:hAnsi="Book Antiqua" w:cs="Times New Roman (Body CS)"/>
          <w:b/>
          <w:i/>
          <w:iCs/>
        </w:rPr>
      </w:pPr>
      <w:r w:rsidRPr="00260460">
        <w:rPr>
          <w:rFonts w:ascii="Book Antiqua" w:eastAsia="Calibri" w:hAnsi="Book Antiqua" w:cs="Times New Roman (Body CS)"/>
          <w:b/>
          <w:i/>
          <w:iCs/>
        </w:rPr>
        <w:t xml:space="preserve">Considerations regarding the safe use of neoadjuvant immunotherapy prior to </w:t>
      </w:r>
      <w:r w:rsidR="006D19D5" w:rsidRPr="00260460">
        <w:rPr>
          <w:rFonts w:ascii="Book Antiqua" w:eastAsia="Calibri" w:hAnsi="Book Antiqua" w:cs="Times New Roman (Body CS)"/>
          <w:b/>
          <w:i/>
          <w:iCs/>
        </w:rPr>
        <w:t>LT</w:t>
      </w:r>
      <w:r w:rsidRPr="00260460">
        <w:rPr>
          <w:rFonts w:ascii="Book Antiqua" w:eastAsia="Calibri" w:hAnsi="Book Antiqua" w:cs="Times New Roman (Body CS)"/>
          <w:b/>
          <w:i/>
          <w:iCs/>
        </w:rPr>
        <w:t xml:space="preserve"> in patients with HCC</w:t>
      </w:r>
    </w:p>
    <w:p w14:paraId="480A7454" w14:textId="78E9322B" w:rsidR="00F46DFF" w:rsidRPr="00F46DFF" w:rsidRDefault="00F46DFF" w:rsidP="00F46DFF">
      <w:pPr>
        <w:spacing w:line="360" w:lineRule="auto"/>
        <w:jc w:val="both"/>
        <w:rPr>
          <w:rFonts w:ascii="Book Antiqua" w:eastAsia="Calibri" w:hAnsi="Book Antiqua" w:cs="Times New Roman (Body CS)"/>
          <w:bCs/>
        </w:rPr>
      </w:pPr>
      <w:r w:rsidRPr="00F46DFF">
        <w:rPr>
          <w:rFonts w:ascii="Book Antiqua" w:eastAsia="Calibri" w:hAnsi="Book Antiqua" w:cs="Times New Roman (Body CS)"/>
          <w:bCs/>
        </w:rPr>
        <w:t>When contemplating ICI administration prior to LT, one has to take into account the time interval between the last dose of ICI therapy and LT, factors that predict response to ICI therapy, in order to prevent graft rejection, and the possible adverse events associated with ICI and how they could be effectively managed.</w:t>
      </w:r>
    </w:p>
    <w:p w14:paraId="54AF2AE8" w14:textId="1ACCD34A" w:rsidR="007A0868" w:rsidRDefault="00F46DFF" w:rsidP="007A0868">
      <w:pPr>
        <w:spacing w:line="360" w:lineRule="auto"/>
        <w:ind w:firstLineChars="200" w:firstLine="480"/>
        <w:jc w:val="both"/>
        <w:rPr>
          <w:rFonts w:ascii="Book Antiqua" w:eastAsia="Calibri" w:hAnsi="Book Antiqua" w:cs="Times New Roman (Body CS)"/>
          <w:bCs/>
        </w:rPr>
      </w:pPr>
      <w:r w:rsidRPr="00F46DFF">
        <w:rPr>
          <w:rFonts w:ascii="Book Antiqua" w:eastAsia="Calibri" w:hAnsi="Book Antiqua" w:cs="Times New Roman (Body CS)"/>
          <w:bCs/>
        </w:rPr>
        <w:lastRenderedPageBreak/>
        <w:t>Post-LT ICI administration has been linked to donor allograft rejection</w:t>
      </w:r>
      <w:r w:rsidR="00041313" w:rsidRPr="00041313">
        <w:rPr>
          <w:rFonts w:ascii="Book Antiqua" w:eastAsia="Calibri" w:hAnsi="Book Antiqua" w:cs="Times New Roman (Body CS)"/>
          <w:bCs/>
          <w:vertAlign w:val="superscript"/>
        </w:rPr>
        <w:t>[</w:t>
      </w:r>
      <w:r w:rsidR="00041313">
        <w:rPr>
          <w:rFonts w:ascii="Book Antiqua" w:eastAsia="Calibri" w:hAnsi="Book Antiqua" w:cs="Times New Roman (Body CS)"/>
          <w:bCs/>
          <w:vertAlign w:val="superscript"/>
        </w:rPr>
        <w:t>69</w:t>
      </w:r>
      <w:r w:rsidR="00041313" w:rsidRPr="00041313">
        <w:rPr>
          <w:rFonts w:ascii="Book Antiqua" w:eastAsia="Calibri" w:hAnsi="Book Antiqua" w:cs="Times New Roman (Body CS)"/>
          <w:bCs/>
          <w:vertAlign w:val="superscript"/>
        </w:rPr>
        <w:t>]</w:t>
      </w:r>
      <w:r w:rsidRPr="00F46DFF">
        <w:rPr>
          <w:rFonts w:ascii="Book Antiqua" w:eastAsia="Calibri" w:hAnsi="Book Antiqua" w:cs="Times New Roman (Body CS)"/>
          <w:bCs/>
        </w:rPr>
        <w:t>. Indications for using immunotherapy after transplant include recurrence of malignancy or emergence of a new tumor that is responsive to ICI therapy. When a transplant process takes place, immunosuppression typically follows to prevent the host immune response against the transplanted allograft. ICI administration, by upregulating the T-cell response and dampening the signals that create a state of relative immunosuppression that is desirable post-LT, can result in T</w:t>
      </w:r>
      <w:r w:rsidR="006D19D5">
        <w:rPr>
          <w:rFonts w:ascii="Book Antiqua" w:eastAsia="Calibri" w:hAnsi="Book Antiqua" w:cs="Times New Roman (Body CS)"/>
          <w:bCs/>
        </w:rPr>
        <w:t xml:space="preserve"> </w:t>
      </w:r>
      <w:r w:rsidRPr="00F46DFF">
        <w:rPr>
          <w:rFonts w:ascii="Book Antiqua" w:eastAsia="Calibri" w:hAnsi="Book Antiqua" w:cs="Times New Roman (Body CS)"/>
          <w:bCs/>
        </w:rPr>
        <w:t>cells attacking the graft, resulting in dysfunction, subsequent rejection, and eventual graft and/or patient loss. Despite this feared outcome, studies evaluating graft function after ICI administration in patients undergoing LT have been mixed, and no consensus has been reached regarding the safety profile of immunotherapy in the perioperative period</w:t>
      </w:r>
      <w:r w:rsidR="00A17490" w:rsidRPr="00A17490">
        <w:rPr>
          <w:rFonts w:ascii="Book Antiqua" w:eastAsia="Calibri" w:hAnsi="Book Antiqua" w:cs="Times New Roman (Body CS)"/>
          <w:bCs/>
          <w:vertAlign w:val="superscript"/>
        </w:rPr>
        <w:t>[70]</w:t>
      </w:r>
      <w:r w:rsidRPr="00F46DFF">
        <w:rPr>
          <w:rFonts w:ascii="Book Antiqua" w:eastAsia="Calibri" w:hAnsi="Book Antiqua" w:cs="Times New Roman (Body CS)"/>
          <w:bCs/>
        </w:rPr>
        <w:t xml:space="preserve">. A case series study evaluating 13 HCC patients who received ICI post-LT revealed that </w:t>
      </w:r>
      <w:r w:rsidR="006D19D5">
        <w:rPr>
          <w:rFonts w:ascii="Book Antiqua" w:eastAsia="Calibri" w:hAnsi="Book Antiqua" w:cs="Times New Roman (Body CS)"/>
          <w:bCs/>
        </w:rPr>
        <w:t>four</w:t>
      </w:r>
      <w:r w:rsidR="006D19D5" w:rsidRPr="00F46DFF">
        <w:rPr>
          <w:rFonts w:ascii="Book Antiqua" w:eastAsia="Calibri" w:hAnsi="Book Antiqua" w:cs="Times New Roman (Body CS)"/>
          <w:bCs/>
        </w:rPr>
        <w:t xml:space="preserve"> </w:t>
      </w:r>
      <w:r w:rsidRPr="00F46DFF">
        <w:rPr>
          <w:rFonts w:ascii="Book Antiqua" w:eastAsia="Calibri" w:hAnsi="Book Antiqua" w:cs="Times New Roman (Body CS)"/>
          <w:bCs/>
        </w:rPr>
        <w:t>patients (31%) developed graft rejection</w:t>
      </w:r>
      <w:r w:rsidR="00DE3B48" w:rsidRPr="00DE3B48">
        <w:rPr>
          <w:rFonts w:ascii="Book Antiqua" w:eastAsia="Calibri" w:hAnsi="Book Antiqua" w:cs="Times New Roman (Body CS)"/>
          <w:bCs/>
          <w:vertAlign w:val="superscript"/>
        </w:rPr>
        <w:t>[71]</w:t>
      </w:r>
      <w:r w:rsidRPr="00F46DFF">
        <w:rPr>
          <w:rFonts w:ascii="Book Antiqua" w:eastAsia="Calibri" w:hAnsi="Book Antiqua" w:cs="Times New Roman (Body CS)"/>
          <w:bCs/>
        </w:rPr>
        <w:t xml:space="preserve">. Another study identified a cohort of 14 patients who received ICIs post-LT, with </w:t>
      </w:r>
      <w:r w:rsidR="006D19D5">
        <w:rPr>
          <w:rFonts w:ascii="Book Antiqua" w:eastAsia="Calibri" w:hAnsi="Book Antiqua" w:cs="Times New Roman (Body CS)"/>
          <w:bCs/>
        </w:rPr>
        <w:t>four</w:t>
      </w:r>
      <w:r w:rsidR="006D19D5" w:rsidRPr="00F46DFF">
        <w:rPr>
          <w:rFonts w:ascii="Book Antiqua" w:eastAsia="Calibri" w:hAnsi="Book Antiqua" w:cs="Times New Roman (Body CS)"/>
          <w:bCs/>
        </w:rPr>
        <w:t xml:space="preserve"> </w:t>
      </w:r>
      <w:r w:rsidRPr="00F46DFF">
        <w:rPr>
          <w:rFonts w:ascii="Book Antiqua" w:eastAsia="Calibri" w:hAnsi="Book Antiqua" w:cs="Times New Roman (Body CS)"/>
          <w:bCs/>
        </w:rPr>
        <w:t>of them (29%) experiencing graft rejection</w:t>
      </w:r>
      <w:r w:rsidR="00DE3B48" w:rsidRPr="00DE3B48">
        <w:rPr>
          <w:rFonts w:ascii="Book Antiqua" w:eastAsia="Calibri" w:hAnsi="Book Antiqua" w:cs="Times New Roman (Body CS)"/>
          <w:bCs/>
          <w:vertAlign w:val="superscript"/>
        </w:rPr>
        <w:t>[72]</w:t>
      </w:r>
      <w:r w:rsidRPr="00F46DFF">
        <w:rPr>
          <w:rFonts w:ascii="Book Antiqua" w:eastAsia="Calibri" w:hAnsi="Book Antiqua" w:cs="Times New Roman (Body CS)"/>
          <w:bCs/>
        </w:rPr>
        <w:t>. Moving to the downstaging setting, it is important to consider a washout period between the last dose of immunotherapy and LT in order to downregulate the immune response that was accentuated during ICI therapy, thus allowing the allograft to be successfully transplanted. The ideal time interval until LT has not been decided, mainly due to the limited number of studies harnessing ICIs as a downstaging tool, but there are some important aspects to consider regarding this topic. The half-life of the immun</w:t>
      </w:r>
      <w:r w:rsidR="006D19D5">
        <w:rPr>
          <w:rFonts w:ascii="Book Antiqua" w:eastAsia="Calibri" w:hAnsi="Book Antiqua" w:cs="Times New Roman (Body CS)"/>
          <w:bCs/>
        </w:rPr>
        <w:t>o</w:t>
      </w:r>
      <w:r w:rsidRPr="00F46DFF">
        <w:rPr>
          <w:rFonts w:ascii="Book Antiqua" w:eastAsia="Calibri" w:hAnsi="Book Antiqua" w:cs="Times New Roman (Body CS)"/>
          <w:bCs/>
        </w:rPr>
        <w:t>modulating agent could be used as an adjunctive parameter to calculate the time of immunotherapy discontinuation to LT. However, further understanding of the mechanism of action of ICIs may prove the above remark unreliable. Indeed, occupancy of drug-specific targets by these medications can be prolonged, resulting in a duration of effect that extends beyond the period one would calculate based on the half-life of the ICI</w:t>
      </w:r>
      <w:r w:rsidR="00D9420D" w:rsidRPr="00DE3B48">
        <w:rPr>
          <w:rFonts w:ascii="Book Antiqua" w:eastAsia="Calibri" w:hAnsi="Book Antiqua" w:cs="Times New Roman (Body CS)"/>
          <w:bCs/>
          <w:vertAlign w:val="superscript"/>
        </w:rPr>
        <w:t>[7</w:t>
      </w:r>
      <w:r w:rsidR="00D9420D">
        <w:rPr>
          <w:rFonts w:ascii="Book Antiqua" w:eastAsia="Calibri" w:hAnsi="Book Antiqua" w:cs="Times New Roman (Body CS)"/>
          <w:bCs/>
          <w:vertAlign w:val="superscript"/>
        </w:rPr>
        <w:t>3</w:t>
      </w:r>
      <w:r w:rsidR="00D9420D" w:rsidRPr="00DE3B48">
        <w:rPr>
          <w:rFonts w:ascii="Book Antiqua" w:eastAsia="Calibri" w:hAnsi="Book Antiqua" w:cs="Times New Roman (Body CS)"/>
          <w:bCs/>
          <w:vertAlign w:val="superscript"/>
        </w:rPr>
        <w:t>]</w:t>
      </w:r>
      <w:r w:rsidRPr="00F46DFF">
        <w:rPr>
          <w:rFonts w:ascii="Book Antiqua" w:eastAsia="Calibri" w:hAnsi="Book Antiqua" w:cs="Times New Roman (Body CS)"/>
          <w:bCs/>
        </w:rPr>
        <w:t xml:space="preserve">. For example, although the half-life of nivolumab is </w:t>
      </w:r>
      <w:r w:rsidR="006D19D5">
        <w:rPr>
          <w:rFonts w:ascii="Book Antiqua" w:eastAsia="Calibri" w:hAnsi="Book Antiqua" w:cs="Times New Roman (Body CS)"/>
          <w:bCs/>
        </w:rPr>
        <w:t>~</w:t>
      </w:r>
      <w:r w:rsidRPr="00F46DFF">
        <w:rPr>
          <w:rFonts w:ascii="Book Antiqua" w:eastAsia="Calibri" w:hAnsi="Book Antiqua" w:cs="Times New Roman (Body CS)"/>
          <w:bCs/>
        </w:rPr>
        <w:t xml:space="preserve">25 d, it has been observed that its effects may last for up to 2 mo following a single infusion of the drug, due to sustained occupancy of PD1 on the surface of T cells. Although a short washout period would theoretically correlate with increased risk of graft rejection, there are notable examples that prove this point wrong. A study by Tabrizian </w:t>
      </w:r>
      <w:r w:rsidRPr="00D326A4">
        <w:rPr>
          <w:rFonts w:ascii="Book Antiqua" w:eastAsia="Calibri" w:hAnsi="Book Antiqua" w:cs="Times New Roman (Body CS)"/>
          <w:bCs/>
          <w:i/>
          <w:iCs/>
        </w:rPr>
        <w:t>et al</w:t>
      </w:r>
      <w:r w:rsidR="00D326A4" w:rsidRPr="00D326A4">
        <w:rPr>
          <w:rFonts w:ascii="Book Antiqua" w:eastAsia="Calibri" w:hAnsi="Book Antiqua" w:cs="Times New Roman (Body CS)"/>
          <w:bCs/>
          <w:vertAlign w:val="superscript"/>
        </w:rPr>
        <w:t>[13]</w:t>
      </w:r>
      <w:r w:rsidRPr="00D326A4">
        <w:rPr>
          <w:rFonts w:ascii="Book Antiqua" w:eastAsia="Calibri" w:hAnsi="Book Antiqua" w:cs="Times New Roman (Body CS)"/>
          <w:bCs/>
          <w:vertAlign w:val="superscript"/>
        </w:rPr>
        <w:t xml:space="preserve"> </w:t>
      </w:r>
      <w:r w:rsidRPr="00F46DFF">
        <w:rPr>
          <w:rFonts w:ascii="Book Antiqua" w:eastAsia="Calibri" w:hAnsi="Book Antiqua" w:cs="Times New Roman (Body CS)"/>
          <w:bCs/>
        </w:rPr>
        <w:t xml:space="preserve">assessed the outcome of </w:t>
      </w:r>
      <w:r w:rsidR="006D19D5">
        <w:rPr>
          <w:rFonts w:ascii="Book Antiqua" w:eastAsia="Calibri" w:hAnsi="Book Antiqua" w:cs="Times New Roman (Body CS)"/>
          <w:bCs/>
        </w:rPr>
        <w:t>nine</w:t>
      </w:r>
      <w:r w:rsidR="006D19D5" w:rsidRPr="00F46DFF">
        <w:rPr>
          <w:rFonts w:ascii="Book Antiqua" w:eastAsia="Calibri" w:hAnsi="Book Antiqua" w:cs="Times New Roman (Body CS)"/>
          <w:bCs/>
        </w:rPr>
        <w:t xml:space="preserve"> </w:t>
      </w:r>
      <w:r w:rsidRPr="00F46DFF">
        <w:rPr>
          <w:rFonts w:ascii="Book Antiqua" w:eastAsia="Calibri" w:hAnsi="Book Antiqua" w:cs="Times New Roman (Body CS)"/>
          <w:bCs/>
        </w:rPr>
        <w:lastRenderedPageBreak/>
        <w:t>HCC patients who were transplanted in a single center between 2017</w:t>
      </w:r>
      <w:r w:rsidR="006D19D5">
        <w:rPr>
          <w:rFonts w:ascii="Book Antiqua" w:eastAsia="Calibri" w:hAnsi="Book Antiqua" w:cs="Times New Roman (Body CS)"/>
          <w:bCs/>
        </w:rPr>
        <w:t xml:space="preserve"> and </w:t>
      </w:r>
      <w:r w:rsidRPr="00F46DFF">
        <w:rPr>
          <w:rFonts w:ascii="Book Antiqua" w:eastAsia="Calibri" w:hAnsi="Book Antiqua" w:cs="Times New Roman (Body CS)"/>
          <w:bCs/>
        </w:rPr>
        <w:t xml:space="preserve">2020 after receiving nivolumab 240 mg every </w:t>
      </w:r>
      <w:r w:rsidR="006D19D5">
        <w:rPr>
          <w:rFonts w:ascii="Book Antiqua" w:eastAsia="Calibri" w:hAnsi="Book Antiqua" w:cs="Times New Roman (Body CS)"/>
          <w:bCs/>
        </w:rPr>
        <w:t>2 wk</w:t>
      </w:r>
      <w:r w:rsidRPr="00F46DFF">
        <w:rPr>
          <w:rFonts w:ascii="Book Antiqua" w:eastAsia="Calibri" w:hAnsi="Book Antiqua" w:cs="Times New Roman (Body CS)"/>
          <w:bCs/>
        </w:rPr>
        <w:t xml:space="preserve"> as downstaging therapy. Washout period did not exceed 30 d for any patient after discontinuation of treatment and, notably, two patients discontinued nivolumab 1 and 2 d prior to LT. Following transplantation, no severe graft rejection, tumor recurrence or death occurred, with one patient developing mild rejection that was appropriately managed with an increase in the dose of tacrolimus. </w:t>
      </w:r>
      <w:r w:rsidR="006D19D5">
        <w:rPr>
          <w:rFonts w:ascii="Book Antiqua" w:eastAsia="Calibri" w:hAnsi="Book Antiqua" w:cs="Times New Roman (Body CS)"/>
          <w:bCs/>
        </w:rPr>
        <w:t>I</w:t>
      </w:r>
      <w:r w:rsidRPr="00F46DFF">
        <w:rPr>
          <w:rFonts w:ascii="Book Antiqua" w:eastAsia="Calibri" w:hAnsi="Book Antiqua" w:cs="Times New Roman (Body CS)"/>
          <w:bCs/>
        </w:rPr>
        <w:t>ntraoperative blood transfusion was administered in the two patients who received LT within 2 d of nivolumab discontinuation, which could have accelerated the rate of drug washout</w:t>
      </w:r>
      <w:r w:rsidR="00D9420D" w:rsidRPr="00DE3B48">
        <w:rPr>
          <w:rFonts w:ascii="Book Antiqua" w:eastAsia="Calibri" w:hAnsi="Book Antiqua" w:cs="Times New Roman (Body CS)"/>
          <w:bCs/>
          <w:vertAlign w:val="superscript"/>
        </w:rPr>
        <w:t>[</w:t>
      </w:r>
      <w:r w:rsidR="00D9420D">
        <w:rPr>
          <w:rFonts w:ascii="Book Antiqua" w:eastAsia="Calibri" w:hAnsi="Book Antiqua" w:cs="Times New Roman (Body CS)"/>
          <w:bCs/>
          <w:vertAlign w:val="superscript"/>
        </w:rPr>
        <w:t>13</w:t>
      </w:r>
      <w:r w:rsidR="00D9420D" w:rsidRPr="00DE3B48">
        <w:rPr>
          <w:rFonts w:ascii="Book Antiqua" w:eastAsia="Calibri" w:hAnsi="Book Antiqua" w:cs="Times New Roman (Body CS)"/>
          <w:bCs/>
          <w:vertAlign w:val="superscript"/>
        </w:rPr>
        <w:t>]</w:t>
      </w:r>
      <w:r w:rsidRPr="00F46DFF">
        <w:rPr>
          <w:rFonts w:ascii="Book Antiqua" w:eastAsia="Calibri" w:hAnsi="Book Antiqua" w:cs="Times New Roman (Body CS)"/>
          <w:bCs/>
        </w:rPr>
        <w:t xml:space="preserve">. In another study by Chen </w:t>
      </w:r>
      <w:r w:rsidRPr="00DB09DC">
        <w:rPr>
          <w:rFonts w:ascii="Book Antiqua" w:eastAsia="Calibri" w:hAnsi="Book Antiqua" w:cs="Times New Roman (Body CS)"/>
          <w:bCs/>
          <w:i/>
          <w:iCs/>
        </w:rPr>
        <w:t>et al</w:t>
      </w:r>
      <w:r w:rsidR="00DB09DC" w:rsidRPr="00DB09DC">
        <w:rPr>
          <w:rFonts w:ascii="Book Antiqua" w:eastAsia="Calibri" w:hAnsi="Book Antiqua" w:cs="Times New Roman (Body CS)"/>
          <w:bCs/>
          <w:vertAlign w:val="superscript"/>
        </w:rPr>
        <w:t>[74]</w:t>
      </w:r>
      <w:r w:rsidRPr="00F46DFF">
        <w:rPr>
          <w:rFonts w:ascii="Book Antiqua" w:eastAsia="Calibri" w:hAnsi="Book Antiqua" w:cs="Times New Roman (Body CS)"/>
          <w:bCs/>
        </w:rPr>
        <w:t xml:space="preserve">, a patient who underwent LT and discontinued preoperative toripalimab 93 d before the procedure, suffered ICI-induced acute hepatic necrosis. Results of these studies could indicate that half-life of a drug could not by itself predict the optimal time to LT after downstaging therapy implementation. Other potential parameters or markers should be investigated in order to attain a more precise estimate of the washout period. </w:t>
      </w:r>
    </w:p>
    <w:p w14:paraId="2F3003C3" w14:textId="7CFB9149" w:rsidR="002F320D" w:rsidRDefault="00F46DFF" w:rsidP="002F320D">
      <w:pPr>
        <w:spacing w:line="360" w:lineRule="auto"/>
        <w:ind w:firstLineChars="200" w:firstLine="480"/>
        <w:jc w:val="both"/>
        <w:rPr>
          <w:rFonts w:ascii="Book Antiqua" w:eastAsia="Calibri" w:hAnsi="Book Antiqua" w:cs="Times New Roman (Body CS)"/>
          <w:bCs/>
        </w:rPr>
      </w:pPr>
      <w:r w:rsidRPr="00F46DFF">
        <w:rPr>
          <w:rFonts w:ascii="Book Antiqua" w:eastAsia="Calibri" w:hAnsi="Book Antiqua" w:cs="Times New Roman (Body CS)"/>
          <w:bCs/>
        </w:rPr>
        <w:t>Predicting if a liver graft is suitable for transplantation after ICI administration is a promising feat that could smooth out the perioperative process. PDL1 molecule expression on the transplanted graft could act as surrogate biomarker of the safety of ICIs in terms of inducing or not graft rejection. The idea behind this approach is that PDL1-negative grafts will have fewer rejection</w:t>
      </w:r>
      <w:r w:rsidR="006D19D5">
        <w:rPr>
          <w:rFonts w:ascii="Book Antiqua" w:eastAsia="Calibri" w:hAnsi="Book Antiqua" w:cs="Times New Roman (Body CS)"/>
          <w:bCs/>
        </w:rPr>
        <w:t>s</w:t>
      </w:r>
      <w:r w:rsidRPr="00F46DFF">
        <w:rPr>
          <w:rFonts w:ascii="Book Antiqua" w:eastAsia="Calibri" w:hAnsi="Book Antiqua" w:cs="Times New Roman (Body CS)"/>
          <w:bCs/>
        </w:rPr>
        <w:t xml:space="preserve"> when compared to positive ones, since ICIs </w:t>
      </w:r>
      <w:r w:rsidR="006D19D5">
        <w:rPr>
          <w:rFonts w:ascii="Book Antiqua" w:eastAsia="Calibri" w:hAnsi="Book Antiqua" w:cs="Times New Roman (Body CS)"/>
          <w:bCs/>
        </w:rPr>
        <w:t>will not</w:t>
      </w:r>
      <w:r w:rsidR="006D19D5" w:rsidRPr="00F46DFF">
        <w:rPr>
          <w:rFonts w:ascii="Book Antiqua" w:eastAsia="Calibri" w:hAnsi="Book Antiqua" w:cs="Times New Roman (Body CS)"/>
          <w:bCs/>
        </w:rPr>
        <w:t xml:space="preserve"> </w:t>
      </w:r>
      <w:r w:rsidRPr="00F46DFF">
        <w:rPr>
          <w:rFonts w:ascii="Book Antiqua" w:eastAsia="Calibri" w:hAnsi="Book Antiqua" w:cs="Times New Roman (Body CS)"/>
          <w:bCs/>
        </w:rPr>
        <w:t xml:space="preserve">be able to mount an inflammatory immune response in the absence of drug-binding molecules on the cells of the transplanted parenchyma, thus maintaining the immunosuppressive environment required for LT. A study by Shi </w:t>
      </w:r>
      <w:r w:rsidRPr="0038558B">
        <w:rPr>
          <w:rFonts w:ascii="Book Antiqua" w:eastAsia="Calibri" w:hAnsi="Book Antiqua" w:cs="Times New Roman (Body CS)"/>
          <w:bCs/>
          <w:i/>
          <w:iCs/>
        </w:rPr>
        <w:t>et al</w:t>
      </w:r>
      <w:r w:rsidR="0038558B">
        <w:rPr>
          <w:rFonts w:ascii="Book Antiqua" w:eastAsia="Calibri" w:hAnsi="Book Antiqua" w:cs="Times New Roman (Body CS)"/>
          <w:bCs/>
          <w:vertAlign w:val="superscript"/>
        </w:rPr>
        <w:t>[75]</w:t>
      </w:r>
      <w:r w:rsidRPr="00F46DFF">
        <w:rPr>
          <w:rFonts w:ascii="Book Antiqua" w:eastAsia="Calibri" w:hAnsi="Book Antiqua" w:cs="Times New Roman (Body CS)"/>
          <w:bCs/>
        </w:rPr>
        <w:t xml:space="preserve"> was conducted to compare the graft rejection rate in </w:t>
      </w:r>
      <w:r w:rsidR="006D19D5">
        <w:rPr>
          <w:rFonts w:ascii="Book Antiqua" w:eastAsia="Calibri" w:hAnsi="Book Antiqua" w:cs="Times New Roman (Body CS)"/>
          <w:bCs/>
        </w:rPr>
        <w:t>five</w:t>
      </w:r>
      <w:r w:rsidR="006D19D5" w:rsidRPr="00F46DFF">
        <w:rPr>
          <w:rFonts w:ascii="Book Antiqua" w:eastAsia="Calibri" w:hAnsi="Book Antiqua" w:cs="Times New Roman (Body CS)"/>
          <w:bCs/>
        </w:rPr>
        <w:t xml:space="preserve"> </w:t>
      </w:r>
      <w:r w:rsidRPr="00F46DFF">
        <w:rPr>
          <w:rFonts w:ascii="Book Antiqua" w:eastAsia="Calibri" w:hAnsi="Book Antiqua" w:cs="Times New Roman (Body CS)"/>
          <w:bCs/>
        </w:rPr>
        <w:t>cancer patients who received PDL1-negative allografts when compared to controls with an unknown PDL1 status in their transplanted liver, after receiving the immun</w:t>
      </w:r>
      <w:r w:rsidR="006D19D5">
        <w:rPr>
          <w:rFonts w:ascii="Book Antiqua" w:eastAsia="Calibri" w:hAnsi="Book Antiqua" w:cs="Times New Roman (Body CS)"/>
          <w:bCs/>
        </w:rPr>
        <w:t>o</w:t>
      </w:r>
      <w:r w:rsidRPr="00F46DFF">
        <w:rPr>
          <w:rFonts w:ascii="Book Antiqua" w:eastAsia="Calibri" w:hAnsi="Book Antiqua" w:cs="Times New Roman (Body CS)"/>
          <w:bCs/>
        </w:rPr>
        <w:t xml:space="preserve">modulating agent toripalimab. Results showed that none of the </w:t>
      </w:r>
      <w:r w:rsidR="006D19D5">
        <w:rPr>
          <w:rFonts w:ascii="Book Antiqua" w:eastAsia="Calibri" w:hAnsi="Book Antiqua" w:cs="Times New Roman (Body CS)"/>
          <w:bCs/>
        </w:rPr>
        <w:t>five</w:t>
      </w:r>
      <w:r w:rsidR="006D19D5" w:rsidRPr="00F46DFF">
        <w:rPr>
          <w:rFonts w:ascii="Book Antiqua" w:eastAsia="Calibri" w:hAnsi="Book Antiqua" w:cs="Times New Roman (Body CS)"/>
          <w:bCs/>
        </w:rPr>
        <w:t xml:space="preserve"> </w:t>
      </w:r>
      <w:r w:rsidRPr="00F46DFF">
        <w:rPr>
          <w:rFonts w:ascii="Book Antiqua" w:eastAsia="Calibri" w:hAnsi="Book Antiqua" w:cs="Times New Roman (Body CS)"/>
          <w:bCs/>
        </w:rPr>
        <w:t xml:space="preserve">patients who received PDL1-negative grafts experienced rejection, whereas another patient treated off-record who received PDL1-positive graft, experienced rejection after ICI administration. In another study conducted by </w:t>
      </w:r>
      <w:r w:rsidR="00773435">
        <w:rPr>
          <w:rFonts w:ascii="Book Antiqua" w:eastAsia="Book Antiqua" w:hAnsi="Book Antiqua" w:cs="Book Antiqua"/>
          <w:color w:val="000000"/>
        </w:rPr>
        <w:t xml:space="preserve">Friend </w:t>
      </w:r>
      <w:r w:rsidRPr="006B7023">
        <w:rPr>
          <w:rFonts w:ascii="Book Antiqua" w:eastAsia="Calibri" w:hAnsi="Book Antiqua" w:cs="Times New Roman (Body CS)"/>
          <w:bCs/>
          <w:i/>
          <w:iCs/>
        </w:rPr>
        <w:t>et al</w:t>
      </w:r>
      <w:r w:rsidR="006B7023" w:rsidRPr="00DE3B48">
        <w:rPr>
          <w:rFonts w:ascii="Book Antiqua" w:eastAsia="Calibri" w:hAnsi="Book Antiqua" w:cs="Times New Roman (Body CS)"/>
          <w:bCs/>
          <w:vertAlign w:val="superscript"/>
        </w:rPr>
        <w:t>[</w:t>
      </w:r>
      <w:r w:rsidR="006B7023">
        <w:rPr>
          <w:rFonts w:ascii="Book Antiqua" w:eastAsia="Calibri" w:hAnsi="Book Antiqua" w:cs="Times New Roman (Body CS)"/>
          <w:bCs/>
          <w:vertAlign w:val="superscript"/>
        </w:rPr>
        <w:t>7</w:t>
      </w:r>
      <w:r w:rsidR="00773435">
        <w:rPr>
          <w:rFonts w:ascii="Book Antiqua" w:eastAsia="Calibri" w:hAnsi="Book Antiqua" w:cs="Times New Roman (Body CS)"/>
          <w:bCs/>
          <w:vertAlign w:val="superscript"/>
        </w:rPr>
        <w:t>6</w:t>
      </w:r>
      <w:r w:rsidR="006B7023" w:rsidRPr="00DE3B48">
        <w:rPr>
          <w:rFonts w:ascii="Book Antiqua" w:eastAsia="Calibri" w:hAnsi="Book Antiqua" w:cs="Times New Roman (Body CS)"/>
          <w:bCs/>
          <w:vertAlign w:val="superscript"/>
        </w:rPr>
        <w:t>]</w:t>
      </w:r>
      <w:r w:rsidRPr="00F46DFF">
        <w:rPr>
          <w:rFonts w:ascii="Book Antiqua" w:eastAsia="Calibri" w:hAnsi="Book Antiqua" w:cs="Times New Roman (Body CS)"/>
          <w:bCs/>
        </w:rPr>
        <w:t xml:space="preserve">, graft rejection was detected in two HCC patients who received nivolumab after being transplanted with PDL1-postive allografts. DeLeon </w:t>
      </w:r>
      <w:r w:rsidRPr="002F320D">
        <w:rPr>
          <w:rFonts w:ascii="Book Antiqua" w:eastAsia="Calibri" w:hAnsi="Book Antiqua" w:cs="Times New Roman (Body CS)"/>
          <w:bCs/>
          <w:i/>
          <w:iCs/>
        </w:rPr>
        <w:t>et al</w:t>
      </w:r>
      <w:r w:rsidR="002F320D" w:rsidRPr="00DE3B48">
        <w:rPr>
          <w:rFonts w:ascii="Book Antiqua" w:eastAsia="Calibri" w:hAnsi="Book Antiqua" w:cs="Times New Roman (Body CS)"/>
          <w:bCs/>
          <w:vertAlign w:val="superscript"/>
        </w:rPr>
        <w:t>[</w:t>
      </w:r>
      <w:r w:rsidR="002F320D">
        <w:rPr>
          <w:rFonts w:ascii="Book Antiqua" w:eastAsia="Calibri" w:hAnsi="Book Antiqua" w:cs="Times New Roman (Body CS)"/>
          <w:bCs/>
          <w:vertAlign w:val="superscript"/>
        </w:rPr>
        <w:t>77</w:t>
      </w:r>
      <w:r w:rsidR="002F320D" w:rsidRPr="00DE3B48">
        <w:rPr>
          <w:rFonts w:ascii="Book Antiqua" w:eastAsia="Calibri" w:hAnsi="Book Antiqua" w:cs="Times New Roman (Body CS)"/>
          <w:bCs/>
          <w:vertAlign w:val="superscript"/>
        </w:rPr>
        <w:t>]</w:t>
      </w:r>
      <w:r w:rsidRPr="00F46DFF">
        <w:rPr>
          <w:rFonts w:ascii="Book Antiqua" w:eastAsia="Calibri" w:hAnsi="Book Antiqua" w:cs="Times New Roman (Body CS)"/>
          <w:bCs/>
        </w:rPr>
        <w:t xml:space="preserve">. conducted a </w:t>
      </w:r>
      <w:r w:rsidRPr="00F46DFF">
        <w:rPr>
          <w:rFonts w:ascii="Book Antiqua" w:eastAsia="Calibri" w:hAnsi="Book Antiqua" w:cs="Times New Roman (Body CS)"/>
          <w:bCs/>
        </w:rPr>
        <w:lastRenderedPageBreak/>
        <w:t>retrospective evaluation of seven cancer patients undergoing LT to assess the safety of post-transplant ICI use. Five out of seven patients in the study were assessed for PDL1 expression and two of them were positive. One of the two patients who received PDL1-poisitive grafts also demonstrated high levels of tumor-infiltrating lymphocytes in the transplanted liver. The results of the final study indicate that apart from PDL1 status, other potential biomarkers should be assessed to predict the outcomes of ICI use in the operative period. Although no major studies have been conducted up to date that could reliably emphasize the role of miscellaneous biomarkers that predict the safety of ICI use during LT, immunohistochemical analysis of the transplanted allograft could be used as a surrogate parameter that aims to better delineate the outcome of LT following ICI administration.</w:t>
      </w:r>
    </w:p>
    <w:p w14:paraId="2CF585FD" w14:textId="19AE22B8" w:rsidR="000A50EF" w:rsidRDefault="00F46DFF" w:rsidP="000A50EF">
      <w:pPr>
        <w:spacing w:line="360" w:lineRule="auto"/>
        <w:ind w:firstLineChars="200" w:firstLine="480"/>
        <w:jc w:val="both"/>
        <w:rPr>
          <w:rFonts w:ascii="Book Antiqua" w:eastAsia="Calibri" w:hAnsi="Book Antiqua" w:cs="Times New Roman (Body CS)"/>
          <w:bCs/>
        </w:rPr>
      </w:pPr>
      <w:r w:rsidRPr="00F46DFF">
        <w:rPr>
          <w:rFonts w:ascii="Book Antiqua" w:eastAsia="Calibri" w:hAnsi="Book Antiqua" w:cs="Times New Roman (Body CS)"/>
          <w:bCs/>
        </w:rPr>
        <w:t xml:space="preserve">Although rejection is an undesirable outcome of ICI therapy, other adverse events can also occur, collectively known as immune-related adverse effects (iRAEs). Such adversities can prolong or even terminate the transplant process, not only because iRAEs may make the patient ineligible for LT, but also because effective management of such outcomes may prolong the time interval to LT, resulting in progression of the malignancy and dropout from the transplantation criteria. Most iRAEs present within the first </w:t>
      </w:r>
      <w:r w:rsidR="006D19D5">
        <w:rPr>
          <w:rFonts w:ascii="Book Antiqua" w:eastAsia="Calibri" w:hAnsi="Book Antiqua" w:cs="Times New Roman (Body CS)"/>
          <w:bCs/>
        </w:rPr>
        <w:t>2 wk</w:t>
      </w:r>
      <w:r w:rsidRPr="00F46DFF">
        <w:rPr>
          <w:rFonts w:ascii="Book Antiqua" w:eastAsia="Calibri" w:hAnsi="Book Antiqua" w:cs="Times New Roman (Body CS)"/>
          <w:bCs/>
        </w:rPr>
        <w:t xml:space="preserve"> of treatment initiation, although they can occur at any time. Every organ can be involved, and severity can range from mild to life-threatening</w:t>
      </w:r>
      <w:r w:rsidR="002F320D" w:rsidRPr="00DE3B48">
        <w:rPr>
          <w:rFonts w:ascii="Book Antiqua" w:eastAsia="Calibri" w:hAnsi="Book Antiqua" w:cs="Times New Roman (Body CS)"/>
          <w:bCs/>
          <w:vertAlign w:val="superscript"/>
        </w:rPr>
        <w:t>[</w:t>
      </w:r>
      <w:r w:rsidR="002F320D" w:rsidRPr="002F320D">
        <w:rPr>
          <w:rFonts w:ascii="Book Antiqua" w:eastAsia="Calibri" w:hAnsi="Book Antiqua" w:cs="Times New Roman (Body CS)"/>
          <w:bCs/>
          <w:vertAlign w:val="superscript"/>
        </w:rPr>
        <w:t>78,79</w:t>
      </w:r>
      <w:r w:rsidR="002F320D" w:rsidRPr="00DE3B48">
        <w:rPr>
          <w:rFonts w:ascii="Book Antiqua" w:eastAsia="Calibri" w:hAnsi="Book Antiqua" w:cs="Times New Roman (Body CS)"/>
          <w:bCs/>
          <w:vertAlign w:val="superscript"/>
        </w:rPr>
        <w:t>]</w:t>
      </w:r>
      <w:r w:rsidRPr="00F46DFF">
        <w:rPr>
          <w:rFonts w:ascii="Book Antiqua" w:eastAsia="Calibri" w:hAnsi="Book Antiqua" w:cs="Times New Roman (Body CS)"/>
          <w:bCs/>
        </w:rPr>
        <w:t>. Results from major clinical trials have found that grade 3</w:t>
      </w:r>
      <w:r w:rsidR="006D19D5">
        <w:rPr>
          <w:rFonts w:ascii="Book Antiqua" w:eastAsia="Calibri" w:hAnsi="Book Antiqua" w:cs="Times New Roman (Body CS)"/>
          <w:bCs/>
        </w:rPr>
        <w:t>/</w:t>
      </w:r>
      <w:r w:rsidRPr="00F46DFF">
        <w:rPr>
          <w:rFonts w:ascii="Book Antiqua" w:eastAsia="Calibri" w:hAnsi="Book Antiqua" w:cs="Times New Roman (Body CS)"/>
          <w:bCs/>
        </w:rPr>
        <w:t>4 adverse events occur at an acceptable rate that would justify their use in HCC treatment. In the IMBrave150 trial, grade 3</w:t>
      </w:r>
      <w:r w:rsidR="006D19D5">
        <w:rPr>
          <w:rFonts w:ascii="Book Antiqua" w:eastAsia="Calibri" w:hAnsi="Book Antiqua" w:cs="Times New Roman (Body CS)"/>
          <w:bCs/>
        </w:rPr>
        <w:t>/</w:t>
      </w:r>
      <w:r w:rsidRPr="00F46DFF">
        <w:rPr>
          <w:rFonts w:ascii="Book Antiqua" w:eastAsia="Calibri" w:hAnsi="Book Antiqua" w:cs="Times New Roman (Body CS)"/>
          <w:bCs/>
        </w:rPr>
        <w:t>4 adverse effects occurred in 56</w:t>
      </w:r>
      <w:r w:rsidR="00910071">
        <w:rPr>
          <w:rFonts w:ascii="Book Antiqua" w:eastAsia="Calibri" w:hAnsi="Book Antiqua" w:cs="Times New Roman (Body CS)"/>
          <w:bCs/>
        </w:rPr>
        <w:t>.</w:t>
      </w:r>
      <w:r w:rsidRPr="00F46DFF">
        <w:rPr>
          <w:rFonts w:ascii="Book Antiqua" w:eastAsia="Calibri" w:hAnsi="Book Antiqua" w:cs="Times New Roman (Body CS)"/>
          <w:bCs/>
        </w:rPr>
        <w:t>53% of patients who were treated with atezolizumab</w:t>
      </w:r>
      <w:r w:rsidR="006D19D5">
        <w:rPr>
          <w:rFonts w:ascii="Book Antiqua" w:eastAsia="Calibri" w:hAnsi="Book Antiqua" w:cs="Times New Roman (Body CS)"/>
          <w:bCs/>
        </w:rPr>
        <w:t>–</w:t>
      </w:r>
      <w:r w:rsidRPr="00F46DFF">
        <w:rPr>
          <w:rFonts w:ascii="Book Antiqua" w:eastAsia="Calibri" w:hAnsi="Book Antiqua" w:cs="Times New Roman (Body CS)"/>
          <w:bCs/>
        </w:rPr>
        <w:t xml:space="preserve">bevacizumab when compared </w:t>
      </w:r>
      <w:r w:rsidR="006D19D5">
        <w:rPr>
          <w:rFonts w:ascii="Book Antiqua" w:eastAsia="Calibri" w:hAnsi="Book Antiqua" w:cs="Times New Roman (Body CS)"/>
          <w:bCs/>
        </w:rPr>
        <w:t>with</w:t>
      </w:r>
      <w:r w:rsidR="006D19D5" w:rsidRPr="00F46DFF">
        <w:rPr>
          <w:rFonts w:ascii="Book Antiqua" w:eastAsia="Calibri" w:hAnsi="Book Antiqua" w:cs="Times New Roman (Body CS)"/>
          <w:bCs/>
        </w:rPr>
        <w:t xml:space="preserve"> </w:t>
      </w:r>
      <w:r w:rsidRPr="00F46DFF">
        <w:rPr>
          <w:rFonts w:ascii="Book Antiqua" w:eastAsia="Calibri" w:hAnsi="Book Antiqua" w:cs="Times New Roman (Body CS)"/>
          <w:bCs/>
        </w:rPr>
        <w:t>55</w:t>
      </w:r>
      <w:r w:rsidR="00723585">
        <w:rPr>
          <w:rFonts w:ascii="Book Antiqua" w:eastAsia="Calibri" w:hAnsi="Book Antiqua" w:cs="Times New Roman (Body CS)"/>
          <w:bCs/>
        </w:rPr>
        <w:t>.</w:t>
      </w:r>
      <w:r w:rsidRPr="00F46DFF">
        <w:rPr>
          <w:rFonts w:ascii="Book Antiqua" w:eastAsia="Calibri" w:hAnsi="Book Antiqua" w:cs="Times New Roman (Body CS)"/>
          <w:bCs/>
        </w:rPr>
        <w:t xml:space="preserve">13% of patients in the control group who were treated with sorafenib. The percentage of high-grade adverse effects in the intervention group was not attributed solely on atezolizumab, since hypertension, the most common high-grade adverse event observed in the study, </w:t>
      </w:r>
      <w:r w:rsidR="006D19D5">
        <w:rPr>
          <w:rFonts w:ascii="Book Antiqua" w:eastAsia="Calibri" w:hAnsi="Book Antiqua" w:cs="Times New Roman (Body CS)"/>
          <w:bCs/>
        </w:rPr>
        <w:t>wa</w:t>
      </w:r>
      <w:r w:rsidR="006D19D5" w:rsidRPr="00F46DFF">
        <w:rPr>
          <w:rFonts w:ascii="Book Antiqua" w:eastAsia="Calibri" w:hAnsi="Book Antiqua" w:cs="Times New Roman (Body CS)"/>
          <w:bCs/>
        </w:rPr>
        <w:t xml:space="preserve">s </w:t>
      </w:r>
      <w:r w:rsidRPr="00F46DFF">
        <w:rPr>
          <w:rFonts w:ascii="Book Antiqua" w:eastAsia="Calibri" w:hAnsi="Book Antiqua" w:cs="Times New Roman (Body CS)"/>
          <w:bCs/>
        </w:rPr>
        <w:t>most likely attributable to bevacizumab</w:t>
      </w:r>
      <w:r w:rsidR="00DD0BF1" w:rsidRPr="00DD0BF1">
        <w:rPr>
          <w:rFonts w:ascii="Book Antiqua" w:eastAsia="Calibri" w:hAnsi="Book Antiqua" w:cs="Times New Roman (Body CS)"/>
          <w:bCs/>
          <w:vertAlign w:val="superscript"/>
        </w:rPr>
        <w:t>[47,58]</w:t>
      </w:r>
      <w:r w:rsidRPr="00F46DFF">
        <w:rPr>
          <w:rFonts w:ascii="Book Antiqua" w:eastAsia="Calibri" w:hAnsi="Book Antiqua" w:cs="Times New Roman (Body CS)"/>
          <w:bCs/>
        </w:rPr>
        <w:t>. In the KEYNOTE 240 trial, grade 3</w:t>
      </w:r>
      <w:r w:rsidR="006D19D5">
        <w:rPr>
          <w:rFonts w:ascii="Book Antiqua" w:eastAsia="Calibri" w:hAnsi="Book Antiqua" w:cs="Times New Roman (Body CS)"/>
          <w:bCs/>
        </w:rPr>
        <w:t>/</w:t>
      </w:r>
      <w:r w:rsidRPr="00F46DFF">
        <w:rPr>
          <w:rFonts w:ascii="Book Antiqua" w:eastAsia="Calibri" w:hAnsi="Book Antiqua" w:cs="Times New Roman (Body CS)"/>
          <w:bCs/>
        </w:rPr>
        <w:t xml:space="preserve">4 adverse effects occurred in 52% of patients treated with pembrolizumab </w:t>
      </w:r>
      <w:r w:rsidR="006D19D5">
        <w:rPr>
          <w:rFonts w:ascii="Book Antiqua" w:eastAsia="Calibri" w:hAnsi="Book Antiqua" w:cs="Times New Roman (Body CS)"/>
          <w:bCs/>
        </w:rPr>
        <w:t xml:space="preserve">compared with </w:t>
      </w:r>
      <w:r w:rsidRPr="00F46DFF">
        <w:rPr>
          <w:rFonts w:ascii="Book Antiqua" w:eastAsia="Calibri" w:hAnsi="Book Antiqua" w:cs="Times New Roman (Body CS)"/>
          <w:bCs/>
        </w:rPr>
        <w:t>46</w:t>
      </w:r>
      <w:r w:rsidR="00773435">
        <w:rPr>
          <w:rFonts w:ascii="Book Antiqua" w:eastAsia="Calibri" w:hAnsi="Book Antiqua" w:cs="Times New Roman (Body CS)"/>
          <w:bCs/>
        </w:rPr>
        <w:t>.</w:t>
      </w:r>
      <w:r w:rsidRPr="00F46DFF">
        <w:rPr>
          <w:rFonts w:ascii="Book Antiqua" w:eastAsia="Calibri" w:hAnsi="Book Antiqua" w:cs="Times New Roman (Body CS)"/>
          <w:bCs/>
        </w:rPr>
        <w:t>27% in the control arm</w:t>
      </w:r>
      <w:r w:rsidR="000A50EF" w:rsidRPr="000A50EF">
        <w:rPr>
          <w:rFonts w:ascii="Book Antiqua" w:eastAsia="Calibri" w:hAnsi="Book Antiqua" w:cs="Times New Roman (Body CS)"/>
          <w:bCs/>
          <w:vertAlign w:val="superscript"/>
        </w:rPr>
        <w:t>[47]</w:t>
      </w:r>
      <w:r w:rsidRPr="00F46DFF">
        <w:rPr>
          <w:rFonts w:ascii="Book Antiqua" w:eastAsia="Calibri" w:hAnsi="Book Antiqua" w:cs="Times New Roman (Body CS)"/>
          <w:bCs/>
        </w:rPr>
        <w:t xml:space="preserve">. </w:t>
      </w:r>
    </w:p>
    <w:p w14:paraId="76BD1F96" w14:textId="77777777" w:rsidR="00FB27EC" w:rsidRDefault="00F46DFF" w:rsidP="00FB27EC">
      <w:pPr>
        <w:spacing w:line="360" w:lineRule="auto"/>
        <w:ind w:firstLineChars="200" w:firstLine="480"/>
        <w:jc w:val="both"/>
        <w:rPr>
          <w:rFonts w:ascii="Book Antiqua" w:eastAsia="Calibri" w:hAnsi="Book Antiqua" w:cs="Times New Roman (Body CS)"/>
          <w:bCs/>
        </w:rPr>
      </w:pPr>
      <w:r w:rsidRPr="00F46DFF">
        <w:rPr>
          <w:rFonts w:ascii="Book Antiqua" w:eastAsia="Calibri" w:hAnsi="Book Antiqua" w:cs="Times New Roman (Body CS)"/>
          <w:bCs/>
        </w:rPr>
        <w:t xml:space="preserve">It is not yet clear which class of ICIs is safer. While CTLA4 plays an important role in the induction of graft tolerance, PD1/PDL1 interactions result in both induction and </w:t>
      </w:r>
      <w:r w:rsidRPr="00F46DFF">
        <w:rPr>
          <w:rFonts w:ascii="Book Antiqua" w:eastAsia="Calibri" w:hAnsi="Book Antiqua" w:cs="Times New Roman (Body CS)"/>
          <w:bCs/>
        </w:rPr>
        <w:lastRenderedPageBreak/>
        <w:t>maintenance of graft tolerance. Theoretically, this could imply that immunotherapy targeting PD1 and/or PDL1 molecules is more likely to cause organ rejection than agents that target CTLA4</w:t>
      </w:r>
      <w:r w:rsidR="000A50EF" w:rsidRPr="000A50EF">
        <w:rPr>
          <w:rFonts w:ascii="Book Antiqua" w:eastAsia="Calibri" w:hAnsi="Book Antiqua" w:cs="Times New Roman (Body CS)"/>
          <w:bCs/>
          <w:vertAlign w:val="superscript"/>
        </w:rPr>
        <w:t>[80]</w:t>
      </w:r>
      <w:r w:rsidRPr="00F46DFF">
        <w:rPr>
          <w:rFonts w:ascii="Book Antiqua" w:eastAsia="Calibri" w:hAnsi="Book Antiqua" w:cs="Times New Roman (Body CS)"/>
          <w:bCs/>
        </w:rPr>
        <w:t>. However, there are still no published studies that assess the comparative safety profiles of various classes of immunotherapy, so no definite conclusions can be drawn</w:t>
      </w:r>
      <w:r w:rsidR="00FB27EC" w:rsidRPr="000A50EF">
        <w:rPr>
          <w:rFonts w:ascii="Book Antiqua" w:eastAsia="Calibri" w:hAnsi="Book Antiqua" w:cs="Times New Roman (Body CS)"/>
          <w:bCs/>
          <w:vertAlign w:val="superscript"/>
        </w:rPr>
        <w:t>[</w:t>
      </w:r>
      <w:r w:rsidR="00FB27EC">
        <w:rPr>
          <w:rFonts w:ascii="Book Antiqua" w:eastAsia="Calibri" w:hAnsi="Book Antiqua" w:cs="Times New Roman (Body CS)"/>
          <w:bCs/>
          <w:vertAlign w:val="superscript"/>
        </w:rPr>
        <w:t>71</w:t>
      </w:r>
      <w:r w:rsidR="00FB27EC" w:rsidRPr="000A50EF">
        <w:rPr>
          <w:rFonts w:ascii="Book Antiqua" w:eastAsia="Calibri" w:hAnsi="Book Antiqua" w:cs="Times New Roman (Body CS)"/>
          <w:bCs/>
          <w:vertAlign w:val="superscript"/>
        </w:rPr>
        <w:t>]</w:t>
      </w:r>
      <w:r w:rsidRPr="00F46DFF">
        <w:rPr>
          <w:rFonts w:ascii="Book Antiqua" w:eastAsia="Calibri" w:hAnsi="Book Antiqua" w:cs="Times New Roman (Body CS)"/>
          <w:bCs/>
        </w:rPr>
        <w:t>. Regardless of which class will be chosen, treatment of iRAEs is the same, with glucocorticoids being the most common immunosuppressant agent that can effectively ameliorate negative outcomes of ICIs</w:t>
      </w:r>
      <w:r w:rsidR="00FB27EC" w:rsidRPr="000A50EF">
        <w:rPr>
          <w:rFonts w:ascii="Book Antiqua" w:eastAsia="Calibri" w:hAnsi="Book Antiqua" w:cs="Times New Roman (Body CS)"/>
          <w:bCs/>
          <w:vertAlign w:val="superscript"/>
        </w:rPr>
        <w:t>[</w:t>
      </w:r>
      <w:r w:rsidR="00FB27EC">
        <w:rPr>
          <w:rFonts w:ascii="Book Antiqua" w:eastAsia="Calibri" w:hAnsi="Book Antiqua" w:cs="Times New Roman (Body CS)"/>
          <w:bCs/>
          <w:vertAlign w:val="superscript"/>
        </w:rPr>
        <w:t>78</w:t>
      </w:r>
      <w:r w:rsidR="00FB27EC" w:rsidRPr="000A50EF">
        <w:rPr>
          <w:rFonts w:ascii="Book Antiqua" w:eastAsia="Calibri" w:hAnsi="Book Antiqua" w:cs="Times New Roman (Body CS)"/>
          <w:bCs/>
          <w:vertAlign w:val="superscript"/>
        </w:rPr>
        <w:t>]</w:t>
      </w:r>
      <w:r w:rsidRPr="00F46DFF">
        <w:rPr>
          <w:rFonts w:ascii="Book Antiqua" w:eastAsia="Calibri" w:hAnsi="Book Antiqua" w:cs="Times New Roman (Body CS)"/>
          <w:bCs/>
        </w:rPr>
        <w:t xml:space="preserve">. Patients undergoing LT for HCC usually have compromised liver function. Nonetheless, ICI use is safe in this patient population, since these drugs are not metabolized in the liver. </w:t>
      </w:r>
    </w:p>
    <w:p w14:paraId="04FBF54F" w14:textId="00B68FF3" w:rsidR="00F46DFF" w:rsidRPr="00FB27EC" w:rsidRDefault="00F46DFF" w:rsidP="00FB27EC">
      <w:pPr>
        <w:spacing w:line="360" w:lineRule="auto"/>
        <w:ind w:firstLineChars="200" w:firstLine="480"/>
        <w:jc w:val="both"/>
        <w:rPr>
          <w:rFonts w:ascii="Book Antiqua" w:eastAsia="Calibri" w:hAnsi="Book Antiqua" w:cs="Times New Roman (Body CS)"/>
          <w:bCs/>
        </w:rPr>
      </w:pPr>
      <w:r w:rsidRPr="00F46DFF">
        <w:rPr>
          <w:rFonts w:ascii="Book Antiqua" w:eastAsia="Calibri" w:hAnsi="Book Antiqua" w:cs="Times New Roman (Body CS)"/>
          <w:bCs/>
          <w:iCs/>
        </w:rPr>
        <w:t xml:space="preserve">As already mentioned before, the paucity of available donors for LT substantially limits this treatment approach for the management of HCC. Although currently not employed in the armamentarium of HCC management, autologous LT is a theoretically promising approach that could increase the number of patients receiving curative treatment. Data regarding autologous LT following immunotherapy are not yet available, but a hypothetical explanation of the mechanism behind this approach could ignite future discussions around this topic. Liver regeneration capabilities are well studied in the literature. The effects of immunotherapy in the TME have been extensively discussed above and generally promote an antitumoral immune response that aims to halt tumor progression and decrease tumor burden. As such, more liver parenchyma can be restored to its physiologic architecture. Such an occurrence can aid in the autologous LT process by increasing the available tissue for extraction and reimplantation following diseased liver removal. As ideal as this approach may sound, challenges along the way, such as remaining unidentified tumor burden, metastatic disease and recurrence of malignancy are all topics of concern that need further investigation. For the time being, autologous LT following immunotherapy requires more research in order to delineate the exact mechanisms that could result in positive outcomes. </w:t>
      </w:r>
    </w:p>
    <w:p w14:paraId="50FE901F" w14:textId="77777777" w:rsidR="00F46DFF" w:rsidRPr="00F46DFF" w:rsidRDefault="00F46DFF" w:rsidP="00F46DFF">
      <w:pPr>
        <w:spacing w:line="360" w:lineRule="auto"/>
        <w:jc w:val="both"/>
        <w:rPr>
          <w:rFonts w:ascii="Book Antiqua" w:eastAsia="Calibri" w:hAnsi="Book Antiqua" w:cs="Times New Roman (Body CS)"/>
          <w:bCs/>
        </w:rPr>
      </w:pPr>
    </w:p>
    <w:p w14:paraId="002A58FE" w14:textId="28AB30B6" w:rsidR="00F46DFF" w:rsidRPr="00FB27EC" w:rsidRDefault="00FB27EC" w:rsidP="00FB27EC">
      <w:pPr>
        <w:spacing w:line="360" w:lineRule="auto"/>
        <w:jc w:val="both"/>
        <w:rPr>
          <w:rFonts w:ascii="Book Antiqua" w:eastAsia="Calibri" w:hAnsi="Book Antiqua" w:cs="Times New Roman (Body CS)"/>
          <w:bCs/>
          <w:i/>
          <w:iCs/>
        </w:rPr>
      </w:pPr>
      <w:r w:rsidRPr="00FB27EC">
        <w:rPr>
          <w:rFonts w:ascii="Book Antiqua" w:eastAsia="Calibri" w:hAnsi="Book Antiqua" w:cs="Times New Roman (Body CS)"/>
          <w:b/>
          <w:i/>
          <w:iCs/>
        </w:rPr>
        <w:t xml:space="preserve">Clinical trials and case reports assessing the use immunotherapy as a downstaging technique prior to </w:t>
      </w:r>
      <w:r w:rsidR="007E5136" w:rsidRPr="00FB27EC">
        <w:rPr>
          <w:rFonts w:ascii="Book Antiqua" w:eastAsia="Calibri" w:hAnsi="Book Antiqua" w:cs="Times New Roman (Body CS)"/>
          <w:b/>
          <w:i/>
          <w:iCs/>
        </w:rPr>
        <w:t>LT</w:t>
      </w:r>
      <w:r w:rsidRPr="00FB27EC">
        <w:rPr>
          <w:rFonts w:ascii="Book Antiqua" w:eastAsia="Calibri" w:hAnsi="Book Antiqua" w:cs="Times New Roman (Body CS)"/>
          <w:b/>
          <w:i/>
          <w:iCs/>
        </w:rPr>
        <w:t xml:space="preserve"> in patients with HCC</w:t>
      </w:r>
    </w:p>
    <w:p w14:paraId="4DA880E0" w14:textId="7D747115" w:rsidR="00F46DFF" w:rsidRPr="007E5136" w:rsidRDefault="00F46DFF" w:rsidP="00F46DFF">
      <w:pPr>
        <w:spacing w:line="360" w:lineRule="auto"/>
        <w:contextualSpacing/>
        <w:jc w:val="both"/>
        <w:rPr>
          <w:rFonts w:ascii="Book Antiqua" w:eastAsia="Calibri" w:hAnsi="Book Antiqua" w:cs="Times New Roman (Body CS)"/>
          <w:b/>
        </w:rPr>
      </w:pPr>
      <w:r w:rsidRPr="007E5136">
        <w:rPr>
          <w:rFonts w:ascii="Book Antiqua" w:eastAsia="Calibri" w:hAnsi="Book Antiqua" w:cs="Times New Roman (Body CS)"/>
          <w:b/>
        </w:rPr>
        <w:lastRenderedPageBreak/>
        <w:t>Case reports</w:t>
      </w:r>
      <w:r w:rsidR="007E5136" w:rsidRPr="007E5136">
        <w:rPr>
          <w:rFonts w:ascii="Book Antiqua" w:eastAsia="SimSun" w:hAnsi="Book Antiqua" w:cs="SimSun"/>
          <w:b/>
          <w:lang w:eastAsia="zh-CN"/>
        </w:rPr>
        <w:t>:</w:t>
      </w:r>
      <w:r w:rsidR="007E5136">
        <w:rPr>
          <w:rFonts w:ascii="Book Antiqua" w:hAnsi="Book Antiqua" w:cs="Times New Roman (Body CS)" w:hint="eastAsia"/>
          <w:b/>
          <w:lang w:eastAsia="zh-CN"/>
        </w:rPr>
        <w:t xml:space="preserve"> </w:t>
      </w:r>
      <w:r w:rsidRPr="00F46DFF">
        <w:rPr>
          <w:rFonts w:ascii="Book Antiqua" w:eastAsia="Calibri" w:hAnsi="Book Antiqua" w:cs="Times New Roman (Body CS)"/>
          <w:bCs/>
        </w:rPr>
        <w:t xml:space="preserve">According to literature review, </w:t>
      </w:r>
      <w:r w:rsidR="006D19D5">
        <w:rPr>
          <w:rFonts w:ascii="Book Antiqua" w:eastAsia="Calibri" w:hAnsi="Book Antiqua" w:cs="Times New Roman (Body CS)"/>
          <w:bCs/>
        </w:rPr>
        <w:t>20</w:t>
      </w:r>
      <w:r w:rsidR="006D19D5" w:rsidRPr="00F46DFF">
        <w:rPr>
          <w:rFonts w:ascii="Book Antiqua" w:eastAsia="Calibri" w:hAnsi="Book Antiqua" w:cs="Times New Roman (Body CS)"/>
          <w:bCs/>
        </w:rPr>
        <w:t xml:space="preserve"> </w:t>
      </w:r>
      <w:r w:rsidRPr="00F46DFF">
        <w:rPr>
          <w:rFonts w:ascii="Book Antiqua" w:eastAsia="Calibri" w:hAnsi="Book Antiqua" w:cs="Times New Roman (Body CS)"/>
          <w:bCs/>
        </w:rPr>
        <w:t>cases involving patients with HCC receiving ICIs prior to LT have been published</w:t>
      </w:r>
      <w:r w:rsidR="00203E2B" w:rsidRPr="000A50EF">
        <w:rPr>
          <w:rFonts w:ascii="Book Antiqua" w:eastAsia="Calibri" w:hAnsi="Book Antiqua" w:cs="Times New Roman (Body CS)"/>
          <w:bCs/>
          <w:vertAlign w:val="superscript"/>
        </w:rPr>
        <w:t>[</w:t>
      </w:r>
      <w:r w:rsidR="00203E2B" w:rsidRPr="00203E2B">
        <w:rPr>
          <w:rFonts w:ascii="Book Antiqua" w:eastAsia="Calibri" w:hAnsi="Book Antiqua" w:cs="Times New Roman (Body CS)"/>
          <w:bCs/>
          <w:vertAlign w:val="superscript"/>
        </w:rPr>
        <w:t>13,73,74,81-83</w:t>
      </w:r>
      <w:r w:rsidR="00203E2B" w:rsidRPr="000A50EF">
        <w:rPr>
          <w:rFonts w:ascii="Book Antiqua" w:eastAsia="Calibri" w:hAnsi="Book Antiqua" w:cs="Times New Roman (Body CS)"/>
          <w:bCs/>
          <w:vertAlign w:val="superscript"/>
        </w:rPr>
        <w:t>]</w:t>
      </w:r>
      <w:r w:rsidRPr="00F46DFF">
        <w:rPr>
          <w:rFonts w:ascii="Book Antiqua" w:eastAsia="Calibri" w:hAnsi="Book Antiqua" w:cs="Times New Roman (Body CS)"/>
          <w:bCs/>
        </w:rPr>
        <w:t xml:space="preserve"> (Table 2). The majority of the patients were male (85%) and the mean age was 58</w:t>
      </w:r>
      <w:r w:rsidR="00910071">
        <w:rPr>
          <w:rFonts w:ascii="Book Antiqua" w:eastAsia="Calibri" w:hAnsi="Book Antiqua" w:cs="Times New Roman (Body CS)"/>
          <w:bCs/>
        </w:rPr>
        <w:t>.</w:t>
      </w:r>
      <w:r w:rsidRPr="00F46DFF">
        <w:rPr>
          <w:rFonts w:ascii="Book Antiqua" w:eastAsia="Calibri" w:hAnsi="Book Antiqua" w:cs="Times New Roman (Body CS)"/>
          <w:bCs/>
        </w:rPr>
        <w:t xml:space="preserve">4 years. The most common underlying liver disease was HBV-induced liver disease, while HCV infection, alcoholic liver disease and NAFLD were also observed. </w:t>
      </w:r>
      <w:r w:rsidR="006D19D5">
        <w:rPr>
          <w:rFonts w:ascii="Book Antiqua" w:eastAsia="Calibri" w:hAnsi="Book Antiqua" w:cs="Times New Roman (Body CS)"/>
          <w:bCs/>
        </w:rPr>
        <w:t>One</w:t>
      </w:r>
      <w:r w:rsidRPr="00F46DFF">
        <w:rPr>
          <w:rFonts w:ascii="Book Antiqua" w:eastAsia="Calibri" w:hAnsi="Book Antiqua" w:cs="Times New Roman (Body CS)"/>
          <w:bCs/>
        </w:rPr>
        <w:t xml:space="preserve"> patient had no underlying liver disease. The most commonly used ICI prior to LT was the PD1 inhibitor nivolumab (55% of cases). Other immun</w:t>
      </w:r>
      <w:r w:rsidR="006D19D5">
        <w:rPr>
          <w:rFonts w:ascii="Book Antiqua" w:eastAsia="Calibri" w:hAnsi="Book Antiqua" w:cs="Times New Roman (Body CS)"/>
          <w:bCs/>
        </w:rPr>
        <w:t>o</w:t>
      </w:r>
      <w:r w:rsidRPr="00F46DFF">
        <w:rPr>
          <w:rFonts w:ascii="Book Antiqua" w:eastAsia="Calibri" w:hAnsi="Book Antiqua" w:cs="Times New Roman (Body CS)"/>
          <w:bCs/>
        </w:rPr>
        <w:t xml:space="preserve">modulating agents used were toripalimab, durvalumab, camrelizumab and pembrolizumab. The time interval between the last dose of ICI and LT varied significantly among the cases, with one patient receiving the last ICI dose </w:t>
      </w:r>
      <w:r w:rsidR="006D19D5">
        <w:rPr>
          <w:rFonts w:ascii="Book Antiqua" w:eastAsia="Calibri" w:hAnsi="Book Antiqua" w:cs="Times New Roman (Body CS)"/>
          <w:bCs/>
        </w:rPr>
        <w:t>1 d</w:t>
      </w:r>
      <w:r w:rsidRPr="00F46DFF">
        <w:rPr>
          <w:rFonts w:ascii="Book Antiqua" w:eastAsia="Calibri" w:hAnsi="Book Antiqua" w:cs="Times New Roman (Body CS)"/>
          <w:bCs/>
        </w:rPr>
        <w:t xml:space="preserve"> prior to LT and another one almost 29 mo prior to the operation. No recurrence of the tumor occurred in patients that had a successful LT after ICI use. Nonfatal perioperative complications, excluding rejection, occurred in only one patient, who developed bile leak that was appropriately managed without further consequences. Out of the 20 cases described, two patients had fatal rejection and two others experienced mild rejection that was adequately treated. The first patient with fatal graft rejection, described by Chen </w:t>
      </w:r>
      <w:r w:rsidRPr="00910071">
        <w:rPr>
          <w:rFonts w:ascii="Book Antiqua" w:eastAsia="Calibri" w:hAnsi="Book Antiqua" w:cs="Times New Roman (Body CS)"/>
          <w:bCs/>
          <w:i/>
          <w:iCs/>
        </w:rPr>
        <w:t>et al</w:t>
      </w:r>
      <w:r w:rsidR="00910071" w:rsidRPr="00110DD1">
        <w:rPr>
          <w:rFonts w:ascii="Book Antiqua" w:eastAsia="Calibri" w:hAnsi="Book Antiqua" w:cs="Times New Roman (Body CS)"/>
          <w:bCs/>
          <w:vertAlign w:val="superscript"/>
        </w:rPr>
        <w:t>[7</w:t>
      </w:r>
      <w:r w:rsidR="00910071">
        <w:rPr>
          <w:rFonts w:ascii="Book Antiqua" w:eastAsia="Calibri" w:hAnsi="Book Antiqua" w:cs="Times New Roman (Body CS)"/>
          <w:bCs/>
          <w:vertAlign w:val="superscript"/>
        </w:rPr>
        <w:t>4</w:t>
      </w:r>
      <w:r w:rsidR="00910071" w:rsidRPr="00110DD1">
        <w:rPr>
          <w:rFonts w:ascii="Book Antiqua" w:eastAsia="Calibri" w:hAnsi="Book Antiqua" w:cs="Times New Roman (Body CS)"/>
          <w:bCs/>
          <w:vertAlign w:val="superscript"/>
        </w:rPr>
        <w:t>]</w:t>
      </w:r>
      <w:r w:rsidRPr="00F46DFF">
        <w:rPr>
          <w:rFonts w:ascii="Book Antiqua" w:eastAsia="Calibri" w:hAnsi="Book Antiqua" w:cs="Times New Roman (Body CS)"/>
          <w:bCs/>
        </w:rPr>
        <w:t xml:space="preserve">, had chronic HBV infection. He underwent DDLT due to recurrent HCC that was previously treated with resection, RFA, TACE, MWA, sorafenib, lenvantinib and toripalimab. The last cycle of ICI therapy was administered 93 d prior to LT. Following the procedure, the patient’s liver function status deteriorated rapidly, and a liver biopsy performed on the second postoperative day revealed massive liver tissue necrosis that was attributed to toripalimab. The patient expired </w:t>
      </w:r>
      <w:r w:rsidR="00F86E08">
        <w:rPr>
          <w:rFonts w:ascii="Book Antiqua" w:eastAsia="Calibri" w:hAnsi="Book Antiqua" w:cs="Times New Roman (Body CS)"/>
          <w:bCs/>
        </w:rPr>
        <w:t>3 d</w:t>
      </w:r>
      <w:r w:rsidRPr="00F46DFF">
        <w:rPr>
          <w:rFonts w:ascii="Book Antiqua" w:eastAsia="Calibri" w:hAnsi="Book Antiqua" w:cs="Times New Roman (Body CS)"/>
          <w:bCs/>
        </w:rPr>
        <w:t xml:space="preserve"> after the procedure</w:t>
      </w:r>
      <w:r w:rsidR="00110DD1" w:rsidRPr="00110DD1">
        <w:rPr>
          <w:rFonts w:ascii="Book Antiqua" w:eastAsia="Calibri" w:hAnsi="Book Antiqua" w:cs="Times New Roman (Body CS)"/>
          <w:bCs/>
          <w:vertAlign w:val="superscript"/>
        </w:rPr>
        <w:t>[73]</w:t>
      </w:r>
      <w:r w:rsidRPr="00F46DFF">
        <w:rPr>
          <w:rFonts w:ascii="Book Antiqua" w:eastAsia="Calibri" w:hAnsi="Book Antiqua" w:cs="Times New Roman (Body CS)"/>
          <w:bCs/>
        </w:rPr>
        <w:t xml:space="preserve">. The second patient with fatal graft rejection, described by Nordness </w:t>
      </w:r>
      <w:r w:rsidRPr="00110DD1">
        <w:rPr>
          <w:rFonts w:ascii="Book Antiqua" w:eastAsia="Calibri" w:hAnsi="Book Antiqua" w:cs="Times New Roman (Body CS)"/>
          <w:bCs/>
          <w:i/>
          <w:iCs/>
        </w:rPr>
        <w:t>et al</w:t>
      </w:r>
      <w:r w:rsidR="00110DD1" w:rsidRPr="00110DD1">
        <w:rPr>
          <w:rFonts w:ascii="Book Antiqua" w:eastAsia="Calibri" w:hAnsi="Book Antiqua" w:cs="Times New Roman (Body CS)"/>
          <w:bCs/>
          <w:vertAlign w:val="superscript"/>
        </w:rPr>
        <w:t>[</w:t>
      </w:r>
      <w:r w:rsidR="00110DD1">
        <w:rPr>
          <w:rFonts w:ascii="Book Antiqua" w:eastAsia="Calibri" w:hAnsi="Book Antiqua" w:cs="Times New Roman (Body CS)"/>
          <w:bCs/>
          <w:vertAlign w:val="superscript"/>
        </w:rPr>
        <w:t>81</w:t>
      </w:r>
      <w:r w:rsidR="00110DD1" w:rsidRPr="00110DD1">
        <w:rPr>
          <w:rFonts w:ascii="Book Antiqua" w:eastAsia="Calibri" w:hAnsi="Book Antiqua" w:cs="Times New Roman (Body CS)"/>
          <w:bCs/>
          <w:vertAlign w:val="superscript"/>
        </w:rPr>
        <w:t>]</w:t>
      </w:r>
      <w:r w:rsidRPr="00F46DFF">
        <w:rPr>
          <w:rFonts w:ascii="Book Antiqua" w:eastAsia="Calibri" w:hAnsi="Book Antiqua" w:cs="Times New Roman (Body CS)"/>
          <w:bCs/>
        </w:rPr>
        <w:t xml:space="preserve">, had chronic HCV infection. He underwent DDLT due to recurrent HCC previously treated with resection, sorafenib, RAE, TACE and nivolumab. The last dose of nivolumab was administered 8 d prior to LT. On postoperative day 5, rapid elevation of liver enzymes was noted, and the patient deteriorated clinically to the point where he was transferred to the </w:t>
      </w:r>
      <w:r w:rsidR="00F86E08">
        <w:rPr>
          <w:rFonts w:ascii="Book Antiqua" w:eastAsia="Calibri" w:hAnsi="Book Antiqua" w:cs="Times New Roman (Body CS)"/>
          <w:bCs/>
        </w:rPr>
        <w:t>intensive care unit</w:t>
      </w:r>
      <w:r w:rsidRPr="00F46DFF">
        <w:rPr>
          <w:rFonts w:ascii="Book Antiqua" w:eastAsia="Calibri" w:hAnsi="Book Antiqua" w:cs="Times New Roman (Body CS)"/>
          <w:bCs/>
        </w:rPr>
        <w:t xml:space="preserve">. A biopsy that was performed </w:t>
      </w:r>
      <w:r w:rsidR="00F86E08">
        <w:rPr>
          <w:rFonts w:ascii="Book Antiqua" w:eastAsia="Calibri" w:hAnsi="Book Antiqua" w:cs="Times New Roman (Body CS)"/>
          <w:bCs/>
        </w:rPr>
        <w:t xml:space="preserve">on </w:t>
      </w:r>
      <w:r w:rsidRPr="00F46DFF">
        <w:rPr>
          <w:rFonts w:ascii="Book Antiqua" w:eastAsia="Calibri" w:hAnsi="Book Antiqua" w:cs="Times New Roman (Body CS)"/>
          <w:bCs/>
        </w:rPr>
        <w:t xml:space="preserve">the next day revealed acute hepatic necrosis with a dense lymphocytic infiltration, findings that point towards a diagnosis of ICI-induced graft rejection. Reversible graft rejection that was observed in two patients was due to low </w:t>
      </w:r>
      <w:r w:rsidRPr="00F46DFF">
        <w:rPr>
          <w:rFonts w:ascii="Book Antiqua" w:eastAsia="Calibri" w:hAnsi="Book Antiqua" w:cs="Times New Roman (Body CS)"/>
          <w:bCs/>
        </w:rPr>
        <w:lastRenderedPageBreak/>
        <w:t>levels of immunosuppressive medications and was appropriately treated with dose escalation, without inflicting any major damage to the graft recipients.</w:t>
      </w:r>
    </w:p>
    <w:p w14:paraId="5464E4EB" w14:textId="77777777" w:rsidR="00F46DFF" w:rsidRPr="00F46DFF" w:rsidRDefault="00F46DFF" w:rsidP="00B667EE">
      <w:pPr>
        <w:spacing w:line="360" w:lineRule="auto"/>
        <w:jc w:val="both"/>
        <w:rPr>
          <w:rFonts w:ascii="Book Antiqua" w:eastAsia="Calibri" w:hAnsi="Book Antiqua" w:cs="Times New Roman (Body CS)"/>
          <w:bCs/>
        </w:rPr>
      </w:pPr>
    </w:p>
    <w:p w14:paraId="31337AA5" w14:textId="76BFD339" w:rsidR="00F46DFF" w:rsidRPr="00B667EE" w:rsidRDefault="00F46DFF" w:rsidP="00F46DFF">
      <w:pPr>
        <w:spacing w:line="360" w:lineRule="auto"/>
        <w:contextualSpacing/>
        <w:jc w:val="both"/>
        <w:rPr>
          <w:rFonts w:ascii="Book Antiqua" w:eastAsia="Calibri" w:hAnsi="Book Antiqua" w:cs="Times New Roman (Body CS)"/>
          <w:b/>
        </w:rPr>
      </w:pPr>
      <w:r w:rsidRPr="00B667EE">
        <w:rPr>
          <w:rFonts w:ascii="Book Antiqua" w:eastAsia="Calibri" w:hAnsi="Book Antiqua" w:cs="Times New Roman (Body CS)"/>
          <w:b/>
        </w:rPr>
        <w:t>Clinical trials</w:t>
      </w:r>
      <w:r w:rsidR="00B667EE">
        <w:rPr>
          <w:rFonts w:ascii="Book Antiqua" w:eastAsia="Calibri" w:hAnsi="Book Antiqua" w:cs="Times New Roman (Body CS)"/>
          <w:b/>
        </w:rPr>
        <w:t>:</w:t>
      </w:r>
      <w:r w:rsidR="00B667EE">
        <w:rPr>
          <w:rFonts w:ascii="Book Antiqua" w:hAnsi="Book Antiqua" w:cs="Times New Roman (Body CS)" w:hint="eastAsia"/>
          <w:b/>
          <w:lang w:eastAsia="zh-CN"/>
        </w:rPr>
        <w:t xml:space="preserve"> </w:t>
      </w:r>
      <w:r w:rsidRPr="00F46DFF">
        <w:rPr>
          <w:rFonts w:ascii="Book Antiqua" w:eastAsia="Calibri" w:hAnsi="Book Antiqua" w:cs="Times New Roman (Body CS)"/>
          <w:bCs/>
        </w:rPr>
        <w:t>Currently, there is a limited number of clinical trials assessing the use of ICIs prior to LT in patients with HCC. However, there are multiple studies evaluating neoadjuvant administration of immunotherapy prior to liver resection in patients with HCC</w:t>
      </w:r>
      <w:r w:rsidR="00B667EE" w:rsidRPr="00B667EE">
        <w:rPr>
          <w:rFonts w:ascii="Book Antiqua" w:eastAsia="Calibri" w:hAnsi="Book Antiqua" w:cs="Times New Roman (Body CS)"/>
          <w:bCs/>
          <w:vertAlign w:val="superscript"/>
        </w:rPr>
        <w:t>[39</w:t>
      </w:r>
      <w:r w:rsidR="00910319">
        <w:rPr>
          <w:rFonts w:ascii="Book Antiqua" w:eastAsia="Calibri" w:hAnsi="Book Antiqua" w:cs="Times New Roman (Body CS)"/>
          <w:bCs/>
          <w:vertAlign w:val="superscript"/>
        </w:rPr>
        <w:t>]</w:t>
      </w:r>
      <w:r w:rsidRPr="00F46DFF">
        <w:rPr>
          <w:rFonts w:ascii="Book Antiqua" w:eastAsia="Calibri" w:hAnsi="Book Antiqua" w:cs="Times New Roman (Body CS)"/>
          <w:bCs/>
        </w:rPr>
        <w:t xml:space="preserve"> (Table 3). These are mainly phase </w:t>
      </w:r>
      <w:r w:rsidR="007412EF">
        <w:rPr>
          <w:rFonts w:ascii="Book Antiqua" w:eastAsia="Calibri" w:hAnsi="Book Antiqua" w:cs="Times New Roman (Body CS)"/>
          <w:bCs/>
        </w:rPr>
        <w:t>I/II</w:t>
      </w:r>
      <w:r w:rsidRPr="00F46DFF">
        <w:rPr>
          <w:rFonts w:ascii="Book Antiqua" w:eastAsia="Calibri" w:hAnsi="Book Antiqua" w:cs="Times New Roman (Body CS)"/>
          <w:bCs/>
        </w:rPr>
        <w:t xml:space="preserve"> studies with no control arm that assess safety, efficacy, and tolerability of the immun</w:t>
      </w:r>
      <w:r w:rsidR="007412EF">
        <w:rPr>
          <w:rFonts w:ascii="Book Antiqua" w:eastAsia="Calibri" w:hAnsi="Book Antiqua" w:cs="Times New Roman (Body CS)"/>
          <w:bCs/>
        </w:rPr>
        <w:t>o</w:t>
      </w:r>
      <w:r w:rsidRPr="00F46DFF">
        <w:rPr>
          <w:rFonts w:ascii="Book Antiqua" w:eastAsia="Calibri" w:hAnsi="Book Antiqua" w:cs="Times New Roman (Body CS)"/>
          <w:bCs/>
        </w:rPr>
        <w:t>modulating agent, either alone or in combination with other therapies. Nivolumab is the most used ICI in these studies</w:t>
      </w:r>
      <w:r w:rsidR="008F02C2" w:rsidRPr="008F02C2">
        <w:rPr>
          <w:rFonts w:ascii="Book Antiqua" w:eastAsia="Calibri" w:hAnsi="Book Antiqua" w:cs="Times New Roman (Body CS)"/>
          <w:bCs/>
          <w:vertAlign w:val="superscript"/>
        </w:rPr>
        <w:t>[84-88]</w:t>
      </w:r>
      <w:r w:rsidRPr="00F46DFF">
        <w:rPr>
          <w:rFonts w:ascii="Book Antiqua" w:eastAsia="Calibri" w:hAnsi="Book Antiqua" w:cs="Times New Roman (Body CS)"/>
          <w:bCs/>
        </w:rPr>
        <w:t>. Other ICIs used include tislelizumab, cemiplimab, toripalimab and camrelizumab</w:t>
      </w:r>
      <w:r w:rsidR="00143FB8" w:rsidRPr="008F02C2">
        <w:rPr>
          <w:rFonts w:ascii="Book Antiqua" w:eastAsia="Calibri" w:hAnsi="Book Antiqua" w:cs="Times New Roman (Body CS)"/>
          <w:bCs/>
          <w:vertAlign w:val="superscript"/>
        </w:rPr>
        <w:t>[</w:t>
      </w:r>
      <w:r w:rsidR="00143FB8" w:rsidRPr="00143FB8">
        <w:rPr>
          <w:rFonts w:ascii="Book Antiqua" w:eastAsia="Calibri" w:hAnsi="Book Antiqua" w:cs="Times New Roman (Body CS)"/>
          <w:bCs/>
          <w:vertAlign w:val="superscript"/>
        </w:rPr>
        <w:t>89-92</w:t>
      </w:r>
      <w:r w:rsidR="00143FB8" w:rsidRPr="008F02C2">
        <w:rPr>
          <w:rFonts w:ascii="Book Antiqua" w:eastAsia="Calibri" w:hAnsi="Book Antiqua" w:cs="Times New Roman (Body CS)"/>
          <w:bCs/>
          <w:vertAlign w:val="superscript"/>
        </w:rPr>
        <w:t>]</w:t>
      </w:r>
      <w:r w:rsidRPr="00F46DFF">
        <w:rPr>
          <w:rFonts w:ascii="Book Antiqua" w:eastAsia="Calibri" w:hAnsi="Book Antiqua" w:cs="Times New Roman (Body CS)"/>
          <w:bCs/>
        </w:rPr>
        <w:t xml:space="preserve">. Most of these trials are ongoing, with </w:t>
      </w:r>
      <w:r w:rsidR="007412EF">
        <w:rPr>
          <w:rFonts w:ascii="Book Antiqua" w:eastAsia="Calibri" w:hAnsi="Book Antiqua" w:cs="Times New Roman (Body CS)"/>
          <w:bCs/>
        </w:rPr>
        <w:t>most</w:t>
      </w:r>
      <w:r w:rsidRPr="00F46DFF">
        <w:rPr>
          <w:rFonts w:ascii="Book Antiqua" w:eastAsia="Calibri" w:hAnsi="Book Antiqua" w:cs="Times New Roman (Body CS)"/>
          <w:bCs/>
        </w:rPr>
        <w:t xml:space="preserve"> of them not having any published results. Analysis of completed studies, however, reveals satisfactory objective response rates and an acceptable rate of adverse events, setting the stage for the recommencement of phase </w:t>
      </w:r>
      <w:r w:rsidR="007412EF">
        <w:rPr>
          <w:rFonts w:ascii="Book Antiqua" w:eastAsia="Calibri" w:hAnsi="Book Antiqua" w:cs="Times New Roman (Body CS)"/>
          <w:bCs/>
        </w:rPr>
        <w:t>III</w:t>
      </w:r>
      <w:r w:rsidRPr="00F46DFF">
        <w:rPr>
          <w:rFonts w:ascii="Book Antiqua" w:eastAsia="Calibri" w:hAnsi="Book Antiqua" w:cs="Times New Roman (Body CS)"/>
          <w:bCs/>
        </w:rPr>
        <w:t xml:space="preserve">, randomized studies that will provide us with valuable information regarding the benefits of neoadjuvant immunotherapy before resection or LT. </w:t>
      </w:r>
    </w:p>
    <w:p w14:paraId="1EF4CC9B" w14:textId="0E41FEBF" w:rsidR="00F46DFF" w:rsidRDefault="007412EF" w:rsidP="00A63DA8">
      <w:pPr>
        <w:spacing w:line="360" w:lineRule="auto"/>
        <w:ind w:firstLineChars="200" w:firstLine="480"/>
        <w:jc w:val="both"/>
        <w:rPr>
          <w:rFonts w:ascii="Book Antiqua" w:eastAsia="Calibri" w:hAnsi="Book Antiqua" w:cs="Times New Roman (Body CS)"/>
          <w:bCs/>
        </w:rPr>
      </w:pPr>
      <w:r>
        <w:rPr>
          <w:rFonts w:ascii="Book Antiqua" w:eastAsia="Calibri" w:hAnsi="Book Antiqua" w:cs="Times New Roman (Body CS)"/>
          <w:bCs/>
        </w:rPr>
        <w:t>T</w:t>
      </w:r>
      <w:r w:rsidR="00F46DFF" w:rsidRPr="00F46DFF">
        <w:rPr>
          <w:rFonts w:ascii="Book Antiqua" w:eastAsia="Calibri" w:hAnsi="Book Antiqua" w:cs="Times New Roman (Body CS)"/>
          <w:bCs/>
        </w:rPr>
        <w:t xml:space="preserve">o date, there are two clinical trials </w:t>
      </w:r>
      <w:r>
        <w:rPr>
          <w:rFonts w:ascii="Book Antiqua" w:eastAsia="Calibri" w:hAnsi="Book Antiqua" w:cs="Times New Roman (Body CS)"/>
          <w:bCs/>
        </w:rPr>
        <w:t>of</w:t>
      </w:r>
      <w:r w:rsidRPr="00F46DFF">
        <w:rPr>
          <w:rFonts w:ascii="Book Antiqua" w:eastAsia="Calibri" w:hAnsi="Book Antiqua" w:cs="Times New Roman (Body CS)"/>
          <w:bCs/>
        </w:rPr>
        <w:t xml:space="preserve"> </w:t>
      </w:r>
      <w:r w:rsidR="00F46DFF" w:rsidRPr="00F46DFF">
        <w:rPr>
          <w:rFonts w:ascii="Book Antiqua" w:eastAsia="Calibri" w:hAnsi="Book Antiqua" w:cs="Times New Roman (Body CS)"/>
          <w:bCs/>
        </w:rPr>
        <w:t>neoadjuvant immunotherapy prior to LT in patients with HCC. The first trial (</w:t>
      </w:r>
      <w:r w:rsidR="00F46DFF" w:rsidRPr="00366104">
        <w:rPr>
          <w:rFonts w:ascii="Book Antiqua" w:eastAsia="Calibri" w:hAnsi="Book Antiqua" w:cs="Times New Roman (Body CS)"/>
          <w:bCs/>
        </w:rPr>
        <w:t>NCT04425226)</w:t>
      </w:r>
      <w:r w:rsidR="00F46DFF" w:rsidRPr="00F46DFF">
        <w:rPr>
          <w:rFonts w:ascii="Book Antiqua" w:eastAsia="Calibri" w:hAnsi="Book Antiqua" w:cs="Times New Roman (Body CS)"/>
          <w:bCs/>
        </w:rPr>
        <w:t xml:space="preserve"> is a randomized study that will assess the neoadjuvant use of pembrolizumab and lenvatinib as a downstaging and/or bridging therapy prior to LT in 192 patients with HCC. Participants will receive pembrolizumab 200 mg intravenously on day 1 of each 21-d cycle. Treatment will continue until unacceptable toxicity develops or until there are at least 42 d remaining to LT. Concurrently, study subjects will receive lenvatinib 8</w:t>
      </w:r>
      <w:r>
        <w:rPr>
          <w:rFonts w:ascii="Book Antiqua" w:eastAsia="Calibri" w:hAnsi="Book Antiqua" w:cs="Times New Roman (Body CS)"/>
          <w:bCs/>
        </w:rPr>
        <w:t>–</w:t>
      </w:r>
      <w:r w:rsidR="00F46DFF" w:rsidRPr="00F46DFF">
        <w:rPr>
          <w:rFonts w:ascii="Book Antiqua" w:eastAsia="Calibri" w:hAnsi="Book Antiqua" w:cs="Times New Roman (Body CS)"/>
          <w:bCs/>
        </w:rPr>
        <w:t xml:space="preserve">12 mg orally at least 38 d every 6 </w:t>
      </w:r>
      <w:r>
        <w:rPr>
          <w:rFonts w:ascii="Book Antiqua" w:eastAsia="Calibri" w:hAnsi="Book Antiqua" w:cs="Times New Roman (Body CS)"/>
          <w:bCs/>
        </w:rPr>
        <w:t>wk</w:t>
      </w:r>
      <w:r w:rsidRPr="00F46DFF">
        <w:rPr>
          <w:rFonts w:ascii="Book Antiqua" w:eastAsia="Calibri" w:hAnsi="Book Antiqua" w:cs="Times New Roman (Body CS)"/>
          <w:bCs/>
        </w:rPr>
        <w:t xml:space="preserve"> </w:t>
      </w:r>
      <w:r w:rsidR="00F46DFF" w:rsidRPr="00F46DFF">
        <w:rPr>
          <w:rFonts w:ascii="Book Antiqua" w:eastAsia="Calibri" w:hAnsi="Book Antiqua" w:cs="Times New Roman (Body CS)"/>
          <w:bCs/>
        </w:rPr>
        <w:t>and until there are at least 7 d prior to LT. The primary endpoint will be RFS, whereas secondary endpoints include the disease control rate, the percentage of patients who will experience adverse outcomes and who will discontinue study treatment due to an adverse event, and the ORR. Results of the study are expected in December 2024</w:t>
      </w:r>
      <w:r w:rsidR="002B43FC" w:rsidRPr="002B43FC">
        <w:rPr>
          <w:rFonts w:ascii="Book Antiqua" w:eastAsia="Calibri" w:hAnsi="Book Antiqua" w:cs="Times New Roman (Body CS)"/>
          <w:bCs/>
          <w:vertAlign w:val="superscript"/>
        </w:rPr>
        <w:t>[93]</w:t>
      </w:r>
      <w:r w:rsidR="00F46DFF" w:rsidRPr="00F46DFF">
        <w:rPr>
          <w:rFonts w:ascii="Book Antiqua" w:eastAsia="Calibri" w:hAnsi="Book Antiqua" w:cs="Times New Roman (Body CS)"/>
          <w:bCs/>
        </w:rPr>
        <w:t>. The second trial (</w:t>
      </w:r>
      <w:r w:rsidR="00F46DFF" w:rsidRPr="00332E18">
        <w:rPr>
          <w:rFonts w:ascii="Book Antiqua" w:eastAsia="Calibri" w:hAnsi="Book Antiqua" w:cs="Times New Roman (Body CS)"/>
          <w:bCs/>
        </w:rPr>
        <w:t>NCT04035876</w:t>
      </w:r>
      <w:r w:rsidR="00F46DFF" w:rsidRPr="00F46DFF">
        <w:rPr>
          <w:rFonts w:ascii="Book Antiqua" w:eastAsia="Calibri" w:hAnsi="Book Antiqua" w:cs="Times New Roman (Body CS)"/>
          <w:bCs/>
        </w:rPr>
        <w:t xml:space="preserve">) is a phase </w:t>
      </w:r>
      <w:r>
        <w:rPr>
          <w:rFonts w:ascii="Book Antiqua" w:eastAsia="Calibri" w:hAnsi="Book Antiqua" w:cs="Times New Roman (Body CS)"/>
          <w:bCs/>
        </w:rPr>
        <w:t>1/II</w:t>
      </w:r>
      <w:r w:rsidR="00F46DFF" w:rsidRPr="00F46DFF">
        <w:rPr>
          <w:rFonts w:ascii="Book Antiqua" w:eastAsia="Calibri" w:hAnsi="Book Antiqua" w:cs="Times New Roman (Body CS)"/>
          <w:bCs/>
        </w:rPr>
        <w:t xml:space="preserve">, single-arm study that evaluated the use of camrelizumab and apatinib as downstaging and/or bridging therapy prior to LT in 120 patients with HCC. Participants received camrelizumab 200 mg intravenously every 2 </w:t>
      </w:r>
      <w:r>
        <w:rPr>
          <w:rFonts w:ascii="Book Antiqua" w:eastAsia="Calibri" w:hAnsi="Book Antiqua" w:cs="Times New Roman (Body CS)"/>
          <w:bCs/>
        </w:rPr>
        <w:t>wk</w:t>
      </w:r>
      <w:r w:rsidRPr="00F46DFF">
        <w:rPr>
          <w:rFonts w:ascii="Book Antiqua" w:eastAsia="Calibri" w:hAnsi="Book Antiqua" w:cs="Times New Roman (Body CS)"/>
          <w:bCs/>
        </w:rPr>
        <w:t xml:space="preserve"> </w:t>
      </w:r>
      <w:r w:rsidR="00F46DFF" w:rsidRPr="00F46DFF">
        <w:rPr>
          <w:rFonts w:ascii="Book Antiqua" w:eastAsia="Calibri" w:hAnsi="Book Antiqua" w:cs="Times New Roman (Body CS)"/>
          <w:bCs/>
        </w:rPr>
        <w:t xml:space="preserve">and apatinib 250 mg orally every day. Camrelizumab was discontinued 5 </w:t>
      </w:r>
      <w:r>
        <w:rPr>
          <w:rFonts w:ascii="Book Antiqua" w:eastAsia="Calibri" w:hAnsi="Book Antiqua" w:cs="Times New Roman (Body CS)"/>
          <w:bCs/>
        </w:rPr>
        <w:t>wk</w:t>
      </w:r>
      <w:r w:rsidRPr="00F46DFF">
        <w:rPr>
          <w:rFonts w:ascii="Book Antiqua" w:eastAsia="Calibri" w:hAnsi="Book Antiqua" w:cs="Times New Roman (Body CS)"/>
          <w:bCs/>
        </w:rPr>
        <w:t xml:space="preserve"> </w:t>
      </w:r>
      <w:r w:rsidR="00F46DFF" w:rsidRPr="00F46DFF">
        <w:rPr>
          <w:rFonts w:ascii="Book Antiqua" w:eastAsia="Calibri" w:hAnsi="Book Antiqua" w:cs="Times New Roman (Body CS)"/>
          <w:bCs/>
        </w:rPr>
        <w:t xml:space="preserve">before </w:t>
      </w:r>
      <w:r w:rsidR="00F46DFF" w:rsidRPr="00F46DFF">
        <w:rPr>
          <w:rFonts w:ascii="Book Antiqua" w:eastAsia="Calibri" w:hAnsi="Book Antiqua" w:cs="Times New Roman (Body CS)"/>
          <w:bCs/>
        </w:rPr>
        <w:lastRenderedPageBreak/>
        <w:t xml:space="preserve">and apatinib 1 </w:t>
      </w:r>
      <w:r>
        <w:rPr>
          <w:rFonts w:ascii="Book Antiqua" w:eastAsia="Calibri" w:hAnsi="Book Antiqua" w:cs="Times New Roman (Body CS)"/>
          <w:bCs/>
        </w:rPr>
        <w:t>wk</w:t>
      </w:r>
      <w:r w:rsidRPr="00F46DFF">
        <w:rPr>
          <w:rFonts w:ascii="Book Antiqua" w:eastAsia="Calibri" w:hAnsi="Book Antiqua" w:cs="Times New Roman (Body CS)"/>
          <w:bCs/>
        </w:rPr>
        <w:t xml:space="preserve"> </w:t>
      </w:r>
      <w:r w:rsidR="00F46DFF" w:rsidRPr="00F46DFF">
        <w:rPr>
          <w:rFonts w:ascii="Book Antiqua" w:eastAsia="Calibri" w:hAnsi="Book Antiqua" w:cs="Times New Roman (Body CS)"/>
          <w:bCs/>
        </w:rPr>
        <w:t>before LT. Primary endpoints included objective remission rate and RFS, whereas secondary endpoints included OS, time to progress and rate of adverse events. Results of this study are not yet available</w:t>
      </w:r>
      <w:r w:rsidR="00625011" w:rsidRPr="002B43FC">
        <w:rPr>
          <w:rFonts w:ascii="Book Antiqua" w:eastAsia="Calibri" w:hAnsi="Book Antiqua" w:cs="Times New Roman (Body CS)"/>
          <w:bCs/>
          <w:vertAlign w:val="superscript"/>
        </w:rPr>
        <w:t>[9</w:t>
      </w:r>
      <w:r w:rsidR="00625011">
        <w:rPr>
          <w:rFonts w:ascii="Book Antiqua" w:eastAsia="Calibri" w:hAnsi="Book Antiqua" w:cs="Times New Roman (Body CS)"/>
          <w:bCs/>
          <w:vertAlign w:val="superscript"/>
        </w:rPr>
        <w:t>4</w:t>
      </w:r>
      <w:r w:rsidR="00625011" w:rsidRPr="002B43FC">
        <w:rPr>
          <w:rFonts w:ascii="Book Antiqua" w:eastAsia="Calibri" w:hAnsi="Book Antiqua" w:cs="Times New Roman (Body CS)"/>
          <w:bCs/>
          <w:vertAlign w:val="superscript"/>
        </w:rPr>
        <w:t>]</w:t>
      </w:r>
      <w:r w:rsidR="00F46DFF" w:rsidRPr="00F46DFF">
        <w:rPr>
          <w:rFonts w:ascii="Book Antiqua" w:eastAsia="Calibri" w:hAnsi="Book Antiqua" w:cs="Times New Roman (Body CS)"/>
          <w:bCs/>
        </w:rPr>
        <w:t>.</w:t>
      </w:r>
    </w:p>
    <w:p w14:paraId="50D8ED76" w14:textId="77777777" w:rsidR="008A5CDC" w:rsidRPr="00F46DFF" w:rsidRDefault="008A5CDC" w:rsidP="00A63DA8">
      <w:pPr>
        <w:spacing w:line="360" w:lineRule="auto"/>
        <w:ind w:firstLineChars="200" w:firstLine="480"/>
        <w:jc w:val="both"/>
        <w:rPr>
          <w:rFonts w:ascii="Book Antiqua" w:eastAsia="Calibri" w:hAnsi="Book Antiqua" w:cs="Times New Roman (Body CS)"/>
          <w:bCs/>
        </w:rPr>
      </w:pPr>
    </w:p>
    <w:p w14:paraId="1B805A6A" w14:textId="77777777" w:rsidR="00A77B3E" w:rsidRDefault="005C288A">
      <w:pPr>
        <w:spacing w:line="360" w:lineRule="auto"/>
        <w:jc w:val="both"/>
      </w:pPr>
      <w:r>
        <w:rPr>
          <w:rFonts w:ascii="Book Antiqua" w:eastAsia="Book Antiqua" w:hAnsi="Book Antiqua" w:cs="Book Antiqua"/>
          <w:b/>
          <w:caps/>
          <w:color w:val="000000"/>
          <w:u w:val="single"/>
        </w:rPr>
        <w:t>CONCLUSION</w:t>
      </w:r>
    </w:p>
    <w:p w14:paraId="26194FB4" w14:textId="3B7E51AC" w:rsidR="00A77B3E" w:rsidRDefault="007412EF">
      <w:pPr>
        <w:spacing w:line="360" w:lineRule="auto"/>
        <w:jc w:val="both"/>
      </w:pPr>
      <w:r>
        <w:rPr>
          <w:rFonts w:ascii="Book Antiqua" w:eastAsia="Book Antiqua" w:hAnsi="Book Antiqua" w:cs="Book Antiqua"/>
          <w:color w:val="000000"/>
        </w:rPr>
        <w:t>LT</w:t>
      </w:r>
      <w:r w:rsidR="005C288A">
        <w:rPr>
          <w:rFonts w:ascii="Book Antiqua" w:eastAsia="Book Antiqua" w:hAnsi="Book Antiqua" w:cs="Book Antiqua"/>
          <w:color w:val="000000"/>
        </w:rPr>
        <w:t xml:space="preserve"> is a curative treatment approach for HCC. With respect to the current transplant criteria, conventional LRT has been widely used as downstaging and/or bridging therapy to increase the pool of potential LT candidates. Nevertheless, the benefits of immunotherapy in patients with advanced HCC have generated an extensive discussion whether ICIs could be used safely and effectively in the pretransplant process in order to yield favorable outcomes. When contemplating neoadjuvant immunotherapy, the risk of graft rejection after LT is a matter of concern</w:t>
      </w:r>
      <w:r>
        <w:rPr>
          <w:rFonts w:ascii="Book Antiqua" w:eastAsia="Book Antiqua" w:hAnsi="Book Antiqua" w:cs="Book Antiqua"/>
          <w:color w:val="000000"/>
        </w:rPr>
        <w:t>. R</w:t>
      </w:r>
      <w:r w:rsidR="005C288A">
        <w:rPr>
          <w:rFonts w:ascii="Book Antiqua" w:eastAsia="Book Antiqua" w:hAnsi="Book Antiqua" w:cs="Book Antiqua"/>
          <w:color w:val="000000"/>
        </w:rPr>
        <w:t xml:space="preserve">esults from a limited </w:t>
      </w:r>
      <w:r>
        <w:rPr>
          <w:rFonts w:ascii="Book Antiqua" w:eastAsia="Book Antiqua" w:hAnsi="Book Antiqua" w:cs="Book Antiqua"/>
          <w:color w:val="000000"/>
        </w:rPr>
        <w:t xml:space="preserve">number </w:t>
      </w:r>
      <w:r w:rsidR="005C288A">
        <w:rPr>
          <w:rFonts w:ascii="Book Antiqua" w:eastAsia="Book Antiqua" w:hAnsi="Book Antiqua" w:cs="Book Antiqua"/>
          <w:color w:val="000000"/>
        </w:rPr>
        <w:t xml:space="preserve">of case reports, however, showed that the risk may not be as high, with fatal rejection presenting in only </w:t>
      </w:r>
      <w:r>
        <w:rPr>
          <w:rFonts w:ascii="Book Antiqua" w:eastAsia="Book Antiqua" w:hAnsi="Book Antiqua" w:cs="Book Antiqua"/>
          <w:color w:val="000000"/>
        </w:rPr>
        <w:t xml:space="preserve">two </w:t>
      </w:r>
      <w:r w:rsidR="005C288A">
        <w:rPr>
          <w:rFonts w:ascii="Book Antiqua" w:eastAsia="Book Antiqua" w:hAnsi="Book Antiqua" w:cs="Book Antiqua"/>
          <w:color w:val="000000"/>
        </w:rPr>
        <w:t xml:space="preserve">out of 20 cases of LT after ICI administration. More studies need to be conducted to delineate the factors that could reliably predict outcomes after LT in patients receiving neoadjuvant immunotherapy. Determination of surface molecule expression, such as PD/PDL1, obtained </w:t>
      </w:r>
      <w:r w:rsidR="005C288A">
        <w:rPr>
          <w:rFonts w:ascii="Book Antiqua" w:eastAsia="Book Antiqua" w:hAnsi="Book Antiqua" w:cs="Book Antiqua"/>
          <w:i/>
          <w:iCs/>
          <w:color w:val="000000"/>
        </w:rPr>
        <w:t>via</w:t>
      </w:r>
      <w:r w:rsidR="005C288A">
        <w:rPr>
          <w:rFonts w:ascii="Book Antiqua" w:eastAsia="Book Antiqua" w:hAnsi="Book Antiqua" w:cs="Book Antiqua"/>
          <w:color w:val="000000"/>
        </w:rPr>
        <w:t xml:space="preserve"> liver biopsy, is a tempting marker that could predict response to outcome, but, utilized alone, </w:t>
      </w:r>
      <w:r>
        <w:rPr>
          <w:rFonts w:ascii="Book Antiqua" w:eastAsia="Book Antiqua" w:hAnsi="Book Antiqua" w:cs="Book Antiqua"/>
          <w:color w:val="000000"/>
        </w:rPr>
        <w:t xml:space="preserve">does not </w:t>
      </w:r>
      <w:r w:rsidR="005C288A">
        <w:rPr>
          <w:rFonts w:ascii="Book Antiqua" w:eastAsia="Book Antiqua" w:hAnsi="Book Antiqua" w:cs="Book Antiqua"/>
          <w:color w:val="000000"/>
        </w:rPr>
        <w:t>seem to accurately include all patients that would benefit from ICIs. More markers need to be taken into consideration, either alone or in conjunction with other aspects of disease treatment that focus on the pharmacokinetics of immunotherapy. Drug half-life could theoretically play an important role in determining the ideal time interval spanning from ICI discontinuation to LT. In practice, however, no fatal rejection was observed in patients with cessation of drug therapy even 1 d before surgery, emphasizing the fact that individualization of treatment regimen is a superior approach than strict adherence to the properties of the drug in order to allocate patients to the appropriate drug scheme. Patient comorbidities, availability of other neoadjuvant treatment options</w:t>
      </w:r>
      <w:r>
        <w:rPr>
          <w:rFonts w:ascii="Book Antiqua" w:eastAsia="Book Antiqua" w:hAnsi="Book Antiqua" w:cs="Book Antiqua"/>
          <w:color w:val="000000"/>
        </w:rPr>
        <w:t>,</w:t>
      </w:r>
      <w:r w:rsidR="005C288A">
        <w:rPr>
          <w:rFonts w:ascii="Book Antiqua" w:eastAsia="Book Antiqua" w:hAnsi="Book Antiqua" w:cs="Book Antiqua"/>
          <w:color w:val="000000"/>
        </w:rPr>
        <w:t xml:space="preserve"> and the ability to timely treat emerging ICI-related adverse effects are all remarks that should be explored prior to initiating immunotherapy. Clinical trials that assess neoadjuvant ICI therapy, either before liver resection or transplantation, show promising results, both in treatment safety </w:t>
      </w:r>
      <w:r w:rsidR="005C288A">
        <w:rPr>
          <w:rFonts w:ascii="Book Antiqua" w:eastAsia="Book Antiqua" w:hAnsi="Book Antiqua" w:cs="Book Antiqua"/>
          <w:color w:val="000000"/>
        </w:rPr>
        <w:lastRenderedPageBreak/>
        <w:t xml:space="preserve">and efficacy, with primary and secondary study endpoints being met successfully. Insights from future studies, which are currently underway, are necessary to better understand the impact of neoadjuvant immunotherapy in the perioperative period and beyond. </w:t>
      </w:r>
    </w:p>
    <w:p w14:paraId="341372E6" w14:textId="77777777" w:rsidR="00A77B3E" w:rsidRDefault="00A77B3E">
      <w:pPr>
        <w:spacing w:line="360" w:lineRule="auto"/>
        <w:jc w:val="both"/>
      </w:pPr>
    </w:p>
    <w:p w14:paraId="692BB878" w14:textId="77777777" w:rsidR="00A77B3E" w:rsidRDefault="005C288A">
      <w:pPr>
        <w:spacing w:line="360" w:lineRule="auto"/>
        <w:jc w:val="both"/>
      </w:pPr>
      <w:r>
        <w:rPr>
          <w:rFonts w:ascii="Book Antiqua" w:eastAsia="Book Antiqua" w:hAnsi="Book Antiqua" w:cs="Book Antiqua"/>
          <w:b/>
          <w:color w:val="000000"/>
        </w:rPr>
        <w:t>REFERENCES</w:t>
      </w:r>
    </w:p>
    <w:p w14:paraId="4D50C868" w14:textId="77777777" w:rsidR="00A77B3E" w:rsidRDefault="005C288A">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Renne SL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Sarcognato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Sacchi</w:t>
      </w:r>
      <w:proofErr w:type="spellEnd"/>
      <w:r>
        <w:rPr>
          <w:rFonts w:ascii="Book Antiqua" w:eastAsia="Book Antiqua" w:hAnsi="Book Antiqua" w:cs="Book Antiqua"/>
          <w:color w:val="000000"/>
        </w:rPr>
        <w:t xml:space="preserve"> D, Guido M, Roncalli M, </w:t>
      </w:r>
      <w:proofErr w:type="spellStart"/>
      <w:r>
        <w:rPr>
          <w:rFonts w:ascii="Book Antiqua" w:eastAsia="Book Antiqua" w:hAnsi="Book Antiqua" w:cs="Book Antiqua"/>
          <w:color w:val="000000"/>
        </w:rPr>
        <w:t>Terracciano</w:t>
      </w:r>
      <w:proofErr w:type="spellEnd"/>
      <w:r>
        <w:rPr>
          <w:rFonts w:ascii="Book Antiqua" w:eastAsia="Book Antiqua" w:hAnsi="Book Antiqua" w:cs="Book Antiqua"/>
          <w:color w:val="000000"/>
        </w:rPr>
        <w:t xml:space="preserve"> L, Di Tommaso L. Hepatocellular carcinoma: a clinical and pathological overview. </w:t>
      </w:r>
      <w:proofErr w:type="spellStart"/>
      <w:r>
        <w:rPr>
          <w:rFonts w:ascii="Book Antiqua" w:eastAsia="Book Antiqua" w:hAnsi="Book Antiqua" w:cs="Book Antiqua"/>
          <w:i/>
          <w:iCs/>
          <w:color w:val="000000"/>
        </w:rPr>
        <w:t>Pathologica</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113</w:t>
      </w:r>
      <w:r>
        <w:rPr>
          <w:rFonts w:ascii="Book Antiqua" w:eastAsia="Book Antiqua" w:hAnsi="Book Antiqua" w:cs="Book Antiqua"/>
          <w:color w:val="000000"/>
        </w:rPr>
        <w:t>: 203-217 [PMID: 34294938 DOI: 10.32074/1591-951X-295]</w:t>
      </w:r>
    </w:p>
    <w:p w14:paraId="2F251E71" w14:textId="77777777" w:rsidR="00A77B3E" w:rsidRDefault="005C288A">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Kulik L</w:t>
      </w:r>
      <w:r>
        <w:rPr>
          <w:rFonts w:ascii="Book Antiqua" w:eastAsia="Book Antiqua" w:hAnsi="Book Antiqua" w:cs="Book Antiqua"/>
          <w:color w:val="000000"/>
        </w:rPr>
        <w:t>, El-</w:t>
      </w:r>
      <w:proofErr w:type="spellStart"/>
      <w:r>
        <w:rPr>
          <w:rFonts w:ascii="Book Antiqua" w:eastAsia="Book Antiqua" w:hAnsi="Book Antiqua" w:cs="Book Antiqua"/>
          <w:color w:val="000000"/>
        </w:rPr>
        <w:t>Serag</w:t>
      </w:r>
      <w:proofErr w:type="spellEnd"/>
      <w:r>
        <w:rPr>
          <w:rFonts w:ascii="Book Antiqua" w:eastAsia="Book Antiqua" w:hAnsi="Book Antiqua" w:cs="Book Antiqua"/>
          <w:color w:val="000000"/>
        </w:rPr>
        <w:t xml:space="preserve"> HB. Epidemiology and Management of Hepatocellular Carcinoma.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156</w:t>
      </w:r>
      <w:r>
        <w:rPr>
          <w:rFonts w:ascii="Book Antiqua" w:eastAsia="Book Antiqua" w:hAnsi="Book Antiqua" w:cs="Book Antiqua"/>
          <w:color w:val="000000"/>
        </w:rPr>
        <w:t>: 477-491.e1 [PMID: 30367835 DOI: 10.1053/j.gastro.2018.08.065]</w:t>
      </w:r>
    </w:p>
    <w:p w14:paraId="3E0D94AA" w14:textId="77777777" w:rsidR="00A77B3E" w:rsidRDefault="005C288A">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Yang JD</w:t>
      </w:r>
      <w:r>
        <w:rPr>
          <w:rFonts w:ascii="Book Antiqua" w:eastAsia="Book Antiqua" w:hAnsi="Book Antiqua" w:cs="Book Antiqua"/>
          <w:color w:val="000000"/>
        </w:rPr>
        <w:t xml:space="preserve">, Hainaut P, Gores GJ, Amadou A, </w:t>
      </w:r>
      <w:proofErr w:type="spellStart"/>
      <w:r>
        <w:rPr>
          <w:rFonts w:ascii="Book Antiqua" w:eastAsia="Book Antiqua" w:hAnsi="Book Antiqua" w:cs="Book Antiqua"/>
          <w:color w:val="000000"/>
        </w:rPr>
        <w:t>Plymoth</w:t>
      </w:r>
      <w:proofErr w:type="spellEnd"/>
      <w:r>
        <w:rPr>
          <w:rFonts w:ascii="Book Antiqua" w:eastAsia="Book Antiqua" w:hAnsi="Book Antiqua" w:cs="Book Antiqua"/>
          <w:color w:val="000000"/>
        </w:rPr>
        <w:t xml:space="preserve"> A, Roberts LR. A global view of hepatocellular carcinoma: trends, risk, prevention and management.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589-604 [PMID: 31439937 DOI: 10.1038/s41575-019-0186-y]</w:t>
      </w:r>
    </w:p>
    <w:p w14:paraId="2A0D1FC4" w14:textId="77777777" w:rsidR="00A77B3E" w:rsidRDefault="005C288A">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Tang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Hallouch</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Chernyak</w:t>
      </w:r>
      <w:proofErr w:type="spellEnd"/>
      <w:r>
        <w:rPr>
          <w:rFonts w:ascii="Book Antiqua" w:eastAsia="Book Antiqua" w:hAnsi="Book Antiqua" w:cs="Book Antiqua"/>
          <w:color w:val="000000"/>
        </w:rPr>
        <w:t xml:space="preserve"> V, Kamaya A, </w:t>
      </w:r>
      <w:proofErr w:type="spellStart"/>
      <w:r>
        <w:rPr>
          <w:rFonts w:ascii="Book Antiqua" w:eastAsia="Book Antiqua" w:hAnsi="Book Antiqua" w:cs="Book Antiqua"/>
          <w:color w:val="000000"/>
        </w:rPr>
        <w:t>Sirlin</w:t>
      </w:r>
      <w:proofErr w:type="spellEnd"/>
      <w:r>
        <w:rPr>
          <w:rFonts w:ascii="Book Antiqua" w:eastAsia="Book Antiqua" w:hAnsi="Book Antiqua" w:cs="Book Antiqua"/>
          <w:color w:val="000000"/>
        </w:rPr>
        <w:t xml:space="preserve"> CB. Epidemiology of hepatocellular carcinoma: target population for surveillance and diagnosis. </w:t>
      </w:r>
      <w:proofErr w:type="spellStart"/>
      <w:r>
        <w:rPr>
          <w:rFonts w:ascii="Book Antiqua" w:eastAsia="Book Antiqua" w:hAnsi="Book Antiqua" w:cs="Book Antiqua"/>
          <w:i/>
          <w:iCs/>
          <w:color w:val="000000"/>
        </w:rPr>
        <w:t>Abdom</w:t>
      </w:r>
      <w:proofErr w:type="spellEnd"/>
      <w:r>
        <w:rPr>
          <w:rFonts w:ascii="Book Antiqua" w:eastAsia="Book Antiqua" w:hAnsi="Book Antiqua" w:cs="Book Antiqua"/>
          <w:i/>
          <w:iCs/>
          <w:color w:val="000000"/>
        </w:rPr>
        <w:t xml:space="preserve"> Radiol (NY)</w:t>
      </w:r>
      <w:r>
        <w:rPr>
          <w:rFonts w:ascii="Book Antiqua" w:eastAsia="Book Antiqua" w:hAnsi="Book Antiqua" w:cs="Book Antiqua"/>
          <w:color w:val="000000"/>
        </w:rPr>
        <w:t xml:space="preserve"> 2018; </w:t>
      </w:r>
      <w:r>
        <w:rPr>
          <w:rFonts w:ascii="Book Antiqua" w:eastAsia="Book Antiqua" w:hAnsi="Book Antiqua" w:cs="Book Antiqua"/>
          <w:b/>
          <w:bCs/>
          <w:color w:val="000000"/>
        </w:rPr>
        <w:t>43</w:t>
      </w:r>
      <w:r>
        <w:rPr>
          <w:rFonts w:ascii="Book Antiqua" w:eastAsia="Book Antiqua" w:hAnsi="Book Antiqua" w:cs="Book Antiqua"/>
          <w:color w:val="000000"/>
        </w:rPr>
        <w:t>: 13-25 [PMID: 28647765 DOI: 10.1007/s00261-017-1209-1]</w:t>
      </w:r>
    </w:p>
    <w:p w14:paraId="54886C28" w14:textId="77777777" w:rsidR="00A77B3E" w:rsidRDefault="005C288A">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color w:val="000000"/>
        </w:rPr>
        <w:t>Karademir</w:t>
      </w:r>
      <w:proofErr w:type="spellEnd"/>
      <w:r>
        <w:rPr>
          <w:rFonts w:ascii="Book Antiqua" w:eastAsia="Book Antiqua" w:hAnsi="Book Antiqua" w:cs="Book Antiqua"/>
          <w:color w:val="000000"/>
        </w:rPr>
        <w:t xml:space="preserve"> S. Staging of hepatocellular carcinoma. Hepatoma Res 2018; 4: 58. [DOI: 10.20517/2394-5079.2018.40]</w:t>
      </w:r>
    </w:p>
    <w:p w14:paraId="10AA1F17" w14:textId="77777777" w:rsidR="00A77B3E" w:rsidRDefault="005C288A">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Llovet</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Brú</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Prognosis of hepatocellular carcinoma: the BCLC staging classification. </w:t>
      </w:r>
      <w:r>
        <w:rPr>
          <w:rFonts w:ascii="Book Antiqua" w:eastAsia="Book Antiqua" w:hAnsi="Book Antiqua" w:cs="Book Antiqua"/>
          <w:i/>
          <w:iCs/>
          <w:color w:val="000000"/>
        </w:rPr>
        <w:t>Semin Liver Dis</w:t>
      </w:r>
      <w:r>
        <w:rPr>
          <w:rFonts w:ascii="Book Antiqua" w:eastAsia="Book Antiqua" w:hAnsi="Book Antiqua" w:cs="Book Antiqua"/>
          <w:color w:val="000000"/>
        </w:rPr>
        <w:t xml:space="preserve"> 1999; </w:t>
      </w:r>
      <w:r>
        <w:rPr>
          <w:rFonts w:ascii="Book Antiqua" w:eastAsia="Book Antiqua" w:hAnsi="Book Antiqua" w:cs="Book Antiqua"/>
          <w:b/>
          <w:bCs/>
          <w:color w:val="000000"/>
        </w:rPr>
        <w:t>19</w:t>
      </w:r>
      <w:r>
        <w:rPr>
          <w:rFonts w:ascii="Book Antiqua" w:eastAsia="Book Antiqua" w:hAnsi="Book Antiqua" w:cs="Book Antiqua"/>
          <w:color w:val="000000"/>
        </w:rPr>
        <w:t>: 329-338 [PMID: 10518312 DOI: 10.1055/s-2007-1007122]</w:t>
      </w:r>
    </w:p>
    <w:p w14:paraId="69775FB0" w14:textId="77777777" w:rsidR="00A77B3E" w:rsidRDefault="005C288A">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Maida M</w:t>
      </w:r>
      <w:r>
        <w:rPr>
          <w:rFonts w:ascii="Book Antiqua" w:eastAsia="Book Antiqua" w:hAnsi="Book Antiqua" w:cs="Book Antiqua"/>
          <w:color w:val="000000"/>
        </w:rPr>
        <w:t xml:space="preserve">, Orlando E, </w:t>
      </w:r>
      <w:proofErr w:type="spellStart"/>
      <w:r>
        <w:rPr>
          <w:rFonts w:ascii="Book Antiqua" w:eastAsia="Book Antiqua" w:hAnsi="Book Antiqua" w:cs="Book Antiqua"/>
          <w:color w:val="000000"/>
        </w:rPr>
        <w:t>Cammà</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Cabibbo</w:t>
      </w:r>
      <w:proofErr w:type="spellEnd"/>
      <w:r>
        <w:rPr>
          <w:rFonts w:ascii="Book Antiqua" w:eastAsia="Book Antiqua" w:hAnsi="Book Antiqua" w:cs="Book Antiqua"/>
          <w:color w:val="000000"/>
        </w:rPr>
        <w:t xml:space="preserve"> G. Staging systems of hepatocellular carcinoma: a review of literature.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4141-4150 [PMID: 24764652 DOI: 10.3748/wjg.v20.i15.4141]</w:t>
      </w:r>
    </w:p>
    <w:p w14:paraId="239ED4D5" w14:textId="77777777" w:rsidR="00A77B3E" w:rsidRDefault="005C288A">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Yao FY</w:t>
      </w:r>
      <w:r>
        <w:rPr>
          <w:rFonts w:ascii="Book Antiqua" w:eastAsia="Book Antiqua" w:hAnsi="Book Antiqua" w:cs="Book Antiqua"/>
          <w:color w:val="000000"/>
        </w:rPr>
        <w:t xml:space="preserve">, Mehta N, </w:t>
      </w:r>
      <w:proofErr w:type="spellStart"/>
      <w:r>
        <w:rPr>
          <w:rFonts w:ascii="Book Antiqua" w:eastAsia="Book Antiqua" w:hAnsi="Book Antiqua" w:cs="Book Antiqua"/>
          <w:color w:val="000000"/>
        </w:rPr>
        <w:t>Flemming</w:t>
      </w:r>
      <w:proofErr w:type="spellEnd"/>
      <w:r>
        <w:rPr>
          <w:rFonts w:ascii="Book Antiqua" w:eastAsia="Book Antiqua" w:hAnsi="Book Antiqua" w:cs="Book Antiqua"/>
          <w:color w:val="000000"/>
        </w:rPr>
        <w:t xml:space="preserve"> J, Dodge J, Hameed B, Fix O, Hirose R, </w:t>
      </w:r>
      <w:proofErr w:type="spellStart"/>
      <w:r>
        <w:rPr>
          <w:rFonts w:ascii="Book Antiqua" w:eastAsia="Book Antiqua" w:hAnsi="Book Antiqua" w:cs="Book Antiqua"/>
          <w:color w:val="000000"/>
        </w:rPr>
        <w:t>Fidelman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Kerlan</w:t>
      </w:r>
      <w:proofErr w:type="spellEnd"/>
      <w:r>
        <w:rPr>
          <w:rFonts w:ascii="Book Antiqua" w:eastAsia="Book Antiqua" w:hAnsi="Book Antiqua" w:cs="Book Antiqua"/>
          <w:color w:val="000000"/>
        </w:rPr>
        <w:t xml:space="preserve"> RK Jr, Roberts JP. Downstaging of hepatocellular cancer before liver transplant: long-term outcome compared to tumors within Milan criteria.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2015; </w:t>
      </w:r>
      <w:r>
        <w:rPr>
          <w:rFonts w:ascii="Book Antiqua" w:eastAsia="Book Antiqua" w:hAnsi="Book Antiqua" w:cs="Book Antiqua"/>
          <w:b/>
          <w:bCs/>
          <w:color w:val="000000"/>
        </w:rPr>
        <w:t>61</w:t>
      </w:r>
      <w:r>
        <w:rPr>
          <w:rFonts w:ascii="Book Antiqua" w:eastAsia="Book Antiqua" w:hAnsi="Book Antiqua" w:cs="Book Antiqua"/>
          <w:color w:val="000000"/>
        </w:rPr>
        <w:t>: 1968-1977 [PMID: 25689978 DOI: 10.1002/hep.27752]</w:t>
      </w:r>
    </w:p>
    <w:p w14:paraId="1F57A674" w14:textId="77777777" w:rsidR="00A77B3E" w:rsidRDefault="005C288A">
      <w:pPr>
        <w:spacing w:line="360" w:lineRule="auto"/>
        <w:jc w:val="both"/>
      </w:pPr>
      <w:r>
        <w:rPr>
          <w:rFonts w:ascii="Book Antiqua" w:eastAsia="Book Antiqua" w:hAnsi="Book Antiqua" w:cs="Book Antiqua"/>
          <w:color w:val="000000"/>
        </w:rPr>
        <w:lastRenderedPageBreak/>
        <w:t xml:space="preserve">9 </w:t>
      </w:r>
      <w:proofErr w:type="spellStart"/>
      <w:r>
        <w:rPr>
          <w:rFonts w:ascii="Book Antiqua" w:eastAsia="Book Antiqua" w:hAnsi="Book Antiqua" w:cs="Book Antiqua"/>
          <w:b/>
          <w:bCs/>
          <w:color w:val="000000"/>
        </w:rPr>
        <w:t>Fujiki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Aucejo</w:t>
      </w:r>
      <w:proofErr w:type="spellEnd"/>
      <w:r>
        <w:rPr>
          <w:rFonts w:ascii="Book Antiqua" w:eastAsia="Book Antiqua" w:hAnsi="Book Antiqua" w:cs="Book Antiqua"/>
          <w:color w:val="000000"/>
        </w:rPr>
        <w:t xml:space="preserve"> F, Choi M, Kim R. Neo-adjuvant therapy for hepatocellular carcinoma before liver transplantation: where do we stand?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2014; </w:t>
      </w:r>
      <w:r>
        <w:rPr>
          <w:rFonts w:ascii="Book Antiqua" w:eastAsia="Book Antiqua" w:hAnsi="Book Antiqua" w:cs="Book Antiqua"/>
          <w:b/>
          <w:bCs/>
          <w:color w:val="000000"/>
        </w:rPr>
        <w:t>20</w:t>
      </w:r>
      <w:r>
        <w:rPr>
          <w:rFonts w:ascii="Book Antiqua" w:eastAsia="Book Antiqua" w:hAnsi="Book Antiqua" w:cs="Book Antiqua"/>
          <w:color w:val="000000"/>
        </w:rPr>
        <w:t>: 5308-5319 [PMID: 24833861 DOI: 10.3748/wjg.v20.i18.5308]</w:t>
      </w:r>
    </w:p>
    <w:p w14:paraId="00997707" w14:textId="77777777" w:rsidR="00A77B3E" w:rsidRDefault="005C288A">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She WH</w:t>
      </w:r>
      <w:r>
        <w:rPr>
          <w:rFonts w:ascii="Book Antiqua" w:eastAsia="Book Antiqua" w:hAnsi="Book Antiqua" w:cs="Book Antiqua"/>
          <w:color w:val="000000"/>
        </w:rPr>
        <w:t xml:space="preserve">, Cheung TT. Bridging and downstaging therapy in patients suffering from hepatocellular carcinoma waiting on the list of liver transplantation.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Gastroenterol Hepatol</w:t>
      </w:r>
      <w:r>
        <w:rPr>
          <w:rFonts w:ascii="Book Antiqua" w:eastAsia="Book Antiqua" w:hAnsi="Book Antiqua" w:cs="Book Antiqua"/>
          <w:color w:val="000000"/>
        </w:rPr>
        <w:t xml:space="preserve"> 2016; </w:t>
      </w:r>
      <w:r>
        <w:rPr>
          <w:rFonts w:ascii="Book Antiqua" w:eastAsia="Book Antiqua" w:hAnsi="Book Antiqua" w:cs="Book Antiqua"/>
          <w:b/>
          <w:bCs/>
          <w:color w:val="000000"/>
        </w:rPr>
        <w:t>1</w:t>
      </w:r>
      <w:r>
        <w:rPr>
          <w:rFonts w:ascii="Book Antiqua" w:eastAsia="Book Antiqua" w:hAnsi="Book Antiqua" w:cs="Book Antiqua"/>
          <w:color w:val="000000"/>
        </w:rPr>
        <w:t>: 34 [PMID: 28138601 DOI: 10.21037/tgh.2016.03.04]</w:t>
      </w:r>
    </w:p>
    <w:p w14:paraId="1A77F494" w14:textId="77777777" w:rsidR="00A77B3E" w:rsidRDefault="005C288A">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Yao FY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Kerlan</w:t>
      </w:r>
      <w:proofErr w:type="spellEnd"/>
      <w:r>
        <w:rPr>
          <w:rFonts w:ascii="Book Antiqua" w:eastAsia="Book Antiqua" w:hAnsi="Book Antiqua" w:cs="Book Antiqua"/>
          <w:color w:val="000000"/>
        </w:rPr>
        <w:t xml:space="preserve"> RK Jr, Hirose R, </w:t>
      </w:r>
      <w:proofErr w:type="spellStart"/>
      <w:r>
        <w:rPr>
          <w:rFonts w:ascii="Book Antiqua" w:eastAsia="Book Antiqua" w:hAnsi="Book Antiqua" w:cs="Book Antiqua"/>
          <w:color w:val="000000"/>
        </w:rPr>
        <w:t>Davern</w:t>
      </w:r>
      <w:proofErr w:type="spellEnd"/>
      <w:r>
        <w:rPr>
          <w:rFonts w:ascii="Book Antiqua" w:eastAsia="Book Antiqua" w:hAnsi="Book Antiqua" w:cs="Book Antiqua"/>
          <w:color w:val="000000"/>
        </w:rPr>
        <w:t xml:space="preserve"> TJ 3rd, Bass NM, Feng S, Peters M, </w:t>
      </w:r>
      <w:proofErr w:type="spellStart"/>
      <w:r>
        <w:rPr>
          <w:rFonts w:ascii="Book Antiqua" w:eastAsia="Book Antiqua" w:hAnsi="Book Antiqua" w:cs="Book Antiqua"/>
          <w:color w:val="000000"/>
        </w:rPr>
        <w:t>Terrault</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Freise</w:t>
      </w:r>
      <w:proofErr w:type="spellEnd"/>
      <w:r>
        <w:rPr>
          <w:rFonts w:ascii="Book Antiqua" w:eastAsia="Book Antiqua" w:hAnsi="Book Antiqua" w:cs="Book Antiqua"/>
          <w:color w:val="000000"/>
        </w:rPr>
        <w:t xml:space="preserve"> CE, Ascher NL, Roberts JP. Excellent outcome following down-staging of hepatocellular carcinoma prior to liver transplantation: an intention-to-treat analysis.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2008; </w:t>
      </w:r>
      <w:r>
        <w:rPr>
          <w:rFonts w:ascii="Book Antiqua" w:eastAsia="Book Antiqua" w:hAnsi="Book Antiqua" w:cs="Book Antiqua"/>
          <w:b/>
          <w:bCs/>
          <w:color w:val="000000"/>
        </w:rPr>
        <w:t>48</w:t>
      </w:r>
      <w:r>
        <w:rPr>
          <w:rFonts w:ascii="Book Antiqua" w:eastAsia="Book Antiqua" w:hAnsi="Book Antiqua" w:cs="Book Antiqua"/>
          <w:color w:val="000000"/>
        </w:rPr>
        <w:t>: 819-827 [PMID: 18688876 DOI: 10.1002/hep.22412]</w:t>
      </w:r>
    </w:p>
    <w:p w14:paraId="06EE8B9E" w14:textId="77777777" w:rsidR="00A77B3E" w:rsidRDefault="005C288A">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Yang L</w:t>
      </w:r>
      <w:r>
        <w:rPr>
          <w:rFonts w:ascii="Book Antiqua" w:eastAsia="Book Antiqua" w:hAnsi="Book Antiqua" w:cs="Book Antiqua"/>
          <w:color w:val="000000"/>
        </w:rPr>
        <w:t xml:space="preserve">, Ning Q, Tang SS. Recent Advances and Next Breakthrough in Immunotherapy for Cancer Treatment. </w:t>
      </w:r>
      <w:r>
        <w:rPr>
          <w:rFonts w:ascii="Book Antiqua" w:eastAsia="Book Antiqua" w:hAnsi="Book Antiqua" w:cs="Book Antiqua"/>
          <w:i/>
          <w:iCs/>
          <w:color w:val="000000"/>
        </w:rPr>
        <w:t>J Immunol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2022</w:t>
      </w:r>
      <w:r>
        <w:rPr>
          <w:rFonts w:ascii="Book Antiqua" w:eastAsia="Book Antiqua" w:hAnsi="Book Antiqua" w:cs="Book Antiqua"/>
          <w:color w:val="000000"/>
        </w:rPr>
        <w:t>: 8052212 [PMID: 35340585 DOI: 10.1155/2022/8052212]</w:t>
      </w:r>
    </w:p>
    <w:p w14:paraId="086ECDB5" w14:textId="77777777" w:rsidR="00A77B3E" w:rsidRDefault="005C288A">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Tabrizian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Florman</w:t>
      </w:r>
      <w:proofErr w:type="spellEnd"/>
      <w:r>
        <w:rPr>
          <w:rFonts w:ascii="Book Antiqua" w:eastAsia="Book Antiqua" w:hAnsi="Book Antiqua" w:cs="Book Antiqua"/>
          <w:color w:val="000000"/>
        </w:rPr>
        <w:t xml:space="preserve"> SS, Schwartz ME. PD-1 inhibitor as bridge therapy to liver transplantation?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1979-1980 [PMID: 33316117 DOI: 10.1111/ajt.16448]</w:t>
      </w:r>
    </w:p>
    <w:p w14:paraId="1DD65569" w14:textId="77777777" w:rsidR="00A77B3E" w:rsidRDefault="005C288A">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Pinato</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Fessas</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Sapisochin</w:t>
      </w:r>
      <w:proofErr w:type="spellEnd"/>
      <w:r>
        <w:rPr>
          <w:rFonts w:ascii="Book Antiqua" w:eastAsia="Book Antiqua" w:hAnsi="Book Antiqua" w:cs="Book Antiqua"/>
          <w:color w:val="000000"/>
        </w:rPr>
        <w:t xml:space="preserve"> G, Marron TU. Perspectives on the Neoadjuvant Use of Immunotherapy in Hepatocellular Carcinoma.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483-490 [PMID: 33369758 DOI: 10.1002/hep.31697]</w:t>
      </w:r>
    </w:p>
    <w:p w14:paraId="42976543" w14:textId="77777777" w:rsidR="00A77B3E" w:rsidRDefault="005C288A">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Toniutto</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Fumolo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Fornasiere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Bitetto</w:t>
      </w:r>
      <w:proofErr w:type="spellEnd"/>
      <w:r>
        <w:rPr>
          <w:rFonts w:ascii="Book Antiqua" w:eastAsia="Book Antiqua" w:hAnsi="Book Antiqua" w:cs="Book Antiqua"/>
          <w:color w:val="000000"/>
        </w:rPr>
        <w:t xml:space="preserve"> D. Liver Transplantation in Patients with Hepatocellular Carcinoma beyond the Milan Criteria: A Comprehensive Review. </w:t>
      </w:r>
      <w:r>
        <w:rPr>
          <w:rFonts w:ascii="Book Antiqua" w:eastAsia="Book Antiqua" w:hAnsi="Book Antiqua" w:cs="Book Antiqua"/>
          <w:i/>
          <w:iCs/>
          <w:color w:val="000000"/>
        </w:rPr>
        <w:t>J Clin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34501381 DOI: 10.3390/jcm10173932]</w:t>
      </w:r>
    </w:p>
    <w:p w14:paraId="4514A1CE" w14:textId="77777777" w:rsidR="00A77B3E" w:rsidRDefault="005C288A">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Muhammad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Tehreem</w:t>
      </w:r>
      <w:proofErr w:type="spellEnd"/>
      <w:r>
        <w:rPr>
          <w:rFonts w:ascii="Book Antiqua" w:eastAsia="Book Antiqua" w:hAnsi="Book Antiqua" w:cs="Book Antiqua"/>
          <w:color w:val="000000"/>
        </w:rPr>
        <w:t xml:space="preserve"> A, Ting PS, </w:t>
      </w:r>
      <w:proofErr w:type="spellStart"/>
      <w:r>
        <w:rPr>
          <w:rFonts w:ascii="Book Antiqua" w:eastAsia="Book Antiqua" w:hAnsi="Book Antiqua" w:cs="Book Antiqua"/>
          <w:color w:val="000000"/>
        </w:rPr>
        <w:t>Gurakar</w:t>
      </w:r>
      <w:proofErr w:type="spellEnd"/>
      <w:r>
        <w:rPr>
          <w:rFonts w:ascii="Book Antiqua" w:eastAsia="Book Antiqua" w:hAnsi="Book Antiqua" w:cs="Book Antiqua"/>
          <w:color w:val="000000"/>
        </w:rPr>
        <w:t xml:space="preserve"> M, Li SY, </w:t>
      </w:r>
      <w:proofErr w:type="spellStart"/>
      <w:r>
        <w:rPr>
          <w:rFonts w:ascii="Book Antiqua" w:eastAsia="Book Antiqua" w:hAnsi="Book Antiqua" w:cs="Book Antiqua"/>
          <w:color w:val="000000"/>
        </w:rPr>
        <w:t>Simsek</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Alqahtani</w:t>
      </w:r>
      <w:proofErr w:type="spellEnd"/>
      <w:r>
        <w:rPr>
          <w:rFonts w:ascii="Book Antiqua" w:eastAsia="Book Antiqua" w:hAnsi="Book Antiqua" w:cs="Book Antiqua"/>
          <w:color w:val="000000"/>
        </w:rPr>
        <w:t xml:space="preserve"> SA, Kim AK, Kohli R, </w:t>
      </w:r>
      <w:proofErr w:type="spellStart"/>
      <w:r>
        <w:rPr>
          <w:rFonts w:ascii="Book Antiqua" w:eastAsia="Book Antiqua" w:hAnsi="Book Antiqua" w:cs="Book Antiqua"/>
          <w:color w:val="000000"/>
        </w:rPr>
        <w:t>Gurakar</w:t>
      </w:r>
      <w:proofErr w:type="spellEnd"/>
      <w:r>
        <w:rPr>
          <w:rFonts w:ascii="Book Antiqua" w:eastAsia="Book Antiqua" w:hAnsi="Book Antiqua" w:cs="Book Antiqua"/>
          <w:color w:val="000000"/>
        </w:rPr>
        <w:t xml:space="preserve"> A. Hepatocellular Carcinoma and the Role of Liver Transplantation: A Review.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738-748 [PMID: 34722189 DOI: 10.14218/JCTH.2021.00125]</w:t>
      </w:r>
    </w:p>
    <w:p w14:paraId="4390318E" w14:textId="77777777" w:rsidR="00A77B3E" w:rsidRDefault="005C288A">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Rudnick SR</w:t>
      </w:r>
      <w:r>
        <w:rPr>
          <w:rFonts w:ascii="Book Antiqua" w:eastAsia="Book Antiqua" w:hAnsi="Book Antiqua" w:cs="Book Antiqua"/>
          <w:color w:val="000000"/>
        </w:rPr>
        <w:t xml:space="preserve">, Russo MW. Liver transplantation beyond or downstaging within the Milan criteria for hepatocellular carcinoma. </w:t>
      </w:r>
      <w:r>
        <w:rPr>
          <w:rFonts w:ascii="Book Antiqua" w:eastAsia="Book Antiqua" w:hAnsi="Book Antiqua" w:cs="Book Antiqua"/>
          <w:i/>
          <w:iCs/>
          <w:color w:val="000000"/>
        </w:rPr>
        <w:t>Expert Rev Gastroenterol Hepatol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12</w:t>
      </w:r>
      <w:r>
        <w:rPr>
          <w:rFonts w:ascii="Book Antiqua" w:eastAsia="Book Antiqua" w:hAnsi="Book Antiqua" w:cs="Book Antiqua"/>
          <w:color w:val="000000"/>
        </w:rPr>
        <w:t>: 265-275 [PMID: 29231769 DOI: 10.1080/17474124.2018.1417035]</w:t>
      </w:r>
    </w:p>
    <w:p w14:paraId="0DC9E6A3" w14:textId="77777777" w:rsidR="00A77B3E" w:rsidRDefault="005C288A">
      <w:pPr>
        <w:spacing w:line="360" w:lineRule="auto"/>
        <w:jc w:val="both"/>
      </w:pPr>
      <w:r>
        <w:rPr>
          <w:rFonts w:ascii="Book Antiqua" w:eastAsia="Book Antiqua" w:hAnsi="Book Antiqua" w:cs="Book Antiqua"/>
          <w:color w:val="000000"/>
        </w:rPr>
        <w:lastRenderedPageBreak/>
        <w:t xml:space="preserve">18 </w:t>
      </w:r>
      <w:proofErr w:type="spellStart"/>
      <w:r>
        <w:rPr>
          <w:rFonts w:ascii="Book Antiqua" w:eastAsia="Book Antiqua" w:hAnsi="Book Antiqua" w:cs="Book Antiqua"/>
          <w:b/>
          <w:bCs/>
          <w:color w:val="000000"/>
        </w:rPr>
        <w:t>Vibert</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Schwartz M, </w:t>
      </w:r>
      <w:proofErr w:type="spellStart"/>
      <w:r>
        <w:rPr>
          <w:rFonts w:ascii="Book Antiqua" w:eastAsia="Book Antiqua" w:hAnsi="Book Antiqua" w:cs="Book Antiqua"/>
          <w:color w:val="000000"/>
        </w:rPr>
        <w:t>Olthoff</w:t>
      </w:r>
      <w:proofErr w:type="spellEnd"/>
      <w:r>
        <w:rPr>
          <w:rFonts w:ascii="Book Antiqua" w:eastAsia="Book Antiqua" w:hAnsi="Book Antiqua" w:cs="Book Antiqua"/>
          <w:color w:val="000000"/>
        </w:rPr>
        <w:t xml:space="preserve"> KM. Advances in resection and transplantation for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262-276 [PMID: 31954491 DOI: 10.1016/j.jhep.2019.11.017]</w:t>
      </w:r>
    </w:p>
    <w:p w14:paraId="15A1AAB9" w14:textId="77777777" w:rsidR="00A77B3E" w:rsidRDefault="005C288A">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Duvoux</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Roudot-Thoraval</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Decaens</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Pessione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Badran</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Piardi</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Francoz</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Compagnon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Vanlemmens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Dumortier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Dharancy</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Gugenheim</w:t>
      </w:r>
      <w:proofErr w:type="spellEnd"/>
      <w:r>
        <w:rPr>
          <w:rFonts w:ascii="Book Antiqua" w:eastAsia="Book Antiqua" w:hAnsi="Book Antiqua" w:cs="Book Antiqua"/>
          <w:color w:val="000000"/>
        </w:rPr>
        <w:t xml:space="preserve"> J, Bernard PH, Adam R, </w:t>
      </w:r>
      <w:proofErr w:type="spellStart"/>
      <w:r>
        <w:rPr>
          <w:rFonts w:ascii="Book Antiqua" w:eastAsia="Book Antiqua" w:hAnsi="Book Antiqua" w:cs="Book Antiqua"/>
          <w:color w:val="000000"/>
        </w:rPr>
        <w:t>Radenne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Muscari</w:t>
      </w:r>
      <w:proofErr w:type="spellEnd"/>
      <w:r>
        <w:rPr>
          <w:rFonts w:ascii="Book Antiqua" w:eastAsia="Book Antiqua" w:hAnsi="Book Antiqua" w:cs="Book Antiqua"/>
          <w:color w:val="000000"/>
        </w:rPr>
        <w:t xml:space="preserve"> F, Conti F, </w:t>
      </w:r>
      <w:proofErr w:type="spellStart"/>
      <w:r>
        <w:rPr>
          <w:rFonts w:ascii="Book Antiqua" w:eastAsia="Book Antiqua" w:hAnsi="Book Antiqua" w:cs="Book Antiqua"/>
          <w:color w:val="000000"/>
        </w:rPr>
        <w:t>Hardwigsen</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Pageaux</w:t>
      </w:r>
      <w:proofErr w:type="spellEnd"/>
      <w:r>
        <w:rPr>
          <w:rFonts w:ascii="Book Antiqua" w:eastAsia="Book Antiqua" w:hAnsi="Book Antiqua" w:cs="Book Antiqua"/>
          <w:color w:val="000000"/>
        </w:rPr>
        <w:t xml:space="preserve"> GP, </w:t>
      </w:r>
      <w:proofErr w:type="spellStart"/>
      <w:r>
        <w:rPr>
          <w:rFonts w:ascii="Book Antiqua" w:eastAsia="Book Antiqua" w:hAnsi="Book Antiqua" w:cs="Book Antiqua"/>
          <w:color w:val="000000"/>
        </w:rPr>
        <w:t>Chazouillères</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Salame</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Hilleret</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Lebray</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Abergel</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Debette-Gratien</w:t>
      </w:r>
      <w:proofErr w:type="spellEnd"/>
      <w:r>
        <w:rPr>
          <w:rFonts w:ascii="Book Antiqua" w:eastAsia="Book Antiqua" w:hAnsi="Book Antiqua" w:cs="Book Antiqua"/>
          <w:color w:val="000000"/>
        </w:rPr>
        <w:t xml:space="preserve"> M, Kluger MD, </w:t>
      </w:r>
      <w:proofErr w:type="spellStart"/>
      <w:r>
        <w:rPr>
          <w:rFonts w:ascii="Book Antiqua" w:eastAsia="Book Antiqua" w:hAnsi="Book Antiqua" w:cs="Book Antiqua"/>
          <w:color w:val="000000"/>
        </w:rPr>
        <w:t>Mallat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Azoulay</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Cherqui</w:t>
      </w:r>
      <w:proofErr w:type="spellEnd"/>
      <w:r>
        <w:rPr>
          <w:rFonts w:ascii="Book Antiqua" w:eastAsia="Book Antiqua" w:hAnsi="Book Antiqua" w:cs="Book Antiqua"/>
          <w:color w:val="000000"/>
        </w:rPr>
        <w:t xml:space="preserve"> D; Liver Transplantation French Study Group. Liver transplantation for hepatocellular carcinoma: a model including α-fetoprotein improves the performance of Milan criteria.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2012; </w:t>
      </w:r>
      <w:r>
        <w:rPr>
          <w:rFonts w:ascii="Book Antiqua" w:eastAsia="Book Antiqua" w:hAnsi="Book Antiqua" w:cs="Book Antiqua"/>
          <w:b/>
          <w:bCs/>
          <w:color w:val="000000"/>
        </w:rPr>
        <w:t>143</w:t>
      </w:r>
      <w:r>
        <w:rPr>
          <w:rFonts w:ascii="Book Antiqua" w:eastAsia="Book Antiqua" w:hAnsi="Book Antiqua" w:cs="Book Antiqua"/>
          <w:color w:val="000000"/>
        </w:rPr>
        <w:t>: 986-94.e3; quiz e14-5 [PMID: 22750200 DOI: 10.1053/j.gastro.2012.05.052]</w:t>
      </w:r>
    </w:p>
    <w:p w14:paraId="761F34D3" w14:textId="77777777" w:rsidR="00A77B3E" w:rsidRDefault="005C288A">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Clavien</w:t>
      </w:r>
      <w:proofErr w:type="spellEnd"/>
      <w:r>
        <w:rPr>
          <w:rFonts w:ascii="Book Antiqua" w:eastAsia="Book Antiqua" w:hAnsi="Book Antiqua" w:cs="Book Antiqua"/>
          <w:b/>
          <w:bCs/>
          <w:color w:val="000000"/>
        </w:rPr>
        <w:t xml:space="preserve"> PA,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Lesurtel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Bossuyt</w:t>
      </w:r>
      <w:proofErr w:type="spellEnd"/>
      <w:r>
        <w:rPr>
          <w:rFonts w:ascii="Book Antiqua" w:eastAsia="Book Antiqua" w:hAnsi="Book Antiqua" w:cs="Book Antiqua"/>
          <w:color w:val="000000"/>
        </w:rPr>
        <w:t xml:space="preserve"> PM, Gores GJ, Langer B, Perrier A; OLT for HCC Consensus Group. Recommendations for liver transplantation for hepatocellular carcinoma: an international consensus conference report. Lancet Oncol. 2012 ; 13: 11-22 [PMCID: PMC3417764 DOI: 10.1016/S1470-2045(11)70175-9]</w:t>
      </w:r>
    </w:p>
    <w:p w14:paraId="263A76A5" w14:textId="77777777" w:rsidR="00A77B3E" w:rsidRDefault="005C288A">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Ogawa K</w:t>
      </w:r>
      <w:r>
        <w:rPr>
          <w:rFonts w:ascii="Book Antiqua" w:eastAsia="Book Antiqua" w:hAnsi="Book Antiqua" w:cs="Book Antiqua"/>
          <w:color w:val="000000"/>
        </w:rPr>
        <w:t xml:space="preserve">, Takada Y. Role of Pretransplant Treatments for Patients with Hepatocellular Carcinoma Waiting for Liver Transplantation.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35053558 DOI: 10.3390/cancers14020396]</w:t>
      </w:r>
    </w:p>
    <w:p w14:paraId="2BE65250" w14:textId="77777777" w:rsidR="00A77B3E" w:rsidRDefault="005C288A">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Kim Y</w:t>
      </w:r>
      <w:r>
        <w:rPr>
          <w:rFonts w:ascii="Book Antiqua" w:eastAsia="Book Antiqua" w:hAnsi="Book Antiqua" w:cs="Book Antiqua"/>
          <w:color w:val="000000"/>
        </w:rPr>
        <w:t xml:space="preserve">, Stahl CC, </w:t>
      </w:r>
      <w:proofErr w:type="spellStart"/>
      <w:r>
        <w:rPr>
          <w:rFonts w:ascii="Book Antiqua" w:eastAsia="Book Antiqua" w:hAnsi="Book Antiqua" w:cs="Book Antiqua"/>
          <w:color w:val="000000"/>
        </w:rPr>
        <w:t>Makramalla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Olowokure</w:t>
      </w:r>
      <w:proofErr w:type="spellEnd"/>
      <w:r>
        <w:rPr>
          <w:rFonts w:ascii="Book Antiqua" w:eastAsia="Book Antiqua" w:hAnsi="Book Antiqua" w:cs="Book Antiqua"/>
          <w:color w:val="000000"/>
        </w:rPr>
        <w:t xml:space="preserve"> OO, </w:t>
      </w:r>
      <w:proofErr w:type="spellStart"/>
      <w:r>
        <w:rPr>
          <w:rFonts w:ascii="Book Antiqua" w:eastAsia="Book Antiqua" w:hAnsi="Book Antiqua" w:cs="Book Antiqua"/>
          <w:color w:val="000000"/>
        </w:rPr>
        <w:t>Ristagno</w:t>
      </w:r>
      <w:proofErr w:type="spellEnd"/>
      <w:r>
        <w:rPr>
          <w:rFonts w:ascii="Book Antiqua" w:eastAsia="Book Antiqua" w:hAnsi="Book Antiqua" w:cs="Book Antiqua"/>
          <w:color w:val="000000"/>
        </w:rPr>
        <w:t xml:space="preserve"> RL, Dhar VK, </w:t>
      </w:r>
      <w:proofErr w:type="spellStart"/>
      <w:r>
        <w:rPr>
          <w:rFonts w:ascii="Book Antiqua" w:eastAsia="Book Antiqua" w:hAnsi="Book Antiqua" w:cs="Book Antiqua"/>
          <w:color w:val="000000"/>
        </w:rPr>
        <w:t>Schoech</w:t>
      </w:r>
      <w:proofErr w:type="spellEnd"/>
      <w:r>
        <w:rPr>
          <w:rFonts w:ascii="Book Antiqua" w:eastAsia="Book Antiqua" w:hAnsi="Book Antiqua" w:cs="Book Antiqua"/>
          <w:color w:val="000000"/>
        </w:rPr>
        <w:t xml:space="preserve"> MR, </w:t>
      </w:r>
      <w:proofErr w:type="spellStart"/>
      <w:r>
        <w:rPr>
          <w:rFonts w:ascii="Book Antiqua" w:eastAsia="Book Antiqua" w:hAnsi="Book Antiqua" w:cs="Book Antiqua"/>
          <w:color w:val="000000"/>
        </w:rPr>
        <w:t>Chadalavada</w:t>
      </w:r>
      <w:proofErr w:type="spellEnd"/>
      <w:r>
        <w:rPr>
          <w:rFonts w:ascii="Book Antiqua" w:eastAsia="Book Antiqua" w:hAnsi="Book Antiqua" w:cs="Book Antiqua"/>
          <w:color w:val="000000"/>
        </w:rPr>
        <w:t xml:space="preserve"> S, Latif T, </w:t>
      </w:r>
      <w:proofErr w:type="spellStart"/>
      <w:r>
        <w:rPr>
          <w:rFonts w:ascii="Book Antiqua" w:eastAsia="Book Antiqua" w:hAnsi="Book Antiqua" w:cs="Book Antiqua"/>
          <w:color w:val="000000"/>
        </w:rPr>
        <w:t>Kharofa</w:t>
      </w:r>
      <w:proofErr w:type="spellEnd"/>
      <w:r>
        <w:rPr>
          <w:rFonts w:ascii="Book Antiqua" w:eastAsia="Book Antiqua" w:hAnsi="Book Antiqua" w:cs="Book Antiqua"/>
          <w:color w:val="000000"/>
        </w:rPr>
        <w:t xml:space="preserve"> J, Bari K, Shah SA. Downstaging therapy followed by liver transplantation for hepatocellular carcinoma beyond Milan criteria. </w:t>
      </w:r>
      <w:r>
        <w:rPr>
          <w:rFonts w:ascii="Book Antiqua" w:eastAsia="Book Antiqua" w:hAnsi="Book Antiqua" w:cs="Book Antiqua"/>
          <w:i/>
          <w:iCs/>
          <w:color w:val="000000"/>
        </w:rPr>
        <w:t>Surgery</w:t>
      </w:r>
      <w:r>
        <w:rPr>
          <w:rFonts w:ascii="Book Antiqua" w:eastAsia="Book Antiqua" w:hAnsi="Book Antiqua" w:cs="Book Antiqua"/>
          <w:color w:val="000000"/>
        </w:rPr>
        <w:t xml:space="preserve"> 2017; </w:t>
      </w:r>
      <w:r>
        <w:rPr>
          <w:rFonts w:ascii="Book Antiqua" w:eastAsia="Book Antiqua" w:hAnsi="Book Antiqua" w:cs="Book Antiqua"/>
          <w:b/>
          <w:bCs/>
          <w:color w:val="000000"/>
        </w:rPr>
        <w:t>162</w:t>
      </w:r>
      <w:r>
        <w:rPr>
          <w:rFonts w:ascii="Book Antiqua" w:eastAsia="Book Antiqua" w:hAnsi="Book Antiqua" w:cs="Book Antiqua"/>
          <w:color w:val="000000"/>
        </w:rPr>
        <w:t>: 1250-1258 [PMID: 29033224 DOI: 10.1016/j.surg.2017.08.007]</w:t>
      </w:r>
    </w:p>
    <w:p w14:paraId="3DF08DA5" w14:textId="77777777" w:rsidR="00A77B3E" w:rsidRDefault="005C288A">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Lao OB</w:t>
      </w:r>
      <w:r>
        <w:rPr>
          <w:rFonts w:ascii="Book Antiqua" w:eastAsia="Book Antiqua" w:hAnsi="Book Antiqua" w:cs="Book Antiqua"/>
          <w:color w:val="000000"/>
        </w:rPr>
        <w:t xml:space="preserve">, Weissman J, Perkins JD. Pre-transplant therapy for hepatocellular carcinoma is associated with a lower recurrence after liver transplantation. </w:t>
      </w:r>
      <w:r>
        <w:rPr>
          <w:rFonts w:ascii="Book Antiqua" w:eastAsia="Book Antiqua" w:hAnsi="Book Antiqua" w:cs="Book Antiqua"/>
          <w:i/>
          <w:iCs/>
          <w:color w:val="000000"/>
        </w:rPr>
        <w:t>Clin Transplant</w:t>
      </w:r>
      <w:r>
        <w:rPr>
          <w:rFonts w:ascii="Book Antiqua" w:eastAsia="Book Antiqua" w:hAnsi="Book Antiqua" w:cs="Book Antiqua"/>
          <w:color w:val="000000"/>
        </w:rPr>
        <w:t xml:space="preserve"> 2009; </w:t>
      </w:r>
      <w:r>
        <w:rPr>
          <w:rFonts w:ascii="Book Antiqua" w:eastAsia="Book Antiqua" w:hAnsi="Book Antiqua" w:cs="Book Antiqua"/>
          <w:b/>
          <w:bCs/>
          <w:color w:val="000000"/>
        </w:rPr>
        <w:t>23</w:t>
      </w:r>
      <w:r>
        <w:rPr>
          <w:rFonts w:ascii="Book Antiqua" w:eastAsia="Book Antiqua" w:hAnsi="Book Antiqua" w:cs="Book Antiqua"/>
          <w:color w:val="000000"/>
        </w:rPr>
        <w:t>: 874-881 [PMID: 19453644 DOI: 10.1111/j.1399-0012.2009.00993.x]</w:t>
      </w:r>
    </w:p>
    <w:p w14:paraId="5076D0D3" w14:textId="77777777" w:rsidR="00A77B3E" w:rsidRDefault="005C288A">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Chapman WC</w:t>
      </w:r>
      <w:r>
        <w:rPr>
          <w:rFonts w:ascii="Book Antiqua" w:eastAsia="Book Antiqua" w:hAnsi="Book Antiqua" w:cs="Book Antiqua"/>
          <w:color w:val="000000"/>
        </w:rPr>
        <w:t>, Garcia-</w:t>
      </w:r>
      <w:proofErr w:type="spellStart"/>
      <w:r>
        <w:rPr>
          <w:rFonts w:ascii="Book Antiqua" w:eastAsia="Book Antiqua" w:hAnsi="Book Antiqua" w:cs="Book Antiqua"/>
          <w:color w:val="000000"/>
        </w:rPr>
        <w:t>Aroz</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Vachharajani</w:t>
      </w:r>
      <w:proofErr w:type="spellEnd"/>
      <w:r>
        <w:rPr>
          <w:rFonts w:ascii="Book Antiqua" w:eastAsia="Book Antiqua" w:hAnsi="Book Antiqua" w:cs="Book Antiqua"/>
          <w:color w:val="000000"/>
        </w:rPr>
        <w:t xml:space="preserve"> N, Fowler K, Saad N, Lin Y, </w:t>
      </w:r>
      <w:proofErr w:type="spellStart"/>
      <w:r>
        <w:rPr>
          <w:rFonts w:ascii="Book Antiqua" w:eastAsia="Book Antiqua" w:hAnsi="Book Antiqua" w:cs="Book Antiqua"/>
          <w:color w:val="000000"/>
        </w:rPr>
        <w:t>Wellen</w:t>
      </w:r>
      <w:proofErr w:type="spellEnd"/>
      <w:r>
        <w:rPr>
          <w:rFonts w:ascii="Book Antiqua" w:eastAsia="Book Antiqua" w:hAnsi="Book Antiqua" w:cs="Book Antiqua"/>
          <w:color w:val="000000"/>
        </w:rPr>
        <w:t xml:space="preserve"> J, Tan B, Khan AS, Doyle MB. Liver Transplantation for Advanced Hepatocellular Carcinoma after Downstaging Without Up-Front Stage Restrictions. </w:t>
      </w:r>
      <w:r>
        <w:rPr>
          <w:rFonts w:ascii="Book Antiqua" w:eastAsia="Book Antiqua" w:hAnsi="Book Antiqua" w:cs="Book Antiqua"/>
          <w:i/>
          <w:iCs/>
          <w:color w:val="000000"/>
        </w:rPr>
        <w:t>J Am Coll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224</w:t>
      </w:r>
      <w:r>
        <w:rPr>
          <w:rFonts w:ascii="Book Antiqua" w:eastAsia="Book Antiqua" w:hAnsi="Book Antiqua" w:cs="Book Antiqua"/>
          <w:color w:val="000000"/>
        </w:rPr>
        <w:t>: 610-621 [PMID: 28069527 DOI: 10.1016/j.jamcollsurg.2016.12.020]</w:t>
      </w:r>
    </w:p>
    <w:p w14:paraId="79361F57" w14:textId="77777777" w:rsidR="00A77B3E" w:rsidRDefault="005C288A">
      <w:pPr>
        <w:spacing w:line="360" w:lineRule="auto"/>
        <w:jc w:val="both"/>
      </w:pPr>
      <w:r>
        <w:rPr>
          <w:rFonts w:ascii="Book Antiqua" w:eastAsia="Book Antiqua" w:hAnsi="Book Antiqua" w:cs="Book Antiqua"/>
          <w:color w:val="000000"/>
        </w:rPr>
        <w:lastRenderedPageBreak/>
        <w:t xml:space="preserve">25 </w:t>
      </w:r>
      <w:r>
        <w:rPr>
          <w:rFonts w:ascii="Book Antiqua" w:eastAsia="Book Antiqua" w:hAnsi="Book Antiqua" w:cs="Book Antiqua"/>
          <w:b/>
          <w:bCs/>
          <w:color w:val="000000"/>
        </w:rPr>
        <w:t>Gordon-Weeks AN</w:t>
      </w:r>
      <w:r>
        <w:rPr>
          <w:rFonts w:ascii="Book Antiqua" w:eastAsia="Book Antiqua" w:hAnsi="Book Antiqua" w:cs="Book Antiqua"/>
          <w:color w:val="000000"/>
        </w:rPr>
        <w:t xml:space="preserve">, Snaith A, </w:t>
      </w:r>
      <w:proofErr w:type="spellStart"/>
      <w:r>
        <w:rPr>
          <w:rFonts w:ascii="Book Antiqua" w:eastAsia="Book Antiqua" w:hAnsi="Book Antiqua" w:cs="Book Antiqua"/>
          <w:color w:val="000000"/>
        </w:rPr>
        <w:t>Petrinic</w:t>
      </w:r>
      <w:proofErr w:type="spellEnd"/>
      <w:r>
        <w:rPr>
          <w:rFonts w:ascii="Book Antiqua" w:eastAsia="Book Antiqua" w:hAnsi="Book Antiqua" w:cs="Book Antiqua"/>
          <w:color w:val="000000"/>
        </w:rPr>
        <w:t xml:space="preserve"> T, Friend PJ, Burls A, Silva MA. Systematic review of outcome of downstaging hepatocellular cancer before liver transplantation in patients outside the Milan criteria. </w:t>
      </w:r>
      <w:r>
        <w:rPr>
          <w:rFonts w:ascii="Book Antiqua" w:eastAsia="Book Antiqua" w:hAnsi="Book Antiqua" w:cs="Book Antiqua"/>
          <w:i/>
          <w:iCs/>
          <w:color w:val="000000"/>
        </w:rPr>
        <w:t>Br J Surg</w:t>
      </w:r>
      <w:r>
        <w:rPr>
          <w:rFonts w:ascii="Book Antiqua" w:eastAsia="Book Antiqua" w:hAnsi="Book Antiqua" w:cs="Book Antiqua"/>
          <w:color w:val="000000"/>
        </w:rPr>
        <w:t xml:space="preserve"> 2011; </w:t>
      </w:r>
      <w:r>
        <w:rPr>
          <w:rFonts w:ascii="Book Antiqua" w:eastAsia="Book Antiqua" w:hAnsi="Book Antiqua" w:cs="Book Antiqua"/>
          <w:b/>
          <w:bCs/>
          <w:color w:val="000000"/>
        </w:rPr>
        <w:t>98</w:t>
      </w:r>
      <w:r>
        <w:rPr>
          <w:rFonts w:ascii="Book Antiqua" w:eastAsia="Book Antiqua" w:hAnsi="Book Antiqua" w:cs="Book Antiqua"/>
          <w:color w:val="000000"/>
        </w:rPr>
        <w:t>: 1201-1208 [PMID: 21618496 DOI: 10.1002/bjs.7561]</w:t>
      </w:r>
    </w:p>
    <w:p w14:paraId="2C5D5401" w14:textId="77777777" w:rsidR="00A77B3E" w:rsidRDefault="005C288A">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Huang X</w:t>
      </w:r>
      <w:r>
        <w:rPr>
          <w:rFonts w:ascii="Book Antiqua" w:eastAsia="Book Antiqua" w:hAnsi="Book Antiqua" w:cs="Book Antiqua"/>
          <w:color w:val="000000"/>
        </w:rPr>
        <w:t xml:space="preserve">, Lu S. Impact of preoperative locoregional therapy on recurrence and patient survival following liver transplantation for hepatocellular carcinoma: a meta-analysis. </w:t>
      </w:r>
      <w:proofErr w:type="spellStart"/>
      <w:r>
        <w:rPr>
          <w:rFonts w:ascii="Book Antiqua" w:eastAsia="Book Antiqua" w:hAnsi="Book Antiqua" w:cs="Book Antiqua"/>
          <w:i/>
          <w:iCs/>
          <w:color w:val="000000"/>
        </w:rPr>
        <w:t>Scand</w:t>
      </w:r>
      <w:proofErr w:type="spellEnd"/>
      <w:r>
        <w:rPr>
          <w:rFonts w:ascii="Book Antiqua" w:eastAsia="Book Antiqua" w:hAnsi="Book Antiqua" w:cs="Book Antiqua"/>
          <w:i/>
          <w:iCs/>
          <w:color w:val="000000"/>
        </w:rPr>
        <w:t xml:space="preserve"> J Gastroenterol</w:t>
      </w:r>
      <w:r>
        <w:rPr>
          <w:rFonts w:ascii="Book Antiqua" w:eastAsia="Book Antiqua" w:hAnsi="Book Antiqua" w:cs="Book Antiqua"/>
          <w:color w:val="000000"/>
        </w:rPr>
        <w:t xml:space="preserve"> 2017; </w:t>
      </w:r>
      <w:r>
        <w:rPr>
          <w:rFonts w:ascii="Book Antiqua" w:eastAsia="Book Antiqua" w:hAnsi="Book Antiqua" w:cs="Book Antiqua"/>
          <w:b/>
          <w:bCs/>
          <w:color w:val="000000"/>
        </w:rPr>
        <w:t>52</w:t>
      </w:r>
      <w:r>
        <w:rPr>
          <w:rFonts w:ascii="Book Antiqua" w:eastAsia="Book Antiqua" w:hAnsi="Book Antiqua" w:cs="Book Antiqua"/>
          <w:color w:val="000000"/>
        </w:rPr>
        <w:t>: 143-149 [PMID: 27623157 DOI: 10.1080/00365521.2016.1236396]</w:t>
      </w:r>
    </w:p>
    <w:p w14:paraId="136C6689" w14:textId="77777777" w:rsidR="00A77B3E" w:rsidRDefault="005C288A">
      <w:pPr>
        <w:spacing w:line="360" w:lineRule="auto"/>
        <w:jc w:val="both"/>
      </w:pPr>
      <w:r>
        <w:rPr>
          <w:rFonts w:ascii="Book Antiqua" w:eastAsia="Book Antiqua" w:hAnsi="Book Antiqua" w:cs="Book Antiqua"/>
          <w:color w:val="000000"/>
        </w:rPr>
        <w:t xml:space="preserve">27 </w:t>
      </w:r>
      <w:proofErr w:type="spellStart"/>
      <w:r>
        <w:rPr>
          <w:rFonts w:ascii="Book Antiqua" w:eastAsia="Book Antiqua" w:hAnsi="Book Antiqua" w:cs="Book Antiqua"/>
          <w:b/>
          <w:bCs/>
          <w:color w:val="000000"/>
        </w:rPr>
        <w:t>Ravaioli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Odaldi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Cucchetti</w:t>
      </w:r>
      <w:proofErr w:type="spellEnd"/>
      <w:r>
        <w:rPr>
          <w:rFonts w:ascii="Book Antiqua" w:eastAsia="Book Antiqua" w:hAnsi="Book Antiqua" w:cs="Book Antiqua"/>
          <w:color w:val="000000"/>
        </w:rPr>
        <w:t xml:space="preserve"> A, Trevisani F, </w:t>
      </w:r>
      <w:proofErr w:type="spellStart"/>
      <w:r>
        <w:rPr>
          <w:rFonts w:ascii="Book Antiqua" w:eastAsia="Book Antiqua" w:hAnsi="Book Antiqua" w:cs="Book Antiqua"/>
          <w:color w:val="000000"/>
        </w:rPr>
        <w:t>Piscaglia</w:t>
      </w:r>
      <w:proofErr w:type="spellEnd"/>
      <w:r>
        <w:rPr>
          <w:rFonts w:ascii="Book Antiqua" w:eastAsia="Book Antiqua" w:hAnsi="Book Antiqua" w:cs="Book Antiqua"/>
          <w:color w:val="000000"/>
        </w:rPr>
        <w:t xml:space="preserve"> F, De Pace V, </w:t>
      </w:r>
      <w:proofErr w:type="spellStart"/>
      <w:r>
        <w:rPr>
          <w:rFonts w:ascii="Book Antiqua" w:eastAsia="Book Antiqua" w:hAnsi="Book Antiqua" w:cs="Book Antiqua"/>
          <w:color w:val="000000"/>
        </w:rPr>
        <w:t>Bertuzzo</w:t>
      </w:r>
      <w:proofErr w:type="spellEnd"/>
      <w:r>
        <w:rPr>
          <w:rFonts w:ascii="Book Antiqua" w:eastAsia="Book Antiqua" w:hAnsi="Book Antiqua" w:cs="Book Antiqua"/>
          <w:color w:val="000000"/>
        </w:rPr>
        <w:t xml:space="preserve"> VR, </w:t>
      </w:r>
      <w:proofErr w:type="spellStart"/>
      <w:r>
        <w:rPr>
          <w:rFonts w:ascii="Book Antiqua" w:eastAsia="Book Antiqua" w:hAnsi="Book Antiqua" w:cs="Book Antiqua"/>
          <w:color w:val="000000"/>
        </w:rPr>
        <w:t>Neri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Golfieri</w:t>
      </w:r>
      <w:proofErr w:type="spellEnd"/>
      <w:r>
        <w:rPr>
          <w:rFonts w:ascii="Book Antiqua" w:eastAsia="Book Antiqua" w:hAnsi="Book Antiqua" w:cs="Book Antiqua"/>
          <w:color w:val="000000"/>
        </w:rPr>
        <w:t xml:space="preserve"> R, Cappelli A, </w:t>
      </w:r>
      <w:proofErr w:type="spellStart"/>
      <w:r>
        <w:rPr>
          <w:rFonts w:ascii="Book Antiqua" w:eastAsia="Book Antiqua" w:hAnsi="Book Antiqua" w:cs="Book Antiqua"/>
          <w:color w:val="000000"/>
        </w:rPr>
        <w:t>D'Errico</w:t>
      </w:r>
      <w:proofErr w:type="spellEnd"/>
      <w:r>
        <w:rPr>
          <w:rFonts w:ascii="Book Antiqua" w:eastAsia="Book Antiqua" w:hAnsi="Book Antiqua" w:cs="Book Antiqua"/>
          <w:color w:val="000000"/>
        </w:rPr>
        <w:t xml:space="preserve"> A, Cescon M, Del </w:t>
      </w:r>
      <w:proofErr w:type="spellStart"/>
      <w:r>
        <w:rPr>
          <w:rFonts w:ascii="Book Antiqua" w:eastAsia="Book Antiqua" w:hAnsi="Book Antiqua" w:cs="Book Antiqua"/>
          <w:color w:val="000000"/>
        </w:rPr>
        <w:t>Gaudio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Fallani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Siniscalchi</w:t>
      </w:r>
      <w:proofErr w:type="spellEnd"/>
      <w:r>
        <w:rPr>
          <w:rFonts w:ascii="Book Antiqua" w:eastAsia="Book Antiqua" w:hAnsi="Book Antiqua" w:cs="Book Antiqua"/>
          <w:color w:val="000000"/>
        </w:rPr>
        <w:t xml:space="preserve"> A, Morelli MC, </w:t>
      </w:r>
      <w:proofErr w:type="spellStart"/>
      <w:r>
        <w:rPr>
          <w:rFonts w:ascii="Book Antiqua" w:eastAsia="Book Antiqua" w:hAnsi="Book Antiqua" w:cs="Book Antiqua"/>
          <w:color w:val="000000"/>
        </w:rPr>
        <w:t>Ciccarese</w:t>
      </w:r>
      <w:proofErr w:type="spellEnd"/>
      <w:r>
        <w:rPr>
          <w:rFonts w:ascii="Book Antiqua" w:eastAsia="Book Antiqua" w:hAnsi="Book Antiqua" w:cs="Book Antiqua"/>
          <w:color w:val="000000"/>
        </w:rPr>
        <w:t xml:space="preserve"> F, Di Marco M, </w:t>
      </w:r>
      <w:proofErr w:type="spellStart"/>
      <w:r>
        <w:rPr>
          <w:rFonts w:ascii="Book Antiqua" w:eastAsia="Book Antiqua" w:hAnsi="Book Antiqua" w:cs="Book Antiqua"/>
          <w:color w:val="000000"/>
        </w:rPr>
        <w:t>Farinati</w:t>
      </w:r>
      <w:proofErr w:type="spellEnd"/>
      <w:r>
        <w:rPr>
          <w:rFonts w:ascii="Book Antiqua" w:eastAsia="Book Antiqua" w:hAnsi="Book Antiqua" w:cs="Book Antiqua"/>
          <w:color w:val="000000"/>
        </w:rPr>
        <w:t xml:space="preserve"> F, Giannini EG, Pinna AD. Long term results of down-staging and liver transplantation for patients with hepatocellular carcinoma beyond the conventional criteria.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3781 [PMID: 30846792 DOI: 10.1038/s41598-019-40543-4]</w:t>
      </w:r>
    </w:p>
    <w:p w14:paraId="40A643C7" w14:textId="77777777" w:rsidR="00A77B3E" w:rsidRDefault="005C288A">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Dorcaratto</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Udupa V, Hogan NM, Brophy DP, McCann JW, Maguire D, Geoghegan J, Cantwell CP, </w:t>
      </w:r>
      <w:proofErr w:type="spellStart"/>
      <w:r>
        <w:rPr>
          <w:rFonts w:ascii="Book Antiqua" w:eastAsia="Book Antiqua" w:hAnsi="Book Antiqua" w:cs="Book Antiqua"/>
          <w:color w:val="000000"/>
        </w:rPr>
        <w:t>Hoti</w:t>
      </w:r>
      <w:proofErr w:type="spellEnd"/>
      <w:r>
        <w:rPr>
          <w:rFonts w:ascii="Book Antiqua" w:eastAsia="Book Antiqua" w:hAnsi="Book Antiqua" w:cs="Book Antiqua"/>
          <w:color w:val="000000"/>
        </w:rPr>
        <w:t xml:space="preserve"> E. Does neoadjuvant doxorubicin drug-eluting bead transarterial chemoembolization improve survival in patients undergoing liver transplant for hepatocellular carcinoma?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Radiol</w:t>
      </w:r>
      <w:r>
        <w:rPr>
          <w:rFonts w:ascii="Book Antiqua" w:eastAsia="Book Antiqua" w:hAnsi="Book Antiqua" w:cs="Book Antiqua"/>
          <w:color w:val="000000"/>
        </w:rPr>
        <w:t xml:space="preserve"> 2017; </w:t>
      </w:r>
      <w:r>
        <w:rPr>
          <w:rFonts w:ascii="Book Antiqua" w:eastAsia="Book Antiqua" w:hAnsi="Book Antiqua" w:cs="Book Antiqua"/>
          <w:b/>
          <w:bCs/>
          <w:color w:val="000000"/>
        </w:rPr>
        <w:t>23</w:t>
      </w:r>
      <w:r>
        <w:rPr>
          <w:rFonts w:ascii="Book Antiqua" w:eastAsia="Book Antiqua" w:hAnsi="Book Antiqua" w:cs="Book Antiqua"/>
          <w:color w:val="000000"/>
        </w:rPr>
        <w:t>: 441-447 [PMID: 29063856 DOI: 10.5152/dir.2017.17106]</w:t>
      </w:r>
    </w:p>
    <w:p w14:paraId="4582F100" w14:textId="77777777" w:rsidR="00A77B3E" w:rsidRDefault="005C288A">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Toso</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Meeberg</w:t>
      </w:r>
      <w:proofErr w:type="spellEnd"/>
      <w:r>
        <w:rPr>
          <w:rFonts w:ascii="Book Antiqua" w:eastAsia="Book Antiqua" w:hAnsi="Book Antiqua" w:cs="Book Antiqua"/>
          <w:color w:val="000000"/>
        </w:rPr>
        <w:t xml:space="preserve"> G, Andres A, Shore C, Saunders C, </w:t>
      </w:r>
      <w:proofErr w:type="spellStart"/>
      <w:r>
        <w:rPr>
          <w:rFonts w:ascii="Book Antiqua" w:eastAsia="Book Antiqua" w:hAnsi="Book Antiqua" w:cs="Book Antiqua"/>
          <w:color w:val="000000"/>
        </w:rPr>
        <w:t>Bigam</w:t>
      </w:r>
      <w:proofErr w:type="spellEnd"/>
      <w:r>
        <w:rPr>
          <w:rFonts w:ascii="Book Antiqua" w:eastAsia="Book Antiqua" w:hAnsi="Book Antiqua" w:cs="Book Antiqua"/>
          <w:color w:val="000000"/>
        </w:rPr>
        <w:t xml:space="preserve"> DL, Shapiro AMJ, </w:t>
      </w:r>
      <w:proofErr w:type="spellStart"/>
      <w:r>
        <w:rPr>
          <w:rFonts w:ascii="Book Antiqua" w:eastAsia="Book Antiqua" w:hAnsi="Book Antiqua" w:cs="Book Antiqua"/>
          <w:color w:val="000000"/>
        </w:rPr>
        <w:t>Compagnon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Berney</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Majno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Kneteman</w:t>
      </w:r>
      <w:proofErr w:type="spellEnd"/>
      <w:r>
        <w:rPr>
          <w:rFonts w:ascii="Book Antiqua" w:eastAsia="Book Antiqua" w:hAnsi="Book Antiqua" w:cs="Book Antiqua"/>
          <w:color w:val="000000"/>
        </w:rPr>
        <w:t xml:space="preserve"> N. Downstaging prior to liver transplantation for hepatocellular carcinoma: advisable but at the price of an increased risk of cancer recurrence - a retrospective study. </w:t>
      </w:r>
      <w:r>
        <w:rPr>
          <w:rFonts w:ascii="Book Antiqua" w:eastAsia="Book Antiqua" w:hAnsi="Book Antiqua" w:cs="Book Antiqua"/>
          <w:i/>
          <w:iCs/>
          <w:color w:val="000000"/>
        </w:rPr>
        <w:t>Transpl Int</w:t>
      </w:r>
      <w:r>
        <w:rPr>
          <w:rFonts w:ascii="Book Antiqua" w:eastAsia="Book Antiqua" w:hAnsi="Book Antiqua" w:cs="Book Antiqua"/>
          <w:color w:val="000000"/>
        </w:rPr>
        <w:t xml:space="preserve"> 2019; </w:t>
      </w:r>
      <w:r>
        <w:rPr>
          <w:rFonts w:ascii="Book Antiqua" w:eastAsia="Book Antiqua" w:hAnsi="Book Antiqua" w:cs="Book Antiqua"/>
          <w:b/>
          <w:bCs/>
          <w:color w:val="000000"/>
        </w:rPr>
        <w:t>32</w:t>
      </w:r>
      <w:r>
        <w:rPr>
          <w:rFonts w:ascii="Book Antiqua" w:eastAsia="Book Antiqua" w:hAnsi="Book Antiqua" w:cs="Book Antiqua"/>
          <w:color w:val="000000"/>
        </w:rPr>
        <w:t>: 163-172 [PMID: 30152891 DOI: 10.1111/tri.13337]</w:t>
      </w:r>
    </w:p>
    <w:p w14:paraId="4B646052" w14:textId="77777777" w:rsidR="00A77B3E" w:rsidRDefault="005C288A">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Parikh 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Waljee</w:t>
      </w:r>
      <w:proofErr w:type="spellEnd"/>
      <w:r>
        <w:rPr>
          <w:rFonts w:ascii="Book Antiqua" w:eastAsia="Book Antiqua" w:hAnsi="Book Antiqua" w:cs="Book Antiqua"/>
          <w:color w:val="000000"/>
        </w:rPr>
        <w:t xml:space="preserve"> AK, </w:t>
      </w:r>
      <w:proofErr w:type="spellStart"/>
      <w:r>
        <w:rPr>
          <w:rFonts w:ascii="Book Antiqua" w:eastAsia="Book Antiqua" w:hAnsi="Book Antiqua" w:cs="Book Antiqua"/>
          <w:color w:val="000000"/>
        </w:rPr>
        <w:t>Singal</w:t>
      </w:r>
      <w:proofErr w:type="spellEnd"/>
      <w:r>
        <w:rPr>
          <w:rFonts w:ascii="Book Antiqua" w:eastAsia="Book Antiqua" w:hAnsi="Book Antiqua" w:cs="Book Antiqua"/>
          <w:color w:val="000000"/>
        </w:rPr>
        <w:t xml:space="preserve"> AG. Downstaging hepatocellular carcinoma: A systematic review and pooled analysis.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1142-1152 [PMID: 25981135 DOI: 10.1002/Lt.24169]</w:t>
      </w:r>
    </w:p>
    <w:p w14:paraId="64D00307" w14:textId="77777777" w:rsidR="00A77B3E" w:rsidRDefault="005C288A">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Li HL</w:t>
      </w:r>
      <w:r>
        <w:rPr>
          <w:rFonts w:ascii="Book Antiqua" w:eastAsia="Book Antiqua" w:hAnsi="Book Antiqua" w:cs="Book Antiqua"/>
          <w:color w:val="000000"/>
        </w:rPr>
        <w:t>, Ji WB, Zhao R, Duan WD, Chen YW, Wang XQ, Yu Q, Luo Y, Dong JH. Poor prognosis for hepatocellular carcinoma with transarterial chemoembolization pre-</w:t>
      </w:r>
      <w:r>
        <w:rPr>
          <w:rFonts w:ascii="Book Antiqua" w:eastAsia="Book Antiqua" w:hAnsi="Book Antiqua" w:cs="Book Antiqua"/>
          <w:color w:val="000000"/>
        </w:rPr>
        <w:lastRenderedPageBreak/>
        <w:t xml:space="preserve">transplantation: retrospective analysis.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3599-3606 [PMID: 25834326 DOI: 10.3748/wjg.v21.i12.3599]</w:t>
      </w:r>
    </w:p>
    <w:p w14:paraId="1B110A33" w14:textId="77777777" w:rsidR="00A77B3E" w:rsidRDefault="005C288A">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Kole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Charalampakis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Tsakatikas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Vailas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Moris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Gkotsis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Kykalos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Karamouzis</w:t>
      </w:r>
      <w:proofErr w:type="spellEnd"/>
      <w:r>
        <w:rPr>
          <w:rFonts w:ascii="Book Antiqua" w:eastAsia="Book Antiqua" w:hAnsi="Book Antiqua" w:cs="Book Antiqua"/>
          <w:color w:val="000000"/>
        </w:rPr>
        <w:t xml:space="preserve"> MV, </w:t>
      </w:r>
      <w:proofErr w:type="spellStart"/>
      <w:r>
        <w:rPr>
          <w:rFonts w:ascii="Book Antiqua" w:eastAsia="Book Antiqua" w:hAnsi="Book Antiqua" w:cs="Book Antiqua"/>
          <w:color w:val="000000"/>
        </w:rPr>
        <w:t>Schizas</w:t>
      </w:r>
      <w:proofErr w:type="spellEnd"/>
      <w:r>
        <w:rPr>
          <w:rFonts w:ascii="Book Antiqua" w:eastAsia="Book Antiqua" w:hAnsi="Book Antiqua" w:cs="Book Antiqua"/>
          <w:color w:val="000000"/>
        </w:rPr>
        <w:t xml:space="preserve"> D. Immunotherapy for Hepatocellular Carcinoma: A 2021 Update.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33020428 DOI: 10.3390/cancers12102859]</w:t>
      </w:r>
    </w:p>
    <w:p w14:paraId="77C0F428" w14:textId="77777777" w:rsidR="00A77B3E" w:rsidRDefault="005C288A">
      <w:pPr>
        <w:spacing w:line="360" w:lineRule="auto"/>
        <w:jc w:val="both"/>
      </w:pPr>
      <w:r>
        <w:rPr>
          <w:rFonts w:ascii="Book Antiqua" w:eastAsia="Book Antiqua" w:hAnsi="Book Antiqua" w:cs="Book Antiqua"/>
          <w:color w:val="000000"/>
        </w:rPr>
        <w:t xml:space="preserve">33 </w:t>
      </w:r>
      <w:proofErr w:type="spellStart"/>
      <w:r>
        <w:rPr>
          <w:rFonts w:ascii="Book Antiqua" w:eastAsia="Book Antiqua" w:hAnsi="Book Antiqua" w:cs="Book Antiqua"/>
          <w:b/>
          <w:bCs/>
          <w:color w:val="000000"/>
        </w:rPr>
        <w:t>Sangro</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Sarobe</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Hervás</w:t>
      </w:r>
      <w:proofErr w:type="spellEnd"/>
      <w:r>
        <w:rPr>
          <w:rFonts w:ascii="Book Antiqua" w:eastAsia="Book Antiqua" w:hAnsi="Book Antiqua" w:cs="Book Antiqua"/>
          <w:color w:val="000000"/>
        </w:rPr>
        <w:t xml:space="preserve">-Stubbs S,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Advances in immunotherapy for hepatocellular carcinoma. </w:t>
      </w:r>
      <w:r>
        <w:rPr>
          <w:rFonts w:ascii="Book Antiqua" w:eastAsia="Book Antiqua" w:hAnsi="Book Antiqua" w:cs="Book Antiqua"/>
          <w:i/>
          <w:iCs/>
          <w:color w:val="000000"/>
        </w:rPr>
        <w:t>Nat Rev Gastroenterol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525-543 [PMID: 33850328 DOI: 10.1038/s41575-021-00438-0]</w:t>
      </w:r>
    </w:p>
    <w:p w14:paraId="4063941F" w14:textId="77777777" w:rsidR="00A77B3E" w:rsidRDefault="005C288A">
      <w:pPr>
        <w:spacing w:line="360" w:lineRule="auto"/>
        <w:jc w:val="both"/>
      </w:pPr>
      <w:r>
        <w:rPr>
          <w:rFonts w:ascii="Book Antiqua" w:eastAsia="Book Antiqua" w:hAnsi="Book Antiqua" w:cs="Book Antiqua"/>
          <w:color w:val="000000"/>
        </w:rPr>
        <w:t xml:space="preserve">34 </w:t>
      </w:r>
      <w:proofErr w:type="spellStart"/>
      <w:r>
        <w:rPr>
          <w:rFonts w:ascii="Book Antiqua" w:eastAsia="Book Antiqua" w:hAnsi="Book Antiqua" w:cs="Book Antiqua"/>
          <w:b/>
          <w:bCs/>
          <w:color w:val="000000"/>
        </w:rPr>
        <w:t>Krenkel</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Tacke</w:t>
      </w:r>
      <w:proofErr w:type="spellEnd"/>
      <w:r>
        <w:rPr>
          <w:rFonts w:ascii="Book Antiqua" w:eastAsia="Book Antiqua" w:hAnsi="Book Antiqua" w:cs="Book Antiqua"/>
          <w:color w:val="000000"/>
        </w:rPr>
        <w:t xml:space="preserve"> F. Liver macrophages in tissue homeostasis and disease. </w:t>
      </w:r>
      <w:r>
        <w:rPr>
          <w:rFonts w:ascii="Book Antiqua" w:eastAsia="Book Antiqua" w:hAnsi="Book Antiqua" w:cs="Book Antiqua"/>
          <w:i/>
          <w:iCs/>
          <w:color w:val="000000"/>
        </w:rPr>
        <w:t>Nat Rev Immunol</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306-321 [PMID: 28317925 DOI: 10.1038/nri.2017.11]</w:t>
      </w:r>
    </w:p>
    <w:p w14:paraId="47365130" w14:textId="77777777" w:rsidR="00A77B3E" w:rsidRDefault="005C288A">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Fasano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Shadbad</w:t>
      </w:r>
      <w:proofErr w:type="spellEnd"/>
      <w:r>
        <w:rPr>
          <w:rFonts w:ascii="Book Antiqua" w:eastAsia="Book Antiqua" w:hAnsi="Book Antiqua" w:cs="Book Antiqua"/>
          <w:color w:val="000000"/>
        </w:rPr>
        <w:t xml:space="preserve"> MA, Brunetti O, </w:t>
      </w:r>
      <w:proofErr w:type="spellStart"/>
      <w:r>
        <w:rPr>
          <w:rFonts w:ascii="Book Antiqua" w:eastAsia="Book Antiqua" w:hAnsi="Book Antiqua" w:cs="Book Antiqua"/>
          <w:color w:val="000000"/>
        </w:rPr>
        <w:t>Argentiero</w:t>
      </w:r>
      <w:proofErr w:type="spellEnd"/>
      <w:r>
        <w:rPr>
          <w:rFonts w:ascii="Book Antiqua" w:eastAsia="Book Antiqua" w:hAnsi="Book Antiqua" w:cs="Book Antiqua"/>
          <w:color w:val="000000"/>
        </w:rPr>
        <w:t xml:space="preserve"> A, Calabrese A, </w:t>
      </w:r>
      <w:proofErr w:type="spellStart"/>
      <w:r>
        <w:rPr>
          <w:rFonts w:ascii="Book Antiqua" w:eastAsia="Book Antiqua" w:hAnsi="Book Antiqua" w:cs="Book Antiqua"/>
          <w:color w:val="000000"/>
        </w:rPr>
        <w:t>Nardulli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Calbi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Baradaran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Silvestris</w:t>
      </w:r>
      <w:proofErr w:type="spellEnd"/>
      <w:r>
        <w:rPr>
          <w:rFonts w:ascii="Book Antiqua" w:eastAsia="Book Antiqua" w:hAnsi="Book Antiqua" w:cs="Book Antiqua"/>
          <w:color w:val="000000"/>
        </w:rPr>
        <w:t xml:space="preserve"> N. Immunotherapy for Hepatocellular Carcinoma: New Prospects for the Cancer Therapy. </w:t>
      </w:r>
      <w:r>
        <w:rPr>
          <w:rFonts w:ascii="Book Antiqua" w:eastAsia="Book Antiqua" w:hAnsi="Book Antiqua" w:cs="Book Antiqua"/>
          <w:i/>
          <w:iCs/>
          <w:color w:val="000000"/>
        </w:rPr>
        <w:t>Life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11</w:t>
      </w:r>
      <w:r>
        <w:rPr>
          <w:rFonts w:ascii="Book Antiqua" w:eastAsia="Book Antiqua" w:hAnsi="Book Antiqua" w:cs="Book Antiqua"/>
          <w:color w:val="000000"/>
        </w:rPr>
        <w:t xml:space="preserve"> [PMID: 34947886 DOI: 10.3390/Life11121355]</w:t>
      </w:r>
    </w:p>
    <w:p w14:paraId="09D575CF" w14:textId="77777777" w:rsidR="00A77B3E" w:rsidRDefault="005C288A">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Chew V</w:t>
      </w:r>
      <w:r>
        <w:rPr>
          <w:rFonts w:ascii="Book Antiqua" w:eastAsia="Book Antiqua" w:hAnsi="Book Antiqua" w:cs="Book Antiqua"/>
          <w:color w:val="000000"/>
        </w:rPr>
        <w:t xml:space="preserve">, Lai L, Pan L, Lim CJ, Li J, Ong R, Chua C, Leong JY, Lim KH, </w:t>
      </w:r>
      <w:proofErr w:type="spellStart"/>
      <w:r>
        <w:rPr>
          <w:rFonts w:ascii="Book Antiqua" w:eastAsia="Book Antiqua" w:hAnsi="Book Antiqua" w:cs="Book Antiqua"/>
          <w:color w:val="000000"/>
        </w:rPr>
        <w:t>Toh</w:t>
      </w:r>
      <w:proofErr w:type="spellEnd"/>
      <w:r>
        <w:rPr>
          <w:rFonts w:ascii="Book Antiqua" w:eastAsia="Book Antiqua" w:hAnsi="Book Antiqua" w:cs="Book Antiqua"/>
          <w:color w:val="000000"/>
        </w:rPr>
        <w:t xml:space="preserve"> HC, Lee SY, Chan CY, Goh BKP, Chung A, Chow PKH, </w:t>
      </w:r>
      <w:proofErr w:type="spellStart"/>
      <w:r>
        <w:rPr>
          <w:rFonts w:ascii="Book Antiqua" w:eastAsia="Book Antiqua" w:hAnsi="Book Antiqua" w:cs="Book Antiqua"/>
          <w:color w:val="000000"/>
        </w:rPr>
        <w:t>Albani</w:t>
      </w:r>
      <w:proofErr w:type="spellEnd"/>
      <w:r>
        <w:rPr>
          <w:rFonts w:ascii="Book Antiqua" w:eastAsia="Book Antiqua" w:hAnsi="Book Antiqua" w:cs="Book Antiqua"/>
          <w:color w:val="000000"/>
        </w:rPr>
        <w:t xml:space="preserve"> S. Delineation of an immunosuppressive gradient in hepatocellular carcinoma using high-dimensional proteomic and transcriptomic analyses. </w:t>
      </w:r>
      <w:r>
        <w:rPr>
          <w:rFonts w:ascii="Book Antiqua" w:eastAsia="Book Antiqua" w:hAnsi="Book Antiqua" w:cs="Book Antiqua"/>
          <w:i/>
          <w:iCs/>
          <w:color w:val="000000"/>
        </w:rPr>
        <w:t xml:space="preserve">Proc Natl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Sci U S A</w:t>
      </w:r>
      <w:r>
        <w:rPr>
          <w:rFonts w:ascii="Book Antiqua" w:eastAsia="Book Antiqua" w:hAnsi="Book Antiqua" w:cs="Book Antiqua"/>
          <w:color w:val="000000"/>
        </w:rPr>
        <w:t xml:space="preserve"> 2017; </w:t>
      </w:r>
      <w:r>
        <w:rPr>
          <w:rFonts w:ascii="Book Antiqua" w:eastAsia="Book Antiqua" w:hAnsi="Book Antiqua" w:cs="Book Antiqua"/>
          <w:b/>
          <w:bCs/>
          <w:color w:val="000000"/>
        </w:rPr>
        <w:t>114</w:t>
      </w:r>
      <w:r>
        <w:rPr>
          <w:rFonts w:ascii="Book Antiqua" w:eastAsia="Book Antiqua" w:hAnsi="Book Antiqua" w:cs="Book Antiqua"/>
          <w:color w:val="000000"/>
        </w:rPr>
        <w:t>: E5900-E5909 [PMID: 28674001 DOI: 10.1073/pnas.1706559114]</w:t>
      </w:r>
    </w:p>
    <w:p w14:paraId="5D1531BB" w14:textId="77777777" w:rsidR="00A77B3E" w:rsidRDefault="005C288A">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Keenan BP</w:t>
      </w:r>
      <w:r>
        <w:rPr>
          <w:rFonts w:ascii="Book Antiqua" w:eastAsia="Book Antiqua" w:hAnsi="Book Antiqua" w:cs="Book Antiqua"/>
          <w:color w:val="000000"/>
        </w:rPr>
        <w:t xml:space="preserve">, Fong L, Kelley RK. Immunotherapy in hepatocellular carcinoma: the complex interface between inflammation, fibrosis, and the immune response.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267 [PMID: 31627733 DOI: 10.1186/s40425-019-0749-z]</w:t>
      </w:r>
    </w:p>
    <w:p w14:paraId="1121C13B" w14:textId="77777777" w:rsidR="00A77B3E" w:rsidRDefault="005C288A">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Patel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Lamm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Altshuler</w:t>
      </w:r>
      <w:proofErr w:type="spellEnd"/>
      <w:r>
        <w:rPr>
          <w:rFonts w:ascii="Book Antiqua" w:eastAsia="Book Antiqua" w:hAnsi="Book Antiqua" w:cs="Book Antiqua"/>
          <w:color w:val="000000"/>
        </w:rPr>
        <w:t xml:space="preserve"> P, Dang H, Shah AP. Hepatocellular Carcinoma-The Influence of </w:t>
      </w:r>
      <w:proofErr w:type="spellStart"/>
      <w:r>
        <w:rPr>
          <w:rFonts w:ascii="Book Antiqua" w:eastAsia="Book Antiqua" w:hAnsi="Book Antiqua" w:cs="Book Antiqua"/>
          <w:color w:val="000000"/>
        </w:rPr>
        <w:t>Immunoanatomy</w:t>
      </w:r>
      <w:proofErr w:type="spellEnd"/>
      <w:r>
        <w:rPr>
          <w:rFonts w:ascii="Book Antiqua" w:eastAsia="Book Antiqua" w:hAnsi="Book Antiqua" w:cs="Book Antiqua"/>
          <w:color w:val="000000"/>
        </w:rPr>
        <w:t xml:space="preserve"> and the Role of Immunotherapy.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32942580 DOI: 10.3390/ijms21186757]</w:t>
      </w:r>
    </w:p>
    <w:p w14:paraId="56FEB64B" w14:textId="77777777" w:rsidR="00A77B3E" w:rsidRDefault="005C288A">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Fulgenzi</w:t>
      </w:r>
      <w:proofErr w:type="spellEnd"/>
      <w:r>
        <w:rPr>
          <w:rFonts w:ascii="Book Antiqua" w:eastAsia="Book Antiqua" w:hAnsi="Book Antiqua" w:cs="Book Antiqua"/>
          <w:b/>
          <w:bCs/>
          <w:color w:val="000000"/>
        </w:rPr>
        <w:t xml:space="preserve"> CAM</w:t>
      </w:r>
      <w:r>
        <w:rPr>
          <w:rFonts w:ascii="Book Antiqua" w:eastAsia="Book Antiqua" w:hAnsi="Book Antiqua" w:cs="Book Antiqua"/>
          <w:color w:val="000000"/>
        </w:rPr>
        <w:t xml:space="preserve">, Talbot T, Murray SM, </w:t>
      </w:r>
      <w:proofErr w:type="spellStart"/>
      <w:r>
        <w:rPr>
          <w:rFonts w:ascii="Book Antiqua" w:eastAsia="Book Antiqua" w:hAnsi="Book Antiqua" w:cs="Book Antiqua"/>
          <w:color w:val="000000"/>
        </w:rPr>
        <w:t>Silletta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Vincenzi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Cortellini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Pinato</w:t>
      </w:r>
      <w:proofErr w:type="spellEnd"/>
      <w:r>
        <w:rPr>
          <w:rFonts w:ascii="Book Antiqua" w:eastAsia="Book Antiqua" w:hAnsi="Book Antiqua" w:cs="Book Antiqua"/>
          <w:color w:val="000000"/>
        </w:rPr>
        <w:t xml:space="preserve"> DJ. Immunotherapy in Hepatocellular Carcinoma. </w:t>
      </w:r>
      <w:r>
        <w:rPr>
          <w:rFonts w:ascii="Book Antiqua" w:eastAsia="Book Antiqua" w:hAnsi="Book Antiqua" w:cs="Book Antiqua"/>
          <w:i/>
          <w:iCs/>
          <w:color w:val="000000"/>
        </w:rPr>
        <w:t>Curr Treat Options Oncol</w:t>
      </w:r>
      <w:r>
        <w:rPr>
          <w:rFonts w:ascii="Book Antiqua" w:eastAsia="Book Antiqua" w:hAnsi="Book Antiqua" w:cs="Book Antiqua"/>
          <w:color w:val="000000"/>
        </w:rPr>
        <w:t xml:space="preserve"> 2021; </w:t>
      </w:r>
      <w:r>
        <w:rPr>
          <w:rFonts w:ascii="Book Antiqua" w:eastAsia="Book Antiqua" w:hAnsi="Book Antiqua" w:cs="Book Antiqua"/>
          <w:b/>
          <w:bCs/>
          <w:color w:val="000000"/>
        </w:rPr>
        <w:t>22</w:t>
      </w:r>
      <w:r>
        <w:rPr>
          <w:rFonts w:ascii="Book Antiqua" w:eastAsia="Book Antiqua" w:hAnsi="Book Antiqua" w:cs="Book Antiqua"/>
          <w:color w:val="000000"/>
        </w:rPr>
        <w:t>: 87 [PMID: 34424422 DOI: 10.1007/s11864-021-00886-5]</w:t>
      </w:r>
    </w:p>
    <w:p w14:paraId="04A44E7D" w14:textId="77777777" w:rsidR="00A77B3E" w:rsidRDefault="005C288A">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Liu Z</w:t>
      </w:r>
      <w:r>
        <w:rPr>
          <w:rFonts w:ascii="Book Antiqua" w:eastAsia="Book Antiqua" w:hAnsi="Book Antiqua" w:cs="Book Antiqua"/>
          <w:color w:val="000000"/>
        </w:rPr>
        <w:t xml:space="preserve">, Liu X, Liang J, Liu Y, Hou X, Zhang M, Li Y, Jiang X. Immunotherapy for Hepatocellular Carcinoma: Current Status and Future Prospects.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765101 [PMID: 34675942 DOI: 10.3389/fimmu.2021.765101]</w:t>
      </w:r>
    </w:p>
    <w:p w14:paraId="2E63D2D3" w14:textId="77777777" w:rsidR="00A77B3E" w:rsidRDefault="005C288A">
      <w:pPr>
        <w:spacing w:line="360" w:lineRule="auto"/>
        <w:jc w:val="both"/>
      </w:pPr>
      <w:r>
        <w:rPr>
          <w:rFonts w:ascii="Book Antiqua" w:eastAsia="Book Antiqua" w:hAnsi="Book Antiqua" w:cs="Book Antiqua"/>
          <w:color w:val="000000"/>
        </w:rPr>
        <w:lastRenderedPageBreak/>
        <w:t xml:space="preserve">41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Doorn</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Takkenberg</w:t>
      </w:r>
      <w:proofErr w:type="spellEnd"/>
      <w:r>
        <w:rPr>
          <w:rFonts w:ascii="Book Antiqua" w:eastAsia="Book Antiqua" w:hAnsi="Book Antiqua" w:cs="Book Antiqua"/>
          <w:color w:val="000000"/>
        </w:rPr>
        <w:t xml:space="preserve"> RB, </w:t>
      </w:r>
      <w:proofErr w:type="spellStart"/>
      <w:r>
        <w:rPr>
          <w:rFonts w:ascii="Book Antiqua" w:eastAsia="Book Antiqua" w:hAnsi="Book Antiqua" w:cs="Book Antiqua"/>
          <w:color w:val="000000"/>
        </w:rPr>
        <w:t>Klümpen</w:t>
      </w:r>
      <w:proofErr w:type="spellEnd"/>
      <w:r>
        <w:rPr>
          <w:rFonts w:ascii="Book Antiqua" w:eastAsia="Book Antiqua" w:hAnsi="Book Antiqua" w:cs="Book Antiqua"/>
          <w:color w:val="000000"/>
        </w:rPr>
        <w:t xml:space="preserve"> HJ. Immune Checkpoint Inhibitors in Hepatocellular Carcinoma: An Overview. </w:t>
      </w:r>
      <w:r>
        <w:rPr>
          <w:rFonts w:ascii="Book Antiqua" w:eastAsia="Book Antiqua" w:hAnsi="Book Antiqua" w:cs="Book Antiqua"/>
          <w:i/>
          <w:iCs/>
          <w:color w:val="000000"/>
        </w:rPr>
        <w:t>Pharmaceuticals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33374927 DOI: 10.3390/ph14010003]</w:t>
      </w:r>
    </w:p>
    <w:p w14:paraId="469BB215" w14:textId="77777777" w:rsidR="00A77B3E" w:rsidRDefault="005C288A">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Ghavimi</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Apfel</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Azimi</w:t>
      </w:r>
      <w:proofErr w:type="spellEnd"/>
      <w:r>
        <w:rPr>
          <w:rFonts w:ascii="Book Antiqua" w:eastAsia="Book Antiqua" w:hAnsi="Book Antiqua" w:cs="Book Antiqua"/>
          <w:color w:val="000000"/>
        </w:rPr>
        <w:t xml:space="preserve"> H, Persaud A, </w:t>
      </w:r>
      <w:proofErr w:type="spellStart"/>
      <w:r>
        <w:rPr>
          <w:rFonts w:ascii="Book Antiqua" w:eastAsia="Book Antiqua" w:hAnsi="Book Antiqua" w:cs="Book Antiqua"/>
          <w:color w:val="000000"/>
        </w:rPr>
        <w:t>Pyrsopoulos</w:t>
      </w:r>
      <w:proofErr w:type="spellEnd"/>
      <w:r>
        <w:rPr>
          <w:rFonts w:ascii="Book Antiqua" w:eastAsia="Book Antiqua" w:hAnsi="Book Antiqua" w:cs="Book Antiqua"/>
          <w:color w:val="000000"/>
        </w:rPr>
        <w:t xml:space="preserve"> NT. Management and Treatment of Hepatocellular Carcinoma with Immunotherapy: A Review of Current and Future Options. </w:t>
      </w:r>
      <w:r>
        <w:rPr>
          <w:rFonts w:ascii="Book Antiqua" w:eastAsia="Book Antiqua" w:hAnsi="Book Antiqua" w:cs="Book Antiqua"/>
          <w:i/>
          <w:iCs/>
          <w:color w:val="000000"/>
        </w:rPr>
        <w:t xml:space="preserve">J Clin </w:t>
      </w:r>
      <w:proofErr w:type="spellStart"/>
      <w:r>
        <w:rPr>
          <w:rFonts w:ascii="Book Antiqua" w:eastAsia="Book Antiqua" w:hAnsi="Book Antiqua" w:cs="Book Antiqua"/>
          <w:i/>
          <w:iCs/>
          <w:color w:val="000000"/>
        </w:rPr>
        <w:t>Transl</w:t>
      </w:r>
      <w:proofErr w:type="spellEnd"/>
      <w:r>
        <w:rPr>
          <w:rFonts w:ascii="Book Antiqua" w:eastAsia="Book Antiqua" w:hAnsi="Book Antiqua" w:cs="Book Antiqua"/>
          <w:i/>
          <w:iCs/>
          <w:color w:val="000000"/>
        </w:rPr>
        <w:t xml:space="preserve">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168-176 [PMID: 32832397 DOI: 10.14218/JCTH.2020.00001]</w:t>
      </w:r>
    </w:p>
    <w:p w14:paraId="5E0BA9C4" w14:textId="77777777" w:rsidR="00A77B3E" w:rsidRDefault="005C288A">
      <w:pPr>
        <w:spacing w:line="360" w:lineRule="auto"/>
        <w:jc w:val="both"/>
      </w:pPr>
      <w:r>
        <w:rPr>
          <w:rFonts w:ascii="Book Antiqua" w:eastAsia="Book Antiqua" w:hAnsi="Book Antiqua" w:cs="Book Antiqua"/>
          <w:color w:val="000000"/>
        </w:rPr>
        <w:t xml:space="preserve">43 </w:t>
      </w:r>
      <w:proofErr w:type="spellStart"/>
      <w:r>
        <w:rPr>
          <w:rFonts w:ascii="Book Antiqua" w:eastAsia="Book Antiqua" w:hAnsi="Book Antiqua" w:cs="Book Antiqua"/>
          <w:b/>
          <w:bCs/>
          <w:color w:val="000000"/>
        </w:rPr>
        <w:t>Llovet</w:t>
      </w:r>
      <w:proofErr w:type="spellEnd"/>
      <w:r>
        <w:rPr>
          <w:rFonts w:ascii="Book Antiqua" w:eastAsia="Book Antiqua" w:hAnsi="Book Antiqua" w:cs="Book Antiqua"/>
          <w:b/>
          <w:bCs/>
          <w:color w:val="000000"/>
        </w:rPr>
        <w:t xml:space="preserve"> JM</w:t>
      </w:r>
      <w:r>
        <w:rPr>
          <w:rFonts w:ascii="Book Antiqua" w:eastAsia="Book Antiqua" w:hAnsi="Book Antiqua" w:cs="Book Antiqua"/>
          <w:color w:val="000000"/>
        </w:rPr>
        <w:t xml:space="preserve">, Ricci S, Mazzaferro V, Hilgard P, </w:t>
      </w:r>
      <w:proofErr w:type="spellStart"/>
      <w:r>
        <w:rPr>
          <w:rFonts w:ascii="Book Antiqua" w:eastAsia="Book Antiqua" w:hAnsi="Book Antiqua" w:cs="Book Antiqua"/>
          <w:color w:val="000000"/>
        </w:rPr>
        <w:t>Gane</w:t>
      </w:r>
      <w:proofErr w:type="spellEnd"/>
      <w:r>
        <w:rPr>
          <w:rFonts w:ascii="Book Antiqua" w:eastAsia="Book Antiqua" w:hAnsi="Book Antiqua" w:cs="Book Antiqua"/>
          <w:color w:val="000000"/>
        </w:rPr>
        <w:t xml:space="preserve"> E, Blanc JF, de Oliveira AC, Santoro A, Raoul JL, </w:t>
      </w:r>
      <w:proofErr w:type="spellStart"/>
      <w:r>
        <w:rPr>
          <w:rFonts w:ascii="Book Antiqua" w:eastAsia="Book Antiqua" w:hAnsi="Book Antiqua" w:cs="Book Antiqua"/>
          <w:color w:val="000000"/>
        </w:rPr>
        <w:t>Forner</w:t>
      </w:r>
      <w:proofErr w:type="spellEnd"/>
      <w:r>
        <w:rPr>
          <w:rFonts w:ascii="Book Antiqua" w:eastAsia="Book Antiqua" w:hAnsi="Book Antiqua" w:cs="Book Antiqua"/>
          <w:color w:val="000000"/>
        </w:rPr>
        <w:t xml:space="preserve"> A, Schwartz M, Porta C, </w:t>
      </w:r>
      <w:proofErr w:type="spellStart"/>
      <w:r>
        <w:rPr>
          <w:rFonts w:ascii="Book Antiqua" w:eastAsia="Book Antiqua" w:hAnsi="Book Antiqua" w:cs="Book Antiqua"/>
          <w:color w:val="000000"/>
        </w:rPr>
        <w:t>Zeuzem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Bolondi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Greten</w:t>
      </w:r>
      <w:proofErr w:type="spellEnd"/>
      <w:r>
        <w:rPr>
          <w:rFonts w:ascii="Book Antiqua" w:eastAsia="Book Antiqua" w:hAnsi="Book Antiqua" w:cs="Book Antiqua"/>
          <w:color w:val="000000"/>
        </w:rPr>
        <w:t xml:space="preserve"> TF, Galle PR, Seitz JF, </w:t>
      </w:r>
      <w:proofErr w:type="spellStart"/>
      <w:r>
        <w:rPr>
          <w:rFonts w:ascii="Book Antiqua" w:eastAsia="Book Antiqua" w:hAnsi="Book Antiqua" w:cs="Book Antiqua"/>
          <w:color w:val="000000"/>
        </w:rPr>
        <w:t>Borbath</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Häussinger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Giannaris</w:t>
      </w:r>
      <w:proofErr w:type="spellEnd"/>
      <w:r>
        <w:rPr>
          <w:rFonts w:ascii="Book Antiqua" w:eastAsia="Book Antiqua" w:hAnsi="Book Antiqua" w:cs="Book Antiqua"/>
          <w:color w:val="000000"/>
        </w:rPr>
        <w:t xml:space="preserve"> T, Shan M, Moscovici M, </w:t>
      </w:r>
      <w:proofErr w:type="spellStart"/>
      <w:r>
        <w:rPr>
          <w:rFonts w:ascii="Book Antiqua" w:eastAsia="Book Antiqua" w:hAnsi="Book Antiqua" w:cs="Book Antiqua"/>
          <w:color w:val="000000"/>
        </w:rPr>
        <w:t>Voliotis</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Bruix</w:t>
      </w:r>
      <w:proofErr w:type="spellEnd"/>
      <w:r>
        <w:rPr>
          <w:rFonts w:ascii="Book Antiqua" w:eastAsia="Book Antiqua" w:hAnsi="Book Antiqua" w:cs="Book Antiqua"/>
          <w:color w:val="000000"/>
        </w:rPr>
        <w:t xml:space="preserve"> J; SHARP Investigators Study Group. Sorafenib in advanced hepatocellular carcinoma.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2008; </w:t>
      </w:r>
      <w:r>
        <w:rPr>
          <w:rFonts w:ascii="Book Antiqua" w:eastAsia="Book Antiqua" w:hAnsi="Book Antiqua" w:cs="Book Antiqua"/>
          <w:b/>
          <w:bCs/>
          <w:color w:val="000000"/>
        </w:rPr>
        <w:t>359</w:t>
      </w:r>
      <w:r>
        <w:rPr>
          <w:rFonts w:ascii="Book Antiqua" w:eastAsia="Book Antiqua" w:hAnsi="Book Antiqua" w:cs="Book Antiqua"/>
          <w:color w:val="000000"/>
        </w:rPr>
        <w:t>: 378-390 [PMID: 18650514 DOI: 10.1056/NEJMoa0708857]</w:t>
      </w:r>
    </w:p>
    <w:p w14:paraId="007CB1C1" w14:textId="77777777" w:rsidR="00A77B3E" w:rsidRDefault="005C288A">
      <w:pPr>
        <w:spacing w:line="360" w:lineRule="auto"/>
        <w:jc w:val="both"/>
      </w:pPr>
      <w:r>
        <w:rPr>
          <w:rFonts w:ascii="Book Antiqua" w:eastAsia="Book Antiqua" w:hAnsi="Book Antiqua" w:cs="Book Antiqua"/>
          <w:color w:val="000000"/>
        </w:rPr>
        <w:t xml:space="preserve">44 </w:t>
      </w:r>
      <w:r>
        <w:rPr>
          <w:rFonts w:ascii="Book Antiqua" w:eastAsia="Book Antiqua" w:hAnsi="Book Antiqua" w:cs="Book Antiqua"/>
          <w:b/>
          <w:bCs/>
          <w:color w:val="000000"/>
        </w:rPr>
        <w:t>Zhao Y</w:t>
      </w:r>
      <w:r>
        <w:rPr>
          <w:rFonts w:ascii="Book Antiqua" w:eastAsia="Book Antiqua" w:hAnsi="Book Antiqua" w:cs="Book Antiqua"/>
          <w:color w:val="000000"/>
        </w:rPr>
        <w:t xml:space="preserve">, Zhang YN, Wang KT, Chen L. Lenvatinib for hepatocellular carcinoma: From preclinical mechanisms to anti-cancer therapy. </w:t>
      </w:r>
      <w:r>
        <w:rPr>
          <w:rFonts w:ascii="Book Antiqua" w:eastAsia="Book Antiqua" w:hAnsi="Book Antiqua" w:cs="Book Antiqua"/>
          <w:i/>
          <w:iCs/>
          <w:color w:val="000000"/>
        </w:rPr>
        <w:t>Biochim Biophys Acta Rev Cancer</w:t>
      </w:r>
      <w:r>
        <w:rPr>
          <w:rFonts w:ascii="Book Antiqua" w:eastAsia="Book Antiqua" w:hAnsi="Book Antiqua" w:cs="Book Antiqua"/>
          <w:color w:val="000000"/>
        </w:rPr>
        <w:t xml:space="preserve"> 2020; </w:t>
      </w:r>
      <w:r>
        <w:rPr>
          <w:rFonts w:ascii="Book Antiqua" w:eastAsia="Book Antiqua" w:hAnsi="Book Antiqua" w:cs="Book Antiqua"/>
          <w:b/>
          <w:bCs/>
          <w:color w:val="000000"/>
        </w:rPr>
        <w:t>1874</w:t>
      </w:r>
      <w:r>
        <w:rPr>
          <w:rFonts w:ascii="Book Antiqua" w:eastAsia="Book Antiqua" w:hAnsi="Book Antiqua" w:cs="Book Antiqua"/>
          <w:color w:val="000000"/>
        </w:rPr>
        <w:t>: 188391 [PMID: 32659252 DOI: 10.1016/j.bbcan.2020.188391]</w:t>
      </w:r>
    </w:p>
    <w:p w14:paraId="4ABBDBA8" w14:textId="77777777" w:rsidR="00A77B3E" w:rsidRDefault="005C288A">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Kudo M</w:t>
      </w:r>
      <w:r>
        <w:rPr>
          <w:rFonts w:ascii="Book Antiqua" w:eastAsia="Book Antiqua" w:hAnsi="Book Antiqua" w:cs="Book Antiqua"/>
          <w:color w:val="000000"/>
        </w:rPr>
        <w:t xml:space="preserve">, Finn RS, Qin S, Han KH, Ikeda K, </w:t>
      </w:r>
      <w:proofErr w:type="spellStart"/>
      <w:r>
        <w:rPr>
          <w:rFonts w:ascii="Book Antiqua" w:eastAsia="Book Antiqua" w:hAnsi="Book Antiqua" w:cs="Book Antiqua"/>
          <w:color w:val="000000"/>
        </w:rPr>
        <w:t>Piscaglia</w:t>
      </w:r>
      <w:proofErr w:type="spellEnd"/>
      <w:r>
        <w:rPr>
          <w:rFonts w:ascii="Book Antiqua" w:eastAsia="Book Antiqua" w:hAnsi="Book Antiqua" w:cs="Book Antiqua"/>
          <w:color w:val="000000"/>
        </w:rPr>
        <w:t xml:space="preserve"> F, Baron A, Park JW, Han G, Jassem J, Blanc JF, Vogel A, </w:t>
      </w:r>
      <w:proofErr w:type="spellStart"/>
      <w:r>
        <w:rPr>
          <w:rFonts w:ascii="Book Antiqua" w:eastAsia="Book Antiqua" w:hAnsi="Book Antiqua" w:cs="Book Antiqua"/>
          <w:color w:val="000000"/>
        </w:rPr>
        <w:t>Komov</w:t>
      </w:r>
      <w:proofErr w:type="spellEnd"/>
      <w:r>
        <w:rPr>
          <w:rFonts w:ascii="Book Antiqua" w:eastAsia="Book Antiqua" w:hAnsi="Book Antiqua" w:cs="Book Antiqua"/>
          <w:color w:val="000000"/>
        </w:rPr>
        <w:t xml:space="preserve"> D, Evans TRJ, Lopez C, </w:t>
      </w:r>
      <w:proofErr w:type="spellStart"/>
      <w:r>
        <w:rPr>
          <w:rFonts w:ascii="Book Antiqua" w:eastAsia="Book Antiqua" w:hAnsi="Book Antiqua" w:cs="Book Antiqua"/>
          <w:color w:val="000000"/>
        </w:rPr>
        <w:t>Dutcus</w:t>
      </w:r>
      <w:proofErr w:type="spellEnd"/>
      <w:r>
        <w:rPr>
          <w:rFonts w:ascii="Book Antiqua" w:eastAsia="Book Antiqua" w:hAnsi="Book Antiqua" w:cs="Book Antiqua"/>
          <w:color w:val="000000"/>
        </w:rPr>
        <w:t xml:space="preserve"> C, Guo M, Saito K, </w:t>
      </w:r>
      <w:proofErr w:type="spellStart"/>
      <w:r>
        <w:rPr>
          <w:rFonts w:ascii="Book Antiqua" w:eastAsia="Book Antiqua" w:hAnsi="Book Antiqua" w:cs="Book Antiqua"/>
          <w:color w:val="000000"/>
        </w:rPr>
        <w:t>Kraljevic</w:t>
      </w:r>
      <w:proofErr w:type="spellEnd"/>
      <w:r>
        <w:rPr>
          <w:rFonts w:ascii="Book Antiqua" w:eastAsia="Book Antiqua" w:hAnsi="Book Antiqua" w:cs="Book Antiqua"/>
          <w:color w:val="000000"/>
        </w:rPr>
        <w:t xml:space="preserve"> S, Tamai T, Ren M, Cheng AL. Lenvatinib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in first-line treatment of patients with unresectable hepatocellular carcinoma: a </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phase 3 non-inferiority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2018; </w:t>
      </w:r>
      <w:r>
        <w:rPr>
          <w:rFonts w:ascii="Book Antiqua" w:eastAsia="Book Antiqua" w:hAnsi="Book Antiqua" w:cs="Book Antiqua"/>
          <w:b/>
          <w:bCs/>
          <w:color w:val="000000"/>
        </w:rPr>
        <w:t>391</w:t>
      </w:r>
      <w:r>
        <w:rPr>
          <w:rFonts w:ascii="Book Antiqua" w:eastAsia="Book Antiqua" w:hAnsi="Book Antiqua" w:cs="Book Antiqua"/>
          <w:color w:val="000000"/>
        </w:rPr>
        <w:t>: 1163-1173 [PMID: 29433850 DOI: 10.1016/S0140-6736(18)30207-1]</w:t>
      </w:r>
    </w:p>
    <w:p w14:paraId="23E68BC2" w14:textId="77777777" w:rsidR="00A77B3E" w:rsidRDefault="005C288A">
      <w:pPr>
        <w:spacing w:line="360" w:lineRule="auto"/>
        <w:jc w:val="both"/>
      </w:pPr>
      <w:r>
        <w:rPr>
          <w:rFonts w:ascii="Book Antiqua" w:eastAsia="Book Antiqua" w:hAnsi="Book Antiqua" w:cs="Book Antiqua"/>
          <w:color w:val="000000"/>
        </w:rPr>
        <w:t xml:space="preserve">46 </w:t>
      </w:r>
      <w:r>
        <w:rPr>
          <w:rFonts w:ascii="Book Antiqua" w:eastAsia="Book Antiqua" w:hAnsi="Book Antiqua" w:cs="Book Antiqua"/>
          <w:b/>
          <w:bCs/>
          <w:color w:val="000000"/>
        </w:rPr>
        <w:t>El-</w:t>
      </w:r>
      <w:proofErr w:type="spellStart"/>
      <w:r>
        <w:rPr>
          <w:rFonts w:ascii="Book Antiqua" w:eastAsia="Book Antiqua" w:hAnsi="Book Antiqua" w:cs="Book Antiqua"/>
          <w:b/>
          <w:bCs/>
          <w:color w:val="000000"/>
        </w:rPr>
        <w:t>Khoueiry</w:t>
      </w:r>
      <w:proofErr w:type="spellEnd"/>
      <w:r>
        <w:rPr>
          <w:rFonts w:ascii="Book Antiqua" w:eastAsia="Book Antiqua" w:hAnsi="Book Antiqua" w:cs="Book Antiqua"/>
          <w:b/>
          <w:bCs/>
          <w:color w:val="000000"/>
        </w:rPr>
        <w:t xml:space="preserve"> AB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Yau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Crocenzi</w:t>
      </w:r>
      <w:proofErr w:type="spellEnd"/>
      <w:r>
        <w:rPr>
          <w:rFonts w:ascii="Book Antiqua" w:eastAsia="Book Antiqua" w:hAnsi="Book Antiqua" w:cs="Book Antiqua"/>
          <w:color w:val="000000"/>
        </w:rPr>
        <w:t xml:space="preserve"> TS, Kudo M, Hsu C, Kim TY, Choo SP, Trojan J, Welling TH Rd, Meyer T, Kang YK, Yeo W, Chopra A, Anderson J, Dela Cruz C, Lang L, Neely J, Tang H, </w:t>
      </w:r>
      <w:proofErr w:type="spellStart"/>
      <w:r>
        <w:rPr>
          <w:rFonts w:ascii="Book Antiqua" w:eastAsia="Book Antiqua" w:hAnsi="Book Antiqua" w:cs="Book Antiqua"/>
          <w:color w:val="000000"/>
        </w:rPr>
        <w:t>Dastani</w:t>
      </w:r>
      <w:proofErr w:type="spellEnd"/>
      <w:r>
        <w:rPr>
          <w:rFonts w:ascii="Book Antiqua" w:eastAsia="Book Antiqua" w:hAnsi="Book Antiqua" w:cs="Book Antiqua"/>
          <w:color w:val="000000"/>
        </w:rPr>
        <w:t xml:space="preserve"> HB,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Nivolumab in patients with advanced hepatocellular carcinoma (CheckMate 040): an open-label, non-comparative, phase 1/2 dose escalation and expansion trial.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2017; </w:t>
      </w:r>
      <w:r>
        <w:rPr>
          <w:rFonts w:ascii="Book Antiqua" w:eastAsia="Book Antiqua" w:hAnsi="Book Antiqua" w:cs="Book Antiqua"/>
          <w:b/>
          <w:bCs/>
          <w:color w:val="000000"/>
        </w:rPr>
        <w:t>389</w:t>
      </w:r>
      <w:r>
        <w:rPr>
          <w:rFonts w:ascii="Book Antiqua" w:eastAsia="Book Antiqua" w:hAnsi="Book Antiqua" w:cs="Book Antiqua"/>
          <w:color w:val="000000"/>
        </w:rPr>
        <w:t>: 2492-2502 [PMID: 28434648 DOI: 10.1016/S0140-6736(17)31046-2]</w:t>
      </w:r>
    </w:p>
    <w:p w14:paraId="5E8C5A9B" w14:textId="77777777" w:rsidR="00A77B3E" w:rsidRDefault="005C288A">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Zeng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W,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X,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Y, Yu W. Survival Outcomes and Safety of Programmed Cell Death/Programmed Cell Death Ligand 1 Inhibitors for Unresectable Hepatocellular </w:t>
      </w:r>
      <w:r>
        <w:rPr>
          <w:rFonts w:ascii="Book Antiqua" w:eastAsia="Book Antiqua" w:hAnsi="Book Antiqua" w:cs="Book Antiqua"/>
          <w:color w:val="000000"/>
        </w:rPr>
        <w:lastRenderedPageBreak/>
        <w:t xml:space="preserve">Carcinoma: Result From Phase III Trials. </w:t>
      </w:r>
      <w:r>
        <w:rPr>
          <w:rFonts w:ascii="Book Antiqua" w:eastAsia="Book Antiqua" w:hAnsi="Book Antiqua" w:cs="Book Antiqua"/>
          <w:i/>
          <w:iCs/>
          <w:color w:val="000000"/>
        </w:rPr>
        <w:t>Cancer Control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29</w:t>
      </w:r>
      <w:r>
        <w:rPr>
          <w:rFonts w:ascii="Book Antiqua" w:eastAsia="Book Antiqua" w:hAnsi="Book Antiqua" w:cs="Book Antiqua"/>
          <w:color w:val="000000"/>
        </w:rPr>
        <w:t>: 10732748221092924 [PMID: 35418272 DOI: 10.1177/10732748221092924]</w:t>
      </w:r>
    </w:p>
    <w:p w14:paraId="497CD0F0" w14:textId="77777777" w:rsidR="00A77B3E" w:rsidRDefault="005C288A">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Kudo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Matilla</w:t>
      </w:r>
      <w:proofErr w:type="spellEnd"/>
      <w:r>
        <w:rPr>
          <w:rFonts w:ascii="Book Antiqua" w:eastAsia="Book Antiqua" w:hAnsi="Book Antiqua" w:cs="Book Antiqua"/>
          <w:color w:val="000000"/>
        </w:rPr>
        <w:t xml:space="preserve"> A, Santoro A, </w:t>
      </w:r>
      <w:proofErr w:type="spellStart"/>
      <w:r>
        <w:rPr>
          <w:rFonts w:ascii="Book Antiqua" w:eastAsia="Book Antiqua" w:hAnsi="Book Antiqua" w:cs="Book Antiqua"/>
          <w:color w:val="000000"/>
        </w:rPr>
        <w:t>Melero</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Gracián</w:t>
      </w:r>
      <w:proofErr w:type="spellEnd"/>
      <w:r>
        <w:rPr>
          <w:rFonts w:ascii="Book Antiqua" w:eastAsia="Book Antiqua" w:hAnsi="Book Antiqua" w:cs="Book Antiqua"/>
          <w:color w:val="000000"/>
        </w:rPr>
        <w:t xml:space="preserve"> AC, Acosta-Rivera M, Choo SP, El-</w:t>
      </w:r>
      <w:proofErr w:type="spellStart"/>
      <w:r>
        <w:rPr>
          <w:rFonts w:ascii="Book Antiqua" w:eastAsia="Book Antiqua" w:hAnsi="Book Antiqua" w:cs="Book Antiqua"/>
          <w:color w:val="000000"/>
        </w:rPr>
        <w:t>Khoueiry</w:t>
      </w:r>
      <w:proofErr w:type="spellEnd"/>
      <w:r>
        <w:rPr>
          <w:rFonts w:ascii="Book Antiqua" w:eastAsia="Book Antiqua" w:hAnsi="Book Antiqua" w:cs="Book Antiqua"/>
          <w:color w:val="000000"/>
        </w:rPr>
        <w:t xml:space="preserve"> AB, </w:t>
      </w:r>
      <w:proofErr w:type="spellStart"/>
      <w:r>
        <w:rPr>
          <w:rFonts w:ascii="Book Antiqua" w:eastAsia="Book Antiqua" w:hAnsi="Book Antiqua" w:cs="Book Antiqua"/>
          <w:color w:val="000000"/>
        </w:rPr>
        <w:t>Kuromatsu</w:t>
      </w:r>
      <w:proofErr w:type="spellEnd"/>
      <w:r>
        <w:rPr>
          <w:rFonts w:ascii="Book Antiqua" w:eastAsia="Book Antiqua" w:hAnsi="Book Antiqua" w:cs="Book Antiqua"/>
          <w:color w:val="000000"/>
        </w:rPr>
        <w:t xml:space="preserve"> R, El-</w:t>
      </w:r>
      <w:proofErr w:type="spellStart"/>
      <w:r>
        <w:rPr>
          <w:rFonts w:ascii="Book Antiqua" w:eastAsia="Book Antiqua" w:hAnsi="Book Antiqua" w:cs="Book Antiqua"/>
          <w:color w:val="000000"/>
        </w:rPr>
        <w:t>Rayes</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Numata</w:t>
      </w:r>
      <w:proofErr w:type="spellEnd"/>
      <w:r>
        <w:rPr>
          <w:rFonts w:ascii="Book Antiqua" w:eastAsia="Book Antiqua" w:hAnsi="Book Antiqua" w:cs="Book Antiqua"/>
          <w:color w:val="000000"/>
        </w:rPr>
        <w:t xml:space="preserve"> K, Itoh Y, Di Costanzo F, </w:t>
      </w:r>
      <w:proofErr w:type="spellStart"/>
      <w:r>
        <w:rPr>
          <w:rFonts w:ascii="Book Antiqua" w:eastAsia="Book Antiqua" w:hAnsi="Book Antiqua" w:cs="Book Antiqua"/>
          <w:color w:val="000000"/>
        </w:rPr>
        <w:t>Crysler</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Reig</w:t>
      </w:r>
      <w:proofErr w:type="spellEnd"/>
      <w:r>
        <w:rPr>
          <w:rFonts w:ascii="Book Antiqua" w:eastAsia="Book Antiqua" w:hAnsi="Book Antiqua" w:cs="Book Antiqua"/>
          <w:color w:val="000000"/>
        </w:rPr>
        <w:t xml:space="preserve"> M, Shen Y, Neely J, </w:t>
      </w:r>
      <w:proofErr w:type="spellStart"/>
      <w:r>
        <w:rPr>
          <w:rFonts w:ascii="Book Antiqua" w:eastAsia="Book Antiqua" w:hAnsi="Book Antiqua" w:cs="Book Antiqua"/>
          <w:color w:val="000000"/>
        </w:rPr>
        <w:t>Tschaika</w:t>
      </w:r>
      <w:proofErr w:type="spellEnd"/>
      <w:r>
        <w:rPr>
          <w:rFonts w:ascii="Book Antiqua" w:eastAsia="Book Antiqua" w:hAnsi="Book Antiqua" w:cs="Book Antiqua"/>
          <w:color w:val="000000"/>
        </w:rPr>
        <w:t xml:space="preserve"> M, Wisniewski T, </w:t>
      </w:r>
      <w:proofErr w:type="spellStart"/>
      <w:r>
        <w:rPr>
          <w:rFonts w:ascii="Book Antiqua" w:eastAsia="Book Antiqua" w:hAnsi="Book Antiqua" w:cs="Book Antiqua"/>
          <w:color w:val="000000"/>
        </w:rPr>
        <w:t>Sangro</w:t>
      </w:r>
      <w:proofErr w:type="spellEnd"/>
      <w:r>
        <w:rPr>
          <w:rFonts w:ascii="Book Antiqua" w:eastAsia="Book Antiqua" w:hAnsi="Book Antiqua" w:cs="Book Antiqua"/>
          <w:color w:val="000000"/>
        </w:rPr>
        <w:t xml:space="preserve"> B. CheckMate 040 cohort 5: A phase I/II study of nivolumab in patients with advanced hepatocellular carcinoma and Child-Pugh B cirrhosis.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2021; </w:t>
      </w:r>
      <w:r>
        <w:rPr>
          <w:rFonts w:ascii="Book Antiqua" w:eastAsia="Book Antiqua" w:hAnsi="Book Antiqua" w:cs="Book Antiqua"/>
          <w:b/>
          <w:bCs/>
          <w:color w:val="000000"/>
        </w:rPr>
        <w:t>75</w:t>
      </w:r>
      <w:r>
        <w:rPr>
          <w:rFonts w:ascii="Book Antiqua" w:eastAsia="Book Antiqua" w:hAnsi="Book Antiqua" w:cs="Book Antiqua"/>
          <w:color w:val="000000"/>
        </w:rPr>
        <w:t>: 600-609 [PMID: 34051329 DOI: 10.1016/j.jhep.2021.04.047]</w:t>
      </w:r>
    </w:p>
    <w:p w14:paraId="54685EDA" w14:textId="77777777" w:rsidR="00A77B3E" w:rsidRDefault="005C288A">
      <w:pPr>
        <w:spacing w:line="360" w:lineRule="auto"/>
        <w:jc w:val="both"/>
      </w:pPr>
      <w:r>
        <w:rPr>
          <w:rFonts w:ascii="Book Antiqua" w:eastAsia="Book Antiqua" w:hAnsi="Book Antiqua" w:cs="Book Antiqua"/>
          <w:color w:val="000000"/>
        </w:rPr>
        <w:t xml:space="preserve">49 </w:t>
      </w:r>
      <w:r>
        <w:rPr>
          <w:rFonts w:ascii="Book Antiqua" w:eastAsia="Book Antiqua" w:hAnsi="Book Antiqua" w:cs="Book Antiqua"/>
          <w:b/>
          <w:bCs/>
          <w:color w:val="000000"/>
        </w:rPr>
        <w:t>Zhu AX</w:t>
      </w:r>
      <w:r>
        <w:rPr>
          <w:rFonts w:ascii="Book Antiqua" w:eastAsia="Book Antiqua" w:hAnsi="Book Antiqua" w:cs="Book Antiqua"/>
          <w:color w:val="000000"/>
        </w:rPr>
        <w:t xml:space="preserve">, Finn RS, </w:t>
      </w:r>
      <w:proofErr w:type="spellStart"/>
      <w:r>
        <w:rPr>
          <w:rFonts w:ascii="Book Antiqua" w:eastAsia="Book Antiqua" w:hAnsi="Book Antiqua" w:cs="Book Antiqua"/>
          <w:color w:val="000000"/>
        </w:rPr>
        <w:t>Edeline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Cattan</w:t>
      </w:r>
      <w:proofErr w:type="spellEnd"/>
      <w:r>
        <w:rPr>
          <w:rFonts w:ascii="Book Antiqua" w:eastAsia="Book Antiqua" w:hAnsi="Book Antiqua" w:cs="Book Antiqua"/>
          <w:color w:val="000000"/>
        </w:rPr>
        <w:t xml:space="preserve"> S, Ogasawara S, Palmer D, </w:t>
      </w:r>
      <w:proofErr w:type="spellStart"/>
      <w:r>
        <w:rPr>
          <w:rFonts w:ascii="Book Antiqua" w:eastAsia="Book Antiqua" w:hAnsi="Book Antiqua" w:cs="Book Antiqua"/>
          <w:color w:val="000000"/>
        </w:rPr>
        <w:t>Verslype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Zagonel</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Fartoux</w:t>
      </w:r>
      <w:proofErr w:type="spellEnd"/>
      <w:r>
        <w:rPr>
          <w:rFonts w:ascii="Book Antiqua" w:eastAsia="Book Antiqua" w:hAnsi="Book Antiqua" w:cs="Book Antiqua"/>
          <w:color w:val="000000"/>
        </w:rPr>
        <w:t xml:space="preserve"> L, Vogel A, </w:t>
      </w:r>
      <w:proofErr w:type="spellStart"/>
      <w:r>
        <w:rPr>
          <w:rFonts w:ascii="Book Antiqua" w:eastAsia="Book Antiqua" w:hAnsi="Book Antiqua" w:cs="Book Antiqua"/>
          <w:color w:val="000000"/>
        </w:rPr>
        <w:t>Sarker</w:t>
      </w:r>
      <w:proofErr w:type="spellEnd"/>
      <w:r>
        <w:rPr>
          <w:rFonts w:ascii="Book Antiqua" w:eastAsia="Book Antiqua" w:hAnsi="Book Antiqua" w:cs="Book Antiqua"/>
          <w:color w:val="000000"/>
        </w:rPr>
        <w:t xml:space="preserve"> D, Verset G, Chan SL, Knox J, Daniele B, Webber AL, Ebbinghaus SW, Ma J, Siegel AB, Cheng AL, Kudo M; KEYNOTE-224 investigators. Pembrolizumab in patients with advanced hepatocellular carcinoma previously treated with sorafenib (KEYNOTE-224): a non-</w:t>
      </w:r>
      <w:proofErr w:type="spellStart"/>
      <w:r>
        <w:rPr>
          <w:rFonts w:ascii="Book Antiqua" w:eastAsia="Book Antiqua" w:hAnsi="Book Antiqua" w:cs="Book Antiqua"/>
          <w:color w:val="000000"/>
        </w:rPr>
        <w:t>randomised</w:t>
      </w:r>
      <w:proofErr w:type="spellEnd"/>
      <w:r>
        <w:rPr>
          <w:rFonts w:ascii="Book Antiqua" w:eastAsia="Book Antiqua" w:hAnsi="Book Antiqua" w:cs="Book Antiqua"/>
          <w:color w:val="000000"/>
        </w:rPr>
        <w:t xml:space="preserve">, open-label phase 2 trial.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19</w:t>
      </w:r>
      <w:r>
        <w:rPr>
          <w:rFonts w:ascii="Book Antiqua" w:eastAsia="Book Antiqua" w:hAnsi="Book Antiqua" w:cs="Book Antiqua"/>
          <w:color w:val="000000"/>
        </w:rPr>
        <w:t>: 940-952 [PMID: 29875066 DOI: 10.1016/S1470-2045(18)30351-6]</w:t>
      </w:r>
    </w:p>
    <w:p w14:paraId="430BBEF7" w14:textId="5B6BEE7B" w:rsidR="00A77B3E" w:rsidRDefault="005C288A">
      <w:pPr>
        <w:spacing w:line="360" w:lineRule="auto"/>
        <w:jc w:val="both"/>
      </w:pPr>
      <w:r>
        <w:rPr>
          <w:rFonts w:ascii="Book Antiqua" w:eastAsia="Book Antiqua" w:hAnsi="Book Antiqua" w:cs="Book Antiqua"/>
          <w:color w:val="000000"/>
        </w:rPr>
        <w:t xml:space="preserve">50 </w:t>
      </w:r>
      <w:r w:rsidRPr="00C96C7C">
        <w:rPr>
          <w:rFonts w:ascii="Book Antiqua" w:eastAsia="Book Antiqua" w:hAnsi="Book Antiqua" w:cs="Book Antiqua"/>
          <w:b/>
          <w:bCs/>
          <w:color w:val="000000"/>
        </w:rPr>
        <w:t>Study of Pembrolizumab (MK-3475) vs Best Supportive Care in Participants with Previously Systemically Treated Advanced Hepatocellular Carcinoma (MK-3475-240/KEYNOTE-240).</w:t>
      </w:r>
      <w:r>
        <w:rPr>
          <w:rFonts w:ascii="Book Antiqua" w:eastAsia="Book Antiqua" w:hAnsi="Book Antiqua" w:cs="Book Antiqua"/>
          <w:color w:val="000000"/>
        </w:rPr>
        <w:t xml:space="preserve"> [accessed 2022 Apr 30]. In: ClinicalTrials.gov [Internet]. Bethesda (MD): U.S. National Library of Medicine. Available from: https://clinicaltrials.gov/show/NCT02702401 Clinical Trials.gov identifier: NCT02702401</w:t>
      </w:r>
    </w:p>
    <w:p w14:paraId="34A9E78B" w14:textId="3F8DAF0C" w:rsidR="00A77B3E" w:rsidRDefault="005C288A">
      <w:pPr>
        <w:spacing w:line="360" w:lineRule="auto"/>
        <w:jc w:val="both"/>
      </w:pPr>
      <w:r>
        <w:rPr>
          <w:rFonts w:ascii="Book Antiqua" w:eastAsia="Book Antiqua" w:hAnsi="Book Antiqua" w:cs="Book Antiqua"/>
          <w:color w:val="000000"/>
        </w:rPr>
        <w:t xml:space="preserve">51 </w:t>
      </w:r>
      <w:r w:rsidRPr="00FC7EE1">
        <w:rPr>
          <w:rFonts w:ascii="Book Antiqua" w:eastAsia="Book Antiqua" w:hAnsi="Book Antiqua" w:cs="Book Antiqua"/>
          <w:b/>
          <w:bCs/>
          <w:color w:val="000000"/>
        </w:rPr>
        <w:t>Study of Pembrolizumab (MK-3475) or Placebo Given With Best Supportive Care in Asian Participants with Previously Treated Advanced Hepatocellular Carcinoma (MK-3475-394/KEYNOTE-394)</w:t>
      </w:r>
      <w:r>
        <w:rPr>
          <w:rFonts w:ascii="Book Antiqua" w:eastAsia="Book Antiqua" w:hAnsi="Book Antiqua" w:cs="Book Antiqua"/>
          <w:color w:val="000000"/>
        </w:rPr>
        <w:t>. [accessed 2022 Apr 30]. In: ClinicalTrials.gov [Internet]. Bethesda (MD): U.S. National Library of Medicine. Available from: https://clinicaltrials.gov/show/NCT03062358 ClinicalTrials.gov identifier: NCT03062358</w:t>
      </w:r>
    </w:p>
    <w:p w14:paraId="752482DB" w14:textId="77777777" w:rsidR="00A77B3E" w:rsidRDefault="005C288A">
      <w:pPr>
        <w:spacing w:line="360" w:lineRule="auto"/>
        <w:jc w:val="both"/>
      </w:pPr>
      <w:r>
        <w:rPr>
          <w:rFonts w:ascii="Book Antiqua" w:eastAsia="Book Antiqua" w:hAnsi="Book Antiqua" w:cs="Book Antiqua"/>
          <w:color w:val="000000"/>
        </w:rPr>
        <w:t xml:space="preserve">52 </w:t>
      </w:r>
      <w:r>
        <w:rPr>
          <w:rFonts w:ascii="Book Antiqua" w:eastAsia="Book Antiqua" w:hAnsi="Book Antiqua" w:cs="Book Antiqua"/>
          <w:b/>
          <w:bCs/>
          <w:color w:val="000000"/>
        </w:rPr>
        <w:t>Luo Y</w:t>
      </w:r>
      <w:r>
        <w:rPr>
          <w:rFonts w:ascii="Book Antiqua" w:eastAsia="Book Antiqua" w:hAnsi="Book Antiqua" w:cs="Book Antiqua"/>
          <w:color w:val="000000"/>
        </w:rPr>
        <w:t xml:space="preserve">, Teng F, Fu H, Ding GS. Immunotherapy in liver transplantation for hepatocellular carcinoma: Pros and cons. </w:t>
      </w:r>
      <w:r>
        <w:rPr>
          <w:rFonts w:ascii="Book Antiqua" w:eastAsia="Book Antiqua" w:hAnsi="Book Antiqua" w:cs="Book Antiqua"/>
          <w:i/>
          <w:iCs/>
          <w:color w:val="000000"/>
        </w:rPr>
        <w:t>World J Gastrointest Oncol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163-180 [PMID: 35116109 DOI: 10.4251/wjgo.v14.i1.163]</w:t>
      </w:r>
    </w:p>
    <w:p w14:paraId="14BCF0B7" w14:textId="77777777" w:rsidR="00A77B3E" w:rsidRDefault="005C288A">
      <w:pPr>
        <w:spacing w:line="360" w:lineRule="auto"/>
        <w:jc w:val="both"/>
      </w:pPr>
      <w:r>
        <w:rPr>
          <w:rFonts w:ascii="Book Antiqua" w:eastAsia="Book Antiqua" w:hAnsi="Book Antiqua" w:cs="Book Antiqua"/>
          <w:color w:val="000000"/>
        </w:rPr>
        <w:lastRenderedPageBreak/>
        <w:t xml:space="preserve">53 </w:t>
      </w:r>
      <w:proofErr w:type="spellStart"/>
      <w:r>
        <w:rPr>
          <w:rFonts w:ascii="Book Antiqua" w:eastAsia="Book Antiqua" w:hAnsi="Book Antiqua" w:cs="Book Antiqua"/>
          <w:b/>
          <w:bCs/>
          <w:color w:val="000000"/>
        </w:rPr>
        <w:t>Ziogas</w:t>
      </w:r>
      <w:proofErr w:type="spellEnd"/>
      <w:r>
        <w:rPr>
          <w:rFonts w:ascii="Book Antiqua" w:eastAsia="Book Antiqua" w:hAnsi="Book Antiqua" w:cs="Book Antiqua"/>
          <w:b/>
          <w:bCs/>
          <w:color w:val="000000"/>
        </w:rPr>
        <w:t xml:space="preserve"> IA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Evangeliou</w:t>
      </w:r>
      <w:proofErr w:type="spellEnd"/>
      <w:r>
        <w:rPr>
          <w:rFonts w:ascii="Book Antiqua" w:eastAsia="Book Antiqua" w:hAnsi="Book Antiqua" w:cs="Book Antiqua"/>
          <w:color w:val="000000"/>
        </w:rPr>
        <w:t xml:space="preserve"> AP, Giannis D, Hayat MH, </w:t>
      </w:r>
      <w:proofErr w:type="spellStart"/>
      <w:r>
        <w:rPr>
          <w:rFonts w:ascii="Book Antiqua" w:eastAsia="Book Antiqua" w:hAnsi="Book Antiqua" w:cs="Book Antiqua"/>
          <w:color w:val="000000"/>
        </w:rPr>
        <w:t>Mylonas</w:t>
      </w:r>
      <w:proofErr w:type="spellEnd"/>
      <w:r>
        <w:rPr>
          <w:rFonts w:ascii="Book Antiqua" w:eastAsia="Book Antiqua" w:hAnsi="Book Antiqua" w:cs="Book Antiqua"/>
          <w:color w:val="000000"/>
        </w:rPr>
        <w:t xml:space="preserve"> KS, </w:t>
      </w:r>
      <w:proofErr w:type="spellStart"/>
      <w:r>
        <w:rPr>
          <w:rFonts w:ascii="Book Antiqua" w:eastAsia="Book Antiqua" w:hAnsi="Book Antiqua" w:cs="Book Antiqua"/>
          <w:color w:val="000000"/>
        </w:rPr>
        <w:t>Tohme</w:t>
      </w:r>
      <w:proofErr w:type="spellEnd"/>
      <w:r>
        <w:rPr>
          <w:rFonts w:ascii="Book Antiqua" w:eastAsia="Book Antiqua" w:hAnsi="Book Antiqua" w:cs="Book Antiqua"/>
          <w:color w:val="000000"/>
        </w:rPr>
        <w:t xml:space="preserve"> S, Geller DA, Elias N, Goyal L, </w:t>
      </w:r>
      <w:proofErr w:type="spellStart"/>
      <w:r>
        <w:rPr>
          <w:rFonts w:ascii="Book Antiqua" w:eastAsia="Book Antiqua" w:hAnsi="Book Antiqua" w:cs="Book Antiqua"/>
          <w:color w:val="000000"/>
        </w:rPr>
        <w:t>Tsoulfas</w:t>
      </w:r>
      <w:proofErr w:type="spellEnd"/>
      <w:r>
        <w:rPr>
          <w:rFonts w:ascii="Book Antiqua" w:eastAsia="Book Antiqua" w:hAnsi="Book Antiqua" w:cs="Book Antiqua"/>
          <w:color w:val="000000"/>
        </w:rPr>
        <w:t xml:space="preserve"> G. The Role of Immunotherapy in Hepatocellular Carcinoma: A Systematic Review and Pooled Analysis of 2,402 Patients. </w:t>
      </w:r>
      <w:r>
        <w:rPr>
          <w:rFonts w:ascii="Book Antiqua" w:eastAsia="Book Antiqua" w:hAnsi="Book Antiqua" w:cs="Book Antiqua"/>
          <w:i/>
          <w:iCs/>
          <w:color w:val="000000"/>
        </w:rPr>
        <w:t>Oncologist</w:t>
      </w:r>
      <w:r>
        <w:rPr>
          <w:rFonts w:ascii="Book Antiqua" w:eastAsia="Book Antiqua" w:hAnsi="Book Antiqua" w:cs="Book Antiqua"/>
          <w:color w:val="000000"/>
        </w:rPr>
        <w:t xml:space="preserve"> 2021; </w:t>
      </w:r>
      <w:r>
        <w:rPr>
          <w:rFonts w:ascii="Book Antiqua" w:eastAsia="Book Antiqua" w:hAnsi="Book Antiqua" w:cs="Book Antiqua"/>
          <w:b/>
          <w:bCs/>
          <w:color w:val="000000"/>
        </w:rPr>
        <w:t>26</w:t>
      </w:r>
      <w:r>
        <w:rPr>
          <w:rFonts w:ascii="Book Antiqua" w:eastAsia="Book Antiqua" w:hAnsi="Book Antiqua" w:cs="Book Antiqua"/>
          <w:color w:val="000000"/>
        </w:rPr>
        <w:t>: e1036-e1049 [PMID: 33314549 DOI: 10.1002/onco.13638]</w:t>
      </w:r>
    </w:p>
    <w:p w14:paraId="2F6B5859" w14:textId="77777777" w:rsidR="00A77B3E" w:rsidRDefault="005C288A">
      <w:pPr>
        <w:spacing w:line="360" w:lineRule="auto"/>
        <w:jc w:val="both"/>
      </w:pPr>
      <w:r>
        <w:rPr>
          <w:rFonts w:ascii="Book Antiqua" w:eastAsia="Book Antiqua" w:hAnsi="Book Antiqua" w:cs="Book Antiqua"/>
          <w:color w:val="000000"/>
        </w:rPr>
        <w:t xml:space="preserve">54 </w:t>
      </w:r>
      <w:r>
        <w:rPr>
          <w:rFonts w:ascii="Book Antiqua" w:eastAsia="Book Antiqua" w:hAnsi="Book Antiqua" w:cs="Book Antiqua"/>
          <w:b/>
          <w:bCs/>
          <w:color w:val="000000"/>
        </w:rPr>
        <w:t>Cheng AL</w:t>
      </w:r>
      <w:r>
        <w:rPr>
          <w:rFonts w:ascii="Book Antiqua" w:eastAsia="Book Antiqua" w:hAnsi="Book Antiqua" w:cs="Book Antiqua"/>
          <w:color w:val="000000"/>
        </w:rPr>
        <w:t xml:space="preserve">, Hsu C, Chan SL, Choo SP, Kudo M. Challenges of combination therapy with immune checkpoint inhibitors for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307-319 [PMID: 31954494 DOI: 10.1016/j.jhep.2019.09.025]</w:t>
      </w:r>
    </w:p>
    <w:p w14:paraId="44292D31" w14:textId="77777777" w:rsidR="00A77B3E" w:rsidRDefault="005C288A">
      <w:pPr>
        <w:spacing w:line="360" w:lineRule="auto"/>
        <w:jc w:val="both"/>
      </w:pPr>
      <w:r>
        <w:rPr>
          <w:rFonts w:ascii="Book Antiqua" w:eastAsia="Book Antiqua" w:hAnsi="Book Antiqua" w:cs="Book Antiqua"/>
          <w:color w:val="000000"/>
        </w:rPr>
        <w:t xml:space="preserve">55 </w:t>
      </w:r>
      <w:r>
        <w:rPr>
          <w:rFonts w:ascii="Book Antiqua" w:eastAsia="Book Antiqua" w:hAnsi="Book Antiqua" w:cs="Book Antiqua"/>
          <w:b/>
          <w:bCs/>
          <w:color w:val="000000"/>
        </w:rPr>
        <w:t>Salem R</w:t>
      </w:r>
      <w:r>
        <w:rPr>
          <w:rFonts w:ascii="Book Antiqua" w:eastAsia="Book Antiqua" w:hAnsi="Book Antiqua" w:cs="Book Antiqua"/>
          <w:color w:val="000000"/>
        </w:rPr>
        <w:t xml:space="preserve">, Li D, Sommer N, Hernandez S, Verret W, Ding B, Lencioni R. Characterization of response to atezolizumab + bevacizumab </w:t>
      </w:r>
      <w:r>
        <w:rPr>
          <w:rFonts w:ascii="Book Antiqua" w:eastAsia="Book Antiqua" w:hAnsi="Book Antiqua" w:cs="Book Antiqua"/>
          <w:i/>
          <w:iCs/>
          <w:color w:val="000000"/>
        </w:rPr>
        <w:t>vs</w:t>
      </w:r>
      <w:r>
        <w:rPr>
          <w:rFonts w:ascii="Book Antiqua" w:eastAsia="Book Antiqua" w:hAnsi="Book Antiqua" w:cs="Book Antiqua"/>
          <w:color w:val="000000"/>
        </w:rPr>
        <w:t xml:space="preserve"> sorafenib for hepatocellular carcinoma: Results from the IMbrave150 trial. </w:t>
      </w:r>
      <w:r>
        <w:rPr>
          <w:rFonts w:ascii="Book Antiqua" w:eastAsia="Book Antiqua" w:hAnsi="Book Antiqua" w:cs="Book Antiqua"/>
          <w:i/>
          <w:iCs/>
          <w:color w:val="000000"/>
        </w:rPr>
        <w:t>Cancer Med</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5437-5447 [PMID: 34189869 DOI: 10.1002/cam4.4090]</w:t>
      </w:r>
    </w:p>
    <w:p w14:paraId="7AB788FD" w14:textId="77777777" w:rsidR="00A77B3E" w:rsidRDefault="005C288A">
      <w:pPr>
        <w:spacing w:line="360" w:lineRule="auto"/>
        <w:jc w:val="both"/>
      </w:pPr>
      <w:r>
        <w:rPr>
          <w:rFonts w:ascii="Book Antiqua" w:eastAsia="Book Antiqua" w:hAnsi="Book Antiqua" w:cs="Book Antiqua"/>
          <w:color w:val="000000"/>
        </w:rPr>
        <w:t xml:space="preserve">56 </w:t>
      </w:r>
      <w:r>
        <w:rPr>
          <w:rFonts w:ascii="Book Antiqua" w:eastAsia="Book Antiqua" w:hAnsi="Book Antiqua" w:cs="Book Antiqua"/>
          <w:b/>
          <w:bCs/>
          <w:color w:val="000000"/>
        </w:rPr>
        <w:t>Cheng AL</w:t>
      </w:r>
      <w:r>
        <w:rPr>
          <w:rFonts w:ascii="Book Antiqua" w:eastAsia="Book Antiqua" w:hAnsi="Book Antiqua" w:cs="Book Antiqua"/>
          <w:color w:val="000000"/>
        </w:rPr>
        <w:t xml:space="preserve">, Qin S, Ikeda M, Galle PR,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Kim TY, Lim HY, Kudo M, </w:t>
      </w:r>
      <w:proofErr w:type="spellStart"/>
      <w:r>
        <w:rPr>
          <w:rFonts w:ascii="Book Antiqua" w:eastAsia="Book Antiqua" w:hAnsi="Book Antiqua" w:cs="Book Antiqua"/>
          <w:color w:val="000000"/>
        </w:rPr>
        <w:t>Breder</w:t>
      </w:r>
      <w:proofErr w:type="spellEnd"/>
      <w:r>
        <w:rPr>
          <w:rFonts w:ascii="Book Antiqua" w:eastAsia="Book Antiqua" w:hAnsi="Book Antiqua" w:cs="Book Antiqua"/>
          <w:color w:val="000000"/>
        </w:rPr>
        <w:t xml:space="preserve"> V, Merle P,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AO, Li D, Verret W, Ma N, Nicholas A, Wang Y, Li L, Zhu AX, Finn RS. Updated efficacy and safety data from IMbrave150: Atezolizumab plus bevacizumab vs. sorafenib for unresectable hepatocellular carcinoma. </w:t>
      </w:r>
      <w:r>
        <w:rPr>
          <w:rFonts w:ascii="Book Antiqua" w:eastAsia="Book Antiqua" w:hAnsi="Book Antiqua" w:cs="Book Antiqua"/>
          <w:i/>
          <w:iCs/>
          <w:color w:val="000000"/>
        </w:rPr>
        <w:t>J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76</w:t>
      </w:r>
      <w:r>
        <w:rPr>
          <w:rFonts w:ascii="Book Antiqua" w:eastAsia="Book Antiqua" w:hAnsi="Book Antiqua" w:cs="Book Antiqua"/>
          <w:color w:val="000000"/>
        </w:rPr>
        <w:t>: 862-873 [PMID: 34902530 DOI: 10.1016/j.jhep.2021.11.030]</w:t>
      </w:r>
    </w:p>
    <w:p w14:paraId="6E0F4A18" w14:textId="77777777" w:rsidR="00A77B3E" w:rsidRDefault="005C288A">
      <w:pPr>
        <w:spacing w:line="360" w:lineRule="auto"/>
        <w:jc w:val="both"/>
      </w:pPr>
      <w:r>
        <w:rPr>
          <w:rFonts w:ascii="Book Antiqua" w:eastAsia="Book Antiqua" w:hAnsi="Book Antiqua" w:cs="Book Antiqua"/>
          <w:color w:val="000000"/>
        </w:rPr>
        <w:t xml:space="preserve">57 </w:t>
      </w:r>
      <w:r>
        <w:rPr>
          <w:rFonts w:ascii="Book Antiqua" w:eastAsia="Book Antiqua" w:hAnsi="Book Antiqua" w:cs="Book Antiqua"/>
          <w:b/>
          <w:bCs/>
          <w:color w:val="000000"/>
        </w:rPr>
        <w:t>C-H Hsu,</w:t>
      </w:r>
      <w:r>
        <w:rPr>
          <w:rFonts w:ascii="Book Antiqua" w:eastAsia="Book Antiqua" w:hAnsi="Book Antiqua" w:cs="Book Antiqua"/>
          <w:color w:val="000000"/>
        </w:rPr>
        <w:t xml:space="preserve"> M.S. Lee, K-H Lee, N. </w:t>
      </w:r>
      <w:proofErr w:type="spellStart"/>
      <w:r>
        <w:rPr>
          <w:rFonts w:ascii="Book Antiqua" w:eastAsia="Book Antiqua" w:hAnsi="Book Antiqua" w:cs="Book Antiqua"/>
          <w:color w:val="000000"/>
        </w:rPr>
        <w:t>Numata</w:t>
      </w:r>
      <w:proofErr w:type="spellEnd"/>
      <w:r>
        <w:rPr>
          <w:rFonts w:ascii="Book Antiqua" w:eastAsia="Book Antiqua" w:hAnsi="Book Antiqua" w:cs="Book Antiqua"/>
          <w:color w:val="000000"/>
        </w:rPr>
        <w:t xml:space="preserve">, S. Stein, W. Verret, S. Hack, J. </w:t>
      </w:r>
      <w:proofErr w:type="spellStart"/>
      <w:r>
        <w:rPr>
          <w:rFonts w:ascii="Book Antiqua" w:eastAsia="Book Antiqua" w:hAnsi="Book Antiqua" w:cs="Book Antiqua"/>
          <w:color w:val="000000"/>
        </w:rPr>
        <w:t>Spahn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B.Liu</w:t>
      </w:r>
      <w:proofErr w:type="spellEnd"/>
      <w:r>
        <w:rPr>
          <w:rFonts w:ascii="Book Antiqua" w:eastAsia="Book Antiqua" w:hAnsi="Book Antiqua" w:cs="Book Antiqua"/>
          <w:color w:val="000000"/>
        </w:rPr>
        <w:t xml:space="preserve">, C. Huang, R. He, B-Y </w:t>
      </w:r>
      <w:proofErr w:type="spellStart"/>
      <w:r>
        <w:rPr>
          <w:rFonts w:ascii="Book Antiqua" w:eastAsia="Book Antiqua" w:hAnsi="Book Antiqua" w:cs="Book Antiqua"/>
          <w:color w:val="000000"/>
        </w:rPr>
        <w:t>Ryoo</w:t>
      </w:r>
      <w:proofErr w:type="spellEnd"/>
      <w:r>
        <w:rPr>
          <w:rFonts w:ascii="Book Antiqua" w:eastAsia="Book Antiqua" w:hAnsi="Book Antiqua" w:cs="Book Antiqua"/>
          <w:color w:val="000000"/>
        </w:rPr>
        <w:t>. Randomized efficacy and safety results for atezolizumab (</w:t>
      </w:r>
      <w:proofErr w:type="spellStart"/>
      <w:r>
        <w:rPr>
          <w:rFonts w:ascii="Book Antiqua" w:eastAsia="Book Antiqua" w:hAnsi="Book Antiqua" w:cs="Book Antiqua"/>
          <w:color w:val="000000"/>
        </w:rPr>
        <w:t>Atezo</w:t>
      </w:r>
      <w:proofErr w:type="spellEnd"/>
      <w:r>
        <w:rPr>
          <w:rFonts w:ascii="Book Antiqua" w:eastAsia="Book Antiqua" w:hAnsi="Book Antiqua" w:cs="Book Antiqua"/>
          <w:color w:val="000000"/>
        </w:rPr>
        <w:t>) + bevacizumab (Bev) in patients (pts) with previously untreated, unresectable hepatocellular carcinoma (HCC). Annals of Oncology 2019; 30: v851-v934 [DOI: 10.1093/</w:t>
      </w:r>
      <w:proofErr w:type="spellStart"/>
      <w:r>
        <w:rPr>
          <w:rFonts w:ascii="Book Antiqua" w:eastAsia="Book Antiqua" w:hAnsi="Book Antiqua" w:cs="Book Antiqua"/>
          <w:color w:val="000000"/>
        </w:rPr>
        <w:t>annonc</w:t>
      </w:r>
      <w:proofErr w:type="spellEnd"/>
      <w:r>
        <w:rPr>
          <w:rFonts w:ascii="Book Antiqua" w:eastAsia="Book Antiqua" w:hAnsi="Book Antiqua" w:cs="Book Antiqua"/>
          <w:color w:val="000000"/>
        </w:rPr>
        <w:t>/mdz394]</w:t>
      </w:r>
    </w:p>
    <w:p w14:paraId="5B9A620B" w14:textId="77777777" w:rsidR="00A77B3E" w:rsidRDefault="005C288A">
      <w:pPr>
        <w:spacing w:line="360" w:lineRule="auto"/>
        <w:jc w:val="both"/>
      </w:pPr>
      <w:r>
        <w:rPr>
          <w:rFonts w:ascii="Book Antiqua" w:eastAsia="Book Antiqua" w:hAnsi="Book Antiqua" w:cs="Book Antiqua"/>
          <w:color w:val="000000"/>
        </w:rPr>
        <w:t xml:space="preserve">58 </w:t>
      </w:r>
      <w:r>
        <w:rPr>
          <w:rFonts w:ascii="Book Antiqua" w:eastAsia="Book Antiqua" w:hAnsi="Book Antiqua" w:cs="Book Antiqua"/>
          <w:b/>
          <w:bCs/>
          <w:color w:val="000000"/>
        </w:rPr>
        <w:t>Finn RS</w:t>
      </w:r>
      <w:r>
        <w:rPr>
          <w:rFonts w:ascii="Book Antiqua" w:eastAsia="Book Antiqua" w:hAnsi="Book Antiqua" w:cs="Book Antiqua"/>
          <w:color w:val="000000"/>
        </w:rPr>
        <w:t xml:space="preserve">, Qin S, Ikeda M, Galle PR, </w:t>
      </w:r>
      <w:proofErr w:type="spellStart"/>
      <w:r>
        <w:rPr>
          <w:rFonts w:ascii="Book Antiqua" w:eastAsia="Book Antiqua" w:hAnsi="Book Antiqua" w:cs="Book Antiqua"/>
          <w:color w:val="000000"/>
        </w:rPr>
        <w:t>Ducreux</w:t>
      </w:r>
      <w:proofErr w:type="spellEnd"/>
      <w:r>
        <w:rPr>
          <w:rFonts w:ascii="Book Antiqua" w:eastAsia="Book Antiqua" w:hAnsi="Book Antiqua" w:cs="Book Antiqua"/>
          <w:color w:val="000000"/>
        </w:rPr>
        <w:t xml:space="preserve"> M, Kim TY, Kudo M, </w:t>
      </w:r>
      <w:proofErr w:type="spellStart"/>
      <w:r>
        <w:rPr>
          <w:rFonts w:ascii="Book Antiqua" w:eastAsia="Book Antiqua" w:hAnsi="Book Antiqua" w:cs="Book Antiqua"/>
          <w:color w:val="000000"/>
        </w:rPr>
        <w:t>Breder</w:t>
      </w:r>
      <w:proofErr w:type="spellEnd"/>
      <w:r>
        <w:rPr>
          <w:rFonts w:ascii="Book Antiqua" w:eastAsia="Book Antiqua" w:hAnsi="Book Antiqua" w:cs="Book Antiqua"/>
          <w:color w:val="000000"/>
        </w:rPr>
        <w:t xml:space="preserve"> V, Merle P,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AO, Li D, Verret W, Xu DZ, Hernandez S, Liu J, Huang C, Mulla S, Wang Y, Lim HY, Zhu AX, Cheng AL; IMbrave150 Investigators. Atezolizumab plus Bevacizumab in Unresectable Hepatocellular Carcinoma.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382</w:t>
      </w:r>
      <w:r>
        <w:rPr>
          <w:rFonts w:ascii="Book Antiqua" w:eastAsia="Book Antiqua" w:hAnsi="Book Antiqua" w:cs="Book Antiqua"/>
          <w:color w:val="000000"/>
        </w:rPr>
        <w:t>: 1894-1905 [PMID: 32402160 DOI: 10.1056/NEJMoa1915745]</w:t>
      </w:r>
    </w:p>
    <w:p w14:paraId="4CB02C6B" w14:textId="77777777" w:rsidR="00A77B3E" w:rsidRDefault="005C288A">
      <w:pPr>
        <w:spacing w:line="360" w:lineRule="auto"/>
        <w:jc w:val="both"/>
      </w:pPr>
      <w:r>
        <w:rPr>
          <w:rFonts w:ascii="Book Antiqua" w:eastAsia="Book Antiqua" w:hAnsi="Book Antiqua" w:cs="Book Antiqua"/>
          <w:color w:val="000000"/>
        </w:rPr>
        <w:t xml:space="preserve">59 </w:t>
      </w:r>
      <w:r>
        <w:rPr>
          <w:rFonts w:ascii="Book Antiqua" w:eastAsia="Book Antiqua" w:hAnsi="Book Antiqua" w:cs="Book Antiqua"/>
          <w:b/>
          <w:bCs/>
          <w:color w:val="000000"/>
        </w:rPr>
        <w:t>Vogel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Rimassa</w:t>
      </w:r>
      <w:proofErr w:type="spellEnd"/>
      <w:r>
        <w:rPr>
          <w:rFonts w:ascii="Book Antiqua" w:eastAsia="Book Antiqua" w:hAnsi="Book Antiqua" w:cs="Book Antiqua"/>
          <w:color w:val="000000"/>
        </w:rPr>
        <w:t xml:space="preserve"> L, Sun HC, Abou-Alfa GK, El-</w:t>
      </w:r>
      <w:proofErr w:type="spellStart"/>
      <w:r>
        <w:rPr>
          <w:rFonts w:ascii="Book Antiqua" w:eastAsia="Book Antiqua" w:hAnsi="Book Antiqua" w:cs="Book Antiqua"/>
          <w:color w:val="000000"/>
        </w:rPr>
        <w:t>Khoueiry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Pinato</w:t>
      </w:r>
      <w:proofErr w:type="spellEnd"/>
      <w:r>
        <w:rPr>
          <w:rFonts w:ascii="Book Antiqua" w:eastAsia="Book Antiqua" w:hAnsi="Book Antiqua" w:cs="Book Antiqua"/>
          <w:color w:val="000000"/>
        </w:rPr>
        <w:t xml:space="preserve"> DJ, Sanchez Alvarez J, </w:t>
      </w:r>
      <w:proofErr w:type="spellStart"/>
      <w:r>
        <w:rPr>
          <w:rFonts w:ascii="Book Antiqua" w:eastAsia="Book Antiqua" w:hAnsi="Book Antiqua" w:cs="Book Antiqua"/>
          <w:color w:val="000000"/>
        </w:rPr>
        <w:t>Daigl</w:t>
      </w:r>
      <w:proofErr w:type="spellEnd"/>
      <w:r>
        <w:rPr>
          <w:rFonts w:ascii="Book Antiqua" w:eastAsia="Book Antiqua" w:hAnsi="Book Antiqua" w:cs="Book Antiqua"/>
          <w:color w:val="000000"/>
        </w:rPr>
        <w:t xml:space="preserve"> M, Orfanos P, </w:t>
      </w:r>
      <w:proofErr w:type="spellStart"/>
      <w:r>
        <w:rPr>
          <w:rFonts w:ascii="Book Antiqua" w:eastAsia="Book Antiqua" w:hAnsi="Book Antiqua" w:cs="Book Antiqua"/>
          <w:color w:val="000000"/>
        </w:rPr>
        <w:t>Leibfried</w:t>
      </w:r>
      <w:proofErr w:type="spellEnd"/>
      <w:r>
        <w:rPr>
          <w:rFonts w:ascii="Book Antiqua" w:eastAsia="Book Antiqua" w:hAnsi="Book Antiqua" w:cs="Book Antiqua"/>
          <w:color w:val="000000"/>
        </w:rPr>
        <w:t xml:space="preserve"> M, Blanchet </w:t>
      </w:r>
      <w:proofErr w:type="spellStart"/>
      <w:r>
        <w:rPr>
          <w:rFonts w:ascii="Book Antiqua" w:eastAsia="Book Antiqua" w:hAnsi="Book Antiqua" w:cs="Book Antiqua"/>
          <w:color w:val="000000"/>
        </w:rPr>
        <w:t>Zumofen</w:t>
      </w:r>
      <w:proofErr w:type="spellEnd"/>
      <w:r>
        <w:rPr>
          <w:rFonts w:ascii="Book Antiqua" w:eastAsia="Book Antiqua" w:hAnsi="Book Antiqua" w:cs="Book Antiqua"/>
          <w:color w:val="000000"/>
        </w:rPr>
        <w:t xml:space="preserve"> MH, Gaillard VE, Merle P. Comparative Efficacy of Atezolizumab plus Bevacizumab and Other Treatment </w:t>
      </w:r>
      <w:r>
        <w:rPr>
          <w:rFonts w:ascii="Book Antiqua" w:eastAsia="Book Antiqua" w:hAnsi="Book Antiqua" w:cs="Book Antiqua"/>
          <w:color w:val="000000"/>
        </w:rPr>
        <w:lastRenderedPageBreak/>
        <w:t xml:space="preserve">Options for Patients with Unresectable Hepatocellular Carcinoma: A Network Meta-Analysis. </w:t>
      </w:r>
      <w:r>
        <w:rPr>
          <w:rFonts w:ascii="Book Antiqua" w:eastAsia="Book Antiqua" w:hAnsi="Book Antiqua" w:cs="Book Antiqua"/>
          <w:i/>
          <w:iCs/>
          <w:color w:val="000000"/>
        </w:rPr>
        <w:t>Liver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10</w:t>
      </w:r>
      <w:r>
        <w:rPr>
          <w:rFonts w:ascii="Book Antiqua" w:eastAsia="Book Antiqua" w:hAnsi="Book Antiqua" w:cs="Book Antiqua"/>
          <w:color w:val="000000"/>
        </w:rPr>
        <w:t>: 240-248 [PMID: 34239810 DOI: 10.1159/000515302]</w:t>
      </w:r>
    </w:p>
    <w:p w14:paraId="1DA4D858" w14:textId="77777777" w:rsidR="00A77B3E" w:rsidRDefault="005C288A">
      <w:pPr>
        <w:spacing w:line="360" w:lineRule="auto"/>
        <w:jc w:val="both"/>
      </w:pPr>
      <w:r>
        <w:rPr>
          <w:rFonts w:ascii="Book Antiqua" w:eastAsia="Book Antiqua" w:hAnsi="Book Antiqua" w:cs="Book Antiqua"/>
          <w:color w:val="000000"/>
        </w:rPr>
        <w:t xml:space="preserve">60 </w:t>
      </w:r>
      <w:proofErr w:type="spellStart"/>
      <w:r>
        <w:rPr>
          <w:rFonts w:ascii="Book Antiqua" w:eastAsia="Book Antiqua" w:hAnsi="Book Antiqua" w:cs="Book Antiqua"/>
          <w:b/>
          <w:bCs/>
          <w:color w:val="000000"/>
        </w:rPr>
        <w:t>Akce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El-</w:t>
      </w:r>
      <w:proofErr w:type="spellStart"/>
      <w:r>
        <w:rPr>
          <w:rFonts w:ascii="Book Antiqua" w:eastAsia="Book Antiqua" w:hAnsi="Book Antiqua" w:cs="Book Antiqua"/>
          <w:color w:val="000000"/>
        </w:rPr>
        <w:t>Rayes</w:t>
      </w:r>
      <w:proofErr w:type="spellEnd"/>
      <w:r>
        <w:rPr>
          <w:rFonts w:ascii="Book Antiqua" w:eastAsia="Book Antiqua" w:hAnsi="Book Antiqua" w:cs="Book Antiqua"/>
          <w:color w:val="000000"/>
        </w:rPr>
        <w:t xml:space="preserve"> BF, </w:t>
      </w:r>
      <w:proofErr w:type="spellStart"/>
      <w:r>
        <w:rPr>
          <w:rFonts w:ascii="Book Antiqua" w:eastAsia="Book Antiqua" w:hAnsi="Book Antiqua" w:cs="Book Antiqua"/>
          <w:color w:val="000000"/>
        </w:rPr>
        <w:t>Bekaii</w:t>
      </w:r>
      <w:proofErr w:type="spellEnd"/>
      <w:r>
        <w:rPr>
          <w:rFonts w:ascii="Book Antiqua" w:eastAsia="Book Antiqua" w:hAnsi="Book Antiqua" w:cs="Book Antiqua"/>
          <w:color w:val="000000"/>
        </w:rPr>
        <w:t xml:space="preserve">-Saab TS. Frontline therapy for advanced hepatocellular carcinoma: an update. </w:t>
      </w:r>
      <w:proofErr w:type="spellStart"/>
      <w:r>
        <w:rPr>
          <w:rFonts w:ascii="Book Antiqua" w:eastAsia="Book Antiqua" w:hAnsi="Book Antiqua" w:cs="Book Antiqua"/>
          <w:i/>
          <w:iCs/>
          <w:color w:val="000000"/>
        </w:rPr>
        <w:t>Therap</w:t>
      </w:r>
      <w:proofErr w:type="spellEnd"/>
      <w:r>
        <w:rPr>
          <w:rFonts w:ascii="Book Antiqua" w:eastAsia="Book Antiqua" w:hAnsi="Book Antiqua" w:cs="Book Antiqua"/>
          <w:i/>
          <w:iCs/>
          <w:color w:val="000000"/>
        </w:rPr>
        <w:t xml:space="preserve"> Adv Gastroenterol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15</w:t>
      </w:r>
      <w:r>
        <w:rPr>
          <w:rFonts w:ascii="Book Antiqua" w:eastAsia="Book Antiqua" w:hAnsi="Book Antiqua" w:cs="Book Antiqua"/>
          <w:color w:val="000000"/>
        </w:rPr>
        <w:t>: 17562848221086126 [PMID: 35432597 DOI: 10.1177/17562848221086126]</w:t>
      </w:r>
    </w:p>
    <w:p w14:paraId="580C68C8" w14:textId="77777777" w:rsidR="00A77B3E" w:rsidRDefault="005C288A">
      <w:pPr>
        <w:spacing w:line="360" w:lineRule="auto"/>
        <w:jc w:val="both"/>
      </w:pPr>
      <w:r>
        <w:rPr>
          <w:rFonts w:ascii="Book Antiqua" w:eastAsia="Book Antiqua" w:hAnsi="Book Antiqua" w:cs="Book Antiqua"/>
          <w:color w:val="000000"/>
        </w:rPr>
        <w:t xml:space="preserve">61 </w:t>
      </w:r>
      <w:r>
        <w:rPr>
          <w:rFonts w:ascii="Book Antiqua" w:eastAsia="Book Antiqua" w:hAnsi="Book Antiqua" w:cs="Book Antiqua"/>
          <w:b/>
          <w:bCs/>
          <w:color w:val="000000"/>
        </w:rPr>
        <w:t>Leone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Solimando</w:t>
      </w:r>
      <w:proofErr w:type="spellEnd"/>
      <w:r>
        <w:rPr>
          <w:rFonts w:ascii="Book Antiqua" w:eastAsia="Book Antiqua" w:hAnsi="Book Antiqua" w:cs="Book Antiqua"/>
          <w:color w:val="000000"/>
        </w:rPr>
        <w:t xml:space="preserve"> AG, Fasano R, </w:t>
      </w:r>
      <w:proofErr w:type="spellStart"/>
      <w:r>
        <w:rPr>
          <w:rFonts w:ascii="Book Antiqua" w:eastAsia="Book Antiqua" w:hAnsi="Book Antiqua" w:cs="Book Antiqua"/>
          <w:color w:val="000000"/>
        </w:rPr>
        <w:t>Argentiero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Malerba</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Buonavoglia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Lupo</w:t>
      </w:r>
      <w:proofErr w:type="spellEnd"/>
      <w:r>
        <w:rPr>
          <w:rFonts w:ascii="Book Antiqua" w:eastAsia="Book Antiqua" w:hAnsi="Book Antiqua" w:cs="Book Antiqua"/>
          <w:color w:val="000000"/>
        </w:rPr>
        <w:t xml:space="preserve"> LG, De Re V, </w:t>
      </w:r>
      <w:proofErr w:type="spellStart"/>
      <w:r>
        <w:rPr>
          <w:rFonts w:ascii="Book Antiqua" w:eastAsia="Book Antiqua" w:hAnsi="Book Antiqua" w:cs="Book Antiqua"/>
          <w:color w:val="000000"/>
        </w:rPr>
        <w:t>Silvestris</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Racanelli</w:t>
      </w:r>
      <w:proofErr w:type="spellEnd"/>
      <w:r>
        <w:rPr>
          <w:rFonts w:ascii="Book Antiqua" w:eastAsia="Book Antiqua" w:hAnsi="Book Antiqua" w:cs="Book Antiqua"/>
          <w:color w:val="000000"/>
        </w:rPr>
        <w:t xml:space="preserve"> V. The Evolving Role of Immune Checkpoint Inhibitors in Hepatocellular Carcinoma Treatment. </w:t>
      </w:r>
      <w:r>
        <w:rPr>
          <w:rFonts w:ascii="Book Antiqua" w:eastAsia="Book Antiqua" w:hAnsi="Book Antiqua" w:cs="Book Antiqua"/>
          <w:i/>
          <w:iCs/>
          <w:color w:val="000000"/>
        </w:rPr>
        <w:t>Vaccines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34065489 DOI: 10.3390/vaccines9050532]</w:t>
      </w:r>
    </w:p>
    <w:p w14:paraId="6F1C9F10" w14:textId="77777777" w:rsidR="00A77B3E" w:rsidRDefault="005C288A">
      <w:pPr>
        <w:spacing w:line="360" w:lineRule="auto"/>
        <w:jc w:val="both"/>
      </w:pPr>
      <w:r>
        <w:rPr>
          <w:rFonts w:ascii="Book Antiqua" w:eastAsia="Book Antiqua" w:hAnsi="Book Antiqua" w:cs="Book Antiqua"/>
          <w:color w:val="000000"/>
        </w:rPr>
        <w:t xml:space="preserve">62 </w:t>
      </w:r>
      <w:r>
        <w:rPr>
          <w:rFonts w:ascii="Book Antiqua" w:eastAsia="Book Antiqua" w:hAnsi="Book Antiqua" w:cs="Book Antiqua"/>
          <w:b/>
          <w:bCs/>
          <w:color w:val="000000"/>
        </w:rPr>
        <w:t>Wang K</w:t>
      </w:r>
      <w:r>
        <w:rPr>
          <w:rFonts w:ascii="Book Antiqua" w:eastAsia="Book Antiqua" w:hAnsi="Book Antiqua" w:cs="Book Antiqua"/>
          <w:color w:val="000000"/>
        </w:rPr>
        <w:t xml:space="preserve">, Wang C, Jiang H, Zhang Y, Lin W, Mo J,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C. Combination of Ablation and Immunotherapy for Hepatocellular Carcinoma: Where We Are and Where to Go.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792781 [PMID: 34975896 DOI: 10.3389/fimmu.2021.792781]</w:t>
      </w:r>
    </w:p>
    <w:p w14:paraId="380F23EC" w14:textId="77777777" w:rsidR="00A77B3E" w:rsidRDefault="005C288A">
      <w:pPr>
        <w:spacing w:line="360" w:lineRule="auto"/>
        <w:jc w:val="both"/>
      </w:pPr>
      <w:r>
        <w:rPr>
          <w:rFonts w:ascii="Book Antiqua" w:eastAsia="Book Antiqua" w:hAnsi="Book Antiqua" w:cs="Book Antiqua"/>
          <w:color w:val="000000"/>
        </w:rPr>
        <w:t xml:space="preserve">63 </w:t>
      </w:r>
      <w:r>
        <w:rPr>
          <w:rFonts w:ascii="Book Antiqua" w:eastAsia="Book Antiqua" w:hAnsi="Book Antiqua" w:cs="Book Antiqua"/>
          <w:b/>
          <w:bCs/>
          <w:color w:val="000000"/>
        </w:rPr>
        <w:t>Shi L</w:t>
      </w:r>
      <w:r>
        <w:rPr>
          <w:rFonts w:ascii="Book Antiqua" w:eastAsia="Book Antiqua" w:hAnsi="Book Antiqua" w:cs="Book Antiqua"/>
          <w:color w:val="000000"/>
        </w:rPr>
        <w:t xml:space="preserve">, Wang J, Ding N, Zhang Y, Zhu Y, Dong S, Wang X, Peng C, Zhou C, Zhou L, Li X, Shi H, Wu W, Long X, Wu C, Liao W. Inflammation induced by incomplete radiofrequency ablation accelerates tumor progression and hinders PD-1 immunotherapy. </w:t>
      </w:r>
      <w:r>
        <w:rPr>
          <w:rFonts w:ascii="Book Antiqua" w:eastAsia="Book Antiqua" w:hAnsi="Book Antiqua" w:cs="Book Antiqua"/>
          <w:i/>
          <w:iCs/>
          <w:color w:val="000000"/>
        </w:rPr>
        <w:t>Nat Commun</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5421 [PMID: 31780645 DOI: 10.1038/s41467-019-13204-3]</w:t>
      </w:r>
    </w:p>
    <w:p w14:paraId="37E1D8FF" w14:textId="77777777" w:rsidR="00A77B3E" w:rsidRDefault="005C288A">
      <w:pPr>
        <w:spacing w:line="360" w:lineRule="auto"/>
        <w:jc w:val="both"/>
      </w:pPr>
      <w:r>
        <w:rPr>
          <w:rFonts w:ascii="Book Antiqua" w:eastAsia="Book Antiqua" w:hAnsi="Book Antiqua" w:cs="Book Antiqua"/>
          <w:color w:val="000000"/>
        </w:rPr>
        <w:t xml:space="preserve">64 </w:t>
      </w:r>
      <w:proofErr w:type="spellStart"/>
      <w:r>
        <w:rPr>
          <w:rFonts w:ascii="Book Antiqua" w:eastAsia="Book Antiqua" w:hAnsi="Book Antiqua" w:cs="Book Antiqua"/>
          <w:b/>
          <w:bCs/>
          <w:color w:val="000000"/>
        </w:rPr>
        <w:t>Kaseb</w:t>
      </w:r>
      <w:proofErr w:type="spellEnd"/>
      <w:r>
        <w:rPr>
          <w:rFonts w:ascii="Book Antiqua" w:eastAsia="Book Antiqua" w:hAnsi="Book Antiqua" w:cs="Book Antiqua"/>
          <w:b/>
          <w:bCs/>
          <w:color w:val="000000"/>
        </w:rPr>
        <w:t xml:space="preserve"> AO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Vence</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Blando</w:t>
      </w:r>
      <w:proofErr w:type="spellEnd"/>
      <w:r>
        <w:rPr>
          <w:rFonts w:ascii="Book Antiqua" w:eastAsia="Book Antiqua" w:hAnsi="Book Antiqua" w:cs="Book Antiqua"/>
          <w:color w:val="000000"/>
        </w:rPr>
        <w:t xml:space="preserve"> J, Yadav SS, </w:t>
      </w:r>
      <w:proofErr w:type="spellStart"/>
      <w:r>
        <w:rPr>
          <w:rFonts w:ascii="Book Antiqua" w:eastAsia="Book Antiqua" w:hAnsi="Book Antiqua" w:cs="Book Antiqua"/>
          <w:color w:val="000000"/>
        </w:rPr>
        <w:t>Ikoma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Pestana</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Vauthey</w:t>
      </w:r>
      <w:proofErr w:type="spellEnd"/>
      <w:r>
        <w:rPr>
          <w:rFonts w:ascii="Book Antiqua" w:eastAsia="Book Antiqua" w:hAnsi="Book Antiqua" w:cs="Book Antiqua"/>
          <w:color w:val="000000"/>
        </w:rPr>
        <w:t xml:space="preserve"> JN, Allison JP, Sharma P. Immunologic Correlates of Pathologic Complete Response to Preoperative Immunotherapy in Hepatocellular Carcinoma. </w:t>
      </w:r>
      <w:r>
        <w:rPr>
          <w:rFonts w:ascii="Book Antiqua" w:eastAsia="Book Antiqua" w:hAnsi="Book Antiqua" w:cs="Book Antiqua"/>
          <w:i/>
          <w:iCs/>
          <w:color w:val="000000"/>
        </w:rPr>
        <w:t>Cancer Immunol Res</w:t>
      </w:r>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1390-1395 [PMID: 31289040 DOI: 10.1158/2326-6066.CIR-18-0605]</w:t>
      </w:r>
    </w:p>
    <w:p w14:paraId="6E4E7451" w14:textId="77777777" w:rsidR="00A77B3E" w:rsidRDefault="005C288A">
      <w:pPr>
        <w:spacing w:line="360" w:lineRule="auto"/>
        <w:jc w:val="both"/>
      </w:pPr>
      <w:r>
        <w:rPr>
          <w:rFonts w:ascii="Book Antiqua" w:eastAsia="Book Antiqua" w:hAnsi="Book Antiqua" w:cs="Book Antiqua"/>
          <w:color w:val="000000"/>
        </w:rPr>
        <w:t xml:space="preserve">65 </w:t>
      </w:r>
      <w:r>
        <w:rPr>
          <w:rFonts w:ascii="Book Antiqua" w:eastAsia="Book Antiqua" w:hAnsi="Book Antiqua" w:cs="Book Antiqua"/>
          <w:b/>
          <w:bCs/>
          <w:color w:val="000000"/>
        </w:rPr>
        <w:t>Krishnamoorthy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Lenehan</w:t>
      </w:r>
      <w:proofErr w:type="spellEnd"/>
      <w:r>
        <w:rPr>
          <w:rFonts w:ascii="Book Antiqua" w:eastAsia="Book Antiqua" w:hAnsi="Book Antiqua" w:cs="Book Antiqua"/>
          <w:color w:val="000000"/>
        </w:rPr>
        <w:t xml:space="preserve"> JG, </w:t>
      </w:r>
      <w:proofErr w:type="spellStart"/>
      <w:r>
        <w:rPr>
          <w:rFonts w:ascii="Book Antiqua" w:eastAsia="Book Antiqua" w:hAnsi="Book Antiqua" w:cs="Book Antiqua"/>
          <w:color w:val="000000"/>
        </w:rPr>
        <w:t>Maleki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Vareki</w:t>
      </w:r>
      <w:proofErr w:type="spellEnd"/>
      <w:r>
        <w:rPr>
          <w:rFonts w:ascii="Book Antiqua" w:eastAsia="Book Antiqua" w:hAnsi="Book Antiqua" w:cs="Book Antiqua"/>
          <w:color w:val="000000"/>
        </w:rPr>
        <w:t xml:space="preserve"> S. Neoadjuvant Immunotherapy for High-Risk, Resectable Malignancies: Scientific Rationale and Clinical Challenges. </w:t>
      </w:r>
      <w:r>
        <w:rPr>
          <w:rFonts w:ascii="Book Antiqua" w:eastAsia="Book Antiqua" w:hAnsi="Book Antiqua" w:cs="Book Antiqua"/>
          <w:i/>
          <w:iCs/>
          <w:color w:val="000000"/>
        </w:rPr>
        <w:t>J Natl Cancer Inst</w:t>
      </w:r>
      <w:r>
        <w:rPr>
          <w:rFonts w:ascii="Book Antiqua" w:eastAsia="Book Antiqua" w:hAnsi="Book Antiqua" w:cs="Book Antiqua"/>
          <w:color w:val="000000"/>
        </w:rPr>
        <w:t xml:space="preserve"> 2021; </w:t>
      </w:r>
      <w:r>
        <w:rPr>
          <w:rFonts w:ascii="Book Antiqua" w:eastAsia="Book Antiqua" w:hAnsi="Book Antiqua" w:cs="Book Antiqua"/>
          <w:b/>
          <w:bCs/>
          <w:color w:val="000000"/>
        </w:rPr>
        <w:t>113</w:t>
      </w:r>
      <w:r>
        <w:rPr>
          <w:rFonts w:ascii="Book Antiqua" w:eastAsia="Book Antiqua" w:hAnsi="Book Antiqua" w:cs="Book Antiqua"/>
          <w:color w:val="000000"/>
        </w:rPr>
        <w:t>: 823-832 [PMID: 33432320 DOI: 10.1093/</w:t>
      </w:r>
      <w:proofErr w:type="spellStart"/>
      <w:r>
        <w:rPr>
          <w:rFonts w:ascii="Book Antiqua" w:eastAsia="Book Antiqua" w:hAnsi="Book Antiqua" w:cs="Book Antiqua"/>
          <w:color w:val="000000"/>
        </w:rPr>
        <w:t>jnci</w:t>
      </w:r>
      <w:proofErr w:type="spellEnd"/>
      <w:r>
        <w:rPr>
          <w:rFonts w:ascii="Book Antiqua" w:eastAsia="Book Antiqua" w:hAnsi="Book Antiqua" w:cs="Book Antiqua"/>
          <w:color w:val="000000"/>
        </w:rPr>
        <w:t>/djaa216]</w:t>
      </w:r>
    </w:p>
    <w:p w14:paraId="52D144C8" w14:textId="77777777" w:rsidR="00A77B3E" w:rsidRDefault="005C288A">
      <w:pPr>
        <w:spacing w:line="360" w:lineRule="auto"/>
        <w:jc w:val="both"/>
      </w:pPr>
      <w:r>
        <w:rPr>
          <w:rFonts w:ascii="Book Antiqua" w:eastAsia="Book Antiqua" w:hAnsi="Book Antiqua" w:cs="Book Antiqua"/>
          <w:color w:val="000000"/>
        </w:rPr>
        <w:t xml:space="preserve">66 </w:t>
      </w:r>
      <w:proofErr w:type="spellStart"/>
      <w:r>
        <w:rPr>
          <w:rFonts w:ascii="Book Antiqua" w:eastAsia="Book Antiqua" w:hAnsi="Book Antiqua" w:cs="Book Antiqua"/>
          <w:b/>
          <w:bCs/>
          <w:color w:val="000000"/>
        </w:rPr>
        <w:t>Peyrottes</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Ouzaid</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Califano</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Hermieu</w:t>
      </w:r>
      <w:proofErr w:type="spellEnd"/>
      <w:r>
        <w:rPr>
          <w:rFonts w:ascii="Book Antiqua" w:eastAsia="Book Antiqua" w:hAnsi="Book Antiqua" w:cs="Book Antiqua"/>
          <w:color w:val="000000"/>
        </w:rPr>
        <w:t xml:space="preserve"> JF, </w:t>
      </w:r>
      <w:proofErr w:type="spellStart"/>
      <w:r>
        <w:rPr>
          <w:rFonts w:ascii="Book Antiqua" w:eastAsia="Book Antiqua" w:hAnsi="Book Antiqua" w:cs="Book Antiqua"/>
          <w:color w:val="000000"/>
        </w:rPr>
        <w:t>Xylinas</w:t>
      </w:r>
      <w:proofErr w:type="spellEnd"/>
      <w:r>
        <w:rPr>
          <w:rFonts w:ascii="Book Antiqua" w:eastAsia="Book Antiqua" w:hAnsi="Book Antiqua" w:cs="Book Antiqua"/>
          <w:color w:val="000000"/>
        </w:rPr>
        <w:t xml:space="preserve"> E. Neoadjuvant Immunotherapy for Muscle-Invasive Bladder Cancer. </w:t>
      </w:r>
      <w:proofErr w:type="spellStart"/>
      <w:r>
        <w:rPr>
          <w:rFonts w:ascii="Book Antiqua" w:eastAsia="Book Antiqua" w:hAnsi="Book Antiqua" w:cs="Book Antiqua"/>
          <w:i/>
          <w:iCs/>
          <w:color w:val="000000"/>
        </w:rPr>
        <w:t>Medicina</w:t>
      </w:r>
      <w:proofErr w:type="spellEnd"/>
      <w:r>
        <w:rPr>
          <w:rFonts w:ascii="Book Antiqua" w:eastAsia="Book Antiqua" w:hAnsi="Book Antiqua" w:cs="Book Antiqua"/>
          <w:i/>
          <w:iCs/>
          <w:color w:val="000000"/>
        </w:rPr>
        <w:t xml:space="preserve"> (Kaunas)</w:t>
      </w:r>
      <w:r>
        <w:rPr>
          <w:rFonts w:ascii="Book Antiqua" w:eastAsia="Book Antiqua" w:hAnsi="Book Antiqua" w:cs="Book Antiqua"/>
          <w:color w:val="000000"/>
        </w:rPr>
        <w:t xml:space="preserve"> 2021; </w:t>
      </w:r>
      <w:r>
        <w:rPr>
          <w:rFonts w:ascii="Book Antiqua" w:eastAsia="Book Antiqua" w:hAnsi="Book Antiqua" w:cs="Book Antiqua"/>
          <w:b/>
          <w:bCs/>
          <w:color w:val="000000"/>
        </w:rPr>
        <w:t>57</w:t>
      </w:r>
      <w:r>
        <w:rPr>
          <w:rFonts w:ascii="Book Antiqua" w:eastAsia="Book Antiqua" w:hAnsi="Book Antiqua" w:cs="Book Antiqua"/>
          <w:color w:val="000000"/>
        </w:rPr>
        <w:t xml:space="preserve"> [PMID: 34440975 DOI: 10.3390/medicina57080769]</w:t>
      </w:r>
    </w:p>
    <w:p w14:paraId="41488226" w14:textId="77777777" w:rsidR="00A77B3E" w:rsidRDefault="005C288A">
      <w:pPr>
        <w:spacing w:line="360" w:lineRule="auto"/>
        <w:jc w:val="both"/>
      </w:pPr>
      <w:r>
        <w:rPr>
          <w:rFonts w:ascii="Book Antiqua" w:eastAsia="Book Antiqua" w:hAnsi="Book Antiqua" w:cs="Book Antiqua"/>
          <w:color w:val="000000"/>
        </w:rPr>
        <w:t xml:space="preserve">67 </w:t>
      </w:r>
      <w:proofErr w:type="spellStart"/>
      <w:r>
        <w:rPr>
          <w:rFonts w:ascii="Book Antiqua" w:eastAsia="Book Antiqua" w:hAnsi="Book Antiqua" w:cs="Book Antiqua"/>
          <w:b/>
          <w:bCs/>
          <w:color w:val="000000"/>
        </w:rPr>
        <w:t>Rouanne</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Bajorin</w:t>
      </w:r>
      <w:proofErr w:type="spellEnd"/>
      <w:r>
        <w:rPr>
          <w:rFonts w:ascii="Book Antiqua" w:eastAsia="Book Antiqua" w:hAnsi="Book Antiqua" w:cs="Book Antiqua"/>
          <w:color w:val="000000"/>
        </w:rPr>
        <w:t xml:space="preserve"> DF, Hannan R, </w:t>
      </w:r>
      <w:proofErr w:type="spellStart"/>
      <w:r>
        <w:rPr>
          <w:rFonts w:ascii="Book Antiqua" w:eastAsia="Book Antiqua" w:hAnsi="Book Antiqua" w:cs="Book Antiqua"/>
          <w:color w:val="000000"/>
        </w:rPr>
        <w:t>Galsky</w:t>
      </w:r>
      <w:proofErr w:type="spellEnd"/>
      <w:r>
        <w:rPr>
          <w:rFonts w:ascii="Book Antiqua" w:eastAsia="Book Antiqua" w:hAnsi="Book Antiqua" w:cs="Book Antiqua"/>
          <w:color w:val="000000"/>
        </w:rPr>
        <w:t xml:space="preserve"> MD, Williams SB, </w:t>
      </w:r>
      <w:proofErr w:type="spellStart"/>
      <w:r>
        <w:rPr>
          <w:rFonts w:ascii="Book Antiqua" w:eastAsia="Book Antiqua" w:hAnsi="Book Antiqua" w:cs="Book Antiqua"/>
          <w:color w:val="000000"/>
        </w:rPr>
        <w:t>Necchi</w:t>
      </w:r>
      <w:proofErr w:type="spellEnd"/>
      <w:r>
        <w:rPr>
          <w:rFonts w:ascii="Book Antiqua" w:eastAsia="Book Antiqua" w:hAnsi="Book Antiqua" w:cs="Book Antiqua"/>
          <w:color w:val="000000"/>
        </w:rPr>
        <w:t xml:space="preserve"> A, Sharma P, Powles T. Rationale and Outcomes for Neoadjuvant Immunotherapy in Urothelial </w:t>
      </w:r>
      <w:r>
        <w:rPr>
          <w:rFonts w:ascii="Book Antiqua" w:eastAsia="Book Antiqua" w:hAnsi="Book Antiqua" w:cs="Book Antiqua"/>
          <w:color w:val="000000"/>
        </w:rPr>
        <w:lastRenderedPageBreak/>
        <w:t xml:space="preserve">Carcinoma of the Bladder.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i/>
          <w:iCs/>
          <w:color w:val="000000"/>
        </w:rPr>
        <w:t xml:space="preserve"> Oncol</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728-738 [PMID: 33177001 DOI: 10.1016/j.euo.2020.06.009]</w:t>
      </w:r>
    </w:p>
    <w:p w14:paraId="15B5CF50" w14:textId="77777777" w:rsidR="00A77B3E" w:rsidRDefault="005C288A">
      <w:pPr>
        <w:spacing w:line="360" w:lineRule="auto"/>
        <w:jc w:val="both"/>
      </w:pPr>
      <w:r>
        <w:rPr>
          <w:rFonts w:ascii="Book Antiqua" w:eastAsia="Book Antiqua" w:hAnsi="Book Antiqua" w:cs="Book Antiqua"/>
          <w:color w:val="000000"/>
        </w:rPr>
        <w:t xml:space="preserve">68 </w:t>
      </w:r>
      <w:proofErr w:type="spellStart"/>
      <w:r>
        <w:rPr>
          <w:rFonts w:ascii="Book Antiqua" w:eastAsia="Book Antiqua" w:hAnsi="Book Antiqua" w:cs="Book Antiqua"/>
          <w:b/>
          <w:bCs/>
          <w:color w:val="000000"/>
        </w:rPr>
        <w:t>Amaria</w:t>
      </w:r>
      <w:proofErr w:type="spellEnd"/>
      <w:r>
        <w:rPr>
          <w:rFonts w:ascii="Book Antiqua" w:eastAsia="Book Antiqua" w:hAnsi="Book Antiqua" w:cs="Book Antiqua"/>
          <w:b/>
          <w:bCs/>
          <w:color w:val="000000"/>
        </w:rPr>
        <w:t xml:space="preserve"> RN</w:t>
      </w:r>
      <w:r>
        <w:rPr>
          <w:rFonts w:ascii="Book Antiqua" w:eastAsia="Book Antiqua" w:hAnsi="Book Antiqua" w:cs="Book Antiqua"/>
          <w:color w:val="000000"/>
        </w:rPr>
        <w:t xml:space="preserve">, Reddy SM, </w:t>
      </w:r>
      <w:proofErr w:type="spellStart"/>
      <w:r>
        <w:rPr>
          <w:rFonts w:ascii="Book Antiqua" w:eastAsia="Book Antiqua" w:hAnsi="Book Antiqua" w:cs="Book Antiqua"/>
          <w:color w:val="000000"/>
        </w:rPr>
        <w:t>Tawbi</w:t>
      </w:r>
      <w:proofErr w:type="spellEnd"/>
      <w:r>
        <w:rPr>
          <w:rFonts w:ascii="Book Antiqua" w:eastAsia="Book Antiqua" w:hAnsi="Book Antiqua" w:cs="Book Antiqua"/>
          <w:color w:val="000000"/>
        </w:rPr>
        <w:t xml:space="preserve"> HA, Davies MA, Ross MI, </w:t>
      </w:r>
      <w:proofErr w:type="spellStart"/>
      <w:r>
        <w:rPr>
          <w:rFonts w:ascii="Book Antiqua" w:eastAsia="Book Antiqua" w:hAnsi="Book Antiqua" w:cs="Book Antiqua"/>
          <w:color w:val="000000"/>
        </w:rPr>
        <w:t>Glitza</w:t>
      </w:r>
      <w:proofErr w:type="spellEnd"/>
      <w:r>
        <w:rPr>
          <w:rFonts w:ascii="Book Antiqua" w:eastAsia="Book Antiqua" w:hAnsi="Book Antiqua" w:cs="Book Antiqua"/>
          <w:color w:val="000000"/>
        </w:rPr>
        <w:t xml:space="preserve"> IC, Cormier JN, Lewis C, </w:t>
      </w:r>
      <w:proofErr w:type="spellStart"/>
      <w:r>
        <w:rPr>
          <w:rFonts w:ascii="Book Antiqua" w:eastAsia="Book Antiqua" w:hAnsi="Book Antiqua" w:cs="Book Antiqua"/>
          <w:color w:val="000000"/>
        </w:rPr>
        <w:t>Hwu</w:t>
      </w:r>
      <w:proofErr w:type="spellEnd"/>
      <w:r>
        <w:rPr>
          <w:rFonts w:ascii="Book Antiqua" w:eastAsia="Book Antiqua" w:hAnsi="Book Antiqua" w:cs="Book Antiqua"/>
          <w:color w:val="000000"/>
        </w:rPr>
        <w:t xml:space="preserve"> WJ, Hanna E, Diab A, Wong MK, Royal R, Gross N, Weber R, Lai SY, Ehlers R, </w:t>
      </w:r>
      <w:proofErr w:type="spellStart"/>
      <w:r>
        <w:rPr>
          <w:rFonts w:ascii="Book Antiqua" w:eastAsia="Book Antiqua" w:hAnsi="Book Antiqua" w:cs="Book Antiqua"/>
          <w:color w:val="000000"/>
        </w:rPr>
        <w:t>Blando</w:t>
      </w:r>
      <w:proofErr w:type="spellEnd"/>
      <w:r>
        <w:rPr>
          <w:rFonts w:ascii="Book Antiqua" w:eastAsia="Book Antiqua" w:hAnsi="Book Antiqua" w:cs="Book Antiqua"/>
          <w:color w:val="000000"/>
        </w:rPr>
        <w:t xml:space="preserve"> J, Milton DR, Woodman S, </w:t>
      </w:r>
      <w:proofErr w:type="spellStart"/>
      <w:r>
        <w:rPr>
          <w:rFonts w:ascii="Book Antiqua" w:eastAsia="Book Antiqua" w:hAnsi="Book Antiqua" w:cs="Book Antiqua"/>
          <w:color w:val="000000"/>
        </w:rPr>
        <w:t>Kageyama</w:t>
      </w:r>
      <w:proofErr w:type="spellEnd"/>
      <w:r>
        <w:rPr>
          <w:rFonts w:ascii="Book Antiqua" w:eastAsia="Book Antiqua" w:hAnsi="Book Antiqua" w:cs="Book Antiqua"/>
          <w:color w:val="000000"/>
        </w:rPr>
        <w:t xml:space="preserve"> R, Wells DK, </w:t>
      </w:r>
      <w:proofErr w:type="spellStart"/>
      <w:r>
        <w:rPr>
          <w:rFonts w:ascii="Book Antiqua" w:eastAsia="Book Antiqua" w:hAnsi="Book Antiqua" w:cs="Book Antiqua"/>
          <w:color w:val="000000"/>
        </w:rPr>
        <w:t>Hwu</w:t>
      </w:r>
      <w:proofErr w:type="spellEnd"/>
      <w:r>
        <w:rPr>
          <w:rFonts w:ascii="Book Antiqua" w:eastAsia="Book Antiqua" w:hAnsi="Book Antiqua" w:cs="Book Antiqua"/>
          <w:color w:val="000000"/>
        </w:rPr>
        <w:t xml:space="preserve"> P, Patel SP, </w:t>
      </w:r>
      <w:proofErr w:type="spellStart"/>
      <w:r>
        <w:rPr>
          <w:rFonts w:ascii="Book Antiqua" w:eastAsia="Book Antiqua" w:hAnsi="Book Antiqua" w:cs="Book Antiqua"/>
          <w:color w:val="000000"/>
        </w:rPr>
        <w:t>Lucci</w:t>
      </w:r>
      <w:proofErr w:type="spellEnd"/>
      <w:r>
        <w:rPr>
          <w:rFonts w:ascii="Book Antiqua" w:eastAsia="Book Antiqua" w:hAnsi="Book Antiqua" w:cs="Book Antiqua"/>
          <w:color w:val="000000"/>
        </w:rPr>
        <w:t xml:space="preserve"> A, Hessel A, Lee JE, </w:t>
      </w:r>
      <w:proofErr w:type="spellStart"/>
      <w:r>
        <w:rPr>
          <w:rFonts w:ascii="Book Antiqua" w:eastAsia="Book Antiqua" w:hAnsi="Book Antiqua" w:cs="Book Antiqua"/>
          <w:color w:val="000000"/>
        </w:rPr>
        <w:t>Gershenwald</w:t>
      </w:r>
      <w:proofErr w:type="spellEnd"/>
      <w:r>
        <w:rPr>
          <w:rFonts w:ascii="Book Antiqua" w:eastAsia="Book Antiqua" w:hAnsi="Book Antiqua" w:cs="Book Antiqua"/>
          <w:color w:val="000000"/>
        </w:rPr>
        <w:t xml:space="preserve"> J, Simpson L, Burton EM, Posada L, </w:t>
      </w:r>
      <w:proofErr w:type="spellStart"/>
      <w:r>
        <w:rPr>
          <w:rFonts w:ascii="Book Antiqua" w:eastAsia="Book Antiqua" w:hAnsi="Book Antiqua" w:cs="Book Antiqua"/>
          <w:color w:val="000000"/>
        </w:rPr>
        <w:t>Haydu</w:t>
      </w:r>
      <w:proofErr w:type="spellEnd"/>
      <w:r>
        <w:rPr>
          <w:rFonts w:ascii="Book Antiqua" w:eastAsia="Book Antiqua" w:hAnsi="Book Antiqua" w:cs="Book Antiqua"/>
          <w:color w:val="000000"/>
        </w:rPr>
        <w:t xml:space="preserve"> L, Wang L, Zhang S, Lazar AJ, Hudgens CW, Gopalakrishnan V, Reuben A, Andrews MC, Spencer CN, Prieto V, Sharma P, Allison J, </w:t>
      </w:r>
      <w:proofErr w:type="spellStart"/>
      <w:r>
        <w:rPr>
          <w:rFonts w:ascii="Book Antiqua" w:eastAsia="Book Antiqua" w:hAnsi="Book Antiqua" w:cs="Book Antiqua"/>
          <w:color w:val="000000"/>
        </w:rPr>
        <w:t>Tetzlaff</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Wargo</w:t>
      </w:r>
      <w:proofErr w:type="spellEnd"/>
      <w:r>
        <w:rPr>
          <w:rFonts w:ascii="Book Antiqua" w:eastAsia="Book Antiqua" w:hAnsi="Book Antiqua" w:cs="Book Antiqua"/>
          <w:color w:val="000000"/>
        </w:rPr>
        <w:t xml:space="preserve"> JA. Neoadjuvant immune checkpoint blockade in high-risk resectable melanoma.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1649-1654 [PMID: 30297909 DOI: 10.1038/s41591-018-0197-1]</w:t>
      </w:r>
    </w:p>
    <w:p w14:paraId="7ADEEBED" w14:textId="77777777" w:rsidR="00A77B3E" w:rsidRDefault="005C288A">
      <w:pPr>
        <w:spacing w:line="360" w:lineRule="auto"/>
        <w:jc w:val="both"/>
      </w:pPr>
      <w:r>
        <w:rPr>
          <w:rFonts w:ascii="Book Antiqua" w:eastAsia="Book Antiqua" w:hAnsi="Book Antiqua" w:cs="Book Antiqua"/>
          <w:color w:val="000000"/>
        </w:rPr>
        <w:t xml:space="preserve">69 </w:t>
      </w:r>
      <w:r>
        <w:rPr>
          <w:rFonts w:ascii="Book Antiqua" w:eastAsia="Book Antiqua" w:hAnsi="Book Antiqua" w:cs="Book Antiqua"/>
          <w:b/>
          <w:bCs/>
          <w:color w:val="000000"/>
        </w:rPr>
        <w:t>Liu J</w:t>
      </w:r>
      <w:r>
        <w:rPr>
          <w:rFonts w:ascii="Book Antiqua" w:eastAsia="Book Antiqua" w:hAnsi="Book Antiqua" w:cs="Book Antiqua"/>
          <w:color w:val="000000"/>
        </w:rPr>
        <w:t xml:space="preserve">, Blake SJ, Yong MC, </w:t>
      </w:r>
      <w:proofErr w:type="spellStart"/>
      <w:r>
        <w:rPr>
          <w:rFonts w:ascii="Book Antiqua" w:eastAsia="Book Antiqua" w:hAnsi="Book Antiqua" w:cs="Book Antiqua"/>
          <w:color w:val="000000"/>
        </w:rPr>
        <w:t>Harjunpää</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Ngiow</w:t>
      </w:r>
      <w:proofErr w:type="spellEnd"/>
      <w:r>
        <w:rPr>
          <w:rFonts w:ascii="Book Antiqua" w:eastAsia="Book Antiqua" w:hAnsi="Book Antiqua" w:cs="Book Antiqua"/>
          <w:color w:val="000000"/>
        </w:rPr>
        <w:t xml:space="preserve"> SF, Takeda K, Young A, O'Donnell JS, Allen S, Smyth MJ, Teng MW. Improved Efficacy of Neoadjuvant Compared to Adjuvant Immunotherapy to Eradicate Metastatic Disease. </w:t>
      </w:r>
      <w:r>
        <w:rPr>
          <w:rFonts w:ascii="Book Antiqua" w:eastAsia="Book Antiqua" w:hAnsi="Book Antiqua" w:cs="Book Antiqua"/>
          <w:i/>
          <w:iCs/>
          <w:color w:val="000000"/>
        </w:rPr>
        <w:t>Cancer Discov</w:t>
      </w:r>
      <w:r>
        <w:rPr>
          <w:rFonts w:ascii="Book Antiqua" w:eastAsia="Book Antiqua" w:hAnsi="Book Antiqua" w:cs="Book Antiqua"/>
          <w:color w:val="000000"/>
        </w:rPr>
        <w:t xml:space="preserve"> 2016; </w:t>
      </w:r>
      <w:r>
        <w:rPr>
          <w:rFonts w:ascii="Book Antiqua" w:eastAsia="Book Antiqua" w:hAnsi="Book Antiqua" w:cs="Book Antiqua"/>
          <w:b/>
          <w:bCs/>
          <w:color w:val="000000"/>
        </w:rPr>
        <w:t>6</w:t>
      </w:r>
      <w:r>
        <w:rPr>
          <w:rFonts w:ascii="Book Antiqua" w:eastAsia="Book Antiqua" w:hAnsi="Book Antiqua" w:cs="Book Antiqua"/>
          <w:color w:val="000000"/>
        </w:rPr>
        <w:t>: 1382-1399 [PMID: 27663893 DOI: 10.1158/2159-8290.CD-16-0577]</w:t>
      </w:r>
    </w:p>
    <w:p w14:paraId="550DE852" w14:textId="77777777" w:rsidR="00A77B3E" w:rsidRDefault="005C288A">
      <w:pPr>
        <w:spacing w:line="360" w:lineRule="auto"/>
        <w:jc w:val="both"/>
      </w:pPr>
      <w:r>
        <w:rPr>
          <w:rFonts w:ascii="Book Antiqua" w:eastAsia="Book Antiqua" w:hAnsi="Book Antiqua" w:cs="Book Antiqua"/>
          <w:color w:val="000000"/>
        </w:rPr>
        <w:t xml:space="preserve">70 </w:t>
      </w:r>
      <w:r>
        <w:rPr>
          <w:rFonts w:ascii="Book Antiqua" w:eastAsia="Book Antiqua" w:hAnsi="Book Antiqua" w:cs="Book Antiqua"/>
          <w:b/>
          <w:bCs/>
          <w:color w:val="000000"/>
        </w:rPr>
        <w:t>Au KP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Chok</w:t>
      </w:r>
      <w:proofErr w:type="spellEnd"/>
      <w:r>
        <w:rPr>
          <w:rFonts w:ascii="Book Antiqua" w:eastAsia="Book Antiqua" w:hAnsi="Book Antiqua" w:cs="Book Antiqua"/>
          <w:color w:val="000000"/>
        </w:rPr>
        <w:t xml:space="preserve"> KSH. Immunotherapy after liver transplantation: Where are we now? </w:t>
      </w:r>
      <w:r>
        <w:rPr>
          <w:rFonts w:ascii="Book Antiqua" w:eastAsia="Book Antiqua" w:hAnsi="Book Antiqua" w:cs="Book Antiqua"/>
          <w:i/>
          <w:iCs/>
          <w:color w:val="000000"/>
        </w:rPr>
        <w:t>World J Gastrointest Surg</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1267-1278 [PMID: 34754394 DOI: 10.4240/wjgs.v13.i10.1267]</w:t>
      </w:r>
    </w:p>
    <w:p w14:paraId="11966A22" w14:textId="77777777" w:rsidR="00A77B3E" w:rsidRDefault="005C288A">
      <w:pPr>
        <w:spacing w:line="360" w:lineRule="auto"/>
        <w:jc w:val="both"/>
      </w:pPr>
      <w:r>
        <w:rPr>
          <w:rFonts w:ascii="Book Antiqua" w:eastAsia="Book Antiqua" w:hAnsi="Book Antiqua" w:cs="Book Antiqua"/>
          <w:color w:val="000000"/>
        </w:rPr>
        <w:t xml:space="preserve">71 </w:t>
      </w:r>
      <w:proofErr w:type="spellStart"/>
      <w:r>
        <w:rPr>
          <w:rFonts w:ascii="Book Antiqua" w:eastAsia="Book Antiqua" w:hAnsi="Book Antiqua" w:cs="Book Antiqua"/>
          <w:b/>
          <w:bCs/>
          <w:color w:val="000000"/>
        </w:rPr>
        <w:t>Abdelrahim</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Esmail A, </w:t>
      </w:r>
      <w:proofErr w:type="spellStart"/>
      <w:r>
        <w:rPr>
          <w:rFonts w:ascii="Book Antiqua" w:eastAsia="Book Antiqua" w:hAnsi="Book Antiqua" w:cs="Book Antiqua"/>
          <w:color w:val="000000"/>
        </w:rPr>
        <w:t>Saharia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Abudayyeh</w:t>
      </w:r>
      <w:proofErr w:type="spellEnd"/>
      <w:r>
        <w:rPr>
          <w:rFonts w:ascii="Book Antiqua" w:eastAsia="Book Antiqua" w:hAnsi="Book Antiqua" w:cs="Book Antiqua"/>
          <w:color w:val="000000"/>
        </w:rPr>
        <w:t xml:space="preserve"> A, Abdel-Wahab N, Diab A, Murakami N, </w:t>
      </w:r>
      <w:proofErr w:type="spellStart"/>
      <w:r>
        <w:rPr>
          <w:rFonts w:ascii="Book Antiqua" w:eastAsia="Book Antiqua" w:hAnsi="Book Antiqua" w:cs="Book Antiqua"/>
          <w:color w:val="000000"/>
        </w:rPr>
        <w:t>Kaseb</w:t>
      </w:r>
      <w:proofErr w:type="spellEnd"/>
      <w:r>
        <w:rPr>
          <w:rFonts w:ascii="Book Antiqua" w:eastAsia="Book Antiqua" w:hAnsi="Book Antiqua" w:cs="Book Antiqua"/>
          <w:color w:val="000000"/>
        </w:rPr>
        <w:t xml:space="preserve"> AO, Chang JC, Gaber AO, </w:t>
      </w:r>
      <w:proofErr w:type="spellStart"/>
      <w:r>
        <w:rPr>
          <w:rFonts w:ascii="Book Antiqua" w:eastAsia="Book Antiqua" w:hAnsi="Book Antiqua" w:cs="Book Antiqua"/>
          <w:color w:val="000000"/>
        </w:rPr>
        <w:t>Ghobrial</w:t>
      </w:r>
      <w:proofErr w:type="spellEnd"/>
      <w:r>
        <w:rPr>
          <w:rFonts w:ascii="Book Antiqua" w:eastAsia="Book Antiqua" w:hAnsi="Book Antiqua" w:cs="Book Antiqua"/>
          <w:color w:val="000000"/>
        </w:rPr>
        <w:t xml:space="preserve"> RM. Utilization of Immunotherapy for the Treatment of Hepatocellular Carcinoma in the Peri-Transplant Setting: Transplant Oncology View.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2022; </w:t>
      </w:r>
      <w:r>
        <w:rPr>
          <w:rFonts w:ascii="Book Antiqua" w:eastAsia="Book Antiqua" w:hAnsi="Book Antiqua" w:cs="Book Antiqua"/>
          <w:b/>
          <w:bCs/>
          <w:color w:val="000000"/>
        </w:rPr>
        <w:t>14</w:t>
      </w:r>
      <w:r>
        <w:rPr>
          <w:rFonts w:ascii="Book Antiqua" w:eastAsia="Book Antiqua" w:hAnsi="Book Antiqua" w:cs="Book Antiqua"/>
          <w:color w:val="000000"/>
        </w:rPr>
        <w:t xml:space="preserve"> [PMID: 35406533 DOI: 10.3390/cancers14071760]</w:t>
      </w:r>
    </w:p>
    <w:p w14:paraId="527253BF" w14:textId="77777777" w:rsidR="00A77B3E" w:rsidRDefault="005C288A">
      <w:pPr>
        <w:spacing w:line="360" w:lineRule="auto"/>
        <w:jc w:val="both"/>
      </w:pPr>
      <w:r>
        <w:rPr>
          <w:rFonts w:ascii="Book Antiqua" w:eastAsia="Book Antiqua" w:hAnsi="Book Antiqua" w:cs="Book Antiqua"/>
          <w:color w:val="000000"/>
        </w:rPr>
        <w:t xml:space="preserve">72 </w:t>
      </w:r>
      <w:proofErr w:type="spellStart"/>
      <w:r>
        <w:rPr>
          <w:rFonts w:ascii="Book Antiqua" w:eastAsia="Book Antiqua" w:hAnsi="Book Antiqua" w:cs="Book Antiqua"/>
          <w:b/>
          <w:bCs/>
          <w:color w:val="000000"/>
        </w:rPr>
        <w:t>Munker</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De Toni EN. Use of checkpoint inhibitors in liver transplant recipients. </w:t>
      </w:r>
      <w:r>
        <w:rPr>
          <w:rFonts w:ascii="Book Antiqua" w:eastAsia="Book Antiqua" w:hAnsi="Book Antiqua" w:cs="Book Antiqua"/>
          <w:i/>
          <w:iCs/>
          <w:color w:val="000000"/>
        </w:rPr>
        <w:t>United European Gastroenterol J</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970-973 [PMID: 30228883 DOI: 10.1177/2050640618774631]</w:t>
      </w:r>
    </w:p>
    <w:p w14:paraId="0703A579" w14:textId="77777777" w:rsidR="00A77B3E" w:rsidRDefault="005C288A">
      <w:pPr>
        <w:spacing w:line="360" w:lineRule="auto"/>
        <w:jc w:val="both"/>
      </w:pPr>
      <w:r>
        <w:rPr>
          <w:rFonts w:ascii="Book Antiqua" w:eastAsia="Book Antiqua" w:hAnsi="Book Antiqua" w:cs="Book Antiqua"/>
          <w:color w:val="000000"/>
        </w:rPr>
        <w:t xml:space="preserve">73 </w:t>
      </w:r>
      <w:r>
        <w:rPr>
          <w:rFonts w:ascii="Book Antiqua" w:eastAsia="Book Antiqua" w:hAnsi="Book Antiqua" w:cs="Book Antiqua"/>
          <w:b/>
          <w:bCs/>
          <w:color w:val="000000"/>
        </w:rPr>
        <w:t>Gao Q</w:t>
      </w:r>
      <w:r>
        <w:rPr>
          <w:rFonts w:ascii="Book Antiqua" w:eastAsia="Book Antiqua" w:hAnsi="Book Antiqua" w:cs="Book Antiqua"/>
          <w:color w:val="000000"/>
        </w:rPr>
        <w:t xml:space="preserve">, Anwar IJ, Abraham N, </w:t>
      </w:r>
      <w:proofErr w:type="spellStart"/>
      <w:r>
        <w:rPr>
          <w:rFonts w:ascii="Book Antiqua" w:eastAsia="Book Antiqua" w:hAnsi="Book Antiqua" w:cs="Book Antiqua"/>
          <w:color w:val="000000"/>
        </w:rPr>
        <w:t>Barbas</w:t>
      </w:r>
      <w:proofErr w:type="spellEnd"/>
      <w:r>
        <w:rPr>
          <w:rFonts w:ascii="Book Antiqua" w:eastAsia="Book Antiqua" w:hAnsi="Book Antiqua" w:cs="Book Antiqua"/>
          <w:color w:val="000000"/>
        </w:rPr>
        <w:t xml:space="preserve"> AS. Liver Transplantation for Hepatocellular Carcinoma after Downstaging or Bridging Therapy with Immune Checkpoint Inhibitors.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2021; </w:t>
      </w:r>
      <w:r>
        <w:rPr>
          <w:rFonts w:ascii="Book Antiqua" w:eastAsia="Book Antiqua" w:hAnsi="Book Antiqua" w:cs="Book Antiqua"/>
          <w:b/>
          <w:bCs/>
          <w:color w:val="000000"/>
        </w:rPr>
        <w:t>13</w:t>
      </w:r>
      <w:r>
        <w:rPr>
          <w:rFonts w:ascii="Book Antiqua" w:eastAsia="Book Antiqua" w:hAnsi="Book Antiqua" w:cs="Book Antiqua"/>
          <w:color w:val="000000"/>
        </w:rPr>
        <w:t xml:space="preserve"> [PMID: 34944927 DOI: 10.3390/cancers13246307]</w:t>
      </w:r>
    </w:p>
    <w:p w14:paraId="31EFD9B1" w14:textId="77777777" w:rsidR="00A77B3E" w:rsidRDefault="005C288A">
      <w:pPr>
        <w:spacing w:line="360" w:lineRule="auto"/>
        <w:jc w:val="both"/>
      </w:pPr>
      <w:r>
        <w:rPr>
          <w:rFonts w:ascii="Book Antiqua" w:eastAsia="Book Antiqua" w:hAnsi="Book Antiqua" w:cs="Book Antiqua"/>
          <w:color w:val="000000"/>
        </w:rPr>
        <w:t xml:space="preserve">74 </w:t>
      </w:r>
      <w:r>
        <w:rPr>
          <w:rFonts w:ascii="Book Antiqua" w:eastAsia="Book Antiqua" w:hAnsi="Book Antiqua" w:cs="Book Antiqua"/>
          <w:b/>
          <w:bCs/>
          <w:color w:val="000000"/>
        </w:rPr>
        <w:t>Chen GH</w:t>
      </w:r>
      <w:r>
        <w:rPr>
          <w:rFonts w:ascii="Book Antiqua" w:eastAsia="Book Antiqua" w:hAnsi="Book Antiqua" w:cs="Book Antiqua"/>
          <w:color w:val="000000"/>
        </w:rPr>
        <w:t xml:space="preserve">, Wang GB, Huang F, Qin R, Yu XJ, Wu RL, Hou LJ, Ye ZH, Zhang XH, Zhao HC. Pretransplant use of toripalimab for hepatocellular carcinoma resulting in fatal acute </w:t>
      </w:r>
      <w:r>
        <w:rPr>
          <w:rFonts w:ascii="Book Antiqua" w:eastAsia="Book Antiqua" w:hAnsi="Book Antiqua" w:cs="Book Antiqua"/>
          <w:color w:val="000000"/>
        </w:rPr>
        <w:lastRenderedPageBreak/>
        <w:t xml:space="preserve">hepatic necrosis in the immediate postoperative period. </w:t>
      </w:r>
      <w:r>
        <w:rPr>
          <w:rFonts w:ascii="Book Antiqua" w:eastAsia="Book Antiqua" w:hAnsi="Book Antiqua" w:cs="Book Antiqua"/>
          <w:i/>
          <w:iCs/>
          <w:color w:val="000000"/>
        </w:rPr>
        <w:t>Transpl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66</w:t>
      </w:r>
      <w:r>
        <w:rPr>
          <w:rFonts w:ascii="Book Antiqua" w:eastAsia="Book Antiqua" w:hAnsi="Book Antiqua" w:cs="Book Antiqua"/>
          <w:color w:val="000000"/>
        </w:rPr>
        <w:t>: 101386 [PMID: 33744409 DOI: 10.1016/j.trim.2021.101386]</w:t>
      </w:r>
    </w:p>
    <w:p w14:paraId="597F20C2" w14:textId="77777777" w:rsidR="00A77B3E" w:rsidRDefault="005C288A">
      <w:pPr>
        <w:spacing w:line="360" w:lineRule="auto"/>
        <w:jc w:val="both"/>
      </w:pPr>
      <w:r>
        <w:rPr>
          <w:rFonts w:ascii="Book Antiqua" w:eastAsia="Book Antiqua" w:hAnsi="Book Antiqua" w:cs="Book Antiqua"/>
          <w:color w:val="000000"/>
        </w:rPr>
        <w:t xml:space="preserve">75 </w:t>
      </w:r>
      <w:r>
        <w:rPr>
          <w:rFonts w:ascii="Book Antiqua" w:eastAsia="Book Antiqua" w:hAnsi="Book Antiqua" w:cs="Book Antiqua"/>
          <w:b/>
          <w:bCs/>
          <w:color w:val="000000"/>
        </w:rPr>
        <w:t>Shi GM</w:t>
      </w:r>
      <w:r>
        <w:rPr>
          <w:rFonts w:ascii="Book Antiqua" w:eastAsia="Book Antiqua" w:hAnsi="Book Antiqua" w:cs="Book Antiqua"/>
          <w:color w:val="000000"/>
        </w:rPr>
        <w:t xml:space="preserve">, Wang J, Huang XW, Huang XY, He YF, Ji Y, Chen Y, Wu D, Lu JC, Sun QM, Liu WR, Wang T, Yang LX, Hou YY, Shi YH, Sun J, Xiao YS, Wang Z, Fan J, </w:t>
      </w:r>
      <w:proofErr w:type="spellStart"/>
      <w:r>
        <w:rPr>
          <w:rFonts w:ascii="Book Antiqua" w:eastAsia="Book Antiqua" w:hAnsi="Book Antiqua" w:cs="Book Antiqua"/>
          <w:color w:val="000000"/>
        </w:rPr>
        <w:t>Bertagnolli</w:t>
      </w:r>
      <w:proofErr w:type="spellEnd"/>
      <w:r>
        <w:rPr>
          <w:rFonts w:ascii="Book Antiqua" w:eastAsia="Book Antiqua" w:hAnsi="Book Antiqua" w:cs="Book Antiqua"/>
          <w:color w:val="000000"/>
        </w:rPr>
        <w:t xml:space="preserve"> MM, Zhou J. Graft Programmed Death Ligand 1 Expression as a Marker for Transplant Rejection Following Anti-Programmed Death 1 Immunotherapy for Recurrent Liver Tumors. </w:t>
      </w:r>
      <w:r>
        <w:rPr>
          <w:rFonts w:ascii="Book Antiqua" w:eastAsia="Book Antiqua" w:hAnsi="Book Antiqua" w:cs="Book Antiqua"/>
          <w:i/>
          <w:iCs/>
          <w:color w:val="000000"/>
        </w:rPr>
        <w:t>Liver Transpl</w:t>
      </w:r>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444-449 [PMID: 32897657 DOI: 10.1002/Lt.25887]</w:t>
      </w:r>
    </w:p>
    <w:p w14:paraId="7D189AEC" w14:textId="77777777" w:rsidR="00A77B3E" w:rsidRDefault="005C288A">
      <w:pPr>
        <w:spacing w:line="360" w:lineRule="auto"/>
        <w:jc w:val="both"/>
      </w:pPr>
      <w:r>
        <w:rPr>
          <w:rFonts w:ascii="Book Antiqua" w:eastAsia="Book Antiqua" w:hAnsi="Book Antiqua" w:cs="Book Antiqua"/>
          <w:color w:val="000000"/>
        </w:rPr>
        <w:t xml:space="preserve">76 </w:t>
      </w:r>
      <w:r>
        <w:rPr>
          <w:rFonts w:ascii="Book Antiqua" w:eastAsia="Book Antiqua" w:hAnsi="Book Antiqua" w:cs="Book Antiqua"/>
          <w:b/>
          <w:bCs/>
          <w:color w:val="000000"/>
        </w:rPr>
        <w:t>Friend BD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Venick</w:t>
      </w:r>
      <w:proofErr w:type="spellEnd"/>
      <w:r>
        <w:rPr>
          <w:rFonts w:ascii="Book Antiqua" w:eastAsia="Book Antiqua" w:hAnsi="Book Antiqua" w:cs="Book Antiqua"/>
          <w:color w:val="000000"/>
        </w:rPr>
        <w:t xml:space="preserve"> RS, McDiarmid SV, Zhou X, </w:t>
      </w:r>
      <w:proofErr w:type="spellStart"/>
      <w:r>
        <w:rPr>
          <w:rFonts w:ascii="Book Antiqua" w:eastAsia="Book Antiqua" w:hAnsi="Book Antiqua" w:cs="Book Antiqua"/>
          <w:color w:val="000000"/>
        </w:rPr>
        <w:t>Naini</w:t>
      </w:r>
      <w:proofErr w:type="spellEnd"/>
      <w:r>
        <w:rPr>
          <w:rFonts w:ascii="Book Antiqua" w:eastAsia="Book Antiqua" w:hAnsi="Book Antiqua" w:cs="Book Antiqua"/>
          <w:color w:val="000000"/>
        </w:rPr>
        <w:t xml:space="preserve"> B, Wang H, Farmer DG, Busuttil RW, </w:t>
      </w:r>
      <w:proofErr w:type="spellStart"/>
      <w:r>
        <w:rPr>
          <w:rFonts w:ascii="Book Antiqua" w:eastAsia="Book Antiqua" w:hAnsi="Book Antiqua" w:cs="Book Antiqua"/>
          <w:color w:val="000000"/>
        </w:rPr>
        <w:t>Federman</w:t>
      </w:r>
      <w:proofErr w:type="spellEnd"/>
      <w:r>
        <w:rPr>
          <w:rFonts w:ascii="Book Antiqua" w:eastAsia="Book Antiqua" w:hAnsi="Book Antiqua" w:cs="Book Antiqua"/>
          <w:color w:val="000000"/>
        </w:rPr>
        <w:t xml:space="preserve"> N. Fatal orthotopic liver transplant organ rejection induced by a checkpoint inhibitor in two patients with refractory, metastatic hepatocellular carcinoma. </w:t>
      </w:r>
      <w:r>
        <w:rPr>
          <w:rFonts w:ascii="Book Antiqua" w:eastAsia="Book Antiqua" w:hAnsi="Book Antiqua" w:cs="Book Antiqua"/>
          <w:i/>
          <w:iCs/>
          <w:color w:val="000000"/>
        </w:rPr>
        <w:t>Pediatr Blood Cancer</w:t>
      </w:r>
      <w:r>
        <w:rPr>
          <w:rFonts w:ascii="Book Antiqua" w:eastAsia="Book Antiqua" w:hAnsi="Book Antiqua" w:cs="Book Antiqua"/>
          <w:color w:val="000000"/>
        </w:rPr>
        <w:t xml:space="preserve"> 2017; </w:t>
      </w:r>
      <w:r>
        <w:rPr>
          <w:rFonts w:ascii="Book Antiqua" w:eastAsia="Book Antiqua" w:hAnsi="Book Antiqua" w:cs="Book Antiqua"/>
          <w:b/>
          <w:bCs/>
          <w:color w:val="000000"/>
        </w:rPr>
        <w:t>64</w:t>
      </w:r>
      <w:r>
        <w:rPr>
          <w:rFonts w:ascii="Book Antiqua" w:eastAsia="Book Antiqua" w:hAnsi="Book Antiqua" w:cs="Book Antiqua"/>
          <w:color w:val="000000"/>
        </w:rPr>
        <w:t xml:space="preserve"> [PMID: 28643391 DOI: 10.1002/pbc.26682]</w:t>
      </w:r>
    </w:p>
    <w:p w14:paraId="33FC57E1" w14:textId="77777777" w:rsidR="00A77B3E" w:rsidRDefault="005C288A">
      <w:pPr>
        <w:spacing w:line="360" w:lineRule="auto"/>
        <w:jc w:val="both"/>
      </w:pPr>
      <w:r>
        <w:rPr>
          <w:rFonts w:ascii="Book Antiqua" w:eastAsia="Book Antiqua" w:hAnsi="Book Antiqua" w:cs="Book Antiqua"/>
          <w:color w:val="000000"/>
        </w:rPr>
        <w:t xml:space="preserve">77 </w:t>
      </w:r>
      <w:r>
        <w:rPr>
          <w:rFonts w:ascii="Book Antiqua" w:eastAsia="Book Antiqua" w:hAnsi="Book Antiqua" w:cs="Book Antiqua"/>
          <w:b/>
          <w:bCs/>
          <w:color w:val="000000"/>
        </w:rPr>
        <w:t>DeLeon TT</w:t>
      </w:r>
      <w:r>
        <w:rPr>
          <w:rFonts w:ascii="Book Antiqua" w:eastAsia="Book Antiqua" w:hAnsi="Book Antiqua" w:cs="Book Antiqua"/>
          <w:color w:val="000000"/>
        </w:rPr>
        <w:t xml:space="preserve">, Salomao MA, </w:t>
      </w:r>
      <w:proofErr w:type="spellStart"/>
      <w:r>
        <w:rPr>
          <w:rFonts w:ascii="Book Antiqua" w:eastAsia="Book Antiqua" w:hAnsi="Book Antiqua" w:cs="Book Antiqua"/>
          <w:color w:val="000000"/>
        </w:rPr>
        <w:t>Aqel</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Sonbol</w:t>
      </w:r>
      <w:proofErr w:type="spellEnd"/>
      <w:r>
        <w:rPr>
          <w:rFonts w:ascii="Book Antiqua" w:eastAsia="Book Antiqua" w:hAnsi="Book Antiqua" w:cs="Book Antiqua"/>
          <w:color w:val="000000"/>
        </w:rPr>
        <w:t xml:space="preserve"> MB, </w:t>
      </w:r>
      <w:proofErr w:type="spellStart"/>
      <w:r>
        <w:rPr>
          <w:rFonts w:ascii="Book Antiqua" w:eastAsia="Book Antiqua" w:hAnsi="Book Antiqua" w:cs="Book Antiqua"/>
          <w:color w:val="000000"/>
        </w:rPr>
        <w:t>Yokoda</w:t>
      </w:r>
      <w:proofErr w:type="spellEnd"/>
      <w:r>
        <w:rPr>
          <w:rFonts w:ascii="Book Antiqua" w:eastAsia="Book Antiqua" w:hAnsi="Book Antiqua" w:cs="Book Antiqua"/>
          <w:color w:val="000000"/>
        </w:rPr>
        <w:t xml:space="preserve"> RT, Ali AH, Moss AA, Mathur AK, </w:t>
      </w:r>
      <w:proofErr w:type="spellStart"/>
      <w:r>
        <w:rPr>
          <w:rFonts w:ascii="Book Antiqua" w:eastAsia="Book Antiqua" w:hAnsi="Book Antiqua" w:cs="Book Antiqua"/>
          <w:color w:val="000000"/>
        </w:rPr>
        <w:t>Chascsa</w:t>
      </w:r>
      <w:proofErr w:type="spellEnd"/>
      <w:r>
        <w:rPr>
          <w:rFonts w:ascii="Book Antiqua" w:eastAsia="Book Antiqua" w:hAnsi="Book Antiqua" w:cs="Book Antiqua"/>
          <w:color w:val="000000"/>
        </w:rPr>
        <w:t xml:space="preserve"> DM, </w:t>
      </w:r>
      <w:proofErr w:type="spellStart"/>
      <w:r>
        <w:rPr>
          <w:rFonts w:ascii="Book Antiqua" w:eastAsia="Book Antiqua" w:hAnsi="Book Antiqua" w:cs="Book Antiqua"/>
          <w:color w:val="000000"/>
        </w:rPr>
        <w:t>Rakela</w:t>
      </w:r>
      <w:proofErr w:type="spellEnd"/>
      <w:r>
        <w:rPr>
          <w:rFonts w:ascii="Book Antiqua" w:eastAsia="Book Antiqua" w:hAnsi="Book Antiqua" w:cs="Book Antiqua"/>
          <w:color w:val="000000"/>
        </w:rPr>
        <w:t xml:space="preserve"> J, Bryce AH, </w:t>
      </w:r>
      <w:proofErr w:type="spellStart"/>
      <w:r>
        <w:rPr>
          <w:rFonts w:ascii="Book Antiqua" w:eastAsia="Book Antiqua" w:hAnsi="Book Antiqua" w:cs="Book Antiqua"/>
          <w:color w:val="000000"/>
        </w:rPr>
        <w:t>Borad</w:t>
      </w:r>
      <w:proofErr w:type="spellEnd"/>
      <w:r>
        <w:rPr>
          <w:rFonts w:ascii="Book Antiqua" w:eastAsia="Book Antiqua" w:hAnsi="Book Antiqua" w:cs="Book Antiqua"/>
          <w:color w:val="000000"/>
        </w:rPr>
        <w:t xml:space="preserve"> MJ. Pilot evaluation of PD-1 inhibition in metastatic cancer patients with a history of liver transplantation: the Mayo Clinic experience. </w:t>
      </w:r>
      <w:r>
        <w:rPr>
          <w:rFonts w:ascii="Book Antiqua" w:eastAsia="Book Antiqua" w:hAnsi="Book Antiqua" w:cs="Book Antiqua"/>
          <w:i/>
          <w:iCs/>
          <w:color w:val="000000"/>
        </w:rPr>
        <w:t>J Gastrointest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9</w:t>
      </w:r>
      <w:r>
        <w:rPr>
          <w:rFonts w:ascii="Book Antiqua" w:eastAsia="Book Antiqua" w:hAnsi="Book Antiqua" w:cs="Book Antiqua"/>
          <w:color w:val="000000"/>
        </w:rPr>
        <w:t>: 1054-1062 [PMID: 30603124 DOI: 10.21037/jgo.2018.07.05]</w:t>
      </w:r>
    </w:p>
    <w:p w14:paraId="72C42E39" w14:textId="77777777" w:rsidR="00A77B3E" w:rsidRDefault="005C288A">
      <w:pPr>
        <w:spacing w:line="360" w:lineRule="auto"/>
        <w:jc w:val="both"/>
      </w:pPr>
      <w:r>
        <w:rPr>
          <w:rFonts w:ascii="Book Antiqua" w:eastAsia="Book Antiqua" w:hAnsi="Book Antiqua" w:cs="Book Antiqua"/>
          <w:color w:val="000000"/>
        </w:rPr>
        <w:t xml:space="preserve">78 </w:t>
      </w:r>
      <w:proofErr w:type="spellStart"/>
      <w:r>
        <w:rPr>
          <w:rFonts w:ascii="Book Antiqua" w:eastAsia="Book Antiqua" w:hAnsi="Book Antiqua" w:cs="Book Antiqua"/>
          <w:b/>
          <w:bCs/>
          <w:color w:val="000000"/>
        </w:rPr>
        <w:t>Postow</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Sidlow R, Hellmann MD. Immune-Related Adverse Events Associated with Immune Checkpoint Blockade. </w:t>
      </w:r>
      <w:r>
        <w:rPr>
          <w:rFonts w:ascii="Book Antiqua" w:eastAsia="Book Antiqua" w:hAnsi="Book Antiqua" w:cs="Book Antiqua"/>
          <w:i/>
          <w:iCs/>
          <w:color w:val="000000"/>
        </w:rPr>
        <w:t>N Engl J Med</w:t>
      </w:r>
      <w:r>
        <w:rPr>
          <w:rFonts w:ascii="Book Antiqua" w:eastAsia="Book Antiqua" w:hAnsi="Book Antiqua" w:cs="Book Antiqua"/>
          <w:color w:val="000000"/>
        </w:rPr>
        <w:t xml:space="preserve"> 2018; </w:t>
      </w:r>
      <w:r>
        <w:rPr>
          <w:rFonts w:ascii="Book Antiqua" w:eastAsia="Book Antiqua" w:hAnsi="Book Antiqua" w:cs="Book Antiqua"/>
          <w:b/>
          <w:bCs/>
          <w:color w:val="000000"/>
        </w:rPr>
        <w:t>378</w:t>
      </w:r>
      <w:r>
        <w:rPr>
          <w:rFonts w:ascii="Book Antiqua" w:eastAsia="Book Antiqua" w:hAnsi="Book Antiqua" w:cs="Book Antiqua"/>
          <w:color w:val="000000"/>
        </w:rPr>
        <w:t>: 158-168 [PMID: 29320654 DOI: 10.1056/NEJMra1703481]</w:t>
      </w:r>
    </w:p>
    <w:p w14:paraId="6B2E3897" w14:textId="77777777" w:rsidR="00A77B3E" w:rsidRDefault="005C288A">
      <w:pPr>
        <w:spacing w:line="360" w:lineRule="auto"/>
        <w:jc w:val="both"/>
      </w:pPr>
      <w:r>
        <w:rPr>
          <w:rFonts w:ascii="Book Antiqua" w:eastAsia="Book Antiqua" w:hAnsi="Book Antiqua" w:cs="Book Antiqua"/>
          <w:color w:val="000000"/>
        </w:rPr>
        <w:t xml:space="preserve">79 </w:t>
      </w:r>
      <w:r>
        <w:rPr>
          <w:rFonts w:ascii="Book Antiqua" w:eastAsia="Book Antiqua" w:hAnsi="Book Antiqua" w:cs="Book Antiqua"/>
          <w:b/>
          <w:bCs/>
          <w:color w:val="000000"/>
        </w:rPr>
        <w:t>Abdel-Wahab N</w:t>
      </w:r>
      <w:r>
        <w:rPr>
          <w:rFonts w:ascii="Book Antiqua" w:eastAsia="Book Antiqua" w:hAnsi="Book Antiqua" w:cs="Book Antiqua"/>
          <w:color w:val="000000"/>
        </w:rPr>
        <w:t>, Shah M, Suarez-</w:t>
      </w:r>
      <w:proofErr w:type="spellStart"/>
      <w:r>
        <w:rPr>
          <w:rFonts w:ascii="Book Antiqua" w:eastAsia="Book Antiqua" w:hAnsi="Book Antiqua" w:cs="Book Antiqua"/>
          <w:color w:val="000000"/>
        </w:rPr>
        <w:t>Almazor</w:t>
      </w:r>
      <w:proofErr w:type="spellEnd"/>
      <w:r>
        <w:rPr>
          <w:rFonts w:ascii="Book Antiqua" w:eastAsia="Book Antiqua" w:hAnsi="Book Antiqua" w:cs="Book Antiqua"/>
          <w:color w:val="000000"/>
        </w:rPr>
        <w:t xml:space="preserve"> ME. Adverse Events Associated with Immune Checkpoint Blockade in Patients with Cancer: A Systematic Review of Case Reports. </w:t>
      </w:r>
      <w:r>
        <w:rPr>
          <w:rFonts w:ascii="Book Antiqua" w:eastAsia="Book Antiqua" w:hAnsi="Book Antiqua" w:cs="Book Antiqua"/>
          <w:i/>
          <w:iCs/>
          <w:color w:val="000000"/>
        </w:rPr>
        <w:t>PLoS One</w:t>
      </w:r>
      <w:r>
        <w:rPr>
          <w:rFonts w:ascii="Book Antiqua" w:eastAsia="Book Antiqua" w:hAnsi="Book Antiqua" w:cs="Book Antiqua"/>
          <w:color w:val="000000"/>
        </w:rPr>
        <w:t xml:space="preserve"> 2016; </w:t>
      </w:r>
      <w:r>
        <w:rPr>
          <w:rFonts w:ascii="Book Antiqua" w:eastAsia="Book Antiqua" w:hAnsi="Book Antiqua" w:cs="Book Antiqua"/>
          <w:b/>
          <w:bCs/>
          <w:color w:val="000000"/>
        </w:rPr>
        <w:t>11</w:t>
      </w:r>
      <w:r>
        <w:rPr>
          <w:rFonts w:ascii="Book Antiqua" w:eastAsia="Book Antiqua" w:hAnsi="Book Antiqua" w:cs="Book Antiqua"/>
          <w:color w:val="000000"/>
        </w:rPr>
        <w:t>: e0160221 [PMID: 27472273 DOI: 10.1371/journal.pone.0160221]</w:t>
      </w:r>
    </w:p>
    <w:p w14:paraId="673DEAAB" w14:textId="77777777" w:rsidR="00A77B3E" w:rsidRDefault="005C288A">
      <w:pPr>
        <w:spacing w:line="360" w:lineRule="auto"/>
        <w:jc w:val="both"/>
      </w:pPr>
      <w:r>
        <w:rPr>
          <w:rFonts w:ascii="Book Antiqua" w:eastAsia="Book Antiqua" w:hAnsi="Book Antiqua" w:cs="Book Antiqua"/>
          <w:color w:val="000000"/>
        </w:rPr>
        <w:t xml:space="preserve">80 </w:t>
      </w:r>
      <w:proofErr w:type="spellStart"/>
      <w:r>
        <w:rPr>
          <w:rFonts w:ascii="Book Antiqua" w:eastAsia="Book Antiqua" w:hAnsi="Book Antiqua" w:cs="Book Antiqua"/>
          <w:b/>
          <w:bCs/>
          <w:color w:val="000000"/>
        </w:rPr>
        <w:t>Wanchoo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Riella</w:t>
      </w:r>
      <w:proofErr w:type="spellEnd"/>
      <w:r>
        <w:rPr>
          <w:rFonts w:ascii="Book Antiqua" w:eastAsia="Book Antiqua" w:hAnsi="Book Antiqua" w:cs="Book Antiqua"/>
          <w:color w:val="000000"/>
        </w:rPr>
        <w:t xml:space="preserve"> LV, Uppal NN, Lopez CA, Nair V, </w:t>
      </w:r>
      <w:proofErr w:type="spellStart"/>
      <w:r>
        <w:rPr>
          <w:rFonts w:ascii="Book Antiqua" w:eastAsia="Book Antiqua" w:hAnsi="Book Antiqua" w:cs="Book Antiqua"/>
          <w:color w:val="000000"/>
        </w:rPr>
        <w:t>Devoe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Jhaveri</w:t>
      </w:r>
      <w:proofErr w:type="spellEnd"/>
      <w:r>
        <w:rPr>
          <w:rFonts w:ascii="Book Antiqua" w:eastAsia="Book Antiqua" w:hAnsi="Book Antiqua" w:cs="Book Antiqua"/>
          <w:color w:val="000000"/>
        </w:rPr>
        <w:t xml:space="preserve"> KD. Immune Checkpoint Inhibitors in the Cancer Patient with An Organ Transplant. Journal of Onco-Nephrology 2017; 1: 42-48 [DOI: 10.5301/jo-n.5000006]</w:t>
      </w:r>
    </w:p>
    <w:p w14:paraId="4D609F07" w14:textId="77777777" w:rsidR="00A77B3E" w:rsidRDefault="005C288A">
      <w:pPr>
        <w:spacing w:line="360" w:lineRule="auto"/>
        <w:jc w:val="both"/>
      </w:pPr>
      <w:r>
        <w:rPr>
          <w:rFonts w:ascii="Book Antiqua" w:eastAsia="Book Antiqua" w:hAnsi="Book Antiqua" w:cs="Book Antiqua"/>
          <w:color w:val="000000"/>
        </w:rPr>
        <w:t xml:space="preserve">81 </w:t>
      </w:r>
      <w:r>
        <w:rPr>
          <w:rFonts w:ascii="Book Antiqua" w:eastAsia="Book Antiqua" w:hAnsi="Book Antiqua" w:cs="Book Antiqua"/>
          <w:b/>
          <w:bCs/>
          <w:color w:val="000000"/>
        </w:rPr>
        <w:t>Nordness MF</w:t>
      </w:r>
      <w:r>
        <w:rPr>
          <w:rFonts w:ascii="Book Antiqua" w:eastAsia="Book Antiqua" w:hAnsi="Book Antiqua" w:cs="Book Antiqua"/>
          <w:color w:val="000000"/>
        </w:rPr>
        <w:t xml:space="preserve">, Hamel S, Godfrey CM, Shi C, Johnson DB, Goff LW, O'Dell H, Perri RE, </w:t>
      </w:r>
      <w:proofErr w:type="spellStart"/>
      <w:r>
        <w:rPr>
          <w:rFonts w:ascii="Book Antiqua" w:eastAsia="Book Antiqua" w:hAnsi="Book Antiqua" w:cs="Book Antiqua"/>
          <w:color w:val="000000"/>
        </w:rPr>
        <w:t>Alexopoulos</w:t>
      </w:r>
      <w:proofErr w:type="spellEnd"/>
      <w:r>
        <w:rPr>
          <w:rFonts w:ascii="Book Antiqua" w:eastAsia="Book Antiqua" w:hAnsi="Book Antiqua" w:cs="Book Antiqua"/>
          <w:color w:val="000000"/>
        </w:rPr>
        <w:t xml:space="preserve"> SP. Fatal hepatic necrosis after nivolumab as a bridge to liver transplant for HCC: Are checkpoint inhibitors safe for the pretransplant patient? </w:t>
      </w:r>
      <w:r>
        <w:rPr>
          <w:rFonts w:ascii="Book Antiqua" w:eastAsia="Book Antiqua" w:hAnsi="Book Antiqua" w:cs="Book Antiqua"/>
          <w:i/>
          <w:iCs/>
          <w:color w:val="000000"/>
        </w:rPr>
        <w:t>Am J Transplant</w:t>
      </w:r>
      <w:r>
        <w:rPr>
          <w:rFonts w:ascii="Book Antiqua" w:eastAsia="Book Antiqua" w:hAnsi="Book Antiqua" w:cs="Book Antiqua"/>
          <w:color w:val="000000"/>
        </w:rPr>
        <w:t xml:space="preserve"> 2020; </w:t>
      </w:r>
      <w:r>
        <w:rPr>
          <w:rFonts w:ascii="Book Antiqua" w:eastAsia="Book Antiqua" w:hAnsi="Book Antiqua" w:cs="Book Antiqua"/>
          <w:b/>
          <w:bCs/>
          <w:color w:val="000000"/>
        </w:rPr>
        <w:t>20</w:t>
      </w:r>
      <w:r>
        <w:rPr>
          <w:rFonts w:ascii="Book Antiqua" w:eastAsia="Book Antiqua" w:hAnsi="Book Antiqua" w:cs="Book Antiqua"/>
          <w:color w:val="000000"/>
        </w:rPr>
        <w:t>: 879-883 [PMID: 31550417 DOI: 10.1111/ajt.15617]</w:t>
      </w:r>
    </w:p>
    <w:p w14:paraId="0EC1A185" w14:textId="77777777" w:rsidR="00A77B3E" w:rsidRDefault="005C288A">
      <w:pPr>
        <w:spacing w:line="360" w:lineRule="auto"/>
        <w:jc w:val="both"/>
      </w:pPr>
      <w:r>
        <w:rPr>
          <w:rFonts w:ascii="Book Antiqua" w:eastAsia="Book Antiqua" w:hAnsi="Book Antiqua" w:cs="Book Antiqua"/>
          <w:color w:val="000000"/>
        </w:rPr>
        <w:lastRenderedPageBreak/>
        <w:t xml:space="preserve">82 </w:t>
      </w:r>
      <w:proofErr w:type="spellStart"/>
      <w:r>
        <w:rPr>
          <w:rFonts w:ascii="Book Antiqua" w:eastAsia="Book Antiqua" w:hAnsi="Book Antiqua" w:cs="Book Antiqua"/>
          <w:b/>
          <w:bCs/>
          <w:color w:val="000000"/>
        </w:rPr>
        <w:t>Schwacha-Eipper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Minciuna</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Banz</w:t>
      </w:r>
      <w:proofErr w:type="spellEnd"/>
      <w:r>
        <w:rPr>
          <w:rFonts w:ascii="Book Antiqua" w:eastAsia="Book Antiqua" w:hAnsi="Book Antiqua" w:cs="Book Antiqua"/>
          <w:color w:val="000000"/>
        </w:rPr>
        <w:t xml:space="preserve"> V, Dufour JF. Immunotherapy as a Downstaging Therapy for Liver Transplantation. </w:t>
      </w:r>
      <w:r>
        <w:rPr>
          <w:rFonts w:ascii="Book Antiqua" w:eastAsia="Book Antiqua" w:hAnsi="Book Antiqua" w:cs="Book Antiqua"/>
          <w:i/>
          <w:iCs/>
          <w:color w:val="000000"/>
        </w:rPr>
        <w:t>Hepatology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72</w:t>
      </w:r>
      <w:r>
        <w:rPr>
          <w:rFonts w:ascii="Book Antiqua" w:eastAsia="Book Antiqua" w:hAnsi="Book Antiqua" w:cs="Book Antiqua"/>
          <w:color w:val="000000"/>
        </w:rPr>
        <w:t>: 1488-1490 [PMID: 32171041 DOI: 10.1002/hep.31234]</w:t>
      </w:r>
    </w:p>
    <w:p w14:paraId="355E13DB" w14:textId="77777777" w:rsidR="00A77B3E" w:rsidRDefault="005C288A">
      <w:pPr>
        <w:spacing w:line="360" w:lineRule="auto"/>
        <w:jc w:val="both"/>
      </w:pPr>
      <w:r>
        <w:rPr>
          <w:rFonts w:ascii="Book Antiqua" w:eastAsia="Book Antiqua" w:hAnsi="Book Antiqua" w:cs="Book Antiqua"/>
          <w:color w:val="000000"/>
        </w:rPr>
        <w:t xml:space="preserve">83 </w:t>
      </w:r>
      <w:proofErr w:type="spellStart"/>
      <w:r>
        <w:rPr>
          <w:rFonts w:ascii="Book Antiqua" w:eastAsia="Book Antiqua" w:hAnsi="Book Antiqua" w:cs="Book Antiqua"/>
          <w:b/>
          <w:bCs/>
          <w:color w:val="000000"/>
        </w:rPr>
        <w:t>Qiao</w:t>
      </w:r>
      <w:proofErr w:type="spellEnd"/>
      <w:r>
        <w:rPr>
          <w:rFonts w:ascii="Book Antiqua" w:eastAsia="Book Antiqua" w:hAnsi="Book Antiqua" w:cs="Book Antiqua"/>
          <w:b/>
          <w:bCs/>
          <w:color w:val="000000"/>
        </w:rPr>
        <w:t xml:space="preserve"> ZY</w:t>
      </w:r>
      <w:r>
        <w:rPr>
          <w:rFonts w:ascii="Book Antiqua" w:eastAsia="Book Antiqua" w:hAnsi="Book Antiqua" w:cs="Book Antiqua"/>
          <w:color w:val="000000"/>
        </w:rPr>
        <w:t xml:space="preserve">, Zhang ZJ,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ZC, Tong H, Xi ZF, Wu HX, Chen XS, Xia L, Feng H, Zhang JJ, Xia Q. Neoadjuvant Programmed Cell Death 1 (PD-1) Inhibitor Treatment in Patients With Hepatocellular Carcinoma Before Liver Transplant: A Cohort Study and Literature Review.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653437 [PMID: 34349755 DOI: 10.3389/fimmu.2021.653437]</w:t>
      </w:r>
    </w:p>
    <w:p w14:paraId="752C764C" w14:textId="77777777" w:rsidR="00A77B3E" w:rsidRDefault="005C288A">
      <w:pPr>
        <w:spacing w:line="360" w:lineRule="auto"/>
        <w:jc w:val="both"/>
      </w:pPr>
      <w:r>
        <w:rPr>
          <w:rFonts w:ascii="Book Antiqua" w:eastAsia="Book Antiqua" w:hAnsi="Book Antiqua" w:cs="Book Antiqua"/>
          <w:color w:val="000000"/>
        </w:rPr>
        <w:t xml:space="preserve">84 </w:t>
      </w:r>
      <w:r>
        <w:rPr>
          <w:rFonts w:ascii="Book Antiqua" w:eastAsia="Book Antiqua" w:hAnsi="Book Antiqua" w:cs="Book Antiqua"/>
          <w:b/>
          <w:bCs/>
          <w:color w:val="000000"/>
        </w:rPr>
        <w:t>Mohr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Jost</w:t>
      </w:r>
      <w:proofErr w:type="spellEnd"/>
      <w:r>
        <w:rPr>
          <w:rFonts w:ascii="Book Antiqua" w:eastAsia="Book Antiqua" w:hAnsi="Book Antiqua" w:cs="Book Antiqua"/>
          <w:color w:val="000000"/>
        </w:rPr>
        <w:t xml:space="preserve">-Brinkmann F, </w:t>
      </w:r>
      <w:proofErr w:type="spellStart"/>
      <w:r>
        <w:rPr>
          <w:rFonts w:ascii="Book Antiqua" w:eastAsia="Book Antiqua" w:hAnsi="Book Antiqua" w:cs="Book Antiqua"/>
          <w:color w:val="000000"/>
        </w:rPr>
        <w:t>Özdirik</w:t>
      </w:r>
      <w:proofErr w:type="spellEnd"/>
      <w:r>
        <w:rPr>
          <w:rFonts w:ascii="Book Antiqua" w:eastAsia="Book Antiqua" w:hAnsi="Book Antiqua" w:cs="Book Antiqua"/>
          <w:color w:val="000000"/>
        </w:rPr>
        <w:t xml:space="preserve"> B, Lambrecht J, </w:t>
      </w:r>
      <w:proofErr w:type="spellStart"/>
      <w:r>
        <w:rPr>
          <w:rFonts w:ascii="Book Antiqua" w:eastAsia="Book Antiqua" w:hAnsi="Book Antiqua" w:cs="Book Antiqua"/>
          <w:color w:val="000000"/>
        </w:rPr>
        <w:t>Hammerich</w:t>
      </w:r>
      <w:proofErr w:type="spellEnd"/>
      <w:r>
        <w:rPr>
          <w:rFonts w:ascii="Book Antiqua" w:eastAsia="Book Antiqua" w:hAnsi="Book Antiqua" w:cs="Book Antiqua"/>
          <w:color w:val="000000"/>
        </w:rPr>
        <w:t xml:space="preserve"> L, Loosen SH, </w:t>
      </w:r>
      <w:proofErr w:type="spellStart"/>
      <w:r>
        <w:rPr>
          <w:rFonts w:ascii="Book Antiqua" w:eastAsia="Book Antiqua" w:hAnsi="Book Antiqua" w:cs="Book Antiqua"/>
          <w:color w:val="000000"/>
        </w:rPr>
        <w:t>Luedde</w:t>
      </w:r>
      <w:proofErr w:type="spellEnd"/>
      <w:r>
        <w:rPr>
          <w:rFonts w:ascii="Book Antiqua" w:eastAsia="Book Antiqua" w:hAnsi="Book Antiqua" w:cs="Book Antiqua"/>
          <w:color w:val="000000"/>
        </w:rPr>
        <w:t xml:space="preserve"> T, Demir M, </w:t>
      </w:r>
      <w:proofErr w:type="spellStart"/>
      <w:r>
        <w:rPr>
          <w:rFonts w:ascii="Book Antiqua" w:eastAsia="Book Antiqua" w:hAnsi="Book Antiqua" w:cs="Book Antiqua"/>
          <w:color w:val="000000"/>
        </w:rPr>
        <w:t>Tacke</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Roderburg</w:t>
      </w:r>
      <w:proofErr w:type="spellEnd"/>
      <w:r>
        <w:rPr>
          <w:rFonts w:ascii="Book Antiqua" w:eastAsia="Book Antiqua" w:hAnsi="Book Antiqua" w:cs="Book Antiqua"/>
          <w:color w:val="000000"/>
        </w:rPr>
        <w:t xml:space="preserve"> C. Lessons From Immune Checkpoint Inhibitor Trials in Hepatocellular Carcinoma. </w:t>
      </w:r>
      <w:r>
        <w:rPr>
          <w:rFonts w:ascii="Book Antiqua" w:eastAsia="Book Antiqua" w:hAnsi="Book Antiqua" w:cs="Book Antiqua"/>
          <w:i/>
          <w:iCs/>
          <w:color w:val="000000"/>
        </w:rPr>
        <w:t>Front Immunol</w:t>
      </w:r>
      <w:r>
        <w:rPr>
          <w:rFonts w:ascii="Book Antiqua" w:eastAsia="Book Antiqua" w:hAnsi="Book Antiqua" w:cs="Book Antiqua"/>
          <w:color w:val="000000"/>
        </w:rPr>
        <w:t xml:space="preserve"> 2021; </w:t>
      </w:r>
      <w:r>
        <w:rPr>
          <w:rFonts w:ascii="Book Antiqua" w:eastAsia="Book Antiqua" w:hAnsi="Book Antiqua" w:cs="Book Antiqua"/>
          <w:b/>
          <w:bCs/>
          <w:color w:val="000000"/>
        </w:rPr>
        <w:t>12</w:t>
      </w:r>
      <w:r>
        <w:rPr>
          <w:rFonts w:ascii="Book Antiqua" w:eastAsia="Book Antiqua" w:hAnsi="Book Antiqua" w:cs="Book Antiqua"/>
          <w:color w:val="000000"/>
        </w:rPr>
        <w:t>: 652172 [PMID: 33859646 DOI: 10.3389/fimmu.2021.652172]</w:t>
      </w:r>
    </w:p>
    <w:p w14:paraId="45C33539" w14:textId="77777777" w:rsidR="00A77B3E" w:rsidRDefault="005C288A">
      <w:pPr>
        <w:spacing w:line="360" w:lineRule="auto"/>
        <w:jc w:val="both"/>
      </w:pPr>
      <w:r>
        <w:rPr>
          <w:rFonts w:ascii="Book Antiqua" w:eastAsia="Book Antiqua" w:hAnsi="Book Antiqua" w:cs="Book Antiqua"/>
          <w:color w:val="000000"/>
        </w:rPr>
        <w:t xml:space="preserve">85 </w:t>
      </w:r>
      <w:proofErr w:type="spellStart"/>
      <w:r>
        <w:rPr>
          <w:rFonts w:ascii="Book Antiqua" w:eastAsia="Book Antiqua" w:hAnsi="Book Antiqua" w:cs="Book Antiqua"/>
          <w:b/>
          <w:bCs/>
          <w:color w:val="000000"/>
        </w:rPr>
        <w:t>Pinato</w:t>
      </w:r>
      <w:proofErr w:type="spellEnd"/>
      <w:r>
        <w:rPr>
          <w:rFonts w:ascii="Book Antiqua" w:eastAsia="Book Antiqua" w:hAnsi="Book Antiqua" w:cs="Book Antiqua"/>
          <w:b/>
          <w:bCs/>
          <w:color w:val="000000"/>
        </w:rPr>
        <w:t xml:space="preserve"> DJ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Cortellini</w:t>
      </w:r>
      <w:proofErr w:type="spellEnd"/>
      <w:r>
        <w:rPr>
          <w:rFonts w:ascii="Book Antiqua" w:eastAsia="Book Antiqua" w:hAnsi="Book Antiqua" w:cs="Book Antiqua"/>
          <w:color w:val="000000"/>
        </w:rPr>
        <w:t xml:space="preserve"> A, Sukumaran A, Cole T, Pai M, Habib N, Spalding D, Sodergren MH, Martinez M, Dhillon T, Tait P, Thomas R, Ward C, Kocher H, Yip V, Slater S, Sharma R. PRIME-HCC: phase </w:t>
      </w:r>
      <w:proofErr w:type="spellStart"/>
      <w:r>
        <w:rPr>
          <w:rFonts w:ascii="Book Antiqua" w:eastAsia="Book Antiqua" w:hAnsi="Book Antiqua" w:cs="Book Antiqua"/>
          <w:color w:val="000000"/>
        </w:rPr>
        <w:t>Ib</w:t>
      </w:r>
      <w:proofErr w:type="spellEnd"/>
      <w:r>
        <w:rPr>
          <w:rFonts w:ascii="Book Antiqua" w:eastAsia="Book Antiqua" w:hAnsi="Book Antiqua" w:cs="Book Antiqua"/>
          <w:color w:val="000000"/>
        </w:rPr>
        <w:t xml:space="preserve"> study of neoadjuvant ipilimumab and nivolumab prior to liver resection for hepatocellular carcinoma. </w:t>
      </w:r>
      <w:r>
        <w:rPr>
          <w:rFonts w:ascii="Book Antiqua" w:eastAsia="Book Antiqua" w:hAnsi="Book Antiqua" w:cs="Book Antiqua"/>
          <w:i/>
          <w:iCs/>
          <w:color w:val="000000"/>
        </w:rPr>
        <w:t>BMC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21</w:t>
      </w:r>
      <w:r>
        <w:rPr>
          <w:rFonts w:ascii="Book Antiqua" w:eastAsia="Book Antiqua" w:hAnsi="Book Antiqua" w:cs="Book Antiqua"/>
          <w:color w:val="000000"/>
        </w:rPr>
        <w:t>: 301 [PMID: 33757459 DOI: 10.1186/s12885-021-08033-x]</w:t>
      </w:r>
    </w:p>
    <w:p w14:paraId="6CDDB009" w14:textId="00F38F8C" w:rsidR="00A77B3E" w:rsidRDefault="005C288A">
      <w:pPr>
        <w:spacing w:line="360" w:lineRule="auto"/>
        <w:jc w:val="both"/>
      </w:pPr>
      <w:r>
        <w:rPr>
          <w:rFonts w:ascii="Book Antiqua" w:eastAsia="Book Antiqua" w:hAnsi="Book Antiqua" w:cs="Book Antiqua"/>
          <w:color w:val="000000"/>
        </w:rPr>
        <w:t xml:space="preserve">86 </w:t>
      </w:r>
      <w:r w:rsidRPr="00540AE8">
        <w:rPr>
          <w:rFonts w:ascii="Book Antiqua" w:eastAsia="Book Antiqua" w:hAnsi="Book Antiqua" w:cs="Book Antiqua"/>
          <w:b/>
          <w:bCs/>
          <w:color w:val="000000"/>
        </w:rPr>
        <w:t>Safety and Bioactivity of Ipilimumab and Nivolumab Combination Prior to Liver Resection in Hepatocellular Carcinoma (PRIME-HCC)</w:t>
      </w:r>
      <w:r>
        <w:rPr>
          <w:rFonts w:ascii="Book Antiqua" w:eastAsia="Book Antiqua" w:hAnsi="Book Antiqua" w:cs="Book Antiqua"/>
          <w:color w:val="000000"/>
        </w:rPr>
        <w:t>. [accessed 2022 May 4]. In: ClinicalTrials.gov [Internet]. Bethesda (MD): U.S. National Library of Medicine. Available from: https://clinicaltrials.gov/ct2/show/NCT03682276 Clinical Trials.gov identifier: NCT03682276</w:t>
      </w:r>
    </w:p>
    <w:p w14:paraId="0FB72B6E" w14:textId="77777777" w:rsidR="00A77B3E" w:rsidRDefault="005C288A">
      <w:pPr>
        <w:spacing w:line="360" w:lineRule="auto"/>
        <w:jc w:val="both"/>
      </w:pPr>
      <w:r>
        <w:rPr>
          <w:rFonts w:ascii="Book Antiqua" w:eastAsia="Book Antiqua" w:hAnsi="Book Antiqua" w:cs="Book Antiqua"/>
          <w:color w:val="000000"/>
        </w:rPr>
        <w:t xml:space="preserve">87 </w:t>
      </w:r>
      <w:r>
        <w:rPr>
          <w:rFonts w:ascii="Book Antiqua" w:eastAsia="Book Antiqua" w:hAnsi="Book Antiqua" w:cs="Book Antiqua"/>
          <w:b/>
          <w:bCs/>
          <w:color w:val="000000"/>
        </w:rPr>
        <w:t>Ho WJ</w:t>
      </w:r>
      <w:r>
        <w:rPr>
          <w:rFonts w:ascii="Book Antiqua" w:eastAsia="Book Antiqua" w:hAnsi="Book Antiqua" w:cs="Book Antiqua"/>
          <w:color w:val="000000"/>
        </w:rPr>
        <w:t xml:space="preserve">, Zhu Q, Durham J, Popovic A, Xavier S, Leatherman J, Mohan A, Mo G, Zhang S, Gross N, </w:t>
      </w:r>
      <w:proofErr w:type="spellStart"/>
      <w:r>
        <w:rPr>
          <w:rFonts w:ascii="Book Antiqua" w:eastAsia="Book Antiqua" w:hAnsi="Book Antiqua" w:cs="Book Antiqua"/>
          <w:color w:val="000000"/>
        </w:rPr>
        <w:t>Charmsaz</w:t>
      </w:r>
      <w:proofErr w:type="spellEnd"/>
      <w:r>
        <w:rPr>
          <w:rFonts w:ascii="Book Antiqua" w:eastAsia="Book Antiqua" w:hAnsi="Book Antiqua" w:cs="Book Antiqua"/>
          <w:color w:val="000000"/>
        </w:rPr>
        <w:t xml:space="preserve"> S, Lin D, </w:t>
      </w:r>
      <w:proofErr w:type="spellStart"/>
      <w:r>
        <w:rPr>
          <w:rFonts w:ascii="Book Antiqua" w:eastAsia="Book Antiqua" w:hAnsi="Book Antiqua" w:cs="Book Antiqua"/>
          <w:color w:val="000000"/>
        </w:rPr>
        <w:t>Quong</w:t>
      </w:r>
      <w:proofErr w:type="spellEnd"/>
      <w:r>
        <w:rPr>
          <w:rFonts w:ascii="Book Antiqua" w:eastAsia="Book Antiqua" w:hAnsi="Book Antiqua" w:cs="Book Antiqua"/>
          <w:color w:val="000000"/>
        </w:rPr>
        <w:t xml:space="preserve"> D, Wilt B, Kamel IR, Weiss M, Philosophe B, Burkhart R, Burns WR, Shubert C, Ejaz A, He J, Deshpande A, Danilova L, Stein-O'Brien G, Sugar EA,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DA, Anders RA, </w:t>
      </w:r>
      <w:proofErr w:type="spellStart"/>
      <w:r>
        <w:rPr>
          <w:rFonts w:ascii="Book Antiqua" w:eastAsia="Book Antiqua" w:hAnsi="Book Antiqua" w:cs="Book Antiqua"/>
          <w:color w:val="000000"/>
        </w:rPr>
        <w:t>Fertig</w:t>
      </w:r>
      <w:proofErr w:type="spellEnd"/>
      <w:r>
        <w:rPr>
          <w:rFonts w:ascii="Book Antiqua" w:eastAsia="Book Antiqua" w:hAnsi="Book Antiqua" w:cs="Book Antiqua"/>
          <w:color w:val="000000"/>
        </w:rPr>
        <w:t xml:space="preserve"> EJ, Jaffee EM, </w:t>
      </w:r>
      <w:proofErr w:type="spellStart"/>
      <w:r>
        <w:rPr>
          <w:rFonts w:ascii="Book Antiqua" w:eastAsia="Book Antiqua" w:hAnsi="Book Antiqua" w:cs="Book Antiqua"/>
          <w:color w:val="000000"/>
        </w:rPr>
        <w:t>Yarchoan</w:t>
      </w:r>
      <w:proofErr w:type="spellEnd"/>
      <w:r>
        <w:rPr>
          <w:rFonts w:ascii="Book Antiqua" w:eastAsia="Book Antiqua" w:hAnsi="Book Antiqua" w:cs="Book Antiqua"/>
          <w:color w:val="000000"/>
        </w:rPr>
        <w:t xml:space="preserve"> M. Neoadjuvant Cabozantinib and Nivolumab Converts Locally Advanced HCC into Resectable Disease with Enhanced Antitumor Immunity. </w:t>
      </w:r>
      <w:r>
        <w:rPr>
          <w:rFonts w:ascii="Book Antiqua" w:eastAsia="Book Antiqua" w:hAnsi="Book Antiqua" w:cs="Book Antiqua"/>
          <w:i/>
          <w:iCs/>
          <w:color w:val="000000"/>
        </w:rPr>
        <w:t>Nat Cancer</w:t>
      </w:r>
      <w:r>
        <w:rPr>
          <w:rFonts w:ascii="Book Antiqua" w:eastAsia="Book Antiqua" w:hAnsi="Book Antiqua" w:cs="Book Antiqua"/>
          <w:color w:val="000000"/>
        </w:rPr>
        <w:t xml:space="preserve"> 2021; </w:t>
      </w:r>
      <w:r>
        <w:rPr>
          <w:rFonts w:ascii="Book Antiqua" w:eastAsia="Book Antiqua" w:hAnsi="Book Antiqua" w:cs="Book Antiqua"/>
          <w:b/>
          <w:bCs/>
          <w:color w:val="000000"/>
        </w:rPr>
        <w:t>2</w:t>
      </w:r>
      <w:r>
        <w:rPr>
          <w:rFonts w:ascii="Book Antiqua" w:eastAsia="Book Antiqua" w:hAnsi="Book Antiqua" w:cs="Book Antiqua"/>
          <w:color w:val="000000"/>
        </w:rPr>
        <w:t>: 891-903 [PMID: 34796337 DOI: 10.1038/s43018-021-00234-4]</w:t>
      </w:r>
    </w:p>
    <w:p w14:paraId="0109CCA4" w14:textId="6BF7D08B" w:rsidR="00A77B3E" w:rsidRDefault="005C288A">
      <w:pPr>
        <w:spacing w:line="360" w:lineRule="auto"/>
        <w:jc w:val="both"/>
      </w:pPr>
      <w:r>
        <w:rPr>
          <w:rFonts w:ascii="Book Antiqua" w:eastAsia="Book Antiqua" w:hAnsi="Book Antiqua" w:cs="Book Antiqua"/>
          <w:color w:val="000000"/>
        </w:rPr>
        <w:lastRenderedPageBreak/>
        <w:t>88</w:t>
      </w:r>
      <w:r w:rsidR="004663E9">
        <w:rPr>
          <w:rFonts w:ascii="Book Antiqua" w:eastAsia="Book Antiqua" w:hAnsi="Book Antiqua" w:cs="Book Antiqua"/>
          <w:color w:val="000000"/>
        </w:rPr>
        <w:t xml:space="preserve"> </w:t>
      </w:r>
      <w:r w:rsidR="00DC18F9" w:rsidRPr="004663E9">
        <w:rPr>
          <w:rFonts w:ascii="Book Antiqua" w:eastAsia="Book Antiqua" w:hAnsi="Book Antiqua" w:cs="Book Antiqua"/>
          <w:b/>
          <w:bCs/>
          <w:color w:val="000000"/>
        </w:rPr>
        <w:t>Neoadjuvant and Adjuvant Nivolumab in HCC Patients Treated by Electroporation (NIVOLEP).</w:t>
      </w:r>
      <w:r w:rsidR="00DC18F9">
        <w:rPr>
          <w:rFonts w:ascii="Book Antiqua" w:eastAsia="Book Antiqua" w:hAnsi="Book Antiqua" w:cs="Book Antiqua"/>
          <w:color w:val="000000"/>
        </w:rPr>
        <w:t xml:space="preserve"> [accessed 2022 May 5]. In: ClinicalTrials.gov [Internet]. Bethesda (MD): U.S. National Library of Medicine. Available from: https://clinicaltrials.gov/ct2/show/NCT03630640 ClinicalTrial.gov identifier: NCT03630640</w:t>
      </w:r>
      <w:r>
        <w:rPr>
          <w:rFonts w:ascii="Book Antiqua" w:eastAsia="Book Antiqua" w:hAnsi="Book Antiqua" w:cs="Book Antiqua"/>
          <w:color w:val="000000"/>
        </w:rPr>
        <w:t xml:space="preserve"> </w:t>
      </w:r>
    </w:p>
    <w:p w14:paraId="6FFC7376" w14:textId="77777777" w:rsidR="00A77B3E" w:rsidRDefault="005C288A">
      <w:pPr>
        <w:spacing w:line="360" w:lineRule="auto"/>
        <w:jc w:val="both"/>
      </w:pPr>
      <w:r>
        <w:rPr>
          <w:rFonts w:ascii="Book Antiqua" w:eastAsia="Book Antiqua" w:hAnsi="Book Antiqua" w:cs="Book Antiqua"/>
          <w:color w:val="000000"/>
        </w:rPr>
        <w:t xml:space="preserve">89 </w:t>
      </w:r>
      <w:r>
        <w:rPr>
          <w:rFonts w:ascii="Book Antiqua" w:eastAsia="Book Antiqua" w:hAnsi="Book Antiqua" w:cs="Book Antiqua"/>
          <w:b/>
          <w:bCs/>
          <w:color w:val="000000"/>
        </w:rPr>
        <w:t>Marron TU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Fiel</w:t>
      </w:r>
      <w:proofErr w:type="spellEnd"/>
      <w:r>
        <w:rPr>
          <w:rFonts w:ascii="Book Antiqua" w:eastAsia="Book Antiqua" w:hAnsi="Book Antiqua" w:cs="Book Antiqua"/>
          <w:color w:val="000000"/>
        </w:rPr>
        <w:t xml:space="preserve"> MI, Hamon P, </w:t>
      </w:r>
      <w:proofErr w:type="spellStart"/>
      <w:r>
        <w:rPr>
          <w:rFonts w:ascii="Book Antiqua" w:eastAsia="Book Antiqua" w:hAnsi="Book Antiqua" w:cs="Book Antiqua"/>
          <w:color w:val="000000"/>
        </w:rPr>
        <w:t>Fiaschi</w:t>
      </w:r>
      <w:proofErr w:type="spellEnd"/>
      <w:r>
        <w:rPr>
          <w:rFonts w:ascii="Book Antiqua" w:eastAsia="Book Antiqua" w:hAnsi="Book Antiqua" w:cs="Book Antiqua"/>
          <w:color w:val="000000"/>
        </w:rPr>
        <w:t xml:space="preserve"> N, Kim E, Ward SC, Zhao Z, Kim J, Kennedy P, Gunasekaran G, Tabrizian P, </w:t>
      </w:r>
      <w:proofErr w:type="spellStart"/>
      <w:r>
        <w:rPr>
          <w:rFonts w:ascii="Book Antiqua" w:eastAsia="Book Antiqua" w:hAnsi="Book Antiqua" w:cs="Book Antiqua"/>
          <w:color w:val="000000"/>
        </w:rPr>
        <w:t>Doroshow</w:t>
      </w:r>
      <w:proofErr w:type="spellEnd"/>
      <w:r>
        <w:rPr>
          <w:rFonts w:ascii="Book Antiqua" w:eastAsia="Book Antiqua" w:hAnsi="Book Antiqua" w:cs="Book Antiqua"/>
          <w:color w:val="000000"/>
        </w:rPr>
        <w:t xml:space="preserve"> D, Legg M, Hammad A, Magen A, </w:t>
      </w:r>
      <w:proofErr w:type="spellStart"/>
      <w:r>
        <w:rPr>
          <w:rFonts w:ascii="Book Antiqua" w:eastAsia="Book Antiqua" w:hAnsi="Book Antiqua" w:cs="Book Antiqua"/>
          <w:color w:val="000000"/>
        </w:rPr>
        <w:t>Kamphorst</w:t>
      </w:r>
      <w:proofErr w:type="spellEnd"/>
      <w:r>
        <w:rPr>
          <w:rFonts w:ascii="Book Antiqua" w:eastAsia="Book Antiqua" w:hAnsi="Book Antiqua" w:cs="Book Antiqua"/>
          <w:color w:val="000000"/>
        </w:rPr>
        <w:t xml:space="preserve"> AO, Shareef M, Gupta NT, Deering R, Wang W, Wang F, </w:t>
      </w:r>
      <w:proofErr w:type="spellStart"/>
      <w:r>
        <w:rPr>
          <w:rFonts w:ascii="Book Antiqua" w:eastAsia="Book Antiqua" w:hAnsi="Book Antiqua" w:cs="Book Antiqua"/>
          <w:color w:val="000000"/>
        </w:rPr>
        <w:t>Thanigaimani</w:t>
      </w:r>
      <w:proofErr w:type="spellEnd"/>
      <w:r>
        <w:rPr>
          <w:rFonts w:ascii="Book Antiqua" w:eastAsia="Book Antiqua" w:hAnsi="Book Antiqua" w:cs="Book Antiqua"/>
          <w:color w:val="000000"/>
        </w:rPr>
        <w:t xml:space="preserve"> P, Mani J, </w:t>
      </w:r>
      <w:proofErr w:type="spellStart"/>
      <w:r>
        <w:rPr>
          <w:rFonts w:ascii="Book Antiqua" w:eastAsia="Book Antiqua" w:hAnsi="Book Antiqua" w:cs="Book Antiqua"/>
          <w:color w:val="000000"/>
        </w:rPr>
        <w:t>Troncoso</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Tabachnikova</w:t>
      </w:r>
      <w:proofErr w:type="spellEnd"/>
      <w:r>
        <w:rPr>
          <w:rFonts w:ascii="Book Antiqua" w:eastAsia="Book Antiqua" w:hAnsi="Book Antiqua" w:cs="Book Antiqua"/>
          <w:color w:val="000000"/>
        </w:rPr>
        <w:t xml:space="preserve"> A, Chang C, </w:t>
      </w:r>
      <w:proofErr w:type="spellStart"/>
      <w:r>
        <w:rPr>
          <w:rFonts w:ascii="Book Antiqua" w:eastAsia="Book Antiqua" w:hAnsi="Book Antiqua" w:cs="Book Antiqua"/>
          <w:color w:val="000000"/>
        </w:rPr>
        <w:t>Akturk</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Buckup</w:t>
      </w:r>
      <w:proofErr w:type="spellEnd"/>
      <w:r>
        <w:rPr>
          <w:rFonts w:ascii="Book Antiqua" w:eastAsia="Book Antiqua" w:hAnsi="Book Antiqua" w:cs="Book Antiqua"/>
          <w:color w:val="000000"/>
        </w:rPr>
        <w:t xml:space="preserve"> M, Hamel S, </w:t>
      </w:r>
      <w:proofErr w:type="spellStart"/>
      <w:r>
        <w:rPr>
          <w:rFonts w:ascii="Book Antiqua" w:eastAsia="Book Antiqua" w:hAnsi="Book Antiqua" w:cs="Book Antiqua"/>
          <w:color w:val="000000"/>
        </w:rPr>
        <w:t>Ioannou</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Hennequin</w:t>
      </w:r>
      <w:proofErr w:type="spellEnd"/>
      <w:r>
        <w:rPr>
          <w:rFonts w:ascii="Book Antiqua" w:eastAsia="Book Antiqua" w:hAnsi="Book Antiqua" w:cs="Book Antiqua"/>
          <w:color w:val="000000"/>
        </w:rPr>
        <w:t xml:space="preserve"> C, Jamal H, Brown H, Bonaccorso A, </w:t>
      </w:r>
      <w:proofErr w:type="spellStart"/>
      <w:r>
        <w:rPr>
          <w:rFonts w:ascii="Book Antiqua" w:eastAsia="Book Antiqua" w:hAnsi="Book Antiqua" w:cs="Book Antiqua"/>
          <w:color w:val="000000"/>
        </w:rPr>
        <w:t>Labow</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Sarpel</w:t>
      </w:r>
      <w:proofErr w:type="spellEnd"/>
      <w:r>
        <w:rPr>
          <w:rFonts w:ascii="Book Antiqua" w:eastAsia="Book Antiqua" w:hAnsi="Book Antiqua" w:cs="Book Antiqua"/>
          <w:color w:val="000000"/>
        </w:rPr>
        <w:t xml:space="preserve"> U, Rosenbloom T, Sung MW, Kou B, Li S, Jankovic V, James N, Hamon SC, Cheung HK, Sims JS, Miller E, Bhardwaj N, Thurston G, Lowy I, </w:t>
      </w:r>
      <w:proofErr w:type="spellStart"/>
      <w:r>
        <w:rPr>
          <w:rFonts w:ascii="Book Antiqua" w:eastAsia="Book Antiqua" w:hAnsi="Book Antiqua" w:cs="Book Antiqua"/>
          <w:color w:val="000000"/>
        </w:rPr>
        <w:t>Gnjatic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Taouli</w:t>
      </w:r>
      <w:proofErr w:type="spellEnd"/>
      <w:r>
        <w:rPr>
          <w:rFonts w:ascii="Book Antiqua" w:eastAsia="Book Antiqua" w:hAnsi="Book Antiqua" w:cs="Book Antiqua"/>
          <w:color w:val="000000"/>
        </w:rPr>
        <w:t xml:space="preserve"> B, Schwartz ME, </w:t>
      </w:r>
      <w:proofErr w:type="spellStart"/>
      <w:r>
        <w:rPr>
          <w:rFonts w:ascii="Book Antiqua" w:eastAsia="Book Antiqua" w:hAnsi="Book Antiqua" w:cs="Book Antiqua"/>
          <w:color w:val="000000"/>
        </w:rPr>
        <w:t>Merad</w:t>
      </w:r>
      <w:proofErr w:type="spellEnd"/>
      <w:r>
        <w:rPr>
          <w:rFonts w:ascii="Book Antiqua" w:eastAsia="Book Antiqua" w:hAnsi="Book Antiqua" w:cs="Book Antiqua"/>
          <w:color w:val="000000"/>
        </w:rPr>
        <w:t xml:space="preserve"> M. Neoadjuvant cemiplimab for resectable hepatocellular carcinoma: a single-arm, open-label, phase 2 trial. </w:t>
      </w:r>
      <w:r>
        <w:rPr>
          <w:rFonts w:ascii="Book Antiqua" w:eastAsia="Book Antiqua" w:hAnsi="Book Antiqua" w:cs="Book Antiqua"/>
          <w:i/>
          <w:iCs/>
          <w:color w:val="000000"/>
        </w:rPr>
        <w:t>Lancet Gastroenterol Hepatol</w:t>
      </w:r>
      <w:r>
        <w:rPr>
          <w:rFonts w:ascii="Book Antiqua" w:eastAsia="Book Antiqua" w:hAnsi="Book Antiqua" w:cs="Book Antiqua"/>
          <w:color w:val="000000"/>
        </w:rPr>
        <w:t xml:space="preserve"> 2022; </w:t>
      </w:r>
      <w:r>
        <w:rPr>
          <w:rFonts w:ascii="Book Antiqua" w:eastAsia="Book Antiqua" w:hAnsi="Book Antiqua" w:cs="Book Antiqua"/>
          <w:b/>
          <w:bCs/>
          <w:color w:val="000000"/>
        </w:rPr>
        <w:t>7</w:t>
      </w:r>
      <w:r>
        <w:rPr>
          <w:rFonts w:ascii="Book Antiqua" w:eastAsia="Book Antiqua" w:hAnsi="Book Antiqua" w:cs="Book Antiqua"/>
          <w:color w:val="000000"/>
        </w:rPr>
        <w:t>: 219-229 [PMID: 35065058 DOI: 10.1016/S2468-1253(21)00385-X]</w:t>
      </w:r>
    </w:p>
    <w:p w14:paraId="42E66570" w14:textId="77777777" w:rsidR="00A77B3E" w:rsidRDefault="005C288A">
      <w:pPr>
        <w:spacing w:line="360" w:lineRule="auto"/>
        <w:jc w:val="both"/>
      </w:pPr>
      <w:r>
        <w:rPr>
          <w:rFonts w:ascii="Book Antiqua" w:eastAsia="Book Antiqua" w:hAnsi="Book Antiqua" w:cs="Book Antiqua"/>
          <w:color w:val="000000"/>
        </w:rPr>
        <w:t xml:space="preserve">90 </w:t>
      </w:r>
      <w:proofErr w:type="spellStart"/>
      <w:r w:rsidRPr="002B7336">
        <w:rPr>
          <w:rFonts w:ascii="Book Antiqua" w:eastAsia="Book Antiqua" w:hAnsi="Book Antiqua" w:cs="Book Antiqua"/>
          <w:b/>
          <w:bCs/>
          <w:color w:val="000000"/>
        </w:rPr>
        <w:t>Shangai</w:t>
      </w:r>
      <w:proofErr w:type="spellEnd"/>
      <w:r w:rsidRPr="002B7336">
        <w:rPr>
          <w:rFonts w:ascii="Book Antiqua" w:eastAsia="Book Antiqua" w:hAnsi="Book Antiqua" w:cs="Book Antiqua"/>
          <w:b/>
          <w:bCs/>
          <w:color w:val="000000"/>
        </w:rPr>
        <w:t xml:space="preserve"> </w:t>
      </w:r>
      <w:proofErr w:type="spellStart"/>
      <w:r w:rsidRPr="002B7336">
        <w:rPr>
          <w:rFonts w:ascii="Book Antiqua" w:eastAsia="Book Antiqua" w:hAnsi="Book Antiqua" w:cs="Book Antiqua"/>
          <w:b/>
          <w:bCs/>
          <w:color w:val="000000"/>
        </w:rPr>
        <w:t>Junshi</w:t>
      </w:r>
      <w:proofErr w:type="spellEnd"/>
      <w:r w:rsidRPr="002B7336">
        <w:rPr>
          <w:rFonts w:ascii="Book Antiqua" w:eastAsia="Book Antiqua" w:hAnsi="Book Antiqua" w:cs="Book Antiqua"/>
          <w:b/>
          <w:bCs/>
          <w:color w:val="000000"/>
        </w:rPr>
        <w:t xml:space="preserve"> Bioscience Co. Toripalimab in Combination With Lenvatinib as Neoadjuvant Therapy in Resectable Hepatocellular Carcinoma</w:t>
      </w:r>
      <w:r>
        <w:rPr>
          <w:rFonts w:ascii="Book Antiqua" w:eastAsia="Book Antiqua" w:hAnsi="Book Antiqua" w:cs="Book Antiqua"/>
          <w:color w:val="000000"/>
        </w:rPr>
        <w:t>. [accessed 2022 May 5]. In: ClinicalTrials.gov [Internet]. Bethesda (MD): U.S. National Library of Medicine. Available from: https://clinicaltrials.gov/ct2/show/NCT03867370 ClinicalTrials.gov identifier: NCT 03867370</w:t>
      </w:r>
    </w:p>
    <w:p w14:paraId="1BCE4A8A" w14:textId="5F691A2B" w:rsidR="00A77B3E" w:rsidRDefault="005C288A">
      <w:pPr>
        <w:spacing w:line="360" w:lineRule="auto"/>
        <w:jc w:val="both"/>
      </w:pPr>
      <w:r>
        <w:rPr>
          <w:rFonts w:ascii="Book Antiqua" w:eastAsia="Book Antiqua" w:hAnsi="Book Antiqua" w:cs="Book Antiqua"/>
          <w:color w:val="000000"/>
        </w:rPr>
        <w:t>91</w:t>
      </w:r>
      <w:r w:rsidR="00DC18F9" w:rsidRPr="00DC18F9">
        <w:rPr>
          <w:rFonts w:ascii="Book Antiqua" w:eastAsia="Book Antiqua" w:hAnsi="Book Antiqua" w:cs="Book Antiqua"/>
          <w:color w:val="000000"/>
        </w:rPr>
        <w:t xml:space="preserve"> </w:t>
      </w:r>
      <w:r w:rsidR="00DC18F9" w:rsidRPr="00156576">
        <w:rPr>
          <w:rFonts w:ascii="Book Antiqua" w:eastAsia="Book Antiqua" w:hAnsi="Book Antiqua" w:cs="Book Antiqua"/>
          <w:b/>
          <w:bCs/>
          <w:color w:val="000000"/>
        </w:rPr>
        <w:t>Tislelizumab or Tislelizumab Combined With Lenvatinib Neoadjuvant Treatment for Resectable RHCC (TALENT)</w:t>
      </w:r>
      <w:r w:rsidR="00DC18F9">
        <w:rPr>
          <w:rFonts w:ascii="Book Antiqua" w:eastAsia="Book Antiqua" w:hAnsi="Book Antiqua" w:cs="Book Antiqua"/>
          <w:color w:val="000000"/>
        </w:rPr>
        <w:t>. [accessed 2022 May 4]. In: ClinicalTrials.gov [Internet]. Bethesda (MD): U.S. National Library of Medicine. Available from: https://clinicaltrials.gov/ct2/show/NCT04615143 Clinical Trials.gov identifier: NCT04615143</w:t>
      </w:r>
    </w:p>
    <w:p w14:paraId="540E433C" w14:textId="77777777" w:rsidR="00A77B3E" w:rsidRDefault="005C288A">
      <w:pPr>
        <w:spacing w:line="360" w:lineRule="auto"/>
        <w:jc w:val="both"/>
      </w:pPr>
      <w:r>
        <w:rPr>
          <w:rFonts w:ascii="Book Antiqua" w:eastAsia="Book Antiqua" w:hAnsi="Book Antiqua" w:cs="Book Antiqua"/>
          <w:color w:val="000000"/>
        </w:rPr>
        <w:t xml:space="preserve">92 </w:t>
      </w:r>
      <w:r>
        <w:rPr>
          <w:rFonts w:ascii="Book Antiqua" w:eastAsia="Book Antiqua" w:hAnsi="Book Antiqua" w:cs="Book Antiqua"/>
          <w:b/>
          <w:bCs/>
          <w:color w:val="000000"/>
        </w:rPr>
        <w:t>Xia Y</w:t>
      </w:r>
      <w:r>
        <w:rPr>
          <w:rFonts w:ascii="Book Antiqua" w:eastAsia="Book Antiqua" w:hAnsi="Book Antiqua" w:cs="Book Antiqua"/>
          <w:color w:val="000000"/>
        </w:rPr>
        <w:t xml:space="preserve">, Tang W, Qian X, Li X, Cheng F, Wang K, Zhang F, Zhang C, Li D, Song J, Zhang H, Zhao J, Yao A, Wu X, Wu C, Ji G, Liu X, Zhu F, Qin L, Xiao X, Deng Z, Kong X, Li S, Yu Y, Xi W, Deng W, Qi C, Liu H, Pu L, Wang P, Wang X. Efficacy and safety of camrelizumab plus apatinib during the perioperative period in resectable hepatocellular </w:t>
      </w:r>
      <w:r>
        <w:rPr>
          <w:rFonts w:ascii="Book Antiqua" w:eastAsia="Book Antiqua" w:hAnsi="Book Antiqua" w:cs="Book Antiqua"/>
          <w:color w:val="000000"/>
        </w:rPr>
        <w:lastRenderedPageBreak/>
        <w:t xml:space="preserve">carcinoma: a single-arm, open label, phase II clinical trial.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Immunother</w:t>
      </w:r>
      <w:proofErr w:type="spellEnd"/>
      <w:r>
        <w:rPr>
          <w:rFonts w:ascii="Book Antiqua" w:eastAsia="Book Antiqua" w:hAnsi="Book Antiqua" w:cs="Book Antiqua"/>
          <w:i/>
          <w:iCs/>
          <w:color w:val="000000"/>
        </w:rPr>
        <w:t xml:space="preserve"> Cancer</w:t>
      </w:r>
      <w:r>
        <w:rPr>
          <w:rFonts w:ascii="Book Antiqua" w:eastAsia="Book Antiqua" w:hAnsi="Book Antiqua" w:cs="Book Antiqua"/>
          <w:color w:val="000000"/>
        </w:rPr>
        <w:t xml:space="preserve"> 2022; </w:t>
      </w:r>
      <w:r>
        <w:rPr>
          <w:rFonts w:ascii="Book Antiqua" w:eastAsia="Book Antiqua" w:hAnsi="Book Antiqua" w:cs="Book Antiqua"/>
          <w:b/>
          <w:bCs/>
          <w:color w:val="000000"/>
        </w:rPr>
        <w:t>10</w:t>
      </w:r>
      <w:r>
        <w:rPr>
          <w:rFonts w:ascii="Book Antiqua" w:eastAsia="Book Antiqua" w:hAnsi="Book Antiqua" w:cs="Book Antiqua"/>
          <w:color w:val="000000"/>
        </w:rPr>
        <w:t xml:space="preserve"> [PMID: 35379737 DOI: 10.1136/jitc-2022-004656]</w:t>
      </w:r>
    </w:p>
    <w:p w14:paraId="423629FE" w14:textId="49979D58" w:rsidR="00A77B3E" w:rsidRDefault="005C288A">
      <w:pPr>
        <w:spacing w:line="360" w:lineRule="auto"/>
        <w:jc w:val="both"/>
      </w:pPr>
      <w:r>
        <w:rPr>
          <w:rFonts w:ascii="Book Antiqua" w:eastAsia="Book Antiqua" w:hAnsi="Book Antiqua" w:cs="Book Antiqua"/>
          <w:color w:val="000000"/>
        </w:rPr>
        <w:t xml:space="preserve">93 </w:t>
      </w:r>
      <w:r w:rsidRPr="001D3491">
        <w:rPr>
          <w:rFonts w:ascii="Book Antiqua" w:eastAsia="Book Antiqua" w:hAnsi="Book Antiqua" w:cs="Book Antiqua"/>
          <w:b/>
          <w:bCs/>
          <w:color w:val="000000"/>
        </w:rPr>
        <w:t xml:space="preserve">Pembrolizumab and </w:t>
      </w:r>
      <w:proofErr w:type="spellStart"/>
      <w:r w:rsidRPr="001D3491">
        <w:rPr>
          <w:rFonts w:ascii="Book Antiqua" w:eastAsia="Book Antiqua" w:hAnsi="Book Antiqua" w:cs="Book Antiqua"/>
          <w:b/>
          <w:bCs/>
          <w:color w:val="000000"/>
        </w:rPr>
        <w:t>LENvatinib</w:t>
      </w:r>
      <w:proofErr w:type="spellEnd"/>
      <w:r w:rsidRPr="001D3491">
        <w:rPr>
          <w:rFonts w:ascii="Book Antiqua" w:eastAsia="Book Antiqua" w:hAnsi="Book Antiqua" w:cs="Book Antiqua"/>
          <w:b/>
          <w:bCs/>
          <w:color w:val="000000"/>
        </w:rPr>
        <w:t xml:space="preserve"> in Participants With Hepatocellular Carcinoma (HCC) Before Liver Transplant (PLENTY202001)</w:t>
      </w:r>
      <w:r>
        <w:rPr>
          <w:rFonts w:ascii="Book Antiqua" w:eastAsia="Book Antiqua" w:hAnsi="Book Antiqua" w:cs="Book Antiqua"/>
          <w:color w:val="000000"/>
        </w:rPr>
        <w:t>. [accessed 2022 May 5]. In: ClinicalTrials.gov [Internet]. Bethesda (MD): U.S. National Library of Medicine. Available from: https://clinicaltrials.gov/ct2/show/NCT04425226 ClinicalTrials.gov identifier: NCT-4425226</w:t>
      </w:r>
    </w:p>
    <w:p w14:paraId="32F5BCE8" w14:textId="54AE78D1" w:rsidR="00A77B3E" w:rsidRDefault="005C288A">
      <w:pPr>
        <w:spacing w:line="360" w:lineRule="auto"/>
        <w:jc w:val="both"/>
      </w:pPr>
      <w:r>
        <w:rPr>
          <w:rFonts w:ascii="Book Antiqua" w:eastAsia="Book Antiqua" w:hAnsi="Book Antiqua" w:cs="Book Antiqua"/>
          <w:color w:val="000000"/>
        </w:rPr>
        <w:t>94</w:t>
      </w:r>
      <w:r w:rsidR="00030EE0">
        <w:rPr>
          <w:rFonts w:ascii="Book Antiqua" w:eastAsia="Book Antiqua" w:hAnsi="Book Antiqua" w:cs="Book Antiqua"/>
          <w:color w:val="000000"/>
        </w:rPr>
        <w:t xml:space="preserve"> </w:t>
      </w:r>
      <w:r w:rsidRPr="00030EE0">
        <w:rPr>
          <w:rFonts w:ascii="Book Antiqua" w:eastAsia="Book Antiqua" w:hAnsi="Book Antiqua" w:cs="Book Antiqua"/>
          <w:b/>
          <w:bCs/>
          <w:color w:val="000000"/>
        </w:rPr>
        <w:t>Combination Camrelizumab (SHR-1210) and Apatinib for Downstaging/Bridging of HCC Before Liver Transplant. [accessed 2022 May 5]</w:t>
      </w:r>
      <w:r>
        <w:rPr>
          <w:rFonts w:ascii="Book Antiqua" w:eastAsia="Book Antiqua" w:hAnsi="Book Antiqua" w:cs="Book Antiqua"/>
          <w:color w:val="000000"/>
        </w:rPr>
        <w:t>. In: ClinicalTrials.gov [Internet]. Bethesda (MD): U.S. National Library of Medicine. Available from: https://clinicaltrials.gov/ct2/show/NCT04035876 ClinicalTrials.gov identifier: NCT04035876</w:t>
      </w:r>
    </w:p>
    <w:p w14:paraId="185CDCA3"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D891036" w14:textId="77777777" w:rsidR="00A77B3E" w:rsidRDefault="005C288A">
      <w:pPr>
        <w:spacing w:line="360" w:lineRule="auto"/>
        <w:jc w:val="both"/>
      </w:pPr>
      <w:r>
        <w:rPr>
          <w:rFonts w:ascii="Book Antiqua" w:eastAsia="Book Antiqua" w:hAnsi="Book Antiqua" w:cs="Book Antiqua"/>
          <w:b/>
          <w:color w:val="000000"/>
        </w:rPr>
        <w:lastRenderedPageBreak/>
        <w:t>Footnotes</w:t>
      </w:r>
    </w:p>
    <w:p w14:paraId="4E3FCDE5" w14:textId="7F7B3E1E" w:rsidR="00A77B3E" w:rsidRDefault="005C288A">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 xml:space="preserve">The authors have no </w:t>
      </w:r>
      <w:r w:rsidR="00B42286" w:rsidRPr="00B42286">
        <w:rPr>
          <w:rFonts w:ascii="Book Antiqua" w:eastAsia="Book Antiqua" w:hAnsi="Book Antiqua" w:cs="Book Antiqua"/>
          <w:color w:val="000000"/>
        </w:rPr>
        <w:t>conflic</w:t>
      </w:r>
      <w:r w:rsidR="00B42286">
        <w:rPr>
          <w:rFonts w:ascii="Book Antiqua" w:eastAsia="Book Antiqua" w:hAnsi="Book Antiqua" w:cs="Book Antiqua"/>
          <w:color w:val="000000"/>
        </w:rPr>
        <w:t>t</w:t>
      </w:r>
      <w:r w:rsidR="00B42286" w:rsidRPr="00B42286">
        <w:rPr>
          <w:rFonts w:ascii="Book Antiqua" w:eastAsia="Book Antiqua" w:hAnsi="Book Antiqua" w:cs="Book Antiqua"/>
          <w:color w:val="000000"/>
        </w:rPr>
        <w:t xml:space="preserve"> </w:t>
      </w:r>
      <w:r>
        <w:rPr>
          <w:rFonts w:ascii="Book Antiqua" w:eastAsia="Book Antiqua" w:hAnsi="Book Antiqua" w:cs="Book Antiqua"/>
          <w:color w:val="000000"/>
        </w:rPr>
        <w:t>-of-interest to disclose relevant to this work.</w:t>
      </w:r>
    </w:p>
    <w:p w14:paraId="00CAA1B6" w14:textId="77777777" w:rsidR="00A77B3E" w:rsidRDefault="00A77B3E">
      <w:pPr>
        <w:spacing w:line="360" w:lineRule="auto"/>
        <w:jc w:val="both"/>
      </w:pPr>
    </w:p>
    <w:p w14:paraId="78AA7C96" w14:textId="77777777" w:rsidR="00A77B3E" w:rsidRDefault="005C288A">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7A6C8C" w14:textId="77777777" w:rsidR="00A77B3E" w:rsidRDefault="00A77B3E">
      <w:pPr>
        <w:spacing w:line="360" w:lineRule="auto"/>
        <w:jc w:val="both"/>
      </w:pPr>
    </w:p>
    <w:p w14:paraId="56A30502" w14:textId="77777777" w:rsidR="00A77B3E" w:rsidRDefault="005C288A">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470408E0" w14:textId="77777777" w:rsidR="00A77B3E" w:rsidRDefault="005C288A">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00D5497A" w14:textId="77777777" w:rsidR="00A77B3E" w:rsidRDefault="00A77B3E">
      <w:pPr>
        <w:spacing w:line="360" w:lineRule="auto"/>
        <w:jc w:val="both"/>
      </w:pPr>
    </w:p>
    <w:p w14:paraId="11708778" w14:textId="77777777" w:rsidR="00A77B3E" w:rsidRDefault="005C288A">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15, 2022</w:t>
      </w:r>
    </w:p>
    <w:p w14:paraId="2509B846" w14:textId="77777777" w:rsidR="00A77B3E" w:rsidRDefault="005C288A">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August 1, 2022</w:t>
      </w:r>
    </w:p>
    <w:p w14:paraId="00EF24D2" w14:textId="77777777" w:rsidR="00A77B3E" w:rsidRDefault="005C288A">
      <w:pPr>
        <w:spacing w:line="360" w:lineRule="auto"/>
        <w:jc w:val="both"/>
      </w:pPr>
      <w:r>
        <w:rPr>
          <w:rFonts w:ascii="Book Antiqua" w:eastAsia="Book Antiqua" w:hAnsi="Book Antiqua" w:cs="Book Antiqua"/>
          <w:b/>
          <w:color w:val="000000"/>
        </w:rPr>
        <w:t xml:space="preserve">Article in press: </w:t>
      </w:r>
    </w:p>
    <w:p w14:paraId="71643DC7" w14:textId="77777777" w:rsidR="00A77B3E" w:rsidRDefault="00A77B3E">
      <w:pPr>
        <w:spacing w:line="360" w:lineRule="auto"/>
        <w:jc w:val="both"/>
      </w:pPr>
    </w:p>
    <w:p w14:paraId="2DA2E74E" w14:textId="77777777" w:rsidR="00A77B3E" w:rsidRDefault="005C288A">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Gastroenterology and Hepatology</w:t>
      </w:r>
    </w:p>
    <w:p w14:paraId="5D90673D" w14:textId="77777777" w:rsidR="00A77B3E" w:rsidRDefault="005C288A">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Greece</w:t>
      </w:r>
    </w:p>
    <w:p w14:paraId="07D56914" w14:textId="77777777" w:rsidR="00A77B3E" w:rsidRDefault="005C288A">
      <w:pPr>
        <w:spacing w:line="360" w:lineRule="auto"/>
        <w:jc w:val="both"/>
      </w:pPr>
      <w:r>
        <w:rPr>
          <w:rFonts w:ascii="Book Antiqua" w:eastAsia="Book Antiqua" w:hAnsi="Book Antiqua" w:cs="Book Antiqua"/>
          <w:b/>
          <w:color w:val="000000"/>
        </w:rPr>
        <w:t>Peer-review report’s scientific quality classification</w:t>
      </w:r>
    </w:p>
    <w:p w14:paraId="212CD68B" w14:textId="77777777" w:rsidR="00A77B3E" w:rsidRDefault="005C288A">
      <w:pPr>
        <w:spacing w:line="360" w:lineRule="auto"/>
        <w:jc w:val="both"/>
      </w:pPr>
      <w:r>
        <w:rPr>
          <w:rFonts w:ascii="Book Antiqua" w:eastAsia="Book Antiqua" w:hAnsi="Book Antiqua" w:cs="Book Antiqua"/>
          <w:color w:val="000000"/>
        </w:rPr>
        <w:t>Grade A (Excellent): 0</w:t>
      </w:r>
    </w:p>
    <w:p w14:paraId="502F67C4" w14:textId="77777777" w:rsidR="00A77B3E" w:rsidRDefault="005C288A">
      <w:pPr>
        <w:spacing w:line="360" w:lineRule="auto"/>
        <w:jc w:val="both"/>
      </w:pPr>
      <w:r>
        <w:rPr>
          <w:rFonts w:ascii="Book Antiqua" w:eastAsia="Book Antiqua" w:hAnsi="Book Antiqua" w:cs="Book Antiqua"/>
          <w:color w:val="000000"/>
        </w:rPr>
        <w:t>Grade B (Very good): B, B</w:t>
      </w:r>
    </w:p>
    <w:p w14:paraId="45AC98CE" w14:textId="77777777" w:rsidR="00A77B3E" w:rsidRDefault="005C288A">
      <w:pPr>
        <w:spacing w:line="360" w:lineRule="auto"/>
        <w:jc w:val="both"/>
      </w:pPr>
      <w:r>
        <w:rPr>
          <w:rFonts w:ascii="Book Antiqua" w:eastAsia="Book Antiqua" w:hAnsi="Book Antiqua" w:cs="Book Antiqua"/>
          <w:color w:val="000000"/>
        </w:rPr>
        <w:t>Grade C (Good): 0</w:t>
      </w:r>
    </w:p>
    <w:p w14:paraId="096EDF12" w14:textId="77777777" w:rsidR="00A77B3E" w:rsidRDefault="005C288A">
      <w:pPr>
        <w:spacing w:line="360" w:lineRule="auto"/>
        <w:jc w:val="both"/>
      </w:pPr>
      <w:r>
        <w:rPr>
          <w:rFonts w:ascii="Book Antiqua" w:eastAsia="Book Antiqua" w:hAnsi="Book Antiqua" w:cs="Book Antiqua"/>
          <w:color w:val="000000"/>
        </w:rPr>
        <w:t>Grade D (Fair): 0</w:t>
      </w:r>
    </w:p>
    <w:p w14:paraId="7D706CE8" w14:textId="77777777" w:rsidR="00A77B3E" w:rsidRDefault="005C288A">
      <w:pPr>
        <w:spacing w:line="360" w:lineRule="auto"/>
        <w:jc w:val="both"/>
      </w:pPr>
      <w:r>
        <w:rPr>
          <w:rFonts w:ascii="Book Antiqua" w:eastAsia="Book Antiqua" w:hAnsi="Book Antiqua" w:cs="Book Antiqua"/>
          <w:color w:val="000000"/>
        </w:rPr>
        <w:t>Grade E (Poor): 0</w:t>
      </w:r>
    </w:p>
    <w:p w14:paraId="5D0F0966" w14:textId="77777777" w:rsidR="00A77B3E" w:rsidRDefault="00A77B3E">
      <w:pPr>
        <w:spacing w:line="360" w:lineRule="auto"/>
        <w:jc w:val="both"/>
      </w:pPr>
    </w:p>
    <w:p w14:paraId="24E8777B" w14:textId="1B8B52F0" w:rsidR="00A77B3E" w:rsidRDefault="005C288A">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Lu G, China; Zhao G, China</w:t>
      </w:r>
      <w:r>
        <w:rPr>
          <w:rFonts w:ascii="Book Antiqua" w:eastAsia="Book Antiqua" w:hAnsi="Book Antiqua" w:cs="Book Antiqua"/>
          <w:b/>
          <w:color w:val="000000"/>
        </w:rPr>
        <w:t xml:space="preserve"> S-Editor: </w:t>
      </w:r>
      <w:r w:rsidR="009D17D5" w:rsidRPr="009D17D5">
        <w:rPr>
          <w:rFonts w:ascii="Book Antiqua" w:eastAsia="Book Antiqua" w:hAnsi="Book Antiqua" w:cs="Book Antiqua"/>
          <w:bCs/>
          <w:color w:val="000000"/>
        </w:rPr>
        <w:t>Ma YJ</w:t>
      </w:r>
      <w:r>
        <w:rPr>
          <w:rFonts w:ascii="Book Antiqua" w:eastAsia="Book Antiqua" w:hAnsi="Book Antiqua" w:cs="Book Antiqua"/>
          <w:b/>
          <w:color w:val="000000"/>
        </w:rPr>
        <w:t xml:space="preserve"> L-Editor: </w:t>
      </w:r>
      <w:r w:rsidR="007412EF">
        <w:rPr>
          <w:rFonts w:ascii="Book Antiqua" w:eastAsia="Book Antiqua" w:hAnsi="Book Antiqua" w:cs="Book Antiqua"/>
          <w:bCs/>
          <w:color w:val="000000"/>
        </w:rPr>
        <w:t>Kerr C</w:t>
      </w:r>
      <w:r w:rsidR="007412EF">
        <w:rPr>
          <w:rFonts w:ascii="Book Antiqua" w:eastAsia="Book Antiqua" w:hAnsi="Book Antiqua" w:cs="Book Antiqua"/>
          <w:b/>
          <w:color w:val="000000"/>
        </w:rPr>
        <w:t xml:space="preserve"> </w:t>
      </w:r>
      <w:r>
        <w:rPr>
          <w:rFonts w:ascii="Book Antiqua" w:eastAsia="Book Antiqua" w:hAnsi="Book Antiqua" w:cs="Book Antiqua"/>
          <w:b/>
          <w:color w:val="000000"/>
        </w:rPr>
        <w:t xml:space="preserve">P-Editor: </w:t>
      </w:r>
      <w:r w:rsidR="009D17D5" w:rsidRPr="009D17D5">
        <w:rPr>
          <w:rFonts w:ascii="Book Antiqua" w:eastAsia="Book Antiqua" w:hAnsi="Book Antiqua" w:cs="Book Antiqua"/>
          <w:bCs/>
          <w:color w:val="000000"/>
        </w:rPr>
        <w:t>Ma YJ</w:t>
      </w:r>
    </w:p>
    <w:p w14:paraId="053C72F8" w14:textId="00A4C986" w:rsidR="00A77B3E" w:rsidRDefault="005C288A">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4CD3B9C0" w14:textId="01885CF2" w:rsidR="00A50C75" w:rsidRDefault="00A50C75">
      <w:pPr>
        <w:spacing w:line="360" w:lineRule="auto"/>
        <w:jc w:val="both"/>
      </w:pPr>
      <w:r>
        <w:rPr>
          <w:noProof/>
        </w:rPr>
        <w:drawing>
          <wp:inline distT="0" distB="0" distL="0" distR="0" wp14:anchorId="4EF360A8" wp14:editId="6FF0BCD0">
            <wp:extent cx="5769610" cy="33635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9610" cy="3363595"/>
                    </a:xfrm>
                    <a:prstGeom prst="rect">
                      <a:avLst/>
                    </a:prstGeom>
                    <a:noFill/>
                    <a:ln>
                      <a:noFill/>
                    </a:ln>
                  </pic:spPr>
                </pic:pic>
              </a:graphicData>
            </a:graphic>
          </wp:inline>
        </w:drawing>
      </w:r>
    </w:p>
    <w:p w14:paraId="2BA25540" w14:textId="39454FDC" w:rsidR="007F0725" w:rsidRPr="002323F3" w:rsidRDefault="005C288A">
      <w:pPr>
        <w:spacing w:line="360" w:lineRule="auto"/>
        <w:jc w:val="both"/>
      </w:pPr>
      <w:r w:rsidRPr="009D17D5">
        <w:rPr>
          <w:rFonts w:ascii="Book Antiqua" w:eastAsia="Book Antiqua" w:hAnsi="Book Antiqua" w:cs="Book Antiqua"/>
          <w:b/>
          <w:bCs/>
          <w:color w:val="000000"/>
        </w:rPr>
        <w:t xml:space="preserve">Figure 1 Schematic representation of the major components of the </w:t>
      </w:r>
      <w:r w:rsidR="00D50811" w:rsidRPr="00A97CBD">
        <w:rPr>
          <w:rFonts w:ascii="Book Antiqua" w:eastAsia="Calibri" w:hAnsi="Book Antiqua" w:cs="Times New Roman (Body CS)"/>
          <w:b/>
        </w:rPr>
        <w:t>tumor microenvironment</w:t>
      </w:r>
      <w:r w:rsidRPr="009D17D5">
        <w:rPr>
          <w:rFonts w:ascii="Book Antiqua" w:eastAsia="Book Antiqua" w:hAnsi="Book Antiqua" w:cs="Book Antiqua"/>
          <w:b/>
          <w:bCs/>
          <w:color w:val="000000"/>
        </w:rPr>
        <w:t xml:space="preserve"> in patients with </w:t>
      </w:r>
      <w:r w:rsidR="00167CF9" w:rsidRPr="00167CF9">
        <w:rPr>
          <w:rFonts w:ascii="Book Antiqua" w:eastAsia="Book Antiqua" w:hAnsi="Book Antiqua" w:cs="Book Antiqua"/>
          <w:b/>
          <w:bCs/>
          <w:color w:val="000000"/>
        </w:rPr>
        <w:t>hepatocellular carcinoma</w:t>
      </w:r>
      <w:r w:rsidRPr="009D17D5">
        <w:rPr>
          <w:rFonts w:ascii="Book Antiqua" w:eastAsia="Book Antiqua" w:hAnsi="Book Antiqua" w:cs="Book Antiqua"/>
          <w:b/>
          <w:bCs/>
          <w:color w:val="000000"/>
        </w:rPr>
        <w:t xml:space="preserve">. </w:t>
      </w:r>
      <w:r>
        <w:rPr>
          <w:rFonts w:ascii="Book Antiqua" w:eastAsia="Book Antiqua" w:hAnsi="Book Antiqua" w:cs="Book Antiqua"/>
          <w:color w:val="000000"/>
        </w:rPr>
        <w:t>The main elements of the TME can affect tumoral spread both positively and negatively. The migration of TAMs and TANs can enhance the antitumoral immune response (M1 and N1 subpopulations) through the production of inflammatory mediators, such as TNF-α, NO and IL-1β, whereas M2 and N2 subpopulations promote tumoral spread by producing immunosuppressive molecules and modulating T-cell function. The immune upregulating effects of NK cells and CTLs are typically blunted in patients with HCC due to the presence of factors secreted by components of the TME. MDSCs mute NK responses, increase levels of galectin-9, IL-10, TGF-β, and promote PD1-PDL1 interactions, favoring tumor spread. Treg</w:t>
      </w:r>
      <w:r w:rsidR="007412EF">
        <w:rPr>
          <w:rFonts w:ascii="Book Antiqua" w:eastAsia="Book Antiqua" w:hAnsi="Book Antiqua" w:cs="Book Antiqua"/>
          <w:color w:val="000000"/>
        </w:rPr>
        <w:t xml:space="preserve"> cell</w:t>
      </w:r>
      <w:r>
        <w:rPr>
          <w:rFonts w:ascii="Book Antiqua" w:eastAsia="Book Antiqua" w:hAnsi="Book Antiqua" w:cs="Book Antiqua"/>
          <w:color w:val="000000"/>
        </w:rPr>
        <w:t>s, LSECs and KCs all promote HCC development by inducing CTL dysfunction, immune evasion, and expression of immune-downregulating factors.</w:t>
      </w:r>
      <w:r w:rsidR="002323F3">
        <w:rPr>
          <w:rFonts w:hint="eastAsia"/>
          <w:lang w:eastAsia="zh-CN"/>
        </w:rPr>
        <w:t xml:space="preserve"> </w:t>
      </w:r>
      <w:r>
        <w:rPr>
          <w:rFonts w:ascii="Book Antiqua" w:eastAsia="Book Antiqua" w:hAnsi="Book Antiqua" w:cs="Book Antiqua"/>
          <w:color w:val="000000"/>
        </w:rPr>
        <w:t xml:space="preserve">CCL2: </w:t>
      </w:r>
      <w:r w:rsidR="00D73A6E">
        <w:rPr>
          <w:rFonts w:ascii="Book Antiqua" w:eastAsia="Book Antiqua" w:hAnsi="Book Antiqua" w:cs="Book Antiqua"/>
          <w:color w:val="000000"/>
        </w:rPr>
        <w:t xml:space="preserve">Chemokine </w:t>
      </w:r>
      <w:r>
        <w:rPr>
          <w:rFonts w:ascii="Book Antiqua" w:eastAsia="Book Antiqua" w:hAnsi="Book Antiqua" w:cs="Book Antiqua"/>
          <w:color w:val="000000"/>
        </w:rPr>
        <w:t xml:space="preserve">receptor type 2; CCL5: </w:t>
      </w:r>
      <w:r w:rsidR="00D73A6E">
        <w:rPr>
          <w:rFonts w:ascii="Book Antiqua" w:eastAsia="Book Antiqua" w:hAnsi="Book Antiqua" w:cs="Book Antiqua"/>
          <w:color w:val="000000"/>
        </w:rPr>
        <w:t xml:space="preserve">Chemokine </w:t>
      </w:r>
      <w:r>
        <w:rPr>
          <w:rFonts w:ascii="Book Antiqua" w:eastAsia="Book Antiqua" w:hAnsi="Book Antiqua" w:cs="Book Antiqua"/>
          <w:color w:val="000000"/>
        </w:rPr>
        <w:t xml:space="preserve">receptor type 5; CCL7: </w:t>
      </w:r>
      <w:r w:rsidR="00D73A6E">
        <w:rPr>
          <w:rFonts w:ascii="Book Antiqua" w:eastAsia="Book Antiqua" w:hAnsi="Book Antiqua" w:cs="Book Antiqua"/>
          <w:color w:val="000000"/>
        </w:rPr>
        <w:t xml:space="preserve">Chemokine </w:t>
      </w:r>
      <w:r>
        <w:rPr>
          <w:rFonts w:ascii="Book Antiqua" w:eastAsia="Book Antiqua" w:hAnsi="Book Antiqua" w:cs="Book Antiqua"/>
          <w:color w:val="000000"/>
        </w:rPr>
        <w:t xml:space="preserve">receptor type 7; CX3CL: </w:t>
      </w:r>
      <w:r w:rsidR="00D73A6E">
        <w:rPr>
          <w:rFonts w:ascii="Book Antiqua" w:eastAsia="Book Antiqua" w:hAnsi="Book Antiqua" w:cs="Book Antiqua"/>
          <w:color w:val="000000"/>
        </w:rPr>
        <w:t xml:space="preserve">Chemokine </w:t>
      </w:r>
      <w:r>
        <w:rPr>
          <w:rFonts w:ascii="Book Antiqua" w:eastAsia="Book Antiqua" w:hAnsi="Book Antiqua" w:cs="Book Antiqua"/>
          <w:color w:val="000000"/>
        </w:rPr>
        <w:t xml:space="preserve">(C-X3-C motif) ligand 1; M-CSF: </w:t>
      </w:r>
      <w:r w:rsidR="00D73A6E">
        <w:rPr>
          <w:rFonts w:ascii="Book Antiqua" w:eastAsia="Book Antiqua" w:hAnsi="Book Antiqua" w:cs="Book Antiqua"/>
          <w:color w:val="000000"/>
        </w:rPr>
        <w:t xml:space="preserve">Macrophage </w:t>
      </w:r>
      <w:r>
        <w:rPr>
          <w:rFonts w:ascii="Book Antiqua" w:eastAsia="Book Antiqua" w:hAnsi="Book Antiqua" w:cs="Book Antiqua"/>
          <w:color w:val="000000"/>
        </w:rPr>
        <w:t xml:space="preserve">colony stimulating factor; GM-CSF: </w:t>
      </w:r>
      <w:r w:rsidR="00D73A6E">
        <w:rPr>
          <w:rFonts w:ascii="Book Antiqua" w:eastAsia="Book Antiqua" w:hAnsi="Book Antiqua" w:cs="Book Antiqua"/>
          <w:color w:val="000000"/>
        </w:rPr>
        <w:t xml:space="preserve">Granulocyte </w:t>
      </w:r>
      <w:r>
        <w:rPr>
          <w:rFonts w:ascii="Book Antiqua" w:eastAsia="Book Antiqua" w:hAnsi="Book Antiqua" w:cs="Book Antiqua"/>
          <w:color w:val="000000"/>
        </w:rPr>
        <w:t xml:space="preserve">macrophage colony stimulating factor; VEGF: </w:t>
      </w:r>
      <w:r w:rsidR="00D73A6E">
        <w:rPr>
          <w:rFonts w:ascii="Book Antiqua" w:eastAsia="Book Antiqua" w:hAnsi="Book Antiqua" w:cs="Book Antiqua"/>
          <w:color w:val="000000"/>
        </w:rPr>
        <w:t xml:space="preserve">Vascular </w:t>
      </w:r>
      <w:r>
        <w:rPr>
          <w:rFonts w:ascii="Book Antiqua" w:eastAsia="Book Antiqua" w:hAnsi="Book Antiqua" w:cs="Book Antiqua"/>
          <w:color w:val="000000"/>
        </w:rPr>
        <w:t xml:space="preserve">endothelial growth factor; TAMs: </w:t>
      </w:r>
      <w:r w:rsidR="00D73A6E">
        <w:rPr>
          <w:rFonts w:ascii="Book Antiqua" w:eastAsia="Book Antiqua" w:hAnsi="Book Antiqua" w:cs="Book Antiqua"/>
          <w:color w:val="000000"/>
        </w:rPr>
        <w:t xml:space="preserve">Tumor </w:t>
      </w:r>
      <w:r>
        <w:rPr>
          <w:rFonts w:ascii="Book Antiqua" w:eastAsia="Book Antiqua" w:hAnsi="Book Antiqua" w:cs="Book Antiqua"/>
          <w:color w:val="000000"/>
        </w:rPr>
        <w:lastRenderedPageBreak/>
        <w:t xml:space="preserve">associated macrophages; M1: </w:t>
      </w:r>
      <w:r w:rsidR="00D73A6E">
        <w:rPr>
          <w:rFonts w:ascii="Book Antiqua" w:eastAsia="Book Antiqua" w:hAnsi="Book Antiqua" w:cs="Book Antiqua"/>
          <w:color w:val="000000"/>
        </w:rPr>
        <w:t xml:space="preserve">Subpopulation </w:t>
      </w:r>
      <w:r>
        <w:rPr>
          <w:rFonts w:ascii="Book Antiqua" w:eastAsia="Book Antiqua" w:hAnsi="Book Antiqua" w:cs="Book Antiqua"/>
          <w:color w:val="000000"/>
        </w:rPr>
        <w:t xml:space="preserve">1 of TAMs; M2: subpopulation 2 of TAMs; IL-10: </w:t>
      </w:r>
      <w:r w:rsidR="00D73A6E">
        <w:rPr>
          <w:rFonts w:ascii="Book Antiqua" w:eastAsia="Book Antiqua" w:hAnsi="Book Antiqua" w:cs="Book Antiqua"/>
          <w:color w:val="000000"/>
        </w:rPr>
        <w:t xml:space="preserve">Interleukin </w:t>
      </w:r>
      <w:r>
        <w:rPr>
          <w:rFonts w:ascii="Book Antiqua" w:eastAsia="Book Antiqua" w:hAnsi="Book Antiqua" w:cs="Book Antiqua"/>
          <w:color w:val="000000"/>
        </w:rPr>
        <w:t xml:space="preserve">10; TGF-β: </w:t>
      </w:r>
      <w:r w:rsidR="00D73A6E">
        <w:rPr>
          <w:rFonts w:ascii="Book Antiqua" w:eastAsia="Book Antiqua" w:hAnsi="Book Antiqua" w:cs="Book Antiqua"/>
          <w:color w:val="000000"/>
        </w:rPr>
        <w:t xml:space="preserve">Transforming </w:t>
      </w:r>
      <w:r>
        <w:rPr>
          <w:rFonts w:ascii="Book Antiqua" w:eastAsia="Book Antiqua" w:hAnsi="Book Antiqua" w:cs="Book Antiqua"/>
          <w:color w:val="000000"/>
        </w:rPr>
        <w:t xml:space="preserve">growth factor beta; TNF-a: </w:t>
      </w:r>
      <w:r w:rsidR="00D73A6E">
        <w:rPr>
          <w:rFonts w:ascii="Book Antiqua" w:eastAsia="Book Antiqua" w:hAnsi="Book Antiqua" w:cs="Book Antiqua"/>
          <w:color w:val="000000"/>
        </w:rPr>
        <w:t xml:space="preserve">Tumor </w:t>
      </w:r>
      <w:r>
        <w:rPr>
          <w:rFonts w:ascii="Book Antiqua" w:eastAsia="Book Antiqua" w:hAnsi="Book Antiqua" w:cs="Book Antiqua"/>
          <w:color w:val="000000"/>
        </w:rPr>
        <w:t xml:space="preserve">necrosis factor alpha; NO: </w:t>
      </w:r>
      <w:r w:rsidR="00D73A6E">
        <w:rPr>
          <w:rFonts w:ascii="Book Antiqua" w:eastAsia="Book Antiqua" w:hAnsi="Book Antiqua" w:cs="Book Antiqua"/>
          <w:color w:val="000000"/>
        </w:rPr>
        <w:t xml:space="preserve">Nitric </w:t>
      </w:r>
      <w:r>
        <w:rPr>
          <w:rFonts w:ascii="Book Antiqua" w:eastAsia="Book Antiqua" w:hAnsi="Book Antiqua" w:cs="Book Antiqua"/>
          <w:color w:val="000000"/>
        </w:rPr>
        <w:t xml:space="preserve">oxide; IL-1β: </w:t>
      </w:r>
      <w:r w:rsidR="00D73A6E">
        <w:rPr>
          <w:rFonts w:ascii="Book Antiqua" w:eastAsia="Book Antiqua" w:hAnsi="Book Antiqua" w:cs="Book Antiqua"/>
          <w:color w:val="000000"/>
        </w:rPr>
        <w:t xml:space="preserve">Interleukin </w:t>
      </w:r>
      <w:r>
        <w:rPr>
          <w:rFonts w:ascii="Book Antiqua" w:eastAsia="Book Antiqua" w:hAnsi="Book Antiqua" w:cs="Book Antiqua"/>
          <w:color w:val="000000"/>
        </w:rPr>
        <w:t xml:space="preserve">1 beta; TANs: tumor associated neutrophils; N1: </w:t>
      </w:r>
      <w:r w:rsidR="00D73A6E">
        <w:rPr>
          <w:rFonts w:ascii="Book Antiqua" w:eastAsia="Book Antiqua" w:hAnsi="Book Antiqua" w:cs="Book Antiqua"/>
          <w:color w:val="000000"/>
        </w:rPr>
        <w:t xml:space="preserve">Subpopulation 1 of tans; n2: subpopulation </w:t>
      </w:r>
      <w:r>
        <w:rPr>
          <w:rFonts w:ascii="Book Antiqua" w:eastAsia="Book Antiqua" w:hAnsi="Book Antiqua" w:cs="Book Antiqua"/>
          <w:color w:val="000000"/>
        </w:rPr>
        <w:t xml:space="preserve">2 of TANs; CD66b: </w:t>
      </w:r>
      <w:r w:rsidR="00D73A6E">
        <w:rPr>
          <w:rFonts w:ascii="Book Antiqua" w:eastAsia="Book Antiqua" w:hAnsi="Book Antiqua" w:cs="Book Antiqua"/>
          <w:color w:val="000000"/>
        </w:rPr>
        <w:t xml:space="preserve">Cluster </w:t>
      </w:r>
      <w:r>
        <w:rPr>
          <w:rFonts w:ascii="Book Antiqua" w:eastAsia="Book Antiqua" w:hAnsi="Book Antiqua" w:cs="Book Antiqua"/>
          <w:color w:val="000000"/>
        </w:rPr>
        <w:t xml:space="preserve">of differentiation 66 type b; PDL1: </w:t>
      </w:r>
      <w:r w:rsidR="00D73A6E">
        <w:rPr>
          <w:rFonts w:ascii="Book Antiqua" w:eastAsia="Book Antiqua" w:hAnsi="Book Antiqua" w:cs="Book Antiqua"/>
          <w:color w:val="000000"/>
        </w:rPr>
        <w:t xml:space="preserve">Programmed </w:t>
      </w:r>
      <w:r>
        <w:rPr>
          <w:rFonts w:ascii="Book Antiqua" w:eastAsia="Book Antiqua" w:hAnsi="Book Antiqua" w:cs="Book Antiqua"/>
          <w:color w:val="000000"/>
        </w:rPr>
        <w:t xml:space="preserve">cell death ligand 1; PD1: </w:t>
      </w:r>
      <w:r w:rsidR="00D73A6E">
        <w:rPr>
          <w:rFonts w:ascii="Book Antiqua" w:eastAsia="Book Antiqua" w:hAnsi="Book Antiqua" w:cs="Book Antiqua"/>
          <w:color w:val="000000"/>
        </w:rPr>
        <w:t xml:space="preserve">Programmed </w:t>
      </w:r>
      <w:r>
        <w:rPr>
          <w:rFonts w:ascii="Book Antiqua" w:eastAsia="Book Antiqua" w:hAnsi="Book Antiqua" w:cs="Book Antiqua"/>
          <w:color w:val="000000"/>
        </w:rPr>
        <w:t xml:space="preserve">cell death receptor 1; CTL: </w:t>
      </w:r>
      <w:r w:rsidR="00D73A6E">
        <w:rPr>
          <w:rFonts w:ascii="Book Antiqua" w:eastAsia="Book Antiqua" w:hAnsi="Book Antiqua" w:cs="Book Antiqua"/>
          <w:color w:val="000000"/>
        </w:rPr>
        <w:t xml:space="preserve">Cytotoxic </w:t>
      </w:r>
      <w:r>
        <w:rPr>
          <w:rFonts w:ascii="Book Antiqua" w:eastAsia="Book Antiqua" w:hAnsi="Book Antiqua" w:cs="Book Antiqua"/>
          <w:color w:val="000000"/>
        </w:rPr>
        <w:t xml:space="preserve">CD8+ T cells; Tregs: T regulatory cells; FasL: Fas ligand; IFN-γ: </w:t>
      </w:r>
      <w:r w:rsidR="00D73A6E">
        <w:rPr>
          <w:rFonts w:ascii="Book Antiqua" w:eastAsia="Book Antiqua" w:hAnsi="Book Antiqua" w:cs="Book Antiqua"/>
          <w:color w:val="000000"/>
        </w:rPr>
        <w:t xml:space="preserve">Interferon </w:t>
      </w:r>
      <w:r>
        <w:rPr>
          <w:rFonts w:ascii="Book Antiqua" w:eastAsia="Book Antiqua" w:hAnsi="Book Antiqua" w:cs="Book Antiqua"/>
          <w:color w:val="000000"/>
        </w:rPr>
        <w:t xml:space="preserve">gamma; CXCL17: </w:t>
      </w:r>
      <w:r w:rsidR="00D73A6E">
        <w:rPr>
          <w:rFonts w:ascii="Book Antiqua" w:eastAsia="Book Antiqua" w:hAnsi="Book Antiqua" w:cs="Book Antiqua"/>
          <w:color w:val="000000"/>
        </w:rPr>
        <w:t xml:space="preserve">Chemokine </w:t>
      </w:r>
      <w:r>
        <w:rPr>
          <w:rFonts w:ascii="Book Antiqua" w:eastAsia="Book Antiqua" w:hAnsi="Book Antiqua" w:cs="Book Antiqua"/>
          <w:color w:val="000000"/>
        </w:rPr>
        <w:t xml:space="preserve">(C-X-C motif) ligand 17; NK cells: </w:t>
      </w:r>
      <w:r w:rsidR="00D73A6E">
        <w:rPr>
          <w:rFonts w:ascii="Book Antiqua" w:eastAsia="Book Antiqua" w:hAnsi="Book Antiqua" w:cs="Book Antiqua"/>
          <w:color w:val="000000"/>
        </w:rPr>
        <w:t xml:space="preserve">Natural </w:t>
      </w:r>
      <w:r>
        <w:rPr>
          <w:rFonts w:ascii="Book Antiqua" w:eastAsia="Book Antiqua" w:hAnsi="Book Antiqua" w:cs="Book Antiqua"/>
          <w:color w:val="000000"/>
        </w:rPr>
        <w:t xml:space="preserve">killer cells; MCP-1: </w:t>
      </w:r>
      <w:r w:rsidR="00D73A6E">
        <w:rPr>
          <w:rFonts w:ascii="Book Antiqua" w:eastAsia="Book Antiqua" w:hAnsi="Book Antiqua" w:cs="Book Antiqua"/>
          <w:color w:val="000000"/>
        </w:rPr>
        <w:t xml:space="preserve">Monocyte </w:t>
      </w:r>
      <w:r>
        <w:rPr>
          <w:rFonts w:ascii="Book Antiqua" w:eastAsia="Book Antiqua" w:hAnsi="Book Antiqua" w:cs="Book Antiqua"/>
          <w:color w:val="000000"/>
        </w:rPr>
        <w:t xml:space="preserve">chemoattractant protein-1; HiF: </w:t>
      </w:r>
      <w:r w:rsidR="00D73A6E">
        <w:rPr>
          <w:rFonts w:ascii="Book Antiqua" w:eastAsia="Book Antiqua" w:hAnsi="Book Antiqua" w:cs="Book Antiqua"/>
          <w:color w:val="000000"/>
        </w:rPr>
        <w:t xml:space="preserve">Hypoxia </w:t>
      </w:r>
      <w:r>
        <w:rPr>
          <w:rFonts w:ascii="Book Antiqua" w:eastAsia="Book Antiqua" w:hAnsi="Book Antiqua" w:cs="Book Antiqua"/>
          <w:color w:val="000000"/>
        </w:rPr>
        <w:t xml:space="preserve">inducible factor; HSCs: </w:t>
      </w:r>
      <w:r w:rsidR="00D73A6E">
        <w:rPr>
          <w:rFonts w:ascii="Book Antiqua" w:eastAsia="Book Antiqua" w:hAnsi="Book Antiqua" w:cs="Book Antiqua"/>
          <w:color w:val="000000"/>
        </w:rPr>
        <w:t xml:space="preserve">Hepatic </w:t>
      </w:r>
      <w:r>
        <w:rPr>
          <w:rFonts w:ascii="Book Antiqua" w:eastAsia="Book Antiqua" w:hAnsi="Book Antiqua" w:cs="Book Antiqua"/>
          <w:color w:val="000000"/>
        </w:rPr>
        <w:t>stellate cells; MDSCs:</w:t>
      </w:r>
      <w:r w:rsidR="00D73A6E">
        <w:rPr>
          <w:rFonts w:ascii="Book Antiqua" w:eastAsia="Book Antiqua" w:hAnsi="Book Antiqua" w:cs="Book Antiqua"/>
          <w:color w:val="000000"/>
        </w:rPr>
        <w:t xml:space="preserve"> Myeloid </w:t>
      </w:r>
      <w:r>
        <w:rPr>
          <w:rFonts w:ascii="Book Antiqua" w:eastAsia="Book Antiqua" w:hAnsi="Book Antiqua" w:cs="Book Antiqua"/>
          <w:color w:val="000000"/>
        </w:rPr>
        <w:t xml:space="preserve">derived suppressor cells; CAFs: </w:t>
      </w:r>
      <w:r w:rsidR="00D73A6E">
        <w:rPr>
          <w:rFonts w:ascii="Book Antiqua" w:eastAsia="Book Antiqua" w:hAnsi="Book Antiqua" w:cs="Book Antiqua"/>
          <w:color w:val="000000"/>
        </w:rPr>
        <w:t xml:space="preserve">Cancer </w:t>
      </w:r>
      <w:r>
        <w:rPr>
          <w:rFonts w:ascii="Book Antiqua" w:eastAsia="Book Antiqua" w:hAnsi="Book Antiqua" w:cs="Book Antiqua"/>
          <w:color w:val="000000"/>
        </w:rPr>
        <w:t xml:space="preserve">associated fibroblasts; FGF: </w:t>
      </w:r>
      <w:r w:rsidR="00D73A6E">
        <w:rPr>
          <w:rFonts w:ascii="Book Antiqua" w:eastAsia="Book Antiqua" w:hAnsi="Book Antiqua" w:cs="Book Antiqua"/>
          <w:color w:val="000000"/>
        </w:rPr>
        <w:t xml:space="preserve">Fibroblast </w:t>
      </w:r>
      <w:r>
        <w:rPr>
          <w:rFonts w:ascii="Book Antiqua" w:eastAsia="Book Antiqua" w:hAnsi="Book Antiqua" w:cs="Book Antiqua"/>
          <w:color w:val="000000"/>
        </w:rPr>
        <w:t xml:space="preserve">growth factor; MMP2/9: </w:t>
      </w:r>
      <w:r w:rsidR="00D73A6E">
        <w:rPr>
          <w:rFonts w:ascii="Book Antiqua" w:eastAsia="Book Antiqua" w:hAnsi="Book Antiqua" w:cs="Book Antiqua"/>
          <w:color w:val="000000"/>
        </w:rPr>
        <w:t xml:space="preserve">Matrix </w:t>
      </w:r>
      <w:r>
        <w:rPr>
          <w:rFonts w:ascii="Book Antiqua" w:eastAsia="Book Antiqua" w:hAnsi="Book Antiqua" w:cs="Book Antiqua"/>
          <w:color w:val="000000"/>
        </w:rPr>
        <w:t xml:space="preserve">metalloproteases 2 and 9; LSECs: </w:t>
      </w:r>
      <w:r w:rsidR="00D73A6E">
        <w:rPr>
          <w:rFonts w:ascii="Book Antiqua" w:eastAsia="Book Antiqua" w:hAnsi="Book Antiqua" w:cs="Book Antiqua"/>
          <w:color w:val="000000"/>
        </w:rPr>
        <w:t xml:space="preserve">Liver </w:t>
      </w:r>
      <w:r>
        <w:rPr>
          <w:rFonts w:ascii="Book Antiqua" w:eastAsia="Book Antiqua" w:hAnsi="Book Antiqua" w:cs="Book Antiqua"/>
          <w:color w:val="000000"/>
        </w:rPr>
        <w:t>sinusoidal endothelial cells; KCs: Kupffer cells.</w:t>
      </w:r>
    </w:p>
    <w:p w14:paraId="6E117463" w14:textId="77777777" w:rsidR="007F0725" w:rsidRPr="00367BAA" w:rsidRDefault="007F0725" w:rsidP="007F0725">
      <w:pPr>
        <w:spacing w:line="360" w:lineRule="auto"/>
        <w:jc w:val="both"/>
        <w:rPr>
          <w:rFonts w:ascii="Book Antiqua" w:hAnsi="Book Antiqua"/>
          <w:b/>
          <w:bCs/>
        </w:rPr>
      </w:pPr>
      <w:r>
        <w:rPr>
          <w:rFonts w:ascii="Book Antiqua" w:eastAsia="Book Antiqua" w:hAnsi="Book Antiqua" w:cs="Book Antiqua"/>
          <w:color w:val="000000"/>
        </w:rPr>
        <w:br w:type="page"/>
      </w:r>
      <w:r w:rsidRPr="00367BAA">
        <w:rPr>
          <w:rFonts w:ascii="Book Antiqua" w:hAnsi="Book Antiqua"/>
          <w:b/>
          <w:bCs/>
        </w:rPr>
        <w:lastRenderedPageBreak/>
        <w:t xml:space="preserve">Table 1 Clinical trials assessing the effectiveness of immunotherapy in patients with advanced </w:t>
      </w:r>
      <w:r w:rsidRPr="00367BAA">
        <w:rPr>
          <w:rFonts w:ascii="Book Antiqua" w:eastAsia="Book Antiqua" w:hAnsi="Book Antiqua" w:cs="Book Antiqua"/>
          <w:b/>
          <w:bCs/>
          <w:color w:val="000000"/>
        </w:rPr>
        <w:t>hepatocellular carcinoma</w:t>
      </w:r>
    </w:p>
    <w:tbl>
      <w:tblPr>
        <w:tblW w:w="9016" w:type="dxa"/>
        <w:tblBorders>
          <w:top w:val="single" w:sz="4" w:space="0" w:color="auto"/>
          <w:bottom w:val="single" w:sz="4" w:space="0" w:color="auto"/>
        </w:tblBorders>
        <w:tblLook w:val="04A0" w:firstRow="1" w:lastRow="0" w:firstColumn="1" w:lastColumn="0" w:noHBand="0" w:noVBand="1"/>
      </w:tblPr>
      <w:tblGrid>
        <w:gridCol w:w="1951"/>
        <w:gridCol w:w="856"/>
        <w:gridCol w:w="3851"/>
        <w:gridCol w:w="2358"/>
      </w:tblGrid>
      <w:tr w:rsidR="007F0725" w:rsidRPr="00367BAA" w14:paraId="231F2ADE" w14:textId="77777777" w:rsidTr="00747C73">
        <w:trPr>
          <w:trHeight w:val="288"/>
        </w:trPr>
        <w:tc>
          <w:tcPr>
            <w:tcW w:w="1951" w:type="dxa"/>
            <w:tcBorders>
              <w:top w:val="single" w:sz="4" w:space="0" w:color="auto"/>
              <w:bottom w:val="single" w:sz="4" w:space="0" w:color="auto"/>
            </w:tcBorders>
            <w:shd w:val="clear" w:color="auto" w:fill="auto"/>
            <w:noWrap/>
            <w:vAlign w:val="bottom"/>
            <w:hideMark/>
          </w:tcPr>
          <w:p w14:paraId="2EAAFAD8" w14:textId="77777777" w:rsidR="007F0725" w:rsidRPr="00E036AE" w:rsidRDefault="007F0725" w:rsidP="00C4354C">
            <w:pPr>
              <w:spacing w:line="360" w:lineRule="auto"/>
              <w:jc w:val="both"/>
              <w:rPr>
                <w:rFonts w:ascii="Book Antiqua" w:eastAsia="SimSun" w:hAnsi="Book Antiqua" w:cs="SimSun"/>
                <w:b/>
                <w:bCs/>
                <w:color w:val="000000"/>
                <w:lang w:eastAsia="zh-CN"/>
              </w:rPr>
            </w:pPr>
            <w:r w:rsidRPr="00E036AE">
              <w:rPr>
                <w:rFonts w:ascii="Book Antiqua" w:eastAsia="SimSun" w:hAnsi="Book Antiqua" w:cs="SimSun"/>
                <w:b/>
                <w:bCs/>
                <w:color w:val="000000"/>
                <w:lang w:eastAsia="zh-CN"/>
              </w:rPr>
              <w:t>Trial name</w:t>
            </w:r>
          </w:p>
        </w:tc>
        <w:tc>
          <w:tcPr>
            <w:tcW w:w="856" w:type="dxa"/>
            <w:tcBorders>
              <w:top w:val="single" w:sz="4" w:space="0" w:color="auto"/>
              <w:bottom w:val="single" w:sz="4" w:space="0" w:color="auto"/>
            </w:tcBorders>
            <w:shd w:val="clear" w:color="auto" w:fill="auto"/>
            <w:noWrap/>
            <w:vAlign w:val="bottom"/>
            <w:hideMark/>
          </w:tcPr>
          <w:p w14:paraId="7065F420" w14:textId="77777777" w:rsidR="007F0725" w:rsidRPr="00E036AE" w:rsidRDefault="007F0725" w:rsidP="00C4354C">
            <w:pPr>
              <w:spacing w:line="360" w:lineRule="auto"/>
              <w:jc w:val="both"/>
              <w:rPr>
                <w:rFonts w:ascii="Book Antiqua" w:eastAsia="SimSun" w:hAnsi="Book Antiqua" w:cs="SimSun"/>
                <w:b/>
                <w:bCs/>
                <w:color w:val="000000"/>
                <w:lang w:eastAsia="zh-CN"/>
              </w:rPr>
            </w:pPr>
            <w:r w:rsidRPr="00E036AE">
              <w:rPr>
                <w:rFonts w:ascii="Book Antiqua" w:eastAsia="SimSun" w:hAnsi="Book Antiqua" w:cs="SimSun"/>
                <w:b/>
                <w:bCs/>
                <w:color w:val="000000"/>
                <w:lang w:eastAsia="zh-CN"/>
              </w:rPr>
              <w:t>Phase</w:t>
            </w:r>
          </w:p>
        </w:tc>
        <w:tc>
          <w:tcPr>
            <w:tcW w:w="3851" w:type="dxa"/>
            <w:tcBorders>
              <w:top w:val="single" w:sz="4" w:space="0" w:color="auto"/>
              <w:bottom w:val="single" w:sz="4" w:space="0" w:color="auto"/>
            </w:tcBorders>
            <w:shd w:val="clear" w:color="auto" w:fill="auto"/>
            <w:noWrap/>
            <w:vAlign w:val="bottom"/>
            <w:hideMark/>
          </w:tcPr>
          <w:p w14:paraId="125370A8" w14:textId="77777777" w:rsidR="007F0725" w:rsidRPr="00E036AE" w:rsidRDefault="007F0725" w:rsidP="00C4354C">
            <w:pPr>
              <w:spacing w:line="360" w:lineRule="auto"/>
              <w:jc w:val="both"/>
              <w:rPr>
                <w:rFonts w:ascii="Book Antiqua" w:eastAsia="SimSun" w:hAnsi="Book Antiqua" w:cs="SimSun"/>
                <w:b/>
                <w:bCs/>
                <w:color w:val="000000"/>
                <w:lang w:eastAsia="zh-CN"/>
              </w:rPr>
            </w:pPr>
            <w:r w:rsidRPr="00E036AE">
              <w:rPr>
                <w:rFonts w:ascii="Book Antiqua" w:eastAsia="SimSun" w:hAnsi="Book Antiqua" w:cs="SimSun"/>
                <w:b/>
                <w:bCs/>
                <w:color w:val="000000"/>
                <w:lang w:eastAsia="zh-CN"/>
              </w:rPr>
              <w:t>Intervention</w:t>
            </w:r>
          </w:p>
        </w:tc>
        <w:tc>
          <w:tcPr>
            <w:tcW w:w="2358" w:type="dxa"/>
            <w:tcBorders>
              <w:top w:val="single" w:sz="4" w:space="0" w:color="auto"/>
              <w:bottom w:val="single" w:sz="4" w:space="0" w:color="auto"/>
            </w:tcBorders>
            <w:shd w:val="clear" w:color="auto" w:fill="auto"/>
            <w:noWrap/>
            <w:vAlign w:val="bottom"/>
            <w:hideMark/>
          </w:tcPr>
          <w:p w14:paraId="2615886B" w14:textId="77777777" w:rsidR="007F0725" w:rsidRPr="00E036AE" w:rsidRDefault="007F0725" w:rsidP="00C4354C">
            <w:pPr>
              <w:spacing w:line="360" w:lineRule="auto"/>
              <w:jc w:val="both"/>
              <w:rPr>
                <w:rFonts w:ascii="Book Antiqua" w:eastAsia="SimSun" w:hAnsi="Book Antiqua" w:cs="SimSun"/>
                <w:b/>
                <w:bCs/>
                <w:color w:val="000000"/>
                <w:lang w:eastAsia="zh-CN"/>
              </w:rPr>
            </w:pPr>
            <w:r w:rsidRPr="00E036AE">
              <w:rPr>
                <w:rFonts w:ascii="Book Antiqua" w:eastAsia="SimSun" w:hAnsi="Book Antiqua" w:cs="SimSun"/>
                <w:b/>
                <w:bCs/>
                <w:color w:val="000000"/>
                <w:lang w:eastAsia="zh-CN"/>
              </w:rPr>
              <w:t>Status</w:t>
            </w:r>
          </w:p>
        </w:tc>
      </w:tr>
      <w:tr w:rsidR="007F0725" w:rsidRPr="00367BAA" w14:paraId="2820B443" w14:textId="77777777" w:rsidTr="00747C73">
        <w:trPr>
          <w:trHeight w:val="288"/>
        </w:trPr>
        <w:tc>
          <w:tcPr>
            <w:tcW w:w="1951" w:type="dxa"/>
            <w:tcBorders>
              <w:top w:val="single" w:sz="4" w:space="0" w:color="auto"/>
            </w:tcBorders>
            <w:shd w:val="clear" w:color="auto" w:fill="auto"/>
            <w:noWrap/>
            <w:vAlign w:val="bottom"/>
            <w:hideMark/>
          </w:tcPr>
          <w:p w14:paraId="7DBC50C0"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Single-agent immunotherapy</w:t>
            </w:r>
          </w:p>
        </w:tc>
        <w:tc>
          <w:tcPr>
            <w:tcW w:w="856" w:type="dxa"/>
            <w:tcBorders>
              <w:top w:val="single" w:sz="4" w:space="0" w:color="auto"/>
            </w:tcBorders>
            <w:shd w:val="clear" w:color="auto" w:fill="auto"/>
            <w:noWrap/>
            <w:vAlign w:val="bottom"/>
          </w:tcPr>
          <w:p w14:paraId="3C72C83E" w14:textId="77777777" w:rsidR="007F0725" w:rsidRPr="00E036AE" w:rsidRDefault="007F0725" w:rsidP="00C4354C">
            <w:pPr>
              <w:spacing w:line="360" w:lineRule="auto"/>
              <w:jc w:val="both"/>
              <w:rPr>
                <w:rFonts w:ascii="Book Antiqua" w:eastAsia="SimSun" w:hAnsi="Book Antiqua" w:cs="SimSun"/>
                <w:color w:val="000000"/>
                <w:lang w:eastAsia="zh-CN"/>
              </w:rPr>
            </w:pPr>
          </w:p>
        </w:tc>
        <w:tc>
          <w:tcPr>
            <w:tcW w:w="3851" w:type="dxa"/>
            <w:tcBorders>
              <w:top w:val="single" w:sz="4" w:space="0" w:color="auto"/>
            </w:tcBorders>
            <w:shd w:val="clear" w:color="auto" w:fill="auto"/>
            <w:noWrap/>
            <w:vAlign w:val="bottom"/>
          </w:tcPr>
          <w:p w14:paraId="1A78BAFB" w14:textId="77777777" w:rsidR="007F0725" w:rsidRPr="00E036AE" w:rsidRDefault="007F0725" w:rsidP="00C4354C">
            <w:pPr>
              <w:spacing w:line="360" w:lineRule="auto"/>
              <w:jc w:val="both"/>
              <w:rPr>
                <w:rFonts w:ascii="Book Antiqua" w:eastAsia="SimSun" w:hAnsi="Book Antiqua" w:cs="SimSun"/>
                <w:color w:val="000000"/>
                <w:lang w:eastAsia="zh-CN"/>
              </w:rPr>
            </w:pPr>
          </w:p>
        </w:tc>
        <w:tc>
          <w:tcPr>
            <w:tcW w:w="2358" w:type="dxa"/>
            <w:tcBorders>
              <w:top w:val="single" w:sz="4" w:space="0" w:color="auto"/>
            </w:tcBorders>
            <w:shd w:val="clear" w:color="auto" w:fill="auto"/>
            <w:noWrap/>
            <w:vAlign w:val="bottom"/>
          </w:tcPr>
          <w:p w14:paraId="24A9FB76" w14:textId="77777777" w:rsidR="007F0725" w:rsidRPr="00E036AE" w:rsidRDefault="007F0725" w:rsidP="00C4354C">
            <w:pPr>
              <w:spacing w:line="360" w:lineRule="auto"/>
              <w:jc w:val="both"/>
              <w:rPr>
                <w:rFonts w:ascii="Book Antiqua" w:eastAsia="SimSun" w:hAnsi="Book Antiqua" w:cs="SimSun"/>
                <w:color w:val="000000"/>
                <w:lang w:eastAsia="zh-CN"/>
              </w:rPr>
            </w:pPr>
          </w:p>
        </w:tc>
      </w:tr>
      <w:tr w:rsidR="007F0725" w:rsidRPr="00367BAA" w14:paraId="5A34EDF3" w14:textId="77777777" w:rsidTr="00747C73">
        <w:trPr>
          <w:trHeight w:val="288"/>
        </w:trPr>
        <w:tc>
          <w:tcPr>
            <w:tcW w:w="1951" w:type="dxa"/>
            <w:shd w:val="clear" w:color="auto" w:fill="auto"/>
            <w:noWrap/>
            <w:vAlign w:val="bottom"/>
            <w:hideMark/>
          </w:tcPr>
          <w:p w14:paraId="09B03261"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NCT02576509</w:t>
            </w:r>
          </w:p>
        </w:tc>
        <w:tc>
          <w:tcPr>
            <w:tcW w:w="856" w:type="dxa"/>
            <w:shd w:val="clear" w:color="auto" w:fill="auto"/>
            <w:noWrap/>
            <w:vAlign w:val="bottom"/>
            <w:hideMark/>
          </w:tcPr>
          <w:p w14:paraId="47896404" w14:textId="33158057" w:rsidR="007F0725" w:rsidRPr="00E036AE"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III</w:t>
            </w:r>
          </w:p>
        </w:tc>
        <w:tc>
          <w:tcPr>
            <w:tcW w:w="3851" w:type="dxa"/>
            <w:shd w:val="clear" w:color="auto" w:fill="auto"/>
            <w:noWrap/>
            <w:vAlign w:val="bottom"/>
            <w:hideMark/>
          </w:tcPr>
          <w:p w14:paraId="7CCED0CE" w14:textId="5AE96624"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 xml:space="preserve">Nivolumab </w:t>
            </w:r>
            <w:r w:rsidRPr="00E036AE">
              <w:rPr>
                <w:rFonts w:ascii="Book Antiqua" w:eastAsia="SimSun" w:hAnsi="Book Antiqua" w:cs="SimSun"/>
                <w:i/>
                <w:iCs/>
                <w:color w:val="000000"/>
                <w:lang w:eastAsia="zh-CN"/>
              </w:rPr>
              <w:t>vs</w:t>
            </w:r>
            <w:r w:rsidRPr="00E036AE">
              <w:rPr>
                <w:rFonts w:ascii="Book Antiqua" w:eastAsia="SimSun" w:hAnsi="Book Antiqua" w:cs="SimSun"/>
                <w:color w:val="000000"/>
                <w:lang w:eastAsia="zh-CN"/>
              </w:rPr>
              <w:t xml:space="preserve"> </w:t>
            </w:r>
            <w:r w:rsidR="007412EF">
              <w:rPr>
                <w:rFonts w:ascii="Book Antiqua" w:eastAsia="SimSun" w:hAnsi="Book Antiqua" w:cs="SimSun"/>
                <w:color w:val="000000"/>
                <w:lang w:eastAsia="zh-CN"/>
              </w:rPr>
              <w:t>s</w:t>
            </w:r>
            <w:r w:rsidR="007412EF" w:rsidRPr="00E036AE">
              <w:rPr>
                <w:rFonts w:ascii="Book Antiqua" w:eastAsia="SimSun" w:hAnsi="Book Antiqua" w:cs="SimSun"/>
                <w:color w:val="000000"/>
                <w:lang w:eastAsia="zh-CN"/>
              </w:rPr>
              <w:t>orafenib</w:t>
            </w:r>
          </w:p>
        </w:tc>
        <w:tc>
          <w:tcPr>
            <w:tcW w:w="2358" w:type="dxa"/>
            <w:shd w:val="clear" w:color="auto" w:fill="auto"/>
            <w:noWrap/>
            <w:vAlign w:val="bottom"/>
            <w:hideMark/>
          </w:tcPr>
          <w:p w14:paraId="252D697F"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Completed</w:t>
            </w:r>
          </w:p>
        </w:tc>
      </w:tr>
      <w:tr w:rsidR="007F0725" w:rsidRPr="00367BAA" w14:paraId="1413B7B4" w14:textId="77777777" w:rsidTr="00747C73">
        <w:trPr>
          <w:trHeight w:val="288"/>
        </w:trPr>
        <w:tc>
          <w:tcPr>
            <w:tcW w:w="1951" w:type="dxa"/>
            <w:shd w:val="clear" w:color="auto" w:fill="auto"/>
            <w:noWrap/>
            <w:vAlign w:val="bottom"/>
            <w:hideMark/>
          </w:tcPr>
          <w:p w14:paraId="3B9961B0"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NCT02702414</w:t>
            </w:r>
          </w:p>
        </w:tc>
        <w:tc>
          <w:tcPr>
            <w:tcW w:w="856" w:type="dxa"/>
            <w:shd w:val="clear" w:color="auto" w:fill="auto"/>
            <w:noWrap/>
            <w:vAlign w:val="bottom"/>
            <w:hideMark/>
          </w:tcPr>
          <w:p w14:paraId="064571AF" w14:textId="4700596E" w:rsidR="007F0725" w:rsidRPr="00E036AE"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w:t>
            </w:r>
          </w:p>
        </w:tc>
        <w:tc>
          <w:tcPr>
            <w:tcW w:w="3851" w:type="dxa"/>
            <w:shd w:val="clear" w:color="auto" w:fill="auto"/>
            <w:noWrap/>
            <w:vAlign w:val="bottom"/>
            <w:hideMark/>
          </w:tcPr>
          <w:p w14:paraId="31270AC3"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Pembrolizumab (single-arm study)</w:t>
            </w:r>
          </w:p>
        </w:tc>
        <w:tc>
          <w:tcPr>
            <w:tcW w:w="2358" w:type="dxa"/>
            <w:shd w:val="clear" w:color="auto" w:fill="auto"/>
            <w:noWrap/>
            <w:vAlign w:val="bottom"/>
            <w:hideMark/>
          </w:tcPr>
          <w:p w14:paraId="41D4998E"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Completed</w:t>
            </w:r>
          </w:p>
        </w:tc>
      </w:tr>
      <w:tr w:rsidR="007F0725" w:rsidRPr="00367BAA" w14:paraId="67745552" w14:textId="77777777" w:rsidTr="00747C73">
        <w:trPr>
          <w:trHeight w:val="288"/>
        </w:trPr>
        <w:tc>
          <w:tcPr>
            <w:tcW w:w="1951" w:type="dxa"/>
            <w:shd w:val="clear" w:color="auto" w:fill="auto"/>
            <w:noWrap/>
            <w:vAlign w:val="bottom"/>
            <w:hideMark/>
          </w:tcPr>
          <w:p w14:paraId="537B2312"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NCT02702401</w:t>
            </w:r>
          </w:p>
        </w:tc>
        <w:tc>
          <w:tcPr>
            <w:tcW w:w="856" w:type="dxa"/>
            <w:shd w:val="clear" w:color="auto" w:fill="auto"/>
            <w:noWrap/>
            <w:vAlign w:val="bottom"/>
            <w:hideMark/>
          </w:tcPr>
          <w:p w14:paraId="35FD4999" w14:textId="7373AF71" w:rsidR="007F0725" w:rsidRPr="00E036AE"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III</w:t>
            </w:r>
          </w:p>
        </w:tc>
        <w:tc>
          <w:tcPr>
            <w:tcW w:w="3851" w:type="dxa"/>
            <w:shd w:val="clear" w:color="auto" w:fill="auto"/>
            <w:noWrap/>
            <w:vAlign w:val="bottom"/>
            <w:hideMark/>
          </w:tcPr>
          <w:p w14:paraId="50FD472D"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 xml:space="preserve">Pembrolizumab </w:t>
            </w:r>
            <w:r w:rsidRPr="00E036AE">
              <w:rPr>
                <w:rFonts w:ascii="Book Antiqua" w:eastAsia="SimSun" w:hAnsi="Book Antiqua" w:cs="SimSun"/>
                <w:i/>
                <w:iCs/>
                <w:color w:val="000000"/>
                <w:lang w:eastAsia="zh-CN"/>
              </w:rPr>
              <w:t>vs</w:t>
            </w:r>
            <w:r w:rsidRPr="00E036AE">
              <w:rPr>
                <w:rFonts w:ascii="Book Antiqua" w:eastAsia="SimSun" w:hAnsi="Book Antiqua" w:cs="SimSun"/>
                <w:color w:val="000000"/>
                <w:lang w:eastAsia="zh-CN"/>
              </w:rPr>
              <w:t xml:space="preserve"> BSC</w:t>
            </w:r>
          </w:p>
        </w:tc>
        <w:tc>
          <w:tcPr>
            <w:tcW w:w="2358" w:type="dxa"/>
            <w:shd w:val="clear" w:color="auto" w:fill="auto"/>
            <w:noWrap/>
            <w:vAlign w:val="bottom"/>
            <w:hideMark/>
          </w:tcPr>
          <w:p w14:paraId="1FA065F6"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Completed</w:t>
            </w:r>
          </w:p>
        </w:tc>
      </w:tr>
      <w:tr w:rsidR="007F0725" w:rsidRPr="00367BAA" w14:paraId="1349E78B" w14:textId="77777777" w:rsidTr="00747C73">
        <w:trPr>
          <w:trHeight w:val="288"/>
        </w:trPr>
        <w:tc>
          <w:tcPr>
            <w:tcW w:w="1951" w:type="dxa"/>
            <w:shd w:val="clear" w:color="auto" w:fill="auto"/>
            <w:noWrap/>
            <w:vAlign w:val="bottom"/>
            <w:hideMark/>
          </w:tcPr>
          <w:p w14:paraId="74FA2B83"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NCT03062358</w:t>
            </w:r>
          </w:p>
        </w:tc>
        <w:tc>
          <w:tcPr>
            <w:tcW w:w="856" w:type="dxa"/>
            <w:shd w:val="clear" w:color="auto" w:fill="auto"/>
            <w:noWrap/>
            <w:vAlign w:val="bottom"/>
            <w:hideMark/>
          </w:tcPr>
          <w:p w14:paraId="3C64430A" w14:textId="381E8421" w:rsidR="007F0725" w:rsidRPr="00E036AE"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III</w:t>
            </w:r>
          </w:p>
        </w:tc>
        <w:tc>
          <w:tcPr>
            <w:tcW w:w="3851" w:type="dxa"/>
            <w:shd w:val="clear" w:color="auto" w:fill="auto"/>
            <w:noWrap/>
            <w:vAlign w:val="bottom"/>
            <w:hideMark/>
          </w:tcPr>
          <w:p w14:paraId="6D6CB99C"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 xml:space="preserve">Pembrolizumab and BSC </w:t>
            </w:r>
            <w:r w:rsidRPr="00E036AE">
              <w:rPr>
                <w:rFonts w:ascii="Book Antiqua" w:eastAsia="SimSun" w:hAnsi="Book Antiqua" w:cs="SimSun"/>
                <w:i/>
                <w:iCs/>
                <w:color w:val="000000"/>
                <w:lang w:eastAsia="zh-CN"/>
              </w:rPr>
              <w:t>vs</w:t>
            </w:r>
            <w:r w:rsidRPr="00E036AE">
              <w:rPr>
                <w:rFonts w:ascii="Book Antiqua" w:eastAsia="SimSun" w:hAnsi="Book Antiqua" w:cs="SimSun"/>
                <w:color w:val="000000"/>
                <w:lang w:eastAsia="zh-CN"/>
              </w:rPr>
              <w:t xml:space="preserve"> BSC and</w:t>
            </w:r>
            <w:r w:rsidRPr="00367BAA">
              <w:rPr>
                <w:rFonts w:ascii="Book Antiqua" w:eastAsia="SimSun" w:hAnsi="Book Antiqua" w:cs="SimSun"/>
                <w:color w:val="000000"/>
                <w:lang w:eastAsia="zh-CN"/>
              </w:rPr>
              <w:t xml:space="preserve"> </w:t>
            </w:r>
            <w:r w:rsidRPr="00E036AE">
              <w:rPr>
                <w:rFonts w:ascii="Book Antiqua" w:eastAsia="SimSun" w:hAnsi="Book Antiqua" w:cs="SimSun"/>
                <w:color w:val="000000"/>
                <w:lang w:eastAsia="zh-CN"/>
              </w:rPr>
              <w:t>placebo</w:t>
            </w:r>
          </w:p>
        </w:tc>
        <w:tc>
          <w:tcPr>
            <w:tcW w:w="2358" w:type="dxa"/>
            <w:shd w:val="clear" w:color="auto" w:fill="auto"/>
            <w:noWrap/>
            <w:vAlign w:val="bottom"/>
            <w:hideMark/>
          </w:tcPr>
          <w:p w14:paraId="7F1993D9" w14:textId="11E237D6"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Not yet completed; estimated completion date: June 2023</w:t>
            </w:r>
          </w:p>
        </w:tc>
      </w:tr>
      <w:tr w:rsidR="007F0725" w:rsidRPr="00367BAA" w14:paraId="47EC1E31" w14:textId="77777777" w:rsidTr="00747C73">
        <w:trPr>
          <w:trHeight w:val="324"/>
        </w:trPr>
        <w:tc>
          <w:tcPr>
            <w:tcW w:w="1951" w:type="dxa"/>
            <w:shd w:val="clear" w:color="auto" w:fill="auto"/>
            <w:noWrap/>
            <w:vAlign w:val="bottom"/>
            <w:hideMark/>
          </w:tcPr>
          <w:p w14:paraId="15446EC7"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NCT03412773</w:t>
            </w:r>
          </w:p>
        </w:tc>
        <w:tc>
          <w:tcPr>
            <w:tcW w:w="856" w:type="dxa"/>
            <w:shd w:val="clear" w:color="auto" w:fill="auto"/>
            <w:noWrap/>
            <w:vAlign w:val="bottom"/>
            <w:hideMark/>
          </w:tcPr>
          <w:p w14:paraId="7D5A935E" w14:textId="05BFA60E" w:rsidR="007F0725" w:rsidRPr="00E036AE"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III</w:t>
            </w:r>
          </w:p>
        </w:tc>
        <w:tc>
          <w:tcPr>
            <w:tcW w:w="3851" w:type="dxa"/>
            <w:shd w:val="clear" w:color="auto" w:fill="auto"/>
            <w:noWrap/>
            <w:vAlign w:val="bottom"/>
            <w:hideMark/>
          </w:tcPr>
          <w:p w14:paraId="16D47D81" w14:textId="2452262D"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 xml:space="preserve">Tislelizumab </w:t>
            </w:r>
            <w:r w:rsidRPr="00E036AE">
              <w:rPr>
                <w:rFonts w:ascii="Book Antiqua" w:eastAsia="SimSun" w:hAnsi="Book Antiqua" w:cs="SimSun"/>
                <w:i/>
                <w:iCs/>
                <w:color w:val="000000"/>
                <w:lang w:eastAsia="zh-CN"/>
              </w:rPr>
              <w:t>vs</w:t>
            </w:r>
            <w:r w:rsidRPr="00E036AE">
              <w:rPr>
                <w:rFonts w:ascii="Book Antiqua" w:eastAsia="SimSun" w:hAnsi="Book Antiqua" w:cs="SimSun"/>
                <w:color w:val="000000"/>
                <w:lang w:eastAsia="zh-CN"/>
              </w:rPr>
              <w:t xml:space="preserve"> </w:t>
            </w:r>
            <w:r w:rsidR="007412EF">
              <w:rPr>
                <w:rFonts w:ascii="Book Antiqua" w:eastAsia="SimSun" w:hAnsi="Book Antiqua" w:cs="SimSun"/>
                <w:color w:val="000000"/>
                <w:lang w:eastAsia="zh-CN"/>
              </w:rPr>
              <w:t>s</w:t>
            </w:r>
            <w:r w:rsidR="007412EF" w:rsidRPr="00E036AE">
              <w:rPr>
                <w:rFonts w:ascii="Book Antiqua" w:eastAsia="SimSun" w:hAnsi="Book Antiqua" w:cs="SimSun"/>
                <w:color w:val="000000"/>
                <w:lang w:eastAsia="zh-CN"/>
              </w:rPr>
              <w:t>orafenib</w:t>
            </w:r>
          </w:p>
        </w:tc>
        <w:tc>
          <w:tcPr>
            <w:tcW w:w="2358" w:type="dxa"/>
            <w:shd w:val="clear" w:color="auto" w:fill="auto"/>
            <w:noWrap/>
            <w:vAlign w:val="bottom"/>
            <w:hideMark/>
          </w:tcPr>
          <w:p w14:paraId="70DF772E"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Not yet completed; estimated completion date: May 2022</w:t>
            </w:r>
          </w:p>
        </w:tc>
      </w:tr>
      <w:tr w:rsidR="007F0725" w:rsidRPr="00367BAA" w14:paraId="744155C9" w14:textId="77777777" w:rsidTr="00747C73">
        <w:trPr>
          <w:trHeight w:val="288"/>
        </w:trPr>
        <w:tc>
          <w:tcPr>
            <w:tcW w:w="1951" w:type="dxa"/>
            <w:shd w:val="clear" w:color="auto" w:fill="auto"/>
            <w:noWrap/>
            <w:vAlign w:val="bottom"/>
            <w:hideMark/>
          </w:tcPr>
          <w:p w14:paraId="484F08A7"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NCT02989922</w:t>
            </w:r>
          </w:p>
        </w:tc>
        <w:tc>
          <w:tcPr>
            <w:tcW w:w="856" w:type="dxa"/>
            <w:shd w:val="clear" w:color="auto" w:fill="auto"/>
            <w:noWrap/>
            <w:vAlign w:val="bottom"/>
            <w:hideMark/>
          </w:tcPr>
          <w:p w14:paraId="1B0BDA1E" w14:textId="7E8F63EF" w:rsidR="007F0725" w:rsidRPr="00E036AE"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II/III</w:t>
            </w:r>
          </w:p>
        </w:tc>
        <w:tc>
          <w:tcPr>
            <w:tcW w:w="3851" w:type="dxa"/>
            <w:shd w:val="clear" w:color="auto" w:fill="auto"/>
            <w:noWrap/>
            <w:vAlign w:val="bottom"/>
            <w:hideMark/>
          </w:tcPr>
          <w:p w14:paraId="30BB7682"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Camrelizumab (single-arm study)</w:t>
            </w:r>
          </w:p>
        </w:tc>
        <w:tc>
          <w:tcPr>
            <w:tcW w:w="2358" w:type="dxa"/>
            <w:shd w:val="clear" w:color="auto" w:fill="auto"/>
            <w:noWrap/>
            <w:vAlign w:val="bottom"/>
            <w:hideMark/>
          </w:tcPr>
          <w:p w14:paraId="22BE2941"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Not yet completed</w:t>
            </w:r>
          </w:p>
        </w:tc>
      </w:tr>
      <w:tr w:rsidR="007F0725" w:rsidRPr="00367BAA" w14:paraId="38B32114" w14:textId="77777777" w:rsidTr="00747C73">
        <w:trPr>
          <w:trHeight w:val="288"/>
        </w:trPr>
        <w:tc>
          <w:tcPr>
            <w:tcW w:w="1951" w:type="dxa"/>
            <w:shd w:val="clear" w:color="auto" w:fill="auto"/>
            <w:noWrap/>
            <w:vAlign w:val="bottom"/>
            <w:hideMark/>
          </w:tcPr>
          <w:p w14:paraId="0985028C"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NCT01008358</w:t>
            </w:r>
          </w:p>
        </w:tc>
        <w:tc>
          <w:tcPr>
            <w:tcW w:w="856" w:type="dxa"/>
            <w:shd w:val="clear" w:color="auto" w:fill="auto"/>
            <w:noWrap/>
            <w:vAlign w:val="bottom"/>
            <w:hideMark/>
          </w:tcPr>
          <w:p w14:paraId="4EBF7885" w14:textId="5DF9D4FD" w:rsidR="007F0725" w:rsidRPr="00E036AE"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w:t>
            </w:r>
          </w:p>
        </w:tc>
        <w:tc>
          <w:tcPr>
            <w:tcW w:w="3851" w:type="dxa"/>
            <w:shd w:val="clear" w:color="auto" w:fill="auto"/>
            <w:noWrap/>
            <w:vAlign w:val="bottom"/>
            <w:hideMark/>
          </w:tcPr>
          <w:p w14:paraId="227F60FB"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Tremelimumab (single-arm study)</w:t>
            </w:r>
          </w:p>
        </w:tc>
        <w:tc>
          <w:tcPr>
            <w:tcW w:w="2358" w:type="dxa"/>
            <w:shd w:val="clear" w:color="auto" w:fill="auto"/>
            <w:noWrap/>
            <w:vAlign w:val="bottom"/>
            <w:hideMark/>
          </w:tcPr>
          <w:p w14:paraId="0BB84EC9"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Completed</w:t>
            </w:r>
          </w:p>
        </w:tc>
      </w:tr>
      <w:tr w:rsidR="007F0725" w:rsidRPr="00367BAA" w14:paraId="2BEB286A" w14:textId="77777777" w:rsidTr="00747C73">
        <w:trPr>
          <w:trHeight w:val="672"/>
        </w:trPr>
        <w:tc>
          <w:tcPr>
            <w:tcW w:w="9016" w:type="dxa"/>
            <w:gridSpan w:val="4"/>
            <w:shd w:val="clear" w:color="auto" w:fill="auto"/>
            <w:noWrap/>
            <w:vAlign w:val="bottom"/>
            <w:hideMark/>
          </w:tcPr>
          <w:p w14:paraId="4B08CE9D"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b/>
                <w:bCs/>
                <w:color w:val="000000"/>
                <w:lang w:eastAsia="zh-CN"/>
              </w:rPr>
              <w:t>Combination of immunotherapy with other treatment modalities</w:t>
            </w:r>
            <w:r w:rsidRPr="00E036AE">
              <w:rPr>
                <w:rFonts w:ascii="Book Antiqua" w:eastAsia="SimSun" w:hAnsi="Book Antiqua" w:cs="SimSun"/>
                <w:color w:val="000000"/>
                <w:vertAlign w:val="superscript"/>
                <w:lang w:eastAsia="zh-CN"/>
              </w:rPr>
              <w:t>1</w:t>
            </w:r>
          </w:p>
        </w:tc>
      </w:tr>
      <w:tr w:rsidR="007F0725" w:rsidRPr="00367BAA" w14:paraId="5991D16F" w14:textId="77777777" w:rsidTr="00747C73">
        <w:trPr>
          <w:trHeight w:val="288"/>
        </w:trPr>
        <w:tc>
          <w:tcPr>
            <w:tcW w:w="1951" w:type="dxa"/>
            <w:shd w:val="clear" w:color="auto" w:fill="auto"/>
            <w:noWrap/>
            <w:vAlign w:val="bottom"/>
            <w:hideMark/>
          </w:tcPr>
          <w:p w14:paraId="777A3A01"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 xml:space="preserve">NCT02423343 </w:t>
            </w:r>
          </w:p>
        </w:tc>
        <w:tc>
          <w:tcPr>
            <w:tcW w:w="856" w:type="dxa"/>
            <w:shd w:val="clear" w:color="auto" w:fill="auto"/>
            <w:noWrap/>
            <w:vAlign w:val="bottom"/>
            <w:hideMark/>
          </w:tcPr>
          <w:p w14:paraId="27102DDA" w14:textId="546CCFD7" w:rsidR="007F0725" w:rsidRPr="00E036AE"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I/II</w:t>
            </w:r>
          </w:p>
        </w:tc>
        <w:tc>
          <w:tcPr>
            <w:tcW w:w="3851" w:type="dxa"/>
            <w:shd w:val="clear" w:color="auto" w:fill="auto"/>
            <w:noWrap/>
            <w:vAlign w:val="bottom"/>
            <w:hideMark/>
          </w:tcPr>
          <w:p w14:paraId="32BBD6D8"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Galunisertib and nivolumab (dose escalation and cohort expansion study)</w:t>
            </w:r>
          </w:p>
        </w:tc>
        <w:tc>
          <w:tcPr>
            <w:tcW w:w="2358" w:type="dxa"/>
            <w:shd w:val="clear" w:color="auto" w:fill="auto"/>
            <w:noWrap/>
            <w:vAlign w:val="bottom"/>
            <w:hideMark/>
          </w:tcPr>
          <w:p w14:paraId="6B2DDD5B"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Completed</w:t>
            </w:r>
          </w:p>
        </w:tc>
      </w:tr>
      <w:tr w:rsidR="007F0725" w:rsidRPr="00367BAA" w14:paraId="531E29E5" w14:textId="77777777" w:rsidTr="00747C73">
        <w:trPr>
          <w:trHeight w:val="288"/>
        </w:trPr>
        <w:tc>
          <w:tcPr>
            <w:tcW w:w="1951" w:type="dxa"/>
            <w:shd w:val="clear" w:color="auto" w:fill="auto"/>
            <w:noWrap/>
            <w:vAlign w:val="bottom"/>
            <w:hideMark/>
          </w:tcPr>
          <w:p w14:paraId="4A1C8663"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 xml:space="preserve">NCT03893695 </w:t>
            </w:r>
          </w:p>
        </w:tc>
        <w:tc>
          <w:tcPr>
            <w:tcW w:w="856" w:type="dxa"/>
            <w:shd w:val="clear" w:color="auto" w:fill="auto"/>
            <w:noWrap/>
            <w:vAlign w:val="bottom"/>
            <w:hideMark/>
          </w:tcPr>
          <w:p w14:paraId="435C4F7E" w14:textId="6D6E5474" w:rsidR="007F0725" w:rsidRPr="00E036AE"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I/II</w:t>
            </w:r>
          </w:p>
        </w:tc>
        <w:tc>
          <w:tcPr>
            <w:tcW w:w="3851" w:type="dxa"/>
            <w:shd w:val="clear" w:color="auto" w:fill="auto"/>
            <w:noWrap/>
            <w:vAlign w:val="bottom"/>
            <w:hideMark/>
          </w:tcPr>
          <w:p w14:paraId="47627235"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Ascrinvacumab and nivolumab (single-arm study)</w:t>
            </w:r>
          </w:p>
        </w:tc>
        <w:tc>
          <w:tcPr>
            <w:tcW w:w="2358" w:type="dxa"/>
            <w:shd w:val="clear" w:color="auto" w:fill="auto"/>
            <w:noWrap/>
            <w:vAlign w:val="bottom"/>
            <w:hideMark/>
          </w:tcPr>
          <w:p w14:paraId="26C44880"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Not yet completed; estimated completion date: June 2022</w:t>
            </w:r>
          </w:p>
        </w:tc>
      </w:tr>
      <w:tr w:rsidR="007F0725" w:rsidRPr="00367BAA" w14:paraId="1B961F99" w14:textId="77777777" w:rsidTr="00747C73">
        <w:trPr>
          <w:trHeight w:val="288"/>
        </w:trPr>
        <w:tc>
          <w:tcPr>
            <w:tcW w:w="1951" w:type="dxa"/>
            <w:shd w:val="clear" w:color="auto" w:fill="auto"/>
            <w:noWrap/>
            <w:vAlign w:val="bottom"/>
            <w:hideMark/>
          </w:tcPr>
          <w:p w14:paraId="473A1666"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lastRenderedPageBreak/>
              <w:t xml:space="preserve">NCT03059147 </w:t>
            </w:r>
          </w:p>
        </w:tc>
        <w:tc>
          <w:tcPr>
            <w:tcW w:w="856" w:type="dxa"/>
            <w:shd w:val="clear" w:color="auto" w:fill="auto"/>
            <w:noWrap/>
            <w:vAlign w:val="bottom"/>
            <w:hideMark/>
          </w:tcPr>
          <w:p w14:paraId="1A7A2997" w14:textId="3CAACED1" w:rsidR="007F0725" w:rsidRPr="00E036AE"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w:t>
            </w:r>
          </w:p>
        </w:tc>
        <w:tc>
          <w:tcPr>
            <w:tcW w:w="3851" w:type="dxa"/>
            <w:shd w:val="clear" w:color="auto" w:fill="auto"/>
            <w:noWrap/>
            <w:vAlign w:val="bottom"/>
            <w:hideMark/>
          </w:tcPr>
          <w:p w14:paraId="5B9A33DC"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PI3 kinase/BRD4 inhibitor small</w:t>
            </w:r>
            <w:r w:rsidRPr="00367BAA">
              <w:rPr>
                <w:rFonts w:ascii="Book Antiqua" w:eastAsia="SimSun" w:hAnsi="Book Antiqua" w:cs="SimSun"/>
                <w:color w:val="000000"/>
                <w:lang w:eastAsia="zh-CN"/>
              </w:rPr>
              <w:t xml:space="preserve"> </w:t>
            </w:r>
            <w:r w:rsidRPr="00E036AE">
              <w:rPr>
                <w:rFonts w:ascii="Book Antiqua" w:eastAsia="SimSun" w:hAnsi="Book Antiqua" w:cs="SimSun"/>
                <w:color w:val="000000"/>
                <w:lang w:eastAsia="zh-CN"/>
              </w:rPr>
              <w:t>molecule and nivolumab</w:t>
            </w:r>
            <w:r w:rsidRPr="00367BAA">
              <w:rPr>
                <w:rFonts w:ascii="Book Antiqua" w:eastAsia="SimSun" w:hAnsi="Book Antiqua" w:cs="SimSun"/>
                <w:color w:val="000000"/>
                <w:lang w:eastAsia="zh-CN"/>
              </w:rPr>
              <w:t xml:space="preserve"> </w:t>
            </w:r>
            <w:r w:rsidRPr="00E036AE">
              <w:rPr>
                <w:rFonts w:ascii="Book Antiqua" w:eastAsia="SimSun" w:hAnsi="Book Antiqua" w:cs="SimSun"/>
                <w:color w:val="000000"/>
                <w:lang w:eastAsia="zh-CN"/>
              </w:rPr>
              <w:t>(single-arm study)</w:t>
            </w:r>
          </w:p>
        </w:tc>
        <w:tc>
          <w:tcPr>
            <w:tcW w:w="2358" w:type="dxa"/>
            <w:shd w:val="clear" w:color="auto" w:fill="auto"/>
            <w:noWrap/>
            <w:vAlign w:val="bottom"/>
            <w:hideMark/>
          </w:tcPr>
          <w:p w14:paraId="45C46CFE"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Not yet completed; estimated</w:t>
            </w:r>
            <w:r w:rsidRPr="00367BAA">
              <w:rPr>
                <w:rFonts w:ascii="Book Antiqua" w:eastAsia="SimSun" w:hAnsi="Book Antiqua" w:cs="SimSun"/>
                <w:color w:val="000000"/>
                <w:lang w:eastAsia="zh-CN"/>
              </w:rPr>
              <w:t xml:space="preserve"> </w:t>
            </w:r>
            <w:r w:rsidRPr="00E036AE">
              <w:rPr>
                <w:rFonts w:ascii="Book Antiqua" w:eastAsia="SimSun" w:hAnsi="Book Antiqua" w:cs="SimSun"/>
                <w:color w:val="000000"/>
                <w:lang w:eastAsia="zh-CN"/>
              </w:rPr>
              <w:t>completion date: October 2022</w:t>
            </w:r>
          </w:p>
        </w:tc>
      </w:tr>
      <w:tr w:rsidR="007F0725" w:rsidRPr="00367BAA" w14:paraId="554FCCFE" w14:textId="77777777" w:rsidTr="00747C73">
        <w:trPr>
          <w:trHeight w:val="288"/>
        </w:trPr>
        <w:tc>
          <w:tcPr>
            <w:tcW w:w="1951" w:type="dxa"/>
            <w:shd w:val="clear" w:color="auto" w:fill="auto"/>
            <w:noWrap/>
            <w:vAlign w:val="bottom"/>
            <w:hideMark/>
          </w:tcPr>
          <w:p w14:paraId="6946E375"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 xml:space="preserve">NCT03211416 </w:t>
            </w:r>
          </w:p>
        </w:tc>
        <w:tc>
          <w:tcPr>
            <w:tcW w:w="856" w:type="dxa"/>
            <w:shd w:val="clear" w:color="auto" w:fill="auto"/>
            <w:noWrap/>
            <w:vAlign w:val="bottom"/>
            <w:hideMark/>
          </w:tcPr>
          <w:p w14:paraId="5F90E627" w14:textId="7FCCF852" w:rsidR="007F0725" w:rsidRPr="00E036AE"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I/II</w:t>
            </w:r>
          </w:p>
        </w:tc>
        <w:tc>
          <w:tcPr>
            <w:tcW w:w="3851" w:type="dxa"/>
            <w:shd w:val="clear" w:color="auto" w:fill="auto"/>
            <w:noWrap/>
            <w:vAlign w:val="bottom"/>
            <w:hideMark/>
          </w:tcPr>
          <w:p w14:paraId="54DA6086"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Pembrolizumab and sorafenib</w:t>
            </w:r>
          </w:p>
        </w:tc>
        <w:tc>
          <w:tcPr>
            <w:tcW w:w="2358" w:type="dxa"/>
            <w:shd w:val="clear" w:color="auto" w:fill="auto"/>
            <w:noWrap/>
            <w:vAlign w:val="bottom"/>
            <w:hideMark/>
          </w:tcPr>
          <w:p w14:paraId="58B5E645"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Not yet completed; estimated</w:t>
            </w:r>
            <w:r w:rsidRPr="00367BAA">
              <w:rPr>
                <w:rFonts w:ascii="Book Antiqua" w:eastAsia="SimSun" w:hAnsi="Book Antiqua" w:cs="SimSun"/>
                <w:color w:val="000000"/>
                <w:lang w:eastAsia="zh-CN"/>
              </w:rPr>
              <w:t xml:space="preserve"> </w:t>
            </w:r>
            <w:r w:rsidRPr="00E036AE">
              <w:rPr>
                <w:rFonts w:ascii="Book Antiqua" w:eastAsia="SimSun" w:hAnsi="Book Antiqua" w:cs="SimSun"/>
                <w:color w:val="000000"/>
                <w:lang w:eastAsia="zh-CN"/>
              </w:rPr>
              <w:t>completion date: December</w:t>
            </w:r>
            <w:r w:rsidRPr="00367BAA">
              <w:rPr>
                <w:rFonts w:ascii="Book Antiqua" w:eastAsia="SimSun" w:hAnsi="Book Antiqua" w:cs="SimSun"/>
                <w:color w:val="000000"/>
                <w:lang w:eastAsia="zh-CN"/>
              </w:rPr>
              <w:t xml:space="preserve"> </w:t>
            </w:r>
            <w:r w:rsidRPr="00E036AE">
              <w:rPr>
                <w:rFonts w:ascii="Book Antiqua" w:eastAsia="SimSun" w:hAnsi="Book Antiqua" w:cs="SimSun"/>
                <w:color w:val="000000"/>
                <w:lang w:eastAsia="zh-CN"/>
              </w:rPr>
              <w:t>2022</w:t>
            </w:r>
          </w:p>
        </w:tc>
      </w:tr>
      <w:tr w:rsidR="007F0725" w:rsidRPr="00367BAA" w14:paraId="2B719E17" w14:textId="77777777" w:rsidTr="00747C73">
        <w:trPr>
          <w:trHeight w:val="324"/>
        </w:trPr>
        <w:tc>
          <w:tcPr>
            <w:tcW w:w="1951" w:type="dxa"/>
            <w:shd w:val="clear" w:color="auto" w:fill="auto"/>
            <w:noWrap/>
            <w:vAlign w:val="bottom"/>
            <w:hideMark/>
          </w:tcPr>
          <w:p w14:paraId="717803A3"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 xml:space="preserve">NCT03713593 </w:t>
            </w:r>
          </w:p>
        </w:tc>
        <w:tc>
          <w:tcPr>
            <w:tcW w:w="856" w:type="dxa"/>
            <w:shd w:val="clear" w:color="auto" w:fill="auto"/>
            <w:noWrap/>
            <w:vAlign w:val="bottom"/>
            <w:hideMark/>
          </w:tcPr>
          <w:p w14:paraId="24307C7A" w14:textId="755F5E2B" w:rsidR="007F0725" w:rsidRPr="00E036AE"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III</w:t>
            </w:r>
          </w:p>
        </w:tc>
        <w:tc>
          <w:tcPr>
            <w:tcW w:w="3851" w:type="dxa"/>
            <w:shd w:val="clear" w:color="auto" w:fill="auto"/>
            <w:noWrap/>
            <w:vAlign w:val="bottom"/>
            <w:hideMark/>
          </w:tcPr>
          <w:p w14:paraId="73241C53"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 xml:space="preserve">Lenvatinib and pembrolizumab </w:t>
            </w:r>
            <w:r w:rsidRPr="00E036AE">
              <w:rPr>
                <w:rFonts w:ascii="Book Antiqua" w:eastAsia="SimSun" w:hAnsi="Book Antiqua" w:cs="SimSun"/>
                <w:i/>
                <w:iCs/>
                <w:color w:val="000000"/>
                <w:lang w:eastAsia="zh-CN"/>
              </w:rPr>
              <w:t>vs</w:t>
            </w:r>
            <w:r w:rsidRPr="00E036AE">
              <w:rPr>
                <w:rFonts w:ascii="Book Antiqua" w:eastAsia="SimSun" w:hAnsi="Book Antiqua" w:cs="SimSun"/>
                <w:color w:val="000000"/>
                <w:lang w:eastAsia="zh-CN"/>
              </w:rPr>
              <w:t xml:space="preserve"> Lenvatinib and placebo</w:t>
            </w:r>
          </w:p>
        </w:tc>
        <w:tc>
          <w:tcPr>
            <w:tcW w:w="2358" w:type="dxa"/>
            <w:shd w:val="clear" w:color="auto" w:fill="auto"/>
            <w:noWrap/>
            <w:vAlign w:val="bottom"/>
            <w:hideMark/>
          </w:tcPr>
          <w:p w14:paraId="4B5F8B58"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Not yet completed; estimated completion date: December</w:t>
            </w:r>
            <w:r w:rsidRPr="00367BAA">
              <w:rPr>
                <w:rFonts w:ascii="Book Antiqua" w:eastAsia="SimSun" w:hAnsi="Book Antiqua" w:cs="SimSun"/>
                <w:color w:val="000000"/>
                <w:lang w:eastAsia="zh-CN"/>
              </w:rPr>
              <w:t xml:space="preserve"> </w:t>
            </w:r>
            <w:r w:rsidRPr="00E036AE">
              <w:rPr>
                <w:rFonts w:ascii="Book Antiqua" w:eastAsia="SimSun" w:hAnsi="Book Antiqua" w:cs="SimSun"/>
                <w:color w:val="000000"/>
                <w:lang w:eastAsia="zh-CN"/>
              </w:rPr>
              <w:t>2023</w:t>
            </w:r>
          </w:p>
        </w:tc>
      </w:tr>
      <w:tr w:rsidR="007F0725" w:rsidRPr="00367BAA" w14:paraId="5313DA12" w14:textId="77777777" w:rsidTr="00747C73">
        <w:trPr>
          <w:trHeight w:val="288"/>
        </w:trPr>
        <w:tc>
          <w:tcPr>
            <w:tcW w:w="1951" w:type="dxa"/>
            <w:shd w:val="clear" w:color="auto" w:fill="auto"/>
            <w:noWrap/>
            <w:vAlign w:val="bottom"/>
            <w:hideMark/>
          </w:tcPr>
          <w:p w14:paraId="40CA9A25"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 xml:space="preserve">NCT03316872 </w:t>
            </w:r>
          </w:p>
        </w:tc>
        <w:tc>
          <w:tcPr>
            <w:tcW w:w="856" w:type="dxa"/>
            <w:shd w:val="clear" w:color="auto" w:fill="auto"/>
            <w:noWrap/>
            <w:vAlign w:val="bottom"/>
            <w:hideMark/>
          </w:tcPr>
          <w:p w14:paraId="3788435A" w14:textId="66AC858A" w:rsidR="007F0725" w:rsidRPr="00E036AE"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w:t>
            </w:r>
          </w:p>
        </w:tc>
        <w:tc>
          <w:tcPr>
            <w:tcW w:w="3851" w:type="dxa"/>
            <w:shd w:val="clear" w:color="auto" w:fill="auto"/>
            <w:noWrap/>
            <w:vAlign w:val="bottom"/>
            <w:hideMark/>
          </w:tcPr>
          <w:p w14:paraId="018C993C"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Pembrolizumab and SBRT (single-arm study)</w:t>
            </w:r>
          </w:p>
        </w:tc>
        <w:tc>
          <w:tcPr>
            <w:tcW w:w="2358" w:type="dxa"/>
            <w:shd w:val="clear" w:color="auto" w:fill="auto"/>
            <w:noWrap/>
            <w:vAlign w:val="bottom"/>
            <w:hideMark/>
          </w:tcPr>
          <w:p w14:paraId="09DF357E"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Not yet completed; estimated completion date: December</w:t>
            </w:r>
            <w:r w:rsidRPr="00367BAA">
              <w:rPr>
                <w:rFonts w:ascii="Book Antiqua" w:eastAsia="SimSun" w:hAnsi="Book Antiqua" w:cs="SimSun"/>
                <w:color w:val="000000"/>
                <w:lang w:eastAsia="zh-CN"/>
              </w:rPr>
              <w:t xml:space="preserve"> </w:t>
            </w:r>
            <w:r w:rsidRPr="00E036AE">
              <w:rPr>
                <w:rFonts w:ascii="Book Antiqua" w:eastAsia="SimSun" w:hAnsi="Book Antiqua" w:cs="SimSun"/>
                <w:color w:val="000000"/>
                <w:lang w:eastAsia="zh-CN"/>
              </w:rPr>
              <w:t>2023</w:t>
            </w:r>
          </w:p>
        </w:tc>
      </w:tr>
      <w:tr w:rsidR="007F0725" w:rsidRPr="00367BAA" w14:paraId="5F06EDB9" w14:textId="77777777" w:rsidTr="00747C73">
        <w:trPr>
          <w:trHeight w:val="288"/>
        </w:trPr>
        <w:tc>
          <w:tcPr>
            <w:tcW w:w="1951" w:type="dxa"/>
            <w:shd w:val="clear" w:color="auto" w:fill="auto"/>
            <w:noWrap/>
            <w:vAlign w:val="bottom"/>
            <w:hideMark/>
          </w:tcPr>
          <w:p w14:paraId="3BA1CBD4"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 xml:space="preserve">NCT03099564 </w:t>
            </w:r>
          </w:p>
        </w:tc>
        <w:tc>
          <w:tcPr>
            <w:tcW w:w="856" w:type="dxa"/>
            <w:shd w:val="clear" w:color="auto" w:fill="auto"/>
            <w:noWrap/>
            <w:vAlign w:val="bottom"/>
            <w:hideMark/>
          </w:tcPr>
          <w:p w14:paraId="491559BC" w14:textId="038BEAF5" w:rsidR="007F0725" w:rsidRPr="00E036AE"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w:t>
            </w:r>
          </w:p>
        </w:tc>
        <w:tc>
          <w:tcPr>
            <w:tcW w:w="3851" w:type="dxa"/>
            <w:shd w:val="clear" w:color="auto" w:fill="auto"/>
            <w:noWrap/>
            <w:vAlign w:val="bottom"/>
            <w:hideMark/>
          </w:tcPr>
          <w:p w14:paraId="53205358"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Pembrolizumab and</w:t>
            </w:r>
            <w:r w:rsidRPr="00367BAA">
              <w:rPr>
                <w:rFonts w:ascii="Book Antiqua" w:eastAsia="SimSun" w:hAnsi="Book Antiqua" w:cs="SimSun"/>
                <w:color w:val="000000"/>
                <w:lang w:eastAsia="zh-CN"/>
              </w:rPr>
              <w:t xml:space="preserve"> </w:t>
            </w:r>
            <w:r w:rsidRPr="00E036AE">
              <w:rPr>
                <w:rFonts w:ascii="Book Antiqua" w:eastAsia="SimSun" w:hAnsi="Book Antiqua" w:cs="SimSun"/>
                <w:color w:val="000000"/>
                <w:lang w:eastAsia="zh-CN"/>
              </w:rPr>
              <w:t>Radioembolization (single-arm study)</w:t>
            </w:r>
          </w:p>
        </w:tc>
        <w:tc>
          <w:tcPr>
            <w:tcW w:w="2358" w:type="dxa"/>
            <w:shd w:val="clear" w:color="auto" w:fill="auto"/>
            <w:noWrap/>
            <w:vAlign w:val="bottom"/>
            <w:hideMark/>
          </w:tcPr>
          <w:p w14:paraId="1A2A2CD7"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Not yet completed; estimated completion date: June 2022</w:t>
            </w:r>
          </w:p>
        </w:tc>
      </w:tr>
      <w:tr w:rsidR="007F0725" w:rsidRPr="00367BAA" w14:paraId="55D93446" w14:textId="77777777" w:rsidTr="00747C73">
        <w:trPr>
          <w:trHeight w:val="288"/>
        </w:trPr>
        <w:tc>
          <w:tcPr>
            <w:tcW w:w="1951" w:type="dxa"/>
            <w:shd w:val="clear" w:color="auto" w:fill="auto"/>
            <w:noWrap/>
            <w:vAlign w:val="bottom"/>
            <w:hideMark/>
          </w:tcPr>
          <w:p w14:paraId="27DAC633"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 xml:space="preserve">NCT03939975 </w:t>
            </w:r>
          </w:p>
        </w:tc>
        <w:tc>
          <w:tcPr>
            <w:tcW w:w="856" w:type="dxa"/>
            <w:shd w:val="clear" w:color="auto" w:fill="auto"/>
            <w:noWrap/>
            <w:vAlign w:val="bottom"/>
            <w:hideMark/>
          </w:tcPr>
          <w:p w14:paraId="0EF24CE6" w14:textId="29C17B18" w:rsidR="007F0725" w:rsidRPr="00E036AE"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w:t>
            </w:r>
          </w:p>
        </w:tc>
        <w:tc>
          <w:tcPr>
            <w:tcW w:w="3851" w:type="dxa"/>
            <w:shd w:val="clear" w:color="auto" w:fill="auto"/>
            <w:noWrap/>
            <w:vAlign w:val="bottom"/>
            <w:hideMark/>
          </w:tcPr>
          <w:p w14:paraId="007CDA24"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Pembrolizumab or nivolumab or toripalimab with thermal ablation, RFA or MWA</w:t>
            </w:r>
          </w:p>
        </w:tc>
        <w:tc>
          <w:tcPr>
            <w:tcW w:w="2358" w:type="dxa"/>
            <w:shd w:val="clear" w:color="auto" w:fill="auto"/>
            <w:noWrap/>
            <w:vAlign w:val="bottom"/>
            <w:hideMark/>
          </w:tcPr>
          <w:p w14:paraId="50C94E99"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Completed</w:t>
            </w:r>
          </w:p>
        </w:tc>
      </w:tr>
      <w:tr w:rsidR="007F0725" w:rsidRPr="00367BAA" w14:paraId="6C5BAFA6" w14:textId="77777777" w:rsidTr="00747C73">
        <w:trPr>
          <w:trHeight w:val="288"/>
        </w:trPr>
        <w:tc>
          <w:tcPr>
            <w:tcW w:w="1951" w:type="dxa"/>
            <w:shd w:val="clear" w:color="auto" w:fill="auto"/>
            <w:noWrap/>
            <w:vAlign w:val="bottom"/>
            <w:hideMark/>
          </w:tcPr>
          <w:p w14:paraId="08B74DEE"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 xml:space="preserve">NCT02715531 </w:t>
            </w:r>
          </w:p>
        </w:tc>
        <w:tc>
          <w:tcPr>
            <w:tcW w:w="856" w:type="dxa"/>
            <w:shd w:val="clear" w:color="auto" w:fill="auto"/>
            <w:noWrap/>
            <w:vAlign w:val="bottom"/>
            <w:hideMark/>
          </w:tcPr>
          <w:p w14:paraId="7B355788" w14:textId="7E9C0322" w:rsidR="007F0725" w:rsidRPr="00E036AE"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w:t>
            </w:r>
          </w:p>
        </w:tc>
        <w:tc>
          <w:tcPr>
            <w:tcW w:w="3851" w:type="dxa"/>
            <w:shd w:val="clear" w:color="auto" w:fill="auto"/>
            <w:noWrap/>
            <w:vAlign w:val="bottom"/>
            <w:hideMark/>
          </w:tcPr>
          <w:p w14:paraId="486C05D3"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 xml:space="preserve">Atezolizumab with bevacizumab or other chemotherapy agents </w:t>
            </w:r>
          </w:p>
        </w:tc>
        <w:tc>
          <w:tcPr>
            <w:tcW w:w="2358" w:type="dxa"/>
            <w:shd w:val="clear" w:color="auto" w:fill="auto"/>
            <w:noWrap/>
            <w:vAlign w:val="bottom"/>
            <w:hideMark/>
          </w:tcPr>
          <w:p w14:paraId="73284E95"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Completed</w:t>
            </w:r>
          </w:p>
        </w:tc>
      </w:tr>
      <w:tr w:rsidR="007F0725" w:rsidRPr="00367BAA" w14:paraId="7EFF9EFE" w14:textId="77777777" w:rsidTr="00747C73">
        <w:trPr>
          <w:trHeight w:val="324"/>
        </w:trPr>
        <w:tc>
          <w:tcPr>
            <w:tcW w:w="1951" w:type="dxa"/>
            <w:shd w:val="clear" w:color="auto" w:fill="auto"/>
            <w:noWrap/>
            <w:vAlign w:val="bottom"/>
            <w:hideMark/>
          </w:tcPr>
          <w:p w14:paraId="146E6785"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 xml:space="preserve">NCT03434379 </w:t>
            </w:r>
          </w:p>
        </w:tc>
        <w:tc>
          <w:tcPr>
            <w:tcW w:w="856" w:type="dxa"/>
            <w:shd w:val="clear" w:color="auto" w:fill="auto"/>
            <w:noWrap/>
            <w:vAlign w:val="bottom"/>
            <w:hideMark/>
          </w:tcPr>
          <w:p w14:paraId="6A8628AA" w14:textId="42313121" w:rsidR="007F0725" w:rsidRPr="00E036AE"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III</w:t>
            </w:r>
          </w:p>
        </w:tc>
        <w:tc>
          <w:tcPr>
            <w:tcW w:w="3851" w:type="dxa"/>
            <w:shd w:val="clear" w:color="auto" w:fill="auto"/>
            <w:noWrap/>
            <w:vAlign w:val="bottom"/>
            <w:hideMark/>
          </w:tcPr>
          <w:p w14:paraId="37D2E94F"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 xml:space="preserve">Atezolizumab and bevacizumab </w:t>
            </w:r>
            <w:r w:rsidRPr="00E036AE">
              <w:rPr>
                <w:rFonts w:ascii="Book Antiqua" w:eastAsia="SimSun" w:hAnsi="Book Antiqua" w:cs="SimSun"/>
                <w:i/>
                <w:iCs/>
                <w:color w:val="000000"/>
                <w:lang w:eastAsia="zh-CN"/>
              </w:rPr>
              <w:t>vs</w:t>
            </w:r>
            <w:r w:rsidRPr="00E036AE">
              <w:rPr>
                <w:rFonts w:ascii="Book Antiqua" w:eastAsia="SimSun" w:hAnsi="Book Antiqua" w:cs="SimSun"/>
                <w:color w:val="000000"/>
                <w:lang w:eastAsia="zh-CN"/>
              </w:rPr>
              <w:t xml:space="preserve"> Sorafenib</w:t>
            </w:r>
          </w:p>
        </w:tc>
        <w:tc>
          <w:tcPr>
            <w:tcW w:w="2358" w:type="dxa"/>
            <w:shd w:val="clear" w:color="auto" w:fill="auto"/>
            <w:noWrap/>
            <w:vAlign w:val="bottom"/>
            <w:hideMark/>
          </w:tcPr>
          <w:p w14:paraId="314D5697"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Not yet completed; estimated</w:t>
            </w:r>
            <w:r w:rsidRPr="00367BAA">
              <w:rPr>
                <w:rFonts w:ascii="Book Antiqua" w:eastAsia="SimSun" w:hAnsi="Book Antiqua" w:cs="SimSun"/>
                <w:color w:val="000000"/>
                <w:lang w:eastAsia="zh-CN"/>
              </w:rPr>
              <w:t xml:space="preserve"> </w:t>
            </w:r>
            <w:r w:rsidRPr="00E036AE">
              <w:rPr>
                <w:rFonts w:ascii="Book Antiqua" w:eastAsia="SimSun" w:hAnsi="Book Antiqua" w:cs="SimSun"/>
                <w:color w:val="000000"/>
                <w:lang w:eastAsia="zh-CN"/>
              </w:rPr>
              <w:t>completion date: June 2022</w:t>
            </w:r>
          </w:p>
        </w:tc>
      </w:tr>
      <w:tr w:rsidR="007F0725" w:rsidRPr="00367BAA" w14:paraId="79015516" w14:textId="77777777" w:rsidTr="00747C73">
        <w:trPr>
          <w:trHeight w:val="324"/>
        </w:trPr>
        <w:tc>
          <w:tcPr>
            <w:tcW w:w="1951" w:type="dxa"/>
            <w:shd w:val="clear" w:color="auto" w:fill="auto"/>
            <w:noWrap/>
            <w:vAlign w:val="bottom"/>
            <w:hideMark/>
          </w:tcPr>
          <w:p w14:paraId="2F8362B2"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lastRenderedPageBreak/>
              <w:t xml:space="preserve">NCT03755791 </w:t>
            </w:r>
          </w:p>
        </w:tc>
        <w:tc>
          <w:tcPr>
            <w:tcW w:w="856" w:type="dxa"/>
            <w:shd w:val="clear" w:color="auto" w:fill="auto"/>
            <w:noWrap/>
            <w:vAlign w:val="bottom"/>
            <w:hideMark/>
          </w:tcPr>
          <w:p w14:paraId="5E6E1A35" w14:textId="7436898A" w:rsidR="007F0725" w:rsidRPr="00E036AE"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III</w:t>
            </w:r>
          </w:p>
        </w:tc>
        <w:tc>
          <w:tcPr>
            <w:tcW w:w="3851" w:type="dxa"/>
            <w:shd w:val="clear" w:color="auto" w:fill="auto"/>
            <w:noWrap/>
            <w:vAlign w:val="bottom"/>
            <w:hideMark/>
          </w:tcPr>
          <w:p w14:paraId="40F05166"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 xml:space="preserve">Atezolizumab and cabozantinib </w:t>
            </w:r>
            <w:r w:rsidRPr="00E036AE">
              <w:rPr>
                <w:rFonts w:ascii="Book Antiqua" w:eastAsia="SimSun" w:hAnsi="Book Antiqua" w:cs="SimSun"/>
                <w:i/>
                <w:iCs/>
                <w:color w:val="000000"/>
                <w:lang w:eastAsia="zh-CN"/>
              </w:rPr>
              <w:t>vs</w:t>
            </w:r>
            <w:r w:rsidRPr="00E036AE">
              <w:rPr>
                <w:rFonts w:ascii="Book Antiqua" w:eastAsia="SimSun" w:hAnsi="Book Antiqua" w:cs="SimSun"/>
                <w:color w:val="000000"/>
                <w:lang w:eastAsia="zh-CN"/>
              </w:rPr>
              <w:t xml:space="preserve"> sorafenib </w:t>
            </w:r>
            <w:r w:rsidRPr="00E036AE">
              <w:rPr>
                <w:rFonts w:ascii="Book Antiqua" w:eastAsia="SimSun" w:hAnsi="Book Antiqua" w:cs="SimSun"/>
                <w:i/>
                <w:iCs/>
                <w:color w:val="000000"/>
                <w:lang w:eastAsia="zh-CN"/>
              </w:rPr>
              <w:t>vs</w:t>
            </w:r>
            <w:r w:rsidRPr="00E036AE">
              <w:rPr>
                <w:rFonts w:ascii="Book Antiqua" w:eastAsia="SimSun" w:hAnsi="Book Antiqua" w:cs="SimSun"/>
                <w:color w:val="000000"/>
                <w:lang w:eastAsia="zh-CN"/>
              </w:rPr>
              <w:t xml:space="preserve"> cabozantinib</w:t>
            </w:r>
          </w:p>
        </w:tc>
        <w:tc>
          <w:tcPr>
            <w:tcW w:w="2358" w:type="dxa"/>
            <w:shd w:val="clear" w:color="auto" w:fill="auto"/>
            <w:noWrap/>
            <w:vAlign w:val="bottom"/>
            <w:hideMark/>
          </w:tcPr>
          <w:p w14:paraId="5E6F9057"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Not yet completed; estimated</w:t>
            </w:r>
            <w:r w:rsidRPr="00367BAA">
              <w:rPr>
                <w:rFonts w:ascii="Book Antiqua" w:eastAsia="SimSun" w:hAnsi="Book Antiqua" w:cs="SimSun"/>
                <w:color w:val="000000"/>
                <w:lang w:eastAsia="zh-CN"/>
              </w:rPr>
              <w:t xml:space="preserve"> </w:t>
            </w:r>
            <w:r w:rsidRPr="00E036AE">
              <w:rPr>
                <w:rFonts w:ascii="Book Antiqua" w:eastAsia="SimSun" w:hAnsi="Book Antiqua" w:cs="SimSun"/>
                <w:color w:val="000000"/>
                <w:lang w:eastAsia="zh-CN"/>
              </w:rPr>
              <w:t>completion date: December</w:t>
            </w:r>
            <w:r w:rsidRPr="00367BAA">
              <w:rPr>
                <w:rFonts w:ascii="Book Antiqua" w:eastAsia="SimSun" w:hAnsi="Book Antiqua" w:cs="SimSun"/>
                <w:color w:val="000000"/>
                <w:lang w:eastAsia="zh-CN"/>
              </w:rPr>
              <w:t xml:space="preserve"> </w:t>
            </w:r>
            <w:r w:rsidRPr="00E036AE">
              <w:rPr>
                <w:rFonts w:ascii="Book Antiqua" w:eastAsia="SimSun" w:hAnsi="Book Antiqua" w:cs="SimSun"/>
                <w:color w:val="000000"/>
                <w:lang w:eastAsia="zh-CN"/>
              </w:rPr>
              <w:t>2023</w:t>
            </w:r>
          </w:p>
        </w:tc>
      </w:tr>
      <w:tr w:rsidR="007F0725" w:rsidRPr="00367BAA" w14:paraId="2D63F6BD" w14:textId="77777777" w:rsidTr="00747C73">
        <w:trPr>
          <w:trHeight w:val="2172"/>
        </w:trPr>
        <w:tc>
          <w:tcPr>
            <w:tcW w:w="1951" w:type="dxa"/>
            <w:shd w:val="clear" w:color="auto" w:fill="auto"/>
            <w:noWrap/>
            <w:vAlign w:val="bottom"/>
            <w:hideMark/>
          </w:tcPr>
          <w:p w14:paraId="432A1405"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 xml:space="preserve">NCT04310709 </w:t>
            </w:r>
          </w:p>
        </w:tc>
        <w:tc>
          <w:tcPr>
            <w:tcW w:w="856" w:type="dxa"/>
            <w:shd w:val="clear" w:color="auto" w:fill="auto"/>
            <w:noWrap/>
            <w:vAlign w:val="bottom"/>
            <w:hideMark/>
          </w:tcPr>
          <w:p w14:paraId="404ED45D" w14:textId="6B476911" w:rsidR="007F0725" w:rsidRPr="00E036AE"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w:t>
            </w:r>
          </w:p>
        </w:tc>
        <w:tc>
          <w:tcPr>
            <w:tcW w:w="3851" w:type="dxa"/>
            <w:shd w:val="clear" w:color="auto" w:fill="auto"/>
            <w:noWrap/>
            <w:vAlign w:val="bottom"/>
            <w:hideMark/>
          </w:tcPr>
          <w:p w14:paraId="2B35D7BE"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Reforafenib and Nivolumab (single-arm study)</w:t>
            </w:r>
          </w:p>
        </w:tc>
        <w:tc>
          <w:tcPr>
            <w:tcW w:w="2358" w:type="dxa"/>
            <w:shd w:val="clear" w:color="auto" w:fill="auto"/>
            <w:noWrap/>
            <w:vAlign w:val="bottom"/>
            <w:hideMark/>
          </w:tcPr>
          <w:p w14:paraId="4BA25356"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Not yet completed; estimated completion date: May 2023</w:t>
            </w:r>
          </w:p>
        </w:tc>
      </w:tr>
      <w:tr w:rsidR="007F0725" w:rsidRPr="00367BAA" w14:paraId="619F7014" w14:textId="77777777" w:rsidTr="00747C73">
        <w:trPr>
          <w:trHeight w:val="324"/>
        </w:trPr>
        <w:tc>
          <w:tcPr>
            <w:tcW w:w="1951" w:type="dxa"/>
            <w:shd w:val="clear" w:color="auto" w:fill="auto"/>
            <w:noWrap/>
            <w:vAlign w:val="bottom"/>
            <w:hideMark/>
          </w:tcPr>
          <w:p w14:paraId="6EFD8B19"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 xml:space="preserve">NCT03869034 </w:t>
            </w:r>
          </w:p>
        </w:tc>
        <w:tc>
          <w:tcPr>
            <w:tcW w:w="856" w:type="dxa"/>
            <w:shd w:val="clear" w:color="auto" w:fill="auto"/>
            <w:noWrap/>
            <w:vAlign w:val="bottom"/>
            <w:hideMark/>
          </w:tcPr>
          <w:p w14:paraId="0FCE2124" w14:textId="2D96ADC8" w:rsidR="007F0725" w:rsidRPr="00E036AE"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w:t>
            </w:r>
          </w:p>
        </w:tc>
        <w:tc>
          <w:tcPr>
            <w:tcW w:w="3851" w:type="dxa"/>
            <w:shd w:val="clear" w:color="auto" w:fill="auto"/>
            <w:noWrap/>
            <w:vAlign w:val="bottom"/>
            <w:hideMark/>
          </w:tcPr>
          <w:p w14:paraId="71DA1AA5"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 xml:space="preserve">HAIC and sintilimab </w:t>
            </w:r>
            <w:r w:rsidRPr="00E036AE">
              <w:rPr>
                <w:rFonts w:ascii="Book Antiqua" w:eastAsia="SimSun" w:hAnsi="Book Antiqua" w:cs="SimSun"/>
                <w:i/>
                <w:iCs/>
                <w:color w:val="000000"/>
                <w:lang w:eastAsia="zh-CN"/>
              </w:rPr>
              <w:t>vs</w:t>
            </w:r>
            <w:r w:rsidRPr="00E036AE">
              <w:rPr>
                <w:rFonts w:ascii="Book Antiqua" w:eastAsia="SimSun" w:hAnsi="Book Antiqua" w:cs="SimSun"/>
                <w:color w:val="000000"/>
                <w:lang w:eastAsia="zh-CN"/>
              </w:rPr>
              <w:t xml:space="preserve"> HAIC</w:t>
            </w:r>
          </w:p>
        </w:tc>
        <w:tc>
          <w:tcPr>
            <w:tcW w:w="2358" w:type="dxa"/>
            <w:shd w:val="clear" w:color="auto" w:fill="auto"/>
            <w:noWrap/>
            <w:vAlign w:val="bottom"/>
            <w:hideMark/>
          </w:tcPr>
          <w:p w14:paraId="573D3176"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Completed</w:t>
            </w:r>
          </w:p>
        </w:tc>
      </w:tr>
      <w:tr w:rsidR="007F0725" w:rsidRPr="00367BAA" w14:paraId="037138A4" w14:textId="77777777" w:rsidTr="00747C73">
        <w:trPr>
          <w:trHeight w:val="324"/>
        </w:trPr>
        <w:tc>
          <w:tcPr>
            <w:tcW w:w="1951" w:type="dxa"/>
            <w:shd w:val="clear" w:color="auto" w:fill="auto"/>
            <w:noWrap/>
            <w:vAlign w:val="bottom"/>
            <w:hideMark/>
          </w:tcPr>
          <w:p w14:paraId="3C9BA4E7"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 xml:space="preserve">NCT03794440 </w:t>
            </w:r>
          </w:p>
        </w:tc>
        <w:tc>
          <w:tcPr>
            <w:tcW w:w="856" w:type="dxa"/>
            <w:shd w:val="clear" w:color="auto" w:fill="auto"/>
            <w:noWrap/>
            <w:vAlign w:val="bottom"/>
            <w:hideMark/>
          </w:tcPr>
          <w:p w14:paraId="3A121280" w14:textId="0895AE32" w:rsidR="007F0725" w:rsidRPr="00E036AE"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II/III</w:t>
            </w:r>
          </w:p>
        </w:tc>
        <w:tc>
          <w:tcPr>
            <w:tcW w:w="3851" w:type="dxa"/>
            <w:shd w:val="clear" w:color="auto" w:fill="auto"/>
            <w:noWrap/>
            <w:vAlign w:val="bottom"/>
            <w:hideMark/>
          </w:tcPr>
          <w:p w14:paraId="625C9782"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 xml:space="preserve">Anti-VEGF monoclonal antibody and sintilimab </w:t>
            </w:r>
            <w:r w:rsidRPr="00E036AE">
              <w:rPr>
                <w:rFonts w:ascii="Book Antiqua" w:eastAsia="SimSun" w:hAnsi="Book Antiqua" w:cs="SimSun"/>
                <w:i/>
                <w:iCs/>
                <w:color w:val="000000"/>
                <w:lang w:eastAsia="zh-CN"/>
              </w:rPr>
              <w:t>vs</w:t>
            </w:r>
            <w:r w:rsidRPr="00E036AE">
              <w:rPr>
                <w:rFonts w:ascii="Book Antiqua" w:eastAsia="SimSun" w:hAnsi="Book Antiqua" w:cs="SimSun"/>
                <w:color w:val="000000"/>
                <w:lang w:eastAsia="zh-CN"/>
              </w:rPr>
              <w:t xml:space="preserve"> sorafenib</w:t>
            </w:r>
          </w:p>
        </w:tc>
        <w:tc>
          <w:tcPr>
            <w:tcW w:w="2358" w:type="dxa"/>
            <w:shd w:val="clear" w:color="auto" w:fill="auto"/>
            <w:noWrap/>
            <w:vAlign w:val="bottom"/>
            <w:hideMark/>
          </w:tcPr>
          <w:p w14:paraId="152D3C5B"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Not yet completed; estimated completion date: December 2022</w:t>
            </w:r>
          </w:p>
        </w:tc>
      </w:tr>
      <w:tr w:rsidR="007F0725" w:rsidRPr="00367BAA" w14:paraId="526AA363" w14:textId="77777777" w:rsidTr="00747C73">
        <w:trPr>
          <w:trHeight w:val="288"/>
        </w:trPr>
        <w:tc>
          <w:tcPr>
            <w:tcW w:w="1951" w:type="dxa"/>
            <w:shd w:val="clear" w:color="auto" w:fill="auto"/>
            <w:noWrap/>
            <w:vAlign w:val="bottom"/>
            <w:hideMark/>
          </w:tcPr>
          <w:p w14:paraId="2996AD4B"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 xml:space="preserve">NCT03764293 </w:t>
            </w:r>
          </w:p>
        </w:tc>
        <w:tc>
          <w:tcPr>
            <w:tcW w:w="856" w:type="dxa"/>
            <w:shd w:val="clear" w:color="auto" w:fill="auto"/>
            <w:noWrap/>
            <w:vAlign w:val="bottom"/>
            <w:hideMark/>
          </w:tcPr>
          <w:p w14:paraId="1482D530" w14:textId="71487426" w:rsidR="007F0725" w:rsidRPr="00E036AE"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III</w:t>
            </w:r>
          </w:p>
        </w:tc>
        <w:tc>
          <w:tcPr>
            <w:tcW w:w="3851" w:type="dxa"/>
            <w:shd w:val="clear" w:color="auto" w:fill="auto"/>
            <w:noWrap/>
            <w:vAlign w:val="bottom"/>
            <w:hideMark/>
          </w:tcPr>
          <w:p w14:paraId="7A395C17"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 xml:space="preserve">Apatinib and PD1 monoclonal antibody </w:t>
            </w:r>
            <w:r w:rsidRPr="00E036AE">
              <w:rPr>
                <w:rFonts w:ascii="Book Antiqua" w:eastAsia="SimSun" w:hAnsi="Book Antiqua" w:cs="SimSun"/>
                <w:i/>
                <w:iCs/>
                <w:color w:val="000000"/>
                <w:lang w:eastAsia="zh-CN"/>
              </w:rPr>
              <w:t>vs</w:t>
            </w:r>
            <w:r w:rsidRPr="00E036AE">
              <w:rPr>
                <w:rFonts w:ascii="Book Antiqua" w:eastAsia="SimSun" w:hAnsi="Book Antiqua" w:cs="SimSun"/>
                <w:color w:val="000000"/>
                <w:lang w:eastAsia="zh-CN"/>
              </w:rPr>
              <w:t xml:space="preserve"> sorafenib</w:t>
            </w:r>
          </w:p>
        </w:tc>
        <w:tc>
          <w:tcPr>
            <w:tcW w:w="2358" w:type="dxa"/>
            <w:shd w:val="clear" w:color="auto" w:fill="auto"/>
            <w:noWrap/>
            <w:vAlign w:val="bottom"/>
            <w:hideMark/>
          </w:tcPr>
          <w:p w14:paraId="058ECD67"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Not yet completed; estimated</w:t>
            </w:r>
            <w:r w:rsidRPr="00367BAA">
              <w:rPr>
                <w:rFonts w:ascii="Book Antiqua" w:eastAsia="SimSun" w:hAnsi="Book Antiqua" w:cs="SimSun"/>
                <w:color w:val="000000"/>
                <w:lang w:eastAsia="zh-CN"/>
              </w:rPr>
              <w:t xml:space="preserve"> </w:t>
            </w:r>
            <w:r w:rsidRPr="00E036AE">
              <w:rPr>
                <w:rFonts w:ascii="Book Antiqua" w:eastAsia="SimSun" w:hAnsi="Book Antiqua" w:cs="SimSun"/>
                <w:color w:val="000000"/>
                <w:lang w:eastAsia="zh-CN"/>
              </w:rPr>
              <w:t>completion date: June 2022</w:t>
            </w:r>
          </w:p>
        </w:tc>
      </w:tr>
      <w:tr w:rsidR="007F0725" w:rsidRPr="00367BAA" w14:paraId="572296A7" w14:textId="77777777" w:rsidTr="00747C73">
        <w:trPr>
          <w:trHeight w:val="324"/>
        </w:trPr>
        <w:tc>
          <w:tcPr>
            <w:tcW w:w="1951" w:type="dxa"/>
            <w:shd w:val="clear" w:color="auto" w:fill="auto"/>
            <w:noWrap/>
            <w:vAlign w:val="bottom"/>
            <w:hideMark/>
          </w:tcPr>
          <w:p w14:paraId="600AE4EE"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 xml:space="preserve">NCT03755739 </w:t>
            </w:r>
          </w:p>
        </w:tc>
        <w:tc>
          <w:tcPr>
            <w:tcW w:w="856" w:type="dxa"/>
            <w:shd w:val="clear" w:color="auto" w:fill="auto"/>
            <w:noWrap/>
            <w:vAlign w:val="bottom"/>
            <w:hideMark/>
          </w:tcPr>
          <w:p w14:paraId="1CFD61BE" w14:textId="039CDAA8" w:rsidR="007F0725" w:rsidRPr="00E036AE"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II/III</w:t>
            </w:r>
          </w:p>
        </w:tc>
        <w:tc>
          <w:tcPr>
            <w:tcW w:w="3851" w:type="dxa"/>
            <w:shd w:val="clear" w:color="auto" w:fill="auto"/>
            <w:noWrap/>
            <w:vAlign w:val="bottom"/>
            <w:hideMark/>
          </w:tcPr>
          <w:p w14:paraId="3F9B835A"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 xml:space="preserve">Pembrolizumab and/or ipilimumab administered via arterial infusion or intra-tumor fine needle injection </w:t>
            </w:r>
            <w:r w:rsidRPr="00E036AE">
              <w:rPr>
                <w:rFonts w:ascii="Book Antiqua" w:eastAsia="SimSun" w:hAnsi="Book Antiqua" w:cs="SimSun"/>
                <w:i/>
                <w:iCs/>
                <w:color w:val="000000"/>
                <w:lang w:eastAsia="zh-CN"/>
              </w:rPr>
              <w:t xml:space="preserve">vs </w:t>
            </w:r>
            <w:r w:rsidRPr="00E036AE">
              <w:rPr>
                <w:rFonts w:ascii="Book Antiqua" w:eastAsia="SimSun" w:hAnsi="Book Antiqua" w:cs="SimSun"/>
                <w:color w:val="000000"/>
                <w:lang w:eastAsia="zh-CN"/>
              </w:rPr>
              <w:t>pembrolizumab and/or ipilimumab administered via vein infusion</w:t>
            </w:r>
          </w:p>
        </w:tc>
        <w:tc>
          <w:tcPr>
            <w:tcW w:w="2358" w:type="dxa"/>
            <w:shd w:val="clear" w:color="auto" w:fill="auto"/>
            <w:noWrap/>
            <w:vAlign w:val="bottom"/>
            <w:hideMark/>
          </w:tcPr>
          <w:p w14:paraId="4C0AD88E"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Not yet completed; estimated completion date: November 2033</w:t>
            </w:r>
          </w:p>
        </w:tc>
      </w:tr>
      <w:tr w:rsidR="007F0725" w:rsidRPr="00367BAA" w14:paraId="6F613F3F" w14:textId="77777777" w:rsidTr="00747C73">
        <w:trPr>
          <w:trHeight w:val="3156"/>
        </w:trPr>
        <w:tc>
          <w:tcPr>
            <w:tcW w:w="1951" w:type="dxa"/>
            <w:shd w:val="clear" w:color="auto" w:fill="auto"/>
            <w:noWrap/>
            <w:vAlign w:val="bottom"/>
            <w:hideMark/>
          </w:tcPr>
          <w:p w14:paraId="64FA610D"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lastRenderedPageBreak/>
              <w:t xml:space="preserve">NCT04273100 </w:t>
            </w:r>
          </w:p>
        </w:tc>
        <w:tc>
          <w:tcPr>
            <w:tcW w:w="856" w:type="dxa"/>
            <w:shd w:val="clear" w:color="auto" w:fill="auto"/>
            <w:noWrap/>
            <w:vAlign w:val="bottom"/>
            <w:hideMark/>
          </w:tcPr>
          <w:p w14:paraId="746A2E80" w14:textId="337D1475" w:rsidR="007F0725" w:rsidRPr="00E036AE"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w:t>
            </w:r>
          </w:p>
        </w:tc>
        <w:tc>
          <w:tcPr>
            <w:tcW w:w="3851" w:type="dxa"/>
            <w:shd w:val="clear" w:color="auto" w:fill="auto"/>
            <w:noWrap/>
            <w:vAlign w:val="bottom"/>
            <w:hideMark/>
          </w:tcPr>
          <w:p w14:paraId="2886CB3A" w14:textId="60869389"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 xml:space="preserve">PD1 monoclonal antibody and TACE and </w:t>
            </w:r>
            <w:r w:rsidR="007412EF">
              <w:rPr>
                <w:rFonts w:ascii="Book Antiqua" w:eastAsia="SimSun" w:hAnsi="Book Antiqua" w:cs="SimSun"/>
                <w:color w:val="000000"/>
                <w:lang w:eastAsia="zh-CN"/>
              </w:rPr>
              <w:t>l</w:t>
            </w:r>
            <w:r w:rsidR="007412EF" w:rsidRPr="00E036AE">
              <w:rPr>
                <w:rFonts w:ascii="Book Antiqua" w:eastAsia="SimSun" w:hAnsi="Book Antiqua" w:cs="SimSun"/>
                <w:color w:val="000000"/>
                <w:lang w:eastAsia="zh-CN"/>
              </w:rPr>
              <w:t xml:space="preserve">envatinib </w:t>
            </w:r>
            <w:r w:rsidRPr="00E036AE">
              <w:rPr>
                <w:rFonts w:ascii="Book Antiqua" w:eastAsia="SimSun" w:hAnsi="Book Antiqua" w:cs="SimSun"/>
                <w:color w:val="000000"/>
                <w:lang w:eastAsia="zh-CN"/>
              </w:rPr>
              <w:t>(single-arm study)</w:t>
            </w:r>
          </w:p>
        </w:tc>
        <w:tc>
          <w:tcPr>
            <w:tcW w:w="2358" w:type="dxa"/>
            <w:shd w:val="clear" w:color="auto" w:fill="auto"/>
            <w:noWrap/>
            <w:vAlign w:val="bottom"/>
            <w:hideMark/>
          </w:tcPr>
          <w:p w14:paraId="562F4B1B"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Not yet completed</w:t>
            </w:r>
          </w:p>
        </w:tc>
      </w:tr>
      <w:tr w:rsidR="007F0725" w:rsidRPr="00367BAA" w14:paraId="4ADD07DB" w14:textId="77777777" w:rsidTr="00747C73">
        <w:trPr>
          <w:trHeight w:val="2220"/>
        </w:trPr>
        <w:tc>
          <w:tcPr>
            <w:tcW w:w="1951" w:type="dxa"/>
            <w:shd w:val="clear" w:color="auto" w:fill="auto"/>
            <w:noWrap/>
            <w:vAlign w:val="bottom"/>
            <w:hideMark/>
          </w:tcPr>
          <w:p w14:paraId="00C43812"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 xml:space="preserve">NCT03857815 </w:t>
            </w:r>
          </w:p>
        </w:tc>
        <w:tc>
          <w:tcPr>
            <w:tcW w:w="856" w:type="dxa"/>
            <w:shd w:val="clear" w:color="auto" w:fill="auto"/>
            <w:noWrap/>
            <w:vAlign w:val="bottom"/>
            <w:hideMark/>
          </w:tcPr>
          <w:p w14:paraId="02A7B879" w14:textId="25D6D01A" w:rsidR="007F0725" w:rsidRPr="00E036AE"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w:t>
            </w:r>
          </w:p>
        </w:tc>
        <w:tc>
          <w:tcPr>
            <w:tcW w:w="3851" w:type="dxa"/>
            <w:shd w:val="clear" w:color="auto" w:fill="auto"/>
            <w:noWrap/>
            <w:vAlign w:val="bottom"/>
            <w:hideMark/>
          </w:tcPr>
          <w:p w14:paraId="775CBAB1"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PD1 monoclonal antibody and SBRT (single-arm study)</w:t>
            </w:r>
          </w:p>
        </w:tc>
        <w:tc>
          <w:tcPr>
            <w:tcW w:w="2358" w:type="dxa"/>
            <w:shd w:val="clear" w:color="auto" w:fill="auto"/>
            <w:noWrap/>
            <w:vAlign w:val="bottom"/>
            <w:hideMark/>
          </w:tcPr>
          <w:p w14:paraId="3B73219B"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Not yet completed</w:t>
            </w:r>
          </w:p>
        </w:tc>
      </w:tr>
      <w:tr w:rsidR="007F0725" w:rsidRPr="00367BAA" w14:paraId="40E854C9" w14:textId="77777777" w:rsidTr="00747C73">
        <w:trPr>
          <w:trHeight w:val="288"/>
        </w:trPr>
        <w:tc>
          <w:tcPr>
            <w:tcW w:w="1951" w:type="dxa"/>
            <w:shd w:val="clear" w:color="auto" w:fill="auto"/>
            <w:noWrap/>
            <w:vAlign w:val="bottom"/>
            <w:hideMark/>
          </w:tcPr>
          <w:p w14:paraId="1C834084"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 xml:space="preserve">NCT01853618 </w:t>
            </w:r>
          </w:p>
        </w:tc>
        <w:tc>
          <w:tcPr>
            <w:tcW w:w="856" w:type="dxa"/>
            <w:shd w:val="clear" w:color="auto" w:fill="auto"/>
            <w:noWrap/>
            <w:vAlign w:val="bottom"/>
            <w:hideMark/>
          </w:tcPr>
          <w:p w14:paraId="724EC744" w14:textId="3CFA4D69" w:rsidR="007F0725" w:rsidRPr="00E036AE"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I/II</w:t>
            </w:r>
          </w:p>
        </w:tc>
        <w:tc>
          <w:tcPr>
            <w:tcW w:w="3851" w:type="dxa"/>
            <w:shd w:val="clear" w:color="auto" w:fill="auto"/>
            <w:noWrap/>
            <w:vAlign w:val="bottom"/>
            <w:hideMark/>
          </w:tcPr>
          <w:p w14:paraId="533F6833"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Tremelimumab and/or TACE and/or RFA (sequential assignment)</w:t>
            </w:r>
          </w:p>
        </w:tc>
        <w:tc>
          <w:tcPr>
            <w:tcW w:w="2358" w:type="dxa"/>
            <w:shd w:val="clear" w:color="auto" w:fill="auto"/>
            <w:noWrap/>
            <w:vAlign w:val="bottom"/>
            <w:hideMark/>
          </w:tcPr>
          <w:p w14:paraId="428D46F7"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Completed</w:t>
            </w:r>
          </w:p>
        </w:tc>
      </w:tr>
      <w:tr w:rsidR="007F0725" w:rsidRPr="00367BAA" w14:paraId="444748A9" w14:textId="77777777" w:rsidTr="00747C73">
        <w:trPr>
          <w:trHeight w:val="288"/>
        </w:trPr>
        <w:tc>
          <w:tcPr>
            <w:tcW w:w="1951" w:type="dxa"/>
            <w:shd w:val="clear" w:color="auto" w:fill="auto"/>
            <w:noWrap/>
            <w:vAlign w:val="bottom"/>
            <w:hideMark/>
          </w:tcPr>
          <w:p w14:paraId="2C0981CE"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NCT04124991</w:t>
            </w:r>
          </w:p>
        </w:tc>
        <w:tc>
          <w:tcPr>
            <w:tcW w:w="856" w:type="dxa"/>
            <w:shd w:val="clear" w:color="auto" w:fill="auto"/>
            <w:noWrap/>
            <w:vAlign w:val="bottom"/>
            <w:hideMark/>
          </w:tcPr>
          <w:p w14:paraId="03C58D10" w14:textId="6978986C" w:rsidR="007F0725" w:rsidRPr="00E036AE"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I/II</w:t>
            </w:r>
          </w:p>
        </w:tc>
        <w:tc>
          <w:tcPr>
            <w:tcW w:w="3851" w:type="dxa"/>
            <w:shd w:val="clear" w:color="auto" w:fill="auto"/>
            <w:noWrap/>
            <w:vAlign w:val="bottom"/>
            <w:hideMark/>
          </w:tcPr>
          <w:p w14:paraId="4CC14E64"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Durvalumab and TARE (single-arm study)</w:t>
            </w:r>
          </w:p>
        </w:tc>
        <w:tc>
          <w:tcPr>
            <w:tcW w:w="2358" w:type="dxa"/>
            <w:shd w:val="clear" w:color="auto" w:fill="auto"/>
            <w:noWrap/>
            <w:vAlign w:val="bottom"/>
            <w:hideMark/>
          </w:tcPr>
          <w:p w14:paraId="2EE93948"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Not yet completed</w:t>
            </w:r>
          </w:p>
        </w:tc>
      </w:tr>
      <w:tr w:rsidR="007F0725" w:rsidRPr="00367BAA" w14:paraId="7C480D5D" w14:textId="77777777" w:rsidTr="00747C73">
        <w:trPr>
          <w:trHeight w:val="288"/>
        </w:trPr>
        <w:tc>
          <w:tcPr>
            <w:tcW w:w="1951" w:type="dxa"/>
            <w:shd w:val="clear" w:color="auto" w:fill="auto"/>
            <w:noWrap/>
            <w:vAlign w:val="bottom"/>
            <w:hideMark/>
          </w:tcPr>
          <w:p w14:paraId="7DBB5C80"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NCT03475953</w:t>
            </w:r>
          </w:p>
        </w:tc>
        <w:tc>
          <w:tcPr>
            <w:tcW w:w="856" w:type="dxa"/>
            <w:shd w:val="clear" w:color="auto" w:fill="auto"/>
            <w:noWrap/>
            <w:vAlign w:val="bottom"/>
            <w:hideMark/>
          </w:tcPr>
          <w:p w14:paraId="17D883ED" w14:textId="527C5AEC" w:rsidR="007F0725" w:rsidRPr="00E036AE"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I/II</w:t>
            </w:r>
          </w:p>
        </w:tc>
        <w:tc>
          <w:tcPr>
            <w:tcW w:w="3851" w:type="dxa"/>
            <w:shd w:val="clear" w:color="auto" w:fill="auto"/>
            <w:noWrap/>
            <w:vAlign w:val="bottom"/>
            <w:hideMark/>
          </w:tcPr>
          <w:p w14:paraId="6849E473"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Regorafenib and avelumab (sequential assignment)</w:t>
            </w:r>
          </w:p>
        </w:tc>
        <w:tc>
          <w:tcPr>
            <w:tcW w:w="2358" w:type="dxa"/>
            <w:shd w:val="clear" w:color="auto" w:fill="auto"/>
            <w:noWrap/>
            <w:vAlign w:val="bottom"/>
            <w:hideMark/>
          </w:tcPr>
          <w:p w14:paraId="75CE094F" w14:textId="77777777" w:rsidR="007F0725" w:rsidRPr="00E036AE" w:rsidRDefault="007F0725" w:rsidP="00C4354C">
            <w:pPr>
              <w:spacing w:line="360" w:lineRule="auto"/>
              <w:jc w:val="both"/>
              <w:rPr>
                <w:rFonts w:ascii="Book Antiqua" w:eastAsia="SimSun" w:hAnsi="Book Antiqua" w:cs="SimSun"/>
                <w:color w:val="000000"/>
                <w:lang w:eastAsia="zh-CN"/>
              </w:rPr>
            </w:pPr>
            <w:r w:rsidRPr="00E036AE">
              <w:rPr>
                <w:rFonts w:ascii="Book Antiqua" w:eastAsia="SimSun" w:hAnsi="Book Antiqua" w:cs="SimSun"/>
                <w:color w:val="000000"/>
                <w:lang w:eastAsia="zh-CN"/>
              </w:rPr>
              <w:t>Not yet completed; estimated</w:t>
            </w:r>
            <w:r w:rsidRPr="00367BAA">
              <w:rPr>
                <w:rFonts w:ascii="Book Antiqua" w:eastAsia="SimSun" w:hAnsi="Book Antiqua" w:cs="SimSun"/>
                <w:color w:val="000000"/>
                <w:lang w:eastAsia="zh-CN"/>
              </w:rPr>
              <w:t xml:space="preserve"> </w:t>
            </w:r>
            <w:r w:rsidRPr="00E036AE">
              <w:rPr>
                <w:rFonts w:ascii="Book Antiqua" w:eastAsia="SimSun" w:hAnsi="Book Antiqua" w:cs="SimSun"/>
                <w:color w:val="000000"/>
                <w:lang w:eastAsia="zh-CN"/>
              </w:rPr>
              <w:t>completion date: December</w:t>
            </w:r>
            <w:r w:rsidRPr="00367BAA">
              <w:rPr>
                <w:rFonts w:ascii="Book Antiqua" w:eastAsia="SimSun" w:hAnsi="Book Antiqua" w:cs="SimSun"/>
                <w:color w:val="000000"/>
                <w:lang w:eastAsia="zh-CN"/>
              </w:rPr>
              <w:t xml:space="preserve"> </w:t>
            </w:r>
            <w:r w:rsidRPr="00E036AE">
              <w:rPr>
                <w:rFonts w:ascii="Book Antiqua" w:eastAsia="SimSun" w:hAnsi="Book Antiqua" w:cs="SimSun"/>
                <w:color w:val="000000"/>
                <w:lang w:eastAsia="zh-CN"/>
              </w:rPr>
              <w:t>2022</w:t>
            </w:r>
          </w:p>
        </w:tc>
      </w:tr>
    </w:tbl>
    <w:p w14:paraId="5B3BC19C" w14:textId="16DDFFC3" w:rsidR="007F0725" w:rsidRPr="00D35CFC" w:rsidRDefault="007F0725" w:rsidP="007F0725">
      <w:pPr>
        <w:spacing w:line="360" w:lineRule="auto"/>
        <w:jc w:val="both"/>
        <w:rPr>
          <w:rFonts w:ascii="Book Antiqua" w:hAnsi="Book Antiqua"/>
        </w:rPr>
      </w:pPr>
      <w:r w:rsidRPr="00367BAA">
        <w:rPr>
          <w:rFonts w:ascii="Book Antiqua" w:hAnsi="Book Antiqua"/>
          <w:vertAlign w:val="superscript"/>
        </w:rPr>
        <w:t>1</w:t>
      </w:r>
      <w:r w:rsidRPr="00367BAA">
        <w:rPr>
          <w:rFonts w:ascii="Book Antiqua" w:hAnsi="Book Antiqua"/>
        </w:rPr>
        <w:t>Combination therapy includes using two or more ICIs, an ICI plus systemic therapy and/or ICI plus LRT.</w:t>
      </w:r>
      <w:r w:rsidRPr="00367BAA">
        <w:rPr>
          <w:rFonts w:ascii="Book Antiqua" w:hAnsi="Book Antiqua"/>
          <w:lang w:eastAsia="zh-CN"/>
        </w:rPr>
        <w:t xml:space="preserve"> </w:t>
      </w:r>
      <w:r w:rsidRPr="00367BAA">
        <w:rPr>
          <w:rFonts w:ascii="Book Antiqua" w:hAnsi="Book Antiqua"/>
        </w:rPr>
        <w:t>BSC: Best supportive care; TACE: Transarterial chemoembolization; TAE: Transarterial embolization; PI3 kinase: Phosphoinositide 3 kinase; BRD4 inhibitor: Bromodomain-containing protein 4 inhibitor; SBRT: Stereotactic body radiotherapy; RFA: Radiofrequency ablation; MWA: Microwave ablation; HAIC: Hepatic arterial infusion chemotherapy; VEGF: Vascular endothelial growth factor; PD1: Programmed cell death receptor; ICI: Immune checkpoint inhibitor; LRT: Locoregional therapy.</w:t>
      </w:r>
    </w:p>
    <w:p w14:paraId="1E7F6BAB" w14:textId="77777777" w:rsidR="007F0725" w:rsidRPr="009B3049" w:rsidRDefault="007F0725" w:rsidP="007F0725">
      <w:pPr>
        <w:spacing w:line="360" w:lineRule="auto"/>
        <w:jc w:val="both"/>
        <w:rPr>
          <w:rFonts w:ascii="Book Antiqua" w:hAnsi="Book Antiqua" w:cstheme="minorBidi"/>
          <w:b/>
          <w:bCs/>
        </w:rPr>
      </w:pPr>
      <w:r w:rsidRPr="00367BAA">
        <w:rPr>
          <w:rFonts w:ascii="Book Antiqua" w:hAnsi="Book Antiqua"/>
          <w:b/>
          <w:bCs/>
        </w:rPr>
        <w:lastRenderedPageBreak/>
        <w:t xml:space="preserve">Table 2 Summary of case reports assessing </w:t>
      </w:r>
      <w:r w:rsidRPr="009B3049">
        <w:rPr>
          <w:rFonts w:ascii="Book Antiqua" w:hAnsi="Book Antiqua"/>
          <w:b/>
          <w:bCs/>
        </w:rPr>
        <w:t>immune checkpoint inhibitor</w:t>
      </w:r>
      <w:r w:rsidRPr="00367BAA">
        <w:rPr>
          <w:rFonts w:ascii="Book Antiqua" w:hAnsi="Book Antiqua"/>
          <w:b/>
          <w:bCs/>
        </w:rPr>
        <w:t xml:space="preserve">s as a downstaging and/or bridging therapy prior to </w:t>
      </w:r>
      <w:r w:rsidRPr="009B3049">
        <w:rPr>
          <w:rFonts w:ascii="Book Antiqua" w:hAnsi="Book Antiqua"/>
          <w:b/>
          <w:bCs/>
        </w:rPr>
        <w:t>liver transplantation</w:t>
      </w:r>
      <w:r w:rsidRPr="00367BAA">
        <w:rPr>
          <w:rFonts w:ascii="Book Antiqua" w:hAnsi="Book Antiqua"/>
          <w:b/>
          <w:bCs/>
        </w:rPr>
        <w:t xml:space="preserve"> in patients with </w:t>
      </w:r>
      <w:r w:rsidRPr="00367BAA">
        <w:rPr>
          <w:rFonts w:ascii="Book Antiqua" w:eastAsia="Book Antiqua" w:hAnsi="Book Antiqua" w:cs="Book Antiqua"/>
          <w:b/>
          <w:bCs/>
          <w:color w:val="000000"/>
        </w:rPr>
        <w:t>hepatocellular carcinoma</w:t>
      </w:r>
    </w:p>
    <w:tbl>
      <w:tblPr>
        <w:tblW w:w="9346" w:type="dxa"/>
        <w:tblBorders>
          <w:top w:val="single" w:sz="4" w:space="0" w:color="auto"/>
          <w:bottom w:val="single" w:sz="4" w:space="0" w:color="auto"/>
        </w:tblBorders>
        <w:tblLook w:val="04A0" w:firstRow="1" w:lastRow="0" w:firstColumn="1" w:lastColumn="0" w:noHBand="0" w:noVBand="1"/>
      </w:tblPr>
      <w:tblGrid>
        <w:gridCol w:w="760"/>
        <w:gridCol w:w="764"/>
        <w:gridCol w:w="1483"/>
        <w:gridCol w:w="2997"/>
        <w:gridCol w:w="936"/>
        <w:gridCol w:w="1190"/>
        <w:gridCol w:w="1216"/>
      </w:tblGrid>
      <w:tr w:rsidR="007F0725" w:rsidRPr="00367BAA" w14:paraId="71258D2A" w14:textId="77777777" w:rsidTr="006A44F3">
        <w:trPr>
          <w:trHeight w:val="1150"/>
        </w:trPr>
        <w:tc>
          <w:tcPr>
            <w:tcW w:w="760" w:type="dxa"/>
            <w:tcBorders>
              <w:top w:val="single" w:sz="4" w:space="0" w:color="auto"/>
              <w:bottom w:val="single" w:sz="4" w:space="0" w:color="auto"/>
            </w:tcBorders>
            <w:shd w:val="clear" w:color="auto" w:fill="auto"/>
            <w:noWrap/>
            <w:vAlign w:val="center"/>
            <w:hideMark/>
          </w:tcPr>
          <w:p w14:paraId="19524B7A" w14:textId="77777777" w:rsidR="007F0725" w:rsidRPr="009F26EF" w:rsidRDefault="007F0725" w:rsidP="00C4354C">
            <w:pPr>
              <w:spacing w:line="360" w:lineRule="auto"/>
              <w:jc w:val="both"/>
              <w:rPr>
                <w:rFonts w:ascii="Book Antiqua" w:eastAsia="SimSun" w:hAnsi="Book Antiqua" w:cs="SimSun"/>
                <w:b/>
                <w:bCs/>
                <w:color w:val="000000"/>
                <w:lang w:eastAsia="zh-CN"/>
              </w:rPr>
            </w:pPr>
            <w:r w:rsidRPr="009F26EF">
              <w:rPr>
                <w:rFonts w:ascii="Book Antiqua" w:eastAsia="SimSun" w:hAnsi="Book Antiqua" w:cs="SimSun"/>
                <w:b/>
                <w:bCs/>
                <w:color w:val="000000"/>
                <w:lang w:eastAsia="zh-CN"/>
              </w:rPr>
              <w:t>Sex</w:t>
            </w:r>
          </w:p>
        </w:tc>
        <w:tc>
          <w:tcPr>
            <w:tcW w:w="764" w:type="dxa"/>
            <w:tcBorders>
              <w:top w:val="single" w:sz="4" w:space="0" w:color="auto"/>
              <w:bottom w:val="single" w:sz="4" w:space="0" w:color="auto"/>
            </w:tcBorders>
            <w:shd w:val="clear" w:color="auto" w:fill="auto"/>
            <w:noWrap/>
            <w:vAlign w:val="center"/>
            <w:hideMark/>
          </w:tcPr>
          <w:p w14:paraId="05263E52" w14:textId="7B198489" w:rsidR="007F0725" w:rsidRPr="009F26EF" w:rsidRDefault="007F0725" w:rsidP="00C4354C">
            <w:pPr>
              <w:spacing w:line="360" w:lineRule="auto"/>
              <w:jc w:val="both"/>
              <w:rPr>
                <w:rFonts w:ascii="Book Antiqua" w:eastAsia="SimSun" w:hAnsi="Book Antiqua" w:cs="SimSun"/>
                <w:b/>
                <w:bCs/>
                <w:color w:val="000000"/>
                <w:lang w:eastAsia="zh-CN"/>
              </w:rPr>
            </w:pPr>
            <w:r w:rsidRPr="009F26EF">
              <w:rPr>
                <w:rFonts w:ascii="Book Antiqua" w:eastAsia="SimSun" w:hAnsi="Book Antiqua" w:cs="SimSun"/>
                <w:b/>
                <w:bCs/>
                <w:color w:val="000000"/>
                <w:lang w:eastAsia="zh-CN"/>
              </w:rPr>
              <w:t>Age</w:t>
            </w:r>
            <w:r w:rsidR="007412EF">
              <w:rPr>
                <w:rFonts w:ascii="Book Antiqua" w:eastAsia="SimSun" w:hAnsi="Book Antiqua" w:cs="SimSun"/>
                <w:b/>
                <w:bCs/>
                <w:color w:val="000000"/>
                <w:lang w:eastAsia="zh-CN"/>
              </w:rPr>
              <w:t>, yr</w:t>
            </w:r>
          </w:p>
        </w:tc>
        <w:tc>
          <w:tcPr>
            <w:tcW w:w="1483" w:type="dxa"/>
            <w:tcBorders>
              <w:top w:val="single" w:sz="4" w:space="0" w:color="auto"/>
              <w:bottom w:val="single" w:sz="4" w:space="0" w:color="auto"/>
            </w:tcBorders>
            <w:shd w:val="clear" w:color="auto" w:fill="auto"/>
            <w:noWrap/>
            <w:vAlign w:val="center"/>
            <w:hideMark/>
          </w:tcPr>
          <w:p w14:paraId="27318FB4" w14:textId="77777777" w:rsidR="007F0725" w:rsidRPr="009F26EF" w:rsidRDefault="007F0725" w:rsidP="00C4354C">
            <w:pPr>
              <w:spacing w:line="360" w:lineRule="auto"/>
              <w:jc w:val="both"/>
              <w:rPr>
                <w:rFonts w:ascii="Book Antiqua" w:eastAsia="SimSun" w:hAnsi="Book Antiqua" w:cs="SimSun"/>
                <w:b/>
                <w:bCs/>
                <w:color w:val="000000"/>
                <w:lang w:eastAsia="zh-CN"/>
              </w:rPr>
            </w:pPr>
            <w:r w:rsidRPr="009F26EF">
              <w:rPr>
                <w:rFonts w:ascii="Book Antiqua" w:eastAsia="SimSun" w:hAnsi="Book Antiqua" w:cs="SimSun"/>
                <w:b/>
                <w:bCs/>
                <w:color w:val="000000"/>
                <w:lang w:eastAsia="zh-CN"/>
              </w:rPr>
              <w:t>Underlying</w:t>
            </w:r>
            <w:r w:rsidRPr="00367BAA">
              <w:rPr>
                <w:rFonts w:ascii="Book Antiqua" w:eastAsia="SimSun" w:hAnsi="Book Antiqua" w:cs="SimSun"/>
                <w:b/>
                <w:bCs/>
                <w:color w:val="000000"/>
                <w:lang w:eastAsia="zh-CN"/>
              </w:rPr>
              <w:t xml:space="preserve"> liver diseas</w:t>
            </w:r>
            <w:r w:rsidRPr="009F26EF">
              <w:rPr>
                <w:rFonts w:ascii="Book Antiqua" w:eastAsia="SimSun" w:hAnsi="Book Antiqua" w:cs="SimSun"/>
                <w:b/>
                <w:bCs/>
                <w:color w:val="000000"/>
                <w:lang w:eastAsia="zh-CN"/>
              </w:rPr>
              <w:t>e</w:t>
            </w:r>
          </w:p>
        </w:tc>
        <w:tc>
          <w:tcPr>
            <w:tcW w:w="2997" w:type="dxa"/>
            <w:tcBorders>
              <w:top w:val="single" w:sz="4" w:space="0" w:color="auto"/>
              <w:bottom w:val="single" w:sz="4" w:space="0" w:color="auto"/>
            </w:tcBorders>
            <w:shd w:val="clear" w:color="auto" w:fill="auto"/>
            <w:noWrap/>
            <w:vAlign w:val="center"/>
            <w:hideMark/>
          </w:tcPr>
          <w:p w14:paraId="3362C3E8" w14:textId="77777777" w:rsidR="007F0725" w:rsidRPr="009F26EF" w:rsidRDefault="007F0725" w:rsidP="00C4354C">
            <w:pPr>
              <w:spacing w:line="360" w:lineRule="auto"/>
              <w:jc w:val="both"/>
              <w:rPr>
                <w:rFonts w:ascii="Book Antiqua" w:eastAsia="SimSun" w:hAnsi="Book Antiqua" w:cs="SimSun"/>
                <w:b/>
                <w:bCs/>
                <w:color w:val="000000"/>
                <w:lang w:eastAsia="zh-CN"/>
              </w:rPr>
            </w:pPr>
            <w:r w:rsidRPr="009F26EF">
              <w:rPr>
                <w:rFonts w:ascii="Book Antiqua" w:eastAsia="SimSun" w:hAnsi="Book Antiqua" w:cs="SimSun"/>
                <w:b/>
                <w:bCs/>
                <w:color w:val="000000"/>
                <w:lang w:eastAsia="zh-CN"/>
              </w:rPr>
              <w:t>ICI</w:t>
            </w:r>
          </w:p>
        </w:tc>
        <w:tc>
          <w:tcPr>
            <w:tcW w:w="936" w:type="dxa"/>
            <w:tcBorders>
              <w:top w:val="single" w:sz="4" w:space="0" w:color="auto"/>
              <w:bottom w:val="single" w:sz="4" w:space="0" w:color="auto"/>
            </w:tcBorders>
            <w:shd w:val="clear" w:color="auto" w:fill="auto"/>
            <w:noWrap/>
            <w:vAlign w:val="center"/>
            <w:hideMark/>
          </w:tcPr>
          <w:p w14:paraId="6F027B1D" w14:textId="77777777" w:rsidR="007F0725" w:rsidRPr="009F26EF" w:rsidRDefault="007F0725" w:rsidP="00C4354C">
            <w:pPr>
              <w:spacing w:line="360" w:lineRule="auto"/>
              <w:jc w:val="both"/>
              <w:rPr>
                <w:rFonts w:ascii="Book Antiqua" w:eastAsia="SimSun" w:hAnsi="Book Antiqua" w:cs="SimSun"/>
                <w:b/>
                <w:bCs/>
                <w:color w:val="000000"/>
                <w:lang w:eastAsia="zh-CN"/>
              </w:rPr>
            </w:pPr>
            <w:r w:rsidRPr="009F26EF">
              <w:rPr>
                <w:rFonts w:ascii="Book Antiqua" w:eastAsia="SimSun" w:hAnsi="Book Antiqua" w:cs="SimSun"/>
                <w:b/>
                <w:bCs/>
                <w:color w:val="000000"/>
                <w:lang w:eastAsia="zh-CN"/>
              </w:rPr>
              <w:t xml:space="preserve">Cycles (d) </w:t>
            </w:r>
          </w:p>
        </w:tc>
        <w:tc>
          <w:tcPr>
            <w:tcW w:w="1190" w:type="dxa"/>
            <w:tcBorders>
              <w:top w:val="single" w:sz="4" w:space="0" w:color="auto"/>
              <w:bottom w:val="single" w:sz="4" w:space="0" w:color="auto"/>
            </w:tcBorders>
            <w:shd w:val="clear" w:color="auto" w:fill="auto"/>
            <w:noWrap/>
            <w:vAlign w:val="center"/>
            <w:hideMark/>
          </w:tcPr>
          <w:p w14:paraId="4D39ED96" w14:textId="77777777" w:rsidR="007F0725" w:rsidRPr="009F26EF" w:rsidRDefault="007F0725" w:rsidP="00C4354C">
            <w:pPr>
              <w:spacing w:line="360" w:lineRule="auto"/>
              <w:jc w:val="both"/>
              <w:rPr>
                <w:rFonts w:ascii="Book Antiqua" w:eastAsia="SimSun" w:hAnsi="Book Antiqua" w:cs="SimSun"/>
                <w:b/>
                <w:bCs/>
                <w:color w:val="000000"/>
                <w:lang w:eastAsia="zh-CN"/>
              </w:rPr>
            </w:pPr>
            <w:r w:rsidRPr="009F26EF">
              <w:rPr>
                <w:rFonts w:ascii="Book Antiqua" w:eastAsia="SimSun" w:hAnsi="Book Antiqua" w:cs="SimSun"/>
                <w:b/>
                <w:bCs/>
                <w:color w:val="000000"/>
                <w:lang w:eastAsia="zh-CN"/>
              </w:rPr>
              <w:t xml:space="preserve">Washout </w:t>
            </w:r>
            <w:r w:rsidRPr="00367BAA">
              <w:rPr>
                <w:rFonts w:ascii="Book Antiqua" w:eastAsia="SimSun" w:hAnsi="Book Antiqua" w:cs="SimSun"/>
                <w:b/>
                <w:bCs/>
                <w:color w:val="000000"/>
                <w:lang w:eastAsia="zh-CN"/>
              </w:rPr>
              <w:t>period</w:t>
            </w:r>
          </w:p>
        </w:tc>
        <w:tc>
          <w:tcPr>
            <w:tcW w:w="1216" w:type="dxa"/>
            <w:tcBorders>
              <w:top w:val="single" w:sz="4" w:space="0" w:color="auto"/>
              <w:bottom w:val="single" w:sz="4" w:space="0" w:color="auto"/>
            </w:tcBorders>
            <w:shd w:val="clear" w:color="auto" w:fill="auto"/>
            <w:noWrap/>
            <w:vAlign w:val="bottom"/>
            <w:hideMark/>
          </w:tcPr>
          <w:p w14:paraId="425C7C9E" w14:textId="77777777" w:rsidR="007F0725" w:rsidRPr="009F26EF" w:rsidRDefault="007F0725" w:rsidP="00C4354C">
            <w:pPr>
              <w:spacing w:line="360" w:lineRule="auto"/>
              <w:jc w:val="both"/>
              <w:rPr>
                <w:rFonts w:ascii="Book Antiqua" w:eastAsia="SimSun" w:hAnsi="Book Antiqua" w:cs="Calibri"/>
                <w:b/>
                <w:bCs/>
                <w:color w:val="000000"/>
                <w:lang w:eastAsia="zh-CN"/>
              </w:rPr>
            </w:pPr>
            <w:r w:rsidRPr="00367BAA">
              <w:rPr>
                <w:rFonts w:ascii="Book Antiqua" w:hAnsi="Book Antiqua"/>
                <w:b/>
                <w:bCs/>
              </w:rPr>
              <w:t>Post-LT outcome</w:t>
            </w:r>
          </w:p>
        </w:tc>
      </w:tr>
      <w:tr w:rsidR="007F0725" w:rsidRPr="00367BAA" w14:paraId="23CCE052" w14:textId="77777777" w:rsidTr="006A44F3">
        <w:trPr>
          <w:trHeight w:val="300"/>
        </w:trPr>
        <w:tc>
          <w:tcPr>
            <w:tcW w:w="760" w:type="dxa"/>
            <w:tcBorders>
              <w:top w:val="single" w:sz="4" w:space="0" w:color="auto"/>
            </w:tcBorders>
            <w:shd w:val="clear" w:color="auto" w:fill="auto"/>
            <w:noWrap/>
            <w:vAlign w:val="center"/>
            <w:hideMark/>
          </w:tcPr>
          <w:p w14:paraId="48A5874F"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M</w:t>
            </w:r>
          </w:p>
        </w:tc>
        <w:tc>
          <w:tcPr>
            <w:tcW w:w="764" w:type="dxa"/>
            <w:tcBorders>
              <w:top w:val="single" w:sz="4" w:space="0" w:color="auto"/>
            </w:tcBorders>
            <w:shd w:val="clear" w:color="auto" w:fill="auto"/>
            <w:noWrap/>
            <w:vAlign w:val="center"/>
            <w:hideMark/>
          </w:tcPr>
          <w:p w14:paraId="1144AFB4"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66</w:t>
            </w:r>
          </w:p>
        </w:tc>
        <w:tc>
          <w:tcPr>
            <w:tcW w:w="1483" w:type="dxa"/>
            <w:tcBorders>
              <w:top w:val="single" w:sz="4" w:space="0" w:color="auto"/>
            </w:tcBorders>
            <w:shd w:val="clear" w:color="auto" w:fill="auto"/>
            <w:noWrap/>
            <w:vAlign w:val="center"/>
            <w:hideMark/>
          </w:tcPr>
          <w:p w14:paraId="1315433E"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ALD</w:t>
            </w:r>
          </w:p>
        </w:tc>
        <w:tc>
          <w:tcPr>
            <w:tcW w:w="2997" w:type="dxa"/>
            <w:tcBorders>
              <w:top w:val="single" w:sz="4" w:space="0" w:color="auto"/>
            </w:tcBorders>
            <w:shd w:val="clear" w:color="auto" w:fill="auto"/>
            <w:noWrap/>
            <w:vAlign w:val="center"/>
            <w:hideMark/>
          </w:tcPr>
          <w:p w14:paraId="31C15380"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Nivolumab</w:t>
            </w:r>
          </w:p>
        </w:tc>
        <w:tc>
          <w:tcPr>
            <w:tcW w:w="936" w:type="dxa"/>
            <w:tcBorders>
              <w:top w:val="single" w:sz="4" w:space="0" w:color="auto"/>
            </w:tcBorders>
            <w:shd w:val="clear" w:color="auto" w:fill="auto"/>
            <w:noWrap/>
            <w:vAlign w:val="center"/>
            <w:hideMark/>
          </w:tcPr>
          <w:p w14:paraId="60AD3542"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34</w:t>
            </w:r>
          </w:p>
        </w:tc>
        <w:tc>
          <w:tcPr>
            <w:tcW w:w="1190" w:type="dxa"/>
            <w:tcBorders>
              <w:top w:val="single" w:sz="4" w:space="0" w:color="auto"/>
            </w:tcBorders>
            <w:shd w:val="clear" w:color="auto" w:fill="auto"/>
            <w:noWrap/>
            <w:vAlign w:val="center"/>
            <w:hideMark/>
          </w:tcPr>
          <w:p w14:paraId="6FE1040F"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105</w:t>
            </w:r>
          </w:p>
        </w:tc>
        <w:tc>
          <w:tcPr>
            <w:tcW w:w="1216" w:type="dxa"/>
            <w:tcBorders>
              <w:top w:val="single" w:sz="4" w:space="0" w:color="auto"/>
            </w:tcBorders>
            <w:shd w:val="clear" w:color="auto" w:fill="auto"/>
            <w:noWrap/>
            <w:vAlign w:val="center"/>
            <w:hideMark/>
          </w:tcPr>
          <w:p w14:paraId="2665A08C"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No rejection</w:t>
            </w:r>
          </w:p>
        </w:tc>
      </w:tr>
      <w:tr w:rsidR="007F0725" w:rsidRPr="00367BAA" w14:paraId="197B5BC6" w14:textId="77777777" w:rsidTr="006A44F3">
        <w:trPr>
          <w:trHeight w:val="300"/>
        </w:trPr>
        <w:tc>
          <w:tcPr>
            <w:tcW w:w="760" w:type="dxa"/>
            <w:shd w:val="clear" w:color="auto" w:fill="auto"/>
            <w:noWrap/>
            <w:vAlign w:val="center"/>
            <w:hideMark/>
          </w:tcPr>
          <w:p w14:paraId="05C66BE1"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M</w:t>
            </w:r>
          </w:p>
        </w:tc>
        <w:tc>
          <w:tcPr>
            <w:tcW w:w="764" w:type="dxa"/>
            <w:shd w:val="clear" w:color="auto" w:fill="auto"/>
            <w:noWrap/>
            <w:vAlign w:val="center"/>
            <w:hideMark/>
          </w:tcPr>
          <w:p w14:paraId="28255228"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65</w:t>
            </w:r>
          </w:p>
        </w:tc>
        <w:tc>
          <w:tcPr>
            <w:tcW w:w="1483" w:type="dxa"/>
            <w:shd w:val="clear" w:color="auto" w:fill="auto"/>
            <w:noWrap/>
            <w:vAlign w:val="center"/>
            <w:hideMark/>
          </w:tcPr>
          <w:p w14:paraId="3ACDA3F2"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HCV</w:t>
            </w:r>
          </w:p>
        </w:tc>
        <w:tc>
          <w:tcPr>
            <w:tcW w:w="2997" w:type="dxa"/>
            <w:shd w:val="clear" w:color="auto" w:fill="auto"/>
            <w:noWrap/>
            <w:vAlign w:val="center"/>
            <w:hideMark/>
          </w:tcPr>
          <w:p w14:paraId="7E174577"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Nivolumab</w:t>
            </w:r>
          </w:p>
        </w:tc>
        <w:tc>
          <w:tcPr>
            <w:tcW w:w="936" w:type="dxa"/>
            <w:shd w:val="clear" w:color="auto" w:fill="auto"/>
            <w:noWrap/>
            <w:vAlign w:val="center"/>
            <w:hideMark/>
          </w:tcPr>
          <w:p w14:paraId="5DD0DC2B"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44</w:t>
            </w:r>
          </w:p>
        </w:tc>
        <w:tc>
          <w:tcPr>
            <w:tcW w:w="1190" w:type="dxa"/>
            <w:shd w:val="clear" w:color="auto" w:fill="auto"/>
            <w:noWrap/>
            <w:vAlign w:val="center"/>
            <w:hideMark/>
          </w:tcPr>
          <w:p w14:paraId="309B33DD"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8</w:t>
            </w:r>
          </w:p>
        </w:tc>
        <w:tc>
          <w:tcPr>
            <w:tcW w:w="1216" w:type="dxa"/>
            <w:shd w:val="clear" w:color="auto" w:fill="auto"/>
            <w:noWrap/>
            <w:vAlign w:val="center"/>
            <w:hideMark/>
          </w:tcPr>
          <w:p w14:paraId="4D2181BF"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Fatal rejection</w:t>
            </w:r>
          </w:p>
        </w:tc>
      </w:tr>
      <w:tr w:rsidR="007F0725" w:rsidRPr="00367BAA" w14:paraId="13ADAC39" w14:textId="77777777" w:rsidTr="006A44F3">
        <w:trPr>
          <w:trHeight w:val="300"/>
        </w:trPr>
        <w:tc>
          <w:tcPr>
            <w:tcW w:w="760" w:type="dxa"/>
            <w:shd w:val="clear" w:color="auto" w:fill="auto"/>
            <w:noWrap/>
            <w:vAlign w:val="center"/>
            <w:hideMark/>
          </w:tcPr>
          <w:p w14:paraId="2C7C772C"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M</w:t>
            </w:r>
          </w:p>
        </w:tc>
        <w:tc>
          <w:tcPr>
            <w:tcW w:w="764" w:type="dxa"/>
            <w:shd w:val="clear" w:color="auto" w:fill="auto"/>
            <w:noWrap/>
            <w:vAlign w:val="center"/>
            <w:hideMark/>
          </w:tcPr>
          <w:p w14:paraId="3DF4AE53"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39</w:t>
            </w:r>
          </w:p>
        </w:tc>
        <w:tc>
          <w:tcPr>
            <w:tcW w:w="1483" w:type="dxa"/>
            <w:shd w:val="clear" w:color="auto" w:fill="auto"/>
            <w:noWrap/>
            <w:vAlign w:val="center"/>
            <w:hideMark/>
          </w:tcPr>
          <w:p w14:paraId="6ED069BC"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HBV</w:t>
            </w:r>
          </w:p>
        </w:tc>
        <w:tc>
          <w:tcPr>
            <w:tcW w:w="2997" w:type="dxa"/>
            <w:shd w:val="clear" w:color="auto" w:fill="auto"/>
            <w:noWrap/>
            <w:vAlign w:val="center"/>
            <w:hideMark/>
          </w:tcPr>
          <w:p w14:paraId="4C754B5B"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Toripalimab</w:t>
            </w:r>
          </w:p>
        </w:tc>
        <w:tc>
          <w:tcPr>
            <w:tcW w:w="936" w:type="dxa"/>
            <w:shd w:val="clear" w:color="auto" w:fill="auto"/>
            <w:noWrap/>
            <w:vAlign w:val="center"/>
            <w:hideMark/>
          </w:tcPr>
          <w:p w14:paraId="4AD8B7DA"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10</w:t>
            </w:r>
          </w:p>
        </w:tc>
        <w:tc>
          <w:tcPr>
            <w:tcW w:w="1190" w:type="dxa"/>
            <w:shd w:val="clear" w:color="auto" w:fill="auto"/>
            <w:noWrap/>
            <w:vAlign w:val="center"/>
            <w:hideMark/>
          </w:tcPr>
          <w:p w14:paraId="7711FF35"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93</w:t>
            </w:r>
          </w:p>
        </w:tc>
        <w:tc>
          <w:tcPr>
            <w:tcW w:w="1216" w:type="dxa"/>
            <w:shd w:val="clear" w:color="auto" w:fill="auto"/>
            <w:noWrap/>
            <w:vAlign w:val="center"/>
            <w:hideMark/>
          </w:tcPr>
          <w:p w14:paraId="08788C5E"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Fatal rejection</w:t>
            </w:r>
          </w:p>
        </w:tc>
      </w:tr>
      <w:tr w:rsidR="007F0725" w:rsidRPr="00367BAA" w14:paraId="268DEC43" w14:textId="77777777" w:rsidTr="006A44F3">
        <w:trPr>
          <w:trHeight w:val="300"/>
        </w:trPr>
        <w:tc>
          <w:tcPr>
            <w:tcW w:w="760" w:type="dxa"/>
            <w:shd w:val="clear" w:color="auto" w:fill="auto"/>
            <w:noWrap/>
            <w:vAlign w:val="center"/>
            <w:hideMark/>
          </w:tcPr>
          <w:p w14:paraId="08B4B16B"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M</w:t>
            </w:r>
          </w:p>
        </w:tc>
        <w:tc>
          <w:tcPr>
            <w:tcW w:w="764" w:type="dxa"/>
            <w:shd w:val="clear" w:color="auto" w:fill="auto"/>
            <w:noWrap/>
            <w:vAlign w:val="center"/>
            <w:hideMark/>
          </w:tcPr>
          <w:p w14:paraId="17071DE1"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69</w:t>
            </w:r>
          </w:p>
        </w:tc>
        <w:tc>
          <w:tcPr>
            <w:tcW w:w="1483" w:type="dxa"/>
            <w:shd w:val="clear" w:color="auto" w:fill="auto"/>
            <w:noWrap/>
            <w:vAlign w:val="center"/>
            <w:hideMark/>
          </w:tcPr>
          <w:p w14:paraId="07120993"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None</w:t>
            </w:r>
          </w:p>
        </w:tc>
        <w:tc>
          <w:tcPr>
            <w:tcW w:w="2997" w:type="dxa"/>
            <w:shd w:val="clear" w:color="auto" w:fill="auto"/>
            <w:noWrap/>
            <w:vAlign w:val="center"/>
            <w:hideMark/>
          </w:tcPr>
          <w:p w14:paraId="5A05EECB"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Nivolumab</w:t>
            </w:r>
          </w:p>
        </w:tc>
        <w:tc>
          <w:tcPr>
            <w:tcW w:w="936" w:type="dxa"/>
            <w:shd w:val="clear" w:color="auto" w:fill="auto"/>
            <w:noWrap/>
            <w:vAlign w:val="center"/>
            <w:hideMark/>
          </w:tcPr>
          <w:p w14:paraId="30A6C9E6"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21</w:t>
            </w:r>
          </w:p>
        </w:tc>
        <w:tc>
          <w:tcPr>
            <w:tcW w:w="1190" w:type="dxa"/>
            <w:shd w:val="clear" w:color="auto" w:fill="auto"/>
            <w:noWrap/>
            <w:vAlign w:val="center"/>
            <w:hideMark/>
          </w:tcPr>
          <w:p w14:paraId="099C4277"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18</w:t>
            </w:r>
          </w:p>
        </w:tc>
        <w:tc>
          <w:tcPr>
            <w:tcW w:w="1216" w:type="dxa"/>
            <w:shd w:val="clear" w:color="auto" w:fill="auto"/>
            <w:noWrap/>
            <w:vAlign w:val="center"/>
            <w:hideMark/>
          </w:tcPr>
          <w:p w14:paraId="4AAE94C3"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No rejection</w:t>
            </w:r>
          </w:p>
        </w:tc>
      </w:tr>
      <w:tr w:rsidR="007F0725" w:rsidRPr="00367BAA" w14:paraId="77621DA0" w14:textId="77777777" w:rsidTr="006A44F3">
        <w:trPr>
          <w:trHeight w:val="300"/>
        </w:trPr>
        <w:tc>
          <w:tcPr>
            <w:tcW w:w="760" w:type="dxa"/>
            <w:shd w:val="clear" w:color="auto" w:fill="auto"/>
            <w:noWrap/>
            <w:vAlign w:val="center"/>
            <w:hideMark/>
          </w:tcPr>
          <w:p w14:paraId="2DAD7DA3"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F</w:t>
            </w:r>
          </w:p>
        </w:tc>
        <w:tc>
          <w:tcPr>
            <w:tcW w:w="764" w:type="dxa"/>
            <w:shd w:val="clear" w:color="auto" w:fill="auto"/>
            <w:noWrap/>
            <w:vAlign w:val="center"/>
            <w:hideMark/>
          </w:tcPr>
          <w:p w14:paraId="73B9B200"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56</w:t>
            </w:r>
          </w:p>
        </w:tc>
        <w:tc>
          <w:tcPr>
            <w:tcW w:w="1483" w:type="dxa"/>
            <w:shd w:val="clear" w:color="auto" w:fill="auto"/>
            <w:noWrap/>
            <w:vAlign w:val="center"/>
            <w:hideMark/>
          </w:tcPr>
          <w:p w14:paraId="35EE9765"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HCV</w:t>
            </w:r>
          </w:p>
        </w:tc>
        <w:tc>
          <w:tcPr>
            <w:tcW w:w="2997" w:type="dxa"/>
            <w:shd w:val="clear" w:color="auto" w:fill="auto"/>
            <w:noWrap/>
            <w:vAlign w:val="center"/>
            <w:hideMark/>
          </w:tcPr>
          <w:p w14:paraId="1D32DF07"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Nivolumab</w:t>
            </w:r>
          </w:p>
        </w:tc>
        <w:tc>
          <w:tcPr>
            <w:tcW w:w="936" w:type="dxa"/>
            <w:shd w:val="clear" w:color="auto" w:fill="auto"/>
            <w:noWrap/>
            <w:vAlign w:val="center"/>
            <w:hideMark/>
          </w:tcPr>
          <w:p w14:paraId="43A2C125"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8</w:t>
            </w:r>
          </w:p>
        </w:tc>
        <w:tc>
          <w:tcPr>
            <w:tcW w:w="1190" w:type="dxa"/>
            <w:shd w:val="clear" w:color="auto" w:fill="auto"/>
            <w:noWrap/>
            <w:vAlign w:val="center"/>
            <w:hideMark/>
          </w:tcPr>
          <w:p w14:paraId="55D88BB8"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22</w:t>
            </w:r>
          </w:p>
        </w:tc>
        <w:tc>
          <w:tcPr>
            <w:tcW w:w="1216" w:type="dxa"/>
            <w:shd w:val="clear" w:color="auto" w:fill="auto"/>
            <w:noWrap/>
            <w:vAlign w:val="center"/>
            <w:hideMark/>
          </w:tcPr>
          <w:p w14:paraId="6F750588"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No rejection</w:t>
            </w:r>
          </w:p>
        </w:tc>
      </w:tr>
      <w:tr w:rsidR="007F0725" w:rsidRPr="00367BAA" w14:paraId="7A454E37" w14:textId="77777777" w:rsidTr="006A44F3">
        <w:trPr>
          <w:trHeight w:val="300"/>
        </w:trPr>
        <w:tc>
          <w:tcPr>
            <w:tcW w:w="760" w:type="dxa"/>
            <w:shd w:val="clear" w:color="auto" w:fill="auto"/>
            <w:noWrap/>
            <w:vAlign w:val="center"/>
            <w:hideMark/>
          </w:tcPr>
          <w:p w14:paraId="0A1780A2"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M</w:t>
            </w:r>
          </w:p>
        </w:tc>
        <w:tc>
          <w:tcPr>
            <w:tcW w:w="764" w:type="dxa"/>
            <w:shd w:val="clear" w:color="auto" w:fill="auto"/>
            <w:noWrap/>
            <w:vAlign w:val="center"/>
            <w:hideMark/>
          </w:tcPr>
          <w:p w14:paraId="42AE83EB"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58</w:t>
            </w:r>
          </w:p>
        </w:tc>
        <w:tc>
          <w:tcPr>
            <w:tcW w:w="1483" w:type="dxa"/>
            <w:shd w:val="clear" w:color="auto" w:fill="auto"/>
            <w:noWrap/>
            <w:vAlign w:val="center"/>
            <w:hideMark/>
          </w:tcPr>
          <w:p w14:paraId="3C07A9A2"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HBV</w:t>
            </w:r>
          </w:p>
        </w:tc>
        <w:tc>
          <w:tcPr>
            <w:tcW w:w="2997" w:type="dxa"/>
            <w:shd w:val="clear" w:color="auto" w:fill="auto"/>
            <w:noWrap/>
            <w:vAlign w:val="center"/>
            <w:hideMark/>
          </w:tcPr>
          <w:p w14:paraId="0D038ED6"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Nivolumab</w:t>
            </w:r>
          </w:p>
        </w:tc>
        <w:tc>
          <w:tcPr>
            <w:tcW w:w="936" w:type="dxa"/>
            <w:shd w:val="clear" w:color="auto" w:fill="auto"/>
            <w:noWrap/>
            <w:vAlign w:val="center"/>
            <w:hideMark/>
          </w:tcPr>
          <w:p w14:paraId="5C8B5932"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32</w:t>
            </w:r>
          </w:p>
        </w:tc>
        <w:tc>
          <w:tcPr>
            <w:tcW w:w="1190" w:type="dxa"/>
            <w:shd w:val="clear" w:color="auto" w:fill="auto"/>
            <w:noWrap/>
            <w:vAlign w:val="center"/>
            <w:hideMark/>
          </w:tcPr>
          <w:p w14:paraId="68E9A881"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1</w:t>
            </w:r>
          </w:p>
        </w:tc>
        <w:tc>
          <w:tcPr>
            <w:tcW w:w="1216" w:type="dxa"/>
            <w:shd w:val="clear" w:color="auto" w:fill="auto"/>
            <w:noWrap/>
            <w:vAlign w:val="center"/>
            <w:hideMark/>
          </w:tcPr>
          <w:p w14:paraId="66F258CB"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No rejection</w:t>
            </w:r>
          </w:p>
        </w:tc>
      </w:tr>
      <w:tr w:rsidR="007F0725" w:rsidRPr="00367BAA" w14:paraId="03D055E6" w14:textId="77777777" w:rsidTr="006A44F3">
        <w:trPr>
          <w:trHeight w:val="300"/>
        </w:trPr>
        <w:tc>
          <w:tcPr>
            <w:tcW w:w="760" w:type="dxa"/>
            <w:shd w:val="clear" w:color="auto" w:fill="auto"/>
            <w:noWrap/>
            <w:vAlign w:val="center"/>
            <w:hideMark/>
          </w:tcPr>
          <w:p w14:paraId="4FD69874"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M</w:t>
            </w:r>
          </w:p>
        </w:tc>
        <w:tc>
          <w:tcPr>
            <w:tcW w:w="764" w:type="dxa"/>
            <w:shd w:val="clear" w:color="auto" w:fill="auto"/>
            <w:noWrap/>
            <w:vAlign w:val="center"/>
            <w:hideMark/>
          </w:tcPr>
          <w:p w14:paraId="76A3795F"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63</w:t>
            </w:r>
          </w:p>
        </w:tc>
        <w:tc>
          <w:tcPr>
            <w:tcW w:w="1483" w:type="dxa"/>
            <w:shd w:val="clear" w:color="auto" w:fill="auto"/>
            <w:noWrap/>
            <w:vAlign w:val="center"/>
            <w:hideMark/>
          </w:tcPr>
          <w:p w14:paraId="78742C8A"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HCV</w:t>
            </w:r>
          </w:p>
        </w:tc>
        <w:tc>
          <w:tcPr>
            <w:tcW w:w="2997" w:type="dxa"/>
            <w:shd w:val="clear" w:color="auto" w:fill="auto"/>
            <w:noWrap/>
            <w:vAlign w:val="center"/>
            <w:hideMark/>
          </w:tcPr>
          <w:p w14:paraId="1BDDB43A"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Nivolumab</w:t>
            </w:r>
          </w:p>
        </w:tc>
        <w:tc>
          <w:tcPr>
            <w:tcW w:w="936" w:type="dxa"/>
            <w:shd w:val="clear" w:color="auto" w:fill="auto"/>
            <w:noWrap/>
            <w:vAlign w:val="center"/>
            <w:hideMark/>
          </w:tcPr>
          <w:p w14:paraId="2357E5EC"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4</w:t>
            </w:r>
          </w:p>
        </w:tc>
        <w:tc>
          <w:tcPr>
            <w:tcW w:w="1190" w:type="dxa"/>
            <w:shd w:val="clear" w:color="auto" w:fill="auto"/>
            <w:noWrap/>
            <w:vAlign w:val="center"/>
            <w:hideMark/>
          </w:tcPr>
          <w:p w14:paraId="7E1C41D5"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2</w:t>
            </w:r>
          </w:p>
        </w:tc>
        <w:tc>
          <w:tcPr>
            <w:tcW w:w="1216" w:type="dxa"/>
            <w:shd w:val="clear" w:color="auto" w:fill="auto"/>
            <w:noWrap/>
            <w:vAlign w:val="center"/>
            <w:hideMark/>
          </w:tcPr>
          <w:p w14:paraId="1D1683F0"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No rejection</w:t>
            </w:r>
          </w:p>
        </w:tc>
      </w:tr>
      <w:tr w:rsidR="007F0725" w:rsidRPr="00367BAA" w14:paraId="2782BDA0" w14:textId="77777777" w:rsidTr="006A44F3">
        <w:trPr>
          <w:trHeight w:val="300"/>
        </w:trPr>
        <w:tc>
          <w:tcPr>
            <w:tcW w:w="760" w:type="dxa"/>
            <w:shd w:val="clear" w:color="auto" w:fill="auto"/>
            <w:noWrap/>
            <w:vAlign w:val="center"/>
            <w:hideMark/>
          </w:tcPr>
          <w:p w14:paraId="6A7C0582"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M</w:t>
            </w:r>
          </w:p>
        </w:tc>
        <w:tc>
          <w:tcPr>
            <w:tcW w:w="764" w:type="dxa"/>
            <w:shd w:val="clear" w:color="auto" w:fill="auto"/>
            <w:noWrap/>
            <w:vAlign w:val="center"/>
            <w:hideMark/>
          </w:tcPr>
          <w:p w14:paraId="32EC4BD5"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30</w:t>
            </w:r>
          </w:p>
        </w:tc>
        <w:tc>
          <w:tcPr>
            <w:tcW w:w="1483" w:type="dxa"/>
            <w:shd w:val="clear" w:color="auto" w:fill="auto"/>
            <w:noWrap/>
            <w:vAlign w:val="center"/>
            <w:hideMark/>
          </w:tcPr>
          <w:p w14:paraId="2E25EAAB"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HBV</w:t>
            </w:r>
          </w:p>
        </w:tc>
        <w:tc>
          <w:tcPr>
            <w:tcW w:w="2997" w:type="dxa"/>
            <w:shd w:val="clear" w:color="auto" w:fill="auto"/>
            <w:noWrap/>
            <w:vAlign w:val="center"/>
            <w:hideMark/>
          </w:tcPr>
          <w:p w14:paraId="7FA8761D"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Nivolumab</w:t>
            </w:r>
          </w:p>
        </w:tc>
        <w:tc>
          <w:tcPr>
            <w:tcW w:w="936" w:type="dxa"/>
            <w:shd w:val="clear" w:color="auto" w:fill="auto"/>
            <w:noWrap/>
            <w:vAlign w:val="center"/>
            <w:hideMark/>
          </w:tcPr>
          <w:p w14:paraId="7CC82820"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25</w:t>
            </w:r>
          </w:p>
        </w:tc>
        <w:tc>
          <w:tcPr>
            <w:tcW w:w="1190" w:type="dxa"/>
            <w:shd w:val="clear" w:color="auto" w:fill="auto"/>
            <w:noWrap/>
            <w:vAlign w:val="center"/>
            <w:hideMark/>
          </w:tcPr>
          <w:p w14:paraId="25B83B8D"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22</w:t>
            </w:r>
          </w:p>
        </w:tc>
        <w:tc>
          <w:tcPr>
            <w:tcW w:w="1216" w:type="dxa"/>
            <w:shd w:val="clear" w:color="auto" w:fill="auto"/>
            <w:noWrap/>
            <w:vAlign w:val="center"/>
            <w:hideMark/>
          </w:tcPr>
          <w:p w14:paraId="27D167AA"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Mild rejection*</w:t>
            </w:r>
          </w:p>
        </w:tc>
      </w:tr>
      <w:tr w:rsidR="007F0725" w:rsidRPr="00367BAA" w14:paraId="2C2FE6A5" w14:textId="77777777" w:rsidTr="006A44F3">
        <w:trPr>
          <w:trHeight w:val="300"/>
        </w:trPr>
        <w:tc>
          <w:tcPr>
            <w:tcW w:w="760" w:type="dxa"/>
            <w:shd w:val="clear" w:color="auto" w:fill="auto"/>
            <w:noWrap/>
            <w:vAlign w:val="center"/>
            <w:hideMark/>
          </w:tcPr>
          <w:p w14:paraId="5DB166EF"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M</w:t>
            </w:r>
          </w:p>
        </w:tc>
        <w:tc>
          <w:tcPr>
            <w:tcW w:w="764" w:type="dxa"/>
            <w:shd w:val="clear" w:color="auto" w:fill="auto"/>
            <w:noWrap/>
            <w:vAlign w:val="center"/>
            <w:hideMark/>
          </w:tcPr>
          <w:p w14:paraId="79C6C76C"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63</w:t>
            </w:r>
          </w:p>
        </w:tc>
        <w:tc>
          <w:tcPr>
            <w:tcW w:w="1483" w:type="dxa"/>
            <w:shd w:val="clear" w:color="auto" w:fill="auto"/>
            <w:noWrap/>
            <w:vAlign w:val="center"/>
            <w:hideMark/>
          </w:tcPr>
          <w:p w14:paraId="59DD69F4"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HBV</w:t>
            </w:r>
          </w:p>
        </w:tc>
        <w:tc>
          <w:tcPr>
            <w:tcW w:w="2997" w:type="dxa"/>
            <w:shd w:val="clear" w:color="auto" w:fill="auto"/>
            <w:noWrap/>
            <w:vAlign w:val="center"/>
            <w:hideMark/>
          </w:tcPr>
          <w:p w14:paraId="1E3688E3"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Nivolumab</w:t>
            </w:r>
          </w:p>
        </w:tc>
        <w:tc>
          <w:tcPr>
            <w:tcW w:w="936" w:type="dxa"/>
            <w:shd w:val="clear" w:color="auto" w:fill="auto"/>
            <w:noWrap/>
            <w:vAlign w:val="center"/>
            <w:hideMark/>
          </w:tcPr>
          <w:p w14:paraId="2D2E3EBD"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4</w:t>
            </w:r>
          </w:p>
        </w:tc>
        <w:tc>
          <w:tcPr>
            <w:tcW w:w="1190" w:type="dxa"/>
            <w:shd w:val="clear" w:color="auto" w:fill="auto"/>
            <w:noWrap/>
            <w:vAlign w:val="center"/>
            <w:hideMark/>
          </w:tcPr>
          <w:p w14:paraId="62299D11"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13</w:t>
            </w:r>
          </w:p>
        </w:tc>
        <w:tc>
          <w:tcPr>
            <w:tcW w:w="1216" w:type="dxa"/>
            <w:shd w:val="clear" w:color="auto" w:fill="auto"/>
            <w:noWrap/>
            <w:vAlign w:val="center"/>
            <w:hideMark/>
          </w:tcPr>
          <w:p w14:paraId="717B8F28"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No rejection</w:t>
            </w:r>
          </w:p>
        </w:tc>
      </w:tr>
      <w:tr w:rsidR="007F0725" w:rsidRPr="00367BAA" w14:paraId="2FDF3E94" w14:textId="77777777" w:rsidTr="006A44F3">
        <w:trPr>
          <w:trHeight w:val="300"/>
        </w:trPr>
        <w:tc>
          <w:tcPr>
            <w:tcW w:w="760" w:type="dxa"/>
            <w:shd w:val="clear" w:color="auto" w:fill="auto"/>
            <w:noWrap/>
            <w:vAlign w:val="center"/>
            <w:hideMark/>
          </w:tcPr>
          <w:p w14:paraId="44B01E2F"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M</w:t>
            </w:r>
          </w:p>
        </w:tc>
        <w:tc>
          <w:tcPr>
            <w:tcW w:w="764" w:type="dxa"/>
            <w:shd w:val="clear" w:color="auto" w:fill="auto"/>
            <w:noWrap/>
            <w:vAlign w:val="center"/>
            <w:hideMark/>
          </w:tcPr>
          <w:p w14:paraId="3382CD89"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66</w:t>
            </w:r>
          </w:p>
        </w:tc>
        <w:tc>
          <w:tcPr>
            <w:tcW w:w="1483" w:type="dxa"/>
            <w:shd w:val="clear" w:color="auto" w:fill="auto"/>
            <w:noWrap/>
            <w:vAlign w:val="center"/>
            <w:hideMark/>
          </w:tcPr>
          <w:p w14:paraId="3C13E027"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HBV</w:t>
            </w:r>
          </w:p>
        </w:tc>
        <w:tc>
          <w:tcPr>
            <w:tcW w:w="2997" w:type="dxa"/>
            <w:shd w:val="clear" w:color="auto" w:fill="auto"/>
            <w:noWrap/>
            <w:vAlign w:val="center"/>
            <w:hideMark/>
          </w:tcPr>
          <w:p w14:paraId="618B1AC6"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Nivolumab</w:t>
            </w:r>
          </w:p>
        </w:tc>
        <w:tc>
          <w:tcPr>
            <w:tcW w:w="936" w:type="dxa"/>
            <w:shd w:val="clear" w:color="auto" w:fill="auto"/>
            <w:noWrap/>
            <w:vAlign w:val="center"/>
            <w:hideMark/>
          </w:tcPr>
          <w:p w14:paraId="308EF945"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9</w:t>
            </w:r>
          </w:p>
        </w:tc>
        <w:tc>
          <w:tcPr>
            <w:tcW w:w="1190" w:type="dxa"/>
            <w:shd w:val="clear" w:color="auto" w:fill="auto"/>
            <w:noWrap/>
            <w:vAlign w:val="center"/>
            <w:hideMark/>
          </w:tcPr>
          <w:p w14:paraId="77FD8FA6"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253</w:t>
            </w:r>
          </w:p>
        </w:tc>
        <w:tc>
          <w:tcPr>
            <w:tcW w:w="1216" w:type="dxa"/>
            <w:shd w:val="clear" w:color="auto" w:fill="auto"/>
            <w:noWrap/>
            <w:vAlign w:val="center"/>
            <w:hideMark/>
          </w:tcPr>
          <w:p w14:paraId="557CCD5D"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No rejection</w:t>
            </w:r>
          </w:p>
        </w:tc>
      </w:tr>
      <w:tr w:rsidR="007F0725" w:rsidRPr="00367BAA" w14:paraId="4FB231F7" w14:textId="77777777" w:rsidTr="006A44F3">
        <w:trPr>
          <w:trHeight w:val="300"/>
        </w:trPr>
        <w:tc>
          <w:tcPr>
            <w:tcW w:w="760" w:type="dxa"/>
            <w:shd w:val="clear" w:color="auto" w:fill="auto"/>
            <w:noWrap/>
            <w:vAlign w:val="center"/>
            <w:hideMark/>
          </w:tcPr>
          <w:p w14:paraId="22708CC8"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F</w:t>
            </w:r>
          </w:p>
        </w:tc>
        <w:tc>
          <w:tcPr>
            <w:tcW w:w="764" w:type="dxa"/>
            <w:shd w:val="clear" w:color="auto" w:fill="auto"/>
            <w:noWrap/>
            <w:vAlign w:val="center"/>
            <w:hideMark/>
          </w:tcPr>
          <w:p w14:paraId="52D5A667"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55</w:t>
            </w:r>
          </w:p>
        </w:tc>
        <w:tc>
          <w:tcPr>
            <w:tcW w:w="1483" w:type="dxa"/>
            <w:shd w:val="clear" w:color="auto" w:fill="auto"/>
            <w:noWrap/>
            <w:vAlign w:val="center"/>
            <w:hideMark/>
          </w:tcPr>
          <w:p w14:paraId="695D9DC6"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HBV</w:t>
            </w:r>
          </w:p>
        </w:tc>
        <w:tc>
          <w:tcPr>
            <w:tcW w:w="2997" w:type="dxa"/>
            <w:shd w:val="clear" w:color="auto" w:fill="auto"/>
            <w:noWrap/>
            <w:vAlign w:val="center"/>
            <w:hideMark/>
          </w:tcPr>
          <w:p w14:paraId="477AA566"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Nivolumab</w:t>
            </w:r>
          </w:p>
        </w:tc>
        <w:tc>
          <w:tcPr>
            <w:tcW w:w="936" w:type="dxa"/>
            <w:shd w:val="clear" w:color="auto" w:fill="auto"/>
            <w:noWrap/>
            <w:vAlign w:val="center"/>
            <w:hideMark/>
          </w:tcPr>
          <w:p w14:paraId="4728062F"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12</w:t>
            </w:r>
          </w:p>
        </w:tc>
        <w:tc>
          <w:tcPr>
            <w:tcW w:w="1190" w:type="dxa"/>
            <w:shd w:val="clear" w:color="auto" w:fill="auto"/>
            <w:noWrap/>
            <w:vAlign w:val="center"/>
            <w:hideMark/>
          </w:tcPr>
          <w:p w14:paraId="65820187"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7</w:t>
            </w:r>
          </w:p>
        </w:tc>
        <w:tc>
          <w:tcPr>
            <w:tcW w:w="1216" w:type="dxa"/>
            <w:shd w:val="clear" w:color="auto" w:fill="auto"/>
            <w:noWrap/>
            <w:vAlign w:val="center"/>
            <w:hideMark/>
          </w:tcPr>
          <w:p w14:paraId="47818AAF"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No rejection</w:t>
            </w:r>
          </w:p>
        </w:tc>
      </w:tr>
      <w:tr w:rsidR="007F0725" w:rsidRPr="00367BAA" w14:paraId="643AC7AB" w14:textId="77777777" w:rsidTr="006A44F3">
        <w:trPr>
          <w:trHeight w:val="300"/>
        </w:trPr>
        <w:tc>
          <w:tcPr>
            <w:tcW w:w="760" w:type="dxa"/>
            <w:shd w:val="clear" w:color="auto" w:fill="auto"/>
            <w:noWrap/>
            <w:vAlign w:val="center"/>
            <w:hideMark/>
          </w:tcPr>
          <w:p w14:paraId="0233BB22"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lastRenderedPageBreak/>
              <w:t>F</w:t>
            </w:r>
          </w:p>
        </w:tc>
        <w:tc>
          <w:tcPr>
            <w:tcW w:w="764" w:type="dxa"/>
            <w:shd w:val="clear" w:color="auto" w:fill="auto"/>
            <w:noWrap/>
            <w:vAlign w:val="center"/>
            <w:hideMark/>
          </w:tcPr>
          <w:p w14:paraId="159EB822"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53</w:t>
            </w:r>
          </w:p>
        </w:tc>
        <w:tc>
          <w:tcPr>
            <w:tcW w:w="1483" w:type="dxa"/>
            <w:shd w:val="clear" w:color="auto" w:fill="auto"/>
            <w:noWrap/>
            <w:vAlign w:val="center"/>
            <w:hideMark/>
          </w:tcPr>
          <w:p w14:paraId="050AAD59"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NASH</w:t>
            </w:r>
          </w:p>
        </w:tc>
        <w:tc>
          <w:tcPr>
            <w:tcW w:w="2997" w:type="dxa"/>
            <w:shd w:val="clear" w:color="auto" w:fill="auto"/>
            <w:noWrap/>
            <w:vAlign w:val="center"/>
            <w:hideMark/>
          </w:tcPr>
          <w:p w14:paraId="05A8F445"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Nivolumab</w:t>
            </w:r>
          </w:p>
        </w:tc>
        <w:tc>
          <w:tcPr>
            <w:tcW w:w="936" w:type="dxa"/>
            <w:shd w:val="clear" w:color="auto" w:fill="auto"/>
            <w:noWrap/>
            <w:vAlign w:val="center"/>
            <w:hideMark/>
          </w:tcPr>
          <w:p w14:paraId="3DAFB2BD"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2</w:t>
            </w:r>
          </w:p>
        </w:tc>
        <w:tc>
          <w:tcPr>
            <w:tcW w:w="1190" w:type="dxa"/>
            <w:shd w:val="clear" w:color="auto" w:fill="auto"/>
            <w:noWrap/>
            <w:vAlign w:val="center"/>
            <w:hideMark/>
          </w:tcPr>
          <w:p w14:paraId="1868D4EE"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30</w:t>
            </w:r>
          </w:p>
        </w:tc>
        <w:tc>
          <w:tcPr>
            <w:tcW w:w="1216" w:type="dxa"/>
            <w:shd w:val="clear" w:color="auto" w:fill="auto"/>
            <w:noWrap/>
            <w:vAlign w:val="center"/>
            <w:hideMark/>
          </w:tcPr>
          <w:p w14:paraId="08BD60E4"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No rejection</w:t>
            </w:r>
          </w:p>
        </w:tc>
      </w:tr>
      <w:tr w:rsidR="007F0725" w:rsidRPr="00367BAA" w14:paraId="08087836" w14:textId="77777777" w:rsidTr="006A44F3">
        <w:trPr>
          <w:trHeight w:val="300"/>
        </w:trPr>
        <w:tc>
          <w:tcPr>
            <w:tcW w:w="760" w:type="dxa"/>
            <w:shd w:val="clear" w:color="auto" w:fill="auto"/>
            <w:noWrap/>
            <w:vAlign w:val="center"/>
            <w:hideMark/>
          </w:tcPr>
          <w:p w14:paraId="3E0AD7D8"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M</w:t>
            </w:r>
          </w:p>
        </w:tc>
        <w:tc>
          <w:tcPr>
            <w:tcW w:w="764" w:type="dxa"/>
            <w:shd w:val="clear" w:color="auto" w:fill="auto"/>
            <w:noWrap/>
            <w:vAlign w:val="center"/>
            <w:hideMark/>
          </w:tcPr>
          <w:p w14:paraId="41074273"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61</w:t>
            </w:r>
          </w:p>
        </w:tc>
        <w:tc>
          <w:tcPr>
            <w:tcW w:w="1483" w:type="dxa"/>
            <w:shd w:val="clear" w:color="auto" w:fill="auto"/>
            <w:noWrap/>
            <w:vAlign w:val="center"/>
            <w:hideMark/>
          </w:tcPr>
          <w:p w14:paraId="4E8D0C78"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HBV</w:t>
            </w:r>
          </w:p>
        </w:tc>
        <w:tc>
          <w:tcPr>
            <w:tcW w:w="2997" w:type="dxa"/>
            <w:shd w:val="clear" w:color="auto" w:fill="auto"/>
            <w:noWrap/>
            <w:vAlign w:val="center"/>
            <w:hideMark/>
          </w:tcPr>
          <w:p w14:paraId="14243781"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Durvalumab</w:t>
            </w:r>
          </w:p>
        </w:tc>
        <w:tc>
          <w:tcPr>
            <w:tcW w:w="936" w:type="dxa"/>
            <w:shd w:val="clear" w:color="auto" w:fill="auto"/>
            <w:noWrap/>
            <w:vAlign w:val="center"/>
            <w:hideMark/>
          </w:tcPr>
          <w:p w14:paraId="4C721685"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NA</w:t>
            </w:r>
          </w:p>
        </w:tc>
        <w:tc>
          <w:tcPr>
            <w:tcW w:w="1190" w:type="dxa"/>
            <w:shd w:val="clear" w:color="auto" w:fill="auto"/>
            <w:noWrap/>
            <w:vAlign w:val="center"/>
            <w:hideMark/>
          </w:tcPr>
          <w:p w14:paraId="4FD6D12B"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&gt;</w:t>
            </w:r>
            <w:r w:rsidRPr="00367BAA">
              <w:rPr>
                <w:rFonts w:ascii="Book Antiqua" w:eastAsia="SimSun" w:hAnsi="Book Antiqua" w:cs="SimSun"/>
                <w:color w:val="000000"/>
                <w:lang w:eastAsia="zh-CN"/>
              </w:rPr>
              <w:t xml:space="preserve"> </w:t>
            </w:r>
            <w:r w:rsidRPr="009F26EF">
              <w:rPr>
                <w:rFonts w:ascii="Book Antiqua" w:eastAsia="SimSun" w:hAnsi="Book Antiqua" w:cs="SimSun"/>
                <w:color w:val="000000"/>
                <w:lang w:eastAsia="zh-CN"/>
              </w:rPr>
              <w:t>90</w:t>
            </w:r>
          </w:p>
        </w:tc>
        <w:tc>
          <w:tcPr>
            <w:tcW w:w="1216" w:type="dxa"/>
            <w:shd w:val="clear" w:color="auto" w:fill="auto"/>
            <w:noWrap/>
            <w:vAlign w:val="center"/>
            <w:hideMark/>
          </w:tcPr>
          <w:p w14:paraId="7F234B30"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No rejection</w:t>
            </w:r>
          </w:p>
        </w:tc>
      </w:tr>
      <w:tr w:rsidR="007F0725" w:rsidRPr="00367BAA" w14:paraId="2A550F0A" w14:textId="77777777" w:rsidTr="006A44F3">
        <w:trPr>
          <w:trHeight w:val="324"/>
        </w:trPr>
        <w:tc>
          <w:tcPr>
            <w:tcW w:w="760" w:type="dxa"/>
            <w:shd w:val="clear" w:color="auto" w:fill="auto"/>
            <w:noWrap/>
            <w:vAlign w:val="center"/>
            <w:hideMark/>
          </w:tcPr>
          <w:p w14:paraId="47F86830"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M</w:t>
            </w:r>
          </w:p>
        </w:tc>
        <w:tc>
          <w:tcPr>
            <w:tcW w:w="764" w:type="dxa"/>
            <w:shd w:val="clear" w:color="auto" w:fill="auto"/>
            <w:noWrap/>
            <w:vAlign w:val="center"/>
            <w:hideMark/>
          </w:tcPr>
          <w:p w14:paraId="1FC1D899"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53 ±</w:t>
            </w:r>
            <w:r>
              <w:rPr>
                <w:rFonts w:ascii="Book Antiqua" w:eastAsia="SimSun" w:hAnsi="Book Antiqua" w:cs="SimSun"/>
                <w:color w:val="000000"/>
                <w:lang w:eastAsia="zh-CN"/>
              </w:rPr>
              <w:t xml:space="preserve"> </w:t>
            </w:r>
            <w:r w:rsidRPr="009F26EF">
              <w:rPr>
                <w:rFonts w:ascii="Book Antiqua" w:eastAsia="SimSun" w:hAnsi="Book Antiqua" w:cs="SimSun"/>
                <w:color w:val="000000"/>
                <w:lang w:eastAsia="zh-CN"/>
              </w:rPr>
              <w:t>12.1</w:t>
            </w:r>
          </w:p>
        </w:tc>
        <w:tc>
          <w:tcPr>
            <w:tcW w:w="1483" w:type="dxa"/>
            <w:shd w:val="clear" w:color="auto" w:fill="auto"/>
            <w:noWrap/>
            <w:vAlign w:val="center"/>
            <w:hideMark/>
          </w:tcPr>
          <w:p w14:paraId="6A9F3348"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 xml:space="preserve"> NA</w:t>
            </w:r>
          </w:p>
        </w:tc>
        <w:tc>
          <w:tcPr>
            <w:tcW w:w="2997" w:type="dxa"/>
            <w:shd w:val="clear" w:color="auto" w:fill="auto"/>
            <w:noWrap/>
            <w:vAlign w:val="center"/>
            <w:hideMark/>
          </w:tcPr>
          <w:p w14:paraId="787F38DB"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Camrelizumab and/or Pembrolizumab</w:t>
            </w:r>
          </w:p>
        </w:tc>
        <w:tc>
          <w:tcPr>
            <w:tcW w:w="936" w:type="dxa"/>
            <w:shd w:val="clear" w:color="auto" w:fill="auto"/>
            <w:noWrap/>
            <w:vAlign w:val="center"/>
            <w:hideMark/>
          </w:tcPr>
          <w:p w14:paraId="43B51262"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3±2</w:t>
            </w:r>
          </w:p>
        </w:tc>
        <w:tc>
          <w:tcPr>
            <w:tcW w:w="1190" w:type="dxa"/>
            <w:shd w:val="clear" w:color="auto" w:fill="auto"/>
            <w:noWrap/>
            <w:vAlign w:val="center"/>
            <w:hideMark/>
          </w:tcPr>
          <w:p w14:paraId="148F17F0"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870 on</w:t>
            </w:r>
            <w:r w:rsidRPr="00367BAA">
              <w:rPr>
                <w:rFonts w:ascii="Book Antiqua" w:eastAsia="SimSun" w:hAnsi="Book Antiqua" w:cs="SimSun"/>
                <w:color w:val="000000"/>
                <w:lang w:eastAsia="zh-CN"/>
              </w:rPr>
              <w:t xml:space="preserve"> </w:t>
            </w:r>
            <w:r w:rsidRPr="009F26EF">
              <w:rPr>
                <w:rFonts w:ascii="Book Antiqua" w:eastAsia="SimSun" w:hAnsi="Book Antiqua" w:cs="SimSun"/>
                <w:color w:val="000000"/>
                <w:lang w:eastAsia="zh-CN"/>
              </w:rPr>
              <w:t>average</w:t>
            </w:r>
          </w:p>
        </w:tc>
        <w:tc>
          <w:tcPr>
            <w:tcW w:w="1216" w:type="dxa"/>
            <w:shd w:val="clear" w:color="auto" w:fill="auto"/>
            <w:noWrap/>
            <w:vAlign w:val="center"/>
            <w:hideMark/>
          </w:tcPr>
          <w:p w14:paraId="50961FF6" w14:textId="77777777" w:rsidR="007F0725" w:rsidRPr="009F26EF" w:rsidRDefault="007F0725" w:rsidP="00C4354C">
            <w:pPr>
              <w:spacing w:line="360" w:lineRule="auto"/>
              <w:jc w:val="both"/>
              <w:rPr>
                <w:rFonts w:ascii="Book Antiqua" w:eastAsia="SimSun" w:hAnsi="Book Antiqua" w:cs="SimSun"/>
                <w:color w:val="000000"/>
                <w:lang w:eastAsia="zh-CN"/>
              </w:rPr>
            </w:pPr>
            <w:r w:rsidRPr="009F26EF">
              <w:rPr>
                <w:rFonts w:ascii="Book Antiqua" w:eastAsia="SimSun" w:hAnsi="Book Antiqua" w:cs="SimSun"/>
                <w:color w:val="000000"/>
                <w:lang w:eastAsia="zh-CN"/>
              </w:rPr>
              <w:t>1 rejection</w:t>
            </w:r>
            <w:r w:rsidRPr="00367BAA">
              <w:rPr>
                <w:rFonts w:ascii="Book Antiqua" w:eastAsia="SimSun" w:hAnsi="Book Antiqua" w:cs="SimSun"/>
                <w:color w:val="000000"/>
                <w:lang w:eastAsia="zh-CN"/>
              </w:rPr>
              <w:t xml:space="preserve"> </w:t>
            </w:r>
            <w:r w:rsidRPr="009F26EF">
              <w:rPr>
                <w:rFonts w:ascii="Book Antiqua" w:eastAsia="SimSun" w:hAnsi="Book Antiqua" w:cs="SimSun"/>
                <w:color w:val="000000"/>
                <w:lang w:eastAsia="zh-CN"/>
              </w:rPr>
              <w:t>in the</w:t>
            </w:r>
            <w:r w:rsidRPr="00367BAA">
              <w:rPr>
                <w:rFonts w:ascii="Book Antiqua" w:eastAsia="SimSun" w:hAnsi="Book Antiqua" w:cs="SimSun"/>
                <w:color w:val="000000"/>
                <w:lang w:eastAsia="zh-CN"/>
              </w:rPr>
              <w:t xml:space="preserve"> </w:t>
            </w:r>
            <w:r w:rsidRPr="009F26EF">
              <w:rPr>
                <w:rFonts w:ascii="Book Antiqua" w:eastAsia="SimSun" w:hAnsi="Book Antiqua" w:cs="SimSun"/>
                <w:color w:val="000000"/>
                <w:lang w:eastAsia="zh-CN"/>
              </w:rPr>
              <w:t>cohort</w:t>
            </w:r>
            <w:r w:rsidRPr="00367BAA">
              <w:rPr>
                <w:rFonts w:ascii="Book Antiqua" w:eastAsia="SimSun" w:hAnsi="Book Antiqua" w:cs="SimSun"/>
                <w:color w:val="000000"/>
                <w:vertAlign w:val="superscript"/>
                <w:lang w:eastAsia="zh-CN"/>
              </w:rPr>
              <w:t>1</w:t>
            </w:r>
          </w:p>
        </w:tc>
      </w:tr>
    </w:tbl>
    <w:p w14:paraId="1F21430C" w14:textId="77777777" w:rsidR="007F0725" w:rsidRPr="00367BAA" w:rsidRDefault="007F0725" w:rsidP="007F0725">
      <w:pPr>
        <w:spacing w:line="360" w:lineRule="auto"/>
        <w:jc w:val="both"/>
        <w:rPr>
          <w:rFonts w:ascii="Book Antiqua" w:hAnsi="Book Antiqua"/>
          <w:lang w:eastAsia="zh-CN"/>
        </w:rPr>
      </w:pPr>
      <w:r w:rsidRPr="00367BAA">
        <w:rPr>
          <w:rFonts w:ascii="Book Antiqua" w:hAnsi="Book Antiqua"/>
          <w:vertAlign w:val="superscript"/>
          <w:lang w:eastAsia="zh-CN"/>
        </w:rPr>
        <w:t>1</w:t>
      </w:r>
      <w:r w:rsidRPr="00367BAA">
        <w:rPr>
          <w:rFonts w:ascii="Book Antiqua" w:hAnsi="Book Antiqua"/>
        </w:rPr>
        <w:t>The rejection was appropriately treated and the patient suffered no major adverse outcomes.</w:t>
      </w:r>
      <w:r w:rsidRPr="00367BAA">
        <w:rPr>
          <w:rFonts w:ascii="Book Antiqua" w:hAnsi="Book Antiqua"/>
          <w:lang w:eastAsia="zh-CN"/>
        </w:rPr>
        <w:t xml:space="preserve"> </w:t>
      </w:r>
      <w:r w:rsidRPr="00367BAA">
        <w:rPr>
          <w:rFonts w:ascii="Book Antiqua" w:hAnsi="Book Antiqua"/>
        </w:rPr>
        <w:t>ICI: Immune checkpoint inhibitor; HCC: Hepatocellular carcinoma; M: Male; F: Female; LT: Liver transplantation; ALD: Alcoholic liver disease; HCV: Hepatitis C virus; HBV: Hepatitis B virus; NASH: Non-alcoholic steatohepatitis; NA: Not available</w:t>
      </w:r>
      <w:r w:rsidRPr="00367BAA">
        <w:rPr>
          <w:rFonts w:ascii="Book Antiqua" w:hAnsi="Book Antiqua"/>
          <w:lang w:eastAsia="zh-CN"/>
        </w:rPr>
        <w:t>.</w:t>
      </w:r>
    </w:p>
    <w:p w14:paraId="5A15E1B3" w14:textId="77777777" w:rsidR="007F0725" w:rsidRPr="00367BAA" w:rsidRDefault="007F0725" w:rsidP="007F0725">
      <w:pPr>
        <w:spacing w:line="360" w:lineRule="auto"/>
        <w:jc w:val="both"/>
        <w:rPr>
          <w:rFonts w:ascii="Book Antiqua" w:hAnsi="Book Antiqua"/>
          <w:lang w:eastAsia="zh-CN"/>
        </w:rPr>
      </w:pPr>
    </w:p>
    <w:p w14:paraId="14806EAA" w14:textId="13AE5642" w:rsidR="007F0725" w:rsidRPr="00767B5B" w:rsidRDefault="00514B9A" w:rsidP="007F0725">
      <w:pPr>
        <w:spacing w:line="360" w:lineRule="auto"/>
        <w:jc w:val="both"/>
        <w:rPr>
          <w:rFonts w:ascii="Book Antiqua" w:hAnsi="Book Antiqua"/>
          <w:b/>
          <w:bCs/>
          <w:lang w:eastAsia="zh-CN"/>
        </w:rPr>
      </w:pPr>
      <w:r>
        <w:rPr>
          <w:rFonts w:ascii="Book Antiqua" w:hAnsi="Book Antiqua"/>
          <w:b/>
          <w:bCs/>
          <w:lang w:eastAsia="zh-CN"/>
        </w:rPr>
        <w:br w:type="page"/>
      </w:r>
      <w:r w:rsidR="007F0725" w:rsidRPr="00767B5B">
        <w:rPr>
          <w:rFonts w:ascii="Book Antiqua" w:hAnsi="Book Antiqua"/>
          <w:b/>
          <w:bCs/>
          <w:lang w:eastAsia="zh-CN"/>
        </w:rPr>
        <w:lastRenderedPageBreak/>
        <w:t xml:space="preserve">Table 3 Clinical trials assessing </w:t>
      </w:r>
      <w:r w:rsidR="007F0725" w:rsidRPr="00767B5B">
        <w:rPr>
          <w:rFonts w:ascii="Book Antiqua" w:hAnsi="Book Antiqua"/>
          <w:b/>
          <w:bCs/>
        </w:rPr>
        <w:t>immune checkpoint inhibitor</w:t>
      </w:r>
      <w:r w:rsidR="007F0725" w:rsidRPr="00767B5B">
        <w:rPr>
          <w:rFonts w:ascii="Book Antiqua" w:hAnsi="Book Antiqua"/>
          <w:b/>
          <w:bCs/>
          <w:lang w:eastAsia="zh-CN"/>
        </w:rPr>
        <w:t xml:space="preserve"> use in the neoadjuvant setting prior to liver resection in patients with </w:t>
      </w:r>
      <w:r w:rsidR="007F0725" w:rsidRPr="00767B5B">
        <w:rPr>
          <w:rFonts w:ascii="Book Antiqua" w:hAnsi="Book Antiqua"/>
          <w:b/>
          <w:bCs/>
        </w:rPr>
        <w:t>hepatocellular carcinoma</w:t>
      </w:r>
    </w:p>
    <w:tbl>
      <w:tblPr>
        <w:tblW w:w="8630" w:type="dxa"/>
        <w:tblBorders>
          <w:top w:val="single" w:sz="4" w:space="0" w:color="auto"/>
          <w:bottom w:val="single" w:sz="4" w:space="0" w:color="auto"/>
        </w:tblBorders>
        <w:tblLook w:val="04A0" w:firstRow="1" w:lastRow="0" w:firstColumn="1" w:lastColumn="0" w:noHBand="0" w:noVBand="1"/>
      </w:tblPr>
      <w:tblGrid>
        <w:gridCol w:w="1757"/>
        <w:gridCol w:w="897"/>
        <w:gridCol w:w="2988"/>
        <w:gridCol w:w="2988"/>
      </w:tblGrid>
      <w:tr w:rsidR="007F0725" w:rsidRPr="00C326A3" w14:paraId="1271B98B" w14:textId="77777777" w:rsidTr="00F82B2E">
        <w:trPr>
          <w:trHeight w:val="288"/>
        </w:trPr>
        <w:tc>
          <w:tcPr>
            <w:tcW w:w="1757" w:type="dxa"/>
            <w:tcBorders>
              <w:top w:val="single" w:sz="4" w:space="0" w:color="auto"/>
              <w:bottom w:val="single" w:sz="4" w:space="0" w:color="auto"/>
            </w:tcBorders>
            <w:shd w:val="clear" w:color="auto" w:fill="auto"/>
            <w:noWrap/>
            <w:vAlign w:val="bottom"/>
            <w:hideMark/>
          </w:tcPr>
          <w:p w14:paraId="1E22330C" w14:textId="77777777" w:rsidR="007F0725" w:rsidRPr="00C326A3" w:rsidRDefault="007F0725" w:rsidP="00C4354C">
            <w:pPr>
              <w:spacing w:line="360" w:lineRule="auto"/>
              <w:jc w:val="both"/>
              <w:rPr>
                <w:rFonts w:ascii="Book Antiqua" w:eastAsia="SimSun" w:hAnsi="Book Antiqua" w:cs="SimSun"/>
                <w:b/>
                <w:bCs/>
                <w:color w:val="000000"/>
                <w:lang w:eastAsia="zh-CN"/>
              </w:rPr>
            </w:pPr>
            <w:r w:rsidRPr="00C326A3">
              <w:rPr>
                <w:rFonts w:ascii="Book Antiqua" w:eastAsia="SimSun" w:hAnsi="Book Antiqua" w:cs="SimSun"/>
                <w:b/>
                <w:bCs/>
                <w:color w:val="000000"/>
                <w:lang w:eastAsia="zh-CN"/>
              </w:rPr>
              <w:t>Trial name</w:t>
            </w:r>
          </w:p>
        </w:tc>
        <w:tc>
          <w:tcPr>
            <w:tcW w:w="897" w:type="dxa"/>
            <w:tcBorders>
              <w:top w:val="single" w:sz="4" w:space="0" w:color="auto"/>
              <w:bottom w:val="single" w:sz="4" w:space="0" w:color="auto"/>
            </w:tcBorders>
            <w:shd w:val="clear" w:color="auto" w:fill="auto"/>
            <w:noWrap/>
            <w:vAlign w:val="bottom"/>
            <w:hideMark/>
          </w:tcPr>
          <w:p w14:paraId="210D0B2F" w14:textId="77777777" w:rsidR="007F0725" w:rsidRPr="00C326A3" w:rsidRDefault="007F0725" w:rsidP="00C4354C">
            <w:pPr>
              <w:spacing w:line="360" w:lineRule="auto"/>
              <w:jc w:val="both"/>
              <w:rPr>
                <w:rFonts w:ascii="Book Antiqua" w:eastAsia="SimSun" w:hAnsi="Book Antiqua" w:cs="SimSun"/>
                <w:b/>
                <w:bCs/>
                <w:color w:val="000000"/>
                <w:lang w:eastAsia="zh-CN"/>
              </w:rPr>
            </w:pPr>
            <w:r w:rsidRPr="00C326A3">
              <w:rPr>
                <w:rFonts w:ascii="Book Antiqua" w:eastAsia="SimSun" w:hAnsi="Book Antiqua" w:cs="SimSun"/>
                <w:b/>
                <w:bCs/>
                <w:color w:val="000000"/>
                <w:lang w:eastAsia="zh-CN"/>
              </w:rPr>
              <w:t>Phase</w:t>
            </w:r>
          </w:p>
        </w:tc>
        <w:tc>
          <w:tcPr>
            <w:tcW w:w="2988" w:type="dxa"/>
            <w:tcBorders>
              <w:top w:val="single" w:sz="4" w:space="0" w:color="auto"/>
              <w:bottom w:val="single" w:sz="4" w:space="0" w:color="auto"/>
            </w:tcBorders>
            <w:shd w:val="clear" w:color="auto" w:fill="auto"/>
            <w:noWrap/>
            <w:vAlign w:val="bottom"/>
            <w:hideMark/>
          </w:tcPr>
          <w:p w14:paraId="0C72C9EB" w14:textId="77777777" w:rsidR="007F0725" w:rsidRPr="00C326A3" w:rsidRDefault="007F0725" w:rsidP="00C4354C">
            <w:pPr>
              <w:spacing w:line="360" w:lineRule="auto"/>
              <w:jc w:val="both"/>
              <w:rPr>
                <w:rFonts w:ascii="Book Antiqua" w:eastAsia="SimSun" w:hAnsi="Book Antiqua" w:cs="SimSun"/>
                <w:b/>
                <w:bCs/>
                <w:color w:val="000000"/>
                <w:lang w:eastAsia="zh-CN"/>
              </w:rPr>
            </w:pPr>
            <w:r w:rsidRPr="00C326A3">
              <w:rPr>
                <w:rFonts w:ascii="Book Antiqua" w:eastAsia="SimSun" w:hAnsi="Book Antiqua" w:cs="SimSun"/>
                <w:b/>
                <w:bCs/>
                <w:color w:val="000000"/>
                <w:lang w:eastAsia="zh-CN"/>
              </w:rPr>
              <w:t>Intervention</w:t>
            </w:r>
          </w:p>
        </w:tc>
        <w:tc>
          <w:tcPr>
            <w:tcW w:w="2988" w:type="dxa"/>
            <w:tcBorders>
              <w:top w:val="single" w:sz="4" w:space="0" w:color="auto"/>
              <w:bottom w:val="single" w:sz="4" w:space="0" w:color="auto"/>
            </w:tcBorders>
            <w:shd w:val="clear" w:color="auto" w:fill="auto"/>
            <w:noWrap/>
            <w:vAlign w:val="bottom"/>
            <w:hideMark/>
          </w:tcPr>
          <w:p w14:paraId="2AB8E68F" w14:textId="77777777" w:rsidR="007F0725" w:rsidRPr="00C326A3" w:rsidRDefault="007F0725" w:rsidP="00C4354C">
            <w:pPr>
              <w:spacing w:line="360" w:lineRule="auto"/>
              <w:jc w:val="both"/>
              <w:rPr>
                <w:rFonts w:ascii="Book Antiqua" w:eastAsia="SimSun" w:hAnsi="Book Antiqua" w:cs="SimSun"/>
                <w:b/>
                <w:bCs/>
                <w:color w:val="000000"/>
                <w:lang w:eastAsia="zh-CN"/>
              </w:rPr>
            </w:pPr>
            <w:r w:rsidRPr="00C326A3">
              <w:rPr>
                <w:rFonts w:ascii="Book Antiqua" w:eastAsia="SimSun" w:hAnsi="Book Antiqua" w:cs="SimSun"/>
                <w:b/>
                <w:bCs/>
                <w:color w:val="000000"/>
                <w:lang w:eastAsia="zh-CN"/>
              </w:rPr>
              <w:t>Status</w:t>
            </w:r>
          </w:p>
        </w:tc>
      </w:tr>
      <w:tr w:rsidR="007F0725" w:rsidRPr="00367BAA" w14:paraId="0FB738C0" w14:textId="77777777" w:rsidTr="00F82B2E">
        <w:trPr>
          <w:trHeight w:val="835"/>
        </w:trPr>
        <w:tc>
          <w:tcPr>
            <w:tcW w:w="1757" w:type="dxa"/>
            <w:tcBorders>
              <w:top w:val="single" w:sz="4" w:space="0" w:color="auto"/>
            </w:tcBorders>
            <w:shd w:val="clear" w:color="auto" w:fill="auto"/>
            <w:noWrap/>
            <w:vAlign w:val="bottom"/>
            <w:hideMark/>
          </w:tcPr>
          <w:p w14:paraId="2FE7C8D0" w14:textId="77777777" w:rsidR="007F0725" w:rsidRPr="00367BAA" w:rsidRDefault="007F0725" w:rsidP="00C4354C">
            <w:pPr>
              <w:spacing w:line="360" w:lineRule="auto"/>
              <w:jc w:val="both"/>
              <w:rPr>
                <w:rFonts w:ascii="Book Antiqua" w:eastAsia="SimSun" w:hAnsi="Book Antiqua" w:cs="SimSun"/>
                <w:color w:val="000000"/>
                <w:lang w:eastAsia="zh-CN"/>
              </w:rPr>
            </w:pPr>
            <w:r w:rsidRPr="00C326A3">
              <w:rPr>
                <w:rFonts w:ascii="Book Antiqua" w:eastAsia="SimSun" w:hAnsi="Book Antiqua" w:cs="SimSun"/>
                <w:color w:val="000000"/>
                <w:lang w:eastAsia="zh-CN"/>
              </w:rPr>
              <w:t>NCT03510871</w:t>
            </w:r>
          </w:p>
          <w:p w14:paraId="6A0F99B1" w14:textId="77777777" w:rsidR="007F0725" w:rsidRPr="00C326A3" w:rsidRDefault="007F0725" w:rsidP="00C4354C">
            <w:pPr>
              <w:spacing w:line="360" w:lineRule="auto"/>
              <w:jc w:val="both"/>
              <w:rPr>
                <w:rFonts w:ascii="Book Antiqua" w:eastAsia="SimSun" w:hAnsi="Book Antiqua" w:cs="SimSun"/>
                <w:color w:val="000000"/>
                <w:lang w:eastAsia="zh-CN"/>
              </w:rPr>
            </w:pPr>
            <w:r w:rsidRPr="00C326A3">
              <w:rPr>
                <w:rFonts w:ascii="Book Antiqua" w:eastAsia="SimSun" w:hAnsi="Book Antiqua" w:cs="SimSun"/>
                <w:color w:val="000000"/>
                <w:lang w:eastAsia="zh-CN"/>
              </w:rPr>
              <w:t xml:space="preserve">　</w:t>
            </w:r>
          </w:p>
        </w:tc>
        <w:tc>
          <w:tcPr>
            <w:tcW w:w="897" w:type="dxa"/>
            <w:tcBorders>
              <w:top w:val="single" w:sz="4" w:space="0" w:color="auto"/>
            </w:tcBorders>
            <w:shd w:val="clear" w:color="auto" w:fill="auto"/>
            <w:noWrap/>
            <w:vAlign w:val="bottom"/>
            <w:hideMark/>
          </w:tcPr>
          <w:p w14:paraId="73881C1A" w14:textId="5E806012" w:rsidR="007F0725" w:rsidRPr="00367BAA"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w:t>
            </w:r>
          </w:p>
          <w:p w14:paraId="47AAF480" w14:textId="77777777" w:rsidR="007F0725" w:rsidRPr="00C326A3" w:rsidRDefault="007F0725" w:rsidP="00C4354C">
            <w:pPr>
              <w:spacing w:line="360" w:lineRule="auto"/>
              <w:jc w:val="both"/>
              <w:rPr>
                <w:rFonts w:ascii="Book Antiqua" w:eastAsia="SimSun" w:hAnsi="Book Antiqua" w:cs="SimSun"/>
                <w:color w:val="000000"/>
                <w:lang w:eastAsia="zh-CN"/>
              </w:rPr>
            </w:pPr>
            <w:r w:rsidRPr="00C326A3">
              <w:rPr>
                <w:rFonts w:ascii="Book Antiqua" w:eastAsia="SimSun" w:hAnsi="Book Antiqua" w:cs="SimSun"/>
                <w:color w:val="000000"/>
                <w:lang w:eastAsia="zh-CN"/>
              </w:rPr>
              <w:t xml:space="preserve">　</w:t>
            </w:r>
          </w:p>
        </w:tc>
        <w:tc>
          <w:tcPr>
            <w:tcW w:w="2988" w:type="dxa"/>
            <w:tcBorders>
              <w:top w:val="single" w:sz="4" w:space="0" w:color="auto"/>
            </w:tcBorders>
            <w:shd w:val="clear" w:color="auto" w:fill="auto"/>
            <w:noWrap/>
            <w:vAlign w:val="bottom"/>
            <w:hideMark/>
          </w:tcPr>
          <w:p w14:paraId="0472B170" w14:textId="77777777" w:rsidR="007F0725" w:rsidRPr="00C326A3" w:rsidRDefault="007F0725" w:rsidP="00C4354C">
            <w:pPr>
              <w:spacing w:line="360" w:lineRule="auto"/>
              <w:jc w:val="both"/>
              <w:rPr>
                <w:rFonts w:ascii="Book Antiqua" w:eastAsia="SimSun" w:hAnsi="Book Antiqua" w:cs="SimSun"/>
                <w:color w:val="000000"/>
                <w:lang w:eastAsia="zh-CN"/>
              </w:rPr>
            </w:pPr>
            <w:r w:rsidRPr="00C326A3">
              <w:rPr>
                <w:rFonts w:ascii="Book Antiqua" w:eastAsia="SimSun" w:hAnsi="Book Antiqua" w:cs="SimSun"/>
                <w:color w:val="000000"/>
                <w:lang w:eastAsia="zh-CN"/>
              </w:rPr>
              <w:t>Nivolumab and ipilimumab</w:t>
            </w:r>
            <w:r>
              <w:rPr>
                <w:rFonts w:ascii="Book Antiqua" w:eastAsia="SimSun" w:hAnsi="Book Antiqua" w:cs="SimSun"/>
                <w:color w:val="000000"/>
                <w:lang w:eastAsia="zh-CN"/>
              </w:rPr>
              <w:t xml:space="preserve"> </w:t>
            </w:r>
            <w:r w:rsidRPr="00C326A3">
              <w:rPr>
                <w:rFonts w:ascii="Book Antiqua" w:eastAsia="SimSun" w:hAnsi="Book Antiqua" w:cs="SimSun"/>
                <w:color w:val="000000"/>
                <w:lang w:eastAsia="zh-CN"/>
              </w:rPr>
              <w:t>(single-arm study)</w:t>
            </w:r>
          </w:p>
        </w:tc>
        <w:tc>
          <w:tcPr>
            <w:tcW w:w="2988" w:type="dxa"/>
            <w:tcBorders>
              <w:top w:val="single" w:sz="4" w:space="0" w:color="auto"/>
            </w:tcBorders>
            <w:shd w:val="clear" w:color="auto" w:fill="auto"/>
            <w:noWrap/>
            <w:vAlign w:val="bottom"/>
            <w:hideMark/>
          </w:tcPr>
          <w:p w14:paraId="3F0DCE7C" w14:textId="77777777" w:rsidR="007F0725" w:rsidRPr="00C326A3" w:rsidRDefault="007F0725" w:rsidP="00C4354C">
            <w:pPr>
              <w:spacing w:line="360" w:lineRule="auto"/>
              <w:jc w:val="both"/>
              <w:rPr>
                <w:rFonts w:ascii="Book Antiqua" w:eastAsia="SimSun" w:hAnsi="Book Antiqua" w:cs="SimSun"/>
                <w:color w:val="000000"/>
                <w:lang w:eastAsia="zh-CN"/>
              </w:rPr>
            </w:pPr>
            <w:r w:rsidRPr="00C326A3">
              <w:rPr>
                <w:rFonts w:ascii="Book Antiqua" w:eastAsia="SimSun" w:hAnsi="Book Antiqua" w:cs="SimSun"/>
                <w:color w:val="000000"/>
                <w:lang w:eastAsia="zh-CN"/>
              </w:rPr>
              <w:t>Not yet completed; estimated</w:t>
            </w:r>
            <w:r w:rsidRPr="00367BAA">
              <w:rPr>
                <w:rFonts w:ascii="Book Antiqua" w:eastAsia="SimSun" w:hAnsi="Book Antiqua" w:cs="SimSun"/>
                <w:color w:val="000000"/>
                <w:lang w:eastAsia="zh-CN"/>
              </w:rPr>
              <w:t xml:space="preserve"> </w:t>
            </w:r>
            <w:r w:rsidRPr="00C326A3">
              <w:rPr>
                <w:rFonts w:ascii="Book Antiqua" w:eastAsia="SimSun" w:hAnsi="Book Antiqua" w:cs="SimSun"/>
                <w:color w:val="000000"/>
                <w:lang w:eastAsia="zh-CN"/>
              </w:rPr>
              <w:t>completion date: December</w:t>
            </w:r>
            <w:r w:rsidRPr="00367BAA">
              <w:rPr>
                <w:rFonts w:ascii="Book Antiqua" w:eastAsia="SimSun" w:hAnsi="Book Antiqua" w:cs="SimSun"/>
                <w:color w:val="000000"/>
                <w:lang w:eastAsia="zh-CN"/>
              </w:rPr>
              <w:t xml:space="preserve"> </w:t>
            </w:r>
            <w:r w:rsidRPr="00C326A3">
              <w:rPr>
                <w:rFonts w:ascii="Book Antiqua" w:eastAsia="SimSun" w:hAnsi="Book Antiqua" w:cs="SimSun"/>
                <w:color w:val="000000"/>
                <w:lang w:eastAsia="zh-CN"/>
              </w:rPr>
              <w:t>2022</w:t>
            </w:r>
          </w:p>
        </w:tc>
      </w:tr>
      <w:tr w:rsidR="007F0725" w:rsidRPr="00C326A3" w14:paraId="28A334A3" w14:textId="77777777" w:rsidTr="00F82B2E">
        <w:trPr>
          <w:trHeight w:val="288"/>
        </w:trPr>
        <w:tc>
          <w:tcPr>
            <w:tcW w:w="1757" w:type="dxa"/>
            <w:shd w:val="clear" w:color="auto" w:fill="auto"/>
            <w:noWrap/>
            <w:vAlign w:val="bottom"/>
            <w:hideMark/>
          </w:tcPr>
          <w:p w14:paraId="0308DF17" w14:textId="77777777" w:rsidR="007F0725" w:rsidRPr="00C326A3" w:rsidRDefault="007F0725" w:rsidP="00C4354C">
            <w:pPr>
              <w:spacing w:line="360" w:lineRule="auto"/>
              <w:jc w:val="both"/>
              <w:rPr>
                <w:rFonts w:ascii="Book Antiqua" w:eastAsia="SimSun" w:hAnsi="Book Antiqua" w:cs="SimSun"/>
                <w:color w:val="000000"/>
                <w:lang w:eastAsia="zh-CN"/>
              </w:rPr>
            </w:pPr>
            <w:r w:rsidRPr="00C326A3">
              <w:rPr>
                <w:rFonts w:ascii="Book Antiqua" w:eastAsia="SimSun" w:hAnsi="Book Antiqua" w:cs="SimSun"/>
                <w:color w:val="000000"/>
                <w:lang w:eastAsia="zh-CN"/>
              </w:rPr>
              <w:t>NCT03682276</w:t>
            </w:r>
          </w:p>
        </w:tc>
        <w:tc>
          <w:tcPr>
            <w:tcW w:w="897" w:type="dxa"/>
            <w:shd w:val="clear" w:color="auto" w:fill="auto"/>
            <w:noWrap/>
            <w:vAlign w:val="bottom"/>
            <w:hideMark/>
          </w:tcPr>
          <w:p w14:paraId="066337D2" w14:textId="7DF26EEC" w:rsidR="007F0725" w:rsidRPr="00C326A3"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I/II</w:t>
            </w:r>
          </w:p>
        </w:tc>
        <w:tc>
          <w:tcPr>
            <w:tcW w:w="2988" w:type="dxa"/>
            <w:shd w:val="clear" w:color="auto" w:fill="auto"/>
            <w:noWrap/>
            <w:vAlign w:val="bottom"/>
            <w:hideMark/>
          </w:tcPr>
          <w:p w14:paraId="27612B31" w14:textId="77777777" w:rsidR="007F0725" w:rsidRPr="00C326A3" w:rsidRDefault="007F0725" w:rsidP="00C4354C">
            <w:pPr>
              <w:spacing w:line="360" w:lineRule="auto"/>
              <w:jc w:val="both"/>
              <w:rPr>
                <w:rFonts w:ascii="Book Antiqua" w:eastAsia="SimSun" w:hAnsi="Book Antiqua" w:cs="SimSun"/>
                <w:color w:val="000000"/>
                <w:lang w:eastAsia="zh-CN"/>
              </w:rPr>
            </w:pPr>
            <w:r w:rsidRPr="00C326A3">
              <w:rPr>
                <w:rFonts w:ascii="Book Antiqua" w:eastAsia="SimSun" w:hAnsi="Book Antiqua" w:cs="SimSun"/>
                <w:color w:val="000000"/>
                <w:lang w:eastAsia="zh-CN"/>
              </w:rPr>
              <w:t>Nivolumab and ipilimumab</w:t>
            </w:r>
            <w:r w:rsidRPr="00367BAA">
              <w:rPr>
                <w:rFonts w:ascii="Book Antiqua" w:eastAsia="SimSun" w:hAnsi="Book Antiqua" w:cs="SimSun"/>
                <w:color w:val="000000"/>
                <w:lang w:eastAsia="zh-CN"/>
              </w:rPr>
              <w:t xml:space="preserve"> </w:t>
            </w:r>
            <w:r w:rsidRPr="00C326A3">
              <w:rPr>
                <w:rFonts w:ascii="Book Antiqua" w:eastAsia="SimSun" w:hAnsi="Book Antiqua" w:cs="SimSun"/>
                <w:color w:val="000000"/>
                <w:lang w:eastAsia="zh-CN"/>
              </w:rPr>
              <w:t>(single-arm study)</w:t>
            </w:r>
          </w:p>
        </w:tc>
        <w:tc>
          <w:tcPr>
            <w:tcW w:w="2988" w:type="dxa"/>
            <w:shd w:val="clear" w:color="auto" w:fill="auto"/>
            <w:noWrap/>
            <w:vAlign w:val="bottom"/>
            <w:hideMark/>
          </w:tcPr>
          <w:p w14:paraId="55C2AE3D" w14:textId="77777777" w:rsidR="007F0725" w:rsidRPr="00C326A3" w:rsidRDefault="007F0725" w:rsidP="00C4354C">
            <w:pPr>
              <w:spacing w:line="360" w:lineRule="auto"/>
              <w:jc w:val="both"/>
              <w:rPr>
                <w:rFonts w:ascii="Book Antiqua" w:eastAsia="SimSun" w:hAnsi="Book Antiqua" w:cs="SimSun"/>
                <w:color w:val="000000"/>
                <w:lang w:eastAsia="zh-CN"/>
              </w:rPr>
            </w:pPr>
            <w:r w:rsidRPr="00C326A3">
              <w:rPr>
                <w:rFonts w:ascii="Book Antiqua" w:eastAsia="SimSun" w:hAnsi="Book Antiqua" w:cs="SimSun"/>
                <w:color w:val="000000"/>
                <w:lang w:eastAsia="zh-CN"/>
              </w:rPr>
              <w:t>Not yet completed; estimated</w:t>
            </w:r>
            <w:r w:rsidRPr="00367BAA">
              <w:rPr>
                <w:rFonts w:ascii="Book Antiqua" w:eastAsia="SimSun" w:hAnsi="Book Antiqua" w:cs="SimSun"/>
                <w:color w:val="000000"/>
                <w:lang w:eastAsia="zh-CN"/>
              </w:rPr>
              <w:t xml:space="preserve"> </w:t>
            </w:r>
            <w:r w:rsidRPr="00C326A3">
              <w:rPr>
                <w:rFonts w:ascii="Book Antiqua" w:eastAsia="SimSun" w:hAnsi="Book Antiqua" w:cs="SimSun"/>
                <w:color w:val="000000"/>
                <w:lang w:eastAsia="zh-CN"/>
              </w:rPr>
              <w:t>completion date: September</w:t>
            </w:r>
            <w:r w:rsidRPr="00367BAA">
              <w:rPr>
                <w:rFonts w:ascii="Book Antiqua" w:eastAsia="SimSun" w:hAnsi="Book Antiqua" w:cs="SimSun"/>
                <w:color w:val="000000"/>
                <w:lang w:eastAsia="zh-CN"/>
              </w:rPr>
              <w:t xml:space="preserve"> </w:t>
            </w:r>
            <w:r w:rsidRPr="00C326A3">
              <w:rPr>
                <w:rFonts w:ascii="Book Antiqua" w:eastAsia="SimSun" w:hAnsi="Book Antiqua" w:cs="SimSun"/>
                <w:color w:val="000000"/>
                <w:lang w:eastAsia="zh-CN"/>
              </w:rPr>
              <w:t>2022</w:t>
            </w:r>
          </w:p>
        </w:tc>
      </w:tr>
      <w:tr w:rsidR="007F0725" w:rsidRPr="00C326A3" w14:paraId="12B7E607" w14:textId="77777777" w:rsidTr="00F82B2E">
        <w:trPr>
          <w:trHeight w:val="288"/>
        </w:trPr>
        <w:tc>
          <w:tcPr>
            <w:tcW w:w="1757" w:type="dxa"/>
            <w:shd w:val="clear" w:color="auto" w:fill="auto"/>
            <w:noWrap/>
            <w:vAlign w:val="bottom"/>
            <w:hideMark/>
          </w:tcPr>
          <w:p w14:paraId="1827248A" w14:textId="77777777" w:rsidR="007F0725" w:rsidRPr="00C326A3" w:rsidRDefault="007F0725" w:rsidP="00C4354C">
            <w:pPr>
              <w:spacing w:line="360" w:lineRule="auto"/>
              <w:jc w:val="both"/>
              <w:rPr>
                <w:rFonts w:ascii="Book Antiqua" w:eastAsia="SimSun" w:hAnsi="Book Antiqua" w:cs="SimSun"/>
                <w:color w:val="000000"/>
                <w:lang w:eastAsia="zh-CN"/>
              </w:rPr>
            </w:pPr>
            <w:r w:rsidRPr="00C326A3">
              <w:rPr>
                <w:rFonts w:ascii="Book Antiqua" w:eastAsia="SimSun" w:hAnsi="Book Antiqua" w:cs="SimSun"/>
                <w:color w:val="000000"/>
                <w:lang w:eastAsia="zh-CN"/>
              </w:rPr>
              <w:t>NCT03299946</w:t>
            </w:r>
          </w:p>
        </w:tc>
        <w:tc>
          <w:tcPr>
            <w:tcW w:w="897" w:type="dxa"/>
            <w:shd w:val="clear" w:color="auto" w:fill="auto"/>
            <w:noWrap/>
            <w:vAlign w:val="bottom"/>
            <w:hideMark/>
          </w:tcPr>
          <w:p w14:paraId="30B17503" w14:textId="58965283" w:rsidR="007F0725" w:rsidRPr="00C326A3"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w:t>
            </w:r>
          </w:p>
        </w:tc>
        <w:tc>
          <w:tcPr>
            <w:tcW w:w="2988" w:type="dxa"/>
            <w:shd w:val="clear" w:color="auto" w:fill="auto"/>
            <w:noWrap/>
            <w:vAlign w:val="bottom"/>
            <w:hideMark/>
          </w:tcPr>
          <w:p w14:paraId="22E2B461" w14:textId="77777777" w:rsidR="007F0725" w:rsidRPr="00C326A3" w:rsidRDefault="007F0725" w:rsidP="00C4354C">
            <w:pPr>
              <w:spacing w:line="360" w:lineRule="auto"/>
              <w:jc w:val="both"/>
              <w:rPr>
                <w:rFonts w:ascii="Book Antiqua" w:eastAsia="SimSun" w:hAnsi="Book Antiqua" w:cs="SimSun"/>
                <w:color w:val="000000"/>
                <w:lang w:eastAsia="zh-CN"/>
              </w:rPr>
            </w:pPr>
            <w:r w:rsidRPr="00C326A3">
              <w:rPr>
                <w:rFonts w:ascii="Book Antiqua" w:eastAsia="SimSun" w:hAnsi="Book Antiqua" w:cs="SimSun"/>
                <w:color w:val="000000"/>
                <w:lang w:eastAsia="zh-CN"/>
              </w:rPr>
              <w:t>Nivolumab and cabozantinib</w:t>
            </w:r>
            <w:r w:rsidRPr="00367BAA">
              <w:rPr>
                <w:rFonts w:ascii="Book Antiqua" w:eastAsia="SimSun" w:hAnsi="Book Antiqua" w:cs="SimSun"/>
                <w:color w:val="000000"/>
                <w:lang w:eastAsia="zh-CN"/>
              </w:rPr>
              <w:t xml:space="preserve"> </w:t>
            </w:r>
            <w:r w:rsidRPr="00C326A3">
              <w:rPr>
                <w:rFonts w:ascii="Book Antiqua" w:eastAsia="SimSun" w:hAnsi="Book Antiqua" w:cs="SimSun"/>
                <w:color w:val="000000"/>
                <w:lang w:eastAsia="zh-CN"/>
              </w:rPr>
              <w:t>(single-arm study)</w:t>
            </w:r>
          </w:p>
        </w:tc>
        <w:tc>
          <w:tcPr>
            <w:tcW w:w="2988" w:type="dxa"/>
            <w:shd w:val="clear" w:color="auto" w:fill="auto"/>
            <w:noWrap/>
            <w:vAlign w:val="bottom"/>
            <w:hideMark/>
          </w:tcPr>
          <w:p w14:paraId="6E2EC13B" w14:textId="77777777" w:rsidR="007F0725" w:rsidRPr="00C326A3" w:rsidRDefault="007F0725" w:rsidP="00C4354C">
            <w:pPr>
              <w:spacing w:line="360" w:lineRule="auto"/>
              <w:jc w:val="both"/>
              <w:rPr>
                <w:rFonts w:ascii="Book Antiqua" w:eastAsia="SimSun" w:hAnsi="Book Antiqua" w:cs="SimSun"/>
                <w:color w:val="000000"/>
                <w:lang w:eastAsia="zh-CN"/>
              </w:rPr>
            </w:pPr>
            <w:r w:rsidRPr="00C326A3">
              <w:rPr>
                <w:rFonts w:ascii="Book Antiqua" w:eastAsia="SimSun" w:hAnsi="Book Antiqua" w:cs="SimSun"/>
                <w:color w:val="000000"/>
                <w:lang w:eastAsia="zh-CN"/>
              </w:rPr>
              <w:t>Completed</w:t>
            </w:r>
          </w:p>
        </w:tc>
      </w:tr>
      <w:tr w:rsidR="007F0725" w:rsidRPr="00C326A3" w14:paraId="4D362D27" w14:textId="77777777" w:rsidTr="00F82B2E">
        <w:trPr>
          <w:trHeight w:val="288"/>
        </w:trPr>
        <w:tc>
          <w:tcPr>
            <w:tcW w:w="1757" w:type="dxa"/>
            <w:shd w:val="clear" w:color="auto" w:fill="auto"/>
            <w:noWrap/>
            <w:vAlign w:val="bottom"/>
            <w:hideMark/>
          </w:tcPr>
          <w:p w14:paraId="34005C1B" w14:textId="77777777" w:rsidR="007F0725" w:rsidRPr="00C326A3" w:rsidRDefault="007F0725" w:rsidP="00C4354C">
            <w:pPr>
              <w:spacing w:line="360" w:lineRule="auto"/>
              <w:jc w:val="both"/>
              <w:rPr>
                <w:rFonts w:ascii="Book Antiqua" w:eastAsia="SimSun" w:hAnsi="Book Antiqua" w:cs="SimSun"/>
                <w:color w:val="000000"/>
                <w:lang w:eastAsia="zh-CN"/>
              </w:rPr>
            </w:pPr>
            <w:r w:rsidRPr="00C326A3">
              <w:rPr>
                <w:rFonts w:ascii="Book Antiqua" w:eastAsia="SimSun" w:hAnsi="Book Antiqua" w:cs="SimSun"/>
                <w:color w:val="000000"/>
                <w:lang w:eastAsia="zh-CN"/>
              </w:rPr>
              <w:t>NCT04615143</w:t>
            </w:r>
          </w:p>
        </w:tc>
        <w:tc>
          <w:tcPr>
            <w:tcW w:w="897" w:type="dxa"/>
            <w:shd w:val="clear" w:color="auto" w:fill="auto"/>
            <w:noWrap/>
            <w:vAlign w:val="bottom"/>
            <w:hideMark/>
          </w:tcPr>
          <w:p w14:paraId="0CDA4F2E" w14:textId="19E85252" w:rsidR="007F0725" w:rsidRPr="00C326A3"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w:t>
            </w:r>
          </w:p>
        </w:tc>
        <w:tc>
          <w:tcPr>
            <w:tcW w:w="2988" w:type="dxa"/>
            <w:shd w:val="clear" w:color="auto" w:fill="auto"/>
            <w:noWrap/>
            <w:vAlign w:val="bottom"/>
            <w:hideMark/>
          </w:tcPr>
          <w:p w14:paraId="2E1C433F" w14:textId="77777777" w:rsidR="007F0725" w:rsidRPr="00C326A3" w:rsidRDefault="007F0725" w:rsidP="00C4354C">
            <w:pPr>
              <w:spacing w:line="360" w:lineRule="auto"/>
              <w:jc w:val="both"/>
              <w:rPr>
                <w:rFonts w:ascii="Book Antiqua" w:eastAsia="SimSun" w:hAnsi="Book Antiqua" w:cs="SimSun"/>
                <w:color w:val="000000"/>
                <w:lang w:eastAsia="zh-CN"/>
              </w:rPr>
            </w:pPr>
            <w:r w:rsidRPr="00C326A3">
              <w:rPr>
                <w:rFonts w:ascii="Book Antiqua" w:eastAsia="SimSun" w:hAnsi="Book Antiqua" w:cs="SimSun"/>
                <w:color w:val="000000"/>
                <w:lang w:eastAsia="zh-CN"/>
              </w:rPr>
              <w:t>Tislelizumab or tislelizumab and Lenvatinib</w:t>
            </w:r>
            <w:r w:rsidRPr="00367BAA">
              <w:rPr>
                <w:rFonts w:ascii="Book Antiqua" w:eastAsia="SimSun" w:hAnsi="Book Antiqua" w:cs="SimSun"/>
                <w:color w:val="000000"/>
                <w:lang w:eastAsia="zh-CN"/>
              </w:rPr>
              <w:t xml:space="preserve"> </w:t>
            </w:r>
            <w:r w:rsidRPr="00C326A3">
              <w:rPr>
                <w:rFonts w:ascii="Book Antiqua" w:eastAsia="SimSun" w:hAnsi="Book Antiqua" w:cs="SimSun"/>
                <w:color w:val="000000"/>
                <w:lang w:eastAsia="zh-CN"/>
              </w:rPr>
              <w:t>(sequential assignment)</w:t>
            </w:r>
          </w:p>
        </w:tc>
        <w:tc>
          <w:tcPr>
            <w:tcW w:w="2988" w:type="dxa"/>
            <w:shd w:val="clear" w:color="auto" w:fill="auto"/>
            <w:noWrap/>
            <w:vAlign w:val="bottom"/>
            <w:hideMark/>
          </w:tcPr>
          <w:p w14:paraId="0D4C8FD2" w14:textId="77777777" w:rsidR="007F0725" w:rsidRPr="00C326A3" w:rsidRDefault="007F0725" w:rsidP="00C4354C">
            <w:pPr>
              <w:spacing w:line="360" w:lineRule="auto"/>
              <w:jc w:val="both"/>
              <w:rPr>
                <w:rFonts w:ascii="Book Antiqua" w:eastAsia="SimSun" w:hAnsi="Book Antiqua" w:cs="SimSun"/>
                <w:color w:val="000000"/>
                <w:lang w:eastAsia="zh-CN"/>
              </w:rPr>
            </w:pPr>
            <w:r w:rsidRPr="00C326A3">
              <w:rPr>
                <w:rFonts w:ascii="Book Antiqua" w:eastAsia="SimSun" w:hAnsi="Book Antiqua" w:cs="SimSun"/>
                <w:color w:val="000000"/>
                <w:lang w:eastAsia="zh-CN"/>
              </w:rPr>
              <w:t>Not yet completed; estimated</w:t>
            </w:r>
            <w:r w:rsidRPr="00367BAA">
              <w:rPr>
                <w:rFonts w:ascii="Book Antiqua" w:eastAsia="SimSun" w:hAnsi="Book Antiqua" w:cs="SimSun"/>
                <w:color w:val="000000"/>
                <w:lang w:eastAsia="zh-CN"/>
              </w:rPr>
              <w:t xml:space="preserve"> </w:t>
            </w:r>
            <w:r w:rsidRPr="00C326A3">
              <w:rPr>
                <w:rFonts w:ascii="Book Antiqua" w:eastAsia="SimSun" w:hAnsi="Book Antiqua" w:cs="SimSun"/>
                <w:color w:val="000000"/>
                <w:lang w:eastAsia="zh-CN"/>
              </w:rPr>
              <w:t>completion date: December</w:t>
            </w:r>
            <w:r w:rsidRPr="00367BAA">
              <w:rPr>
                <w:rFonts w:ascii="Book Antiqua" w:eastAsia="SimSun" w:hAnsi="Book Antiqua" w:cs="SimSun"/>
                <w:color w:val="000000"/>
                <w:lang w:eastAsia="zh-CN"/>
              </w:rPr>
              <w:t xml:space="preserve"> </w:t>
            </w:r>
            <w:r w:rsidRPr="00C326A3">
              <w:rPr>
                <w:rFonts w:ascii="Book Antiqua" w:eastAsia="SimSun" w:hAnsi="Book Antiqua" w:cs="SimSun"/>
                <w:color w:val="000000"/>
                <w:lang w:eastAsia="zh-CN"/>
              </w:rPr>
              <w:t>2025</w:t>
            </w:r>
          </w:p>
        </w:tc>
      </w:tr>
      <w:tr w:rsidR="007F0725" w:rsidRPr="00C326A3" w14:paraId="10F88E7F" w14:textId="77777777" w:rsidTr="00F82B2E">
        <w:trPr>
          <w:trHeight w:val="288"/>
        </w:trPr>
        <w:tc>
          <w:tcPr>
            <w:tcW w:w="1757" w:type="dxa"/>
            <w:shd w:val="clear" w:color="auto" w:fill="auto"/>
            <w:noWrap/>
            <w:vAlign w:val="bottom"/>
            <w:hideMark/>
          </w:tcPr>
          <w:p w14:paraId="326EFE0C" w14:textId="77777777" w:rsidR="007F0725" w:rsidRPr="00C326A3" w:rsidRDefault="007F0725" w:rsidP="00C4354C">
            <w:pPr>
              <w:spacing w:line="360" w:lineRule="auto"/>
              <w:jc w:val="both"/>
              <w:rPr>
                <w:rFonts w:ascii="Book Antiqua" w:eastAsia="SimSun" w:hAnsi="Book Antiqua" w:cs="SimSun"/>
                <w:color w:val="000000"/>
                <w:lang w:eastAsia="zh-CN"/>
              </w:rPr>
            </w:pPr>
            <w:r w:rsidRPr="00C326A3">
              <w:rPr>
                <w:rFonts w:ascii="Book Antiqua" w:eastAsia="SimSun" w:hAnsi="Book Antiqua" w:cs="SimSun"/>
                <w:color w:val="000000"/>
                <w:lang w:eastAsia="zh-CN"/>
              </w:rPr>
              <w:t>NCT03916627</w:t>
            </w:r>
          </w:p>
        </w:tc>
        <w:tc>
          <w:tcPr>
            <w:tcW w:w="897" w:type="dxa"/>
            <w:shd w:val="clear" w:color="auto" w:fill="auto"/>
            <w:noWrap/>
            <w:vAlign w:val="bottom"/>
            <w:hideMark/>
          </w:tcPr>
          <w:p w14:paraId="6714D3C5" w14:textId="00AAC865" w:rsidR="007F0725" w:rsidRPr="00C326A3"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w:t>
            </w:r>
          </w:p>
        </w:tc>
        <w:tc>
          <w:tcPr>
            <w:tcW w:w="2988" w:type="dxa"/>
            <w:shd w:val="clear" w:color="auto" w:fill="auto"/>
            <w:noWrap/>
            <w:vAlign w:val="bottom"/>
            <w:hideMark/>
          </w:tcPr>
          <w:p w14:paraId="250D1C5D" w14:textId="77777777" w:rsidR="007F0725" w:rsidRPr="00C326A3" w:rsidRDefault="007F0725" w:rsidP="00C4354C">
            <w:pPr>
              <w:spacing w:line="360" w:lineRule="auto"/>
              <w:jc w:val="both"/>
              <w:rPr>
                <w:rFonts w:ascii="Book Antiqua" w:eastAsia="SimSun" w:hAnsi="Book Antiqua" w:cs="SimSun"/>
                <w:color w:val="000000"/>
                <w:lang w:eastAsia="zh-CN"/>
              </w:rPr>
            </w:pPr>
            <w:r w:rsidRPr="00C326A3">
              <w:rPr>
                <w:rFonts w:ascii="Book Antiqua" w:eastAsia="SimSun" w:hAnsi="Book Antiqua" w:cs="SimSun"/>
                <w:color w:val="000000"/>
                <w:lang w:eastAsia="zh-CN"/>
              </w:rPr>
              <w:t>Cemiplimab</w:t>
            </w:r>
            <w:r w:rsidRPr="00367BAA">
              <w:rPr>
                <w:rFonts w:ascii="Book Antiqua" w:eastAsia="SimSun" w:hAnsi="Book Antiqua" w:cs="SimSun"/>
                <w:color w:val="000000"/>
                <w:lang w:eastAsia="zh-CN"/>
              </w:rPr>
              <w:t xml:space="preserve"> </w:t>
            </w:r>
            <w:r w:rsidRPr="00C326A3">
              <w:rPr>
                <w:rFonts w:ascii="Book Antiqua" w:eastAsia="SimSun" w:hAnsi="Book Antiqua" w:cs="SimSun"/>
                <w:color w:val="000000"/>
                <w:lang w:eastAsia="zh-CN"/>
              </w:rPr>
              <w:t>(parallel assignment)</w:t>
            </w:r>
          </w:p>
        </w:tc>
        <w:tc>
          <w:tcPr>
            <w:tcW w:w="2988" w:type="dxa"/>
            <w:shd w:val="clear" w:color="auto" w:fill="auto"/>
            <w:noWrap/>
            <w:vAlign w:val="bottom"/>
            <w:hideMark/>
          </w:tcPr>
          <w:p w14:paraId="0305CF91" w14:textId="77777777" w:rsidR="007F0725" w:rsidRPr="00C326A3" w:rsidRDefault="007F0725" w:rsidP="00C4354C">
            <w:pPr>
              <w:spacing w:line="360" w:lineRule="auto"/>
              <w:jc w:val="both"/>
              <w:rPr>
                <w:rFonts w:ascii="Book Antiqua" w:eastAsia="SimSun" w:hAnsi="Book Antiqua" w:cs="SimSun"/>
                <w:color w:val="000000"/>
                <w:lang w:eastAsia="zh-CN"/>
              </w:rPr>
            </w:pPr>
            <w:r w:rsidRPr="00C326A3">
              <w:rPr>
                <w:rFonts w:ascii="Book Antiqua" w:eastAsia="SimSun" w:hAnsi="Book Antiqua" w:cs="SimSun"/>
                <w:color w:val="000000"/>
                <w:lang w:eastAsia="zh-CN"/>
              </w:rPr>
              <w:t>Not yet completed; estimated</w:t>
            </w:r>
            <w:r w:rsidRPr="00367BAA">
              <w:rPr>
                <w:rFonts w:ascii="Book Antiqua" w:eastAsia="SimSun" w:hAnsi="Book Antiqua" w:cs="SimSun"/>
                <w:color w:val="000000"/>
                <w:lang w:eastAsia="zh-CN"/>
              </w:rPr>
              <w:t xml:space="preserve"> </w:t>
            </w:r>
            <w:r w:rsidRPr="00C326A3">
              <w:rPr>
                <w:rFonts w:ascii="Book Antiqua" w:eastAsia="SimSun" w:hAnsi="Book Antiqua" w:cs="SimSun"/>
                <w:color w:val="000000"/>
                <w:lang w:eastAsia="zh-CN"/>
              </w:rPr>
              <w:t>completion date: September</w:t>
            </w:r>
            <w:r w:rsidRPr="00367BAA">
              <w:rPr>
                <w:rFonts w:ascii="Book Antiqua" w:eastAsia="SimSun" w:hAnsi="Book Antiqua" w:cs="SimSun"/>
                <w:color w:val="000000"/>
                <w:lang w:eastAsia="zh-CN"/>
              </w:rPr>
              <w:t xml:space="preserve"> </w:t>
            </w:r>
            <w:r w:rsidRPr="00C326A3">
              <w:rPr>
                <w:rFonts w:ascii="Book Antiqua" w:eastAsia="SimSun" w:hAnsi="Book Antiqua" w:cs="SimSun"/>
                <w:color w:val="000000"/>
                <w:lang w:eastAsia="zh-CN"/>
              </w:rPr>
              <w:t>2029</w:t>
            </w:r>
          </w:p>
        </w:tc>
      </w:tr>
      <w:tr w:rsidR="007F0725" w:rsidRPr="00C326A3" w14:paraId="2276A466" w14:textId="77777777" w:rsidTr="00F82B2E">
        <w:trPr>
          <w:trHeight w:val="288"/>
        </w:trPr>
        <w:tc>
          <w:tcPr>
            <w:tcW w:w="1757" w:type="dxa"/>
            <w:shd w:val="clear" w:color="auto" w:fill="auto"/>
            <w:noWrap/>
            <w:vAlign w:val="bottom"/>
            <w:hideMark/>
          </w:tcPr>
          <w:p w14:paraId="2A7F670C" w14:textId="77777777" w:rsidR="007F0725" w:rsidRPr="00C326A3" w:rsidRDefault="007F0725" w:rsidP="00C4354C">
            <w:pPr>
              <w:spacing w:line="360" w:lineRule="auto"/>
              <w:jc w:val="both"/>
              <w:rPr>
                <w:rFonts w:ascii="Book Antiqua" w:eastAsia="SimSun" w:hAnsi="Book Antiqua" w:cs="SimSun"/>
                <w:color w:val="000000"/>
                <w:lang w:eastAsia="zh-CN"/>
              </w:rPr>
            </w:pPr>
            <w:r w:rsidRPr="00C326A3">
              <w:rPr>
                <w:rFonts w:ascii="Book Antiqua" w:eastAsia="SimSun" w:hAnsi="Book Antiqua" w:cs="SimSun"/>
                <w:color w:val="000000"/>
                <w:lang w:eastAsia="zh-CN"/>
              </w:rPr>
              <w:t>NCT03867370</w:t>
            </w:r>
          </w:p>
        </w:tc>
        <w:tc>
          <w:tcPr>
            <w:tcW w:w="897" w:type="dxa"/>
            <w:shd w:val="clear" w:color="auto" w:fill="auto"/>
            <w:noWrap/>
            <w:vAlign w:val="bottom"/>
            <w:hideMark/>
          </w:tcPr>
          <w:p w14:paraId="74A0F7B8" w14:textId="32D66B70" w:rsidR="007F0725" w:rsidRPr="00C326A3"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I/II</w:t>
            </w:r>
          </w:p>
        </w:tc>
        <w:tc>
          <w:tcPr>
            <w:tcW w:w="2988" w:type="dxa"/>
            <w:shd w:val="clear" w:color="auto" w:fill="auto"/>
            <w:noWrap/>
            <w:vAlign w:val="bottom"/>
            <w:hideMark/>
          </w:tcPr>
          <w:p w14:paraId="5E4C4F2B" w14:textId="77777777" w:rsidR="007F0725" w:rsidRPr="00C326A3" w:rsidRDefault="007F0725" w:rsidP="00C4354C">
            <w:pPr>
              <w:spacing w:line="360" w:lineRule="auto"/>
              <w:jc w:val="both"/>
              <w:rPr>
                <w:rFonts w:ascii="Book Antiqua" w:eastAsia="SimSun" w:hAnsi="Book Antiqua" w:cs="SimSun"/>
                <w:color w:val="000000"/>
                <w:lang w:eastAsia="zh-CN"/>
              </w:rPr>
            </w:pPr>
            <w:r w:rsidRPr="00C326A3">
              <w:rPr>
                <w:rFonts w:ascii="Book Antiqua" w:eastAsia="SimSun" w:hAnsi="Book Antiqua" w:cs="SimSun"/>
                <w:color w:val="000000"/>
                <w:lang w:eastAsia="zh-CN"/>
              </w:rPr>
              <w:t>Toripalimab or toripalimab</w:t>
            </w:r>
            <w:r w:rsidRPr="00367BAA">
              <w:rPr>
                <w:rFonts w:ascii="Book Antiqua" w:eastAsia="SimSun" w:hAnsi="Book Antiqua" w:cs="SimSun"/>
                <w:color w:val="000000"/>
                <w:lang w:eastAsia="zh-CN"/>
              </w:rPr>
              <w:t xml:space="preserve"> </w:t>
            </w:r>
            <w:r w:rsidRPr="00C326A3">
              <w:rPr>
                <w:rFonts w:ascii="Book Antiqua" w:eastAsia="SimSun" w:hAnsi="Book Antiqua" w:cs="SimSun"/>
                <w:color w:val="000000"/>
                <w:lang w:eastAsia="zh-CN"/>
              </w:rPr>
              <w:t xml:space="preserve">and </w:t>
            </w:r>
            <w:r w:rsidRPr="00367BAA">
              <w:rPr>
                <w:rFonts w:ascii="Book Antiqua" w:eastAsia="SimSun" w:hAnsi="Book Antiqua" w:cs="SimSun"/>
                <w:color w:val="000000"/>
                <w:lang w:eastAsia="zh-CN"/>
              </w:rPr>
              <w:t xml:space="preserve">Lenvatinib </w:t>
            </w:r>
            <w:r w:rsidRPr="00C326A3">
              <w:rPr>
                <w:rFonts w:ascii="Book Antiqua" w:eastAsia="SimSun" w:hAnsi="Book Antiqua" w:cs="SimSun"/>
                <w:color w:val="000000"/>
                <w:lang w:eastAsia="zh-CN"/>
              </w:rPr>
              <w:t>(sequential assignment)</w:t>
            </w:r>
          </w:p>
        </w:tc>
        <w:tc>
          <w:tcPr>
            <w:tcW w:w="2988" w:type="dxa"/>
            <w:shd w:val="clear" w:color="auto" w:fill="auto"/>
            <w:noWrap/>
            <w:vAlign w:val="bottom"/>
            <w:hideMark/>
          </w:tcPr>
          <w:p w14:paraId="3086123E" w14:textId="77777777" w:rsidR="007F0725" w:rsidRPr="00C326A3" w:rsidRDefault="007F0725" w:rsidP="00C4354C">
            <w:pPr>
              <w:spacing w:line="360" w:lineRule="auto"/>
              <w:jc w:val="both"/>
              <w:rPr>
                <w:rFonts w:ascii="Book Antiqua" w:eastAsia="SimSun" w:hAnsi="Book Antiqua" w:cs="SimSun"/>
                <w:color w:val="000000"/>
                <w:lang w:eastAsia="zh-CN"/>
              </w:rPr>
            </w:pPr>
            <w:r w:rsidRPr="00C326A3">
              <w:rPr>
                <w:rFonts w:ascii="Book Antiqua" w:eastAsia="SimSun" w:hAnsi="Book Antiqua" w:cs="SimSun"/>
                <w:color w:val="000000"/>
                <w:lang w:eastAsia="zh-CN"/>
              </w:rPr>
              <w:t>Not yet completed; estimated</w:t>
            </w:r>
            <w:r w:rsidRPr="00367BAA">
              <w:rPr>
                <w:rFonts w:ascii="Book Antiqua" w:eastAsia="SimSun" w:hAnsi="Book Antiqua" w:cs="SimSun"/>
                <w:color w:val="000000"/>
                <w:lang w:eastAsia="zh-CN"/>
              </w:rPr>
              <w:t xml:space="preserve"> </w:t>
            </w:r>
            <w:r w:rsidRPr="00C326A3">
              <w:rPr>
                <w:rFonts w:ascii="Book Antiqua" w:eastAsia="SimSun" w:hAnsi="Book Antiqua" w:cs="SimSun"/>
                <w:color w:val="000000"/>
                <w:lang w:eastAsia="zh-CN"/>
              </w:rPr>
              <w:t>completion date: October 2022</w:t>
            </w:r>
          </w:p>
        </w:tc>
      </w:tr>
      <w:tr w:rsidR="007F0725" w:rsidRPr="00C326A3" w14:paraId="705CEA8B" w14:textId="77777777" w:rsidTr="00F82B2E">
        <w:trPr>
          <w:trHeight w:val="288"/>
        </w:trPr>
        <w:tc>
          <w:tcPr>
            <w:tcW w:w="1757" w:type="dxa"/>
            <w:shd w:val="clear" w:color="auto" w:fill="auto"/>
            <w:noWrap/>
            <w:vAlign w:val="bottom"/>
            <w:hideMark/>
          </w:tcPr>
          <w:p w14:paraId="3C8DA8A8" w14:textId="77777777" w:rsidR="007F0725" w:rsidRPr="00C326A3" w:rsidRDefault="007F0725" w:rsidP="00C4354C">
            <w:pPr>
              <w:spacing w:line="360" w:lineRule="auto"/>
              <w:jc w:val="both"/>
              <w:rPr>
                <w:rFonts w:ascii="Book Antiqua" w:eastAsia="SimSun" w:hAnsi="Book Antiqua" w:cs="SimSun"/>
                <w:color w:val="000000"/>
                <w:lang w:eastAsia="zh-CN"/>
              </w:rPr>
            </w:pPr>
            <w:r w:rsidRPr="00C326A3">
              <w:rPr>
                <w:rFonts w:ascii="Book Antiqua" w:eastAsia="SimSun" w:hAnsi="Book Antiqua" w:cs="SimSun"/>
                <w:color w:val="000000"/>
                <w:lang w:eastAsia="zh-CN"/>
              </w:rPr>
              <w:t>NCT03630640</w:t>
            </w:r>
          </w:p>
        </w:tc>
        <w:tc>
          <w:tcPr>
            <w:tcW w:w="897" w:type="dxa"/>
            <w:shd w:val="clear" w:color="auto" w:fill="auto"/>
            <w:noWrap/>
            <w:vAlign w:val="bottom"/>
            <w:hideMark/>
          </w:tcPr>
          <w:p w14:paraId="218C1970" w14:textId="66E469A0" w:rsidR="007F0725" w:rsidRPr="00C326A3"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w:t>
            </w:r>
          </w:p>
        </w:tc>
        <w:tc>
          <w:tcPr>
            <w:tcW w:w="2988" w:type="dxa"/>
            <w:shd w:val="clear" w:color="auto" w:fill="auto"/>
            <w:noWrap/>
            <w:vAlign w:val="bottom"/>
            <w:hideMark/>
          </w:tcPr>
          <w:p w14:paraId="16B8A074" w14:textId="77777777" w:rsidR="007F0725" w:rsidRPr="00C326A3" w:rsidRDefault="007F0725" w:rsidP="00C4354C">
            <w:pPr>
              <w:spacing w:line="360" w:lineRule="auto"/>
              <w:jc w:val="both"/>
              <w:rPr>
                <w:rFonts w:ascii="Book Antiqua" w:eastAsia="SimSun" w:hAnsi="Book Antiqua" w:cs="SimSun"/>
                <w:color w:val="000000"/>
                <w:lang w:eastAsia="zh-CN"/>
              </w:rPr>
            </w:pPr>
            <w:r w:rsidRPr="00C326A3">
              <w:rPr>
                <w:rFonts w:ascii="Book Antiqua" w:eastAsia="SimSun" w:hAnsi="Book Antiqua" w:cs="SimSun"/>
                <w:color w:val="000000"/>
                <w:lang w:eastAsia="zh-CN"/>
              </w:rPr>
              <w:t>Nivolumab</w:t>
            </w:r>
            <w:r w:rsidRPr="00367BAA">
              <w:rPr>
                <w:rFonts w:ascii="Book Antiqua" w:eastAsia="SimSun" w:hAnsi="Book Antiqua" w:cs="SimSun"/>
                <w:color w:val="000000"/>
                <w:lang w:eastAsia="zh-CN"/>
              </w:rPr>
              <w:t xml:space="preserve"> </w:t>
            </w:r>
            <w:r w:rsidRPr="00C326A3">
              <w:rPr>
                <w:rFonts w:ascii="Book Antiqua" w:eastAsia="SimSun" w:hAnsi="Book Antiqua" w:cs="SimSun"/>
                <w:color w:val="000000"/>
                <w:lang w:eastAsia="zh-CN"/>
              </w:rPr>
              <w:t>(single-arm study)</w:t>
            </w:r>
          </w:p>
        </w:tc>
        <w:tc>
          <w:tcPr>
            <w:tcW w:w="2988" w:type="dxa"/>
            <w:shd w:val="clear" w:color="auto" w:fill="auto"/>
            <w:noWrap/>
            <w:vAlign w:val="bottom"/>
            <w:hideMark/>
          </w:tcPr>
          <w:p w14:paraId="43F02F8C" w14:textId="77777777" w:rsidR="007F0725" w:rsidRPr="00C326A3" w:rsidRDefault="007F0725" w:rsidP="00C4354C">
            <w:pPr>
              <w:spacing w:line="360" w:lineRule="auto"/>
              <w:jc w:val="both"/>
              <w:rPr>
                <w:rFonts w:ascii="Book Antiqua" w:eastAsia="SimSun" w:hAnsi="Book Antiqua" w:cs="SimSun"/>
                <w:color w:val="000000"/>
                <w:lang w:eastAsia="zh-CN"/>
              </w:rPr>
            </w:pPr>
            <w:r w:rsidRPr="00C326A3">
              <w:rPr>
                <w:rFonts w:ascii="Book Antiqua" w:eastAsia="SimSun" w:hAnsi="Book Antiqua" w:cs="SimSun"/>
                <w:color w:val="000000"/>
                <w:lang w:eastAsia="zh-CN"/>
              </w:rPr>
              <w:t>Not yet completed; estimated</w:t>
            </w:r>
            <w:r w:rsidRPr="00367BAA">
              <w:rPr>
                <w:rFonts w:ascii="Book Antiqua" w:eastAsia="SimSun" w:hAnsi="Book Antiqua" w:cs="SimSun"/>
                <w:color w:val="000000"/>
                <w:lang w:eastAsia="zh-CN"/>
              </w:rPr>
              <w:t xml:space="preserve"> </w:t>
            </w:r>
            <w:r w:rsidRPr="00C326A3">
              <w:rPr>
                <w:rFonts w:ascii="Book Antiqua" w:eastAsia="SimSun" w:hAnsi="Book Antiqua" w:cs="SimSun"/>
                <w:color w:val="000000"/>
                <w:lang w:eastAsia="zh-CN"/>
              </w:rPr>
              <w:t>completion date: November</w:t>
            </w:r>
            <w:r w:rsidRPr="00367BAA">
              <w:rPr>
                <w:rFonts w:ascii="Book Antiqua" w:eastAsia="SimSun" w:hAnsi="Book Antiqua" w:cs="SimSun"/>
                <w:color w:val="000000"/>
                <w:lang w:eastAsia="zh-CN"/>
              </w:rPr>
              <w:t xml:space="preserve"> </w:t>
            </w:r>
            <w:r w:rsidRPr="00C326A3">
              <w:rPr>
                <w:rFonts w:ascii="Book Antiqua" w:eastAsia="SimSun" w:hAnsi="Book Antiqua" w:cs="SimSun"/>
                <w:color w:val="000000"/>
                <w:lang w:eastAsia="zh-CN"/>
              </w:rPr>
              <w:t>2023</w:t>
            </w:r>
          </w:p>
        </w:tc>
      </w:tr>
      <w:tr w:rsidR="007F0725" w:rsidRPr="00C326A3" w14:paraId="4B5DD83D" w14:textId="77777777" w:rsidTr="00F82B2E">
        <w:trPr>
          <w:trHeight w:val="288"/>
        </w:trPr>
        <w:tc>
          <w:tcPr>
            <w:tcW w:w="1757" w:type="dxa"/>
            <w:shd w:val="clear" w:color="auto" w:fill="auto"/>
            <w:noWrap/>
            <w:vAlign w:val="bottom"/>
            <w:hideMark/>
          </w:tcPr>
          <w:p w14:paraId="379ECAC9" w14:textId="77777777" w:rsidR="007F0725" w:rsidRPr="00C326A3" w:rsidRDefault="007F0725" w:rsidP="00C4354C">
            <w:pPr>
              <w:spacing w:line="360" w:lineRule="auto"/>
              <w:jc w:val="both"/>
              <w:rPr>
                <w:rFonts w:ascii="Book Antiqua" w:eastAsia="SimSun" w:hAnsi="Book Antiqua" w:cs="SimSun"/>
                <w:color w:val="000000"/>
                <w:lang w:eastAsia="zh-CN"/>
              </w:rPr>
            </w:pPr>
            <w:r w:rsidRPr="00C326A3">
              <w:rPr>
                <w:rFonts w:ascii="Book Antiqua" w:eastAsia="SimSun" w:hAnsi="Book Antiqua" w:cs="SimSun"/>
                <w:color w:val="000000"/>
                <w:lang w:eastAsia="zh-CN"/>
              </w:rPr>
              <w:t>NCT04123379</w:t>
            </w:r>
          </w:p>
        </w:tc>
        <w:tc>
          <w:tcPr>
            <w:tcW w:w="897" w:type="dxa"/>
            <w:shd w:val="clear" w:color="auto" w:fill="auto"/>
            <w:noWrap/>
            <w:vAlign w:val="bottom"/>
            <w:hideMark/>
          </w:tcPr>
          <w:p w14:paraId="61D65743" w14:textId="63B4FE78" w:rsidR="007F0725" w:rsidRPr="00C326A3"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w:t>
            </w:r>
          </w:p>
        </w:tc>
        <w:tc>
          <w:tcPr>
            <w:tcW w:w="2988" w:type="dxa"/>
            <w:shd w:val="clear" w:color="auto" w:fill="auto"/>
            <w:noWrap/>
            <w:vAlign w:val="bottom"/>
            <w:hideMark/>
          </w:tcPr>
          <w:p w14:paraId="76DE81CC" w14:textId="77777777" w:rsidR="007F0725" w:rsidRPr="00C326A3" w:rsidRDefault="007F0725" w:rsidP="00C4354C">
            <w:pPr>
              <w:spacing w:line="360" w:lineRule="auto"/>
              <w:jc w:val="both"/>
              <w:rPr>
                <w:rFonts w:ascii="Book Antiqua" w:eastAsia="SimSun" w:hAnsi="Book Antiqua" w:cs="SimSun"/>
                <w:color w:val="000000"/>
                <w:lang w:eastAsia="zh-CN"/>
              </w:rPr>
            </w:pPr>
            <w:r w:rsidRPr="00C326A3">
              <w:rPr>
                <w:rFonts w:ascii="Book Antiqua" w:eastAsia="SimSun" w:hAnsi="Book Antiqua" w:cs="SimSun"/>
                <w:color w:val="000000"/>
                <w:lang w:eastAsia="zh-CN"/>
              </w:rPr>
              <w:t xml:space="preserve">Nivolumab </w:t>
            </w:r>
            <w:r w:rsidRPr="00C326A3">
              <w:rPr>
                <w:rFonts w:ascii="Book Antiqua" w:eastAsia="SimSun" w:hAnsi="Book Antiqua" w:cs="SimSun"/>
                <w:i/>
                <w:iCs/>
                <w:color w:val="000000"/>
                <w:lang w:eastAsia="zh-CN"/>
              </w:rPr>
              <w:t>vs</w:t>
            </w:r>
            <w:r w:rsidRPr="00C326A3">
              <w:rPr>
                <w:rFonts w:ascii="Book Antiqua" w:eastAsia="SimSun" w:hAnsi="Book Antiqua" w:cs="SimSun"/>
                <w:color w:val="000000"/>
                <w:lang w:eastAsia="zh-CN"/>
              </w:rPr>
              <w:t xml:space="preserve"> nivolumab and CCR2/5 inhibitor </w:t>
            </w:r>
            <w:r w:rsidRPr="00C326A3">
              <w:rPr>
                <w:rFonts w:ascii="Book Antiqua" w:eastAsia="SimSun" w:hAnsi="Book Antiqua" w:cs="SimSun"/>
                <w:i/>
                <w:iCs/>
                <w:color w:val="000000"/>
                <w:lang w:eastAsia="zh-CN"/>
              </w:rPr>
              <w:t>vs</w:t>
            </w:r>
            <w:r w:rsidRPr="00C326A3">
              <w:rPr>
                <w:rFonts w:ascii="Book Antiqua" w:eastAsia="SimSun" w:hAnsi="Book Antiqua" w:cs="SimSun"/>
                <w:color w:val="000000"/>
                <w:lang w:eastAsia="zh-CN"/>
              </w:rPr>
              <w:t xml:space="preserve"> nivolumab</w:t>
            </w:r>
            <w:r w:rsidRPr="00367BAA">
              <w:rPr>
                <w:rFonts w:ascii="Book Antiqua" w:eastAsia="SimSun" w:hAnsi="Book Antiqua" w:cs="SimSun"/>
                <w:color w:val="000000"/>
                <w:lang w:eastAsia="zh-CN"/>
              </w:rPr>
              <w:t xml:space="preserve"> </w:t>
            </w:r>
            <w:r w:rsidRPr="00C326A3">
              <w:rPr>
                <w:rFonts w:ascii="Book Antiqua" w:eastAsia="SimSun" w:hAnsi="Book Antiqua" w:cs="SimSun"/>
                <w:color w:val="000000"/>
                <w:lang w:eastAsia="zh-CN"/>
              </w:rPr>
              <w:t xml:space="preserve">and anti-IL-8 </w:t>
            </w:r>
            <w:r w:rsidRPr="00C326A3">
              <w:rPr>
                <w:rFonts w:ascii="Book Antiqua" w:eastAsia="SimSun" w:hAnsi="Book Antiqua" w:cs="SimSun"/>
                <w:color w:val="000000"/>
                <w:lang w:eastAsia="zh-CN"/>
              </w:rPr>
              <w:lastRenderedPageBreak/>
              <w:t>antibody</w:t>
            </w:r>
            <w:r w:rsidRPr="00367BAA">
              <w:rPr>
                <w:rFonts w:ascii="Book Antiqua" w:eastAsia="SimSun" w:hAnsi="Book Antiqua" w:cs="SimSun"/>
                <w:color w:val="000000"/>
                <w:lang w:eastAsia="zh-CN"/>
              </w:rPr>
              <w:t xml:space="preserve"> </w:t>
            </w:r>
            <w:r w:rsidRPr="00C326A3">
              <w:rPr>
                <w:rFonts w:ascii="Book Antiqua" w:eastAsia="SimSun" w:hAnsi="Book Antiqua" w:cs="SimSun"/>
                <w:color w:val="000000"/>
                <w:lang w:eastAsia="zh-CN"/>
              </w:rPr>
              <w:t>(parallel assignment)</w:t>
            </w:r>
          </w:p>
        </w:tc>
        <w:tc>
          <w:tcPr>
            <w:tcW w:w="2988" w:type="dxa"/>
            <w:shd w:val="clear" w:color="auto" w:fill="auto"/>
            <w:noWrap/>
            <w:vAlign w:val="bottom"/>
            <w:hideMark/>
          </w:tcPr>
          <w:p w14:paraId="512674DB" w14:textId="77777777" w:rsidR="007F0725" w:rsidRPr="00C326A3" w:rsidRDefault="007F0725" w:rsidP="00C4354C">
            <w:pPr>
              <w:spacing w:line="360" w:lineRule="auto"/>
              <w:jc w:val="both"/>
              <w:rPr>
                <w:rFonts w:ascii="Book Antiqua" w:eastAsia="SimSun" w:hAnsi="Book Antiqua" w:cs="SimSun"/>
                <w:color w:val="000000"/>
                <w:lang w:eastAsia="zh-CN"/>
              </w:rPr>
            </w:pPr>
            <w:r w:rsidRPr="00C326A3">
              <w:rPr>
                <w:rFonts w:ascii="Book Antiqua" w:eastAsia="SimSun" w:hAnsi="Book Antiqua" w:cs="SimSun"/>
                <w:color w:val="000000"/>
                <w:lang w:eastAsia="zh-CN"/>
              </w:rPr>
              <w:lastRenderedPageBreak/>
              <w:t>Not yet completed; estimated</w:t>
            </w:r>
            <w:r w:rsidRPr="00367BAA">
              <w:rPr>
                <w:rFonts w:ascii="Book Antiqua" w:eastAsia="SimSun" w:hAnsi="Book Antiqua" w:cs="SimSun"/>
                <w:color w:val="000000"/>
                <w:lang w:eastAsia="zh-CN"/>
              </w:rPr>
              <w:t xml:space="preserve"> </w:t>
            </w:r>
            <w:r w:rsidRPr="00C326A3">
              <w:rPr>
                <w:rFonts w:ascii="Book Antiqua" w:eastAsia="SimSun" w:hAnsi="Book Antiqua" w:cs="SimSun"/>
                <w:color w:val="000000"/>
                <w:lang w:eastAsia="zh-CN"/>
              </w:rPr>
              <w:t>completion date: October 2024</w:t>
            </w:r>
          </w:p>
        </w:tc>
      </w:tr>
      <w:tr w:rsidR="007F0725" w:rsidRPr="00C326A3" w14:paraId="43FAB565" w14:textId="77777777" w:rsidTr="00F82B2E">
        <w:trPr>
          <w:trHeight w:val="288"/>
        </w:trPr>
        <w:tc>
          <w:tcPr>
            <w:tcW w:w="1757" w:type="dxa"/>
            <w:shd w:val="clear" w:color="auto" w:fill="auto"/>
            <w:noWrap/>
            <w:vAlign w:val="bottom"/>
            <w:hideMark/>
          </w:tcPr>
          <w:p w14:paraId="6A3D7E77" w14:textId="77777777" w:rsidR="007F0725" w:rsidRPr="00C326A3" w:rsidRDefault="007F0725" w:rsidP="00C4354C">
            <w:pPr>
              <w:spacing w:line="360" w:lineRule="auto"/>
              <w:jc w:val="both"/>
              <w:rPr>
                <w:rFonts w:ascii="Book Antiqua" w:eastAsia="SimSun" w:hAnsi="Book Antiqua" w:cs="SimSun"/>
                <w:color w:val="000000"/>
                <w:lang w:eastAsia="zh-CN"/>
              </w:rPr>
            </w:pPr>
            <w:r w:rsidRPr="00C326A3">
              <w:rPr>
                <w:rFonts w:ascii="Book Antiqua" w:eastAsia="SimSun" w:hAnsi="Book Antiqua" w:cs="SimSun"/>
                <w:color w:val="000000"/>
                <w:lang w:eastAsia="zh-CN"/>
              </w:rPr>
              <w:t>NCT04297202</w:t>
            </w:r>
          </w:p>
        </w:tc>
        <w:tc>
          <w:tcPr>
            <w:tcW w:w="897" w:type="dxa"/>
            <w:shd w:val="clear" w:color="auto" w:fill="auto"/>
            <w:noWrap/>
            <w:vAlign w:val="bottom"/>
            <w:hideMark/>
          </w:tcPr>
          <w:p w14:paraId="5429810F" w14:textId="319333EF" w:rsidR="007F0725" w:rsidRPr="00C326A3" w:rsidRDefault="007412EF" w:rsidP="00C4354C">
            <w:pPr>
              <w:spacing w:line="360" w:lineRule="auto"/>
              <w:jc w:val="both"/>
              <w:rPr>
                <w:rFonts w:ascii="Book Antiqua" w:eastAsia="SimSun" w:hAnsi="Book Antiqua" w:cs="SimSun"/>
                <w:color w:val="000000"/>
                <w:lang w:eastAsia="zh-CN"/>
              </w:rPr>
            </w:pPr>
            <w:r>
              <w:rPr>
                <w:rFonts w:ascii="Book Antiqua" w:eastAsia="SimSun" w:hAnsi="Book Antiqua" w:cs="SimSun"/>
                <w:color w:val="000000"/>
                <w:lang w:eastAsia="zh-CN"/>
              </w:rPr>
              <w:t>II</w:t>
            </w:r>
          </w:p>
        </w:tc>
        <w:tc>
          <w:tcPr>
            <w:tcW w:w="2988" w:type="dxa"/>
            <w:shd w:val="clear" w:color="auto" w:fill="auto"/>
            <w:noWrap/>
            <w:vAlign w:val="bottom"/>
            <w:hideMark/>
          </w:tcPr>
          <w:p w14:paraId="5748F085" w14:textId="77777777" w:rsidR="007F0725" w:rsidRPr="00C326A3" w:rsidRDefault="007F0725" w:rsidP="00C4354C">
            <w:pPr>
              <w:spacing w:line="360" w:lineRule="auto"/>
              <w:jc w:val="both"/>
              <w:rPr>
                <w:rFonts w:ascii="Book Antiqua" w:eastAsia="SimSun" w:hAnsi="Book Antiqua" w:cs="SimSun"/>
                <w:color w:val="000000"/>
                <w:lang w:eastAsia="zh-CN"/>
              </w:rPr>
            </w:pPr>
            <w:r w:rsidRPr="00C326A3">
              <w:rPr>
                <w:rFonts w:ascii="Book Antiqua" w:eastAsia="SimSun" w:hAnsi="Book Antiqua" w:cs="SimSun"/>
                <w:color w:val="000000"/>
                <w:lang w:eastAsia="zh-CN"/>
              </w:rPr>
              <w:t>SHR-1210 (anti-PD1 inhibitor)</w:t>
            </w:r>
            <w:r w:rsidRPr="00367BAA">
              <w:rPr>
                <w:rFonts w:ascii="Book Antiqua" w:eastAsia="SimSun" w:hAnsi="Book Antiqua" w:cs="SimSun"/>
                <w:color w:val="000000"/>
                <w:lang w:eastAsia="zh-CN"/>
              </w:rPr>
              <w:t xml:space="preserve"> </w:t>
            </w:r>
            <w:r w:rsidRPr="00C326A3">
              <w:rPr>
                <w:rFonts w:ascii="Book Antiqua" w:eastAsia="SimSun" w:hAnsi="Book Antiqua" w:cs="SimSun"/>
                <w:color w:val="000000"/>
                <w:lang w:eastAsia="zh-CN"/>
              </w:rPr>
              <w:t>and apatinib</w:t>
            </w:r>
            <w:r w:rsidRPr="00367BAA">
              <w:rPr>
                <w:rFonts w:ascii="Book Antiqua" w:eastAsia="SimSun" w:hAnsi="Book Antiqua" w:cs="SimSun"/>
                <w:color w:val="000000"/>
                <w:lang w:eastAsia="zh-CN"/>
              </w:rPr>
              <w:t xml:space="preserve"> </w:t>
            </w:r>
            <w:r w:rsidRPr="00C326A3">
              <w:rPr>
                <w:rFonts w:ascii="Book Antiqua" w:eastAsia="SimSun" w:hAnsi="Book Antiqua" w:cs="SimSun"/>
                <w:color w:val="000000"/>
                <w:lang w:eastAsia="zh-CN"/>
              </w:rPr>
              <w:t>(single-arm study)</w:t>
            </w:r>
          </w:p>
        </w:tc>
        <w:tc>
          <w:tcPr>
            <w:tcW w:w="2988" w:type="dxa"/>
            <w:shd w:val="clear" w:color="auto" w:fill="auto"/>
            <w:noWrap/>
            <w:vAlign w:val="bottom"/>
            <w:hideMark/>
          </w:tcPr>
          <w:p w14:paraId="243FF084" w14:textId="77777777" w:rsidR="007F0725" w:rsidRPr="00C326A3" w:rsidRDefault="007F0725" w:rsidP="00C4354C">
            <w:pPr>
              <w:spacing w:line="360" w:lineRule="auto"/>
              <w:jc w:val="both"/>
              <w:rPr>
                <w:rFonts w:ascii="Book Antiqua" w:eastAsia="SimSun" w:hAnsi="Book Antiqua" w:cs="SimSun"/>
                <w:color w:val="000000"/>
                <w:lang w:eastAsia="zh-CN"/>
              </w:rPr>
            </w:pPr>
            <w:r w:rsidRPr="00C326A3">
              <w:rPr>
                <w:rFonts w:ascii="Book Antiqua" w:eastAsia="SimSun" w:hAnsi="Book Antiqua" w:cs="SimSun"/>
                <w:color w:val="000000"/>
                <w:lang w:eastAsia="zh-CN"/>
              </w:rPr>
              <w:t>Completed</w:t>
            </w:r>
          </w:p>
        </w:tc>
      </w:tr>
    </w:tbl>
    <w:p w14:paraId="040DBB70" w14:textId="77777777" w:rsidR="007F0725" w:rsidRPr="00367BAA" w:rsidRDefault="007F0725" w:rsidP="007F0725">
      <w:pPr>
        <w:spacing w:line="360" w:lineRule="auto"/>
        <w:jc w:val="both"/>
        <w:rPr>
          <w:rFonts w:ascii="Book Antiqua" w:hAnsi="Book Antiqua"/>
        </w:rPr>
      </w:pPr>
      <w:r w:rsidRPr="00367BAA">
        <w:rPr>
          <w:rFonts w:ascii="Book Antiqua" w:hAnsi="Book Antiqua"/>
        </w:rPr>
        <w:t>CCR2/5: Chemokine receptors type 2 and 5; IL-8: Interleukin-8; PD1: Programmed cell death receptor 1; NA: Not applicable.</w:t>
      </w:r>
    </w:p>
    <w:p w14:paraId="75E009FC" w14:textId="2A502FB8" w:rsidR="00A77B3E" w:rsidRDefault="00A77B3E">
      <w:pPr>
        <w:spacing w:line="360" w:lineRule="auto"/>
        <w:jc w:val="both"/>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7B3D3" w14:textId="77777777" w:rsidR="00D81E1D" w:rsidRDefault="00D81E1D" w:rsidP="00C072C3">
      <w:r>
        <w:separator/>
      </w:r>
    </w:p>
  </w:endnote>
  <w:endnote w:type="continuationSeparator" w:id="0">
    <w:p w14:paraId="64C3BFAF" w14:textId="77777777" w:rsidR="00D81E1D" w:rsidRDefault="00D81E1D" w:rsidP="00C0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Times New Roman (Body CS)">
    <w:altName w:val="Times New Roman"/>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4A58" w14:textId="77777777" w:rsidR="00C072C3" w:rsidRPr="00C072C3" w:rsidRDefault="00C072C3" w:rsidP="00C072C3">
    <w:pPr>
      <w:pStyle w:val="Footer"/>
      <w:jc w:val="right"/>
      <w:rPr>
        <w:rFonts w:ascii="Book Antiqua" w:hAnsi="Book Antiqua"/>
        <w:sz w:val="24"/>
        <w:szCs w:val="24"/>
      </w:rPr>
    </w:pPr>
    <w:r w:rsidRPr="00C072C3">
      <w:rPr>
        <w:rFonts w:ascii="Book Antiqua" w:hAnsi="Book Antiqua"/>
        <w:sz w:val="24"/>
        <w:szCs w:val="24"/>
        <w:lang w:val="zh-CN" w:eastAsia="zh-CN"/>
      </w:rPr>
      <w:t xml:space="preserve"> </w:t>
    </w:r>
    <w:r w:rsidRPr="00C072C3">
      <w:rPr>
        <w:rFonts w:ascii="Book Antiqua" w:hAnsi="Book Antiqua"/>
        <w:sz w:val="24"/>
        <w:szCs w:val="24"/>
      </w:rPr>
      <w:fldChar w:fldCharType="begin"/>
    </w:r>
    <w:r w:rsidRPr="00C072C3">
      <w:rPr>
        <w:rFonts w:ascii="Book Antiqua" w:hAnsi="Book Antiqua"/>
        <w:sz w:val="24"/>
        <w:szCs w:val="24"/>
      </w:rPr>
      <w:instrText>PAGE  \* Arabic  \* MERGEFORMAT</w:instrText>
    </w:r>
    <w:r w:rsidRPr="00C072C3">
      <w:rPr>
        <w:rFonts w:ascii="Book Antiqua" w:hAnsi="Book Antiqua"/>
        <w:sz w:val="24"/>
        <w:szCs w:val="24"/>
      </w:rPr>
      <w:fldChar w:fldCharType="separate"/>
    </w:r>
    <w:r w:rsidRPr="00C072C3">
      <w:rPr>
        <w:rFonts w:ascii="Book Antiqua" w:hAnsi="Book Antiqua"/>
        <w:sz w:val="24"/>
        <w:szCs w:val="24"/>
        <w:lang w:val="zh-CN" w:eastAsia="zh-CN"/>
      </w:rPr>
      <w:t>2</w:t>
    </w:r>
    <w:r w:rsidRPr="00C072C3">
      <w:rPr>
        <w:rFonts w:ascii="Book Antiqua" w:hAnsi="Book Antiqua"/>
        <w:sz w:val="24"/>
        <w:szCs w:val="24"/>
      </w:rPr>
      <w:fldChar w:fldCharType="end"/>
    </w:r>
    <w:r w:rsidRPr="00C072C3">
      <w:rPr>
        <w:rFonts w:ascii="Book Antiqua" w:hAnsi="Book Antiqua"/>
        <w:sz w:val="24"/>
        <w:szCs w:val="24"/>
        <w:lang w:val="zh-CN" w:eastAsia="zh-CN"/>
      </w:rPr>
      <w:t xml:space="preserve"> / </w:t>
    </w:r>
    <w:r w:rsidRPr="00C072C3">
      <w:rPr>
        <w:rFonts w:ascii="Book Antiqua" w:hAnsi="Book Antiqua"/>
        <w:sz w:val="24"/>
        <w:szCs w:val="24"/>
      </w:rPr>
      <w:fldChar w:fldCharType="begin"/>
    </w:r>
    <w:r w:rsidRPr="00C072C3">
      <w:rPr>
        <w:rFonts w:ascii="Book Antiqua" w:hAnsi="Book Antiqua"/>
        <w:sz w:val="24"/>
        <w:szCs w:val="24"/>
      </w:rPr>
      <w:instrText>NUMPAGES  \* Arabic  \* MERGEFORMAT</w:instrText>
    </w:r>
    <w:r w:rsidRPr="00C072C3">
      <w:rPr>
        <w:rFonts w:ascii="Book Antiqua" w:hAnsi="Book Antiqua"/>
        <w:sz w:val="24"/>
        <w:szCs w:val="24"/>
      </w:rPr>
      <w:fldChar w:fldCharType="separate"/>
    </w:r>
    <w:r w:rsidRPr="00C072C3">
      <w:rPr>
        <w:rFonts w:ascii="Book Antiqua" w:hAnsi="Book Antiqua"/>
        <w:sz w:val="24"/>
        <w:szCs w:val="24"/>
        <w:lang w:val="zh-CN" w:eastAsia="zh-CN"/>
      </w:rPr>
      <w:t>2</w:t>
    </w:r>
    <w:r w:rsidRPr="00C072C3">
      <w:rPr>
        <w:rFonts w:ascii="Book Antiqua" w:hAnsi="Book Antiqua"/>
        <w:sz w:val="24"/>
        <w:szCs w:val="24"/>
      </w:rPr>
      <w:fldChar w:fldCharType="end"/>
    </w:r>
  </w:p>
  <w:p w14:paraId="08FAA1E0" w14:textId="77777777" w:rsidR="00C072C3" w:rsidRDefault="00C072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C51DE" w14:textId="77777777" w:rsidR="00D81E1D" w:rsidRDefault="00D81E1D" w:rsidP="00C072C3">
      <w:r>
        <w:separator/>
      </w:r>
    </w:p>
  </w:footnote>
  <w:footnote w:type="continuationSeparator" w:id="0">
    <w:p w14:paraId="60FB54BB" w14:textId="77777777" w:rsidR="00D81E1D" w:rsidRDefault="00D81E1D" w:rsidP="00C072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E6C0A"/>
    <w:multiLevelType w:val="hybridMultilevel"/>
    <w:tmpl w:val="7C7C06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D2377A6"/>
    <w:multiLevelType w:val="hybridMultilevel"/>
    <w:tmpl w:val="570E48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2DE2155"/>
    <w:multiLevelType w:val="hybridMultilevel"/>
    <w:tmpl w:val="B61CEEC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19219389">
    <w:abstractNumId w:val="0"/>
  </w:num>
  <w:num w:numId="2" w16cid:durableId="1251545586">
    <w:abstractNumId w:val="1"/>
  </w:num>
  <w:num w:numId="3" w16cid:durableId="1135879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0EE0"/>
    <w:rsid w:val="00031A4A"/>
    <w:rsid w:val="00041313"/>
    <w:rsid w:val="00076063"/>
    <w:rsid w:val="000A50EF"/>
    <w:rsid w:val="000B2F03"/>
    <w:rsid w:val="000B74DA"/>
    <w:rsid w:val="000C6244"/>
    <w:rsid w:val="000C7A9D"/>
    <w:rsid w:val="000D7F7F"/>
    <w:rsid w:val="000E1AD2"/>
    <w:rsid w:val="000E47E2"/>
    <w:rsid w:val="000E48E3"/>
    <w:rsid w:val="000F4C36"/>
    <w:rsid w:val="000F6F14"/>
    <w:rsid w:val="00110DD1"/>
    <w:rsid w:val="00124259"/>
    <w:rsid w:val="00127256"/>
    <w:rsid w:val="00136DB5"/>
    <w:rsid w:val="001406F0"/>
    <w:rsid w:val="00143FB8"/>
    <w:rsid w:val="00156576"/>
    <w:rsid w:val="00167CF9"/>
    <w:rsid w:val="00174F45"/>
    <w:rsid w:val="001A12A8"/>
    <w:rsid w:val="001A21B5"/>
    <w:rsid w:val="001B6DAA"/>
    <w:rsid w:val="001D186D"/>
    <w:rsid w:val="001D3491"/>
    <w:rsid w:val="00203E2B"/>
    <w:rsid w:val="002323F3"/>
    <w:rsid w:val="002414AB"/>
    <w:rsid w:val="00256C0A"/>
    <w:rsid w:val="00257AD0"/>
    <w:rsid w:val="00260460"/>
    <w:rsid w:val="00265645"/>
    <w:rsid w:val="002711E2"/>
    <w:rsid w:val="002B1108"/>
    <w:rsid w:val="002B43FC"/>
    <w:rsid w:val="002B7336"/>
    <w:rsid w:val="002D763F"/>
    <w:rsid w:val="002F320D"/>
    <w:rsid w:val="002F5339"/>
    <w:rsid w:val="002F58B7"/>
    <w:rsid w:val="00332E18"/>
    <w:rsid w:val="00340B15"/>
    <w:rsid w:val="00366104"/>
    <w:rsid w:val="00372B1A"/>
    <w:rsid w:val="00380608"/>
    <w:rsid w:val="0038103B"/>
    <w:rsid w:val="0038558B"/>
    <w:rsid w:val="003A5F22"/>
    <w:rsid w:val="003B7702"/>
    <w:rsid w:val="003C2848"/>
    <w:rsid w:val="00406C8C"/>
    <w:rsid w:val="0042008B"/>
    <w:rsid w:val="00422706"/>
    <w:rsid w:val="004604F9"/>
    <w:rsid w:val="004607B0"/>
    <w:rsid w:val="004663E9"/>
    <w:rsid w:val="004813B0"/>
    <w:rsid w:val="00492F8E"/>
    <w:rsid w:val="004A3E79"/>
    <w:rsid w:val="004B5AF1"/>
    <w:rsid w:val="004C062D"/>
    <w:rsid w:val="004F6074"/>
    <w:rsid w:val="00503E47"/>
    <w:rsid w:val="00514B9A"/>
    <w:rsid w:val="00540AE8"/>
    <w:rsid w:val="005758A8"/>
    <w:rsid w:val="005C288A"/>
    <w:rsid w:val="005C6F10"/>
    <w:rsid w:val="005F7DC1"/>
    <w:rsid w:val="00604543"/>
    <w:rsid w:val="00615CB2"/>
    <w:rsid w:val="00625011"/>
    <w:rsid w:val="00645A65"/>
    <w:rsid w:val="00651065"/>
    <w:rsid w:val="0065718C"/>
    <w:rsid w:val="00696BCE"/>
    <w:rsid w:val="00697512"/>
    <w:rsid w:val="006A44F3"/>
    <w:rsid w:val="006B7023"/>
    <w:rsid w:val="006D19D5"/>
    <w:rsid w:val="006D60F0"/>
    <w:rsid w:val="006D70E5"/>
    <w:rsid w:val="006F6597"/>
    <w:rsid w:val="007074CB"/>
    <w:rsid w:val="007228F1"/>
    <w:rsid w:val="00723585"/>
    <w:rsid w:val="007367E7"/>
    <w:rsid w:val="007412EF"/>
    <w:rsid w:val="00746336"/>
    <w:rsid w:val="00747C73"/>
    <w:rsid w:val="00773435"/>
    <w:rsid w:val="007A0868"/>
    <w:rsid w:val="007A5783"/>
    <w:rsid w:val="007B4945"/>
    <w:rsid w:val="007E5136"/>
    <w:rsid w:val="007F0725"/>
    <w:rsid w:val="007F138D"/>
    <w:rsid w:val="007F1AD3"/>
    <w:rsid w:val="007F572E"/>
    <w:rsid w:val="00802894"/>
    <w:rsid w:val="00810F39"/>
    <w:rsid w:val="0082189F"/>
    <w:rsid w:val="008660EF"/>
    <w:rsid w:val="0086673B"/>
    <w:rsid w:val="008826D6"/>
    <w:rsid w:val="008A3363"/>
    <w:rsid w:val="008A5CDC"/>
    <w:rsid w:val="008C19BD"/>
    <w:rsid w:val="008C3F5B"/>
    <w:rsid w:val="008E7F4C"/>
    <w:rsid w:val="008F02C2"/>
    <w:rsid w:val="009068E7"/>
    <w:rsid w:val="00906BDC"/>
    <w:rsid w:val="00910071"/>
    <w:rsid w:val="00910319"/>
    <w:rsid w:val="00910B20"/>
    <w:rsid w:val="009274C3"/>
    <w:rsid w:val="0093584F"/>
    <w:rsid w:val="00954F12"/>
    <w:rsid w:val="00961B33"/>
    <w:rsid w:val="00962425"/>
    <w:rsid w:val="0099131E"/>
    <w:rsid w:val="009951F1"/>
    <w:rsid w:val="0099529A"/>
    <w:rsid w:val="009A0A86"/>
    <w:rsid w:val="009B00A4"/>
    <w:rsid w:val="009B468F"/>
    <w:rsid w:val="009D17D5"/>
    <w:rsid w:val="009D66E2"/>
    <w:rsid w:val="009D75AA"/>
    <w:rsid w:val="009E23B8"/>
    <w:rsid w:val="009E2BF0"/>
    <w:rsid w:val="009E75BF"/>
    <w:rsid w:val="00A17490"/>
    <w:rsid w:val="00A226D0"/>
    <w:rsid w:val="00A24801"/>
    <w:rsid w:val="00A3058C"/>
    <w:rsid w:val="00A45AE6"/>
    <w:rsid w:val="00A46838"/>
    <w:rsid w:val="00A50C75"/>
    <w:rsid w:val="00A55159"/>
    <w:rsid w:val="00A63DA8"/>
    <w:rsid w:val="00A7005B"/>
    <w:rsid w:val="00A77B3E"/>
    <w:rsid w:val="00A83FBA"/>
    <w:rsid w:val="00A90ED0"/>
    <w:rsid w:val="00A96ABF"/>
    <w:rsid w:val="00A97CBD"/>
    <w:rsid w:val="00AA6332"/>
    <w:rsid w:val="00AD0F51"/>
    <w:rsid w:val="00AE04E3"/>
    <w:rsid w:val="00AF2BE6"/>
    <w:rsid w:val="00B22EC4"/>
    <w:rsid w:val="00B37C81"/>
    <w:rsid w:val="00B42286"/>
    <w:rsid w:val="00B453C5"/>
    <w:rsid w:val="00B62CB1"/>
    <w:rsid w:val="00B65164"/>
    <w:rsid w:val="00B667EE"/>
    <w:rsid w:val="00B75C78"/>
    <w:rsid w:val="00BC114B"/>
    <w:rsid w:val="00BC477F"/>
    <w:rsid w:val="00BD1990"/>
    <w:rsid w:val="00BE007C"/>
    <w:rsid w:val="00BE60A8"/>
    <w:rsid w:val="00BF478D"/>
    <w:rsid w:val="00BF4E63"/>
    <w:rsid w:val="00C072C3"/>
    <w:rsid w:val="00C10909"/>
    <w:rsid w:val="00C20934"/>
    <w:rsid w:val="00C27591"/>
    <w:rsid w:val="00C37D21"/>
    <w:rsid w:val="00C46409"/>
    <w:rsid w:val="00C56D8F"/>
    <w:rsid w:val="00C628E6"/>
    <w:rsid w:val="00C77E9A"/>
    <w:rsid w:val="00C83032"/>
    <w:rsid w:val="00C96C7C"/>
    <w:rsid w:val="00CA2A55"/>
    <w:rsid w:val="00CA4B41"/>
    <w:rsid w:val="00CA7700"/>
    <w:rsid w:val="00CB0696"/>
    <w:rsid w:val="00CB4E66"/>
    <w:rsid w:val="00CE7E37"/>
    <w:rsid w:val="00CF1168"/>
    <w:rsid w:val="00CF6709"/>
    <w:rsid w:val="00D03B61"/>
    <w:rsid w:val="00D326A4"/>
    <w:rsid w:val="00D32D1E"/>
    <w:rsid w:val="00D35CFC"/>
    <w:rsid w:val="00D50811"/>
    <w:rsid w:val="00D554C6"/>
    <w:rsid w:val="00D6201E"/>
    <w:rsid w:val="00D73A6E"/>
    <w:rsid w:val="00D773E7"/>
    <w:rsid w:val="00D81E1D"/>
    <w:rsid w:val="00D827BD"/>
    <w:rsid w:val="00D9420D"/>
    <w:rsid w:val="00DB0943"/>
    <w:rsid w:val="00DB09DC"/>
    <w:rsid w:val="00DB0CD2"/>
    <w:rsid w:val="00DC18F9"/>
    <w:rsid w:val="00DC62C1"/>
    <w:rsid w:val="00DD0BF1"/>
    <w:rsid w:val="00DE3B48"/>
    <w:rsid w:val="00DF3F2A"/>
    <w:rsid w:val="00E00650"/>
    <w:rsid w:val="00E03C37"/>
    <w:rsid w:val="00E06946"/>
    <w:rsid w:val="00E06C28"/>
    <w:rsid w:val="00E12BEF"/>
    <w:rsid w:val="00E26B2C"/>
    <w:rsid w:val="00E47FFA"/>
    <w:rsid w:val="00E66123"/>
    <w:rsid w:val="00E73993"/>
    <w:rsid w:val="00EA6BEA"/>
    <w:rsid w:val="00EC35E9"/>
    <w:rsid w:val="00EC7308"/>
    <w:rsid w:val="00ED0411"/>
    <w:rsid w:val="00EE1590"/>
    <w:rsid w:val="00EF3A3A"/>
    <w:rsid w:val="00F166C4"/>
    <w:rsid w:val="00F35366"/>
    <w:rsid w:val="00F410BE"/>
    <w:rsid w:val="00F46DFF"/>
    <w:rsid w:val="00F63E8A"/>
    <w:rsid w:val="00F74A50"/>
    <w:rsid w:val="00F82B2E"/>
    <w:rsid w:val="00F86E08"/>
    <w:rsid w:val="00F93DF7"/>
    <w:rsid w:val="00FA00A8"/>
    <w:rsid w:val="00FA539A"/>
    <w:rsid w:val="00FA70A4"/>
    <w:rsid w:val="00FA7B06"/>
    <w:rsid w:val="00FB27EC"/>
    <w:rsid w:val="00FC7EE1"/>
    <w:rsid w:val="00FD2958"/>
    <w:rsid w:val="00FD67BD"/>
    <w:rsid w:val="00FF39C5"/>
    <w:rsid w:val="00FF5C79"/>
    <w:rsid w:val="00FF71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8CAC8C"/>
  <w15:docId w15:val="{3FDB5DE8-D3BD-4352-83E2-9515CE14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072C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C072C3"/>
    <w:rPr>
      <w:sz w:val="18"/>
      <w:szCs w:val="18"/>
    </w:rPr>
  </w:style>
  <w:style w:type="paragraph" w:styleId="Footer">
    <w:name w:val="footer"/>
    <w:basedOn w:val="Normal"/>
    <w:link w:val="FooterChar"/>
    <w:uiPriority w:val="99"/>
    <w:unhideWhenUsed/>
    <w:rsid w:val="00C072C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C072C3"/>
    <w:rPr>
      <w:sz w:val="18"/>
      <w:szCs w:val="18"/>
    </w:rPr>
  </w:style>
  <w:style w:type="character" w:styleId="CommentReference">
    <w:name w:val="annotation reference"/>
    <w:basedOn w:val="DefaultParagraphFont"/>
    <w:semiHidden/>
    <w:unhideWhenUsed/>
    <w:rsid w:val="00EF3A3A"/>
    <w:rPr>
      <w:sz w:val="21"/>
      <w:szCs w:val="21"/>
    </w:rPr>
  </w:style>
  <w:style w:type="paragraph" w:styleId="CommentText">
    <w:name w:val="annotation text"/>
    <w:basedOn w:val="Normal"/>
    <w:link w:val="CommentTextChar"/>
    <w:semiHidden/>
    <w:unhideWhenUsed/>
    <w:rsid w:val="00EF3A3A"/>
  </w:style>
  <w:style w:type="character" w:customStyle="1" w:styleId="CommentTextChar">
    <w:name w:val="Comment Text Char"/>
    <w:basedOn w:val="DefaultParagraphFont"/>
    <w:link w:val="CommentText"/>
    <w:semiHidden/>
    <w:rsid w:val="00EF3A3A"/>
    <w:rPr>
      <w:sz w:val="24"/>
      <w:szCs w:val="24"/>
    </w:rPr>
  </w:style>
  <w:style w:type="paragraph" w:styleId="CommentSubject">
    <w:name w:val="annotation subject"/>
    <w:basedOn w:val="CommentText"/>
    <w:next w:val="CommentText"/>
    <w:link w:val="CommentSubjectChar"/>
    <w:semiHidden/>
    <w:unhideWhenUsed/>
    <w:rsid w:val="00EF3A3A"/>
    <w:rPr>
      <w:b/>
      <w:bCs/>
    </w:rPr>
  </w:style>
  <w:style w:type="character" w:customStyle="1" w:styleId="CommentSubjectChar">
    <w:name w:val="Comment Subject Char"/>
    <w:basedOn w:val="CommentTextChar"/>
    <w:link w:val="CommentSubject"/>
    <w:semiHidden/>
    <w:rsid w:val="00EF3A3A"/>
    <w:rPr>
      <w:b/>
      <w:bCs/>
      <w:sz w:val="24"/>
      <w:szCs w:val="24"/>
    </w:rPr>
  </w:style>
  <w:style w:type="paragraph" w:styleId="Revision">
    <w:name w:val="Revision"/>
    <w:hidden/>
    <w:uiPriority w:val="99"/>
    <w:semiHidden/>
    <w:rsid w:val="00DF3F2A"/>
    <w:rPr>
      <w:sz w:val="24"/>
      <w:szCs w:val="24"/>
    </w:rPr>
  </w:style>
  <w:style w:type="character" w:customStyle="1" w:styleId="correct">
    <w:name w:val="correct"/>
    <w:basedOn w:val="DefaultParagraphFont"/>
    <w:rsid w:val="00BD1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12217</Words>
  <Characters>69639</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YJ</dc:creator>
  <cp:lastModifiedBy>Cathel Kerr</cp:lastModifiedBy>
  <cp:revision>3</cp:revision>
  <dcterms:created xsi:type="dcterms:W3CDTF">2022-11-07T16:39:00Z</dcterms:created>
  <dcterms:modified xsi:type="dcterms:W3CDTF">2022-11-07T16:40:00Z</dcterms:modified>
</cp:coreProperties>
</file>