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7752" w14:textId="18A4D5B4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Name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Journal: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i/>
          <w:color w:val="000000"/>
        </w:rPr>
        <w:t>World</w:t>
      </w:r>
      <w:r w:rsidR="00951AEE" w:rsidRPr="007B356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i/>
          <w:color w:val="000000"/>
        </w:rPr>
        <w:t>Journal</w:t>
      </w:r>
      <w:r w:rsidR="00951AEE" w:rsidRPr="007B356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i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i/>
          <w:color w:val="000000"/>
        </w:rPr>
        <w:t>Hematology</w:t>
      </w:r>
    </w:p>
    <w:p w14:paraId="2F106466" w14:textId="0EBEAC21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Manuscript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NO: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78934</w:t>
      </w:r>
    </w:p>
    <w:p w14:paraId="22E86E34" w14:textId="60D70B56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Manuscript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Type: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REPORT</w:t>
      </w:r>
    </w:p>
    <w:p w14:paraId="49D88FDD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1413FC5C" w14:textId="7C8ADED2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Venous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thromboembolism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prophylaxis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MYH-9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related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disease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infection: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_Hlk117435639"/>
      <w:r w:rsidR="00825F4F" w:rsidRPr="007B3561">
        <w:rPr>
          <w:rFonts w:ascii="Book Antiqua" w:eastAsia="Book Antiqua" w:hAnsi="Book Antiqua" w:cs="Book Antiqua"/>
          <w:b/>
          <w:color w:val="000000"/>
        </w:rPr>
        <w:t>case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5F4F" w:rsidRPr="007B3561">
        <w:rPr>
          <w:rFonts w:ascii="Book Antiqua" w:eastAsia="Book Antiqua" w:hAnsi="Book Antiqua" w:cs="Book Antiqua"/>
          <w:b/>
          <w:color w:val="000000"/>
        </w:rPr>
        <w:t>re</w:t>
      </w:r>
      <w:r w:rsidRPr="007B3561">
        <w:rPr>
          <w:rFonts w:ascii="Book Antiqua" w:eastAsia="Book Antiqua" w:hAnsi="Book Antiqua" w:cs="Book Antiqua"/>
          <w:b/>
          <w:color w:val="000000"/>
        </w:rPr>
        <w:t>port</w:t>
      </w:r>
      <w:bookmarkEnd w:id="0"/>
    </w:p>
    <w:p w14:paraId="5DC51E8D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E31EBD9" w14:textId="305FA95A" w:rsidR="00A77B3E" w:rsidRPr="007B3561" w:rsidRDefault="00825F4F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Jiang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51AEE" w:rsidRPr="007B35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prophylaxis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MYH-9-RD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</w:p>
    <w:p w14:paraId="0C31E1DD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70B2A2D7" w14:textId="463D4F9B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Bei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Jiang,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Michelle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Hartzell,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Stephen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Yu,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Muhammad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Masab</w:t>
      </w:r>
      <w:proofErr w:type="spellEnd"/>
      <w:r w:rsidRPr="007B3561">
        <w:rPr>
          <w:rFonts w:ascii="Book Antiqua" w:eastAsia="Book Antiqua" w:hAnsi="Book Antiqua" w:cs="Book Antiqua"/>
          <w:color w:val="000000"/>
        </w:rPr>
        <w:t>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Laurel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Lyckholm</w:t>
      </w:r>
      <w:proofErr w:type="spellEnd"/>
    </w:p>
    <w:p w14:paraId="101DFDDB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9A075D3" w14:textId="5DE8CF96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Bei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984" w:rsidRPr="007B3561">
        <w:rPr>
          <w:rFonts w:ascii="Book Antiqua" w:eastAsia="Book Antiqua" w:hAnsi="Book Antiqua" w:cs="Book Antiqua"/>
          <w:b/>
          <w:bCs/>
          <w:color w:val="000000"/>
        </w:rPr>
        <w:t xml:space="preserve">Muhammad </w:t>
      </w:r>
      <w:proofErr w:type="spellStart"/>
      <w:r w:rsidR="00E92984" w:rsidRPr="007B3561">
        <w:rPr>
          <w:rFonts w:ascii="Book Antiqua" w:eastAsia="Book Antiqua" w:hAnsi="Book Antiqua" w:cs="Book Antiqua"/>
          <w:b/>
          <w:bCs/>
          <w:color w:val="000000"/>
        </w:rPr>
        <w:t>Masab</w:t>
      </w:r>
      <w:proofErr w:type="spellEnd"/>
      <w:r w:rsidR="00E92984" w:rsidRPr="007B3561">
        <w:rPr>
          <w:rFonts w:ascii="Book Antiqua" w:eastAsia="Book Antiqua" w:hAnsi="Book Antiqua" w:cs="Book Antiqua"/>
          <w:b/>
          <w:bCs/>
          <w:color w:val="000000"/>
        </w:rPr>
        <w:t xml:space="preserve">, Laurel </w:t>
      </w:r>
      <w:proofErr w:type="spellStart"/>
      <w:r w:rsidR="00E92984" w:rsidRPr="007B3561">
        <w:rPr>
          <w:rFonts w:ascii="Book Antiqua" w:eastAsia="Book Antiqua" w:hAnsi="Book Antiqua" w:cs="Book Antiqua"/>
          <w:b/>
          <w:bCs/>
          <w:color w:val="000000"/>
        </w:rPr>
        <w:t>Lyckholm</w:t>
      </w:r>
      <w:proofErr w:type="spellEnd"/>
      <w:r w:rsidR="00E92984" w:rsidRPr="007B3561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E92984" w:rsidRPr="007B3561">
        <w:rPr>
          <w:rFonts w:ascii="Book Antiqua" w:eastAsia="Book Antiqua" w:hAnsi="Book Antiqua" w:cs="Book Antiqua"/>
          <w:bCs/>
          <w:color w:val="000000"/>
        </w:rPr>
        <w:t>Department of</w:t>
      </w:r>
      <w:r w:rsidR="00E92984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984" w:rsidRPr="007B3561">
        <w:rPr>
          <w:rFonts w:ascii="Book Antiqua" w:eastAsia="Book Antiqua" w:hAnsi="Book Antiqua" w:cs="Book Antiqua"/>
          <w:color w:val="000000"/>
        </w:rPr>
        <w:t xml:space="preserve">Hematology and Oncology, West Virginia University, Morgantown, </w:t>
      </w:r>
      <w:r w:rsidR="003D74FF" w:rsidRPr="007B3561">
        <w:rPr>
          <w:rFonts w:ascii="Book Antiqua" w:eastAsia="Book Antiqua" w:hAnsi="Book Antiqua" w:cs="Book Antiqua"/>
          <w:color w:val="000000"/>
        </w:rPr>
        <w:t xml:space="preserve">WV </w:t>
      </w:r>
      <w:r w:rsidR="00E92984" w:rsidRPr="007B3561">
        <w:rPr>
          <w:rFonts w:ascii="Book Antiqua" w:eastAsia="Book Antiqua" w:hAnsi="Book Antiqua" w:cs="Book Antiqua"/>
          <w:color w:val="000000"/>
        </w:rPr>
        <w:t>26505, United States</w:t>
      </w:r>
    </w:p>
    <w:p w14:paraId="4BD5137E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48599B92" w14:textId="3F52F192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Michelle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Hartzell,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Stephen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984" w:rsidRPr="007B3561">
        <w:rPr>
          <w:rFonts w:ascii="Book Antiqua" w:eastAsia="Book Antiqua" w:hAnsi="Book Antiqua" w:cs="Book Antiqua"/>
          <w:bCs/>
          <w:color w:val="000000"/>
        </w:rPr>
        <w:t>Department of</w:t>
      </w:r>
      <w:r w:rsidR="00E92984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Internal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Medicine,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Virginia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University,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Morgantown,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3D74FF" w:rsidRPr="007B3561">
        <w:rPr>
          <w:rFonts w:ascii="Book Antiqua" w:eastAsia="Book Antiqua" w:hAnsi="Book Antiqua" w:cs="Book Antiqua"/>
          <w:color w:val="000000"/>
        </w:rPr>
        <w:t xml:space="preserve">WV </w:t>
      </w:r>
      <w:r w:rsidRPr="007B3561">
        <w:rPr>
          <w:rFonts w:ascii="Book Antiqua" w:eastAsia="Book Antiqua" w:hAnsi="Book Antiqua" w:cs="Book Antiqua"/>
          <w:color w:val="000000"/>
        </w:rPr>
        <w:t>26505,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United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States</w:t>
      </w:r>
    </w:p>
    <w:p w14:paraId="74599D9B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D002731" w14:textId="1682D711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825F4F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25F4F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825F4F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825F4F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Hartzell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Yu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8C5194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Masab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825F4F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Lyckholm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edited</w:t>
      </w:r>
      <w:r w:rsidR="008C5194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corrected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finalized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825F4F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Jiang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Hartzell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8C5194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Lyckholm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</w:p>
    <w:p w14:paraId="79EC3B38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76A8CAED" w14:textId="4ECC277E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Bei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Jiang,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56C8" w:rsidRPr="007B3561">
        <w:rPr>
          <w:rFonts w:ascii="Book Antiqua" w:eastAsia="Book Antiqua" w:hAnsi="Book Antiqua" w:cs="Book Antiqua"/>
          <w:bCs/>
          <w:color w:val="000000"/>
        </w:rPr>
        <w:t>Department of</w:t>
      </w:r>
      <w:r w:rsidR="008F56C8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Hematology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Oncology,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Virginia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University,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1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8F56C8" w:rsidRPr="007B3561">
        <w:rPr>
          <w:rFonts w:ascii="Book Antiqua" w:eastAsia="Book Antiqua" w:hAnsi="Book Antiqua" w:cs="Book Antiqua"/>
          <w:color w:val="000000"/>
        </w:rPr>
        <w:t>M</w:t>
      </w:r>
      <w:r w:rsidRPr="007B3561">
        <w:rPr>
          <w:rFonts w:ascii="Book Antiqua" w:eastAsia="Book Antiqua" w:hAnsi="Book Antiqua" w:cs="Book Antiqua"/>
          <w:color w:val="000000"/>
        </w:rPr>
        <w:t>edical</w:t>
      </w:r>
      <w:r w:rsidR="008F56C8" w:rsidRPr="007B3561">
        <w:rPr>
          <w:rFonts w:ascii="Book Antiqua" w:eastAsia="Book Antiqua" w:hAnsi="Book Antiqua" w:cs="Book Antiqua"/>
          <w:color w:val="000000"/>
        </w:rPr>
        <w:t xml:space="preserve"> D</w:t>
      </w:r>
      <w:r w:rsidRPr="007B3561">
        <w:rPr>
          <w:rFonts w:ascii="Book Antiqua" w:eastAsia="Book Antiqua" w:hAnsi="Book Antiqua" w:cs="Book Antiqua"/>
          <w:color w:val="000000"/>
        </w:rPr>
        <w:t>rive,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Morgantown,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8F56C8" w:rsidRPr="007B3561">
        <w:rPr>
          <w:rFonts w:ascii="Book Antiqua" w:eastAsia="Book Antiqua" w:hAnsi="Book Antiqua" w:cs="Book Antiqua"/>
          <w:color w:val="000000"/>
        </w:rPr>
        <w:t xml:space="preserve">WV </w:t>
      </w:r>
      <w:r w:rsidRPr="007B3561">
        <w:rPr>
          <w:rFonts w:ascii="Book Antiqua" w:eastAsia="Book Antiqua" w:hAnsi="Book Antiqua" w:cs="Book Antiqua"/>
          <w:color w:val="000000"/>
        </w:rPr>
        <w:t>26505,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United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States.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bei.jiang@hsc.wvu.edu</w:t>
      </w:r>
    </w:p>
    <w:p w14:paraId="447DE267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C637072" w14:textId="6D4ECEF9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July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22,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2022</w:t>
      </w:r>
    </w:p>
    <w:p w14:paraId="7DDD95E2" w14:textId="66247B9B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October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6,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2022</w:t>
      </w:r>
    </w:p>
    <w:p w14:paraId="38CC0274" w14:textId="6850AC21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0108" w:rsidRPr="007B3561">
        <w:rPr>
          <w:rFonts w:ascii="Book Antiqua" w:eastAsia="Book Antiqua" w:hAnsi="Book Antiqua" w:cs="Book Antiqua"/>
          <w:color w:val="000000"/>
        </w:rPr>
        <w:t>December 6, 2022</w:t>
      </w:r>
    </w:p>
    <w:p w14:paraId="0586DFA8" w14:textId="171671A4" w:rsidR="00A77B3E" w:rsidRPr="007B3561" w:rsidRDefault="00A5188C" w:rsidP="0028178C">
      <w:pPr>
        <w:rPr>
          <w:rFonts w:ascii="宋体" w:eastAsia="宋体" w:hAnsi="宋体" w:cs="宋体"/>
          <w:lang w:eastAsia="zh-CN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8DA">
        <w:rPr>
          <w:rFonts w:ascii="Book Antiqua" w:eastAsia="宋体" w:hAnsi="Book Antiqua" w:cs="宋体" w:hint="eastAsia"/>
          <w:color w:val="000000"/>
          <w:shd w:val="clear" w:color="auto" w:fill="FFFFFF"/>
          <w:lang w:eastAsia="zh-CN"/>
        </w:rPr>
        <w:t>January</w:t>
      </w:r>
      <w:r w:rsidR="0028178C" w:rsidRPr="007B3561">
        <w:rPr>
          <w:rFonts w:ascii="Book Antiqua" w:eastAsia="宋体" w:hAnsi="Book Antiqua" w:cs="宋体" w:hint="eastAsia"/>
          <w:color w:val="000000"/>
          <w:shd w:val="clear" w:color="auto" w:fill="FFFFFF"/>
          <w:lang w:eastAsia="zh-CN"/>
        </w:rPr>
        <w:t xml:space="preserve"> </w:t>
      </w:r>
      <w:r w:rsidR="000558DA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5</w:t>
      </w:r>
      <w:r w:rsidR="0028178C" w:rsidRPr="007B3561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, 202</w:t>
      </w:r>
      <w:r w:rsidR="000558DA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3</w:t>
      </w:r>
    </w:p>
    <w:p w14:paraId="05A07005" w14:textId="77777777" w:rsidR="00236FB0" w:rsidRPr="007B3561" w:rsidRDefault="00236FB0" w:rsidP="008C5194">
      <w:pPr>
        <w:spacing w:line="360" w:lineRule="auto"/>
        <w:jc w:val="both"/>
        <w:rPr>
          <w:rFonts w:ascii="Book Antiqua" w:hAnsi="Book Antiqua"/>
        </w:rPr>
      </w:pPr>
    </w:p>
    <w:p w14:paraId="5FB3BA87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Abstract</w:t>
      </w:r>
    </w:p>
    <w:p w14:paraId="0D07C515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BACKGROUND</w:t>
      </w:r>
    </w:p>
    <w:p w14:paraId="7E2069A7" w14:textId="659C171C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May-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anomaly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among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group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genetic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known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MYH9-related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disease.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inherited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such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May-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anomaly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8C5194" w:rsidRPr="007B3561">
        <w:rPr>
          <w:rFonts w:ascii="Book Antiqua" w:eastAsia="Book Antiqua" w:hAnsi="Book Antiqua" w:cs="Book Antiqua"/>
          <w:color w:val="000000"/>
        </w:rPr>
        <w:t xml:space="preserve">a </w:t>
      </w:r>
      <w:r w:rsidRPr="007B3561">
        <w:rPr>
          <w:rFonts w:ascii="Book Antiqua" w:eastAsia="Book Antiqua" w:hAnsi="Book Antiqua" w:cs="Book Antiqua"/>
          <w:color w:val="000000"/>
        </w:rPr>
        <w:t>variably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increased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due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combination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dysfunction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thrombocytopenia.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admitted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8C5194" w:rsidRPr="007B3561">
        <w:rPr>
          <w:rFonts w:ascii="Book Antiqua" w:eastAsia="Book Antiqua" w:hAnsi="Book Antiqua" w:cs="Book Antiqua"/>
          <w:color w:val="000000"/>
        </w:rPr>
        <w:t xml:space="preserve">the </w:t>
      </w:r>
      <w:r w:rsidRPr="007B3561">
        <w:rPr>
          <w:rFonts w:ascii="Book Antiqua" w:eastAsia="Book Antiqua" w:hAnsi="Book Antiqua" w:cs="Book Antiqua"/>
          <w:color w:val="000000"/>
        </w:rPr>
        <w:t>hospital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C456BF" w:rsidRPr="007B3561">
        <w:rPr>
          <w:rFonts w:ascii="Book Antiqua" w:eastAsia="Book Antiqua" w:hAnsi="Book Antiqua" w:cs="Book Antiqua"/>
          <w:color w:val="000000"/>
        </w:rPr>
        <w:t>coronavirus disease 2019 (COVID-19)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E7170" w:rsidRPr="007B3561">
        <w:rPr>
          <w:rFonts w:ascii="Book Antiqua" w:eastAsia="Book Antiqua" w:hAnsi="Book Antiqua" w:cs="Book Antiqua"/>
          <w:color w:val="000000"/>
        </w:rPr>
        <w:t xml:space="preserve">an </w:t>
      </w:r>
      <w:r w:rsidRPr="007B3561">
        <w:rPr>
          <w:rFonts w:ascii="Book Antiqua" w:eastAsia="Book Antiqua" w:hAnsi="Book Antiqua" w:cs="Book Antiqua"/>
          <w:color w:val="000000"/>
        </w:rPr>
        <w:t>increased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E7170" w:rsidRPr="007B3561">
        <w:rPr>
          <w:rFonts w:ascii="Book Antiqua" w:eastAsia="Book Antiqua" w:hAnsi="Book Antiqua" w:cs="Book Antiqua"/>
          <w:color w:val="000000"/>
        </w:rPr>
        <w:t xml:space="preserve">a </w:t>
      </w:r>
      <w:r w:rsidRPr="007B3561">
        <w:rPr>
          <w:rFonts w:ascii="Book Antiqua" w:eastAsia="Book Antiqua" w:hAnsi="Book Antiqua" w:cs="Book Antiqua"/>
          <w:color w:val="000000"/>
        </w:rPr>
        <w:t>venous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thromboembolism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event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(VTE)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7170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1E7A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nstitute</w:t>
      </w:r>
      <w:r w:rsidR="00151E7A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1E7A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ealth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151E7A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recommend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7170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heparin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prophylaxis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1E7A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AE7170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flow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oxygen.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describe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admitted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pneumonia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history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May-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anomaly.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challenge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determine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clear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guidelines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population.</w:t>
      </w:r>
    </w:p>
    <w:p w14:paraId="3C822042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71C4FBA" w14:textId="77424FB3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CASE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SUMMARY</w:t>
      </w:r>
    </w:p>
    <w:p w14:paraId="442B84E9" w14:textId="5E6D25DA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Herein,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describe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39-year</w:t>
      </w:r>
      <w:r w:rsidR="00AE7170" w:rsidRPr="007B3561">
        <w:rPr>
          <w:rFonts w:ascii="Book Antiqua" w:eastAsia="Book Antiqua" w:hAnsi="Book Antiqua" w:cs="Book Antiqua"/>
          <w:color w:val="000000"/>
        </w:rPr>
        <w:t>-</w:t>
      </w:r>
      <w:r w:rsidRPr="007B3561">
        <w:rPr>
          <w:rFonts w:ascii="Book Antiqua" w:eastAsia="Book Antiqua" w:hAnsi="Book Antiqua" w:cs="Book Antiqua"/>
          <w:color w:val="000000"/>
        </w:rPr>
        <w:t>old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woman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admitted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acute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hypoxic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respiratory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failure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secondary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pneumonia.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history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May-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anomaly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demonstrated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since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childhood,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including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life-threatening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event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age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years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requiring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blood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transfusions.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baseline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count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40-50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7B3561">
        <w:rPr>
          <w:rFonts w:ascii="Book Antiqua" w:eastAsia="Book Antiqua" w:hAnsi="Book Antiqua" w:cs="Book Antiqua"/>
          <w:color w:val="000000"/>
        </w:rPr>
        <w:t>×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10</w:t>
      </w:r>
      <w:r w:rsidRPr="007B356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B3561">
        <w:rPr>
          <w:rFonts w:ascii="Book Antiqua" w:eastAsia="Book Antiqua" w:hAnsi="Book Antiqua" w:cs="Book Antiqua"/>
          <w:color w:val="000000"/>
        </w:rPr>
        <w:t>/L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throughout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adult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life.</w:t>
      </w:r>
      <w:r w:rsidR="00FF6040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family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history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also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notable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May-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mother,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maternal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uncle,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maternal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grandfather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son.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7B3561">
        <w:rPr>
          <w:rFonts w:ascii="Book Antiqua" w:eastAsia="Book Antiqua" w:hAnsi="Book Antiqua" w:cs="Book Antiqua"/>
          <w:color w:val="000000"/>
        </w:rPr>
        <w:t>Computed tomography</w:t>
      </w:r>
      <w:r w:rsidRPr="007B3561">
        <w:rPr>
          <w:rFonts w:ascii="Book Antiqua" w:eastAsia="Book Antiqua" w:hAnsi="Book Antiqua" w:cs="Book Antiqua"/>
          <w:color w:val="000000"/>
        </w:rPr>
        <w:t>/pulmonary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angiography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revealed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bilateral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consolidative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opacities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consistent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multifocal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pneumonia.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742DB4" w:rsidRPr="007B3561">
        <w:rPr>
          <w:rFonts w:ascii="Book Antiqua" w:eastAsia="Book Antiqua" w:hAnsi="Book Antiqua" w:cs="Book Antiqua"/>
          <w:color w:val="000000"/>
        </w:rPr>
        <w:t xml:space="preserve">Complete blood </w:t>
      </w:r>
      <w:r w:rsidR="00151E7A" w:rsidRPr="007B3561">
        <w:rPr>
          <w:rFonts w:ascii="Book Antiqua" w:eastAsia="Book Antiqua" w:hAnsi="Book Antiqua" w:cs="Book Antiqua"/>
          <w:color w:val="000000"/>
        </w:rPr>
        <w:t xml:space="preserve">count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notable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count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54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7B3561">
        <w:rPr>
          <w:rFonts w:ascii="Book Antiqua" w:eastAsia="Book Antiqua" w:hAnsi="Book Antiqua" w:cs="Book Antiqua"/>
          <w:color w:val="000000"/>
        </w:rPr>
        <w:t>×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10</w:t>
      </w:r>
      <w:r w:rsidRPr="007B356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B3561">
        <w:rPr>
          <w:rFonts w:ascii="Book Antiqua" w:eastAsia="Book Antiqua" w:hAnsi="Book Antiqua" w:cs="Book Antiqua"/>
          <w:color w:val="000000"/>
        </w:rPr>
        <w:t>/L.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admitted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respiratory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support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high-flow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oxygen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nasal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cannula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managed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guideline-directed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therapy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including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baricitinib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dexamethasone.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Hematology/Oncology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consultation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team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requested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assist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management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prophylaxis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setting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active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inherited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After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review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literature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careful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consideration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benefits,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lastRenderedPageBreak/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decided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treat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enoxaparin.</w:t>
      </w:r>
      <w:r w:rsidR="00FF6040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closely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monitored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hospital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worsening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thrombocytopenia.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signs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respiratory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status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improved,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discharged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home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after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5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d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hospitalization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supplemental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oxygen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nasal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cannula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dexamethasone.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E7170" w:rsidRPr="007B3561">
        <w:rPr>
          <w:rFonts w:ascii="Book Antiqua" w:eastAsia="Book Antiqua" w:hAnsi="Book Antiqua" w:cs="Book Antiqua"/>
          <w:color w:val="000000"/>
        </w:rPr>
        <w:t xml:space="preserve">the </w:t>
      </w:r>
      <w:r w:rsidRPr="007B3561">
        <w:rPr>
          <w:rFonts w:ascii="Book Antiqua" w:eastAsia="Book Antiqua" w:hAnsi="Book Antiqua" w:cs="Book Antiqua"/>
          <w:color w:val="000000"/>
        </w:rPr>
        <w:t>6-mo</w:t>
      </w:r>
      <w:r w:rsidR="00620823" w:rsidRPr="007B3561">
        <w:rPr>
          <w:rFonts w:ascii="Book Antiqua" w:eastAsia="Book Antiqua" w:hAnsi="Book Antiqua" w:cs="Book Antiqua"/>
          <w:color w:val="000000"/>
        </w:rPr>
        <w:t>nth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follow</w:t>
      </w:r>
      <w:r w:rsidR="00AE7170" w:rsidRPr="007B3561">
        <w:rPr>
          <w:rFonts w:ascii="Book Antiqua" w:eastAsia="Book Antiqua" w:hAnsi="Book Antiqua" w:cs="Book Antiqua"/>
          <w:color w:val="000000"/>
        </w:rPr>
        <w:t>-</w:t>
      </w:r>
      <w:r w:rsidRPr="007B3561">
        <w:rPr>
          <w:rFonts w:ascii="Book Antiqua" w:eastAsia="Book Antiqua" w:hAnsi="Book Antiqua" w:cs="Book Antiqua"/>
          <w:color w:val="000000"/>
        </w:rPr>
        <w:t>up,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successfully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discontinued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home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oxygen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after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few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weeks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following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discharge.</w:t>
      </w:r>
    </w:p>
    <w:p w14:paraId="5496BF87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63E7290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CONCLUSION</w:t>
      </w:r>
    </w:p>
    <w:p w14:paraId="14BDD3F5" w14:textId="7B1503A8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challenge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determine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guidelines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exist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COVID-19,</w:t>
      </w:r>
      <w:r w:rsidR="00AE7170" w:rsidRPr="007B3561">
        <w:rPr>
          <w:rFonts w:ascii="Book Antiqua" w:eastAsia="Book Antiqua" w:hAnsi="Book Antiqua" w:cs="Book Antiqua"/>
          <w:color w:val="000000"/>
        </w:rPr>
        <w:t xml:space="preserve"> but </w:t>
      </w:r>
      <w:r w:rsidRPr="007B3561">
        <w:rPr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clear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guidelines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management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inherited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particularly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those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</w:t>
      </w:r>
      <w:r w:rsidR="008C5194" w:rsidRPr="007B3561">
        <w:rPr>
          <w:rFonts w:ascii="Book Antiqua" w:eastAsia="Book Antiqua" w:hAnsi="Book Antiqua" w:cs="Book Antiqua"/>
          <w:color w:val="000000"/>
        </w:rPr>
        <w:t xml:space="preserve"> related disease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discharged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after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recovery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from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without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thrombosis.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published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guidelines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situation,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pragmatic,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informed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approach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MYH9-related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disease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who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</w:t>
      </w:r>
      <w:r w:rsidR="00AE7170" w:rsidRPr="007B3561">
        <w:rPr>
          <w:rFonts w:ascii="Book Antiqua" w:eastAsia="Book Antiqua" w:hAnsi="Book Antiqua" w:cs="Book Antiqua"/>
          <w:color w:val="000000"/>
        </w:rPr>
        <w:t>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indication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anticoagulation.</w:t>
      </w:r>
    </w:p>
    <w:p w14:paraId="51792915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029E49E" w14:textId="393A6AC2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Venous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thromboembolism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event;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Prophylaxis;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MYH9-related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disease;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inherit</w:t>
      </w:r>
      <w:r w:rsidR="00151E7A" w:rsidRPr="007B3561">
        <w:rPr>
          <w:rFonts w:ascii="Book Antiqua" w:eastAsia="Book Antiqua" w:hAnsi="Book Antiqua" w:cs="Book Antiqua"/>
          <w:color w:val="000000"/>
        </w:rPr>
        <w:t>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Low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molecular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heparin;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4755E4" w:rsidRPr="007B3561">
        <w:rPr>
          <w:rFonts w:ascii="Book Antiqua" w:eastAsia="Book Antiqua" w:hAnsi="Book Antiqua" w:cs="Book Antiqua"/>
          <w:color w:val="000000"/>
        </w:rPr>
        <w:t>COVID-19</w:t>
      </w:r>
      <w:r w:rsidRPr="007B3561">
        <w:rPr>
          <w:rFonts w:ascii="Book Antiqua" w:eastAsia="Book Antiqua" w:hAnsi="Book Antiqua" w:cs="Book Antiqua"/>
          <w:color w:val="000000"/>
        </w:rPr>
        <w:t>;</w:t>
      </w:r>
      <w:r w:rsidR="0030572E" w:rsidRPr="007B3561">
        <w:rPr>
          <w:rFonts w:ascii="Book Antiqua" w:eastAsia="Book Antiqua" w:hAnsi="Book Antiqua" w:cs="Book Antiqua"/>
          <w:color w:val="000000"/>
        </w:rPr>
        <w:t xml:space="preserve"> Case report</w:t>
      </w:r>
    </w:p>
    <w:p w14:paraId="0ECD49C3" w14:textId="77777777" w:rsidR="00C420D6" w:rsidRDefault="00C420D6" w:rsidP="00C420D6"/>
    <w:p w14:paraId="7493676C" w14:textId="0803B680" w:rsidR="00C420D6" w:rsidRDefault="00C420D6" w:rsidP="00C420D6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 w:rsidR="001F3EA5">
        <w:rPr>
          <w:rFonts w:ascii="Book Antiqua" w:eastAsia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52346102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DA2CE24" w14:textId="1B08C974" w:rsidR="00315984" w:rsidRDefault="00315984" w:rsidP="008C519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5984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Citation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A5188C" w:rsidRPr="007B3561">
        <w:rPr>
          <w:rFonts w:ascii="Book Antiqua" w:eastAsia="Book Antiqua" w:hAnsi="Book Antiqua" w:cs="Book Antiqua"/>
          <w:color w:val="000000"/>
        </w:rPr>
        <w:t>Jiang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B,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Hartzell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M,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Yu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5188C" w:rsidRPr="007B3561">
        <w:rPr>
          <w:rFonts w:ascii="Book Antiqua" w:eastAsia="Book Antiqua" w:hAnsi="Book Antiqua" w:cs="Book Antiqua"/>
          <w:color w:val="000000"/>
        </w:rPr>
        <w:t>Masab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M,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5188C" w:rsidRPr="007B3561">
        <w:rPr>
          <w:rFonts w:ascii="Book Antiqua" w:eastAsia="Book Antiqua" w:hAnsi="Book Antiqua" w:cs="Book Antiqua"/>
          <w:color w:val="000000"/>
        </w:rPr>
        <w:t>Lyckholm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L.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Venous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thromboembolism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prophylaxis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MYH-9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related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disease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infection: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30572E" w:rsidRPr="007B3561">
        <w:rPr>
          <w:rFonts w:ascii="Book Antiqua" w:eastAsia="Book Antiqua" w:hAnsi="Book Antiqua" w:cs="Book Antiqua"/>
          <w:color w:val="000000"/>
        </w:rPr>
        <w:t>case repor</w:t>
      </w:r>
      <w:r w:rsidR="00A5188C" w:rsidRPr="007B3561">
        <w:rPr>
          <w:rFonts w:ascii="Book Antiqua" w:eastAsia="Book Antiqua" w:hAnsi="Book Antiqua" w:cs="Book Antiqua"/>
          <w:color w:val="000000"/>
        </w:rPr>
        <w:t>t.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51AEE" w:rsidRPr="007B35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i/>
          <w:iCs/>
          <w:color w:val="000000"/>
        </w:rPr>
        <w:t>J</w:t>
      </w:r>
      <w:r w:rsidR="00951AEE" w:rsidRPr="007B35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5188C" w:rsidRPr="007B356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A5188C" w:rsidRPr="007B3561">
        <w:rPr>
          <w:rFonts w:ascii="Book Antiqua" w:eastAsia="Book Antiqua" w:hAnsi="Book Antiqua" w:cs="Book Antiqua"/>
          <w:color w:val="000000"/>
        </w:rPr>
        <w:t>202</w:t>
      </w:r>
      <w:r w:rsidR="00D421E9">
        <w:rPr>
          <w:rFonts w:ascii="Book Antiqua" w:eastAsia="Book Antiqua" w:hAnsi="Book Antiqua" w:cs="Book Antiqua"/>
          <w:color w:val="000000"/>
        </w:rPr>
        <w:t>3</w:t>
      </w:r>
      <w:r w:rsidR="00A5188C" w:rsidRPr="007B3561">
        <w:rPr>
          <w:rFonts w:ascii="Book Antiqua" w:eastAsia="Book Antiqua" w:hAnsi="Book Antiqua" w:cs="Book Antiqua"/>
          <w:color w:val="000000"/>
        </w:rPr>
        <w:t>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6B3B60">
        <w:rPr>
          <w:rFonts w:ascii="Book Antiqua" w:eastAsia="Book Antiqua" w:hAnsi="Book Antiqua" w:cs="Book Antiqua"/>
          <w:color w:val="000000"/>
        </w:rPr>
        <w:t>10</w:t>
      </w:r>
      <w:r w:rsidR="007B3561" w:rsidRPr="007B3561">
        <w:rPr>
          <w:rFonts w:ascii="Book Antiqua" w:eastAsia="Book Antiqua" w:hAnsi="Book Antiqua" w:cs="Book Antiqua"/>
          <w:color w:val="000000"/>
        </w:rPr>
        <w:t>(</w:t>
      </w:r>
      <w:r w:rsidR="006B3B60">
        <w:rPr>
          <w:rFonts w:ascii="Book Antiqua" w:eastAsia="Book Antiqua" w:hAnsi="Book Antiqua" w:cs="Book Antiqua"/>
          <w:color w:val="000000"/>
        </w:rPr>
        <w:t>1</w:t>
      </w:r>
      <w:r w:rsidR="007B3561" w:rsidRPr="007B3561">
        <w:rPr>
          <w:rFonts w:ascii="Book Antiqua" w:eastAsia="Book Antiqua" w:hAnsi="Book Antiqua" w:cs="Book Antiqua"/>
          <w:color w:val="000000"/>
        </w:rPr>
        <w:t xml:space="preserve">): </w:t>
      </w:r>
      <w:r w:rsidR="004F3599">
        <w:rPr>
          <w:rFonts w:ascii="Book Antiqua" w:eastAsia="Book Antiqua" w:hAnsi="Book Antiqua" w:cs="Book Antiqua"/>
          <w:color w:val="000000"/>
        </w:rPr>
        <w:t>1</w:t>
      </w:r>
      <w:r w:rsidR="007B3561" w:rsidRPr="007B3561">
        <w:rPr>
          <w:rFonts w:ascii="Book Antiqua" w:eastAsia="Book Antiqua" w:hAnsi="Book Antiqua" w:cs="Book Antiqua"/>
          <w:color w:val="000000"/>
        </w:rPr>
        <w:t>-</w:t>
      </w:r>
      <w:r w:rsidR="004F3599">
        <w:rPr>
          <w:rFonts w:ascii="Book Antiqua" w:eastAsia="Book Antiqua" w:hAnsi="Book Antiqua" w:cs="Book Antiqua"/>
          <w:color w:val="000000"/>
        </w:rPr>
        <w:t>8</w:t>
      </w:r>
    </w:p>
    <w:p w14:paraId="61871A26" w14:textId="77777777" w:rsidR="00315984" w:rsidRDefault="007B3561" w:rsidP="008C519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5984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7B3561">
        <w:rPr>
          <w:rFonts w:ascii="Book Antiqua" w:eastAsia="Book Antiqua" w:hAnsi="Book Antiqua" w:cs="Book Antiqua"/>
          <w:color w:val="000000"/>
        </w:rPr>
        <w:t>: https://www.wjgnet.com/2218-6204/full/v</w:t>
      </w:r>
      <w:r w:rsidR="006B3B60">
        <w:rPr>
          <w:rFonts w:ascii="Book Antiqua" w:eastAsia="Book Antiqua" w:hAnsi="Book Antiqua" w:cs="Book Antiqua"/>
          <w:color w:val="000000"/>
        </w:rPr>
        <w:t>10</w:t>
      </w:r>
      <w:r w:rsidRPr="007B3561">
        <w:rPr>
          <w:rFonts w:ascii="Book Antiqua" w:eastAsia="Book Antiqua" w:hAnsi="Book Antiqua" w:cs="Book Antiqua"/>
          <w:color w:val="000000"/>
        </w:rPr>
        <w:t>/i</w:t>
      </w:r>
      <w:r w:rsidR="006B3B60">
        <w:rPr>
          <w:rFonts w:ascii="Book Antiqua" w:eastAsia="Book Antiqua" w:hAnsi="Book Antiqua" w:cs="Book Antiqua"/>
          <w:color w:val="000000"/>
        </w:rPr>
        <w:t>1</w:t>
      </w:r>
      <w:r w:rsidRPr="007B3561">
        <w:rPr>
          <w:rFonts w:ascii="Book Antiqua" w:eastAsia="Book Antiqua" w:hAnsi="Book Antiqua" w:cs="Book Antiqua"/>
          <w:color w:val="000000"/>
        </w:rPr>
        <w:t>/</w:t>
      </w:r>
      <w:r w:rsidR="004F3599">
        <w:rPr>
          <w:rFonts w:ascii="Book Antiqua" w:eastAsia="Book Antiqua" w:hAnsi="Book Antiqua" w:cs="Book Antiqua"/>
          <w:color w:val="000000"/>
        </w:rPr>
        <w:t>1</w:t>
      </w:r>
      <w:r w:rsidRPr="007B3561">
        <w:rPr>
          <w:rFonts w:ascii="Book Antiqua" w:eastAsia="Book Antiqua" w:hAnsi="Book Antiqua" w:cs="Book Antiqua"/>
          <w:color w:val="000000"/>
        </w:rPr>
        <w:t>.htm</w:t>
      </w:r>
    </w:p>
    <w:p w14:paraId="3E7A5AE0" w14:textId="5E223639" w:rsidR="00A77B3E" w:rsidRPr="007B3561" w:rsidRDefault="007B3561" w:rsidP="008C5194">
      <w:pPr>
        <w:spacing w:line="360" w:lineRule="auto"/>
        <w:jc w:val="both"/>
        <w:rPr>
          <w:rFonts w:ascii="Book Antiqua" w:hAnsi="Book Antiqua"/>
        </w:rPr>
      </w:pPr>
      <w:r w:rsidRPr="00315984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7B3561">
        <w:rPr>
          <w:rFonts w:ascii="Book Antiqua" w:eastAsia="Book Antiqua" w:hAnsi="Book Antiqua" w:cs="Book Antiqua"/>
          <w:color w:val="000000"/>
        </w:rPr>
        <w:t>: https://dx.doi.org/10.5315/wjh.v</w:t>
      </w:r>
      <w:r w:rsidR="006B3B60">
        <w:rPr>
          <w:rFonts w:ascii="Book Antiqua" w:eastAsia="Book Antiqua" w:hAnsi="Book Antiqua" w:cs="Book Antiqua"/>
          <w:color w:val="000000"/>
        </w:rPr>
        <w:t>10</w:t>
      </w:r>
      <w:r w:rsidRPr="007B3561">
        <w:rPr>
          <w:rFonts w:ascii="Book Antiqua" w:eastAsia="Book Antiqua" w:hAnsi="Book Antiqua" w:cs="Book Antiqua"/>
          <w:color w:val="000000"/>
        </w:rPr>
        <w:t>.i</w:t>
      </w:r>
      <w:r w:rsidR="006B3B60">
        <w:rPr>
          <w:rFonts w:ascii="Book Antiqua" w:eastAsia="Book Antiqua" w:hAnsi="Book Antiqua" w:cs="Book Antiqua"/>
          <w:color w:val="000000"/>
        </w:rPr>
        <w:t>1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4F3599">
        <w:rPr>
          <w:rFonts w:ascii="Book Antiqua" w:eastAsia="Book Antiqua" w:hAnsi="Book Antiqua" w:cs="Book Antiqua"/>
          <w:color w:val="000000"/>
        </w:rPr>
        <w:t>1</w:t>
      </w:r>
    </w:p>
    <w:p w14:paraId="76FD1259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AE6CFB1" w14:textId="1ACA23F0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May-</w:t>
      </w:r>
      <w:proofErr w:type="spellStart"/>
      <w:r w:rsidRPr="007B3561">
        <w:rPr>
          <w:rStyle w:val="None"/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anomaly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one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several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autosomal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dominant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described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mutation-related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diseases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(MYH9-RD)</w:t>
      </w:r>
      <w:r w:rsidR="00EB1578" w:rsidRPr="007B3561">
        <w:rPr>
          <w:rFonts w:ascii="Book Antiqua" w:hAnsi="Book Antiqua"/>
          <w:lang w:eastAsia="zh-CN"/>
        </w:rPr>
        <w:t xml:space="preserve">.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mutation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i/>
          <w:iCs/>
          <w:color w:val="000000"/>
        </w:rPr>
        <w:t>MYH9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gene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caus</w:t>
      </w:r>
      <w:r w:rsidR="00AE7170" w:rsidRPr="007B3561">
        <w:rPr>
          <w:rStyle w:val="None"/>
          <w:rFonts w:ascii="Book Antiqua" w:eastAsia="Book Antiqua" w:hAnsi="Book Antiqua" w:cs="Book Antiqua"/>
          <w:color w:val="000000"/>
        </w:rPr>
        <w:t>es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macrothrombocytopenia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AE7170" w:rsidRPr="007B3561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mild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moderate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tendency.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Severity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related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degree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physical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properties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large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platelets.</w:t>
      </w:r>
      <w:r w:rsidR="00EB1578" w:rsidRPr="007B3561">
        <w:rPr>
          <w:rFonts w:ascii="Book Antiqua" w:hAnsi="Book Antiqua"/>
          <w:lang w:eastAsia="zh-CN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absolute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contraindication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antiplatelet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agents.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indication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such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EA7D5E" w:rsidRPr="007B3561">
        <w:rPr>
          <w:rFonts w:ascii="Book Antiqua" w:eastAsia="Book Antiqua" w:hAnsi="Book Antiqua" w:cs="Book Antiqua"/>
          <w:color w:val="000000"/>
        </w:rPr>
        <w:t>c</w:t>
      </w:r>
      <w:r w:rsidR="00EB1578" w:rsidRPr="007B3561">
        <w:rPr>
          <w:rFonts w:ascii="Book Antiqua" w:eastAsia="Book Antiqua" w:hAnsi="Book Antiqua" w:cs="Book Antiqua"/>
          <w:color w:val="000000"/>
        </w:rPr>
        <w:t>oronavirus disease 2019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must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take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careful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history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previous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episodes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weigh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against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thrombosis.</w:t>
      </w:r>
    </w:p>
    <w:p w14:paraId="43BA9397" w14:textId="77777777" w:rsidR="00A77B3E" w:rsidRPr="007B3561" w:rsidRDefault="00A77B3E" w:rsidP="008C5194">
      <w:pPr>
        <w:spacing w:line="360" w:lineRule="auto"/>
        <w:ind w:hanging="282"/>
        <w:jc w:val="both"/>
        <w:rPr>
          <w:rFonts w:ascii="Book Antiqua" w:hAnsi="Book Antiqua"/>
        </w:rPr>
      </w:pPr>
    </w:p>
    <w:p w14:paraId="67BCDCF9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72CE6BF" w14:textId="09F1530C" w:rsidR="00604C9A" w:rsidRPr="007B3561" w:rsidRDefault="00A5188C" w:rsidP="008C519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B3561">
        <w:rPr>
          <w:rFonts w:ascii="Book Antiqua" w:eastAsia="Book Antiqua" w:hAnsi="Book Antiqua" w:cs="Book Antiqua"/>
          <w:color w:val="000000"/>
        </w:rPr>
        <w:t>May-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Hegglin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anomaly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9D18BE" w:rsidRPr="007B3561">
        <w:rPr>
          <w:rFonts w:ascii="Book Antiqua" w:eastAsia="Book Antiqua" w:hAnsi="Book Antiqua" w:cs="Book Antiqua"/>
          <w:color w:val="000000"/>
        </w:rPr>
        <w:t xml:space="preserve">(MHA)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autosomal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dominant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characterized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macrothrombocytopenia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leukocyte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inclusions.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group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diseases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associated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myosin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heavy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chain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gene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defects,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now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known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MYH9-related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disease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(MYH9-RD),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macrothrombocytopenia,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dysfunction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varying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clinical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features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such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sensorineural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hearing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loss,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presenile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cataracts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failure</w:t>
      </w:r>
      <w:r w:rsidR="00825F4F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356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25F4F" w:rsidRPr="007B356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604C9A" w:rsidRPr="007B3561">
        <w:rPr>
          <w:rFonts w:ascii="Book Antiqua" w:eastAsia="Book Antiqua" w:hAnsi="Book Antiqua" w:cs="Book Antiqua"/>
          <w:color w:val="000000"/>
        </w:rPr>
        <w:t xml:space="preserve">a </w:t>
      </w:r>
      <w:r w:rsidRPr="007B3561">
        <w:rPr>
          <w:rFonts w:ascii="Book Antiqua" w:eastAsia="Book Antiqua" w:hAnsi="Book Antiqua" w:cs="Book Antiqua"/>
          <w:color w:val="000000"/>
        </w:rPr>
        <w:t>mild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moderate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tendency;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thus,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advised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avoid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anti-platelet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agents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anticoagulants</w:t>
      </w:r>
      <w:r w:rsidR="00825F4F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356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25F4F" w:rsidRPr="007B356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However,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acquire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transient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permanent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prothrombotic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conditions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necessitate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therapeutic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anticoagulation.</w:t>
      </w:r>
    </w:p>
    <w:p w14:paraId="5376237C" w14:textId="628D8FCA" w:rsidR="00A77B3E" w:rsidRPr="007B3561" w:rsidRDefault="00A5188C" w:rsidP="00620823">
      <w:pPr>
        <w:spacing w:line="360" w:lineRule="auto"/>
        <w:ind w:firstLine="720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Conditions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such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obesity,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hospitalization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immobility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increase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venous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thromboembolism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(VTE),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even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thrombocytopenia</w:t>
      </w:r>
      <w:r w:rsidR="00825F4F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356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25F4F" w:rsidRPr="007B356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Inflammation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excess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cytokine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production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17431259"/>
      <w:r w:rsidR="00EA7D5E" w:rsidRPr="007B3561">
        <w:rPr>
          <w:rFonts w:ascii="Book Antiqua" w:eastAsia="Book Antiqua" w:hAnsi="Book Antiqua" w:cs="Book Antiqua"/>
          <w:color w:val="000000"/>
        </w:rPr>
        <w:t>c</w:t>
      </w:r>
      <w:r w:rsidR="00825F4F" w:rsidRPr="007B3561">
        <w:rPr>
          <w:rFonts w:ascii="Book Antiqua" w:eastAsia="Book Antiqua" w:hAnsi="Book Antiqua" w:cs="Book Antiqua"/>
          <w:color w:val="000000"/>
        </w:rPr>
        <w:t>oronavirus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825F4F" w:rsidRPr="007B3561">
        <w:rPr>
          <w:rFonts w:ascii="Book Antiqua" w:eastAsia="Book Antiqua" w:hAnsi="Book Antiqua" w:cs="Book Antiqua"/>
          <w:color w:val="000000"/>
        </w:rPr>
        <w:t>disease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825F4F" w:rsidRPr="007B3561">
        <w:rPr>
          <w:rFonts w:ascii="Book Antiqua" w:eastAsia="Book Antiqua" w:hAnsi="Book Antiqua" w:cs="Book Antiqua"/>
          <w:color w:val="000000"/>
        </w:rPr>
        <w:t>2019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825F4F" w:rsidRPr="007B3561">
        <w:rPr>
          <w:rFonts w:ascii="Book Antiqua" w:eastAsia="Book Antiqua" w:hAnsi="Book Antiqua" w:cs="Book Antiqua"/>
          <w:color w:val="000000"/>
        </w:rPr>
        <w:t>(COVID-19)</w:t>
      </w:r>
      <w:bookmarkEnd w:id="1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cause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endothelial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dysfunction,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activation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thrombosis,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leading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increased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356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B356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51AEE" w:rsidRPr="007B356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American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Hematology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panel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suggests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prophylactic-intensity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VTE.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However,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treatment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decisions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regarding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COVID-19-infected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coexisting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challenging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because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604C9A" w:rsidRPr="007B3561">
        <w:rPr>
          <w:rFonts w:ascii="Book Antiqua" w:eastAsia="Book Antiqua" w:hAnsi="Book Antiqua" w:cs="Book Antiqua"/>
          <w:color w:val="000000"/>
        </w:rPr>
        <w:t xml:space="preserve"> 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potential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increased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356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51AEE" w:rsidRPr="007B356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3561">
        <w:rPr>
          <w:rFonts w:ascii="Book Antiqua" w:eastAsia="Book Antiqua" w:hAnsi="Book Antiqua" w:cs="Book Antiqua"/>
          <w:color w:val="000000"/>
        </w:rPr>
        <w:t>.</w:t>
      </w:r>
    </w:p>
    <w:p w14:paraId="763C1C84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7B1EF74D" w14:textId="4C9688FA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951AEE"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953A070" w14:textId="342D574E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951AEE" w:rsidRPr="007B35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83EB4AA" w14:textId="01CD87A8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39-year</w:t>
      </w:r>
      <w:r w:rsidR="00604C9A" w:rsidRPr="007B3561">
        <w:rPr>
          <w:rFonts w:ascii="Book Antiqua" w:eastAsia="Book Antiqua" w:hAnsi="Book Antiqua" w:cs="Book Antiqua"/>
          <w:color w:val="000000"/>
        </w:rPr>
        <w:t>-</w:t>
      </w:r>
      <w:r w:rsidRPr="007B3561">
        <w:rPr>
          <w:rFonts w:ascii="Book Antiqua" w:eastAsia="Book Antiqua" w:hAnsi="Book Antiqua" w:cs="Book Antiqua"/>
          <w:color w:val="000000"/>
        </w:rPr>
        <w:t>old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woman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604C9A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620823" w:rsidRPr="007B3561">
        <w:rPr>
          <w:rFonts w:ascii="Book Antiqua" w:eastAsia="Book Antiqua" w:hAnsi="Book Antiqua" w:cs="Book Antiqua"/>
          <w:color w:val="000000"/>
        </w:rPr>
        <w:t xml:space="preserve">the </w:t>
      </w:r>
      <w:r w:rsidRPr="007B3561">
        <w:rPr>
          <w:rFonts w:ascii="Book Antiqua" w:eastAsia="Book Antiqua" w:hAnsi="Book Antiqua" w:cs="Book Antiqua"/>
          <w:color w:val="000000"/>
        </w:rPr>
        <w:t>past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medical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620823" w:rsidRPr="007B3561">
        <w:rPr>
          <w:rFonts w:ascii="Book Antiqua" w:eastAsia="Book Antiqua" w:hAnsi="Book Antiqua" w:cs="Book Antiqua"/>
          <w:color w:val="000000"/>
        </w:rPr>
        <w:t>history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significant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diabetes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mellitus,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hypothyroidism,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obesity,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(specifically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9D18BE" w:rsidRPr="007B3561">
        <w:rPr>
          <w:rFonts w:ascii="Book Antiqua" w:eastAsia="Book Antiqua" w:hAnsi="Book Antiqua" w:cs="Book Antiqua"/>
          <w:color w:val="000000"/>
        </w:rPr>
        <w:t>MHA</w:t>
      </w:r>
      <w:r w:rsidRPr="007B3561">
        <w:rPr>
          <w:rFonts w:ascii="Book Antiqua" w:eastAsia="Book Antiqua" w:hAnsi="Book Antiqua" w:cs="Book Antiqua"/>
          <w:color w:val="000000"/>
        </w:rPr>
        <w:t>)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our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medical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center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acute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hypoxic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respiratory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failure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secondary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pneumonia.</w:t>
      </w:r>
    </w:p>
    <w:p w14:paraId="731C6343" w14:textId="77777777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23190823" w14:textId="09FEA62D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1259F7DE" w14:textId="3C57268C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 xml:space="preserve">She was admitted for inpatient respiratory support with high-flow oxygen per nasal cannula and was managed with guideline-directed therapy for COVID-19, including 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baricitinib</w:t>
      </w:r>
      <w:proofErr w:type="spellEnd"/>
      <w:r w:rsidRPr="007B3561">
        <w:rPr>
          <w:rFonts w:ascii="Book Antiqua" w:eastAsia="Book Antiqua" w:hAnsi="Book Antiqua" w:cs="Book Antiqua"/>
          <w:color w:val="000000"/>
        </w:rPr>
        <w:t xml:space="preserve"> and dexamethasone.</w:t>
      </w:r>
    </w:p>
    <w:p w14:paraId="79E64DD2" w14:textId="77777777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13446F52" w14:textId="5FF2C43E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436F6458" w14:textId="408F9A33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 xml:space="preserve">The patient was diagnosed with </w:t>
      </w:r>
      <w:r w:rsidR="009D18BE" w:rsidRPr="007B3561">
        <w:rPr>
          <w:rFonts w:ascii="Book Antiqua" w:eastAsia="Book Antiqua" w:hAnsi="Book Antiqua" w:cs="Book Antiqua"/>
          <w:color w:val="000000"/>
        </w:rPr>
        <w:t>MHA</w:t>
      </w:r>
      <w:r w:rsidRPr="007B3561">
        <w:rPr>
          <w:rFonts w:ascii="Book Antiqua" w:eastAsia="Book Antiqua" w:hAnsi="Book Antiqua" w:cs="Book Antiqua"/>
          <w:color w:val="000000"/>
        </w:rPr>
        <w:t xml:space="preserve"> in childhood. The patient experienced a life-threatening bleeding event at the age of 9 years during a tonsillectomy requiring blood and platelet transfusions. She was subsequently evaluated by a hematologist and was diagnosed with </w:t>
      </w:r>
      <w:r w:rsidR="009D18BE" w:rsidRPr="007B3561">
        <w:rPr>
          <w:rFonts w:ascii="Book Antiqua" w:eastAsia="Book Antiqua" w:hAnsi="Book Antiqua" w:cs="Book Antiqua"/>
          <w:color w:val="000000"/>
        </w:rPr>
        <w:t>MHA</w:t>
      </w:r>
      <w:r w:rsidRPr="007B3561">
        <w:rPr>
          <w:rFonts w:ascii="Book Antiqua" w:eastAsia="Book Antiqua" w:hAnsi="Book Antiqua" w:cs="Book Antiqua"/>
          <w:color w:val="000000"/>
        </w:rPr>
        <w:t>. She later had another bleeding episode as a child during oral surgery. She had two vaginal deliveries and received a preventive platelet transfusion for one of these, as she had a platelet count of approximately 40 × 10</w:t>
      </w:r>
      <w:r w:rsidRPr="007B356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B3561">
        <w:rPr>
          <w:rFonts w:ascii="Book Antiqua" w:eastAsia="Book Antiqua" w:hAnsi="Book Antiqua" w:cs="Book Antiqua"/>
          <w:color w:val="000000"/>
        </w:rPr>
        <w:t>/L. Her baseline platelet count was 40-50 × 10</w:t>
      </w:r>
      <w:r w:rsidRPr="007B356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B3561">
        <w:rPr>
          <w:rFonts w:ascii="Book Antiqua" w:eastAsia="Book Antiqua" w:hAnsi="Book Antiqua" w:cs="Book Antiqua"/>
          <w:color w:val="000000"/>
        </w:rPr>
        <w:t xml:space="preserve">/L throughout her adult life. She denied history of spontaneous bleeding requiring transfusion or hospitalization in the past </w:t>
      </w:r>
      <w:r w:rsidR="00604C9A" w:rsidRPr="007B3561">
        <w:rPr>
          <w:rFonts w:ascii="Book Antiqua" w:eastAsia="Book Antiqua" w:hAnsi="Book Antiqua" w:cs="Book Antiqua"/>
          <w:color w:val="000000"/>
        </w:rPr>
        <w:t>9</w:t>
      </w:r>
      <w:r w:rsidRPr="007B3561">
        <w:rPr>
          <w:rFonts w:ascii="Book Antiqua" w:eastAsia="Book Antiqua" w:hAnsi="Book Antiqua" w:cs="Book Antiqua"/>
          <w:color w:val="000000"/>
        </w:rPr>
        <w:t xml:space="preserve"> years but reported mild gum bleeding and menorrhagia not requiring transfusion. She did not receive anticoagulation at any time. She was instructed by her hematologist to avoid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nonsteroidal anti-inflammatory drugs</w:t>
      </w:r>
      <w:r w:rsidRPr="007B3561">
        <w:rPr>
          <w:rFonts w:ascii="Book Antiqua" w:eastAsia="Book Antiqua" w:hAnsi="Book Antiqua" w:cs="Book Antiqua"/>
          <w:color w:val="000000"/>
        </w:rPr>
        <w:t xml:space="preserve"> or aspirin and used them sparingly.</w:t>
      </w:r>
    </w:p>
    <w:p w14:paraId="7261A91A" w14:textId="77777777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27A13EE3" w14:textId="5C2D3D12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6FF6486E" w14:textId="075FBEFA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 xml:space="preserve">Her family history was notable for </w:t>
      </w:r>
      <w:r w:rsidR="009D18BE" w:rsidRPr="007B3561">
        <w:rPr>
          <w:rFonts w:ascii="Book Antiqua" w:eastAsia="Book Antiqua" w:hAnsi="Book Antiqua" w:cs="Book Antiqua"/>
          <w:color w:val="000000"/>
        </w:rPr>
        <w:t>MHA</w:t>
      </w:r>
      <w:r w:rsidRPr="007B3561">
        <w:rPr>
          <w:rFonts w:ascii="Book Antiqua" w:eastAsia="Book Antiqua" w:hAnsi="Book Antiqua" w:cs="Book Antiqua"/>
          <w:color w:val="000000"/>
        </w:rPr>
        <w:t xml:space="preserve"> in her mother, maternal uncle, maternal grandfather and her son.</w:t>
      </w:r>
    </w:p>
    <w:p w14:paraId="666B72E4" w14:textId="77777777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4323806D" w14:textId="54F59453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4402A925" w14:textId="5A343D05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lastRenderedPageBreak/>
        <w:t>In the emergency department, the patient’s respiratory rate was 26 breaths/min, heart rate 78 beats/min and blood pressure 126/72 mmHg. The patient’s SpO</w:t>
      </w:r>
      <w:r w:rsidRPr="007B3561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7B3561">
        <w:rPr>
          <w:rFonts w:ascii="Book Antiqua" w:eastAsia="Book Antiqua" w:hAnsi="Book Antiqua" w:cs="Book Antiqua"/>
          <w:color w:val="000000"/>
        </w:rPr>
        <w:t xml:space="preserve"> was 95% on 5 L of oxygen per nasal cannula. </w:t>
      </w:r>
      <w:r w:rsidR="0033053C" w:rsidRPr="007B3561">
        <w:rPr>
          <w:rFonts w:ascii="Book Antiqua" w:eastAsia="Book Antiqua" w:hAnsi="Book Antiqua" w:cs="Book Antiqua"/>
          <w:color w:val="000000"/>
        </w:rPr>
        <w:t xml:space="preserve">The </w:t>
      </w:r>
      <w:r w:rsidR="00604C9A" w:rsidRPr="007B3561">
        <w:rPr>
          <w:rFonts w:ascii="Book Antiqua" w:eastAsia="Book Antiqua" w:hAnsi="Book Antiqua" w:cs="Book Antiqua"/>
          <w:color w:val="000000"/>
        </w:rPr>
        <w:t>body mass index</w:t>
      </w:r>
      <w:r w:rsidRPr="007B3561">
        <w:rPr>
          <w:rFonts w:ascii="Book Antiqua" w:eastAsia="Book Antiqua" w:hAnsi="Book Antiqua" w:cs="Book Antiqua"/>
          <w:color w:val="000000"/>
        </w:rPr>
        <w:t xml:space="preserve"> was 53.7. She was awake and alert but in moderate respiratory distress, with frequent cough and coarse and diminished breath sounds bilaterally. </w:t>
      </w:r>
    </w:p>
    <w:p w14:paraId="3454EE24" w14:textId="77777777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</w:p>
    <w:p w14:paraId="3940AB8D" w14:textId="510F8051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01021D36" w14:textId="26E348C3" w:rsidR="00951AEE" w:rsidRPr="007B3561" w:rsidRDefault="007D457F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 xml:space="preserve">Complete blood </w:t>
      </w:r>
      <w:r w:rsidR="00AA5BB3" w:rsidRPr="007B3561">
        <w:rPr>
          <w:rFonts w:ascii="Book Antiqua" w:eastAsia="Book Antiqua" w:hAnsi="Book Antiqua" w:cs="Book Antiqua"/>
          <w:color w:val="000000"/>
        </w:rPr>
        <w:t xml:space="preserve">count 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was notable for </w:t>
      </w:r>
      <w:r w:rsidR="00413E7D" w:rsidRPr="007B3561">
        <w:rPr>
          <w:rFonts w:ascii="Book Antiqua" w:eastAsia="Book Antiqua" w:hAnsi="Book Antiqua" w:cs="Book Antiqua"/>
          <w:color w:val="000000"/>
        </w:rPr>
        <w:t xml:space="preserve">white blood cell </w:t>
      </w:r>
      <w:r w:rsidR="00951AEE" w:rsidRPr="007B3561">
        <w:rPr>
          <w:rFonts w:ascii="Book Antiqua" w:eastAsia="Book Antiqua" w:hAnsi="Book Antiqua" w:cs="Book Antiqua"/>
          <w:color w:val="000000"/>
        </w:rPr>
        <w:t>count</w:t>
      </w:r>
      <w:r w:rsidR="00EF46E2" w:rsidRPr="007B3561">
        <w:rPr>
          <w:rFonts w:ascii="Book Antiqua" w:eastAsia="Book Antiqua" w:hAnsi="Book Antiqua" w:cs="Book Antiqua"/>
          <w:color w:val="000000"/>
        </w:rPr>
        <w:t xml:space="preserve"> 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4.9 × 10</w:t>
      </w:r>
      <w:r w:rsidR="00951AEE" w:rsidRPr="007B356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51AEE" w:rsidRPr="007B3561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951AEE" w:rsidRPr="007B356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, hemoglobin </w:t>
      </w:r>
      <w:r w:rsidR="00EF46E2" w:rsidRPr="007B3561">
        <w:rPr>
          <w:rFonts w:ascii="Book Antiqua" w:eastAsia="Book Antiqua" w:hAnsi="Book Antiqua" w:cs="Book Antiqua"/>
          <w:color w:val="000000"/>
        </w:rPr>
        <w:t xml:space="preserve">of 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11.4 g/dL, </w:t>
      </w:r>
      <w:r w:rsidRPr="007B3561">
        <w:rPr>
          <w:rFonts w:ascii="Book Antiqua" w:eastAsia="Book Antiqua" w:hAnsi="Book Antiqua" w:cs="Book Antiqua"/>
          <w:color w:val="000000"/>
        </w:rPr>
        <w:t>mean corpuscular volume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EF46E2" w:rsidRPr="007B3561">
        <w:rPr>
          <w:rFonts w:ascii="Book Antiqua" w:eastAsia="Book Antiqua" w:hAnsi="Book Antiqua" w:cs="Book Antiqua"/>
          <w:color w:val="000000"/>
        </w:rPr>
        <w:t xml:space="preserve">of 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72.8 and platelet count </w:t>
      </w:r>
      <w:r w:rsidR="00EF46E2" w:rsidRPr="007B3561">
        <w:rPr>
          <w:rFonts w:ascii="Book Antiqua" w:eastAsia="Book Antiqua" w:hAnsi="Book Antiqua" w:cs="Book Antiqua"/>
          <w:color w:val="000000"/>
        </w:rPr>
        <w:t xml:space="preserve">of </w:t>
      </w:r>
      <w:r w:rsidR="00951AEE" w:rsidRPr="007B3561">
        <w:rPr>
          <w:rFonts w:ascii="Book Antiqua" w:eastAsia="Book Antiqua" w:hAnsi="Book Antiqua" w:cs="Book Antiqua"/>
          <w:color w:val="000000"/>
        </w:rPr>
        <w:t>54 × 10</w:t>
      </w:r>
      <w:r w:rsidR="00951AEE" w:rsidRPr="007B356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/L. Peripheral smear revealed hypochromic, microcytic anemia with mild </w:t>
      </w:r>
      <w:proofErr w:type="spellStart"/>
      <w:r w:rsidR="00951AEE" w:rsidRPr="007B3561">
        <w:rPr>
          <w:rFonts w:ascii="Book Antiqua" w:eastAsia="Book Antiqua" w:hAnsi="Book Antiqua" w:cs="Book Antiqua"/>
          <w:color w:val="000000"/>
        </w:rPr>
        <w:t>anisopoikilocytosis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>.</w:t>
      </w:r>
      <w:r w:rsidR="00FF6040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1AEE" w:rsidRPr="007B3561">
        <w:rPr>
          <w:rFonts w:ascii="Book Antiqua" w:eastAsia="Book Antiqua" w:hAnsi="Book Antiqua" w:cs="Book Antiqua"/>
          <w:color w:val="000000"/>
        </w:rPr>
        <w:t>D</w:t>
      </w:r>
      <w:r w:rsidR="00EF46E2" w:rsidRPr="007B3561">
        <w:rPr>
          <w:rFonts w:ascii="Book Antiqua" w:eastAsia="Book Antiqua" w:hAnsi="Book Antiqua" w:cs="Book Antiqua"/>
          <w:color w:val="000000"/>
        </w:rPr>
        <w:t>ö</w:t>
      </w:r>
      <w:r w:rsidR="00951AEE" w:rsidRPr="007B3561">
        <w:rPr>
          <w:rFonts w:ascii="Book Antiqua" w:eastAsia="Book Antiqua" w:hAnsi="Book Antiqua" w:cs="Book Antiqua"/>
          <w:color w:val="000000"/>
        </w:rPr>
        <w:t>hle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body inclusions were seen in the neutrophils. Frequent macrothrombocytopenia was observed. </w:t>
      </w:r>
    </w:p>
    <w:p w14:paraId="6E880951" w14:textId="77777777" w:rsidR="00951AEE" w:rsidRPr="007B3561" w:rsidRDefault="00951AEE" w:rsidP="008C5194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454971E5" w14:textId="7C70FC8D" w:rsidR="00951AEE" w:rsidRPr="007B3561" w:rsidRDefault="00951AE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2DA32779" w14:textId="79EB4D8D" w:rsidR="00951AEE" w:rsidRPr="007B3561" w:rsidRDefault="0030572E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Computed tomography</w:t>
      </w:r>
      <w:r w:rsidR="00951AEE" w:rsidRPr="007B3561">
        <w:rPr>
          <w:rFonts w:ascii="Book Antiqua" w:eastAsia="Book Antiqua" w:hAnsi="Book Antiqua" w:cs="Book Antiqua"/>
          <w:color w:val="000000"/>
        </w:rPr>
        <w:t>/pulmonary angiography revealed bilateral consolidative opacities consistent with multifocal pneumonia.</w:t>
      </w:r>
    </w:p>
    <w:p w14:paraId="58A5BEA4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98F6E18" w14:textId="5DBCF45F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951AEE"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951AEE"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3E7F8ABA" w14:textId="6CFBDBA2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Hematology/Oncology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consultation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team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requested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assist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management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prophylaxis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setting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active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inherited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disorder.</w:t>
      </w:r>
    </w:p>
    <w:p w14:paraId="3DF9CCA6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32CD64B" w14:textId="68055553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951AEE"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A25DADA" w14:textId="2E753C89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EF46E2" w:rsidRPr="007B3561">
        <w:rPr>
          <w:rFonts w:ascii="Book Antiqua" w:eastAsia="Book Antiqua" w:hAnsi="Book Antiqua" w:cs="Book Antiqua"/>
          <w:color w:val="000000"/>
        </w:rPr>
        <w:t xml:space="preserve">a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who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admitted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infection.</w:t>
      </w:r>
    </w:p>
    <w:p w14:paraId="7949D4B4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071F2BB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E79B4CB" w14:textId="67C9D02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treatment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team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felt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patient’s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due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active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obesity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immobility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outweighed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from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setting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thrombocytopenia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inherited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disorder.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started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lastRenderedPageBreak/>
        <w:t>standard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dose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enoxaparin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40</w:t>
      </w:r>
      <w:r w:rsidR="00AA5BB3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subcutaneously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daily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monitored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carefully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day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3,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dose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escalated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40</w:t>
      </w:r>
      <w:r w:rsidR="00AA5BB3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subcutaneously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twice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day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recommended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obese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closely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monitored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hospital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worsening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thrombocytopenia.</w:t>
      </w:r>
    </w:p>
    <w:p w14:paraId="2E19A6D0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92155F3" w14:textId="02265E21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951AEE"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51AEE"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EEB23B0" w14:textId="07D018A8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signs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respiratory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status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improved,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discharged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home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after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5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d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hospitalization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supplemental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oxygen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nasal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cannula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dexamethasone.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EF46E2" w:rsidRPr="007B3561">
        <w:rPr>
          <w:rFonts w:ascii="Book Antiqua" w:eastAsia="Book Antiqua" w:hAnsi="Book Antiqua" w:cs="Book Antiqua"/>
          <w:color w:val="000000"/>
        </w:rPr>
        <w:t xml:space="preserve">the </w:t>
      </w:r>
      <w:r w:rsidRPr="007B3561">
        <w:rPr>
          <w:rFonts w:ascii="Book Antiqua" w:eastAsia="Book Antiqua" w:hAnsi="Book Antiqua" w:cs="Book Antiqua"/>
          <w:color w:val="000000"/>
        </w:rPr>
        <w:t>6-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mo </w:t>
      </w:r>
      <w:r w:rsidRPr="007B3561">
        <w:rPr>
          <w:rFonts w:ascii="Book Antiqua" w:eastAsia="Book Antiqua" w:hAnsi="Book Antiqua" w:cs="Book Antiqua"/>
          <w:color w:val="000000"/>
        </w:rPr>
        <w:t>follow</w:t>
      </w:r>
      <w:r w:rsidR="00EF46E2" w:rsidRPr="007B3561">
        <w:rPr>
          <w:rFonts w:ascii="Book Antiqua" w:eastAsia="Book Antiqua" w:hAnsi="Book Antiqua" w:cs="Book Antiqua"/>
          <w:color w:val="000000"/>
        </w:rPr>
        <w:t>-</w:t>
      </w:r>
      <w:r w:rsidRPr="007B3561">
        <w:rPr>
          <w:rFonts w:ascii="Book Antiqua" w:eastAsia="Book Antiqua" w:hAnsi="Book Antiqua" w:cs="Book Antiqua"/>
          <w:color w:val="000000"/>
        </w:rPr>
        <w:t>up,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EF46E2" w:rsidRPr="007B3561">
        <w:rPr>
          <w:rFonts w:ascii="Book Antiqua" w:eastAsia="Book Antiqua" w:hAnsi="Book Antiqua" w:cs="Book Antiqua"/>
          <w:color w:val="000000"/>
        </w:rPr>
        <w:t xml:space="preserve">reported </w:t>
      </w:r>
      <w:r w:rsidRPr="007B3561">
        <w:rPr>
          <w:rFonts w:ascii="Book Antiqua" w:eastAsia="Book Antiqua" w:hAnsi="Book Antiqua" w:cs="Book Antiqua"/>
          <w:color w:val="000000"/>
        </w:rPr>
        <w:t>successfully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discontinu</w:t>
      </w:r>
      <w:r w:rsidR="00EF46E2" w:rsidRPr="007B3561">
        <w:rPr>
          <w:rFonts w:ascii="Book Antiqua" w:eastAsia="Book Antiqua" w:hAnsi="Book Antiqua" w:cs="Book Antiqua"/>
          <w:color w:val="000000"/>
        </w:rPr>
        <w:t>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home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oxygen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after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few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weeks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following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discharge.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episodes.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experienced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sequelae,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including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dyspnea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exertion,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palpitations,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blurred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vision,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“brain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fog”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diffuse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hair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loss.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EF46E2" w:rsidRPr="007B3561">
        <w:rPr>
          <w:rFonts w:ascii="Book Antiqua" w:eastAsia="Book Antiqua" w:hAnsi="Book Antiqua" w:cs="Book Antiqua"/>
          <w:color w:val="000000"/>
        </w:rPr>
        <w:t>plans to receive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post-COVID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assessment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EF46E2" w:rsidRPr="007B3561">
        <w:rPr>
          <w:rFonts w:ascii="Book Antiqua" w:eastAsia="Book Antiqua" w:hAnsi="Book Antiqua" w:cs="Book Antiqua"/>
          <w:color w:val="000000"/>
        </w:rPr>
        <w:t>at 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recovery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clinic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symptoms.</w:t>
      </w:r>
    </w:p>
    <w:p w14:paraId="1DC52408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F03FB95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6D75134" w14:textId="0634A0F8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MYH9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heterogeneous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autosomal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51D97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MYH9-</w:t>
      </w:r>
      <w:r w:rsidRPr="007B3561">
        <w:rPr>
          <w:rFonts w:ascii="Book Antiqua" w:eastAsia="Book Antiqua" w:hAnsi="Book Antiqua" w:cs="Book Antiqua"/>
          <w:color w:val="000000"/>
        </w:rPr>
        <w:t>RD.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population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frequency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pathogenic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</w:rPr>
        <w:t>MYH9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mutations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least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1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502A7D" w:rsidRPr="007B3561">
        <w:rPr>
          <w:rFonts w:ascii="Book Antiqua" w:eastAsia="Book Antiqua" w:hAnsi="Book Antiqua" w:cs="Book Antiqua"/>
          <w:color w:val="000000"/>
        </w:rPr>
        <w:t>20</w:t>
      </w:r>
      <w:r w:rsidRPr="007B3561">
        <w:rPr>
          <w:rFonts w:ascii="Book Antiqua" w:eastAsia="Book Antiqua" w:hAnsi="Book Antiqua" w:cs="Book Antiqua"/>
          <w:color w:val="000000"/>
        </w:rPr>
        <w:t>000</w:t>
      </w:r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B3561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MHA,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Epstein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Fechtner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Sebastian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syndrome.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MYH9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macrothrombocytopenia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later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display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pathologies,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hearing,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presenile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cataracts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531C12" w14:textId="540E0500" w:rsidR="00A77B3E" w:rsidRPr="007B3561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MYH9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encodes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heavy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non-muscle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myosin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II,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isoform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non-muscle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myosin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isoform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megakaryocytes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vitro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aggregation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slightly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defective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MYH9-</w:t>
      </w:r>
      <w:proofErr w:type="gram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RD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11,12]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MYH9-RD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interrupt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18B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megakaryocyte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migration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toward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vasculature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impair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proplatelet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marrow.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macrothrombocytopenia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13]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868B2C3" w14:textId="0DD39B77" w:rsidR="00A77B3E" w:rsidRPr="007B3561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MYH9-RD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correlated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18B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thrombocytopenia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18B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14-16]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tendency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severe.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majority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thrombocytopenia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manifestation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throughout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17]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F6040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Management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includes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avoiding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medications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hamper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function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Desmopressin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indicated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mild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transfusion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bleeding</w:t>
      </w:r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B3561">
        <w:rPr>
          <w:rFonts w:ascii="Book Antiqua" w:eastAsia="Book Antiqua" w:hAnsi="Book Antiqua" w:cs="Book Antiqua"/>
          <w:color w:val="000000"/>
        </w:rPr>
        <w:t>.</w:t>
      </w:r>
    </w:p>
    <w:p w14:paraId="339E9C9C" w14:textId="57481399" w:rsidR="00A77B3E" w:rsidRPr="007B3561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date,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disease-specific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treatment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9D18BE" w:rsidRPr="007B3561">
        <w:rPr>
          <w:rFonts w:ascii="Book Antiqua" w:eastAsia="Book Antiqua" w:hAnsi="Book Antiqua" w:cs="Book Antiqua"/>
          <w:color w:val="000000"/>
        </w:rPr>
        <w:t>MHA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other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MYH9-RD.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However,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recently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phase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II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clinical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trial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showed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thrombopoietin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receptor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agonist,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eltrombopag</w:t>
      </w:r>
      <w:proofErr w:type="spellEnd"/>
      <w:r w:rsidRPr="007B3561">
        <w:rPr>
          <w:rStyle w:val="None"/>
          <w:rFonts w:ascii="Book Antiqua" w:eastAsia="Book Antiqua" w:hAnsi="Book Antiqua" w:cs="Book Antiqua"/>
          <w:color w:val="000000"/>
        </w:rPr>
        <w:t>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effective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improving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decreasing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tendency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-RD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thrombocytopenia</w:t>
      </w:r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18]</w:t>
      </w:r>
      <w:r w:rsidRPr="007B3561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6EAE83B" w14:textId="697C548F" w:rsidR="00A77B3E" w:rsidRPr="007B3561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3561">
        <w:rPr>
          <w:rStyle w:val="None"/>
          <w:rFonts w:ascii="Book Antiqua" w:eastAsia="Book Antiqua" w:hAnsi="Book Antiqua" w:cs="Book Antiqua"/>
          <w:color w:val="000000"/>
        </w:rPr>
        <w:t>Due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concern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tendency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people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MYH9-related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disease,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most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advised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avoid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604C9A" w:rsidRPr="007B3561">
        <w:rPr>
          <w:rStyle w:val="None"/>
          <w:rFonts w:ascii="Book Antiqua" w:eastAsia="Book Antiqua" w:hAnsi="Book Antiqua" w:cs="Book Antiqua"/>
          <w:color w:val="000000"/>
        </w:rPr>
        <w:t xml:space="preserve">nonsteroidal anti-inflammatory drugs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anticoagulants.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limited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information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about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prophylaxis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management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MHA.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large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retrospective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SPATA-DVT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>s</w:t>
      </w:r>
      <w:r w:rsidR="00AA5BB3" w:rsidRPr="007B3561">
        <w:rPr>
          <w:rStyle w:val="None"/>
          <w:rFonts w:ascii="Book Antiqua" w:eastAsia="Book Antiqua" w:hAnsi="Book Antiqua" w:cs="Book Antiqua"/>
          <w:color w:val="000000"/>
        </w:rPr>
        <w:t xml:space="preserve">tudy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reported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impact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thromboprophylaxis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thrombotic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outcomes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inherited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both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elective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major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Style w:val="None"/>
          <w:rFonts w:ascii="Book Antiqua" w:eastAsia="Book Antiqua" w:hAnsi="Book Antiqua" w:cs="Book Antiqua"/>
          <w:color w:val="000000"/>
        </w:rPr>
        <w:t>surgeries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19]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Looking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subgroup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MYH9-RD,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approximately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26.7%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(8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30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surgeries)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had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excessive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postsurgical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but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cases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reported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subgroup.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comment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having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outcome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>H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owever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>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concluded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low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molecular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weight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prophylaxis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significantly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influence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postsurgical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need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antihemorrhagic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interventions.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Although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retrospective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study,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inferred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safe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inherited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should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inpatient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management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high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VTE.</w:t>
      </w:r>
    </w:p>
    <w:p w14:paraId="5CDC1E49" w14:textId="472403B5" w:rsidR="00A77B3E" w:rsidRPr="007B3561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Hospitalized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significant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particularly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hospitalized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infection.</w:t>
      </w:r>
      <w:r w:rsidR="00FF6040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defined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requiring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high-flow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oxygen,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noninvasive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ventilation,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mechanical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ventilation,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33053C" w:rsidRPr="007B3561">
        <w:rPr>
          <w:rFonts w:ascii="Book Antiqua" w:eastAsia="Book Antiqua" w:hAnsi="Book Antiqua" w:cs="Book Antiqua"/>
          <w:color w:val="000000"/>
        </w:rPr>
        <w:t>vaso</w:t>
      </w:r>
      <w:r w:rsidRPr="007B3561">
        <w:rPr>
          <w:rFonts w:ascii="Book Antiqua" w:eastAsia="Book Antiqua" w:hAnsi="Book Antiqua" w:cs="Book Antiqua"/>
          <w:color w:val="000000"/>
        </w:rPr>
        <w:t>press</w:t>
      </w:r>
      <w:r w:rsidR="0033053C" w:rsidRPr="007B3561">
        <w:rPr>
          <w:rFonts w:ascii="Book Antiqua" w:eastAsia="Book Antiqua" w:hAnsi="Book Antiqua" w:cs="Book Antiqua"/>
          <w:color w:val="000000"/>
        </w:rPr>
        <w:t>o</w:t>
      </w:r>
      <w:r w:rsidRPr="007B3561">
        <w:rPr>
          <w:rFonts w:ascii="Book Antiqua" w:eastAsia="Book Antiqua" w:hAnsi="Book Antiqua" w:cs="Book Antiqua"/>
          <w:color w:val="000000"/>
        </w:rPr>
        <w:t>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inotropes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ICU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admission,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associated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high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despite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anticoagulation.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large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clinical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trials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compared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outcome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safety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therapeutic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dosing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anticoagulant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dosing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thromboprophylaxis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hospitalized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</w:t>
      </w:r>
      <w:r w:rsidR="007809B7" w:rsidRPr="007B3561">
        <w:rPr>
          <w:rFonts w:ascii="Book Antiqua" w:eastAsia="Book Antiqua" w:hAnsi="Book Antiqua" w:cs="Book Antiqua"/>
          <w:color w:val="000000"/>
        </w:rPr>
        <w:t xml:space="preserve"> (Table </w:t>
      </w:r>
      <w:proofErr w:type="gramStart"/>
      <w:r w:rsidR="007809B7" w:rsidRPr="007B3561">
        <w:rPr>
          <w:rFonts w:ascii="Book Antiqua" w:eastAsia="Book Antiqua" w:hAnsi="Book Antiqua" w:cs="Book Antiqua"/>
          <w:color w:val="000000"/>
        </w:rPr>
        <w:lastRenderedPageBreak/>
        <w:t>1)</w:t>
      </w:r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17-21]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HEP-COVID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mrRCT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showed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superiority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therapeutic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non-critically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ill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contrast,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RAPID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trial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ACTION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observe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statistical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significance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primary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outcome.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INSPIRATION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trial,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which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specifically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studied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critically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ill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time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admission,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find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benefit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intermediate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dose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over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standard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dose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prevention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composite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outcome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VTE,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arterial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thromboembolism,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treatment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extracorporeal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membrane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oxygenation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mortality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30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d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Therefore,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heparin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remains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agent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choice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infection.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Enoxaparin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40</w:t>
      </w:r>
      <w:r w:rsidR="00553A4C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subcutaneously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twice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daily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commonly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used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clinical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trials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above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obese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adequate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function.</w:t>
      </w:r>
    </w:p>
    <w:p w14:paraId="0382C438" w14:textId="4A2B90F3" w:rsidR="00A77B3E" w:rsidRPr="007B3561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3561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guidance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starting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>-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infected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hereditary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such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MYH9-RD,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our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patient.</w:t>
      </w:r>
      <w:r w:rsidR="00FF6040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retrospective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review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suggested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uncommon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finding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all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hospitalized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8%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ICU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4%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non-ICU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having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initial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counts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below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100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×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10</w:t>
      </w:r>
      <w:r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9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/</w:t>
      </w:r>
      <w:proofErr w:type="gramStart"/>
      <w:r w:rsidRPr="007B3561">
        <w:rPr>
          <w:rStyle w:val="None"/>
          <w:rFonts w:ascii="Book Antiqua" w:eastAsia="Book Antiqua" w:hAnsi="Book Antiqua" w:cs="Book Antiqua"/>
          <w:color w:val="000000"/>
        </w:rPr>
        <w:t>L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20]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well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studied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above-described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clinical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trials,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factors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listed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exclusion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criteria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100B5E" w:rsidRPr="007B3561">
        <w:rPr>
          <w:rFonts w:ascii="Book Antiqua" w:eastAsia="Book Antiqua" w:hAnsi="Book Antiqua" w:cs="Book Antiqua"/>
          <w:color w:val="000000"/>
        </w:rPr>
        <w:t>(</w:t>
      </w:r>
      <w:r w:rsidRPr="007B3561">
        <w:rPr>
          <w:rFonts w:ascii="Book Antiqua" w:eastAsia="Book Antiqua" w:hAnsi="Book Antiqua" w:cs="Book Antiqua"/>
          <w:color w:val="000000"/>
        </w:rPr>
        <w:t>Table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</w:t>
      </w:r>
      <w:r w:rsidR="00100B5E" w:rsidRPr="007B3561">
        <w:rPr>
          <w:rFonts w:ascii="Book Antiqua" w:eastAsia="Book Antiqua" w:hAnsi="Book Antiqua" w:cs="Book Antiqua"/>
          <w:color w:val="000000"/>
        </w:rPr>
        <w:t>)</w:t>
      </w:r>
      <w:r w:rsidRPr="007B3561">
        <w:rPr>
          <w:rFonts w:ascii="Book Antiqua" w:eastAsia="Book Antiqua" w:hAnsi="Book Antiqua" w:cs="Book Antiqua"/>
          <w:color w:val="000000"/>
        </w:rPr>
        <w:t>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Guidelines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from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Mayo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Clinic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21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]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International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Society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Thrombosis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Style w:val="None"/>
          <w:rFonts w:ascii="Book Antiqua" w:eastAsia="Book Antiqua" w:hAnsi="Book Antiqua" w:cs="Book Antiqua"/>
          <w:color w:val="000000"/>
        </w:rPr>
        <w:t>Haemostasis</w:t>
      </w:r>
      <w:proofErr w:type="spellEnd"/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r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22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]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advise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against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thrombocytopenia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(platelets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&lt;</w:t>
      </w:r>
      <w:r w:rsidR="00100B5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25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×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10</w:t>
      </w:r>
      <w:r w:rsidRPr="007B3561">
        <w:rPr>
          <w:rStyle w:val="None"/>
          <w:rFonts w:ascii="Book Antiqua" w:eastAsia="Book Antiqua" w:hAnsi="Book Antiqua" w:cs="Book Antiqua"/>
          <w:color w:val="000000"/>
          <w:vertAlign w:val="superscript"/>
        </w:rPr>
        <w:t>9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/L)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suggest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nonpharmacological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prophylaxis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sequential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compression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devices.</w:t>
      </w:r>
    </w:p>
    <w:p w14:paraId="4AAE48D2" w14:textId="77F4D67D" w:rsidR="00A77B3E" w:rsidRPr="007B3561" w:rsidRDefault="00A5188C" w:rsidP="008C519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B3561">
        <w:rPr>
          <w:rStyle w:val="None"/>
          <w:rFonts w:ascii="Book Antiqua" w:eastAsia="Book Antiqua" w:hAnsi="Book Antiqua" w:cs="Book Antiqua"/>
          <w:color w:val="000000"/>
        </w:rPr>
        <w:t>Our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had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several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features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put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her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increased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thrombosis,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including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infection,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obesity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immobility.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also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had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history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spontaneous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gingival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menorrhagia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Style w:val="None"/>
          <w:rFonts w:ascii="Book Antiqua" w:eastAsia="Book Antiqua" w:hAnsi="Book Antiqua" w:cs="Book Antiqua"/>
          <w:color w:val="000000"/>
        </w:rPr>
        <w:t>postprocedure</w:t>
      </w:r>
      <w:proofErr w:type="spellEnd"/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required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transfusion.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Based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our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assessment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review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literature,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felt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benefit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thromboprophylaxis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outweighed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risk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bleeding.</w:t>
      </w:r>
      <w:r w:rsidR="00FF6040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information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above,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>low molecular weight heparin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seemed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choice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MYH9-RD,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shorter-half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life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reversibility,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shown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optimal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choice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reasons,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recommended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given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prophylactic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enoxaparin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40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lastRenderedPageBreak/>
        <w:t>mg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once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daily,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transition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enoxaparin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40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twice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daily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evidence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0B5E" w:rsidRPr="007B356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.</w:t>
      </w:r>
    </w:p>
    <w:p w14:paraId="1B2C8E23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17559322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FA3E97" w14:textId="7903CB3F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Style w:val="None"/>
          <w:rFonts w:ascii="Book Antiqua" w:eastAsia="Book Antiqua" w:hAnsi="Book Antiqua" w:cs="Book Antiqua"/>
          <w:color w:val="000000"/>
        </w:rPr>
        <w:t>MYH9-RD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spectr</w:t>
      </w:r>
      <w:r w:rsidR="00F60FDC" w:rsidRPr="007B3561">
        <w:rPr>
          <w:rFonts w:ascii="Book Antiqua" w:eastAsia="Book Antiqua" w:hAnsi="Book Antiqua" w:cs="Book Antiqua"/>
          <w:color w:val="000000"/>
        </w:rPr>
        <w:t>um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autosomal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dominant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diseases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macrothrombocytopenia</w:t>
      </w:r>
      <w:r w:rsidRPr="007B3561">
        <w:rPr>
          <w:rFonts w:ascii="Book Antiqua" w:eastAsia="Book Antiqua" w:hAnsi="Book Antiqua" w:cs="Book Antiqua"/>
          <w:color w:val="000000"/>
        </w:rPr>
        <w:t>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dysfunction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varying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clinical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features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such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sensorineural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hearing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loss,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presenile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cataracts,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failure</w:t>
      </w:r>
      <w:r w:rsidR="00C63946" w:rsidRPr="007B3561">
        <w:rPr>
          <w:rStyle w:val="None"/>
          <w:rFonts w:ascii="Book Antiqua" w:eastAsia="Book Antiqua" w:hAnsi="Book Antiqua" w:cs="Book Antiqua"/>
          <w:color w:val="000000"/>
        </w:rPr>
        <w:t xml:space="preserve"> and</w:t>
      </w:r>
      <w:r w:rsidR="00067BF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mild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moderate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bleeding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tendency.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When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patient</w:t>
      </w:r>
      <w:r w:rsidR="0033053C" w:rsidRPr="007B3561">
        <w:rPr>
          <w:rStyle w:val="None"/>
          <w:rFonts w:ascii="Book Antiqua" w:eastAsia="Book Antiqua" w:hAnsi="Book Antiqua" w:cs="Book Antiqua"/>
          <w:color w:val="000000"/>
        </w:rPr>
        <w:t>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are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admitted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COVID-19</w:t>
      </w:r>
      <w:r w:rsidR="00F60FDC" w:rsidRPr="007B3561">
        <w:rPr>
          <w:rStyle w:val="None"/>
          <w:rFonts w:ascii="Book Antiqua" w:eastAsia="Book Antiqua" w:hAnsi="Book Antiqua" w:cs="Book Antiqua"/>
          <w:color w:val="000000"/>
        </w:rPr>
        <w:t>-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related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critical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illness,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having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C63946" w:rsidRPr="007B3561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platelet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disorder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should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not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exclude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them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F60FDC" w:rsidRPr="007B3561">
        <w:rPr>
          <w:rStyle w:val="None"/>
          <w:rFonts w:ascii="Book Antiqua" w:eastAsia="Book Antiqua" w:hAnsi="Book Antiqua" w:cs="Book Antiqua"/>
          <w:color w:val="000000"/>
        </w:rPr>
        <w:t>receiving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anticoagulation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when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Style w:val="None"/>
          <w:rFonts w:ascii="Book Antiqua" w:eastAsia="Book Antiqua" w:hAnsi="Book Antiqua" w:cs="Book Antiqua"/>
          <w:color w:val="000000"/>
        </w:rPr>
        <w:t>needed.</w:t>
      </w:r>
      <w:r w:rsidR="00951AEE" w:rsidRPr="007B3561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F60FDC" w:rsidRPr="007B3561">
        <w:rPr>
          <w:rStyle w:val="None"/>
          <w:rFonts w:ascii="Book Antiqua" w:eastAsia="Book Antiqua" w:hAnsi="Book Antiqua" w:cs="Book Antiqua"/>
          <w:color w:val="000000"/>
        </w:rPr>
        <w:t>L</w:t>
      </w:r>
      <w:r w:rsidR="009D18BE" w:rsidRPr="007B3561">
        <w:rPr>
          <w:rStyle w:val="None"/>
          <w:rFonts w:ascii="Book Antiqua" w:eastAsia="Book Antiqua" w:hAnsi="Book Antiqua" w:cs="Book Antiqua"/>
          <w:color w:val="000000"/>
        </w:rPr>
        <w:t>ow molecular weight heparin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seemed</w:t>
      </w:r>
      <w:r w:rsidR="007969D8" w:rsidRPr="007B3561">
        <w:rPr>
          <w:rFonts w:ascii="Book Antiqua" w:eastAsia="Book Antiqua" w:hAnsi="Book Antiqua" w:cs="Book Antiqua"/>
          <w:color w:val="000000"/>
        </w:rPr>
        <w:t xml:space="preserve"> to be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choice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MYH9-RD,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shorter-half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life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B3561">
        <w:rPr>
          <w:rFonts w:ascii="Book Antiqua" w:eastAsia="Book Antiqua" w:hAnsi="Book Antiqua" w:cs="Book Antiqua"/>
          <w:color w:val="000000"/>
        </w:rPr>
        <w:t>reversibility,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shown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optimal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choice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severe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COVID-19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infection.</w:t>
      </w:r>
    </w:p>
    <w:p w14:paraId="43400C62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0B27EA2A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REFERENCES</w:t>
      </w:r>
    </w:p>
    <w:p w14:paraId="0310C7E2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 </w:t>
      </w:r>
      <w:r w:rsidRPr="007B3561">
        <w:rPr>
          <w:rFonts w:ascii="Book Antiqua" w:hAnsi="Book Antiqua"/>
          <w:b/>
          <w:bCs/>
        </w:rPr>
        <w:t>Althaus K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Greinacher</w:t>
      </w:r>
      <w:proofErr w:type="spellEnd"/>
      <w:r w:rsidRPr="007B3561">
        <w:rPr>
          <w:rFonts w:ascii="Book Antiqua" w:hAnsi="Book Antiqua"/>
        </w:rPr>
        <w:t xml:space="preserve"> A. MYH9-related platelet disorders. </w:t>
      </w:r>
      <w:proofErr w:type="spellStart"/>
      <w:r w:rsidRPr="007B3561">
        <w:rPr>
          <w:rFonts w:ascii="Book Antiqua" w:hAnsi="Book Antiqua"/>
          <w:i/>
          <w:iCs/>
        </w:rPr>
        <w:t>Semin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Thromb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Hemost</w:t>
      </w:r>
      <w:proofErr w:type="spellEnd"/>
      <w:r w:rsidRPr="007B3561">
        <w:rPr>
          <w:rFonts w:ascii="Book Antiqua" w:hAnsi="Book Antiqua"/>
        </w:rPr>
        <w:t xml:space="preserve"> 2009; </w:t>
      </w:r>
      <w:r w:rsidRPr="007B3561">
        <w:rPr>
          <w:rFonts w:ascii="Book Antiqua" w:hAnsi="Book Antiqua"/>
          <w:b/>
          <w:bCs/>
        </w:rPr>
        <w:t>35</w:t>
      </w:r>
      <w:r w:rsidRPr="007B3561">
        <w:rPr>
          <w:rFonts w:ascii="Book Antiqua" w:hAnsi="Book Antiqua"/>
        </w:rPr>
        <w:t>: 189-203 [PMID: 19408192 DOI: 10.1055/s-0029-1220327]</w:t>
      </w:r>
    </w:p>
    <w:p w14:paraId="35D0DE60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2 </w:t>
      </w:r>
      <w:r w:rsidRPr="007B3561">
        <w:rPr>
          <w:rFonts w:ascii="Book Antiqua" w:hAnsi="Book Antiqua"/>
          <w:b/>
          <w:bCs/>
        </w:rPr>
        <w:t>Althaus K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Greinacher</w:t>
      </w:r>
      <w:proofErr w:type="spellEnd"/>
      <w:r w:rsidRPr="007B3561">
        <w:rPr>
          <w:rFonts w:ascii="Book Antiqua" w:hAnsi="Book Antiqua"/>
        </w:rPr>
        <w:t xml:space="preserve"> A. MYH-9 Related Platelet Disorders: Strategies for Management and Diagnosis. </w:t>
      </w:r>
      <w:proofErr w:type="spellStart"/>
      <w:r w:rsidRPr="007B3561">
        <w:rPr>
          <w:rFonts w:ascii="Book Antiqua" w:hAnsi="Book Antiqua"/>
          <w:i/>
          <w:iCs/>
        </w:rPr>
        <w:t>Transfus</w:t>
      </w:r>
      <w:proofErr w:type="spellEnd"/>
      <w:r w:rsidRPr="007B3561">
        <w:rPr>
          <w:rFonts w:ascii="Book Antiqua" w:hAnsi="Book Antiqua"/>
          <w:i/>
          <w:iCs/>
        </w:rPr>
        <w:t xml:space="preserve"> Med </w:t>
      </w:r>
      <w:proofErr w:type="spellStart"/>
      <w:r w:rsidRPr="007B3561">
        <w:rPr>
          <w:rFonts w:ascii="Book Antiqua" w:hAnsi="Book Antiqua"/>
          <w:i/>
          <w:iCs/>
        </w:rPr>
        <w:t>Hemother</w:t>
      </w:r>
      <w:proofErr w:type="spellEnd"/>
      <w:r w:rsidRPr="007B3561">
        <w:rPr>
          <w:rFonts w:ascii="Book Antiqua" w:hAnsi="Book Antiqua"/>
        </w:rPr>
        <w:t xml:space="preserve"> 2010; </w:t>
      </w:r>
      <w:r w:rsidRPr="007B3561">
        <w:rPr>
          <w:rFonts w:ascii="Book Antiqua" w:hAnsi="Book Antiqua"/>
          <w:b/>
          <w:bCs/>
        </w:rPr>
        <w:t>37</w:t>
      </w:r>
      <w:r w:rsidRPr="007B3561">
        <w:rPr>
          <w:rFonts w:ascii="Book Antiqua" w:hAnsi="Book Antiqua"/>
        </w:rPr>
        <w:t>: 260-267 [PMID: 21113248 DOI: 10.1159/000320335]</w:t>
      </w:r>
    </w:p>
    <w:p w14:paraId="28EFE856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3 </w:t>
      </w:r>
      <w:proofErr w:type="spellStart"/>
      <w:r w:rsidRPr="007B3561">
        <w:rPr>
          <w:rFonts w:ascii="Book Antiqua" w:hAnsi="Book Antiqua"/>
          <w:b/>
          <w:bCs/>
        </w:rPr>
        <w:t>Tufano</w:t>
      </w:r>
      <w:proofErr w:type="spellEnd"/>
      <w:r w:rsidRPr="007B3561">
        <w:rPr>
          <w:rFonts w:ascii="Book Antiqua" w:hAnsi="Book Antiqua"/>
          <w:b/>
          <w:bCs/>
        </w:rPr>
        <w:t xml:space="preserve"> A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Guida</w:t>
      </w:r>
      <w:proofErr w:type="spellEnd"/>
      <w:r w:rsidRPr="007B3561">
        <w:rPr>
          <w:rFonts w:ascii="Book Antiqua" w:hAnsi="Book Antiqua"/>
        </w:rPr>
        <w:t xml:space="preserve"> A, Di </w:t>
      </w:r>
      <w:proofErr w:type="spellStart"/>
      <w:r w:rsidRPr="007B3561">
        <w:rPr>
          <w:rFonts w:ascii="Book Antiqua" w:hAnsi="Book Antiqua"/>
        </w:rPr>
        <w:t>Minno</w:t>
      </w:r>
      <w:proofErr w:type="spellEnd"/>
      <w:r w:rsidRPr="007B3561">
        <w:rPr>
          <w:rFonts w:ascii="Book Antiqua" w:hAnsi="Book Antiqua"/>
        </w:rPr>
        <w:t xml:space="preserve"> MN, </w:t>
      </w:r>
      <w:proofErr w:type="spellStart"/>
      <w:r w:rsidRPr="007B3561">
        <w:rPr>
          <w:rFonts w:ascii="Book Antiqua" w:hAnsi="Book Antiqua"/>
        </w:rPr>
        <w:t>Prisco</w:t>
      </w:r>
      <w:proofErr w:type="spellEnd"/>
      <w:r w:rsidRPr="007B3561">
        <w:rPr>
          <w:rFonts w:ascii="Book Antiqua" w:hAnsi="Book Antiqua"/>
        </w:rPr>
        <w:t xml:space="preserve"> D, </w:t>
      </w:r>
      <w:proofErr w:type="spellStart"/>
      <w:r w:rsidRPr="007B3561">
        <w:rPr>
          <w:rFonts w:ascii="Book Antiqua" w:hAnsi="Book Antiqua"/>
        </w:rPr>
        <w:t>Cerbone</w:t>
      </w:r>
      <w:proofErr w:type="spellEnd"/>
      <w:r w:rsidRPr="007B3561">
        <w:rPr>
          <w:rFonts w:ascii="Book Antiqua" w:hAnsi="Book Antiqua"/>
        </w:rPr>
        <w:t xml:space="preserve"> AM, Di </w:t>
      </w:r>
      <w:proofErr w:type="spellStart"/>
      <w:r w:rsidRPr="007B3561">
        <w:rPr>
          <w:rFonts w:ascii="Book Antiqua" w:hAnsi="Book Antiqua"/>
        </w:rPr>
        <w:t>Minno</w:t>
      </w:r>
      <w:proofErr w:type="spellEnd"/>
      <w:r w:rsidRPr="007B3561">
        <w:rPr>
          <w:rFonts w:ascii="Book Antiqua" w:hAnsi="Book Antiqua"/>
        </w:rPr>
        <w:t xml:space="preserve"> G. Prevention of venous thromboembolism in medical patients with thrombocytopenia or with platelet dysfunction: a review of the literature. </w:t>
      </w:r>
      <w:proofErr w:type="spellStart"/>
      <w:r w:rsidRPr="007B3561">
        <w:rPr>
          <w:rFonts w:ascii="Book Antiqua" w:hAnsi="Book Antiqua"/>
          <w:i/>
          <w:iCs/>
        </w:rPr>
        <w:t>Semin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Thromb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Hemost</w:t>
      </w:r>
      <w:proofErr w:type="spellEnd"/>
      <w:r w:rsidRPr="007B3561">
        <w:rPr>
          <w:rFonts w:ascii="Book Antiqua" w:hAnsi="Book Antiqua"/>
        </w:rPr>
        <w:t xml:space="preserve"> 2011; </w:t>
      </w:r>
      <w:r w:rsidRPr="007B3561">
        <w:rPr>
          <w:rFonts w:ascii="Book Antiqua" w:hAnsi="Book Antiqua"/>
          <w:b/>
          <w:bCs/>
        </w:rPr>
        <w:t>37</w:t>
      </w:r>
      <w:r w:rsidRPr="007B3561">
        <w:rPr>
          <w:rFonts w:ascii="Book Antiqua" w:hAnsi="Book Antiqua"/>
        </w:rPr>
        <w:t>: 267-274 [PMID: 21455860 DOI: 10.1055/s-0031-1273090]</w:t>
      </w:r>
    </w:p>
    <w:p w14:paraId="16B10575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4 </w:t>
      </w:r>
      <w:proofErr w:type="spellStart"/>
      <w:r w:rsidRPr="007B3561">
        <w:rPr>
          <w:rFonts w:ascii="Book Antiqua" w:hAnsi="Book Antiqua"/>
          <w:b/>
          <w:bCs/>
        </w:rPr>
        <w:t>Aktaa</w:t>
      </w:r>
      <w:proofErr w:type="spellEnd"/>
      <w:r w:rsidRPr="007B3561">
        <w:rPr>
          <w:rFonts w:ascii="Book Antiqua" w:hAnsi="Book Antiqua"/>
          <w:b/>
          <w:bCs/>
        </w:rPr>
        <w:t xml:space="preserve"> S</w:t>
      </w:r>
      <w:r w:rsidRPr="007B3561">
        <w:rPr>
          <w:rFonts w:ascii="Book Antiqua" w:hAnsi="Book Antiqua"/>
        </w:rPr>
        <w:t xml:space="preserve">, Wu J, Nadarajah R, Rashid M, de </w:t>
      </w:r>
      <w:proofErr w:type="spellStart"/>
      <w:r w:rsidRPr="007B3561">
        <w:rPr>
          <w:rFonts w:ascii="Book Antiqua" w:hAnsi="Book Antiqua"/>
        </w:rPr>
        <w:t>Belder</w:t>
      </w:r>
      <w:proofErr w:type="spellEnd"/>
      <w:r w:rsidRPr="007B3561">
        <w:rPr>
          <w:rFonts w:ascii="Book Antiqua" w:hAnsi="Book Antiqua"/>
        </w:rPr>
        <w:t xml:space="preserve"> M, </w:t>
      </w:r>
      <w:proofErr w:type="spellStart"/>
      <w:r w:rsidRPr="007B3561">
        <w:rPr>
          <w:rFonts w:ascii="Book Antiqua" w:hAnsi="Book Antiqua"/>
        </w:rPr>
        <w:t>Deanfield</w:t>
      </w:r>
      <w:proofErr w:type="spellEnd"/>
      <w:r w:rsidRPr="007B3561">
        <w:rPr>
          <w:rFonts w:ascii="Book Antiqua" w:hAnsi="Book Antiqua"/>
        </w:rPr>
        <w:t xml:space="preserve"> J, Mamas MA, Gale CP. Incidence and mortality due to thromboembolic events during the COVID-19 pandemic: Multi-sourced population-based health records cohort study. </w:t>
      </w:r>
      <w:proofErr w:type="spellStart"/>
      <w:r w:rsidRPr="007B3561">
        <w:rPr>
          <w:rFonts w:ascii="Book Antiqua" w:hAnsi="Book Antiqua"/>
          <w:i/>
          <w:iCs/>
        </w:rPr>
        <w:t>Thromb</w:t>
      </w:r>
      <w:proofErr w:type="spellEnd"/>
      <w:r w:rsidRPr="007B3561">
        <w:rPr>
          <w:rFonts w:ascii="Book Antiqua" w:hAnsi="Book Antiqua"/>
          <w:i/>
          <w:iCs/>
        </w:rPr>
        <w:t xml:space="preserve"> Res</w:t>
      </w:r>
      <w:r w:rsidRPr="007B3561">
        <w:rPr>
          <w:rFonts w:ascii="Book Antiqua" w:hAnsi="Book Antiqua"/>
        </w:rPr>
        <w:t xml:space="preserve"> 2021; </w:t>
      </w:r>
      <w:r w:rsidRPr="007B3561">
        <w:rPr>
          <w:rFonts w:ascii="Book Antiqua" w:hAnsi="Book Antiqua"/>
          <w:b/>
          <w:bCs/>
        </w:rPr>
        <w:t>202</w:t>
      </w:r>
      <w:r w:rsidRPr="007B3561">
        <w:rPr>
          <w:rFonts w:ascii="Book Antiqua" w:hAnsi="Book Antiqua"/>
        </w:rPr>
        <w:t>: 17-23 [PMID: 33711754 DOI: 10.1016/j.thromres.2021.03.006]</w:t>
      </w:r>
    </w:p>
    <w:p w14:paraId="202B27A8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5 </w:t>
      </w:r>
      <w:r w:rsidRPr="007B3561">
        <w:rPr>
          <w:rFonts w:ascii="Book Antiqua" w:hAnsi="Book Antiqua"/>
          <w:b/>
          <w:bCs/>
        </w:rPr>
        <w:t>Mai V</w:t>
      </w:r>
      <w:r w:rsidRPr="007B3561">
        <w:rPr>
          <w:rFonts w:ascii="Book Antiqua" w:hAnsi="Book Antiqua"/>
        </w:rPr>
        <w:t xml:space="preserve">, Tan BK, </w:t>
      </w:r>
      <w:proofErr w:type="spellStart"/>
      <w:r w:rsidRPr="007B3561">
        <w:rPr>
          <w:rFonts w:ascii="Book Antiqua" w:hAnsi="Book Antiqua"/>
        </w:rPr>
        <w:t>Mainbourg</w:t>
      </w:r>
      <w:proofErr w:type="spellEnd"/>
      <w:r w:rsidRPr="007B3561">
        <w:rPr>
          <w:rFonts w:ascii="Book Antiqua" w:hAnsi="Book Antiqua"/>
        </w:rPr>
        <w:t xml:space="preserve"> S, </w:t>
      </w:r>
      <w:proofErr w:type="spellStart"/>
      <w:r w:rsidRPr="007B3561">
        <w:rPr>
          <w:rFonts w:ascii="Book Antiqua" w:hAnsi="Book Antiqua"/>
        </w:rPr>
        <w:t>Potus</w:t>
      </w:r>
      <w:proofErr w:type="spellEnd"/>
      <w:r w:rsidRPr="007B3561">
        <w:rPr>
          <w:rFonts w:ascii="Book Antiqua" w:hAnsi="Book Antiqua"/>
        </w:rPr>
        <w:t xml:space="preserve"> F, </w:t>
      </w:r>
      <w:proofErr w:type="spellStart"/>
      <w:r w:rsidRPr="007B3561">
        <w:rPr>
          <w:rFonts w:ascii="Book Antiqua" w:hAnsi="Book Antiqua"/>
        </w:rPr>
        <w:t>Cucherat</w:t>
      </w:r>
      <w:proofErr w:type="spellEnd"/>
      <w:r w:rsidRPr="007B3561">
        <w:rPr>
          <w:rFonts w:ascii="Book Antiqua" w:hAnsi="Book Antiqua"/>
        </w:rPr>
        <w:t xml:space="preserve"> M, Lega JC, Provencher S. Venous thromboembolism in COVID-19 compared to non-COVID-19 cohorts: A systematic </w:t>
      </w:r>
      <w:r w:rsidRPr="007B3561">
        <w:rPr>
          <w:rFonts w:ascii="Book Antiqua" w:hAnsi="Book Antiqua"/>
        </w:rPr>
        <w:lastRenderedPageBreak/>
        <w:t xml:space="preserve">review with meta-analysis. </w:t>
      </w:r>
      <w:proofErr w:type="spellStart"/>
      <w:r w:rsidRPr="007B3561">
        <w:rPr>
          <w:rFonts w:ascii="Book Antiqua" w:hAnsi="Book Antiqua"/>
          <w:i/>
          <w:iCs/>
        </w:rPr>
        <w:t>Vascul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Pharmacol</w:t>
      </w:r>
      <w:proofErr w:type="spellEnd"/>
      <w:r w:rsidRPr="007B3561">
        <w:rPr>
          <w:rFonts w:ascii="Book Antiqua" w:hAnsi="Book Antiqua"/>
        </w:rPr>
        <w:t xml:space="preserve"> 2021; </w:t>
      </w:r>
      <w:r w:rsidRPr="007B3561">
        <w:rPr>
          <w:rFonts w:ascii="Book Antiqua" w:hAnsi="Book Antiqua"/>
          <w:b/>
          <w:bCs/>
        </w:rPr>
        <w:t>139</w:t>
      </w:r>
      <w:r w:rsidRPr="007B3561">
        <w:rPr>
          <w:rFonts w:ascii="Book Antiqua" w:hAnsi="Book Antiqua"/>
        </w:rPr>
        <w:t>: 106882 [PMID: 34087481 DOI: 10.1016/j.vph.2021.106882]</w:t>
      </w:r>
    </w:p>
    <w:p w14:paraId="329D1CD1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6 </w:t>
      </w:r>
      <w:proofErr w:type="spellStart"/>
      <w:r w:rsidRPr="007B3561">
        <w:rPr>
          <w:rFonts w:ascii="Book Antiqua" w:hAnsi="Book Antiqua"/>
          <w:b/>
          <w:bCs/>
        </w:rPr>
        <w:t>Nopp</w:t>
      </w:r>
      <w:proofErr w:type="spellEnd"/>
      <w:r w:rsidRPr="007B3561">
        <w:rPr>
          <w:rFonts w:ascii="Book Antiqua" w:hAnsi="Book Antiqua"/>
          <w:b/>
          <w:bCs/>
        </w:rPr>
        <w:t xml:space="preserve"> S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Moik</w:t>
      </w:r>
      <w:proofErr w:type="spellEnd"/>
      <w:r w:rsidRPr="007B3561">
        <w:rPr>
          <w:rFonts w:ascii="Book Antiqua" w:hAnsi="Book Antiqua"/>
        </w:rPr>
        <w:t xml:space="preserve"> F, </w:t>
      </w:r>
      <w:proofErr w:type="spellStart"/>
      <w:r w:rsidRPr="007B3561">
        <w:rPr>
          <w:rFonts w:ascii="Book Antiqua" w:hAnsi="Book Antiqua"/>
        </w:rPr>
        <w:t>Jilma</w:t>
      </w:r>
      <w:proofErr w:type="spellEnd"/>
      <w:r w:rsidRPr="007B3561">
        <w:rPr>
          <w:rFonts w:ascii="Book Antiqua" w:hAnsi="Book Antiqua"/>
        </w:rPr>
        <w:t xml:space="preserve"> B, </w:t>
      </w:r>
      <w:proofErr w:type="spellStart"/>
      <w:r w:rsidRPr="007B3561">
        <w:rPr>
          <w:rFonts w:ascii="Book Antiqua" w:hAnsi="Book Antiqua"/>
        </w:rPr>
        <w:t>Pabinger</w:t>
      </w:r>
      <w:proofErr w:type="spellEnd"/>
      <w:r w:rsidRPr="007B3561">
        <w:rPr>
          <w:rFonts w:ascii="Book Antiqua" w:hAnsi="Book Antiqua"/>
        </w:rPr>
        <w:t xml:space="preserve"> I, Ay C. Risk of venous thromboembolism in patients with COVID-19: A systematic review and meta-analysis. </w:t>
      </w:r>
      <w:r w:rsidRPr="007B3561">
        <w:rPr>
          <w:rFonts w:ascii="Book Antiqua" w:hAnsi="Book Antiqua"/>
          <w:i/>
          <w:iCs/>
        </w:rPr>
        <w:t xml:space="preserve">Res </w:t>
      </w:r>
      <w:proofErr w:type="spellStart"/>
      <w:r w:rsidRPr="007B3561">
        <w:rPr>
          <w:rFonts w:ascii="Book Antiqua" w:hAnsi="Book Antiqua"/>
          <w:i/>
          <w:iCs/>
        </w:rPr>
        <w:t>Pract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Thromb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Haemost</w:t>
      </w:r>
      <w:proofErr w:type="spellEnd"/>
      <w:r w:rsidRPr="007B3561">
        <w:rPr>
          <w:rFonts w:ascii="Book Antiqua" w:hAnsi="Book Antiqua"/>
        </w:rPr>
        <w:t xml:space="preserve"> 2020; </w:t>
      </w:r>
      <w:r w:rsidRPr="007B3561">
        <w:rPr>
          <w:rFonts w:ascii="Book Antiqua" w:hAnsi="Book Antiqua"/>
          <w:b/>
          <w:bCs/>
        </w:rPr>
        <w:t>4</w:t>
      </w:r>
      <w:r w:rsidRPr="007B3561">
        <w:rPr>
          <w:rFonts w:ascii="Book Antiqua" w:hAnsi="Book Antiqua"/>
        </w:rPr>
        <w:t>: 1178-1191 [PMID: 33043231 DOI: 10.1002/rth2.12439]</w:t>
      </w:r>
    </w:p>
    <w:p w14:paraId="50674E06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7 </w:t>
      </w:r>
      <w:proofErr w:type="spellStart"/>
      <w:r w:rsidRPr="007B3561">
        <w:rPr>
          <w:rFonts w:ascii="Book Antiqua" w:hAnsi="Book Antiqua"/>
          <w:b/>
          <w:bCs/>
        </w:rPr>
        <w:t>Zaninetti</w:t>
      </w:r>
      <w:proofErr w:type="spellEnd"/>
      <w:r w:rsidRPr="007B3561">
        <w:rPr>
          <w:rFonts w:ascii="Book Antiqua" w:hAnsi="Book Antiqua"/>
          <w:b/>
          <w:bCs/>
        </w:rPr>
        <w:t xml:space="preserve"> C</w:t>
      </w:r>
      <w:r w:rsidRPr="007B3561">
        <w:rPr>
          <w:rFonts w:ascii="Book Antiqua" w:hAnsi="Book Antiqua"/>
        </w:rPr>
        <w:t xml:space="preserve">, Thiele T. Anticoagulation in Patients with Platelet Disorders. </w:t>
      </w:r>
      <w:proofErr w:type="spellStart"/>
      <w:r w:rsidRPr="007B3561">
        <w:rPr>
          <w:rFonts w:ascii="Book Antiqua" w:hAnsi="Book Antiqua"/>
          <w:i/>
          <w:iCs/>
        </w:rPr>
        <w:t>Hamostaseologie</w:t>
      </w:r>
      <w:proofErr w:type="spellEnd"/>
      <w:r w:rsidRPr="007B3561">
        <w:rPr>
          <w:rFonts w:ascii="Book Antiqua" w:hAnsi="Book Antiqua"/>
        </w:rPr>
        <w:t xml:space="preserve"> 2021; </w:t>
      </w:r>
      <w:r w:rsidRPr="007B3561">
        <w:rPr>
          <w:rFonts w:ascii="Book Antiqua" w:hAnsi="Book Antiqua"/>
          <w:b/>
          <w:bCs/>
        </w:rPr>
        <w:t>41</w:t>
      </w:r>
      <w:r w:rsidRPr="007B3561">
        <w:rPr>
          <w:rFonts w:ascii="Book Antiqua" w:hAnsi="Book Antiqua"/>
        </w:rPr>
        <w:t>: 112-119 [PMID: 33860519 DOI: 10.1055/a-1344-7279]</w:t>
      </w:r>
    </w:p>
    <w:p w14:paraId="26291CB0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8 </w:t>
      </w:r>
      <w:r w:rsidRPr="007B3561">
        <w:rPr>
          <w:rFonts w:ascii="Book Antiqua" w:hAnsi="Book Antiqua"/>
          <w:b/>
          <w:bCs/>
        </w:rPr>
        <w:t>Fernandez-Prado R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Carriazo</w:t>
      </w:r>
      <w:proofErr w:type="spellEnd"/>
      <w:r w:rsidRPr="007B3561">
        <w:rPr>
          <w:rFonts w:ascii="Book Antiqua" w:hAnsi="Book Antiqua"/>
        </w:rPr>
        <w:t xml:space="preserve">-Julio SM, </w:t>
      </w:r>
      <w:proofErr w:type="spellStart"/>
      <w:r w:rsidRPr="007B3561">
        <w:rPr>
          <w:rFonts w:ascii="Book Antiqua" w:hAnsi="Book Antiqua"/>
        </w:rPr>
        <w:t>Torra</w:t>
      </w:r>
      <w:proofErr w:type="spellEnd"/>
      <w:r w:rsidRPr="007B3561">
        <w:rPr>
          <w:rFonts w:ascii="Book Antiqua" w:hAnsi="Book Antiqua"/>
        </w:rPr>
        <w:t xml:space="preserve"> R, Ortiz A, Perez-Gomez MV. MYH9-related disease: it does exist, may be more frequent than you think and requires specific therapy. </w:t>
      </w:r>
      <w:r w:rsidRPr="007B3561">
        <w:rPr>
          <w:rFonts w:ascii="Book Antiqua" w:hAnsi="Book Antiqua"/>
          <w:i/>
          <w:iCs/>
        </w:rPr>
        <w:t>Clin Kidney J</w:t>
      </w:r>
      <w:r w:rsidRPr="007B3561">
        <w:rPr>
          <w:rFonts w:ascii="Book Antiqua" w:hAnsi="Book Antiqua"/>
        </w:rPr>
        <w:t xml:space="preserve"> 2019; </w:t>
      </w:r>
      <w:r w:rsidRPr="007B3561">
        <w:rPr>
          <w:rFonts w:ascii="Book Antiqua" w:hAnsi="Book Antiqua"/>
          <w:b/>
          <w:bCs/>
        </w:rPr>
        <w:t>12</w:t>
      </w:r>
      <w:r w:rsidRPr="007B3561">
        <w:rPr>
          <w:rFonts w:ascii="Book Antiqua" w:hAnsi="Book Antiqua"/>
        </w:rPr>
        <w:t>: 488-493 [PMID: 31384439 DOI: 10.1093/</w:t>
      </w:r>
      <w:proofErr w:type="spellStart"/>
      <w:r w:rsidRPr="007B3561">
        <w:rPr>
          <w:rFonts w:ascii="Book Antiqua" w:hAnsi="Book Antiqua"/>
        </w:rPr>
        <w:t>ckj</w:t>
      </w:r>
      <w:proofErr w:type="spellEnd"/>
      <w:r w:rsidRPr="007B3561">
        <w:rPr>
          <w:rFonts w:ascii="Book Antiqua" w:hAnsi="Book Antiqua"/>
        </w:rPr>
        <w:t>/sfz103]</w:t>
      </w:r>
    </w:p>
    <w:p w14:paraId="123E63FB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9 </w:t>
      </w:r>
      <w:r w:rsidRPr="007B3561">
        <w:rPr>
          <w:rFonts w:ascii="Book Antiqua" w:hAnsi="Book Antiqua"/>
          <w:b/>
          <w:bCs/>
        </w:rPr>
        <w:t>Seri M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Pecci</w:t>
      </w:r>
      <w:proofErr w:type="spellEnd"/>
      <w:r w:rsidRPr="007B3561">
        <w:rPr>
          <w:rFonts w:ascii="Book Antiqua" w:hAnsi="Book Antiqua"/>
        </w:rPr>
        <w:t xml:space="preserve"> A, Di Bari F, Cusano R, Savino M, </w:t>
      </w:r>
      <w:proofErr w:type="spellStart"/>
      <w:r w:rsidRPr="007B3561">
        <w:rPr>
          <w:rFonts w:ascii="Book Antiqua" w:hAnsi="Book Antiqua"/>
        </w:rPr>
        <w:t>Panza</w:t>
      </w:r>
      <w:proofErr w:type="spellEnd"/>
      <w:r w:rsidRPr="007B3561">
        <w:rPr>
          <w:rFonts w:ascii="Book Antiqua" w:hAnsi="Book Antiqua"/>
        </w:rPr>
        <w:t xml:space="preserve"> E, Nigro A, </w:t>
      </w:r>
      <w:proofErr w:type="spellStart"/>
      <w:r w:rsidRPr="007B3561">
        <w:rPr>
          <w:rFonts w:ascii="Book Antiqua" w:hAnsi="Book Antiqua"/>
        </w:rPr>
        <w:t>Noris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Gangarossa</w:t>
      </w:r>
      <w:proofErr w:type="spellEnd"/>
      <w:r w:rsidRPr="007B3561">
        <w:rPr>
          <w:rFonts w:ascii="Book Antiqua" w:hAnsi="Book Antiqua"/>
        </w:rPr>
        <w:t xml:space="preserve"> S, Rocca B, </w:t>
      </w:r>
      <w:proofErr w:type="spellStart"/>
      <w:r w:rsidRPr="007B3561">
        <w:rPr>
          <w:rFonts w:ascii="Book Antiqua" w:hAnsi="Book Antiqua"/>
        </w:rPr>
        <w:t>Gresele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Bizzaro</w:t>
      </w:r>
      <w:proofErr w:type="spellEnd"/>
      <w:r w:rsidRPr="007B3561">
        <w:rPr>
          <w:rFonts w:ascii="Book Antiqua" w:hAnsi="Book Antiqua"/>
        </w:rPr>
        <w:t xml:space="preserve"> N, Malatesta P, </w:t>
      </w:r>
      <w:proofErr w:type="spellStart"/>
      <w:r w:rsidRPr="007B3561">
        <w:rPr>
          <w:rFonts w:ascii="Book Antiqua" w:hAnsi="Book Antiqua"/>
        </w:rPr>
        <w:t>Koivisto</w:t>
      </w:r>
      <w:proofErr w:type="spellEnd"/>
      <w:r w:rsidRPr="007B3561">
        <w:rPr>
          <w:rFonts w:ascii="Book Antiqua" w:hAnsi="Book Antiqua"/>
        </w:rPr>
        <w:t xml:space="preserve"> PA, Longo I, </w:t>
      </w:r>
      <w:proofErr w:type="spellStart"/>
      <w:r w:rsidRPr="007B3561">
        <w:rPr>
          <w:rFonts w:ascii="Book Antiqua" w:hAnsi="Book Antiqua"/>
        </w:rPr>
        <w:t>Musso</w:t>
      </w:r>
      <w:proofErr w:type="spellEnd"/>
      <w:r w:rsidRPr="007B3561">
        <w:rPr>
          <w:rFonts w:ascii="Book Antiqua" w:hAnsi="Book Antiqua"/>
        </w:rPr>
        <w:t xml:space="preserve"> R, Pecoraro C, </w:t>
      </w:r>
      <w:proofErr w:type="spellStart"/>
      <w:r w:rsidRPr="007B3561">
        <w:rPr>
          <w:rFonts w:ascii="Book Antiqua" w:hAnsi="Book Antiqua"/>
        </w:rPr>
        <w:t>Iolascon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Magrini</w:t>
      </w:r>
      <w:proofErr w:type="spellEnd"/>
      <w:r w:rsidRPr="007B3561">
        <w:rPr>
          <w:rFonts w:ascii="Book Antiqua" w:hAnsi="Book Antiqua"/>
        </w:rPr>
        <w:t xml:space="preserve"> U, Rodriguez Soriano J, </w:t>
      </w:r>
      <w:proofErr w:type="spellStart"/>
      <w:r w:rsidRPr="007B3561">
        <w:rPr>
          <w:rFonts w:ascii="Book Antiqua" w:hAnsi="Book Antiqua"/>
        </w:rPr>
        <w:t>Renieri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Ghiggeri</w:t>
      </w:r>
      <w:proofErr w:type="spellEnd"/>
      <w:r w:rsidRPr="007B3561">
        <w:rPr>
          <w:rFonts w:ascii="Book Antiqua" w:hAnsi="Book Antiqua"/>
        </w:rPr>
        <w:t xml:space="preserve"> GM, </w:t>
      </w:r>
      <w:proofErr w:type="spellStart"/>
      <w:r w:rsidRPr="007B3561">
        <w:rPr>
          <w:rFonts w:ascii="Book Antiqua" w:hAnsi="Book Antiqua"/>
        </w:rPr>
        <w:t>Ravazzolo</w:t>
      </w:r>
      <w:proofErr w:type="spellEnd"/>
      <w:r w:rsidRPr="007B3561">
        <w:rPr>
          <w:rFonts w:ascii="Book Antiqua" w:hAnsi="Book Antiqua"/>
        </w:rPr>
        <w:t xml:space="preserve"> R, </w:t>
      </w:r>
      <w:proofErr w:type="spellStart"/>
      <w:r w:rsidRPr="007B3561">
        <w:rPr>
          <w:rFonts w:ascii="Book Antiqua" w:hAnsi="Book Antiqua"/>
        </w:rPr>
        <w:t>Balduini</w:t>
      </w:r>
      <w:proofErr w:type="spellEnd"/>
      <w:r w:rsidRPr="007B3561">
        <w:rPr>
          <w:rFonts w:ascii="Book Antiqua" w:hAnsi="Book Antiqua"/>
        </w:rPr>
        <w:t xml:space="preserve"> CL, </w:t>
      </w:r>
      <w:proofErr w:type="spellStart"/>
      <w:r w:rsidRPr="007B3561">
        <w:rPr>
          <w:rFonts w:ascii="Book Antiqua" w:hAnsi="Book Antiqua"/>
        </w:rPr>
        <w:t>Savoia</w:t>
      </w:r>
      <w:proofErr w:type="spellEnd"/>
      <w:r w:rsidRPr="007B3561">
        <w:rPr>
          <w:rFonts w:ascii="Book Antiqua" w:hAnsi="Book Antiqua"/>
        </w:rPr>
        <w:t xml:space="preserve"> A. MYH9-related disease: May-</w:t>
      </w:r>
      <w:proofErr w:type="spellStart"/>
      <w:r w:rsidRPr="007B3561">
        <w:rPr>
          <w:rFonts w:ascii="Book Antiqua" w:hAnsi="Book Antiqua"/>
        </w:rPr>
        <w:t>Hegglin</w:t>
      </w:r>
      <w:proofErr w:type="spellEnd"/>
      <w:r w:rsidRPr="007B3561">
        <w:rPr>
          <w:rFonts w:ascii="Book Antiqua" w:hAnsi="Book Antiqua"/>
        </w:rPr>
        <w:t xml:space="preserve"> anomaly, Sebastian syndrome, </w:t>
      </w:r>
      <w:proofErr w:type="spellStart"/>
      <w:r w:rsidRPr="007B3561">
        <w:rPr>
          <w:rFonts w:ascii="Book Antiqua" w:hAnsi="Book Antiqua"/>
        </w:rPr>
        <w:t>Fechtner</w:t>
      </w:r>
      <w:proofErr w:type="spellEnd"/>
      <w:r w:rsidRPr="007B3561">
        <w:rPr>
          <w:rFonts w:ascii="Book Antiqua" w:hAnsi="Book Antiqua"/>
        </w:rPr>
        <w:t xml:space="preserve"> syndrome, and Epstein syndrome are not distinct entities but represent a variable expression of a single illness. </w:t>
      </w:r>
      <w:r w:rsidRPr="007B3561">
        <w:rPr>
          <w:rFonts w:ascii="Book Antiqua" w:hAnsi="Book Antiqua"/>
          <w:i/>
          <w:iCs/>
        </w:rPr>
        <w:t>Medicine (Baltimore)</w:t>
      </w:r>
      <w:r w:rsidRPr="007B3561">
        <w:rPr>
          <w:rFonts w:ascii="Book Antiqua" w:hAnsi="Book Antiqua"/>
        </w:rPr>
        <w:t xml:space="preserve"> 2003; </w:t>
      </w:r>
      <w:r w:rsidRPr="007B3561">
        <w:rPr>
          <w:rFonts w:ascii="Book Antiqua" w:hAnsi="Book Antiqua"/>
          <w:b/>
          <w:bCs/>
        </w:rPr>
        <w:t>82</w:t>
      </w:r>
      <w:r w:rsidRPr="007B3561">
        <w:rPr>
          <w:rFonts w:ascii="Book Antiqua" w:hAnsi="Book Antiqua"/>
        </w:rPr>
        <w:t>: 203-215 [PMID: 12792306 DOI: 10.1097/00005792-200305000-00006]</w:t>
      </w:r>
    </w:p>
    <w:p w14:paraId="7E8E5811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10 </w:t>
      </w:r>
      <w:proofErr w:type="spellStart"/>
      <w:r w:rsidRPr="007B3561">
        <w:rPr>
          <w:rFonts w:ascii="Book Antiqua" w:hAnsi="Book Antiqua"/>
          <w:b/>
          <w:bCs/>
        </w:rPr>
        <w:t>Pecci</w:t>
      </w:r>
      <w:proofErr w:type="spellEnd"/>
      <w:r w:rsidRPr="007B3561">
        <w:rPr>
          <w:rFonts w:ascii="Book Antiqua" w:hAnsi="Book Antiqua"/>
          <w:b/>
          <w:bCs/>
        </w:rPr>
        <w:t xml:space="preserve"> A</w:t>
      </w:r>
      <w:r w:rsidRPr="007B3561">
        <w:rPr>
          <w:rFonts w:ascii="Book Antiqua" w:hAnsi="Book Antiqua"/>
        </w:rPr>
        <w:t xml:space="preserve">, Ma X, </w:t>
      </w:r>
      <w:proofErr w:type="spellStart"/>
      <w:r w:rsidRPr="007B3561">
        <w:rPr>
          <w:rFonts w:ascii="Book Antiqua" w:hAnsi="Book Antiqua"/>
        </w:rPr>
        <w:t>Savoia</w:t>
      </w:r>
      <w:proofErr w:type="spellEnd"/>
      <w:r w:rsidRPr="007B3561">
        <w:rPr>
          <w:rFonts w:ascii="Book Antiqua" w:hAnsi="Book Antiqua"/>
        </w:rPr>
        <w:t xml:space="preserve"> A, Adelstein RS. MYH9: Structure, functions and role of non-muscle myosin IIA in human disease. </w:t>
      </w:r>
      <w:r w:rsidRPr="007B3561">
        <w:rPr>
          <w:rFonts w:ascii="Book Antiqua" w:hAnsi="Book Antiqua"/>
          <w:i/>
          <w:iCs/>
        </w:rPr>
        <w:t>Gene</w:t>
      </w:r>
      <w:r w:rsidRPr="007B3561">
        <w:rPr>
          <w:rFonts w:ascii="Book Antiqua" w:hAnsi="Book Antiqua"/>
        </w:rPr>
        <w:t xml:space="preserve"> 2018; </w:t>
      </w:r>
      <w:r w:rsidRPr="007B3561">
        <w:rPr>
          <w:rFonts w:ascii="Book Antiqua" w:hAnsi="Book Antiqua"/>
          <w:b/>
          <w:bCs/>
        </w:rPr>
        <w:t>664</w:t>
      </w:r>
      <w:r w:rsidRPr="007B3561">
        <w:rPr>
          <w:rFonts w:ascii="Book Antiqua" w:hAnsi="Book Antiqua"/>
        </w:rPr>
        <w:t>: 152-167 [PMID: 29679756 DOI: 10.1016/j.gene.2018.04.048]</w:t>
      </w:r>
    </w:p>
    <w:p w14:paraId="35D573BF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11 </w:t>
      </w:r>
      <w:proofErr w:type="spellStart"/>
      <w:r w:rsidRPr="007B3561">
        <w:rPr>
          <w:rFonts w:ascii="Book Antiqua" w:hAnsi="Book Antiqua"/>
          <w:b/>
          <w:bCs/>
        </w:rPr>
        <w:t>Canobbio</w:t>
      </w:r>
      <w:proofErr w:type="spellEnd"/>
      <w:r w:rsidRPr="007B3561">
        <w:rPr>
          <w:rFonts w:ascii="Book Antiqua" w:hAnsi="Book Antiqua"/>
          <w:b/>
          <w:bCs/>
        </w:rPr>
        <w:t xml:space="preserve"> I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Noris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Pecci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Balduini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Balduini</w:t>
      </w:r>
      <w:proofErr w:type="spellEnd"/>
      <w:r w:rsidRPr="007B3561">
        <w:rPr>
          <w:rFonts w:ascii="Book Antiqua" w:hAnsi="Book Antiqua"/>
        </w:rPr>
        <w:t xml:space="preserve"> CL, </w:t>
      </w:r>
      <w:proofErr w:type="spellStart"/>
      <w:r w:rsidRPr="007B3561">
        <w:rPr>
          <w:rFonts w:ascii="Book Antiqua" w:hAnsi="Book Antiqua"/>
        </w:rPr>
        <w:t>Torti</w:t>
      </w:r>
      <w:proofErr w:type="spellEnd"/>
      <w:r w:rsidRPr="007B3561">
        <w:rPr>
          <w:rFonts w:ascii="Book Antiqua" w:hAnsi="Book Antiqua"/>
        </w:rPr>
        <w:t xml:space="preserve"> M. Altered cytoskeleton organization in platelets from patients with MYH9-related disease. </w:t>
      </w:r>
      <w:r w:rsidRPr="007B3561">
        <w:rPr>
          <w:rFonts w:ascii="Book Antiqua" w:hAnsi="Book Antiqua"/>
          <w:i/>
          <w:iCs/>
        </w:rPr>
        <w:t xml:space="preserve">J </w:t>
      </w:r>
      <w:proofErr w:type="spellStart"/>
      <w:r w:rsidRPr="007B3561">
        <w:rPr>
          <w:rFonts w:ascii="Book Antiqua" w:hAnsi="Book Antiqua"/>
          <w:i/>
          <w:iCs/>
        </w:rPr>
        <w:t>Thromb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Haemost</w:t>
      </w:r>
      <w:proofErr w:type="spellEnd"/>
      <w:r w:rsidRPr="007B3561">
        <w:rPr>
          <w:rFonts w:ascii="Book Antiqua" w:hAnsi="Book Antiqua"/>
        </w:rPr>
        <w:t xml:space="preserve"> 2005; </w:t>
      </w:r>
      <w:r w:rsidRPr="007B3561">
        <w:rPr>
          <w:rFonts w:ascii="Book Antiqua" w:hAnsi="Book Antiqua"/>
          <w:b/>
          <w:bCs/>
        </w:rPr>
        <w:t>3</w:t>
      </w:r>
      <w:r w:rsidRPr="007B3561">
        <w:rPr>
          <w:rFonts w:ascii="Book Antiqua" w:hAnsi="Book Antiqua"/>
        </w:rPr>
        <w:t>: 1026-1035 [PMID: 15869600 DOI: 10.1111/j.1538-7836.</w:t>
      </w:r>
      <w:proofErr w:type="gramStart"/>
      <w:r w:rsidRPr="007B3561">
        <w:rPr>
          <w:rFonts w:ascii="Book Antiqua" w:hAnsi="Book Antiqua"/>
        </w:rPr>
        <w:t>2005.01244.x</w:t>
      </w:r>
      <w:proofErr w:type="gramEnd"/>
      <w:r w:rsidRPr="007B3561">
        <w:rPr>
          <w:rFonts w:ascii="Book Antiqua" w:hAnsi="Book Antiqua"/>
        </w:rPr>
        <w:t>]</w:t>
      </w:r>
    </w:p>
    <w:p w14:paraId="58C62BB2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12 </w:t>
      </w:r>
      <w:proofErr w:type="spellStart"/>
      <w:r w:rsidRPr="007B3561">
        <w:rPr>
          <w:rFonts w:ascii="Book Antiqua" w:hAnsi="Book Antiqua"/>
          <w:b/>
          <w:bCs/>
        </w:rPr>
        <w:t>Noris</w:t>
      </w:r>
      <w:proofErr w:type="spellEnd"/>
      <w:r w:rsidRPr="007B3561">
        <w:rPr>
          <w:rFonts w:ascii="Book Antiqua" w:hAnsi="Book Antiqua"/>
          <w:b/>
          <w:bCs/>
        </w:rPr>
        <w:t xml:space="preserve"> P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Spedini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Belletti</w:t>
      </w:r>
      <w:proofErr w:type="spellEnd"/>
      <w:r w:rsidRPr="007B3561">
        <w:rPr>
          <w:rFonts w:ascii="Book Antiqua" w:hAnsi="Book Antiqua"/>
        </w:rPr>
        <w:t xml:space="preserve"> S, </w:t>
      </w:r>
      <w:proofErr w:type="spellStart"/>
      <w:r w:rsidRPr="007B3561">
        <w:rPr>
          <w:rFonts w:ascii="Book Antiqua" w:hAnsi="Book Antiqua"/>
        </w:rPr>
        <w:t>Magrini</w:t>
      </w:r>
      <w:proofErr w:type="spellEnd"/>
      <w:r w:rsidRPr="007B3561">
        <w:rPr>
          <w:rFonts w:ascii="Book Antiqua" w:hAnsi="Book Antiqua"/>
        </w:rPr>
        <w:t xml:space="preserve"> U, </w:t>
      </w:r>
      <w:proofErr w:type="spellStart"/>
      <w:r w:rsidRPr="007B3561">
        <w:rPr>
          <w:rFonts w:ascii="Book Antiqua" w:hAnsi="Book Antiqua"/>
        </w:rPr>
        <w:t>Balduini</w:t>
      </w:r>
      <w:proofErr w:type="spellEnd"/>
      <w:r w:rsidRPr="007B3561">
        <w:rPr>
          <w:rFonts w:ascii="Book Antiqua" w:hAnsi="Book Antiqua"/>
        </w:rPr>
        <w:t xml:space="preserve"> CL. Thrombocytopenia, giant platelets, and leukocyte inclusion bodies (May-</w:t>
      </w:r>
      <w:proofErr w:type="spellStart"/>
      <w:r w:rsidRPr="007B3561">
        <w:rPr>
          <w:rFonts w:ascii="Book Antiqua" w:hAnsi="Book Antiqua"/>
        </w:rPr>
        <w:t>Hegglin</w:t>
      </w:r>
      <w:proofErr w:type="spellEnd"/>
      <w:r w:rsidRPr="007B3561">
        <w:rPr>
          <w:rFonts w:ascii="Book Antiqua" w:hAnsi="Book Antiqua"/>
        </w:rPr>
        <w:t xml:space="preserve"> anomaly): clinical and laboratory findings. </w:t>
      </w:r>
      <w:r w:rsidRPr="007B3561">
        <w:rPr>
          <w:rFonts w:ascii="Book Antiqua" w:hAnsi="Book Antiqua"/>
          <w:i/>
          <w:iCs/>
        </w:rPr>
        <w:t>Am J Med</w:t>
      </w:r>
      <w:r w:rsidRPr="007B3561">
        <w:rPr>
          <w:rFonts w:ascii="Book Antiqua" w:hAnsi="Book Antiqua"/>
        </w:rPr>
        <w:t xml:space="preserve"> 1998; </w:t>
      </w:r>
      <w:r w:rsidRPr="007B3561">
        <w:rPr>
          <w:rFonts w:ascii="Book Antiqua" w:hAnsi="Book Antiqua"/>
          <w:b/>
          <w:bCs/>
        </w:rPr>
        <w:t>104</w:t>
      </w:r>
      <w:r w:rsidRPr="007B3561">
        <w:rPr>
          <w:rFonts w:ascii="Book Antiqua" w:hAnsi="Book Antiqua"/>
        </w:rPr>
        <w:t>: 355-360 [PMID: 9576409 DOI: 10.1016/s0002-9343(98)00062-x]</w:t>
      </w:r>
    </w:p>
    <w:p w14:paraId="4587262D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13 </w:t>
      </w:r>
      <w:r w:rsidRPr="007B3561">
        <w:rPr>
          <w:rFonts w:ascii="Book Antiqua" w:hAnsi="Book Antiqua"/>
          <w:b/>
          <w:bCs/>
        </w:rPr>
        <w:t>Asensio-Juárez G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Llorente</w:t>
      </w:r>
      <w:proofErr w:type="spellEnd"/>
      <w:r w:rsidRPr="007B3561">
        <w:rPr>
          <w:rFonts w:ascii="Book Antiqua" w:hAnsi="Book Antiqua"/>
        </w:rPr>
        <w:t xml:space="preserve">-González C, Vicente-Manzanares M. Linking the Landscape of </w:t>
      </w:r>
      <w:r w:rsidRPr="007B3561">
        <w:rPr>
          <w:rFonts w:ascii="Book Antiqua" w:hAnsi="Book Antiqua"/>
          <w:i/>
          <w:iCs/>
        </w:rPr>
        <w:t>MYH9</w:t>
      </w:r>
      <w:r w:rsidRPr="007B3561">
        <w:rPr>
          <w:rFonts w:ascii="Book Antiqua" w:hAnsi="Book Antiqua"/>
        </w:rPr>
        <w:t>-Related Diseases to the Molecular Mechanisms that Control Non-</w:t>
      </w:r>
      <w:r w:rsidRPr="007B3561">
        <w:rPr>
          <w:rFonts w:ascii="Book Antiqua" w:hAnsi="Book Antiqua"/>
        </w:rPr>
        <w:lastRenderedPageBreak/>
        <w:t xml:space="preserve">Muscle Myosin II-A Function in Cells. </w:t>
      </w:r>
      <w:r w:rsidRPr="007B3561">
        <w:rPr>
          <w:rFonts w:ascii="Book Antiqua" w:hAnsi="Book Antiqua"/>
          <w:i/>
          <w:iCs/>
        </w:rPr>
        <w:t>Cells</w:t>
      </w:r>
      <w:r w:rsidRPr="007B3561">
        <w:rPr>
          <w:rFonts w:ascii="Book Antiqua" w:hAnsi="Book Antiqua"/>
        </w:rPr>
        <w:t xml:space="preserve"> 2020; </w:t>
      </w:r>
      <w:r w:rsidRPr="007B3561">
        <w:rPr>
          <w:rFonts w:ascii="Book Antiqua" w:hAnsi="Book Antiqua"/>
          <w:b/>
          <w:bCs/>
        </w:rPr>
        <w:t>9</w:t>
      </w:r>
      <w:r w:rsidRPr="007B3561">
        <w:rPr>
          <w:rFonts w:ascii="Book Antiqua" w:hAnsi="Book Antiqua"/>
        </w:rPr>
        <w:t xml:space="preserve"> [PMID: 32545517 DOI: 10.3390/cells9061458]</w:t>
      </w:r>
    </w:p>
    <w:p w14:paraId="6CD0765E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14 </w:t>
      </w:r>
      <w:proofErr w:type="spellStart"/>
      <w:r w:rsidRPr="007B3561">
        <w:rPr>
          <w:rFonts w:ascii="Book Antiqua" w:hAnsi="Book Antiqua"/>
          <w:b/>
          <w:bCs/>
        </w:rPr>
        <w:t>Pecci</w:t>
      </w:r>
      <w:proofErr w:type="spellEnd"/>
      <w:r w:rsidRPr="007B3561">
        <w:rPr>
          <w:rFonts w:ascii="Book Antiqua" w:hAnsi="Book Antiqua"/>
          <w:b/>
          <w:bCs/>
        </w:rPr>
        <w:t xml:space="preserve"> A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Klersy</w:t>
      </w:r>
      <w:proofErr w:type="spellEnd"/>
      <w:r w:rsidRPr="007B3561">
        <w:rPr>
          <w:rFonts w:ascii="Book Antiqua" w:hAnsi="Book Antiqua"/>
        </w:rPr>
        <w:t xml:space="preserve"> C, </w:t>
      </w:r>
      <w:proofErr w:type="spellStart"/>
      <w:r w:rsidRPr="007B3561">
        <w:rPr>
          <w:rFonts w:ascii="Book Antiqua" w:hAnsi="Book Antiqua"/>
        </w:rPr>
        <w:t>Gresele</w:t>
      </w:r>
      <w:proofErr w:type="spellEnd"/>
      <w:r w:rsidRPr="007B3561">
        <w:rPr>
          <w:rFonts w:ascii="Book Antiqua" w:hAnsi="Book Antiqua"/>
        </w:rPr>
        <w:t xml:space="preserve"> P, Lee KJ, De Rocco D, </w:t>
      </w:r>
      <w:proofErr w:type="spellStart"/>
      <w:r w:rsidRPr="007B3561">
        <w:rPr>
          <w:rFonts w:ascii="Book Antiqua" w:hAnsi="Book Antiqua"/>
        </w:rPr>
        <w:t>Bozzi</w:t>
      </w:r>
      <w:proofErr w:type="spellEnd"/>
      <w:r w:rsidRPr="007B3561">
        <w:rPr>
          <w:rFonts w:ascii="Book Antiqua" w:hAnsi="Book Antiqua"/>
        </w:rPr>
        <w:t xml:space="preserve"> V, Russo G, Heller PG, Loffredo G, </w:t>
      </w:r>
      <w:proofErr w:type="spellStart"/>
      <w:r w:rsidRPr="007B3561">
        <w:rPr>
          <w:rFonts w:ascii="Book Antiqua" w:hAnsi="Book Antiqua"/>
        </w:rPr>
        <w:t>Ballmaier</w:t>
      </w:r>
      <w:proofErr w:type="spellEnd"/>
      <w:r w:rsidRPr="007B3561">
        <w:rPr>
          <w:rFonts w:ascii="Book Antiqua" w:hAnsi="Book Antiqua"/>
        </w:rPr>
        <w:t xml:space="preserve"> M, </w:t>
      </w:r>
      <w:proofErr w:type="spellStart"/>
      <w:r w:rsidRPr="007B3561">
        <w:rPr>
          <w:rFonts w:ascii="Book Antiqua" w:hAnsi="Book Antiqua"/>
        </w:rPr>
        <w:t>Fabris</w:t>
      </w:r>
      <w:proofErr w:type="spellEnd"/>
      <w:r w:rsidRPr="007B3561">
        <w:rPr>
          <w:rFonts w:ascii="Book Antiqua" w:hAnsi="Book Antiqua"/>
        </w:rPr>
        <w:t xml:space="preserve"> F, </w:t>
      </w:r>
      <w:proofErr w:type="spellStart"/>
      <w:r w:rsidRPr="007B3561">
        <w:rPr>
          <w:rFonts w:ascii="Book Antiqua" w:hAnsi="Book Antiqua"/>
        </w:rPr>
        <w:t>Beggiato</w:t>
      </w:r>
      <w:proofErr w:type="spellEnd"/>
      <w:r w:rsidRPr="007B3561">
        <w:rPr>
          <w:rFonts w:ascii="Book Antiqua" w:hAnsi="Book Antiqua"/>
        </w:rPr>
        <w:t xml:space="preserve"> E, Kahr WH, Pujol-</w:t>
      </w:r>
      <w:proofErr w:type="spellStart"/>
      <w:r w:rsidRPr="007B3561">
        <w:rPr>
          <w:rFonts w:ascii="Book Antiqua" w:hAnsi="Book Antiqua"/>
        </w:rPr>
        <w:t>Moix</w:t>
      </w:r>
      <w:proofErr w:type="spellEnd"/>
      <w:r w:rsidRPr="007B3561">
        <w:rPr>
          <w:rFonts w:ascii="Book Antiqua" w:hAnsi="Book Antiqua"/>
        </w:rPr>
        <w:t xml:space="preserve"> N, </w:t>
      </w:r>
      <w:proofErr w:type="spellStart"/>
      <w:r w:rsidRPr="007B3561">
        <w:rPr>
          <w:rFonts w:ascii="Book Antiqua" w:hAnsi="Book Antiqua"/>
        </w:rPr>
        <w:t>Platokouki</w:t>
      </w:r>
      <w:proofErr w:type="spellEnd"/>
      <w:r w:rsidRPr="007B3561">
        <w:rPr>
          <w:rFonts w:ascii="Book Antiqua" w:hAnsi="Book Antiqua"/>
        </w:rPr>
        <w:t xml:space="preserve"> H, Van </w:t>
      </w:r>
      <w:proofErr w:type="spellStart"/>
      <w:r w:rsidRPr="007B3561">
        <w:rPr>
          <w:rFonts w:ascii="Book Antiqua" w:hAnsi="Book Antiqua"/>
        </w:rPr>
        <w:t>Geet</w:t>
      </w:r>
      <w:proofErr w:type="spellEnd"/>
      <w:r w:rsidRPr="007B3561">
        <w:rPr>
          <w:rFonts w:ascii="Book Antiqua" w:hAnsi="Book Antiqua"/>
        </w:rPr>
        <w:t xml:space="preserve"> C, </w:t>
      </w:r>
      <w:proofErr w:type="spellStart"/>
      <w:r w:rsidRPr="007B3561">
        <w:rPr>
          <w:rFonts w:ascii="Book Antiqua" w:hAnsi="Book Antiqua"/>
        </w:rPr>
        <w:t>Noris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Yerram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Hermans</w:t>
      </w:r>
      <w:proofErr w:type="spellEnd"/>
      <w:r w:rsidRPr="007B3561">
        <w:rPr>
          <w:rFonts w:ascii="Book Antiqua" w:hAnsi="Book Antiqua"/>
        </w:rPr>
        <w:t xml:space="preserve"> C, Gerber B, Economou M, De Groot M, </w:t>
      </w:r>
      <w:proofErr w:type="spellStart"/>
      <w:r w:rsidRPr="007B3561">
        <w:rPr>
          <w:rFonts w:ascii="Book Antiqua" w:hAnsi="Book Antiqua"/>
        </w:rPr>
        <w:t>Zieger</w:t>
      </w:r>
      <w:proofErr w:type="spellEnd"/>
      <w:r w:rsidRPr="007B3561">
        <w:rPr>
          <w:rFonts w:ascii="Book Antiqua" w:hAnsi="Book Antiqua"/>
        </w:rPr>
        <w:t xml:space="preserve"> B, De Candia E, Fraticelli V, </w:t>
      </w:r>
      <w:proofErr w:type="spellStart"/>
      <w:r w:rsidRPr="007B3561">
        <w:rPr>
          <w:rFonts w:ascii="Book Antiqua" w:hAnsi="Book Antiqua"/>
        </w:rPr>
        <w:t>Kersseboom</w:t>
      </w:r>
      <w:proofErr w:type="spellEnd"/>
      <w:r w:rsidRPr="007B3561">
        <w:rPr>
          <w:rFonts w:ascii="Book Antiqua" w:hAnsi="Book Antiqua"/>
        </w:rPr>
        <w:t xml:space="preserve"> R, </w:t>
      </w:r>
      <w:proofErr w:type="spellStart"/>
      <w:r w:rsidRPr="007B3561">
        <w:rPr>
          <w:rFonts w:ascii="Book Antiqua" w:hAnsi="Book Antiqua"/>
        </w:rPr>
        <w:t>Piccoli</w:t>
      </w:r>
      <w:proofErr w:type="spellEnd"/>
      <w:r w:rsidRPr="007B3561">
        <w:rPr>
          <w:rFonts w:ascii="Book Antiqua" w:hAnsi="Book Antiqua"/>
        </w:rPr>
        <w:t xml:space="preserve"> GB, Zimmermann S, Fierro T, </w:t>
      </w:r>
      <w:proofErr w:type="spellStart"/>
      <w:r w:rsidRPr="007B3561">
        <w:rPr>
          <w:rFonts w:ascii="Book Antiqua" w:hAnsi="Book Antiqua"/>
        </w:rPr>
        <w:t>Glembotsky</w:t>
      </w:r>
      <w:proofErr w:type="spellEnd"/>
      <w:r w:rsidRPr="007B3561">
        <w:rPr>
          <w:rFonts w:ascii="Book Antiqua" w:hAnsi="Book Antiqua"/>
        </w:rPr>
        <w:t xml:space="preserve"> AC, </w:t>
      </w:r>
      <w:proofErr w:type="spellStart"/>
      <w:r w:rsidRPr="007B3561">
        <w:rPr>
          <w:rFonts w:ascii="Book Antiqua" w:hAnsi="Book Antiqua"/>
        </w:rPr>
        <w:t>Vianello</w:t>
      </w:r>
      <w:proofErr w:type="spellEnd"/>
      <w:r w:rsidRPr="007B3561">
        <w:rPr>
          <w:rFonts w:ascii="Book Antiqua" w:hAnsi="Book Antiqua"/>
        </w:rPr>
        <w:t xml:space="preserve"> F, </w:t>
      </w:r>
      <w:proofErr w:type="spellStart"/>
      <w:r w:rsidRPr="007B3561">
        <w:rPr>
          <w:rFonts w:ascii="Book Antiqua" w:hAnsi="Book Antiqua"/>
        </w:rPr>
        <w:t>Zaninetti</w:t>
      </w:r>
      <w:proofErr w:type="spellEnd"/>
      <w:r w:rsidRPr="007B3561">
        <w:rPr>
          <w:rFonts w:ascii="Book Antiqua" w:hAnsi="Book Antiqua"/>
        </w:rPr>
        <w:t xml:space="preserve"> C, </w:t>
      </w:r>
      <w:proofErr w:type="spellStart"/>
      <w:r w:rsidRPr="007B3561">
        <w:rPr>
          <w:rFonts w:ascii="Book Antiqua" w:hAnsi="Book Antiqua"/>
        </w:rPr>
        <w:t>Nicchia</w:t>
      </w:r>
      <w:proofErr w:type="spellEnd"/>
      <w:r w:rsidRPr="007B3561">
        <w:rPr>
          <w:rFonts w:ascii="Book Antiqua" w:hAnsi="Book Antiqua"/>
        </w:rPr>
        <w:t xml:space="preserve"> E, </w:t>
      </w:r>
      <w:proofErr w:type="spellStart"/>
      <w:r w:rsidRPr="007B3561">
        <w:rPr>
          <w:rFonts w:ascii="Book Antiqua" w:hAnsi="Book Antiqua"/>
        </w:rPr>
        <w:t>Güthner</w:t>
      </w:r>
      <w:proofErr w:type="spellEnd"/>
      <w:r w:rsidRPr="007B3561">
        <w:rPr>
          <w:rFonts w:ascii="Book Antiqua" w:hAnsi="Book Antiqua"/>
        </w:rPr>
        <w:t xml:space="preserve"> C, </w:t>
      </w:r>
      <w:proofErr w:type="spellStart"/>
      <w:r w:rsidRPr="007B3561">
        <w:rPr>
          <w:rFonts w:ascii="Book Antiqua" w:hAnsi="Book Antiqua"/>
        </w:rPr>
        <w:t>Baronci</w:t>
      </w:r>
      <w:proofErr w:type="spellEnd"/>
      <w:r w:rsidRPr="007B3561">
        <w:rPr>
          <w:rFonts w:ascii="Book Antiqua" w:hAnsi="Book Antiqua"/>
        </w:rPr>
        <w:t xml:space="preserve"> C, Seri M, Knight PJ, </w:t>
      </w:r>
      <w:proofErr w:type="spellStart"/>
      <w:r w:rsidRPr="007B3561">
        <w:rPr>
          <w:rFonts w:ascii="Book Antiqua" w:hAnsi="Book Antiqua"/>
        </w:rPr>
        <w:t>Balduini</w:t>
      </w:r>
      <w:proofErr w:type="spellEnd"/>
      <w:r w:rsidRPr="007B3561">
        <w:rPr>
          <w:rFonts w:ascii="Book Antiqua" w:hAnsi="Book Antiqua"/>
        </w:rPr>
        <w:t xml:space="preserve"> CL, </w:t>
      </w:r>
      <w:proofErr w:type="spellStart"/>
      <w:r w:rsidRPr="007B3561">
        <w:rPr>
          <w:rFonts w:ascii="Book Antiqua" w:hAnsi="Book Antiqua"/>
        </w:rPr>
        <w:t>Savoia</w:t>
      </w:r>
      <w:proofErr w:type="spellEnd"/>
      <w:r w:rsidRPr="007B3561">
        <w:rPr>
          <w:rFonts w:ascii="Book Antiqua" w:hAnsi="Book Antiqua"/>
        </w:rPr>
        <w:t xml:space="preserve"> A. MYH9-related disease: a novel prognostic model to predict the clinical evolution of the disease based on genotype-phenotype correlations. </w:t>
      </w:r>
      <w:r w:rsidRPr="007B3561">
        <w:rPr>
          <w:rFonts w:ascii="Book Antiqua" w:hAnsi="Book Antiqua"/>
          <w:i/>
          <w:iCs/>
        </w:rPr>
        <w:t xml:space="preserve">Hum </w:t>
      </w:r>
      <w:proofErr w:type="spellStart"/>
      <w:r w:rsidRPr="007B3561">
        <w:rPr>
          <w:rFonts w:ascii="Book Antiqua" w:hAnsi="Book Antiqua"/>
          <w:i/>
          <w:iCs/>
        </w:rPr>
        <w:t>Mutat</w:t>
      </w:r>
      <w:proofErr w:type="spellEnd"/>
      <w:r w:rsidRPr="007B3561">
        <w:rPr>
          <w:rFonts w:ascii="Book Antiqua" w:hAnsi="Book Antiqua"/>
        </w:rPr>
        <w:t xml:space="preserve"> 2014; </w:t>
      </w:r>
      <w:r w:rsidRPr="007B3561">
        <w:rPr>
          <w:rFonts w:ascii="Book Antiqua" w:hAnsi="Book Antiqua"/>
          <w:b/>
          <w:bCs/>
        </w:rPr>
        <w:t>35</w:t>
      </w:r>
      <w:r w:rsidRPr="007B3561">
        <w:rPr>
          <w:rFonts w:ascii="Book Antiqua" w:hAnsi="Book Antiqua"/>
        </w:rPr>
        <w:t>: 236-247 [PMID: 24186861 DOI: 10.1002/humu.22476]</w:t>
      </w:r>
    </w:p>
    <w:p w14:paraId="1459F52E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15 </w:t>
      </w:r>
      <w:proofErr w:type="spellStart"/>
      <w:r w:rsidRPr="007B3561">
        <w:rPr>
          <w:rFonts w:ascii="Book Antiqua" w:hAnsi="Book Antiqua"/>
          <w:b/>
          <w:bCs/>
        </w:rPr>
        <w:t>Eckly</w:t>
      </w:r>
      <w:proofErr w:type="spellEnd"/>
      <w:r w:rsidRPr="007B3561">
        <w:rPr>
          <w:rFonts w:ascii="Book Antiqua" w:hAnsi="Book Antiqua"/>
          <w:b/>
          <w:bCs/>
        </w:rPr>
        <w:t xml:space="preserve"> A</w:t>
      </w:r>
      <w:r w:rsidRPr="007B3561">
        <w:rPr>
          <w:rFonts w:ascii="Book Antiqua" w:hAnsi="Book Antiqua"/>
        </w:rPr>
        <w:t xml:space="preserve">, Strassel C, Freund M, </w:t>
      </w:r>
      <w:proofErr w:type="spellStart"/>
      <w:r w:rsidRPr="007B3561">
        <w:rPr>
          <w:rFonts w:ascii="Book Antiqua" w:hAnsi="Book Antiqua"/>
        </w:rPr>
        <w:t>Cazenave</w:t>
      </w:r>
      <w:proofErr w:type="spellEnd"/>
      <w:r w:rsidRPr="007B3561">
        <w:rPr>
          <w:rFonts w:ascii="Book Antiqua" w:hAnsi="Book Antiqua"/>
        </w:rPr>
        <w:t xml:space="preserve"> JP, Lanza F, </w:t>
      </w:r>
      <w:proofErr w:type="spellStart"/>
      <w:r w:rsidRPr="007B3561">
        <w:rPr>
          <w:rFonts w:ascii="Book Antiqua" w:hAnsi="Book Antiqua"/>
        </w:rPr>
        <w:t>Gachet</w:t>
      </w:r>
      <w:proofErr w:type="spellEnd"/>
      <w:r w:rsidRPr="007B3561">
        <w:rPr>
          <w:rFonts w:ascii="Book Antiqua" w:hAnsi="Book Antiqua"/>
        </w:rPr>
        <w:t xml:space="preserve"> C, Léon C. Abnormal megakaryocyte morphology and proplatelet formation in mice with </w:t>
      </w:r>
      <w:proofErr w:type="gramStart"/>
      <w:r w:rsidRPr="007B3561">
        <w:rPr>
          <w:rFonts w:ascii="Book Antiqua" w:hAnsi="Book Antiqua"/>
        </w:rPr>
        <w:t>megakaryocyte-restricted</w:t>
      </w:r>
      <w:proofErr w:type="gramEnd"/>
      <w:r w:rsidRPr="007B3561">
        <w:rPr>
          <w:rFonts w:ascii="Book Antiqua" w:hAnsi="Book Antiqua"/>
        </w:rPr>
        <w:t xml:space="preserve"> MYH9 inactivation. </w:t>
      </w:r>
      <w:r w:rsidRPr="007B3561">
        <w:rPr>
          <w:rFonts w:ascii="Book Antiqua" w:hAnsi="Book Antiqua"/>
          <w:i/>
          <w:iCs/>
        </w:rPr>
        <w:t>Blood</w:t>
      </w:r>
      <w:r w:rsidRPr="007B3561">
        <w:rPr>
          <w:rFonts w:ascii="Book Antiqua" w:hAnsi="Book Antiqua"/>
        </w:rPr>
        <w:t xml:space="preserve"> 2009; </w:t>
      </w:r>
      <w:r w:rsidRPr="007B3561">
        <w:rPr>
          <w:rFonts w:ascii="Book Antiqua" w:hAnsi="Book Antiqua"/>
          <w:b/>
          <w:bCs/>
        </w:rPr>
        <w:t>113</w:t>
      </w:r>
      <w:r w:rsidRPr="007B3561">
        <w:rPr>
          <w:rFonts w:ascii="Book Antiqua" w:hAnsi="Book Antiqua"/>
        </w:rPr>
        <w:t>: 3182-3189 [PMID: 18984861 DOI: 10.1182/blood-2008-06-164061]</w:t>
      </w:r>
    </w:p>
    <w:p w14:paraId="5A1F9118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16 </w:t>
      </w:r>
      <w:r w:rsidRPr="007B3561">
        <w:rPr>
          <w:rFonts w:ascii="Book Antiqua" w:hAnsi="Book Antiqua"/>
          <w:b/>
          <w:bCs/>
        </w:rPr>
        <w:t>Léon C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Eckly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Hechler</w:t>
      </w:r>
      <w:proofErr w:type="spellEnd"/>
      <w:r w:rsidRPr="007B3561">
        <w:rPr>
          <w:rFonts w:ascii="Book Antiqua" w:hAnsi="Book Antiqua"/>
        </w:rPr>
        <w:t xml:space="preserve"> B, </w:t>
      </w:r>
      <w:proofErr w:type="spellStart"/>
      <w:r w:rsidRPr="007B3561">
        <w:rPr>
          <w:rFonts w:ascii="Book Antiqua" w:hAnsi="Book Antiqua"/>
        </w:rPr>
        <w:t>Aleil</w:t>
      </w:r>
      <w:proofErr w:type="spellEnd"/>
      <w:r w:rsidRPr="007B3561">
        <w:rPr>
          <w:rFonts w:ascii="Book Antiqua" w:hAnsi="Book Antiqua"/>
        </w:rPr>
        <w:t xml:space="preserve"> B, Freund M, </w:t>
      </w:r>
      <w:proofErr w:type="spellStart"/>
      <w:r w:rsidRPr="007B3561">
        <w:rPr>
          <w:rFonts w:ascii="Book Antiqua" w:hAnsi="Book Antiqua"/>
        </w:rPr>
        <w:t>Ravanat</w:t>
      </w:r>
      <w:proofErr w:type="spellEnd"/>
      <w:r w:rsidRPr="007B3561">
        <w:rPr>
          <w:rFonts w:ascii="Book Antiqua" w:hAnsi="Book Antiqua"/>
        </w:rPr>
        <w:t xml:space="preserve"> C, Jourdain M, </w:t>
      </w:r>
      <w:proofErr w:type="spellStart"/>
      <w:r w:rsidRPr="007B3561">
        <w:rPr>
          <w:rFonts w:ascii="Book Antiqua" w:hAnsi="Book Antiqua"/>
        </w:rPr>
        <w:t>Nonne</w:t>
      </w:r>
      <w:proofErr w:type="spellEnd"/>
      <w:r w:rsidRPr="007B3561">
        <w:rPr>
          <w:rFonts w:ascii="Book Antiqua" w:hAnsi="Book Antiqua"/>
        </w:rPr>
        <w:t xml:space="preserve"> C, Weber J, </w:t>
      </w:r>
      <w:proofErr w:type="spellStart"/>
      <w:r w:rsidRPr="007B3561">
        <w:rPr>
          <w:rFonts w:ascii="Book Antiqua" w:hAnsi="Book Antiqua"/>
        </w:rPr>
        <w:t>Tiedt</w:t>
      </w:r>
      <w:proofErr w:type="spellEnd"/>
      <w:r w:rsidRPr="007B3561">
        <w:rPr>
          <w:rFonts w:ascii="Book Antiqua" w:hAnsi="Book Antiqua"/>
        </w:rPr>
        <w:t xml:space="preserve"> R, </w:t>
      </w:r>
      <w:proofErr w:type="spellStart"/>
      <w:r w:rsidRPr="007B3561">
        <w:rPr>
          <w:rFonts w:ascii="Book Antiqua" w:hAnsi="Book Antiqua"/>
        </w:rPr>
        <w:t>Gratacap</w:t>
      </w:r>
      <w:proofErr w:type="spellEnd"/>
      <w:r w:rsidRPr="007B3561">
        <w:rPr>
          <w:rFonts w:ascii="Book Antiqua" w:hAnsi="Book Antiqua"/>
        </w:rPr>
        <w:t xml:space="preserve"> MP, Severin S, </w:t>
      </w:r>
      <w:proofErr w:type="spellStart"/>
      <w:r w:rsidRPr="007B3561">
        <w:rPr>
          <w:rFonts w:ascii="Book Antiqua" w:hAnsi="Book Antiqua"/>
        </w:rPr>
        <w:t>Cazenave</w:t>
      </w:r>
      <w:proofErr w:type="spellEnd"/>
      <w:r w:rsidRPr="007B3561">
        <w:rPr>
          <w:rFonts w:ascii="Book Antiqua" w:hAnsi="Book Antiqua"/>
        </w:rPr>
        <w:t xml:space="preserve"> JP, Lanza F, Skoda R, </w:t>
      </w:r>
      <w:proofErr w:type="spellStart"/>
      <w:r w:rsidRPr="007B3561">
        <w:rPr>
          <w:rFonts w:ascii="Book Antiqua" w:hAnsi="Book Antiqua"/>
        </w:rPr>
        <w:t>Gachet</w:t>
      </w:r>
      <w:proofErr w:type="spellEnd"/>
      <w:r w:rsidRPr="007B3561">
        <w:rPr>
          <w:rFonts w:ascii="Book Antiqua" w:hAnsi="Book Antiqua"/>
        </w:rPr>
        <w:t xml:space="preserve"> C. Megakaryocyte-restricted MYH9 inactivation dramatically affects hemostasis while preserving platelet aggregation and secretion. </w:t>
      </w:r>
      <w:r w:rsidRPr="007B3561">
        <w:rPr>
          <w:rFonts w:ascii="Book Antiqua" w:hAnsi="Book Antiqua"/>
          <w:i/>
          <w:iCs/>
        </w:rPr>
        <w:t>Blood</w:t>
      </w:r>
      <w:r w:rsidRPr="007B3561">
        <w:rPr>
          <w:rFonts w:ascii="Book Antiqua" w:hAnsi="Book Antiqua"/>
        </w:rPr>
        <w:t xml:space="preserve"> 2007; </w:t>
      </w:r>
      <w:r w:rsidRPr="007B3561">
        <w:rPr>
          <w:rFonts w:ascii="Book Antiqua" w:hAnsi="Book Antiqua"/>
          <w:b/>
          <w:bCs/>
        </w:rPr>
        <w:t>110</w:t>
      </w:r>
      <w:r w:rsidRPr="007B3561">
        <w:rPr>
          <w:rFonts w:ascii="Book Antiqua" w:hAnsi="Book Antiqua"/>
        </w:rPr>
        <w:t>: 3183-3191 [PMID: 17664350 DOI: 10.1182/blood-2007-03-080184]</w:t>
      </w:r>
    </w:p>
    <w:p w14:paraId="080E2615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17 </w:t>
      </w:r>
      <w:proofErr w:type="spellStart"/>
      <w:r w:rsidRPr="007B3561">
        <w:rPr>
          <w:rFonts w:ascii="Book Antiqua" w:hAnsi="Book Antiqua"/>
          <w:b/>
          <w:bCs/>
        </w:rPr>
        <w:t>Pecci</w:t>
      </w:r>
      <w:proofErr w:type="spellEnd"/>
      <w:r w:rsidRPr="007B3561">
        <w:rPr>
          <w:rFonts w:ascii="Book Antiqua" w:hAnsi="Book Antiqua"/>
          <w:b/>
          <w:bCs/>
        </w:rPr>
        <w:t xml:space="preserve"> A</w:t>
      </w:r>
      <w:r w:rsidRPr="007B3561">
        <w:rPr>
          <w:rFonts w:ascii="Book Antiqua" w:hAnsi="Book Antiqua"/>
        </w:rPr>
        <w:t xml:space="preserve">, </w:t>
      </w:r>
      <w:proofErr w:type="spellStart"/>
      <w:r w:rsidRPr="007B3561">
        <w:rPr>
          <w:rFonts w:ascii="Book Antiqua" w:hAnsi="Book Antiqua"/>
        </w:rPr>
        <w:t>Panza</w:t>
      </w:r>
      <w:proofErr w:type="spellEnd"/>
      <w:r w:rsidRPr="007B3561">
        <w:rPr>
          <w:rFonts w:ascii="Book Antiqua" w:hAnsi="Book Antiqua"/>
        </w:rPr>
        <w:t xml:space="preserve"> E, Pujol-</w:t>
      </w:r>
      <w:proofErr w:type="spellStart"/>
      <w:r w:rsidRPr="007B3561">
        <w:rPr>
          <w:rFonts w:ascii="Book Antiqua" w:hAnsi="Book Antiqua"/>
        </w:rPr>
        <w:t>Moix</w:t>
      </w:r>
      <w:proofErr w:type="spellEnd"/>
      <w:r w:rsidRPr="007B3561">
        <w:rPr>
          <w:rFonts w:ascii="Book Antiqua" w:hAnsi="Book Antiqua"/>
        </w:rPr>
        <w:t xml:space="preserve"> N, </w:t>
      </w:r>
      <w:proofErr w:type="spellStart"/>
      <w:r w:rsidRPr="007B3561">
        <w:rPr>
          <w:rFonts w:ascii="Book Antiqua" w:hAnsi="Book Antiqua"/>
        </w:rPr>
        <w:t>Klersy</w:t>
      </w:r>
      <w:proofErr w:type="spellEnd"/>
      <w:r w:rsidRPr="007B3561">
        <w:rPr>
          <w:rFonts w:ascii="Book Antiqua" w:hAnsi="Book Antiqua"/>
        </w:rPr>
        <w:t xml:space="preserve"> C, Di Bari F, </w:t>
      </w:r>
      <w:proofErr w:type="spellStart"/>
      <w:r w:rsidRPr="007B3561">
        <w:rPr>
          <w:rFonts w:ascii="Book Antiqua" w:hAnsi="Book Antiqua"/>
        </w:rPr>
        <w:t>Bozzi</w:t>
      </w:r>
      <w:proofErr w:type="spellEnd"/>
      <w:r w:rsidRPr="007B3561">
        <w:rPr>
          <w:rFonts w:ascii="Book Antiqua" w:hAnsi="Book Antiqua"/>
        </w:rPr>
        <w:t xml:space="preserve"> V, </w:t>
      </w:r>
      <w:proofErr w:type="spellStart"/>
      <w:r w:rsidRPr="007B3561">
        <w:rPr>
          <w:rFonts w:ascii="Book Antiqua" w:hAnsi="Book Antiqua"/>
        </w:rPr>
        <w:t>Gresele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Lethagen</w:t>
      </w:r>
      <w:proofErr w:type="spellEnd"/>
      <w:r w:rsidRPr="007B3561">
        <w:rPr>
          <w:rFonts w:ascii="Book Antiqua" w:hAnsi="Book Antiqua"/>
        </w:rPr>
        <w:t xml:space="preserve"> S, </w:t>
      </w:r>
      <w:proofErr w:type="spellStart"/>
      <w:r w:rsidRPr="007B3561">
        <w:rPr>
          <w:rFonts w:ascii="Book Antiqua" w:hAnsi="Book Antiqua"/>
        </w:rPr>
        <w:t>Fabris</w:t>
      </w:r>
      <w:proofErr w:type="spellEnd"/>
      <w:r w:rsidRPr="007B3561">
        <w:rPr>
          <w:rFonts w:ascii="Book Antiqua" w:hAnsi="Book Antiqua"/>
        </w:rPr>
        <w:t xml:space="preserve"> F, Dufour C, </w:t>
      </w:r>
      <w:proofErr w:type="spellStart"/>
      <w:r w:rsidRPr="007B3561">
        <w:rPr>
          <w:rFonts w:ascii="Book Antiqua" w:hAnsi="Book Antiqua"/>
        </w:rPr>
        <w:t>Granata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Doubek</w:t>
      </w:r>
      <w:proofErr w:type="spellEnd"/>
      <w:r w:rsidRPr="007B3561">
        <w:rPr>
          <w:rFonts w:ascii="Book Antiqua" w:hAnsi="Book Antiqua"/>
        </w:rPr>
        <w:t xml:space="preserve"> M, Pecoraro C, </w:t>
      </w:r>
      <w:proofErr w:type="spellStart"/>
      <w:r w:rsidRPr="007B3561">
        <w:rPr>
          <w:rFonts w:ascii="Book Antiqua" w:hAnsi="Book Antiqua"/>
        </w:rPr>
        <w:t>Koivisto</w:t>
      </w:r>
      <w:proofErr w:type="spellEnd"/>
      <w:r w:rsidRPr="007B3561">
        <w:rPr>
          <w:rFonts w:ascii="Book Antiqua" w:hAnsi="Book Antiqua"/>
        </w:rPr>
        <w:t xml:space="preserve"> PA, Heller PG, </w:t>
      </w:r>
      <w:proofErr w:type="spellStart"/>
      <w:r w:rsidRPr="007B3561">
        <w:rPr>
          <w:rFonts w:ascii="Book Antiqua" w:hAnsi="Book Antiqua"/>
        </w:rPr>
        <w:t>Iolascon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Alvisi</w:t>
      </w:r>
      <w:proofErr w:type="spellEnd"/>
      <w:r w:rsidRPr="007B3561">
        <w:rPr>
          <w:rFonts w:ascii="Book Antiqua" w:hAnsi="Book Antiqua"/>
        </w:rPr>
        <w:t xml:space="preserve"> P, Schwabe D, De Candia E, Rocca B, Russo U, </w:t>
      </w:r>
      <w:proofErr w:type="spellStart"/>
      <w:r w:rsidRPr="007B3561">
        <w:rPr>
          <w:rFonts w:ascii="Book Antiqua" w:hAnsi="Book Antiqua"/>
        </w:rPr>
        <w:t>Ramenghi</w:t>
      </w:r>
      <w:proofErr w:type="spellEnd"/>
      <w:r w:rsidRPr="007B3561">
        <w:rPr>
          <w:rFonts w:ascii="Book Antiqua" w:hAnsi="Book Antiqua"/>
        </w:rPr>
        <w:t xml:space="preserve"> U, </w:t>
      </w:r>
      <w:proofErr w:type="spellStart"/>
      <w:r w:rsidRPr="007B3561">
        <w:rPr>
          <w:rFonts w:ascii="Book Antiqua" w:hAnsi="Book Antiqua"/>
        </w:rPr>
        <w:t>Noris</w:t>
      </w:r>
      <w:proofErr w:type="spellEnd"/>
      <w:r w:rsidRPr="007B3561">
        <w:rPr>
          <w:rFonts w:ascii="Book Antiqua" w:hAnsi="Book Antiqua"/>
        </w:rPr>
        <w:t xml:space="preserve"> P, Seri M, </w:t>
      </w:r>
      <w:proofErr w:type="spellStart"/>
      <w:r w:rsidRPr="007B3561">
        <w:rPr>
          <w:rFonts w:ascii="Book Antiqua" w:hAnsi="Book Antiqua"/>
        </w:rPr>
        <w:t>Balduini</w:t>
      </w:r>
      <w:proofErr w:type="spellEnd"/>
      <w:r w:rsidRPr="007B3561">
        <w:rPr>
          <w:rFonts w:ascii="Book Antiqua" w:hAnsi="Book Antiqua"/>
        </w:rPr>
        <w:t xml:space="preserve"> CL, </w:t>
      </w:r>
      <w:proofErr w:type="spellStart"/>
      <w:r w:rsidRPr="007B3561">
        <w:rPr>
          <w:rFonts w:ascii="Book Antiqua" w:hAnsi="Book Antiqua"/>
        </w:rPr>
        <w:t>Savoia</w:t>
      </w:r>
      <w:proofErr w:type="spellEnd"/>
      <w:r w:rsidRPr="007B3561">
        <w:rPr>
          <w:rFonts w:ascii="Book Antiqua" w:hAnsi="Book Antiqua"/>
        </w:rPr>
        <w:t xml:space="preserve"> A. Position of </w:t>
      </w:r>
      <w:proofErr w:type="spellStart"/>
      <w:r w:rsidRPr="007B3561">
        <w:rPr>
          <w:rFonts w:ascii="Book Antiqua" w:hAnsi="Book Antiqua"/>
        </w:rPr>
        <w:t>nonmuscle</w:t>
      </w:r>
      <w:proofErr w:type="spellEnd"/>
      <w:r w:rsidRPr="007B3561">
        <w:rPr>
          <w:rFonts w:ascii="Book Antiqua" w:hAnsi="Book Antiqua"/>
        </w:rPr>
        <w:t xml:space="preserve"> myosin heavy chain IIA (NMMHC-IIA) mutations predicts the natural history of MYH9-related disease. </w:t>
      </w:r>
      <w:r w:rsidRPr="007B3561">
        <w:rPr>
          <w:rFonts w:ascii="Book Antiqua" w:hAnsi="Book Antiqua"/>
          <w:i/>
          <w:iCs/>
        </w:rPr>
        <w:t xml:space="preserve">Hum </w:t>
      </w:r>
      <w:proofErr w:type="spellStart"/>
      <w:r w:rsidRPr="007B3561">
        <w:rPr>
          <w:rFonts w:ascii="Book Antiqua" w:hAnsi="Book Antiqua"/>
          <w:i/>
          <w:iCs/>
        </w:rPr>
        <w:t>Mutat</w:t>
      </w:r>
      <w:proofErr w:type="spellEnd"/>
      <w:r w:rsidRPr="007B3561">
        <w:rPr>
          <w:rFonts w:ascii="Book Antiqua" w:hAnsi="Book Antiqua"/>
        </w:rPr>
        <w:t xml:space="preserve"> 2008; </w:t>
      </w:r>
      <w:r w:rsidRPr="007B3561">
        <w:rPr>
          <w:rFonts w:ascii="Book Antiqua" w:hAnsi="Book Antiqua"/>
          <w:b/>
          <w:bCs/>
        </w:rPr>
        <w:t>29</w:t>
      </w:r>
      <w:r w:rsidRPr="007B3561">
        <w:rPr>
          <w:rFonts w:ascii="Book Antiqua" w:hAnsi="Book Antiqua"/>
        </w:rPr>
        <w:t>: 409-417 [PMID: 18059020 DOI: 10.1002/humu.20661]</w:t>
      </w:r>
    </w:p>
    <w:p w14:paraId="21D7975F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18 </w:t>
      </w:r>
      <w:proofErr w:type="spellStart"/>
      <w:r w:rsidRPr="007B3561">
        <w:rPr>
          <w:rFonts w:ascii="Book Antiqua" w:hAnsi="Book Antiqua"/>
          <w:b/>
          <w:bCs/>
        </w:rPr>
        <w:t>Bastida</w:t>
      </w:r>
      <w:proofErr w:type="spellEnd"/>
      <w:r w:rsidRPr="007B3561">
        <w:rPr>
          <w:rFonts w:ascii="Book Antiqua" w:hAnsi="Book Antiqua"/>
          <w:b/>
          <w:bCs/>
        </w:rPr>
        <w:t xml:space="preserve"> JM</w:t>
      </w:r>
      <w:r w:rsidRPr="007B3561">
        <w:rPr>
          <w:rFonts w:ascii="Book Antiqua" w:hAnsi="Book Antiqua"/>
        </w:rPr>
        <w:t xml:space="preserve">, Gonzalez-Porras JR, Rivera J, Lozano ML. Role of Thrombopoietin Receptor Agonists in Inherited Thrombocytopenia. </w:t>
      </w:r>
      <w:r w:rsidRPr="007B3561">
        <w:rPr>
          <w:rFonts w:ascii="Book Antiqua" w:hAnsi="Book Antiqua"/>
          <w:i/>
          <w:iCs/>
        </w:rPr>
        <w:t>Int J Mol Sci</w:t>
      </w:r>
      <w:r w:rsidRPr="007B3561">
        <w:rPr>
          <w:rFonts w:ascii="Book Antiqua" w:hAnsi="Book Antiqua"/>
        </w:rPr>
        <w:t xml:space="preserve"> 2021; </w:t>
      </w:r>
      <w:r w:rsidRPr="007B3561">
        <w:rPr>
          <w:rFonts w:ascii="Book Antiqua" w:hAnsi="Book Antiqua"/>
          <w:b/>
          <w:bCs/>
        </w:rPr>
        <w:t>22</w:t>
      </w:r>
      <w:r w:rsidRPr="007B3561">
        <w:rPr>
          <w:rFonts w:ascii="Book Antiqua" w:hAnsi="Book Antiqua"/>
        </w:rPr>
        <w:t xml:space="preserve"> [PMID: 33919295 DOI: 10.3390/ijms22094330]</w:t>
      </w:r>
    </w:p>
    <w:p w14:paraId="66D6E3A3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19 </w:t>
      </w:r>
      <w:proofErr w:type="spellStart"/>
      <w:r w:rsidRPr="007B3561">
        <w:rPr>
          <w:rFonts w:ascii="Book Antiqua" w:hAnsi="Book Antiqua"/>
          <w:b/>
          <w:bCs/>
        </w:rPr>
        <w:t>Paciullo</w:t>
      </w:r>
      <w:proofErr w:type="spellEnd"/>
      <w:r w:rsidRPr="007B3561">
        <w:rPr>
          <w:rFonts w:ascii="Book Antiqua" w:hAnsi="Book Antiqua"/>
          <w:b/>
          <w:bCs/>
        </w:rPr>
        <w:t xml:space="preserve"> F</w:t>
      </w:r>
      <w:r w:rsidRPr="007B3561">
        <w:rPr>
          <w:rFonts w:ascii="Book Antiqua" w:hAnsi="Book Antiqua"/>
        </w:rPr>
        <w:t xml:space="preserve">, Bury L, </w:t>
      </w:r>
      <w:proofErr w:type="spellStart"/>
      <w:r w:rsidRPr="007B3561">
        <w:rPr>
          <w:rFonts w:ascii="Book Antiqua" w:hAnsi="Book Antiqua"/>
        </w:rPr>
        <w:t>Noris</w:t>
      </w:r>
      <w:proofErr w:type="spellEnd"/>
      <w:r w:rsidRPr="007B3561">
        <w:rPr>
          <w:rFonts w:ascii="Book Antiqua" w:hAnsi="Book Antiqua"/>
        </w:rPr>
        <w:t xml:space="preserve"> P, Falcinelli E, </w:t>
      </w:r>
      <w:proofErr w:type="spellStart"/>
      <w:r w:rsidRPr="007B3561">
        <w:rPr>
          <w:rFonts w:ascii="Book Antiqua" w:hAnsi="Book Antiqua"/>
        </w:rPr>
        <w:t>Melazzini</w:t>
      </w:r>
      <w:proofErr w:type="spellEnd"/>
      <w:r w:rsidRPr="007B3561">
        <w:rPr>
          <w:rFonts w:ascii="Book Antiqua" w:hAnsi="Book Antiqua"/>
        </w:rPr>
        <w:t xml:space="preserve"> F, Orsini S, </w:t>
      </w:r>
      <w:proofErr w:type="spellStart"/>
      <w:r w:rsidRPr="007B3561">
        <w:rPr>
          <w:rFonts w:ascii="Book Antiqua" w:hAnsi="Book Antiqua"/>
        </w:rPr>
        <w:t>Zaninetti</w:t>
      </w:r>
      <w:proofErr w:type="spellEnd"/>
      <w:r w:rsidRPr="007B3561">
        <w:rPr>
          <w:rFonts w:ascii="Book Antiqua" w:hAnsi="Book Antiqua"/>
        </w:rPr>
        <w:t xml:space="preserve"> C, Abdul-Kadir R, Obeng-</w:t>
      </w:r>
      <w:proofErr w:type="spellStart"/>
      <w:r w:rsidRPr="007B3561">
        <w:rPr>
          <w:rFonts w:ascii="Book Antiqua" w:hAnsi="Book Antiqua"/>
        </w:rPr>
        <w:t>Tuudah</w:t>
      </w:r>
      <w:proofErr w:type="spellEnd"/>
      <w:r w:rsidRPr="007B3561">
        <w:rPr>
          <w:rFonts w:ascii="Book Antiqua" w:hAnsi="Book Antiqua"/>
        </w:rPr>
        <w:t xml:space="preserve"> D, Heller PG, </w:t>
      </w:r>
      <w:proofErr w:type="spellStart"/>
      <w:r w:rsidRPr="007B3561">
        <w:rPr>
          <w:rFonts w:ascii="Book Antiqua" w:hAnsi="Book Antiqua"/>
        </w:rPr>
        <w:t>Glembotsky</w:t>
      </w:r>
      <w:proofErr w:type="spellEnd"/>
      <w:r w:rsidRPr="007B3561">
        <w:rPr>
          <w:rFonts w:ascii="Book Antiqua" w:hAnsi="Book Antiqua"/>
        </w:rPr>
        <w:t xml:space="preserve"> AC, </w:t>
      </w:r>
      <w:proofErr w:type="spellStart"/>
      <w:r w:rsidRPr="007B3561">
        <w:rPr>
          <w:rFonts w:ascii="Book Antiqua" w:hAnsi="Book Antiqua"/>
        </w:rPr>
        <w:t>Fabris</w:t>
      </w:r>
      <w:proofErr w:type="spellEnd"/>
      <w:r w:rsidRPr="007B3561">
        <w:rPr>
          <w:rFonts w:ascii="Book Antiqua" w:hAnsi="Book Antiqua"/>
        </w:rPr>
        <w:t xml:space="preserve"> F, Rivera J, Lozano ML, </w:t>
      </w:r>
      <w:r w:rsidRPr="007B3561">
        <w:rPr>
          <w:rFonts w:ascii="Book Antiqua" w:hAnsi="Book Antiqua"/>
        </w:rPr>
        <w:lastRenderedPageBreak/>
        <w:t xml:space="preserve">Butta N, Favier R, Cid AR, </w:t>
      </w:r>
      <w:proofErr w:type="spellStart"/>
      <w:r w:rsidRPr="007B3561">
        <w:rPr>
          <w:rFonts w:ascii="Book Antiqua" w:hAnsi="Book Antiqua"/>
        </w:rPr>
        <w:t>Fouassier</w:t>
      </w:r>
      <w:proofErr w:type="spellEnd"/>
      <w:r w:rsidRPr="007B3561">
        <w:rPr>
          <w:rFonts w:ascii="Book Antiqua" w:hAnsi="Book Antiqua"/>
        </w:rPr>
        <w:t xml:space="preserve"> M, </w:t>
      </w:r>
      <w:proofErr w:type="spellStart"/>
      <w:r w:rsidRPr="007B3561">
        <w:rPr>
          <w:rFonts w:ascii="Book Antiqua" w:hAnsi="Book Antiqua"/>
        </w:rPr>
        <w:t>Podda</w:t>
      </w:r>
      <w:proofErr w:type="spellEnd"/>
      <w:r w:rsidRPr="007B3561">
        <w:rPr>
          <w:rFonts w:ascii="Book Antiqua" w:hAnsi="Book Antiqua"/>
        </w:rPr>
        <w:t xml:space="preserve"> GM, Santoro C, </w:t>
      </w:r>
      <w:proofErr w:type="spellStart"/>
      <w:r w:rsidRPr="007B3561">
        <w:rPr>
          <w:rFonts w:ascii="Book Antiqua" w:hAnsi="Book Antiqua"/>
        </w:rPr>
        <w:t>Grandone</w:t>
      </w:r>
      <w:proofErr w:type="spellEnd"/>
      <w:r w:rsidRPr="007B3561">
        <w:rPr>
          <w:rFonts w:ascii="Book Antiqua" w:hAnsi="Book Antiqua"/>
        </w:rPr>
        <w:t xml:space="preserve"> E, </w:t>
      </w:r>
      <w:proofErr w:type="spellStart"/>
      <w:r w:rsidRPr="007B3561">
        <w:rPr>
          <w:rFonts w:ascii="Book Antiqua" w:hAnsi="Book Antiqua"/>
        </w:rPr>
        <w:t>Henskens</w:t>
      </w:r>
      <w:proofErr w:type="spellEnd"/>
      <w:r w:rsidRPr="007B3561">
        <w:rPr>
          <w:rFonts w:ascii="Book Antiqua" w:hAnsi="Book Antiqua"/>
        </w:rPr>
        <w:t xml:space="preserve"> Y, </w:t>
      </w:r>
      <w:proofErr w:type="spellStart"/>
      <w:r w:rsidRPr="007B3561">
        <w:rPr>
          <w:rFonts w:ascii="Book Antiqua" w:hAnsi="Book Antiqua"/>
        </w:rPr>
        <w:t>Nurden</w:t>
      </w:r>
      <w:proofErr w:type="spellEnd"/>
      <w:r w:rsidRPr="007B3561">
        <w:rPr>
          <w:rFonts w:ascii="Book Antiqua" w:hAnsi="Book Antiqua"/>
        </w:rPr>
        <w:t xml:space="preserve"> P, </w:t>
      </w:r>
      <w:proofErr w:type="spellStart"/>
      <w:r w:rsidRPr="007B3561">
        <w:rPr>
          <w:rFonts w:ascii="Book Antiqua" w:hAnsi="Book Antiqua"/>
        </w:rPr>
        <w:t>Zieger</w:t>
      </w:r>
      <w:proofErr w:type="spellEnd"/>
      <w:r w:rsidRPr="007B3561">
        <w:rPr>
          <w:rFonts w:ascii="Book Antiqua" w:hAnsi="Book Antiqua"/>
        </w:rPr>
        <w:t xml:space="preserve"> B, </w:t>
      </w:r>
      <w:proofErr w:type="spellStart"/>
      <w:r w:rsidRPr="007B3561">
        <w:rPr>
          <w:rFonts w:ascii="Book Antiqua" w:hAnsi="Book Antiqua"/>
        </w:rPr>
        <w:t>Cuker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Devreese</w:t>
      </w:r>
      <w:proofErr w:type="spellEnd"/>
      <w:r w:rsidRPr="007B3561">
        <w:rPr>
          <w:rFonts w:ascii="Book Antiqua" w:hAnsi="Book Antiqua"/>
        </w:rPr>
        <w:t xml:space="preserve"> K, </w:t>
      </w:r>
      <w:proofErr w:type="spellStart"/>
      <w:r w:rsidRPr="007B3561">
        <w:rPr>
          <w:rFonts w:ascii="Book Antiqua" w:hAnsi="Book Antiqua"/>
        </w:rPr>
        <w:t>Tosetto</w:t>
      </w:r>
      <w:proofErr w:type="spellEnd"/>
      <w:r w:rsidRPr="007B3561">
        <w:rPr>
          <w:rFonts w:ascii="Book Antiqua" w:hAnsi="Book Antiqua"/>
        </w:rPr>
        <w:t xml:space="preserve"> A, De Candia E, Dupuis A, Miyazaki K, Othman M, </w:t>
      </w:r>
      <w:proofErr w:type="spellStart"/>
      <w:r w:rsidRPr="007B3561">
        <w:rPr>
          <w:rFonts w:ascii="Book Antiqua" w:hAnsi="Book Antiqua"/>
        </w:rPr>
        <w:t>Gresele</w:t>
      </w:r>
      <w:proofErr w:type="spellEnd"/>
      <w:r w:rsidRPr="007B3561">
        <w:rPr>
          <w:rFonts w:ascii="Book Antiqua" w:hAnsi="Book Antiqua"/>
        </w:rPr>
        <w:t xml:space="preserve"> P. Antithrombotic prophylaxis for surgery-associated venous thromboembolism risk in patients with inherited platelet disorders. The SPATA-DVT Study. </w:t>
      </w:r>
      <w:proofErr w:type="spellStart"/>
      <w:r w:rsidRPr="007B3561">
        <w:rPr>
          <w:rFonts w:ascii="Book Antiqua" w:hAnsi="Book Antiqua"/>
          <w:i/>
          <w:iCs/>
        </w:rPr>
        <w:t>Haematologica</w:t>
      </w:r>
      <w:proofErr w:type="spellEnd"/>
      <w:r w:rsidRPr="007B3561">
        <w:rPr>
          <w:rFonts w:ascii="Book Antiqua" w:hAnsi="Book Antiqua"/>
        </w:rPr>
        <w:t xml:space="preserve"> 2020; </w:t>
      </w:r>
      <w:r w:rsidRPr="007B3561">
        <w:rPr>
          <w:rFonts w:ascii="Book Antiqua" w:hAnsi="Book Antiqua"/>
          <w:b/>
          <w:bCs/>
        </w:rPr>
        <w:t>105</w:t>
      </w:r>
      <w:r w:rsidRPr="007B3561">
        <w:rPr>
          <w:rFonts w:ascii="Book Antiqua" w:hAnsi="Book Antiqua"/>
        </w:rPr>
        <w:t>: 1948-1956 [PMID: 31558677 DOI: 10.3324/haematol.2019.227876]</w:t>
      </w:r>
    </w:p>
    <w:p w14:paraId="5CE7D308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20 </w:t>
      </w:r>
      <w:proofErr w:type="spellStart"/>
      <w:r w:rsidRPr="007B3561">
        <w:rPr>
          <w:rFonts w:ascii="Book Antiqua" w:hAnsi="Book Antiqua"/>
          <w:b/>
          <w:bCs/>
        </w:rPr>
        <w:t>Iba</w:t>
      </w:r>
      <w:proofErr w:type="spellEnd"/>
      <w:r w:rsidRPr="007B3561">
        <w:rPr>
          <w:rFonts w:ascii="Book Antiqua" w:hAnsi="Book Antiqua"/>
          <w:b/>
          <w:bCs/>
        </w:rPr>
        <w:t xml:space="preserve"> T</w:t>
      </w:r>
      <w:r w:rsidRPr="007B3561">
        <w:rPr>
          <w:rFonts w:ascii="Book Antiqua" w:hAnsi="Book Antiqua"/>
        </w:rPr>
        <w:t xml:space="preserve">, Levy JH, Levi M, Connors JM, </w:t>
      </w:r>
      <w:proofErr w:type="spellStart"/>
      <w:r w:rsidRPr="007B3561">
        <w:rPr>
          <w:rFonts w:ascii="Book Antiqua" w:hAnsi="Book Antiqua"/>
        </w:rPr>
        <w:t>Thachil</w:t>
      </w:r>
      <w:proofErr w:type="spellEnd"/>
      <w:r w:rsidRPr="007B3561">
        <w:rPr>
          <w:rFonts w:ascii="Book Antiqua" w:hAnsi="Book Antiqua"/>
        </w:rPr>
        <w:t xml:space="preserve"> J. Coagulopathy of Coronavirus Disease 2019. </w:t>
      </w:r>
      <w:proofErr w:type="spellStart"/>
      <w:r w:rsidRPr="007B3561">
        <w:rPr>
          <w:rFonts w:ascii="Book Antiqua" w:hAnsi="Book Antiqua"/>
          <w:i/>
          <w:iCs/>
        </w:rPr>
        <w:t>Crit</w:t>
      </w:r>
      <w:proofErr w:type="spellEnd"/>
      <w:r w:rsidRPr="007B3561">
        <w:rPr>
          <w:rFonts w:ascii="Book Antiqua" w:hAnsi="Book Antiqua"/>
          <w:i/>
          <w:iCs/>
        </w:rPr>
        <w:t xml:space="preserve"> Care Med</w:t>
      </w:r>
      <w:r w:rsidRPr="007B3561">
        <w:rPr>
          <w:rFonts w:ascii="Book Antiqua" w:hAnsi="Book Antiqua"/>
        </w:rPr>
        <w:t xml:space="preserve"> 2020; </w:t>
      </w:r>
      <w:r w:rsidRPr="007B3561">
        <w:rPr>
          <w:rFonts w:ascii="Book Antiqua" w:hAnsi="Book Antiqua"/>
          <w:b/>
          <w:bCs/>
        </w:rPr>
        <w:t>48</w:t>
      </w:r>
      <w:r w:rsidRPr="007B3561">
        <w:rPr>
          <w:rFonts w:ascii="Book Antiqua" w:hAnsi="Book Antiqua"/>
        </w:rPr>
        <w:t>: 1358-1364 [PMID: 32467443 DOI: 10.1097/CCM.0000000000004458]</w:t>
      </w:r>
    </w:p>
    <w:p w14:paraId="4497CC8C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21 </w:t>
      </w:r>
      <w:proofErr w:type="spellStart"/>
      <w:r w:rsidRPr="007B3561">
        <w:rPr>
          <w:rFonts w:ascii="Book Antiqua" w:hAnsi="Book Antiqua"/>
          <w:b/>
          <w:bCs/>
        </w:rPr>
        <w:t>McBane</w:t>
      </w:r>
      <w:proofErr w:type="spellEnd"/>
      <w:r w:rsidRPr="007B3561">
        <w:rPr>
          <w:rFonts w:ascii="Book Antiqua" w:hAnsi="Book Antiqua"/>
          <w:b/>
          <w:bCs/>
        </w:rPr>
        <w:t xml:space="preserve"> RD 2nd</w:t>
      </w:r>
      <w:r w:rsidRPr="007B3561">
        <w:rPr>
          <w:rFonts w:ascii="Book Antiqua" w:hAnsi="Book Antiqua"/>
        </w:rPr>
        <w:t xml:space="preserve">, Torres Roldan VD, Niven AS, </w:t>
      </w:r>
      <w:proofErr w:type="spellStart"/>
      <w:r w:rsidRPr="007B3561">
        <w:rPr>
          <w:rFonts w:ascii="Book Antiqua" w:hAnsi="Book Antiqua"/>
        </w:rPr>
        <w:t>Pruthi</w:t>
      </w:r>
      <w:proofErr w:type="spellEnd"/>
      <w:r w:rsidRPr="007B3561">
        <w:rPr>
          <w:rFonts w:ascii="Book Antiqua" w:hAnsi="Book Antiqua"/>
        </w:rPr>
        <w:t xml:space="preserve"> RK, Franco PM, </w:t>
      </w:r>
      <w:proofErr w:type="spellStart"/>
      <w:r w:rsidRPr="007B3561">
        <w:rPr>
          <w:rFonts w:ascii="Book Antiqua" w:hAnsi="Book Antiqua"/>
        </w:rPr>
        <w:t>Linderbaum</w:t>
      </w:r>
      <w:proofErr w:type="spellEnd"/>
      <w:r w:rsidRPr="007B3561">
        <w:rPr>
          <w:rFonts w:ascii="Book Antiqua" w:hAnsi="Book Antiqua"/>
        </w:rPr>
        <w:t xml:space="preserve"> JA, </w:t>
      </w:r>
      <w:proofErr w:type="spellStart"/>
      <w:r w:rsidRPr="007B3561">
        <w:rPr>
          <w:rFonts w:ascii="Book Antiqua" w:hAnsi="Book Antiqua"/>
        </w:rPr>
        <w:t>Casanegra</w:t>
      </w:r>
      <w:proofErr w:type="spellEnd"/>
      <w:r w:rsidRPr="007B3561">
        <w:rPr>
          <w:rFonts w:ascii="Book Antiqua" w:hAnsi="Book Antiqua"/>
        </w:rPr>
        <w:t xml:space="preserve"> AI, Oyen LJ, Houghton DE, Marshall AL, </w:t>
      </w:r>
      <w:proofErr w:type="spellStart"/>
      <w:r w:rsidRPr="007B3561">
        <w:rPr>
          <w:rFonts w:ascii="Book Antiqua" w:hAnsi="Book Antiqua"/>
        </w:rPr>
        <w:t>Ou</w:t>
      </w:r>
      <w:proofErr w:type="spellEnd"/>
      <w:r w:rsidRPr="007B3561">
        <w:rPr>
          <w:rFonts w:ascii="Book Antiqua" w:hAnsi="Book Antiqua"/>
        </w:rPr>
        <w:t xml:space="preserve"> NN, Siegel JL, </w:t>
      </w:r>
      <w:proofErr w:type="spellStart"/>
      <w:r w:rsidRPr="007B3561">
        <w:rPr>
          <w:rFonts w:ascii="Book Antiqua" w:hAnsi="Book Antiqua"/>
        </w:rPr>
        <w:t>Wysokinski</w:t>
      </w:r>
      <w:proofErr w:type="spellEnd"/>
      <w:r w:rsidRPr="007B3561">
        <w:rPr>
          <w:rFonts w:ascii="Book Antiqua" w:hAnsi="Book Antiqua"/>
        </w:rPr>
        <w:t xml:space="preserve"> WE, </w:t>
      </w:r>
      <w:proofErr w:type="spellStart"/>
      <w:r w:rsidRPr="007B3561">
        <w:rPr>
          <w:rFonts w:ascii="Book Antiqua" w:hAnsi="Book Antiqua"/>
        </w:rPr>
        <w:t>Padrnos</w:t>
      </w:r>
      <w:proofErr w:type="spellEnd"/>
      <w:r w:rsidRPr="007B3561">
        <w:rPr>
          <w:rFonts w:ascii="Book Antiqua" w:hAnsi="Book Antiqua"/>
        </w:rPr>
        <w:t xml:space="preserve"> LJ, Rivera CE, Flo GL, Shamoun FE, Silvers SM, </w:t>
      </w:r>
      <w:proofErr w:type="spellStart"/>
      <w:r w:rsidRPr="007B3561">
        <w:rPr>
          <w:rFonts w:ascii="Book Antiqua" w:hAnsi="Book Antiqua"/>
        </w:rPr>
        <w:t>Nayfeh</w:t>
      </w:r>
      <w:proofErr w:type="spellEnd"/>
      <w:r w:rsidRPr="007B3561">
        <w:rPr>
          <w:rFonts w:ascii="Book Antiqua" w:hAnsi="Book Antiqua"/>
        </w:rPr>
        <w:t xml:space="preserve"> T, </w:t>
      </w:r>
      <w:proofErr w:type="spellStart"/>
      <w:r w:rsidRPr="007B3561">
        <w:rPr>
          <w:rFonts w:ascii="Book Antiqua" w:hAnsi="Book Antiqua"/>
        </w:rPr>
        <w:t>Urtecho</w:t>
      </w:r>
      <w:proofErr w:type="spellEnd"/>
      <w:r w:rsidRPr="007B3561">
        <w:rPr>
          <w:rFonts w:ascii="Book Antiqua" w:hAnsi="Book Antiqua"/>
        </w:rPr>
        <w:t xml:space="preserve"> M, Shah S, </w:t>
      </w:r>
      <w:proofErr w:type="spellStart"/>
      <w:r w:rsidRPr="007B3561">
        <w:rPr>
          <w:rFonts w:ascii="Book Antiqua" w:hAnsi="Book Antiqua"/>
        </w:rPr>
        <w:t>Benkhadra</w:t>
      </w:r>
      <w:proofErr w:type="spellEnd"/>
      <w:r w:rsidRPr="007B3561">
        <w:rPr>
          <w:rFonts w:ascii="Book Antiqua" w:hAnsi="Book Antiqua"/>
        </w:rPr>
        <w:t xml:space="preserve"> R, </w:t>
      </w:r>
      <w:proofErr w:type="spellStart"/>
      <w:r w:rsidRPr="007B3561">
        <w:rPr>
          <w:rFonts w:ascii="Book Antiqua" w:hAnsi="Book Antiqua"/>
        </w:rPr>
        <w:t>Saadi</w:t>
      </w:r>
      <w:proofErr w:type="spellEnd"/>
      <w:r w:rsidRPr="007B3561">
        <w:rPr>
          <w:rFonts w:ascii="Book Antiqua" w:hAnsi="Book Antiqua"/>
        </w:rPr>
        <w:t xml:space="preserve"> SM, </w:t>
      </w:r>
      <w:proofErr w:type="spellStart"/>
      <w:r w:rsidRPr="007B3561">
        <w:rPr>
          <w:rFonts w:ascii="Book Antiqua" w:hAnsi="Book Antiqua"/>
        </w:rPr>
        <w:t>Firwana</w:t>
      </w:r>
      <w:proofErr w:type="spellEnd"/>
      <w:r w:rsidRPr="007B3561">
        <w:rPr>
          <w:rFonts w:ascii="Book Antiqua" w:hAnsi="Book Antiqua"/>
        </w:rPr>
        <w:t xml:space="preserve"> M, </w:t>
      </w:r>
      <w:proofErr w:type="spellStart"/>
      <w:r w:rsidRPr="007B3561">
        <w:rPr>
          <w:rFonts w:ascii="Book Antiqua" w:hAnsi="Book Antiqua"/>
        </w:rPr>
        <w:t>Jawaid</w:t>
      </w:r>
      <w:proofErr w:type="spellEnd"/>
      <w:r w:rsidRPr="007B3561">
        <w:rPr>
          <w:rFonts w:ascii="Book Antiqua" w:hAnsi="Book Antiqua"/>
        </w:rPr>
        <w:t xml:space="preserve"> T, Amin M, Prokop LJ, Murad MH. Anticoagulation in COVID-19: A Systematic Review, Meta-analysis, and Rapid Guidance </w:t>
      </w:r>
      <w:proofErr w:type="gramStart"/>
      <w:r w:rsidRPr="007B3561">
        <w:rPr>
          <w:rFonts w:ascii="Book Antiqua" w:hAnsi="Book Antiqua"/>
        </w:rPr>
        <w:t>From</w:t>
      </w:r>
      <w:proofErr w:type="gramEnd"/>
      <w:r w:rsidRPr="007B3561">
        <w:rPr>
          <w:rFonts w:ascii="Book Antiqua" w:hAnsi="Book Antiqua"/>
        </w:rPr>
        <w:t xml:space="preserve"> Mayo Clinic. </w:t>
      </w:r>
      <w:r w:rsidRPr="007B3561">
        <w:rPr>
          <w:rFonts w:ascii="Book Antiqua" w:hAnsi="Book Antiqua"/>
          <w:i/>
          <w:iCs/>
        </w:rPr>
        <w:t>Mayo Clin Proc</w:t>
      </w:r>
      <w:r w:rsidRPr="007B3561">
        <w:rPr>
          <w:rFonts w:ascii="Book Antiqua" w:hAnsi="Book Antiqua"/>
        </w:rPr>
        <w:t xml:space="preserve"> 2020; </w:t>
      </w:r>
      <w:r w:rsidRPr="007B3561">
        <w:rPr>
          <w:rFonts w:ascii="Book Antiqua" w:hAnsi="Book Antiqua"/>
          <w:b/>
          <w:bCs/>
        </w:rPr>
        <w:t>95</w:t>
      </w:r>
      <w:r w:rsidRPr="007B3561">
        <w:rPr>
          <w:rFonts w:ascii="Book Antiqua" w:hAnsi="Book Antiqua"/>
        </w:rPr>
        <w:t>: 2467-2486 [PMID: 33153635 DOI: 10.1016/j.mayocp.2020.08.030]</w:t>
      </w:r>
    </w:p>
    <w:p w14:paraId="0E8EED41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22 </w:t>
      </w:r>
      <w:proofErr w:type="spellStart"/>
      <w:r w:rsidRPr="007B3561">
        <w:rPr>
          <w:rFonts w:ascii="Book Antiqua" w:hAnsi="Book Antiqua"/>
          <w:b/>
          <w:bCs/>
        </w:rPr>
        <w:t>Thachil</w:t>
      </w:r>
      <w:proofErr w:type="spellEnd"/>
      <w:r w:rsidRPr="007B3561">
        <w:rPr>
          <w:rFonts w:ascii="Book Antiqua" w:hAnsi="Book Antiqua"/>
          <w:b/>
          <w:bCs/>
        </w:rPr>
        <w:t xml:space="preserve"> J</w:t>
      </w:r>
      <w:r w:rsidRPr="007B3561">
        <w:rPr>
          <w:rFonts w:ascii="Book Antiqua" w:hAnsi="Book Antiqua"/>
        </w:rPr>
        <w:t xml:space="preserve">, Tang N, </w:t>
      </w:r>
      <w:proofErr w:type="spellStart"/>
      <w:r w:rsidRPr="007B3561">
        <w:rPr>
          <w:rFonts w:ascii="Book Antiqua" w:hAnsi="Book Antiqua"/>
        </w:rPr>
        <w:t>Gando</w:t>
      </w:r>
      <w:proofErr w:type="spellEnd"/>
      <w:r w:rsidRPr="007B3561">
        <w:rPr>
          <w:rFonts w:ascii="Book Antiqua" w:hAnsi="Book Antiqua"/>
        </w:rPr>
        <w:t xml:space="preserve"> S, </w:t>
      </w:r>
      <w:proofErr w:type="spellStart"/>
      <w:r w:rsidRPr="007B3561">
        <w:rPr>
          <w:rFonts w:ascii="Book Antiqua" w:hAnsi="Book Antiqua"/>
        </w:rPr>
        <w:t>Falanga</w:t>
      </w:r>
      <w:proofErr w:type="spellEnd"/>
      <w:r w:rsidRPr="007B3561">
        <w:rPr>
          <w:rFonts w:ascii="Book Antiqua" w:hAnsi="Book Antiqua"/>
        </w:rPr>
        <w:t xml:space="preserve"> A, </w:t>
      </w:r>
      <w:proofErr w:type="spellStart"/>
      <w:r w:rsidRPr="007B3561">
        <w:rPr>
          <w:rFonts w:ascii="Book Antiqua" w:hAnsi="Book Antiqua"/>
        </w:rPr>
        <w:t>Cattaneo</w:t>
      </w:r>
      <w:proofErr w:type="spellEnd"/>
      <w:r w:rsidRPr="007B3561">
        <w:rPr>
          <w:rFonts w:ascii="Book Antiqua" w:hAnsi="Book Antiqua"/>
        </w:rPr>
        <w:t xml:space="preserve"> M, Levi M, Clark C, </w:t>
      </w:r>
      <w:proofErr w:type="spellStart"/>
      <w:r w:rsidRPr="007B3561">
        <w:rPr>
          <w:rFonts w:ascii="Book Antiqua" w:hAnsi="Book Antiqua"/>
        </w:rPr>
        <w:t>Iba</w:t>
      </w:r>
      <w:proofErr w:type="spellEnd"/>
      <w:r w:rsidRPr="007B3561">
        <w:rPr>
          <w:rFonts w:ascii="Book Antiqua" w:hAnsi="Book Antiqua"/>
        </w:rPr>
        <w:t xml:space="preserve"> T. ISTH interim guidance on recognition and management of coagulopathy in COVID-19. </w:t>
      </w:r>
      <w:r w:rsidRPr="007B3561">
        <w:rPr>
          <w:rFonts w:ascii="Book Antiqua" w:hAnsi="Book Antiqua"/>
          <w:i/>
          <w:iCs/>
        </w:rPr>
        <w:t xml:space="preserve">J </w:t>
      </w:r>
      <w:proofErr w:type="spellStart"/>
      <w:r w:rsidRPr="007B3561">
        <w:rPr>
          <w:rFonts w:ascii="Book Antiqua" w:hAnsi="Book Antiqua"/>
          <w:i/>
          <w:iCs/>
        </w:rPr>
        <w:t>Thromb</w:t>
      </w:r>
      <w:proofErr w:type="spellEnd"/>
      <w:r w:rsidRPr="007B3561">
        <w:rPr>
          <w:rFonts w:ascii="Book Antiqua" w:hAnsi="Book Antiqua"/>
          <w:i/>
          <w:iCs/>
        </w:rPr>
        <w:t xml:space="preserve"> </w:t>
      </w:r>
      <w:proofErr w:type="spellStart"/>
      <w:r w:rsidRPr="007B3561">
        <w:rPr>
          <w:rFonts w:ascii="Book Antiqua" w:hAnsi="Book Antiqua"/>
          <w:i/>
          <w:iCs/>
        </w:rPr>
        <w:t>Haemost</w:t>
      </w:r>
      <w:proofErr w:type="spellEnd"/>
      <w:r w:rsidRPr="007B3561">
        <w:rPr>
          <w:rFonts w:ascii="Book Antiqua" w:hAnsi="Book Antiqua"/>
        </w:rPr>
        <w:t xml:space="preserve"> 2020; </w:t>
      </w:r>
      <w:r w:rsidRPr="007B3561">
        <w:rPr>
          <w:rFonts w:ascii="Book Antiqua" w:hAnsi="Book Antiqua"/>
          <w:b/>
          <w:bCs/>
        </w:rPr>
        <w:t>18</w:t>
      </w:r>
      <w:r w:rsidRPr="007B3561">
        <w:rPr>
          <w:rFonts w:ascii="Book Antiqua" w:hAnsi="Book Antiqua"/>
        </w:rPr>
        <w:t>: 1023-1026 [PMID: 32338827 DOI: 10.1111/jth.14810]</w:t>
      </w:r>
    </w:p>
    <w:p w14:paraId="1C309AA7" w14:textId="77777777" w:rsidR="00EB1578" w:rsidRPr="007B3561" w:rsidRDefault="00EB1578" w:rsidP="008C5194">
      <w:pPr>
        <w:snapToGrid w:val="0"/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hAnsi="Book Antiqua"/>
        </w:rPr>
        <w:t xml:space="preserve">23 </w:t>
      </w:r>
      <w:proofErr w:type="spellStart"/>
      <w:r w:rsidRPr="007B3561">
        <w:rPr>
          <w:rFonts w:ascii="Book Antiqua" w:hAnsi="Book Antiqua"/>
          <w:b/>
          <w:bCs/>
        </w:rPr>
        <w:t>Sebaaly</w:t>
      </w:r>
      <w:proofErr w:type="spellEnd"/>
      <w:r w:rsidRPr="007B3561">
        <w:rPr>
          <w:rFonts w:ascii="Book Antiqua" w:hAnsi="Book Antiqua"/>
          <w:b/>
          <w:bCs/>
        </w:rPr>
        <w:t xml:space="preserve"> J</w:t>
      </w:r>
      <w:r w:rsidRPr="007B3561">
        <w:rPr>
          <w:rFonts w:ascii="Book Antiqua" w:hAnsi="Book Antiqua"/>
        </w:rPr>
        <w:t xml:space="preserve">, Covert K. Enoxaparin Dosing at Extremes of Weight: Literature Review and Dosing Recommendations. </w:t>
      </w:r>
      <w:r w:rsidRPr="007B3561">
        <w:rPr>
          <w:rFonts w:ascii="Book Antiqua" w:hAnsi="Book Antiqua"/>
          <w:i/>
          <w:iCs/>
        </w:rPr>
        <w:t xml:space="preserve">Ann </w:t>
      </w:r>
      <w:proofErr w:type="spellStart"/>
      <w:r w:rsidRPr="007B3561">
        <w:rPr>
          <w:rFonts w:ascii="Book Antiqua" w:hAnsi="Book Antiqua"/>
          <w:i/>
          <w:iCs/>
        </w:rPr>
        <w:t>Pharmacother</w:t>
      </w:r>
      <w:proofErr w:type="spellEnd"/>
      <w:r w:rsidRPr="007B3561">
        <w:rPr>
          <w:rFonts w:ascii="Book Antiqua" w:hAnsi="Book Antiqua"/>
        </w:rPr>
        <w:t xml:space="preserve"> 2018; </w:t>
      </w:r>
      <w:r w:rsidRPr="007B3561">
        <w:rPr>
          <w:rFonts w:ascii="Book Antiqua" w:hAnsi="Book Antiqua"/>
          <w:b/>
          <w:bCs/>
        </w:rPr>
        <w:t>52</w:t>
      </w:r>
      <w:r w:rsidRPr="007B3561">
        <w:rPr>
          <w:rFonts w:ascii="Book Antiqua" w:hAnsi="Book Antiqua"/>
        </w:rPr>
        <w:t>: 898-909 [PMID: 29592538 DOI: 10.1177/1060028018768449]</w:t>
      </w:r>
    </w:p>
    <w:p w14:paraId="27483C59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3DE87B8D" w14:textId="77777777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Footnotes</w:t>
      </w:r>
    </w:p>
    <w:p w14:paraId="1AD89F80" w14:textId="7A7F52E5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Informed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written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consent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obtained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from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patient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publication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report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accompanying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images.</w:t>
      </w:r>
    </w:p>
    <w:p w14:paraId="036BABB9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54A790DA" w14:textId="095C2553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authors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declare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conflict</w:t>
      </w:r>
      <w:r w:rsidR="00F60FDC" w:rsidRPr="007B3561">
        <w:rPr>
          <w:rFonts w:ascii="Book Antiqua" w:eastAsia="Book Antiqua" w:hAnsi="Book Antiqua" w:cs="Book Antiqua"/>
          <w:color w:val="000000"/>
        </w:rPr>
        <w:t>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interest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disclose.</w:t>
      </w:r>
    </w:p>
    <w:p w14:paraId="3B6CE153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5B0CF6BB" w14:textId="28BB7D69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lastRenderedPageBreak/>
        <w:t>CARE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authors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have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read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Checklist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(2016),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manuscript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prepared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revised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according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CARE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Checklist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(2016)</w:t>
      </w:r>
      <w:r w:rsidR="00FF6040" w:rsidRPr="007B3561">
        <w:rPr>
          <w:rFonts w:ascii="Book Antiqua" w:eastAsia="Book Antiqua" w:hAnsi="Book Antiqua" w:cs="Book Antiqua"/>
          <w:color w:val="000000"/>
        </w:rPr>
        <w:t>.</w:t>
      </w:r>
    </w:p>
    <w:p w14:paraId="1B624C03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50ACE08" w14:textId="210B6F6D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51AEE" w:rsidRPr="007B35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article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open-access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article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that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was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selected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in-house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editor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fully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peer-reviewed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external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reviewers.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distributed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accordance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with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Creative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Commons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Attribution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B356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(CC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BY-NC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4.0)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license,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which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permits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others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distribute,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remix,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adapt,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build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upon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work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non-commercially,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license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their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derivative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works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different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terms,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provided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original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work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properly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the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use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is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non-commercial.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See: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A8ED290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4430A6FE" w14:textId="6DF480EA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Provenance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peer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review: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Unsolicited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article;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Externally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peer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reviewed.</w:t>
      </w:r>
    </w:p>
    <w:p w14:paraId="19833F75" w14:textId="0B6597E1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Peer-review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model: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Single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blind</w:t>
      </w:r>
    </w:p>
    <w:p w14:paraId="5B263588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3E08DED" w14:textId="67BBFC3D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Peer-review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started: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July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22,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2022</w:t>
      </w:r>
    </w:p>
    <w:p w14:paraId="38B1B00A" w14:textId="6953B606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First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decision: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September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26,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2022</w:t>
      </w:r>
    </w:p>
    <w:p w14:paraId="13BB3B8A" w14:textId="49BEC7C3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Article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in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press: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8178C" w:rsidRPr="007B3561">
        <w:rPr>
          <w:rFonts w:ascii="Book Antiqua" w:eastAsia="Book Antiqua" w:hAnsi="Book Antiqua" w:cs="Book Antiqua"/>
          <w:color w:val="000000"/>
        </w:rPr>
        <w:t>December 6, 2022</w:t>
      </w:r>
    </w:p>
    <w:p w14:paraId="10E7D0B0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283DA237" w14:textId="4A970DE8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Specialty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type: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Medicine,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FD3CB6">
        <w:rPr>
          <w:rFonts w:ascii="Book Antiqua" w:eastAsia="Book Antiqua" w:hAnsi="Book Antiqua" w:cs="Book Antiqua"/>
          <w:color w:val="000000"/>
        </w:rPr>
        <w:t>g</w:t>
      </w:r>
      <w:r w:rsidRPr="007B3561">
        <w:rPr>
          <w:rFonts w:ascii="Book Antiqua" w:eastAsia="Book Antiqua" w:hAnsi="Book Antiqua" w:cs="Book Antiqua"/>
          <w:color w:val="000000"/>
        </w:rPr>
        <w:t>eneral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and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FD3CB6">
        <w:rPr>
          <w:rFonts w:ascii="Book Antiqua" w:eastAsia="Book Antiqua" w:hAnsi="Book Antiqua" w:cs="Book Antiqua"/>
          <w:color w:val="000000"/>
        </w:rPr>
        <w:t>i</w:t>
      </w:r>
      <w:r w:rsidRPr="007B3561">
        <w:rPr>
          <w:rFonts w:ascii="Book Antiqua" w:eastAsia="Book Antiqua" w:hAnsi="Book Antiqua" w:cs="Book Antiqua"/>
          <w:color w:val="000000"/>
        </w:rPr>
        <w:t>nternal</w:t>
      </w:r>
    </w:p>
    <w:p w14:paraId="5F84ED3F" w14:textId="61918604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Country/Territory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of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origin: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United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States</w:t>
      </w:r>
    </w:p>
    <w:p w14:paraId="098E7EDA" w14:textId="2E45B62B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Peer-review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report’s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scientific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quality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A5396D" w14:textId="2F036298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Grade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(Excellent):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0</w:t>
      </w:r>
    </w:p>
    <w:p w14:paraId="6F98E855" w14:textId="49A2397E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Grade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B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(Very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good):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0</w:t>
      </w:r>
    </w:p>
    <w:p w14:paraId="5815E7A2" w14:textId="15B1B746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Grade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(Good):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</w:t>
      </w:r>
    </w:p>
    <w:p w14:paraId="5B641B46" w14:textId="0F682618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Grade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(Fair):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D</w:t>
      </w:r>
    </w:p>
    <w:p w14:paraId="2A773C13" w14:textId="5027588A" w:rsidR="00A77B3E" w:rsidRPr="007B3561" w:rsidRDefault="00A5188C" w:rsidP="008C5194">
      <w:pPr>
        <w:spacing w:line="360" w:lineRule="auto"/>
        <w:jc w:val="both"/>
        <w:rPr>
          <w:rFonts w:ascii="Book Antiqua" w:hAnsi="Book Antiqua"/>
        </w:rPr>
      </w:pPr>
      <w:r w:rsidRPr="007B3561">
        <w:rPr>
          <w:rFonts w:ascii="Book Antiqua" w:eastAsia="Book Antiqua" w:hAnsi="Book Antiqua" w:cs="Book Antiqua"/>
          <w:color w:val="000000"/>
        </w:rPr>
        <w:t>Grade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E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(Poor):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0</w:t>
      </w:r>
    </w:p>
    <w:p w14:paraId="3B48711B" w14:textId="77777777" w:rsidR="00A77B3E" w:rsidRPr="007B3561" w:rsidRDefault="00A77B3E" w:rsidP="008C5194">
      <w:pPr>
        <w:spacing w:line="360" w:lineRule="auto"/>
        <w:jc w:val="both"/>
        <w:rPr>
          <w:rFonts w:ascii="Book Antiqua" w:hAnsi="Book Antiqua"/>
        </w:rPr>
      </w:pPr>
    </w:p>
    <w:p w14:paraId="6527E83B" w14:textId="198FF307" w:rsidR="00A77B3E" w:rsidRPr="007B3561" w:rsidRDefault="00A5188C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B3561">
        <w:rPr>
          <w:rFonts w:ascii="Book Antiqua" w:eastAsia="Book Antiqua" w:hAnsi="Book Antiqua" w:cs="Book Antiqua"/>
          <w:b/>
          <w:color w:val="000000"/>
        </w:rPr>
        <w:t>P-Reviewer: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Chan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ASW,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China;</w:t>
      </w:r>
      <w:r w:rsidR="0058036F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="00FF6040" w:rsidRPr="007B3561">
        <w:rPr>
          <w:rFonts w:ascii="Book Antiqua" w:eastAsia="Book Antiqua" w:hAnsi="Book Antiqua" w:cs="Book Antiqua"/>
          <w:color w:val="000000"/>
        </w:rPr>
        <w:t>L</w:t>
      </w:r>
      <w:r w:rsidRPr="007B3561">
        <w:rPr>
          <w:rFonts w:ascii="Book Antiqua" w:eastAsia="Book Antiqua" w:hAnsi="Book Antiqua" w:cs="Book Antiqua"/>
          <w:color w:val="000000"/>
        </w:rPr>
        <w:t>uo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W,</w:t>
      </w:r>
      <w:r w:rsidR="00951AEE" w:rsidRPr="007B3561">
        <w:rPr>
          <w:rFonts w:ascii="Book Antiqua" w:eastAsia="Book Antiqua" w:hAnsi="Book Antiqua" w:cs="Book Antiqua"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color w:val="000000"/>
        </w:rPr>
        <w:t>China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S-Editor: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6040" w:rsidRPr="007B3561">
        <w:rPr>
          <w:rFonts w:ascii="Book Antiqua" w:eastAsia="Book Antiqua" w:hAnsi="Book Antiqua" w:cs="Book Antiqua"/>
          <w:bCs/>
          <w:color w:val="000000"/>
        </w:rPr>
        <w:t>Gong ZM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B3561">
        <w:rPr>
          <w:rFonts w:ascii="Book Antiqua" w:eastAsia="Book Antiqua" w:hAnsi="Book Antiqua" w:cs="Book Antiqua"/>
          <w:b/>
          <w:color w:val="000000"/>
        </w:rPr>
        <w:t>L-Editor:</w:t>
      </w:r>
      <w:r w:rsidR="0011389C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4409" w:rsidRPr="007B356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B3561">
        <w:rPr>
          <w:rFonts w:ascii="Book Antiqua" w:eastAsia="Book Antiqua" w:hAnsi="Book Antiqua" w:cs="Book Antiqua"/>
          <w:b/>
          <w:color w:val="000000"/>
        </w:rPr>
        <w:t>P-Editor:</w:t>
      </w:r>
      <w:r w:rsidR="00951AEE" w:rsidRPr="007B35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389C" w:rsidRPr="007B3561">
        <w:rPr>
          <w:rFonts w:ascii="Book Antiqua" w:eastAsia="Book Antiqua" w:hAnsi="Book Antiqua" w:cs="Book Antiqua"/>
          <w:bCs/>
          <w:color w:val="000000"/>
        </w:rPr>
        <w:t>Gong ZM</w:t>
      </w:r>
    </w:p>
    <w:p w14:paraId="57122E38" w14:textId="521E936A" w:rsidR="00F60FDC" w:rsidRPr="007B3561" w:rsidRDefault="00F60FDC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D30B0D9" w14:textId="4CFB12EF" w:rsidR="00825F4F" w:rsidRPr="007B3561" w:rsidRDefault="00825F4F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B3561">
        <w:rPr>
          <w:rFonts w:ascii="Book Antiqua" w:eastAsia="Times New Roman" w:hAnsi="Book Antiqua" w:cs="Arial"/>
          <w:b/>
          <w:bCs/>
        </w:rPr>
        <w:lastRenderedPageBreak/>
        <w:t>Table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1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Summary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of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anticoagulation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strategy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in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major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clinical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trials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on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="00C456BF" w:rsidRPr="007B3561">
        <w:rPr>
          <w:rFonts w:ascii="Book Antiqua" w:eastAsia="Times New Roman" w:hAnsi="Book Antiqua" w:cs="Arial"/>
          <w:b/>
          <w:bCs/>
        </w:rPr>
        <w:t>coronavirus disease 2019</w:t>
      </w:r>
      <w:r w:rsidR="00951AEE" w:rsidRPr="007B3561">
        <w:rPr>
          <w:rFonts w:ascii="Book Antiqua" w:eastAsia="Times New Roman" w:hAnsi="Book Antiqua" w:cs="Arial"/>
          <w:b/>
          <w:bCs/>
        </w:rPr>
        <w:t xml:space="preserve"> </w:t>
      </w:r>
      <w:r w:rsidRPr="007B3561">
        <w:rPr>
          <w:rFonts w:ascii="Book Antiqua" w:eastAsia="Times New Roman" w:hAnsi="Book Antiqua" w:cs="Arial"/>
          <w:b/>
          <w:bCs/>
        </w:rPr>
        <w:t>thromboprophylaxis</w:t>
      </w:r>
    </w:p>
    <w:tbl>
      <w:tblPr>
        <w:tblW w:w="4885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1776"/>
        <w:gridCol w:w="2628"/>
        <w:gridCol w:w="2606"/>
      </w:tblGrid>
      <w:tr w:rsidR="00D0124A" w:rsidRPr="007B3561" w14:paraId="73CF8B8F" w14:textId="77777777" w:rsidTr="003A1F6A">
        <w:trPr>
          <w:trHeight w:val="399"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1887A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7B3561">
              <w:rPr>
                <w:rFonts w:ascii="Book Antiqua" w:eastAsia="Times New Roman" w:hAnsi="Book Antiqua" w:cs="Arial"/>
                <w:b/>
                <w:bCs/>
              </w:rPr>
              <w:t>Trial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DA9A1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7B3561">
              <w:rPr>
                <w:rFonts w:ascii="Book Antiqua" w:eastAsia="Times New Roman" w:hAnsi="Book Antiqua" w:cs="Arial"/>
                <w:b/>
                <w:bCs/>
              </w:rPr>
              <w:t>Anticoagulant</w:t>
            </w:r>
          </w:p>
        </w:tc>
        <w:tc>
          <w:tcPr>
            <w:tcW w:w="14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216240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7B3561">
              <w:rPr>
                <w:rFonts w:ascii="Book Antiqua" w:eastAsia="Times New Roman" w:hAnsi="Book Antiqua" w:cs="Arial"/>
                <w:b/>
                <w:bCs/>
              </w:rPr>
              <w:t>Therapeutic dose arm</w:t>
            </w:r>
          </w:p>
        </w:tc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C3062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7B3561">
              <w:rPr>
                <w:rFonts w:ascii="Book Antiqua" w:eastAsia="Times New Roman" w:hAnsi="Book Antiqua" w:cs="Arial"/>
                <w:b/>
                <w:bCs/>
              </w:rPr>
              <w:t>Prophylactic dose arm</w:t>
            </w:r>
          </w:p>
        </w:tc>
      </w:tr>
      <w:tr w:rsidR="00D0124A" w:rsidRPr="007B3561" w14:paraId="3810DD43" w14:textId="77777777" w:rsidTr="003A1F6A">
        <w:trPr>
          <w:trHeight w:val="3608"/>
        </w:trPr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29F02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spellStart"/>
            <w:r w:rsidRPr="007B3561">
              <w:rPr>
                <w:rFonts w:ascii="Book Antiqua" w:eastAsia="Times New Roman" w:hAnsi="Book Antiqua" w:cs="Arial"/>
              </w:rPr>
              <w:t>mpRCT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(REMAP-CAP, ACTIV-4a, and </w:t>
            </w:r>
            <w:proofErr w:type="gramStart"/>
            <w:r w:rsidRPr="007B3561">
              <w:rPr>
                <w:rFonts w:ascii="Book Antiqua" w:eastAsia="Times New Roman" w:hAnsi="Book Antiqua" w:cs="Arial"/>
              </w:rPr>
              <w:t>ATTAC)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Arial"/>
                <w:vertAlign w:val="superscript"/>
              </w:rPr>
              <w:t>17]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EEBDB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Enoxaparin,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>,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r w:rsidRPr="007B3561">
              <w:rPr>
                <w:rFonts w:ascii="Book Antiqua" w:eastAsia="Times New Roman" w:hAnsi="Book Antiqua" w:cs="Arial"/>
              </w:rPr>
              <w:t>tinzaparin,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r w:rsidRPr="007B3561">
              <w:rPr>
                <w:rFonts w:ascii="Book Antiqua" w:eastAsia="Times New Roman" w:hAnsi="Book Antiqua" w:cs="Arial"/>
              </w:rPr>
              <w:t xml:space="preserve">UFH 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1F711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1 mg/kg SC BID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 xml:space="preserve"> </w:t>
            </w:r>
            <w:r w:rsidRPr="007B3561">
              <w:rPr>
                <w:rFonts w:ascii="Book Antiqua" w:eastAsia="Times New Roman" w:hAnsi="Book Antiqua" w:cs="Arial"/>
              </w:rPr>
              <w:t xml:space="preserve">minus 10% or 1.5 mg/kg SC QD minus 10%;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200 units/kg SC QD minus 10% or 100 units/kg SC BID minus 10%; Tinzaparin 175 U/kg SC QD minus 10%; UFH per hospital protocol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A0274F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SQ QD;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5000 units SC QD; Tinzaparin 4500 units SC Q24H; UFH 5000 units SC Q8H-12H </w:t>
            </w:r>
          </w:p>
        </w:tc>
      </w:tr>
      <w:tr w:rsidR="00D0124A" w:rsidRPr="007B3561" w14:paraId="692C8E9C" w14:textId="77777777" w:rsidTr="003A1F6A">
        <w:trPr>
          <w:trHeight w:val="2839"/>
        </w:trPr>
        <w:tc>
          <w:tcPr>
            <w:tcW w:w="1167" w:type="pct"/>
            <w:vMerge/>
            <w:shd w:val="clear" w:color="auto" w:fill="auto"/>
            <w:vAlign w:val="center"/>
          </w:tcPr>
          <w:p w14:paraId="7A052BD4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336F51B6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509E89F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6D1F69D9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SC BID;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7500 units SC QD; Tinzaparin 8000 units SC QD; UFH 7500 units BID</w:t>
            </w:r>
          </w:p>
        </w:tc>
      </w:tr>
      <w:tr w:rsidR="00D0124A" w:rsidRPr="007B3561" w14:paraId="681F2AF2" w14:textId="77777777" w:rsidTr="00D0124A">
        <w:trPr>
          <w:trHeight w:val="274"/>
        </w:trPr>
        <w:tc>
          <w:tcPr>
            <w:tcW w:w="116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6D67DC59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447D2ED4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117A557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0.8 mg/kg SC BID minus 10%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1D2D2633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enoxaparin 30 mg SQ QD</w:t>
            </w:r>
          </w:p>
        </w:tc>
      </w:tr>
      <w:tr w:rsidR="00D0124A" w:rsidRPr="007B3561" w14:paraId="62261FD4" w14:textId="77777777" w:rsidTr="00D0124A">
        <w:trPr>
          <w:cantSplit/>
          <w:trHeight w:val="1259"/>
        </w:trPr>
        <w:tc>
          <w:tcPr>
            <w:tcW w:w="1167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BF7D81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gramStart"/>
            <w:r w:rsidRPr="007B3561">
              <w:rPr>
                <w:rFonts w:ascii="Book Antiqua" w:eastAsia="Times New Roman" w:hAnsi="Book Antiqua" w:cs="Arial"/>
              </w:rPr>
              <w:t>INSPIRATION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Arial"/>
                <w:vertAlign w:val="superscript"/>
              </w:rPr>
              <w:t>18]</w:t>
            </w:r>
          </w:p>
        </w:tc>
        <w:tc>
          <w:tcPr>
            <w:tcW w:w="97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3E6D71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Enoxaparin, UFH</w:t>
            </w:r>
          </w:p>
        </w:tc>
        <w:tc>
          <w:tcPr>
            <w:tcW w:w="1437" w:type="pct"/>
            <w:shd w:val="clear" w:color="auto" w:fill="auto"/>
          </w:tcPr>
          <w:p w14:paraId="6CF96F00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1 mg/kg SC QD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  <w:hideMark/>
          </w:tcPr>
          <w:p w14:paraId="382442D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SC QD</w:t>
            </w:r>
          </w:p>
        </w:tc>
      </w:tr>
      <w:tr w:rsidR="00D0124A" w:rsidRPr="007B3561" w14:paraId="3C015352" w14:textId="77777777" w:rsidTr="00D0124A">
        <w:trPr>
          <w:cantSplit/>
          <w:trHeight w:val="447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FF868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9994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</w:tcPr>
          <w:p w14:paraId="524B11F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Obesity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1</w:t>
            </w:r>
            <w:r w:rsidRPr="007B3561">
              <w:rPr>
                <w:rFonts w:ascii="Book Antiqua" w:eastAsia="Times New Roman" w:hAnsi="Book Antiqua" w:cs="Arial"/>
              </w:rPr>
              <w:t xml:space="preserve">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0.6 mg/kg SC BID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24FDE9DC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D0124A" w:rsidRPr="007B3561" w14:paraId="74867CC8" w14:textId="77777777" w:rsidTr="00D0124A">
        <w:trPr>
          <w:cantSplit/>
          <w:trHeight w:val="536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645AF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C1CB2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</w:tcPr>
          <w:p w14:paraId="15B5B581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7700CB5C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Obesity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1</w:t>
            </w:r>
            <w:r w:rsidRPr="007B3561">
              <w:rPr>
                <w:rFonts w:ascii="Book Antiqua" w:eastAsia="Times New Roman" w:hAnsi="Book Antiqua" w:cs="Arial"/>
              </w:rPr>
              <w:t xml:space="preserve">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SC BID </w:t>
            </w:r>
          </w:p>
        </w:tc>
      </w:tr>
      <w:tr w:rsidR="00D0124A" w:rsidRPr="007B3561" w14:paraId="61CDCD7B" w14:textId="77777777" w:rsidTr="00D0124A">
        <w:trPr>
          <w:cantSplit/>
          <w:trHeight w:val="447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E084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177B9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</w:tcPr>
          <w:p w14:paraId="389AB073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15 &lt;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enoxaparin 0.5 mg/kg SC QD</w:t>
            </w:r>
          </w:p>
        </w:tc>
        <w:tc>
          <w:tcPr>
            <w:tcW w:w="1425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170071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D0124A" w:rsidRPr="007B3561" w14:paraId="6508F7C3" w14:textId="77777777" w:rsidTr="00D0124A">
        <w:trPr>
          <w:cantSplit/>
          <w:trHeight w:val="447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0E1B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10BB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tcBorders>
              <w:bottom w:val="nil"/>
            </w:tcBorders>
            <w:shd w:val="clear" w:color="auto" w:fill="auto"/>
          </w:tcPr>
          <w:p w14:paraId="565C4A12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926A69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15 &lt;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enoxaparin 40mg SC QD</w:t>
            </w:r>
          </w:p>
        </w:tc>
      </w:tr>
      <w:tr w:rsidR="00D0124A" w:rsidRPr="007B3561" w14:paraId="41ED9759" w14:textId="77777777" w:rsidTr="00D0124A">
        <w:trPr>
          <w:cantSplit/>
          <w:trHeight w:val="447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5E7D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B90BF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49CDC54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≤ 15 mL/min: UFH 10000 units SC BID</w:t>
            </w:r>
          </w:p>
        </w:tc>
        <w:tc>
          <w:tcPr>
            <w:tcW w:w="1425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D86EA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D0124A" w:rsidRPr="007B3561" w14:paraId="371297C5" w14:textId="77777777" w:rsidTr="00D0124A">
        <w:trPr>
          <w:cantSplit/>
          <w:trHeight w:val="1302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D41117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07E71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tcBorders>
              <w:top w:val="nil"/>
              <w:bottom w:val="nil"/>
            </w:tcBorders>
            <w:shd w:val="clear" w:color="auto" w:fill="auto"/>
          </w:tcPr>
          <w:p w14:paraId="241F7BC9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DC937A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≤ 15 mL/min: UFH 5000 units SC BID</w:t>
            </w:r>
          </w:p>
        </w:tc>
      </w:tr>
      <w:tr w:rsidR="00D0124A" w:rsidRPr="007B3561" w14:paraId="26E443DA" w14:textId="77777777" w:rsidTr="00D0124A">
        <w:trPr>
          <w:trHeight w:val="1047"/>
        </w:trPr>
        <w:tc>
          <w:tcPr>
            <w:tcW w:w="1167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2F1B5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HEP-</w:t>
            </w:r>
            <w:proofErr w:type="gramStart"/>
            <w:r w:rsidRPr="007B3561">
              <w:rPr>
                <w:rFonts w:ascii="Book Antiqua" w:eastAsia="Times New Roman" w:hAnsi="Book Antiqua" w:cs="Arial"/>
              </w:rPr>
              <w:t>COVID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Arial"/>
                <w:vertAlign w:val="superscript"/>
              </w:rPr>
              <w:t>21]</w:t>
            </w:r>
          </w:p>
        </w:tc>
        <w:tc>
          <w:tcPr>
            <w:tcW w:w="971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39CCC6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Enoxaparin, UFH</w:t>
            </w:r>
          </w:p>
        </w:tc>
        <w:tc>
          <w:tcPr>
            <w:tcW w:w="1437" w:type="pct"/>
            <w:tcBorders>
              <w:top w:val="nil"/>
            </w:tcBorders>
            <w:shd w:val="clear" w:color="auto" w:fill="auto"/>
            <w:vAlign w:val="center"/>
          </w:tcPr>
          <w:p w14:paraId="6971A9C9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1 mg/kg SC BID</w:t>
            </w:r>
          </w:p>
        </w:tc>
        <w:tc>
          <w:tcPr>
            <w:tcW w:w="1425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488B6666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30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&gt; 15 mL/min: enoxaparin 40 mg SC QD</w:t>
            </w:r>
          </w:p>
        </w:tc>
      </w:tr>
      <w:tr w:rsidR="00D0124A" w:rsidRPr="007B3561" w14:paraId="603B8456" w14:textId="77777777" w:rsidTr="00D0124A">
        <w:trPr>
          <w:trHeight w:val="447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BD22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9A803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14:paraId="29FF5B60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15 &lt;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Enoxaparin 0.5 mg/kg SC BID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44613503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D0124A" w:rsidRPr="007B3561" w14:paraId="635BAE50" w14:textId="77777777" w:rsidTr="00D0124A">
        <w:trPr>
          <w:trHeight w:val="1513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0C5AF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CC0BC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3B3AD74C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5B6240C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&gt; 30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SC BID</w:t>
            </w:r>
          </w:p>
        </w:tc>
      </w:tr>
      <w:tr w:rsidR="00D0124A" w:rsidRPr="007B3561" w14:paraId="2A6CEAAB" w14:textId="77777777" w:rsidTr="00D0124A">
        <w:trPr>
          <w:trHeight w:val="1128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B30B7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C8CDC6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2E8AF0FC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234BB509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30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15 mL/min: UFH 5000 U SC BID or TID</w:t>
            </w:r>
          </w:p>
        </w:tc>
      </w:tr>
      <w:tr w:rsidR="00D0124A" w:rsidRPr="007B3561" w14:paraId="0C375476" w14:textId="77777777" w:rsidTr="00D0124A">
        <w:trPr>
          <w:trHeight w:val="624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37824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D4C4A2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2C88669A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07D4DD38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&gt; 30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15 mL/min</w:t>
            </w:r>
          </w:p>
        </w:tc>
      </w:tr>
      <w:tr w:rsidR="00D0124A" w:rsidRPr="007B3561" w14:paraId="4E8DAFDB" w14:textId="77777777" w:rsidTr="00D0124A">
        <w:trPr>
          <w:trHeight w:val="579"/>
        </w:trPr>
        <w:tc>
          <w:tcPr>
            <w:tcW w:w="116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AFDF4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65BC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5BCC7E3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4F140842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UFH 7500 SC BID or TID</w:t>
            </w:r>
          </w:p>
        </w:tc>
      </w:tr>
      <w:tr w:rsidR="00D0124A" w:rsidRPr="007B3561" w14:paraId="46D8F8F5" w14:textId="77777777" w:rsidTr="00D0124A">
        <w:trPr>
          <w:trHeight w:val="1680"/>
        </w:trPr>
        <w:tc>
          <w:tcPr>
            <w:tcW w:w="1167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A0434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gramStart"/>
            <w:r w:rsidRPr="007B3561">
              <w:rPr>
                <w:rFonts w:ascii="Book Antiqua" w:eastAsia="Times New Roman" w:hAnsi="Book Antiqua" w:cs="Arial"/>
              </w:rPr>
              <w:t>ACTION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Arial"/>
                <w:vertAlign w:val="superscript"/>
              </w:rPr>
              <w:t>19]</w:t>
            </w:r>
          </w:p>
        </w:tc>
        <w:tc>
          <w:tcPr>
            <w:tcW w:w="971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1B417853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Rivaroxaban,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r w:rsidRPr="007B3561">
              <w:rPr>
                <w:rFonts w:ascii="Book Antiqua" w:eastAsia="Times New Roman" w:hAnsi="Book Antiqua" w:cs="Arial"/>
              </w:rPr>
              <w:t>enoxaparin, UFH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39B1BBDB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Oral route (preferred)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rivaroxaban 20 mg PO QD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728080C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SC QD; Fondaparinux 2.5 </w:t>
            </w:r>
            <w:r w:rsidRPr="007B3561">
              <w:rPr>
                <w:rFonts w:ascii="Book Antiqua" w:eastAsia="Times New Roman" w:hAnsi="Book Antiqua" w:cs="Arial"/>
              </w:rPr>
              <w:lastRenderedPageBreak/>
              <w:t>mg SC QD; UFH 5000U SC Q8H or Q12H</w:t>
            </w:r>
          </w:p>
        </w:tc>
      </w:tr>
      <w:tr w:rsidR="00D0124A" w:rsidRPr="007B3561" w14:paraId="691A4761" w14:textId="77777777" w:rsidTr="003A1F6A">
        <w:trPr>
          <w:trHeight w:val="1200"/>
        </w:trPr>
        <w:tc>
          <w:tcPr>
            <w:tcW w:w="1167" w:type="pct"/>
            <w:vMerge/>
            <w:shd w:val="clear" w:color="auto" w:fill="auto"/>
            <w:vAlign w:val="center"/>
          </w:tcPr>
          <w:p w14:paraId="0CD39E5B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2D6ECA3F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0E51ADC7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30 &lt;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49 mL/min: rivaroxaban 20 mg PO QD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6E846B6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D0124A" w:rsidRPr="007B3561" w14:paraId="036FEAD5" w14:textId="77777777" w:rsidTr="003A1F6A">
        <w:trPr>
          <w:trHeight w:val="376"/>
        </w:trPr>
        <w:tc>
          <w:tcPr>
            <w:tcW w:w="1167" w:type="pct"/>
            <w:vMerge/>
            <w:shd w:val="clear" w:color="auto" w:fill="auto"/>
            <w:vAlign w:val="center"/>
          </w:tcPr>
          <w:p w14:paraId="30314E26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6E8FCF9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14:paraId="1E1B87C8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Parente</w:t>
            </w:r>
            <w:r w:rsidRPr="007B3561">
              <w:rPr>
                <w:rFonts w:eastAsia="Times New Roman" w:cs="Arial"/>
              </w:rPr>
              <w:t>r</w:t>
            </w:r>
            <w:r w:rsidRPr="007B3561">
              <w:rPr>
                <w:rFonts w:ascii="Book Antiqua" w:eastAsia="Times New Roman" w:hAnsi="Book Antiqua" w:cs="Arial"/>
              </w:rPr>
              <w:t>al route 1: age &lt; 75 enoxaparin 1 mg/kg SC Q12H, age ≥ 75 enoxaparin 0.75 mg/kg SC Q12H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2134D8DA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60 mg SC QD or 40 mg SC Q12H; UFH 7500U SC Q8H or Q12H</w:t>
            </w:r>
          </w:p>
        </w:tc>
      </w:tr>
      <w:tr w:rsidR="00D0124A" w:rsidRPr="007B3561" w14:paraId="32752F51" w14:textId="77777777" w:rsidTr="003A1F6A">
        <w:trPr>
          <w:trHeight w:val="1296"/>
        </w:trPr>
        <w:tc>
          <w:tcPr>
            <w:tcW w:w="1167" w:type="pct"/>
            <w:vMerge/>
            <w:shd w:val="clear" w:color="auto" w:fill="auto"/>
            <w:vAlign w:val="center"/>
          </w:tcPr>
          <w:p w14:paraId="7790935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00725A83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3E0713A7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shd w:val="clear" w:color="auto" w:fill="auto"/>
            <w:vAlign w:val="center"/>
          </w:tcPr>
          <w:p w14:paraId="3089D320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UFH 5000 U SC Q8H or Q12H</w:t>
            </w:r>
          </w:p>
        </w:tc>
      </w:tr>
      <w:tr w:rsidR="00D0124A" w:rsidRPr="007B3561" w14:paraId="64997891" w14:textId="77777777" w:rsidTr="003A1F6A">
        <w:trPr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54A51536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5C2B89D7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14:paraId="0D53D30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63D45A4F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UFH 7500 U SC BID or TID</w:t>
            </w:r>
          </w:p>
        </w:tc>
      </w:tr>
      <w:tr w:rsidR="00D0124A" w:rsidRPr="007B3561" w14:paraId="3B3FA705" w14:textId="77777777" w:rsidTr="003A1F6A">
        <w:trPr>
          <w:trHeight w:val="3142"/>
        </w:trPr>
        <w:tc>
          <w:tcPr>
            <w:tcW w:w="1167" w:type="pct"/>
            <w:vMerge/>
            <w:shd w:val="clear" w:color="auto" w:fill="auto"/>
            <w:vAlign w:val="center"/>
          </w:tcPr>
          <w:p w14:paraId="6EB333C8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6BD66914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1B8A13FC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Parente</w:t>
            </w:r>
            <w:r w:rsidRPr="007B3561">
              <w:rPr>
                <w:rFonts w:eastAsia="Times New Roman" w:cs="Arial"/>
              </w:rPr>
              <w:t>r</w:t>
            </w:r>
            <w:r w:rsidRPr="007B3561">
              <w:rPr>
                <w:rFonts w:ascii="Book Antiqua" w:eastAsia="Times New Roman" w:hAnsi="Book Antiqua" w:cs="Arial"/>
              </w:rPr>
              <w:t>al route 2 (preferred option in DIC): UFH IV to achieve to achieve a 0·3-0·7 IU/mL anti-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Xa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concentration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1B2D7DCB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D0124A" w:rsidRPr="007B3561" w14:paraId="2B225853" w14:textId="77777777" w:rsidTr="003A1F6A">
        <w:trPr>
          <w:trHeight w:val="274"/>
        </w:trPr>
        <w:tc>
          <w:tcPr>
            <w:tcW w:w="1167" w:type="pct"/>
            <w:vMerge w:val="restart"/>
            <w:shd w:val="clear" w:color="auto" w:fill="auto"/>
            <w:vAlign w:val="center"/>
            <w:hideMark/>
          </w:tcPr>
          <w:p w14:paraId="13F72F3B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proofErr w:type="gramStart"/>
            <w:r w:rsidRPr="007B3561">
              <w:rPr>
                <w:rFonts w:ascii="Book Antiqua" w:eastAsia="Times New Roman" w:hAnsi="Book Antiqua" w:cs="Arial"/>
              </w:rPr>
              <w:t>RAPID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Arial"/>
                <w:vertAlign w:val="superscript"/>
              </w:rPr>
              <w:t>20]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14:paraId="0CDB97B2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>Enoxaparin,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>,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r w:rsidRPr="007B3561">
              <w:rPr>
                <w:rFonts w:ascii="Book Antiqua" w:eastAsia="Times New Roman" w:hAnsi="Book Antiqua" w:cs="Arial"/>
              </w:rPr>
              <w:t>tinzaparin,</w:t>
            </w:r>
            <w:r w:rsidRPr="007B3561">
              <w:rPr>
                <w:rFonts w:ascii="Book Antiqua" w:hAnsi="Book Antiqua" w:cs="Arial"/>
                <w:lang w:eastAsia="zh-CN"/>
              </w:rPr>
              <w:t xml:space="preserve"> </w:t>
            </w:r>
            <w:r w:rsidRPr="007B3561">
              <w:rPr>
                <w:rFonts w:ascii="Book Antiqua" w:eastAsia="Times New Roman" w:hAnsi="Book Antiqua" w:cs="Arial"/>
              </w:rPr>
              <w:t>UFH</w:t>
            </w:r>
          </w:p>
        </w:tc>
        <w:tc>
          <w:tcPr>
            <w:tcW w:w="1437" w:type="pct"/>
            <w:shd w:val="clear" w:color="auto" w:fill="auto"/>
            <w:vAlign w:val="center"/>
          </w:tcPr>
          <w:p w14:paraId="5F57300D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1 mg/kg SC Q12H or 1.5 mg/kg SC QD;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200 units/kg SC Q24H or 100 units/kg SC Q12H; Tinzaparin 175 U/kg SC Q24H; UFH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2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2EDB38E4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SC Q24H;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5000 units SC Q24H; Tinzaparin 4500 units SC Q24H; Fondaparinux 2.5 mg SC Q24H; UFH 5000 units SC Q8-12H</w:t>
            </w:r>
          </w:p>
        </w:tc>
      </w:tr>
      <w:tr w:rsidR="00D0124A" w:rsidRPr="007B3561" w14:paraId="08482ABE" w14:textId="77777777" w:rsidTr="003A1F6A">
        <w:trPr>
          <w:trHeight w:val="3528"/>
        </w:trPr>
        <w:tc>
          <w:tcPr>
            <w:tcW w:w="1167" w:type="pct"/>
            <w:vMerge/>
            <w:shd w:val="clear" w:color="auto" w:fill="auto"/>
            <w:vAlign w:val="center"/>
          </w:tcPr>
          <w:p w14:paraId="5FA3254B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10DA907B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2BE5772E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1mg/kg SC Q12H;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100 units/kg SC Q12H; Tinzaparin 175 units/kg SC Q24H; UFH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2</w:t>
            </w:r>
          </w:p>
        </w:tc>
        <w:tc>
          <w:tcPr>
            <w:tcW w:w="1425" w:type="pct"/>
            <w:shd w:val="clear" w:color="auto" w:fill="auto"/>
            <w:vAlign w:val="center"/>
          </w:tcPr>
          <w:p w14:paraId="1D19F7E7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≥ 30 mL/min: enoxaparin 40 mg SC Q12H;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5000 units SC Q12H; Tinzaparin 9000 units SC Q24H; UFH 7500 units SC Q8H</w:t>
            </w:r>
          </w:p>
        </w:tc>
      </w:tr>
      <w:tr w:rsidR="00D0124A" w:rsidRPr="007B3561" w14:paraId="0C97739F" w14:textId="77777777" w:rsidTr="003A1F6A">
        <w:trPr>
          <w:trHeight w:val="1712"/>
        </w:trPr>
        <w:tc>
          <w:tcPr>
            <w:tcW w:w="1167" w:type="pct"/>
            <w:vMerge/>
            <w:shd w:val="clear" w:color="auto" w:fill="auto"/>
            <w:vAlign w:val="center"/>
          </w:tcPr>
          <w:p w14:paraId="539C7BFC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354D5EE5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shd w:val="clear" w:color="auto" w:fill="auto"/>
            <w:vAlign w:val="center"/>
          </w:tcPr>
          <w:p w14:paraId="743E43B1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UFH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2</w:t>
            </w:r>
            <w:r w:rsidRPr="007B3561">
              <w:rPr>
                <w:rFonts w:ascii="Book Antiqua" w:eastAsia="Times New Roman" w:hAnsi="Book Antiqua" w:cs="Arial"/>
              </w:rPr>
              <w:t xml:space="preserve"> or LMWH per hospital protocol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14:paraId="13B7C89A" w14:textId="77777777" w:rsidR="00D0124A" w:rsidRPr="007B3561" w:rsidRDefault="00D0124A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&lt;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UFH 5000 units SC Q8-12H or LMWH per hospital protocol</w:t>
            </w:r>
          </w:p>
        </w:tc>
      </w:tr>
      <w:tr w:rsidR="00445F00" w:rsidRPr="007B3561" w14:paraId="39280EC1" w14:textId="77777777" w:rsidTr="003A1F6A">
        <w:trPr>
          <w:trHeight w:val="447"/>
        </w:trPr>
        <w:tc>
          <w:tcPr>
            <w:tcW w:w="1167" w:type="pct"/>
            <w:vMerge/>
            <w:shd w:val="clear" w:color="auto" w:fill="auto"/>
            <w:vAlign w:val="center"/>
          </w:tcPr>
          <w:p w14:paraId="293B4CAA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14:paraId="62F8EE8C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14:paraId="02E45412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UFH</w:t>
            </w:r>
            <w:r w:rsidRPr="007B3561">
              <w:rPr>
                <w:rFonts w:ascii="Book Antiqua" w:eastAsia="Times New Roman" w:hAnsi="Book Antiqua" w:cs="Arial"/>
                <w:vertAlign w:val="superscript"/>
              </w:rPr>
              <w:t>2</w:t>
            </w:r>
            <w:r w:rsidRPr="007B3561">
              <w:rPr>
                <w:rFonts w:ascii="Book Antiqua" w:eastAsia="Times New Roman" w:hAnsi="Book Antiqua" w:cs="Arial"/>
              </w:rPr>
              <w:t xml:space="preserve"> or LMWH per hospital protocol </w:t>
            </w:r>
          </w:p>
        </w:tc>
        <w:tc>
          <w:tcPr>
            <w:tcW w:w="1425" w:type="pct"/>
            <w:vMerge/>
            <w:shd w:val="clear" w:color="auto" w:fill="auto"/>
            <w:vAlign w:val="center"/>
          </w:tcPr>
          <w:p w14:paraId="0C79D689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  <w:tr w:rsidR="00445F00" w:rsidRPr="007B3561" w14:paraId="55B087D6" w14:textId="77777777" w:rsidTr="00B06223">
        <w:trPr>
          <w:trHeight w:val="2170"/>
        </w:trPr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AC96F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9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53F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05744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</w:p>
        </w:tc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0D38C" w14:textId="77777777" w:rsidR="00445F00" w:rsidRPr="007B3561" w:rsidRDefault="00445F00" w:rsidP="003A1F6A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7B3561">
              <w:rPr>
                <w:rFonts w:ascii="Book Antiqua" w:eastAsia="Times New Roman" w:hAnsi="Book Antiqua" w:cs="Arial"/>
              </w:rPr>
              <w:t xml:space="preserve">BMI ≥ 40 and </w:t>
            </w:r>
            <w:proofErr w:type="spellStart"/>
            <w:r w:rsidRPr="007B3561">
              <w:rPr>
                <w:rFonts w:ascii="Book Antiqua" w:eastAsia="Times New Roman" w:hAnsi="Book Antiqua" w:cs="Arial"/>
              </w:rPr>
              <w:t>CrCl</w:t>
            </w:r>
            <w:proofErr w:type="spellEnd"/>
            <w:r w:rsidRPr="007B3561">
              <w:rPr>
                <w:rFonts w:ascii="Book Antiqua" w:eastAsia="Times New Roman" w:hAnsi="Book Antiqua" w:cs="Arial"/>
              </w:rPr>
              <w:t xml:space="preserve"> &lt; 30 mL/min: UFH 7500 units SC Q8H or LMWH per hospital protocol </w:t>
            </w:r>
          </w:p>
        </w:tc>
      </w:tr>
    </w:tbl>
    <w:p w14:paraId="724FDAA2" w14:textId="347D9850" w:rsidR="00B00BEF" w:rsidRDefault="008679C5" w:rsidP="008C5194">
      <w:pPr>
        <w:snapToGrid w:val="0"/>
        <w:spacing w:line="360" w:lineRule="auto"/>
        <w:jc w:val="both"/>
        <w:rPr>
          <w:rFonts w:ascii="Book Antiqua" w:eastAsia="Times New Roman" w:hAnsi="Book Antiqua" w:cs="Arial"/>
        </w:rPr>
      </w:pPr>
      <w:r w:rsidRPr="007B3561">
        <w:rPr>
          <w:rFonts w:ascii="Book Antiqua" w:eastAsia="Times New Roman" w:hAnsi="Book Antiqua" w:cs="Arial"/>
          <w:vertAlign w:val="superscript"/>
        </w:rPr>
        <w:t>1</w:t>
      </w:r>
      <w:r w:rsidRPr="007B3561">
        <w:rPr>
          <w:rFonts w:ascii="Book Antiqua" w:eastAsia="Times New Roman" w:hAnsi="Book Antiqua" w:cs="Arial"/>
        </w:rPr>
        <w:t xml:space="preserve">Weight ≥ 120 kg or </w:t>
      </w:r>
      <w:r w:rsidR="006A3256" w:rsidRPr="007B3561">
        <w:rPr>
          <w:rFonts w:ascii="Book Antiqua" w:eastAsia="Times New Roman" w:hAnsi="Book Antiqua" w:cs="Arial"/>
        </w:rPr>
        <w:t>body mass index</w:t>
      </w:r>
      <w:r w:rsidRPr="007B3561">
        <w:rPr>
          <w:rFonts w:ascii="Book Antiqua" w:eastAsia="Times New Roman" w:hAnsi="Book Antiqua" w:cs="Arial"/>
        </w:rPr>
        <w:t xml:space="preserve"> ≥ 35 kg/m</w:t>
      </w:r>
      <w:r w:rsidRPr="007B3561">
        <w:rPr>
          <w:rFonts w:ascii="Book Antiqua" w:eastAsia="Times New Roman" w:hAnsi="Book Antiqua" w:cs="Arial"/>
          <w:vertAlign w:val="superscript"/>
        </w:rPr>
        <w:t>2</w:t>
      </w:r>
      <w:r w:rsidR="00AA1A7A" w:rsidRPr="007B3561">
        <w:rPr>
          <w:rFonts w:ascii="Book Antiqua" w:eastAsia="Times New Roman" w:hAnsi="Book Antiqua" w:cs="Arial"/>
        </w:rPr>
        <w:t>;</w:t>
      </w:r>
    </w:p>
    <w:p w14:paraId="509663C0" w14:textId="77777777" w:rsidR="00B00BEF" w:rsidRDefault="008679C5" w:rsidP="008C5194">
      <w:pPr>
        <w:snapToGrid w:val="0"/>
        <w:spacing w:line="360" w:lineRule="auto"/>
        <w:jc w:val="both"/>
        <w:rPr>
          <w:rFonts w:ascii="Book Antiqua" w:eastAsia="Times New Roman" w:hAnsi="Book Antiqua" w:cs="Arial"/>
        </w:rPr>
      </w:pPr>
      <w:r w:rsidRPr="007B3561">
        <w:rPr>
          <w:rFonts w:ascii="Book Antiqua" w:eastAsia="Times New Roman" w:hAnsi="Book Antiqua" w:cs="Arial"/>
          <w:vertAlign w:val="superscript"/>
        </w:rPr>
        <w:t>2</w:t>
      </w:r>
      <w:r w:rsidR="00941125" w:rsidRPr="007B3561">
        <w:rPr>
          <w:rFonts w:ascii="Book Antiqua" w:eastAsia="Times New Roman" w:hAnsi="Book Antiqua" w:cs="Arial"/>
        </w:rPr>
        <w:t>U</w:t>
      </w:r>
      <w:r w:rsidR="006A3256" w:rsidRPr="007B3561">
        <w:rPr>
          <w:rFonts w:ascii="Book Antiqua" w:eastAsia="Times New Roman" w:hAnsi="Book Antiqua" w:cs="Arial"/>
        </w:rPr>
        <w:t>nfractionated heparin intravenous</w:t>
      </w:r>
      <w:r w:rsidR="00346BD8" w:rsidRPr="007B3561">
        <w:rPr>
          <w:rFonts w:ascii="Book Antiqua" w:eastAsia="Times New Roman" w:hAnsi="Book Antiqua" w:cs="Arial"/>
        </w:rPr>
        <w:t xml:space="preserve"> bolus</w:t>
      </w:r>
      <w:r w:rsidR="00A84344" w:rsidRPr="007B3561">
        <w:rPr>
          <w:rFonts w:ascii="Book Antiqua" w:eastAsia="Times New Roman" w:hAnsi="Book Antiqua" w:cs="Arial"/>
        </w:rPr>
        <w:t xml:space="preserve"> with continuous infusion to titrate to institution specific anti-</w:t>
      </w:r>
      <w:proofErr w:type="spellStart"/>
      <w:r w:rsidR="00A84344" w:rsidRPr="007B3561">
        <w:rPr>
          <w:rFonts w:ascii="Book Antiqua" w:eastAsia="Times New Roman" w:hAnsi="Book Antiqua" w:cs="Arial"/>
        </w:rPr>
        <w:t>Xa</w:t>
      </w:r>
      <w:proofErr w:type="spellEnd"/>
      <w:r w:rsidR="00A84344" w:rsidRPr="007B3561">
        <w:rPr>
          <w:rFonts w:ascii="Book Antiqua" w:eastAsia="Times New Roman" w:hAnsi="Book Antiqua" w:cs="Arial"/>
        </w:rPr>
        <w:t xml:space="preserve"> or a</w:t>
      </w:r>
      <w:r w:rsidR="006A3256" w:rsidRPr="007B3561">
        <w:rPr>
          <w:rFonts w:ascii="Book Antiqua" w:eastAsia="Times New Roman" w:hAnsi="Book Antiqua" w:cs="Arial"/>
        </w:rPr>
        <w:t>ctivated</w:t>
      </w:r>
      <w:r w:rsidR="004647A6" w:rsidRPr="007B3561">
        <w:rPr>
          <w:rFonts w:ascii="Book Antiqua" w:eastAsia="Times New Roman" w:hAnsi="Book Antiqua" w:cs="Arial"/>
        </w:rPr>
        <w:t xml:space="preserve"> partial thromboplastin time</w:t>
      </w:r>
      <w:r w:rsidR="00A84344" w:rsidRPr="007B3561">
        <w:rPr>
          <w:rFonts w:ascii="Book Antiqua" w:eastAsia="Times New Roman" w:hAnsi="Book Antiqua" w:cs="Arial"/>
        </w:rPr>
        <w:t xml:space="preserve"> values</w:t>
      </w:r>
      <w:r w:rsidR="00941125" w:rsidRPr="007B3561">
        <w:rPr>
          <w:rFonts w:ascii="Book Antiqua" w:eastAsia="Times New Roman" w:hAnsi="Book Antiqua" w:cs="Arial"/>
        </w:rPr>
        <w:t>.</w:t>
      </w:r>
    </w:p>
    <w:p w14:paraId="68EF6E66" w14:textId="5B185C36" w:rsidR="007A41A9" w:rsidRPr="007B3561" w:rsidRDefault="00AA1A7A" w:rsidP="008C5194">
      <w:pPr>
        <w:snapToGrid w:val="0"/>
        <w:spacing w:line="360" w:lineRule="auto"/>
        <w:jc w:val="both"/>
        <w:rPr>
          <w:rFonts w:ascii="Book Antiqua" w:eastAsia="Times New Roman" w:hAnsi="Book Antiqua" w:cs="Arial"/>
        </w:rPr>
      </w:pPr>
      <w:r w:rsidRPr="007B3561">
        <w:rPr>
          <w:rFonts w:ascii="Book Antiqua" w:eastAsia="Times New Roman" w:hAnsi="Book Antiqua" w:cs="Arial"/>
        </w:rPr>
        <w:t xml:space="preserve">BID: Two times a day; </w:t>
      </w:r>
      <w:r w:rsidR="00527B4F" w:rsidRPr="007B3561">
        <w:rPr>
          <w:rFonts w:ascii="Book Antiqua" w:eastAsia="Times New Roman" w:hAnsi="Book Antiqua" w:cs="Arial"/>
        </w:rPr>
        <w:t>BMI</w:t>
      </w:r>
      <w:r w:rsidR="007A41A9" w:rsidRPr="007B3561">
        <w:rPr>
          <w:rFonts w:ascii="Book Antiqua" w:eastAsia="Times New Roman" w:hAnsi="Book Antiqua" w:cs="Arial"/>
        </w:rPr>
        <w:t>: B</w:t>
      </w:r>
      <w:r w:rsidR="00527B4F" w:rsidRPr="007B3561">
        <w:rPr>
          <w:rFonts w:ascii="Book Antiqua" w:eastAsia="Times New Roman" w:hAnsi="Book Antiqua" w:cs="Arial"/>
        </w:rPr>
        <w:t xml:space="preserve">ody mass index; </w:t>
      </w:r>
      <w:proofErr w:type="spellStart"/>
      <w:r w:rsidR="00527B4F" w:rsidRPr="007B3561">
        <w:rPr>
          <w:rFonts w:ascii="Book Antiqua" w:eastAsia="Times New Roman" w:hAnsi="Book Antiqua" w:cs="Arial"/>
        </w:rPr>
        <w:t>CrCl</w:t>
      </w:r>
      <w:proofErr w:type="spellEnd"/>
      <w:r w:rsidR="007A41A9" w:rsidRPr="007B3561">
        <w:rPr>
          <w:rFonts w:ascii="Book Antiqua" w:eastAsia="Times New Roman" w:hAnsi="Book Antiqua" w:cs="Arial"/>
        </w:rPr>
        <w:t>: C</w:t>
      </w:r>
      <w:r w:rsidR="00527B4F" w:rsidRPr="007B3561">
        <w:rPr>
          <w:rFonts w:ascii="Book Antiqua" w:eastAsia="Times New Roman" w:hAnsi="Book Antiqua" w:cs="Arial"/>
        </w:rPr>
        <w:t xml:space="preserve">reatinine clearance; </w:t>
      </w:r>
      <w:r w:rsidRPr="007B3561">
        <w:rPr>
          <w:rFonts w:ascii="Book Antiqua" w:eastAsia="Times New Roman" w:hAnsi="Book Antiqua" w:cs="Arial"/>
        </w:rPr>
        <w:t xml:space="preserve">DIC: Disseminated intravascular coagulation; IV: Intravenous; LMWH: Low molecular weight heparin; PO: By mouth; Q12H: Every 12 h; Q24H: Every 24 h; Q8H: Every 8 h; Q8-12H: Every 8-12 h; QD: Daily; </w:t>
      </w:r>
      <w:r w:rsidR="00527B4F" w:rsidRPr="007B3561">
        <w:rPr>
          <w:rFonts w:ascii="Book Antiqua" w:eastAsia="Times New Roman" w:hAnsi="Book Antiqua" w:cs="Arial"/>
        </w:rPr>
        <w:t>SC</w:t>
      </w:r>
      <w:r w:rsidR="007A41A9" w:rsidRPr="007B3561">
        <w:rPr>
          <w:rFonts w:ascii="Book Antiqua" w:eastAsia="Times New Roman" w:hAnsi="Book Antiqua" w:cs="Arial"/>
        </w:rPr>
        <w:t>: S</w:t>
      </w:r>
      <w:r w:rsidR="00527B4F" w:rsidRPr="007B3561">
        <w:rPr>
          <w:rFonts w:ascii="Book Antiqua" w:eastAsia="Times New Roman" w:hAnsi="Book Antiqua" w:cs="Arial"/>
        </w:rPr>
        <w:t>ubcutaneous; TID</w:t>
      </w:r>
      <w:r w:rsidR="0034564E" w:rsidRPr="007B3561">
        <w:rPr>
          <w:rFonts w:ascii="Book Antiqua" w:eastAsia="Times New Roman" w:hAnsi="Book Antiqua" w:cs="Arial"/>
        </w:rPr>
        <w:t>: T</w:t>
      </w:r>
      <w:r w:rsidR="00527B4F" w:rsidRPr="007B3561">
        <w:rPr>
          <w:rFonts w:ascii="Book Antiqua" w:eastAsia="Times New Roman" w:hAnsi="Book Antiqua" w:cs="Arial"/>
        </w:rPr>
        <w:t xml:space="preserve">hree times a day; </w:t>
      </w:r>
      <w:r w:rsidRPr="007B3561">
        <w:rPr>
          <w:rFonts w:ascii="Book Antiqua" w:eastAsia="Times New Roman" w:hAnsi="Book Antiqua" w:cs="Arial"/>
        </w:rPr>
        <w:t>UFH</w:t>
      </w:r>
      <w:r w:rsidRPr="007B3561">
        <w:rPr>
          <w:rFonts w:ascii="Book Antiqua" w:hAnsi="Book Antiqua" w:cs="Arial"/>
          <w:lang w:eastAsia="zh-CN"/>
        </w:rPr>
        <w:t xml:space="preserve">: </w:t>
      </w:r>
      <w:r w:rsidRPr="007B3561">
        <w:rPr>
          <w:rFonts w:ascii="Book Antiqua" w:eastAsia="Times New Roman" w:hAnsi="Book Antiqua" w:cs="Arial"/>
        </w:rPr>
        <w:t>Unfractionated heparin</w:t>
      </w:r>
      <w:r w:rsidR="002F458B" w:rsidRPr="007B3561">
        <w:rPr>
          <w:rFonts w:ascii="Book Antiqua" w:eastAsia="Times New Roman" w:hAnsi="Book Antiqua" w:cs="Arial"/>
        </w:rPr>
        <w:t>.</w:t>
      </w:r>
    </w:p>
    <w:p w14:paraId="426C0866" w14:textId="6EB6A671" w:rsidR="006A3256" w:rsidRPr="007B3561" w:rsidRDefault="006A3256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C4FF598" w14:textId="28D65AF4" w:rsidR="00825F4F" w:rsidRPr="007B3561" w:rsidRDefault="00825F4F" w:rsidP="008C519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B3561">
        <w:rPr>
          <w:rFonts w:ascii="Book Antiqua" w:eastAsia="Times New Roman" w:hAnsi="Book Antiqua" w:cs="Calibri"/>
          <w:b/>
        </w:rPr>
        <w:t>Table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2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Summary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of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exclusion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criteria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regarding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thrombocytopenia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and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bleeding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risk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in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major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clinical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trials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on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="00C4020F" w:rsidRPr="007B3561">
        <w:rPr>
          <w:rFonts w:ascii="Book Antiqua" w:eastAsia="Times New Roman" w:hAnsi="Book Antiqua" w:cs="Arial"/>
          <w:b/>
        </w:rPr>
        <w:t>coronavirus disease 2019</w:t>
      </w:r>
      <w:r w:rsidR="00951AEE" w:rsidRPr="007B3561">
        <w:rPr>
          <w:rFonts w:ascii="Book Antiqua" w:eastAsia="Times New Roman" w:hAnsi="Book Antiqua" w:cs="Calibri"/>
          <w:b/>
        </w:rPr>
        <w:t xml:space="preserve"> </w:t>
      </w:r>
      <w:r w:rsidRPr="007B3561">
        <w:rPr>
          <w:rFonts w:ascii="Book Antiqua" w:eastAsia="Times New Roman" w:hAnsi="Book Antiqua" w:cs="Calibri"/>
          <w:b/>
        </w:rPr>
        <w:t>thromboprophylaxis</w:t>
      </w: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03"/>
        <w:gridCol w:w="2339"/>
        <w:gridCol w:w="3792"/>
      </w:tblGrid>
      <w:tr w:rsidR="00825F4F" w:rsidRPr="007B3561" w14:paraId="02CE1FD3" w14:textId="77777777" w:rsidTr="00B930E5">
        <w:trPr>
          <w:trHeight w:val="467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5F28C9" w14:textId="77777777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7B3561">
              <w:rPr>
                <w:rFonts w:ascii="Book Antiqua" w:eastAsia="Times New Roman" w:hAnsi="Book Antiqua" w:cs="Calibri"/>
                <w:b/>
                <w:bCs/>
              </w:rPr>
              <w:lastRenderedPageBreak/>
              <w:t>Trial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AC6FC6" w14:textId="28432345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7B3561">
              <w:rPr>
                <w:rFonts w:ascii="Book Antiqua" w:eastAsia="Times New Roman" w:hAnsi="Book Antiqua" w:cs="Calibri"/>
                <w:b/>
                <w:bCs/>
              </w:rPr>
              <w:t>Anticoagulant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48F295" w14:textId="241CEAC2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7B3561">
              <w:rPr>
                <w:rFonts w:ascii="Book Antiqua" w:eastAsia="Times New Roman" w:hAnsi="Book Antiqua" w:cs="Calibri"/>
                <w:b/>
                <w:bCs/>
              </w:rPr>
              <w:t>Thrombocytopenia</w:t>
            </w: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8F12B9" w14:textId="719E679F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7B3561">
              <w:rPr>
                <w:rFonts w:ascii="Book Antiqua" w:eastAsia="Times New Roman" w:hAnsi="Book Antiqua" w:cs="Calibri"/>
                <w:b/>
                <w:bCs/>
              </w:rPr>
              <w:t>Bleeding</w:t>
            </w:r>
            <w:r w:rsidR="00951AEE" w:rsidRPr="007B3561">
              <w:rPr>
                <w:rFonts w:ascii="Book Antiqua" w:eastAsia="Times New Roman" w:hAnsi="Book Antiqua" w:cs="Calibri"/>
                <w:b/>
                <w:bCs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  <w:b/>
                <w:bCs/>
              </w:rPr>
              <w:t>risk</w:t>
            </w:r>
          </w:p>
        </w:tc>
      </w:tr>
      <w:tr w:rsidR="00C4020F" w:rsidRPr="007B3561" w14:paraId="7F689BC4" w14:textId="77777777" w:rsidTr="00B930E5">
        <w:trPr>
          <w:trHeight w:val="5216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A7823F" w14:textId="05A5C799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proofErr w:type="spellStart"/>
            <w:r w:rsidRPr="007B3561">
              <w:rPr>
                <w:rFonts w:ascii="Book Antiqua" w:eastAsia="Times New Roman" w:hAnsi="Book Antiqua" w:cs="Calibri"/>
              </w:rPr>
              <w:t>mpRCT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 xml:space="preserve"> (REMAP-CAP, ACTIV-4a, and </w:t>
            </w:r>
            <w:proofErr w:type="gramStart"/>
            <w:r w:rsidRPr="007B3561">
              <w:rPr>
                <w:rFonts w:ascii="Book Antiqua" w:eastAsia="Times New Roman" w:hAnsi="Book Antiqua" w:cs="Calibri"/>
              </w:rPr>
              <w:t>ATTAC)</w:t>
            </w:r>
            <w:r w:rsidRPr="007B3561">
              <w:rPr>
                <w:rFonts w:ascii="Book Antiqua" w:eastAsia="Times New Roman" w:hAnsi="Book Antiqua" w:cs="Calibri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Calibri"/>
                <w:vertAlign w:val="superscript"/>
              </w:rPr>
              <w:t>17]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E25116" w14:textId="23B53430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Enoxaparin,</w:t>
            </w:r>
            <w:r w:rsidRPr="007B3561">
              <w:rPr>
                <w:rFonts w:ascii="Book Antiqua" w:hAnsi="Book Antiqua" w:cs="Calibri"/>
                <w:lang w:eastAsia="zh-CN"/>
              </w:rPr>
              <w:t xml:space="preserve"> </w:t>
            </w:r>
            <w:proofErr w:type="spellStart"/>
            <w:r w:rsidRPr="007B3561">
              <w:rPr>
                <w:rFonts w:ascii="Book Antiqua" w:eastAsia="Times New Roman" w:hAnsi="Book Antiqua" w:cs="Calibri"/>
              </w:rPr>
              <w:t>Dalteparin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>,</w:t>
            </w:r>
            <w:r w:rsidRPr="007B3561">
              <w:rPr>
                <w:rFonts w:ascii="Book Antiqua" w:hAnsi="Book Antiqua" w:cs="Calibri"/>
                <w:lang w:eastAsia="zh-CN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Tinzaparin,</w:t>
            </w:r>
            <w:r w:rsidRPr="007B3561">
              <w:rPr>
                <w:rFonts w:ascii="Book Antiqua" w:hAnsi="Book Antiqua" w:cs="Calibri"/>
                <w:lang w:eastAsia="zh-CN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4D9262" w14:textId="6FAFC69E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Platelet count &lt; 50 × 10</w:t>
            </w:r>
            <w:r w:rsidRPr="007B3561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7B3561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F587D3" w14:textId="0B9C8814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 xml:space="preserve">ATTAC: DAPT therapy, intracranial surgery or stroke within 3 </w:t>
            </w:r>
            <w:proofErr w:type="spellStart"/>
            <w:r w:rsidRPr="007B3561">
              <w:rPr>
                <w:rFonts w:ascii="Book Antiqua" w:eastAsia="Times New Roman" w:hAnsi="Book Antiqua" w:cs="Calibri"/>
              </w:rPr>
              <w:t>mo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 xml:space="preserve">, history of intracerebral AVM, brain aneurysm of CNS mass lesion, intracranial malignancy, history of intracranial bleeding, history of bleeding disorder, GI bleed within 3 </w:t>
            </w:r>
            <w:proofErr w:type="spellStart"/>
            <w:r w:rsidRPr="007B3561">
              <w:rPr>
                <w:rFonts w:ascii="Book Antiqua" w:eastAsia="Times New Roman" w:hAnsi="Book Antiqua" w:cs="Calibri"/>
              </w:rPr>
              <w:t>mo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>, thrombolysis within 7 d, current epidural/spinal catheter, major surgery within 14 d, uncontrolled hypertension or other physician perceived contraindications to anticoagulation</w:t>
            </w:r>
          </w:p>
        </w:tc>
      </w:tr>
      <w:tr w:rsidR="00C4020F" w:rsidRPr="007B3561" w14:paraId="60DBC3D0" w14:textId="77777777" w:rsidTr="00B930E5">
        <w:trPr>
          <w:trHeight w:val="464"/>
        </w:trPr>
        <w:tc>
          <w:tcPr>
            <w:tcW w:w="1530" w:type="dxa"/>
            <w:vMerge/>
            <w:shd w:val="clear" w:color="auto" w:fill="auto"/>
            <w:vAlign w:val="center"/>
          </w:tcPr>
          <w:p w14:paraId="3C878B48" w14:textId="77777777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36F7295D" w14:textId="77777777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42FAB751" w14:textId="77777777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275772CC" w14:textId="2BA3FE47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ACTIV-4a: bleed within last 30 d</w:t>
            </w:r>
          </w:p>
        </w:tc>
      </w:tr>
      <w:tr w:rsidR="00C4020F" w:rsidRPr="007B3561" w14:paraId="43592525" w14:textId="77777777" w:rsidTr="00B930E5">
        <w:trPr>
          <w:trHeight w:val="1472"/>
        </w:trPr>
        <w:tc>
          <w:tcPr>
            <w:tcW w:w="1530" w:type="dxa"/>
            <w:vMerge/>
            <w:shd w:val="clear" w:color="auto" w:fill="auto"/>
            <w:vAlign w:val="center"/>
          </w:tcPr>
          <w:p w14:paraId="19FAD0A9" w14:textId="77777777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6239692" w14:textId="77777777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14:paraId="5E543B33" w14:textId="77777777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14:paraId="606FFD66" w14:textId="3BA0C57A" w:rsidR="00C4020F" w:rsidRPr="007B3561" w:rsidRDefault="00C4020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 xml:space="preserve">REMAP-CAP: </w:t>
            </w:r>
            <w:r w:rsidR="006A3256" w:rsidRPr="007B3561">
              <w:rPr>
                <w:rFonts w:ascii="Book Antiqua" w:eastAsia="Times New Roman" w:hAnsi="Book Antiqua" w:cs="Calibri"/>
              </w:rPr>
              <w:t>c</w:t>
            </w:r>
            <w:r w:rsidRPr="007B3561">
              <w:rPr>
                <w:rFonts w:ascii="Book Antiqua" w:eastAsia="Times New Roman" w:hAnsi="Book Antiqua" w:cs="Calibri"/>
              </w:rPr>
              <w:t>linical and/or laboratory bleeding risk to contraindicate anticoagulation</w:t>
            </w:r>
          </w:p>
        </w:tc>
      </w:tr>
      <w:tr w:rsidR="00825F4F" w:rsidRPr="007B3561" w14:paraId="08F277CE" w14:textId="77777777" w:rsidTr="00B930E5">
        <w:trPr>
          <w:trHeight w:val="1115"/>
        </w:trPr>
        <w:tc>
          <w:tcPr>
            <w:tcW w:w="1530" w:type="dxa"/>
            <w:shd w:val="clear" w:color="auto" w:fill="auto"/>
            <w:vAlign w:val="center"/>
            <w:hideMark/>
          </w:tcPr>
          <w:p w14:paraId="6B2CA09E" w14:textId="55EF0DD4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proofErr w:type="gramStart"/>
            <w:r w:rsidRPr="007B3561">
              <w:rPr>
                <w:rFonts w:ascii="Book Antiqua" w:eastAsia="Times New Roman" w:hAnsi="Book Antiqua" w:cs="Calibri"/>
              </w:rPr>
              <w:t>INSPIRATION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Calibri"/>
                <w:vertAlign w:val="superscript"/>
              </w:rPr>
              <w:t>18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2A1AB553" w14:textId="6B71DFBC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Enoxaparin,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5DAB0898" w14:textId="0885A224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Platelet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count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&lt;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50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× </w:t>
            </w:r>
            <w:r w:rsidRPr="007B3561">
              <w:rPr>
                <w:rFonts w:ascii="Book Antiqua" w:eastAsia="Times New Roman" w:hAnsi="Book Antiqua" w:cs="Calibri"/>
              </w:rPr>
              <w:t>10</w:t>
            </w:r>
            <w:r w:rsidRPr="007B3561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7B3561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05758816" w14:textId="141012B7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Major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bleeding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within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30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d</w:t>
            </w:r>
            <w:r w:rsidRPr="007B3561">
              <w:rPr>
                <w:rFonts w:ascii="Book Antiqua" w:eastAsia="Times New Roman" w:hAnsi="Book Antiqua" w:cs="Calibri"/>
              </w:rPr>
              <w:t>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major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surgery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or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ischemic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stroke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within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2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proofErr w:type="spellStart"/>
            <w:r w:rsidRPr="007B3561">
              <w:rPr>
                <w:rFonts w:ascii="Book Antiqua" w:eastAsia="Times New Roman" w:hAnsi="Book Antiqua" w:cs="Calibri"/>
              </w:rPr>
              <w:t>wk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>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head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trauma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within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30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d</w:t>
            </w:r>
            <w:r w:rsidRPr="007B3561">
              <w:rPr>
                <w:rFonts w:ascii="Book Antiqua" w:eastAsia="Times New Roman" w:hAnsi="Book Antiqua" w:cs="Calibri"/>
              </w:rPr>
              <w:t>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neurosurgery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within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3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proofErr w:type="spellStart"/>
            <w:r w:rsidR="00951AEE" w:rsidRPr="007B3561">
              <w:rPr>
                <w:rFonts w:ascii="Book Antiqua" w:eastAsia="Times New Roman" w:hAnsi="Book Antiqua" w:cs="Calibri"/>
              </w:rPr>
              <w:t>mo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>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intracranial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malignancy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or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AVM</w:t>
            </w:r>
          </w:p>
        </w:tc>
      </w:tr>
      <w:tr w:rsidR="00825F4F" w:rsidRPr="007B3561" w14:paraId="1C66D8B4" w14:textId="77777777" w:rsidTr="00B930E5">
        <w:trPr>
          <w:trHeight w:val="1070"/>
        </w:trPr>
        <w:tc>
          <w:tcPr>
            <w:tcW w:w="1530" w:type="dxa"/>
            <w:shd w:val="clear" w:color="auto" w:fill="auto"/>
            <w:vAlign w:val="center"/>
            <w:hideMark/>
          </w:tcPr>
          <w:p w14:paraId="58EADC12" w14:textId="07547D1D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HEP-</w:t>
            </w:r>
            <w:proofErr w:type="gramStart"/>
            <w:r w:rsidRPr="007B3561">
              <w:rPr>
                <w:rFonts w:ascii="Book Antiqua" w:eastAsia="Times New Roman" w:hAnsi="Book Antiqua" w:cs="Calibri"/>
              </w:rPr>
              <w:t>COVID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Calibri"/>
                <w:vertAlign w:val="superscript"/>
              </w:rPr>
              <w:t>21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45098E42" w14:textId="7853CB74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Enoxaparin,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1AA34D26" w14:textId="09A9E572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Platelet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count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&lt;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25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× </w:t>
            </w:r>
            <w:r w:rsidRPr="007B3561">
              <w:rPr>
                <w:rFonts w:ascii="Book Antiqua" w:eastAsia="Times New Roman" w:hAnsi="Book Antiqua" w:cs="Calibri"/>
              </w:rPr>
              <w:t>10</w:t>
            </w:r>
            <w:r w:rsidRPr="007B3561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7B3561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05D3761D" w14:textId="1EED9113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Recent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bleed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within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1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proofErr w:type="spellStart"/>
            <w:r w:rsidRPr="007B3561">
              <w:rPr>
                <w:rFonts w:ascii="Book Antiqua" w:eastAsia="Times New Roman" w:hAnsi="Book Antiqua" w:cs="Calibri"/>
              </w:rPr>
              <w:t>mo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>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active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GI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or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intracranial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malignancy,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DAPT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therapy,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IMPROVE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6A3256" w:rsidRPr="007B3561">
              <w:rPr>
                <w:rFonts w:ascii="Book Antiqua" w:eastAsia="Times New Roman" w:hAnsi="Book Antiqua" w:cs="Calibri"/>
              </w:rPr>
              <w:t>b</w:t>
            </w:r>
            <w:r w:rsidRPr="007B3561">
              <w:rPr>
                <w:rFonts w:ascii="Book Antiqua" w:eastAsia="Times New Roman" w:hAnsi="Book Antiqua" w:cs="Calibri"/>
              </w:rPr>
              <w:t>leed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score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of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≥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7</w:t>
            </w:r>
          </w:p>
        </w:tc>
      </w:tr>
      <w:tr w:rsidR="00825F4F" w:rsidRPr="007B3561" w14:paraId="39406E65" w14:textId="77777777" w:rsidTr="00B930E5">
        <w:trPr>
          <w:trHeight w:val="1061"/>
        </w:trPr>
        <w:tc>
          <w:tcPr>
            <w:tcW w:w="1530" w:type="dxa"/>
            <w:shd w:val="clear" w:color="auto" w:fill="auto"/>
            <w:vAlign w:val="center"/>
            <w:hideMark/>
          </w:tcPr>
          <w:p w14:paraId="309444A3" w14:textId="571A6586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proofErr w:type="gramStart"/>
            <w:r w:rsidRPr="007B3561">
              <w:rPr>
                <w:rFonts w:ascii="Book Antiqua" w:eastAsia="Times New Roman" w:hAnsi="Book Antiqua" w:cs="Calibri"/>
              </w:rPr>
              <w:lastRenderedPageBreak/>
              <w:t>ACTION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Calibri"/>
                <w:vertAlign w:val="superscript"/>
              </w:rPr>
              <w:t>19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4319F37C" w14:textId="0C29918E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Rivaroxaban,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6A3256" w:rsidRPr="007B3561">
              <w:rPr>
                <w:rFonts w:ascii="Book Antiqua" w:eastAsia="Times New Roman" w:hAnsi="Book Antiqua" w:cs="Calibri"/>
              </w:rPr>
              <w:t>e</w:t>
            </w:r>
            <w:r w:rsidRPr="007B3561">
              <w:rPr>
                <w:rFonts w:ascii="Book Antiqua" w:eastAsia="Times New Roman" w:hAnsi="Book Antiqua" w:cs="Calibri"/>
              </w:rPr>
              <w:t>noxaparin,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559EC6D2" w14:textId="55D3F9E4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Platelet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count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&lt;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50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× </w:t>
            </w:r>
            <w:r w:rsidRPr="007B3561">
              <w:rPr>
                <w:rFonts w:ascii="Book Antiqua" w:eastAsia="Times New Roman" w:hAnsi="Book Antiqua" w:cs="Calibri"/>
              </w:rPr>
              <w:t>10</w:t>
            </w:r>
            <w:r w:rsidRPr="007B3561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7B3561">
              <w:rPr>
                <w:rFonts w:ascii="Book Antiqua" w:eastAsia="Times New Roman" w:hAnsi="Book Antiqua" w:cs="Calibri"/>
              </w:rPr>
              <w:t>/L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473E39E9" w14:textId="61EBB479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Use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of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ASA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(&gt;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100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mg)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or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P2Y12</w:t>
            </w:r>
            <w:r w:rsidR="00962B78" w:rsidRPr="007B3561">
              <w:rPr>
                <w:rFonts w:ascii="Book Antiqua" w:eastAsia="Times New Roman" w:hAnsi="Book Antiqua" w:cs="Calibri"/>
              </w:rPr>
              <w:t xml:space="preserve"> inhibitor</w:t>
            </w:r>
            <w:r w:rsidRPr="007B3561">
              <w:rPr>
                <w:rFonts w:ascii="Book Antiqua" w:eastAsia="Times New Roman" w:hAnsi="Book Antiqua" w:cs="Calibri"/>
              </w:rPr>
              <w:t>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chronic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NSAID</w:t>
            </w:r>
            <w:r w:rsidR="00C4020F" w:rsidRPr="007B3561">
              <w:rPr>
                <w:rFonts w:ascii="Book Antiqua" w:eastAsia="Times New Roman" w:hAnsi="Book Antiqua" w:cs="Calibri"/>
              </w:rPr>
              <w:t>S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use,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active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bleeding,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liver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failure,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blood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dyscrasia,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prohibitive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hemorrhage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risk,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history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of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intracranial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bleed,</w:t>
            </w:r>
            <w:r w:rsidR="00951AEE" w:rsidRPr="007B3561">
              <w:rPr>
                <w:rFonts w:ascii="Book Antiqua" w:eastAsia="Times New Roman" w:hAnsi="Book Antiqua" w:cs="Calibri"/>
                <w:color w:val="FF0000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DIC,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active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cancer</w:t>
            </w:r>
          </w:p>
        </w:tc>
      </w:tr>
      <w:tr w:rsidR="00825F4F" w:rsidRPr="007B3561" w14:paraId="58B3388A" w14:textId="77777777" w:rsidTr="00B930E5">
        <w:trPr>
          <w:trHeight w:val="1070"/>
        </w:trPr>
        <w:tc>
          <w:tcPr>
            <w:tcW w:w="1530" w:type="dxa"/>
            <w:shd w:val="clear" w:color="auto" w:fill="auto"/>
            <w:vAlign w:val="center"/>
            <w:hideMark/>
          </w:tcPr>
          <w:p w14:paraId="77D7EEDB" w14:textId="1554557F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proofErr w:type="gramStart"/>
            <w:r w:rsidRPr="007B3561">
              <w:rPr>
                <w:rFonts w:ascii="Book Antiqua" w:eastAsia="Times New Roman" w:hAnsi="Book Antiqua" w:cs="Calibri"/>
              </w:rPr>
              <w:t>RAPID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[</w:t>
            </w:r>
            <w:proofErr w:type="gramEnd"/>
            <w:r w:rsidRPr="007B3561">
              <w:rPr>
                <w:rFonts w:ascii="Book Antiqua" w:eastAsia="Times New Roman" w:hAnsi="Book Antiqua" w:cs="Calibri"/>
                <w:vertAlign w:val="superscript"/>
              </w:rPr>
              <w:t>20</w:t>
            </w:r>
            <w:r w:rsidR="00C4020F" w:rsidRPr="007B3561">
              <w:rPr>
                <w:rFonts w:ascii="Book Antiqua" w:eastAsia="Times New Roman" w:hAnsi="Book Antiqua" w:cs="Calibri"/>
                <w:vertAlign w:val="superscript"/>
              </w:rPr>
              <w:t>]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14:paraId="31F3436B" w14:textId="16055076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Enoxaparin,</w:t>
            </w:r>
            <w:r w:rsidR="007969D8" w:rsidRPr="007B3561">
              <w:rPr>
                <w:rFonts w:ascii="Book Antiqua" w:eastAsia="Times New Roman" w:hAnsi="Book Antiqua" w:cs="Calibri"/>
              </w:rPr>
              <w:t xml:space="preserve"> </w:t>
            </w:r>
            <w:proofErr w:type="spellStart"/>
            <w:r w:rsidR="006A3256" w:rsidRPr="007B3561">
              <w:rPr>
                <w:rFonts w:ascii="Book Antiqua" w:eastAsia="Times New Roman" w:hAnsi="Book Antiqua" w:cs="Calibri"/>
              </w:rPr>
              <w:t>d</w:t>
            </w:r>
            <w:r w:rsidRPr="007B3561">
              <w:rPr>
                <w:rFonts w:ascii="Book Antiqua" w:eastAsia="Times New Roman" w:hAnsi="Book Antiqua" w:cs="Calibri"/>
              </w:rPr>
              <w:t>alteparin</w:t>
            </w:r>
            <w:proofErr w:type="spellEnd"/>
            <w:r w:rsidRPr="007B3561">
              <w:rPr>
                <w:rFonts w:ascii="Book Antiqua" w:eastAsia="Times New Roman" w:hAnsi="Book Antiqua" w:cs="Calibri"/>
              </w:rPr>
              <w:t>,</w:t>
            </w:r>
            <w:r w:rsidR="007969D8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6A3256" w:rsidRPr="007B3561">
              <w:rPr>
                <w:rFonts w:ascii="Book Antiqua" w:eastAsia="Times New Roman" w:hAnsi="Book Antiqua" w:cs="Calibri"/>
              </w:rPr>
              <w:t>t</w:t>
            </w:r>
            <w:r w:rsidRPr="007B3561">
              <w:rPr>
                <w:rFonts w:ascii="Book Antiqua" w:eastAsia="Times New Roman" w:hAnsi="Book Antiqua" w:cs="Calibri"/>
              </w:rPr>
              <w:t>inzaparin,</w:t>
            </w:r>
            <w:r w:rsidR="007969D8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UFH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14:paraId="5C6E1D16" w14:textId="40267180" w:rsidR="00825F4F" w:rsidRPr="007B3561" w:rsidRDefault="00825F4F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>Platelet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count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&lt;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50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× </w:t>
            </w:r>
            <w:r w:rsidRPr="007B3561">
              <w:rPr>
                <w:rFonts w:ascii="Book Antiqua" w:eastAsia="Times New Roman" w:hAnsi="Book Antiqua" w:cs="Calibri"/>
              </w:rPr>
              <w:t>10</w:t>
            </w:r>
            <w:r w:rsidRPr="007B3561">
              <w:rPr>
                <w:rFonts w:ascii="Book Antiqua" w:eastAsia="Times New Roman" w:hAnsi="Book Antiqua" w:cs="Calibri"/>
                <w:vertAlign w:val="superscript"/>
              </w:rPr>
              <w:t>9</w:t>
            </w:r>
            <w:r w:rsidRPr="007B3561">
              <w:rPr>
                <w:rFonts w:ascii="Book Antiqua" w:eastAsia="Times New Roman" w:hAnsi="Book Antiqua" w:cs="Calibri"/>
              </w:rPr>
              <w:t>/L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within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72</w:t>
            </w:r>
            <w:r w:rsidR="00951AEE" w:rsidRPr="007B3561">
              <w:rPr>
                <w:rFonts w:ascii="Book Antiqua" w:eastAsia="Times New Roman" w:hAnsi="Book Antiqua" w:cs="Calibri"/>
              </w:rPr>
              <w:t xml:space="preserve"> </w:t>
            </w:r>
            <w:r w:rsidRPr="007B3561">
              <w:rPr>
                <w:rFonts w:ascii="Book Antiqua" w:eastAsia="Times New Roman" w:hAnsi="Book Antiqua" w:cs="Calibri"/>
              </w:rPr>
              <w:t>h</w:t>
            </w:r>
          </w:p>
        </w:tc>
        <w:tc>
          <w:tcPr>
            <w:tcW w:w="3792" w:type="dxa"/>
            <w:shd w:val="clear" w:color="auto" w:fill="auto"/>
            <w:vAlign w:val="center"/>
            <w:hideMark/>
          </w:tcPr>
          <w:p w14:paraId="075EBE32" w14:textId="7270CE49" w:rsidR="00825F4F" w:rsidRPr="007B3561" w:rsidRDefault="00951AEE" w:rsidP="008C5194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History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of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an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inherited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or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active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acquired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bleeding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disorder,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bleeding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with</w:t>
            </w:r>
            <w:r w:rsidR="006A3256" w:rsidRPr="007B3561">
              <w:rPr>
                <w:rFonts w:ascii="Book Antiqua" w:eastAsia="Times New Roman" w:hAnsi="Book Antiqua" w:cs="Calibri"/>
              </w:rPr>
              <w:t>in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30</w:t>
            </w:r>
            <w:r w:rsidRPr="007B3561">
              <w:rPr>
                <w:rFonts w:ascii="Book Antiqua" w:eastAsia="Times New Roman" w:hAnsi="Book Antiqua" w:cs="Calibri"/>
              </w:rPr>
              <w:t xml:space="preserve"> d </w:t>
            </w:r>
            <w:r w:rsidR="00825F4F" w:rsidRPr="007B3561">
              <w:rPr>
                <w:rFonts w:ascii="Book Antiqua" w:eastAsia="Times New Roman" w:hAnsi="Book Antiqua" w:cs="Calibri"/>
              </w:rPr>
              <w:t>requiring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hospital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presentation,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DAPT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therapy,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Hgb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&lt;</w:t>
            </w:r>
            <w:r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80</w:t>
            </w:r>
            <w:r w:rsidR="00C4020F" w:rsidRPr="007B3561">
              <w:rPr>
                <w:rFonts w:ascii="Book Antiqua" w:eastAsia="Times New Roman" w:hAnsi="Book Antiqua" w:cs="Calibri"/>
              </w:rPr>
              <w:t xml:space="preserve"> </w:t>
            </w:r>
            <w:r w:rsidR="00825F4F" w:rsidRPr="007B3561">
              <w:rPr>
                <w:rFonts w:ascii="Book Antiqua" w:eastAsia="Times New Roman" w:hAnsi="Book Antiqua" w:cs="Calibri"/>
              </w:rPr>
              <w:t>g/L</w:t>
            </w:r>
          </w:p>
        </w:tc>
      </w:tr>
    </w:tbl>
    <w:p w14:paraId="43214E1B" w14:textId="77777777" w:rsidR="000C2C5B" w:rsidRDefault="00AA1A7A" w:rsidP="008C5194">
      <w:pPr>
        <w:spacing w:line="360" w:lineRule="auto"/>
        <w:jc w:val="both"/>
        <w:rPr>
          <w:rFonts w:ascii="Book Antiqua" w:hAnsi="Book Antiqua"/>
        </w:rPr>
        <w:sectPr w:rsidR="000C2C5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3561">
        <w:rPr>
          <w:rFonts w:ascii="Book Antiqua" w:hAnsi="Book Antiqua"/>
        </w:rPr>
        <w:t xml:space="preserve">ASA: Aspirin; </w:t>
      </w:r>
      <w:r w:rsidR="00962B78" w:rsidRPr="007B3561">
        <w:rPr>
          <w:rFonts w:ascii="Book Antiqua" w:hAnsi="Book Antiqua"/>
        </w:rPr>
        <w:t>AVM</w:t>
      </w:r>
      <w:r w:rsidR="00BE682A" w:rsidRPr="007B3561">
        <w:rPr>
          <w:rFonts w:ascii="Book Antiqua" w:hAnsi="Book Antiqua"/>
        </w:rPr>
        <w:t>: A</w:t>
      </w:r>
      <w:r w:rsidR="00962B78" w:rsidRPr="007B3561">
        <w:rPr>
          <w:rFonts w:ascii="Book Antiqua" w:hAnsi="Book Antiqua"/>
        </w:rPr>
        <w:t>rteriovenous malformation; CNS</w:t>
      </w:r>
      <w:r w:rsidR="00BE682A" w:rsidRPr="007B3561">
        <w:rPr>
          <w:rFonts w:ascii="Book Antiqua" w:hAnsi="Book Antiqua"/>
        </w:rPr>
        <w:t>: C</w:t>
      </w:r>
      <w:r w:rsidR="00962B78" w:rsidRPr="007B3561">
        <w:rPr>
          <w:rFonts w:ascii="Book Antiqua" w:hAnsi="Book Antiqua"/>
        </w:rPr>
        <w:t xml:space="preserve">entral nervous system; </w:t>
      </w:r>
      <w:r w:rsidRPr="007B3561">
        <w:rPr>
          <w:rFonts w:ascii="Book Antiqua" w:hAnsi="Book Antiqua"/>
        </w:rPr>
        <w:t xml:space="preserve">DAPT: Dual antiplatelet therapy; DIC: Disseminated intravascular coagulation; </w:t>
      </w:r>
      <w:r w:rsidR="00962B78" w:rsidRPr="007B3561">
        <w:rPr>
          <w:rFonts w:ascii="Book Antiqua" w:hAnsi="Book Antiqua"/>
        </w:rPr>
        <w:t>GI</w:t>
      </w:r>
      <w:r w:rsidR="00BE682A" w:rsidRPr="007B3561">
        <w:rPr>
          <w:rFonts w:ascii="Book Antiqua" w:hAnsi="Book Antiqua"/>
        </w:rPr>
        <w:t>: G</w:t>
      </w:r>
      <w:r w:rsidR="00962B78" w:rsidRPr="007B3561">
        <w:rPr>
          <w:rFonts w:ascii="Book Antiqua" w:hAnsi="Book Antiqua"/>
        </w:rPr>
        <w:t xml:space="preserve">astrointestinal; </w:t>
      </w:r>
      <w:r w:rsidRPr="007B3561">
        <w:rPr>
          <w:rFonts w:ascii="Book Antiqua" w:hAnsi="Book Antiqua"/>
        </w:rPr>
        <w:t xml:space="preserve">Hgb: Hemoglobin; </w:t>
      </w:r>
      <w:r w:rsidR="00962B78" w:rsidRPr="007B3561">
        <w:rPr>
          <w:rFonts w:ascii="Book Antiqua" w:hAnsi="Book Antiqua"/>
        </w:rPr>
        <w:t>IMPROVE</w:t>
      </w:r>
      <w:r w:rsidR="00BE682A" w:rsidRPr="007B3561">
        <w:rPr>
          <w:rFonts w:ascii="Book Antiqua" w:hAnsi="Book Antiqua"/>
        </w:rPr>
        <w:t xml:space="preserve">: </w:t>
      </w:r>
      <w:r w:rsidR="00962B78" w:rsidRPr="007B3561">
        <w:rPr>
          <w:rFonts w:ascii="Book Antiqua" w:hAnsi="Book Antiqua"/>
        </w:rPr>
        <w:t>International Medical Prevention Registry on Venous Thromboembolism; NSAIDS</w:t>
      </w:r>
      <w:r w:rsidR="00BE682A" w:rsidRPr="007B3561">
        <w:rPr>
          <w:rFonts w:ascii="Book Antiqua" w:hAnsi="Book Antiqua"/>
        </w:rPr>
        <w:t>: N</w:t>
      </w:r>
      <w:r w:rsidR="00962B78" w:rsidRPr="007B3561">
        <w:rPr>
          <w:rFonts w:ascii="Book Antiqua" w:hAnsi="Book Antiqua"/>
        </w:rPr>
        <w:t xml:space="preserve">onsteroidal anti-inflammatory drugs; </w:t>
      </w:r>
      <w:r w:rsidRPr="007B3561">
        <w:rPr>
          <w:rFonts w:ascii="Book Antiqua" w:hAnsi="Book Antiqua"/>
        </w:rPr>
        <w:t>UFH: Unfractionated heparin.</w:t>
      </w:r>
    </w:p>
    <w:p w14:paraId="6FBE2FE2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3FD547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E5FF74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85C5F5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08000E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0B91FB1" wp14:editId="1901A74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C778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794F0AC6" w14:textId="77777777" w:rsidR="000C2C5B" w:rsidRDefault="000C2C5B" w:rsidP="000C2C5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85D595E" w14:textId="77777777" w:rsidR="000C2C5B" w:rsidRDefault="000C2C5B" w:rsidP="000C2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03A6CB3" w14:textId="77777777" w:rsidR="000C2C5B" w:rsidRDefault="000C2C5B" w:rsidP="000C2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3C68EB0A" w14:textId="77777777" w:rsidR="000C2C5B" w:rsidRDefault="000C2C5B" w:rsidP="000C2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00DBA92" w14:textId="77777777" w:rsidR="000C2C5B" w:rsidRDefault="000C2C5B" w:rsidP="000C2C5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9BB4802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0C64DD1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A423A4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F826D1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F5EA68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F7A86A2" wp14:editId="4A8BF82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6063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34902F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8C02DD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569D12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D48BA3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FDCCB8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A3AD3F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3A3436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F1CBCA" w14:textId="77777777" w:rsidR="000C2C5B" w:rsidRDefault="000C2C5B" w:rsidP="000C2C5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23EBDD" w14:textId="77777777" w:rsidR="000C2C5B" w:rsidRDefault="000C2C5B" w:rsidP="000C2C5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C1C2AD7" w14:textId="0682C852" w:rsidR="000C2C5B" w:rsidRDefault="000C2C5B" w:rsidP="000C2C5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="001F3EA5">
        <w:rPr>
          <w:rFonts w:ascii="Book Antiqua" w:eastAsia="BookAntiqua-Bold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5FA464BA" w14:textId="77777777" w:rsidR="000C2C5B" w:rsidRDefault="000C2C5B" w:rsidP="000C2C5B">
      <w:pPr>
        <w:rPr>
          <w:rFonts w:ascii="Book Antiqua" w:hAnsi="Book Antiqua" w:cs="Book Antiqua"/>
          <w:b/>
          <w:bCs/>
          <w:color w:val="000000"/>
        </w:rPr>
      </w:pPr>
    </w:p>
    <w:p w14:paraId="225D5F6E" w14:textId="27D8CC45" w:rsidR="00825F4F" w:rsidRPr="008C5194" w:rsidRDefault="00825F4F" w:rsidP="008C5194">
      <w:pPr>
        <w:spacing w:line="360" w:lineRule="auto"/>
        <w:jc w:val="both"/>
        <w:rPr>
          <w:rFonts w:ascii="Book Antiqua" w:hAnsi="Book Antiqua"/>
        </w:rPr>
      </w:pPr>
    </w:p>
    <w:sectPr w:rsidR="00825F4F" w:rsidRPr="008C5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D7B4" w14:textId="77777777" w:rsidR="000B640A" w:rsidRDefault="000B640A" w:rsidP="00825F4F">
      <w:r>
        <w:separator/>
      </w:r>
    </w:p>
  </w:endnote>
  <w:endnote w:type="continuationSeparator" w:id="0">
    <w:p w14:paraId="520EFCCB" w14:textId="77777777" w:rsidR="000B640A" w:rsidRDefault="000B640A" w:rsidP="0082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-1275318060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D890D2" w14:textId="0E1A1226" w:rsidR="00825F4F" w:rsidRPr="008C5194" w:rsidRDefault="00825F4F" w:rsidP="00825F4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C519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C519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823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C519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C519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823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8C519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3A90DB2" w14:textId="77777777" w:rsidR="00825F4F" w:rsidRDefault="00825F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641F" w14:textId="77777777" w:rsidR="000B640A" w:rsidRDefault="000B640A" w:rsidP="00825F4F">
      <w:r>
        <w:separator/>
      </w:r>
    </w:p>
  </w:footnote>
  <w:footnote w:type="continuationSeparator" w:id="0">
    <w:p w14:paraId="715DFD9D" w14:textId="77777777" w:rsidR="000B640A" w:rsidRDefault="000B640A" w:rsidP="0082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34B9"/>
    <w:rsid w:val="000558DA"/>
    <w:rsid w:val="00063866"/>
    <w:rsid w:val="00067BFE"/>
    <w:rsid w:val="00097596"/>
    <w:rsid w:val="000B640A"/>
    <w:rsid w:val="000C2C5B"/>
    <w:rsid w:val="000E3131"/>
    <w:rsid w:val="000E3B7A"/>
    <w:rsid w:val="00100B5E"/>
    <w:rsid w:val="0011389C"/>
    <w:rsid w:val="00127B6A"/>
    <w:rsid w:val="00133D73"/>
    <w:rsid w:val="00151E7A"/>
    <w:rsid w:val="001B48FF"/>
    <w:rsid w:val="001C2E17"/>
    <w:rsid w:val="001D2CF6"/>
    <w:rsid w:val="001F2619"/>
    <w:rsid w:val="001F3EA5"/>
    <w:rsid w:val="001F6EE9"/>
    <w:rsid w:val="00236FB0"/>
    <w:rsid w:val="00252DA8"/>
    <w:rsid w:val="00267745"/>
    <w:rsid w:val="00272031"/>
    <w:rsid w:val="0028178C"/>
    <w:rsid w:val="00296773"/>
    <w:rsid w:val="002A3D96"/>
    <w:rsid w:val="002B1C0E"/>
    <w:rsid w:val="002C2686"/>
    <w:rsid w:val="002F458B"/>
    <w:rsid w:val="0030572E"/>
    <w:rsid w:val="00315984"/>
    <w:rsid w:val="003246E8"/>
    <w:rsid w:val="0033053C"/>
    <w:rsid w:val="0034564E"/>
    <w:rsid w:val="00346BD8"/>
    <w:rsid w:val="00370326"/>
    <w:rsid w:val="00377254"/>
    <w:rsid w:val="00380C4D"/>
    <w:rsid w:val="003D74FF"/>
    <w:rsid w:val="00413E7D"/>
    <w:rsid w:val="00426456"/>
    <w:rsid w:val="00445F00"/>
    <w:rsid w:val="004647A6"/>
    <w:rsid w:val="004755E4"/>
    <w:rsid w:val="004A231A"/>
    <w:rsid w:val="004A6983"/>
    <w:rsid w:val="004B01D5"/>
    <w:rsid w:val="004B76DD"/>
    <w:rsid w:val="004C02E5"/>
    <w:rsid w:val="004C065F"/>
    <w:rsid w:val="004F3599"/>
    <w:rsid w:val="00502A7D"/>
    <w:rsid w:val="005120DF"/>
    <w:rsid w:val="00527B4F"/>
    <w:rsid w:val="00553A4C"/>
    <w:rsid w:val="0058036F"/>
    <w:rsid w:val="005B4269"/>
    <w:rsid w:val="005C14D3"/>
    <w:rsid w:val="00604C9A"/>
    <w:rsid w:val="00620823"/>
    <w:rsid w:val="00633B69"/>
    <w:rsid w:val="00654002"/>
    <w:rsid w:val="00663346"/>
    <w:rsid w:val="00664AB5"/>
    <w:rsid w:val="006A3256"/>
    <w:rsid w:val="006B3B60"/>
    <w:rsid w:val="006C080D"/>
    <w:rsid w:val="006E0F35"/>
    <w:rsid w:val="006F3C95"/>
    <w:rsid w:val="00742DB4"/>
    <w:rsid w:val="00762C6A"/>
    <w:rsid w:val="007809B7"/>
    <w:rsid w:val="007969D8"/>
    <w:rsid w:val="007A41A9"/>
    <w:rsid w:val="007B3561"/>
    <w:rsid w:val="007C5560"/>
    <w:rsid w:val="007D457F"/>
    <w:rsid w:val="007D7584"/>
    <w:rsid w:val="007E5508"/>
    <w:rsid w:val="008200E1"/>
    <w:rsid w:val="00825F4F"/>
    <w:rsid w:val="00845C17"/>
    <w:rsid w:val="00850CD6"/>
    <w:rsid w:val="008679C5"/>
    <w:rsid w:val="00892B9D"/>
    <w:rsid w:val="008C5194"/>
    <w:rsid w:val="008F56C8"/>
    <w:rsid w:val="009107BF"/>
    <w:rsid w:val="00933DA4"/>
    <w:rsid w:val="00941125"/>
    <w:rsid w:val="00951AEE"/>
    <w:rsid w:val="00962B78"/>
    <w:rsid w:val="0097174B"/>
    <w:rsid w:val="009A2F56"/>
    <w:rsid w:val="009B784F"/>
    <w:rsid w:val="009D18BE"/>
    <w:rsid w:val="00A11920"/>
    <w:rsid w:val="00A3209D"/>
    <w:rsid w:val="00A40166"/>
    <w:rsid w:val="00A5188C"/>
    <w:rsid w:val="00A5196B"/>
    <w:rsid w:val="00A52B9C"/>
    <w:rsid w:val="00A679E9"/>
    <w:rsid w:val="00A77B3E"/>
    <w:rsid w:val="00A84344"/>
    <w:rsid w:val="00AA17C7"/>
    <w:rsid w:val="00AA1A7A"/>
    <w:rsid w:val="00AA5BB3"/>
    <w:rsid w:val="00AC3951"/>
    <w:rsid w:val="00AD3D1A"/>
    <w:rsid w:val="00AE7170"/>
    <w:rsid w:val="00B00BEF"/>
    <w:rsid w:val="00B43FB8"/>
    <w:rsid w:val="00B51D97"/>
    <w:rsid w:val="00B70D4F"/>
    <w:rsid w:val="00B930E5"/>
    <w:rsid w:val="00B94409"/>
    <w:rsid w:val="00BA2E6C"/>
    <w:rsid w:val="00BE3D33"/>
    <w:rsid w:val="00BE682A"/>
    <w:rsid w:val="00C24A7C"/>
    <w:rsid w:val="00C4020F"/>
    <w:rsid w:val="00C420D6"/>
    <w:rsid w:val="00C456BF"/>
    <w:rsid w:val="00C52412"/>
    <w:rsid w:val="00C63946"/>
    <w:rsid w:val="00C91C3B"/>
    <w:rsid w:val="00CA2A55"/>
    <w:rsid w:val="00D0124A"/>
    <w:rsid w:val="00D30108"/>
    <w:rsid w:val="00D3536A"/>
    <w:rsid w:val="00D421E9"/>
    <w:rsid w:val="00D42D39"/>
    <w:rsid w:val="00D640EF"/>
    <w:rsid w:val="00DC10FC"/>
    <w:rsid w:val="00E3759B"/>
    <w:rsid w:val="00E72276"/>
    <w:rsid w:val="00E86999"/>
    <w:rsid w:val="00E92984"/>
    <w:rsid w:val="00EA58AA"/>
    <w:rsid w:val="00EA7D5E"/>
    <w:rsid w:val="00EB1578"/>
    <w:rsid w:val="00EF0C40"/>
    <w:rsid w:val="00EF46E2"/>
    <w:rsid w:val="00F00372"/>
    <w:rsid w:val="00F023D6"/>
    <w:rsid w:val="00F105BB"/>
    <w:rsid w:val="00F261F0"/>
    <w:rsid w:val="00F4254A"/>
    <w:rsid w:val="00F60FDC"/>
    <w:rsid w:val="00F849E3"/>
    <w:rsid w:val="00FC145B"/>
    <w:rsid w:val="00FC2ABF"/>
    <w:rsid w:val="00FD3CB6"/>
    <w:rsid w:val="00FF074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52069"/>
  <w15:docId w15:val="{29CA0FE3-38C6-48D5-98E9-2E9A3513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basedOn w:val="a0"/>
  </w:style>
  <w:style w:type="paragraph" w:styleId="a3">
    <w:name w:val="header"/>
    <w:basedOn w:val="a"/>
    <w:link w:val="a4"/>
    <w:unhideWhenUsed/>
    <w:rsid w:val="00825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5F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F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F4F"/>
    <w:rPr>
      <w:sz w:val="18"/>
      <w:szCs w:val="18"/>
    </w:rPr>
  </w:style>
  <w:style w:type="character" w:styleId="a7">
    <w:name w:val="annotation reference"/>
    <w:basedOn w:val="a0"/>
    <w:semiHidden/>
    <w:unhideWhenUsed/>
    <w:rsid w:val="00502A7D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502A7D"/>
  </w:style>
  <w:style w:type="character" w:customStyle="1" w:styleId="a9">
    <w:name w:val="批注文字 字符"/>
    <w:basedOn w:val="a0"/>
    <w:link w:val="a8"/>
    <w:semiHidden/>
    <w:rsid w:val="00502A7D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02A7D"/>
    <w:rPr>
      <w:b/>
      <w:bCs/>
    </w:rPr>
  </w:style>
  <w:style w:type="character" w:customStyle="1" w:styleId="ab">
    <w:name w:val="批注主题 字符"/>
    <w:basedOn w:val="a9"/>
    <w:link w:val="aa"/>
    <w:semiHidden/>
    <w:rsid w:val="00502A7D"/>
    <w:rPr>
      <w:b/>
      <w:bCs/>
      <w:sz w:val="24"/>
      <w:szCs w:val="24"/>
    </w:rPr>
  </w:style>
  <w:style w:type="paragraph" w:styleId="ac">
    <w:name w:val="Balloon Text"/>
    <w:basedOn w:val="a"/>
    <w:link w:val="ad"/>
    <w:rsid w:val="00502A7D"/>
    <w:rPr>
      <w:sz w:val="18"/>
      <w:szCs w:val="18"/>
    </w:rPr>
  </w:style>
  <w:style w:type="character" w:customStyle="1" w:styleId="ad">
    <w:name w:val="批注框文本 字符"/>
    <w:basedOn w:val="a0"/>
    <w:link w:val="ac"/>
    <w:rsid w:val="00502A7D"/>
    <w:rPr>
      <w:sz w:val="18"/>
      <w:szCs w:val="18"/>
    </w:rPr>
  </w:style>
  <w:style w:type="paragraph" w:styleId="ae">
    <w:name w:val="Revision"/>
    <w:hidden/>
    <w:uiPriority w:val="99"/>
    <w:semiHidden/>
    <w:rsid w:val="005B4269"/>
    <w:rPr>
      <w:sz w:val="24"/>
      <w:szCs w:val="24"/>
    </w:rPr>
  </w:style>
  <w:style w:type="character" w:styleId="af">
    <w:name w:val="Hyperlink"/>
    <w:basedOn w:val="a0"/>
    <w:unhideWhenUsed/>
    <w:rsid w:val="0031598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1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office user</cp:lastModifiedBy>
  <cp:revision>26</cp:revision>
  <dcterms:created xsi:type="dcterms:W3CDTF">2022-12-16T07:09:00Z</dcterms:created>
  <dcterms:modified xsi:type="dcterms:W3CDTF">2023-01-04T10:06:00Z</dcterms:modified>
</cp:coreProperties>
</file>