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CF6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Name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Journal: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Journal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Virology</w:t>
      </w:r>
      <w:bookmarkStart w:id="0" w:name="_GoBack"/>
      <w:bookmarkEnd w:id="0"/>
    </w:p>
    <w:p w14:paraId="4F6221D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Manuscript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NO: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79003</w:t>
      </w:r>
    </w:p>
    <w:p w14:paraId="02B963D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Manuscript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Type: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MINIREVIEWS</w:t>
      </w:r>
    </w:p>
    <w:p w14:paraId="1D37F910" w14:textId="77777777" w:rsidR="00A77B3E" w:rsidRPr="009E5872" w:rsidRDefault="00A77B3E" w:rsidP="00352654">
      <w:pPr>
        <w:spacing w:line="360" w:lineRule="auto"/>
        <w:jc w:val="both"/>
      </w:pPr>
    </w:p>
    <w:p w14:paraId="075A990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virus</w:t>
      </w:r>
    </w:p>
    <w:p w14:paraId="39ACA311" w14:textId="77777777" w:rsidR="00A77B3E" w:rsidRPr="009E5872" w:rsidRDefault="00A77B3E" w:rsidP="00352654">
      <w:pPr>
        <w:spacing w:line="360" w:lineRule="auto"/>
        <w:jc w:val="both"/>
      </w:pPr>
    </w:p>
    <w:p w14:paraId="2EF885A3" w14:textId="77777777" w:rsidR="00A77B3E" w:rsidRPr="009E5872" w:rsidRDefault="00431F30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al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A41E66"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HIV</w:t>
      </w:r>
    </w:p>
    <w:p w14:paraId="0F2B9C7A" w14:textId="77777777" w:rsidR="00A77B3E" w:rsidRPr="009E5872" w:rsidRDefault="00A77B3E" w:rsidP="00352654">
      <w:pPr>
        <w:spacing w:line="360" w:lineRule="auto"/>
        <w:jc w:val="both"/>
      </w:pPr>
    </w:p>
    <w:p w14:paraId="171EBB2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Maryam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Peyman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Mirghaderi,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Seyedarad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Mosalamiaghili,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Mohammadi,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Amirhossein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</w:t>
      </w:r>
    </w:p>
    <w:p w14:paraId="10FDAD6B" w14:textId="77777777" w:rsidR="00A77B3E" w:rsidRPr="009E5872" w:rsidRDefault="00A77B3E" w:rsidP="00352654">
      <w:pPr>
        <w:spacing w:line="360" w:lineRule="auto"/>
        <w:jc w:val="both"/>
      </w:pPr>
    </w:p>
    <w:p w14:paraId="6EF29FD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Maryam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Department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71936-13311,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6CEAB6E5" w14:textId="77777777" w:rsidR="00A77B3E" w:rsidRPr="009E5872" w:rsidRDefault="00A77B3E" w:rsidP="00352654">
      <w:pPr>
        <w:spacing w:line="360" w:lineRule="auto"/>
        <w:jc w:val="both"/>
      </w:pPr>
    </w:p>
    <w:p w14:paraId="03776D9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Peyman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Mirghaderi,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Students'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Scientific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Tehran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Tehran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7138433608,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17B44A8B" w14:textId="77777777" w:rsidR="00A77B3E" w:rsidRPr="009E5872" w:rsidRDefault="00A77B3E" w:rsidP="00352654">
      <w:pPr>
        <w:spacing w:line="360" w:lineRule="auto"/>
        <w:jc w:val="both"/>
      </w:pPr>
    </w:p>
    <w:p w14:paraId="7A9C86A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Seyedarad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Mosalamiaghili,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26AC" w:rsidRPr="009E5872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26AC" w:rsidRPr="009E5872">
        <w:rPr>
          <w:rFonts w:ascii="Book Antiqua" w:eastAsia="Book Antiqua" w:hAnsi="Book Antiqua" w:cs="Book Antiqua"/>
          <w:b/>
          <w:bCs/>
          <w:color w:val="000000"/>
        </w:rPr>
        <w:t>Mohammadi,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Committee,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7136587666,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61E73598" w14:textId="77777777" w:rsidR="00A77B3E" w:rsidRPr="009E5872" w:rsidRDefault="00A77B3E" w:rsidP="00352654">
      <w:pPr>
        <w:spacing w:line="360" w:lineRule="auto"/>
        <w:jc w:val="both"/>
      </w:pPr>
    </w:p>
    <w:p w14:paraId="7E00029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Amirhossein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Department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Medicine,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Shahid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Sadoughi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Yazd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7156893040,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616FB2FE" w14:textId="77777777" w:rsidR="00A77B3E" w:rsidRPr="009E5872" w:rsidRDefault="00A77B3E" w:rsidP="00352654">
      <w:pPr>
        <w:spacing w:line="360" w:lineRule="auto"/>
        <w:jc w:val="both"/>
      </w:pPr>
    </w:p>
    <w:p w14:paraId="1532A234" w14:textId="6EC5A79C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idea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significantly;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Mohammadi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draft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Mirghaderi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P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prepared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figures;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Mosalamiaghi</w:t>
      </w:r>
      <w:r w:rsidR="003E2CA6" w:rsidRPr="009E5872">
        <w:rPr>
          <w:rFonts w:ascii="Book Antiqua" w:eastAsia="Book Antiqua" w:hAnsi="Book Antiqua" w:cs="Book Antiqua"/>
          <w:color w:val="000000"/>
          <w:szCs w:val="22"/>
        </w:rPr>
        <w:t>li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A6" w:rsidRPr="009E5872">
        <w:rPr>
          <w:rFonts w:ascii="Book Antiqua" w:eastAsia="Book Antiqua" w:hAnsi="Book Antiqua" w:cs="Book Antiqua"/>
          <w:color w:val="000000"/>
          <w:szCs w:val="22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8649D4" w:rsidRPr="009E5872">
        <w:rPr>
          <w:rFonts w:ascii="Book Antiqua" w:eastAsia="Book Antiqua" w:hAnsi="Book Antiqua" w:cs="Book Antiqua"/>
          <w:color w:val="000000"/>
          <w:szCs w:val="22"/>
        </w:rPr>
        <w:t>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649D4" w:rsidRPr="009E5872">
        <w:rPr>
          <w:rFonts w:ascii="Book Antiqua" w:eastAsia="Book Antiqua" w:hAnsi="Book Antiqua" w:cs="Book Antiqua"/>
          <w:color w:val="000000"/>
          <w:szCs w:val="22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649D4" w:rsidRPr="009E5872">
        <w:rPr>
          <w:rFonts w:ascii="Book Antiqua" w:eastAsia="Book Antiqua" w:hAnsi="Book Antiqua" w:cs="Book Antiqua"/>
          <w:color w:val="000000"/>
          <w:szCs w:val="22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  <w:szCs w:val="22"/>
        </w:rPr>
        <w:t>the</w:t>
      </w:r>
      <w:r w:rsidR="00332968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review.</w:t>
      </w:r>
    </w:p>
    <w:p w14:paraId="528555E5" w14:textId="77777777" w:rsidR="00A77B3E" w:rsidRPr="009E5872" w:rsidRDefault="00A77B3E" w:rsidP="00352654">
      <w:pPr>
        <w:spacing w:line="360" w:lineRule="auto"/>
        <w:jc w:val="both"/>
      </w:pPr>
    </w:p>
    <w:p w14:paraId="603D041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Maryam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Department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Avevue,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71936-13311,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salimimaryam7496@gmail.com</w:t>
      </w:r>
    </w:p>
    <w:p w14:paraId="1FD2AE4A" w14:textId="77777777" w:rsidR="00A77B3E" w:rsidRPr="009E5872" w:rsidRDefault="00A77B3E" w:rsidP="00352654">
      <w:pPr>
        <w:spacing w:line="360" w:lineRule="auto"/>
        <w:jc w:val="both"/>
      </w:pPr>
    </w:p>
    <w:p w14:paraId="70750EB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July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</w:p>
    <w:p w14:paraId="55C3824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41984" w:rsidRPr="009E58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1385" w:rsidRPr="009E5872">
        <w:rPr>
          <w:rFonts w:ascii="Book Antiqua" w:eastAsia="Book Antiqua" w:hAnsi="Book Antiqua" w:cs="Book Antiqua"/>
          <w:bCs/>
          <w:color w:val="000000"/>
        </w:rPr>
        <w:t>November</w:t>
      </w:r>
      <w:r w:rsidR="00841984" w:rsidRPr="009E58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1385" w:rsidRPr="009E5872">
        <w:rPr>
          <w:rFonts w:ascii="Book Antiqua" w:eastAsia="Book Antiqua" w:hAnsi="Book Antiqua" w:cs="Book Antiqua"/>
          <w:bCs/>
          <w:color w:val="000000"/>
        </w:rPr>
        <w:t>19,</w:t>
      </w:r>
      <w:r w:rsidR="00841984" w:rsidRPr="009E58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1385" w:rsidRPr="009E5872">
        <w:rPr>
          <w:rFonts w:ascii="Book Antiqua" w:eastAsia="Book Antiqua" w:hAnsi="Book Antiqua" w:cs="Book Antiqua"/>
          <w:bCs/>
          <w:color w:val="000000"/>
        </w:rPr>
        <w:t>2022</w:t>
      </w:r>
    </w:p>
    <w:p w14:paraId="48692C44" w14:textId="11B94FB5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60C7" w:rsidRPr="00AF4972">
        <w:rPr>
          <w:rFonts w:ascii="Book Antiqua" w:eastAsia="Book Antiqua" w:hAnsi="Book Antiqua" w:cs="Book Antiqua"/>
          <w:color w:val="000000"/>
        </w:rPr>
        <w:t>December 8, 2022</w:t>
      </w:r>
    </w:p>
    <w:p w14:paraId="05D40413" w14:textId="77777777" w:rsidR="00AB4175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ACF870" w14:textId="77777777" w:rsidR="00AB4175" w:rsidRPr="009E5872" w:rsidRDefault="00AB4175" w:rsidP="00352654">
      <w:pPr>
        <w:spacing w:line="360" w:lineRule="auto"/>
        <w:jc w:val="both"/>
      </w:pPr>
    </w:p>
    <w:p w14:paraId="53C3A89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Abstract</w:t>
      </w:r>
    </w:p>
    <w:p w14:paraId="14289DA0" w14:textId="7B9413F0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(HIV)</w:t>
      </w:r>
      <w:r w:rsidR="00332968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(TJR)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rising.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 w:rsidRPr="009E5872">
        <w:rPr>
          <w:rFonts w:ascii="Book Antiqua" w:eastAsia="Book Antiqua" w:hAnsi="Book Antiqua" w:cs="Book Antiqua"/>
          <w:color w:val="000000"/>
        </w:rPr>
        <w:t>HIV</w:t>
      </w:r>
      <w:r w:rsidR="00332968">
        <w:rPr>
          <w:rFonts w:ascii="Book Antiqua" w:eastAsia="Book Antiqua" w:hAnsi="Book Antiqua" w:cs="Book Antiqua"/>
          <w:color w:val="000000"/>
        </w:rPr>
        <w:t>-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</w:rPr>
        <w:t xml:space="preserve">cases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enabled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332968">
        <w:rPr>
          <w:rFonts w:ascii="Book Antiqua" w:eastAsia="Book Antiqua" w:hAnsi="Book Antiqua" w:cs="Book Antiqua"/>
          <w:color w:val="000000"/>
        </w:rPr>
        <w:t xml:space="preserve"> to achieve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longevity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</w:rPr>
        <w:t>increasing</w:t>
      </w:r>
      <w:r w:rsidR="00332968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degenerative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332968">
        <w:rPr>
          <w:rFonts w:ascii="Book Antiqua" w:eastAsia="Book Antiqua" w:hAnsi="Book Antiqua" w:cs="Book Antiqua"/>
          <w:color w:val="000000"/>
        </w:rPr>
        <w:t xml:space="preserve"> and</w:t>
      </w:r>
      <w:r w:rsidR="00332968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fragility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</w:rPr>
        <w:t>showed</w:t>
      </w:r>
      <w:r w:rsidR="00332968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acceptable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matter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debate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whether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profile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Likewise,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physicians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aware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honest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discussion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unwelcoming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contemplating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fundamental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understanding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8972B1" w:rsidRPr="00EA0C87">
        <w:rPr>
          <w:rFonts w:ascii="Book Antiqua" w:eastAsia="Book Antiqua" w:hAnsi="Book Antiqua" w:cs="Book Antiqua"/>
          <w:color w:val="000000"/>
        </w:rPr>
        <w:t>arthroplasty</w:t>
      </w:r>
      <w:r w:rsidR="00841984" w:rsidRPr="00EA0C87">
        <w:rPr>
          <w:rFonts w:ascii="Book Antiqua" w:eastAsia="Book Antiqua" w:hAnsi="Book Antiqua" w:cs="Book Antiqua"/>
          <w:color w:val="000000"/>
        </w:rPr>
        <w:t xml:space="preserve"> </w:t>
      </w:r>
      <w:r w:rsidRPr="00EA0C87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critical.</w:t>
      </w:r>
    </w:p>
    <w:p w14:paraId="7533D000" w14:textId="77777777" w:rsidR="00A77B3E" w:rsidRPr="009E5872" w:rsidRDefault="00A77B3E" w:rsidP="00352654">
      <w:pPr>
        <w:spacing w:line="360" w:lineRule="auto"/>
        <w:jc w:val="both"/>
      </w:pPr>
    </w:p>
    <w:p w14:paraId="5FBF77C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50573D" w:rsidRPr="009E5872">
        <w:rPr>
          <w:rFonts w:ascii="Book Antiqua" w:eastAsia="Book Antiqua" w:hAnsi="Book Antiqua" w:cs="Book Antiqua"/>
          <w:color w:val="000000"/>
        </w:rPr>
        <w:t>Arthroplasty; Infection</w:t>
      </w:r>
      <w:r w:rsidR="005B6C23" w:rsidRPr="009E5872">
        <w:rPr>
          <w:rFonts w:ascii="Book Antiqua" w:eastAsia="Book Antiqua" w:hAnsi="Book Antiqua" w:cs="Book Antiqua"/>
          <w:color w:val="000000"/>
        </w:rPr>
        <w:t>;</w:t>
      </w:r>
      <w:r w:rsidR="005B6C23" w:rsidRPr="009E5872">
        <w:t xml:space="preserve"> </w:t>
      </w:r>
      <w:r w:rsidR="005B6C23" w:rsidRPr="009E5872">
        <w:rPr>
          <w:rFonts w:ascii="Book Antiqua" w:eastAsia="Book Antiqua" w:hAnsi="Book Antiqua" w:cs="Book Antiqua"/>
          <w:color w:val="000000"/>
        </w:rPr>
        <w:t>Joint replacement</w:t>
      </w:r>
    </w:p>
    <w:p w14:paraId="4F62D6CC" w14:textId="77777777" w:rsidR="00A77B3E" w:rsidRPr="009E5872" w:rsidRDefault="00A77B3E" w:rsidP="00352654">
      <w:pPr>
        <w:spacing w:line="360" w:lineRule="auto"/>
        <w:jc w:val="both"/>
      </w:pPr>
    </w:p>
    <w:p w14:paraId="1DD7313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Mirghaderi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Mosalamiaghili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Mohammadi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A62833" w:rsidRPr="009E5872">
        <w:rPr>
          <w:rFonts w:ascii="Book Antiqua" w:eastAsia="Book Antiqua" w:hAnsi="Book Antiqua" w:cs="Book Antiqua"/>
          <w:color w:val="000000"/>
        </w:rPr>
        <w:t>replacement and human immunodeficiency vir</w:t>
      </w:r>
      <w:r w:rsidRPr="009E5872">
        <w:rPr>
          <w:rFonts w:ascii="Book Antiqua" w:eastAsia="Book Antiqua" w:hAnsi="Book Antiqua" w:cs="Book Antiqua"/>
          <w:color w:val="000000"/>
        </w:rPr>
        <w:t>us.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press</w:t>
      </w:r>
    </w:p>
    <w:p w14:paraId="6387F467" w14:textId="77777777" w:rsidR="00A77B3E" w:rsidRPr="009E5872" w:rsidRDefault="00A77B3E" w:rsidP="00352654">
      <w:pPr>
        <w:spacing w:line="360" w:lineRule="auto"/>
        <w:jc w:val="both"/>
      </w:pPr>
    </w:p>
    <w:p w14:paraId="71B8030F" w14:textId="60788994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E2A9A" w:rsidRPr="009E5872">
        <w:rPr>
          <w:rFonts w:ascii="Book Antiqua" w:eastAsia="Book Antiqua" w:hAnsi="Book Antiqua" w:cs="Book Antiqua"/>
          <w:color w:val="000000"/>
        </w:rPr>
        <w:t>human immunodeficiency virus</w:t>
      </w:r>
      <w:r w:rsidRPr="009E5872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patient-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load,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332968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332968">
        <w:rPr>
          <w:rFonts w:ascii="Book Antiqua" w:eastAsia="Book Antiqua" w:hAnsi="Book Antiqua" w:cs="Book Antiqua"/>
          <w:color w:val="000000"/>
        </w:rPr>
        <w:t xml:space="preserve"> T</w:t>
      </w:r>
      <w:r w:rsidR="00C06FBA">
        <w:rPr>
          <w:rFonts w:ascii="Book Antiqua" w:eastAsia="Book Antiqua" w:hAnsi="Book Antiqua" w:cs="Book Antiqua"/>
          <w:color w:val="000000"/>
        </w:rPr>
        <w:t>-</w:t>
      </w:r>
      <w:r w:rsidR="00332968">
        <w:rPr>
          <w:rFonts w:ascii="Book Antiqua" w:eastAsia="Book Antiqua" w:hAnsi="Book Antiqua" w:cs="Book Antiqua"/>
          <w:color w:val="000000"/>
        </w:rPr>
        <w:t>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overall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3B5A4904" w14:textId="77777777" w:rsidR="00A77B3E" w:rsidRPr="009E5872" w:rsidRDefault="00A77B3E" w:rsidP="00352654">
      <w:pPr>
        <w:spacing w:line="360" w:lineRule="auto"/>
        <w:jc w:val="both"/>
      </w:pPr>
    </w:p>
    <w:p w14:paraId="11AFEDF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54878C4" w14:textId="2FF638FD" w:rsidR="00A77B3E" w:rsidRPr="009E5872" w:rsidRDefault="007A3687" w:rsidP="003526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</w:t>
      </w:r>
      <w:r w:rsidR="00F256BE" w:rsidRPr="009E5872">
        <w:rPr>
          <w:rFonts w:ascii="Book Antiqua" w:eastAsia="Book Antiqua" w:hAnsi="Book Antiqua" w:cs="Book Antiqua"/>
          <w:color w:val="000000"/>
        </w:rPr>
        <w:t xml:space="preserve">uman </w:t>
      </w:r>
      <w:r w:rsidR="00403CA9"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(HIV)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 xml:space="preserve">in humans </w:t>
      </w:r>
      <w:r w:rsidR="00403CA9"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initially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recognized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1980s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documented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acquired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syndrome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(AIDS).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estimated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37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affected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2015,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pandemic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grown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corners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world.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Southern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Eastern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Africa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tolerated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extreme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impact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problem,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52%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people,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annual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yearly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occurrence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newly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decreased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38%,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2001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(3.4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(2.1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million),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successful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 xml:space="preserve">advent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introduction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(ART)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programs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last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years</w:t>
      </w:r>
      <w:r w:rsidR="005B0DB5" w:rsidRPr="009E587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03CA9" w:rsidRPr="009E5872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5B0DB5" w:rsidRPr="009E587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403CA9"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AIDS-related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expiries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dropped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2005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(2.0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million),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distinguished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topmost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epidemic,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1.1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yearly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2015,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means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45%</w:t>
      </w:r>
      <w:r w:rsidR="005B0DB5" w:rsidRPr="009E587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403CA9" w:rsidRPr="009E5872">
        <w:rPr>
          <w:rFonts w:ascii="Book Antiqua" w:eastAsia="Book Antiqua" w:hAnsi="Book Antiqua" w:cs="Book Antiqua"/>
          <w:color w:val="000000"/>
        </w:rPr>
        <w:t>.</w:t>
      </w:r>
    </w:p>
    <w:p w14:paraId="684DC9D9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etiology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(HAART)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mechanisms</w:t>
      </w:r>
      <w:r w:rsidR="0004072D" w:rsidRPr="009E587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0B457116" w14:textId="13F512E9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>19</w:t>
      </w:r>
      <w:r w:rsidRPr="009E5872">
        <w:rPr>
          <w:rFonts w:ascii="Book Antiqua" w:eastAsia="Book Antiqua" w:hAnsi="Book Antiqua" w:cs="Book Antiqua"/>
          <w:color w:val="000000"/>
        </w:rPr>
        <w:t>90s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 xml:space="preserve">-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time.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development</w:t>
      </w:r>
      <w:r w:rsidR="00F166E4" w:rsidRPr="009E5872">
        <w:rPr>
          <w:rFonts w:ascii="Book Antiqua" w:eastAsia="Book Antiqua" w:hAnsi="Book Antiqua" w:cs="Book Antiqua"/>
          <w:color w:val="000000"/>
          <w:vertAlign w:val="superscript"/>
        </w:rPr>
        <w:t>[5-7]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earlier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comparison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counterparts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osteoarthritis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bilaterally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involved</w:t>
      </w:r>
      <w:r w:rsidR="00080277" w:rsidRPr="009E587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2101803" w14:textId="5376F0E8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Furthermore,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minerals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frequently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controls</w:t>
      </w:r>
      <w:r w:rsidR="003160F6" w:rsidRPr="009E5872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stimulation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interleukin-1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(IL-1)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tumor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factor-alpha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</w:t>
      </w:r>
      <w:r w:rsidRPr="007A3687">
        <w:rPr>
          <w:rFonts w:ascii="Book Antiqua" w:eastAsia="Book Antiqua" w:hAnsi="Book Antiqua" w:cs="Book Antiqua"/>
          <w:color w:val="000000"/>
        </w:rPr>
        <w:t>TNF-</w:t>
      </w:r>
      <w:r w:rsidR="007A3687" w:rsidRPr="007A3687">
        <w:rPr>
          <w:rFonts w:ascii="Book Antiqua" w:eastAsia="Book Antiqua" w:hAnsi="Book Antiqua" w:cs="Book Antiqua"/>
          <w:color w:val="000000"/>
        </w:rPr>
        <w:t>α</w:t>
      </w:r>
      <w:r w:rsidRPr="007A3687">
        <w:rPr>
          <w:rFonts w:ascii="Book Antiqua" w:eastAsia="Book Antiqua" w:hAnsi="Book Antiqua" w:cs="Book Antiqua"/>
          <w:color w:val="000000"/>
        </w:rPr>
        <w:t>)</w:t>
      </w:r>
      <w:r w:rsidR="00841984" w:rsidRPr="007A3687">
        <w:rPr>
          <w:rFonts w:ascii="Book Antiqua" w:eastAsia="Book Antiqua" w:hAnsi="Book Antiqua" w:cs="Book Antiqua"/>
          <w:color w:val="000000"/>
        </w:rPr>
        <w:t xml:space="preserve"> </w:t>
      </w:r>
      <w:r w:rsidRPr="007A3687">
        <w:rPr>
          <w:rFonts w:ascii="Book Antiqua" w:eastAsia="Book Antiqua" w:hAnsi="Book Antiqua" w:cs="Book Antiqua"/>
          <w:color w:val="000000"/>
        </w:rPr>
        <w:t>is</w:t>
      </w:r>
      <w:r w:rsidR="00841984" w:rsidRPr="007A368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7A368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imbalance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receptor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stimulator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kappa-B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(RANK)/RANK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ligand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(RANKL)/osteoprotegerin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(OPG)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 xml:space="preserve">which </w:t>
      </w:r>
      <w:r w:rsidRPr="009E5872">
        <w:rPr>
          <w:rFonts w:ascii="Book Antiqua" w:eastAsia="Book Antiqua" w:hAnsi="Book Antiqua" w:cs="Book Antiqua"/>
          <w:color w:val="000000"/>
        </w:rPr>
        <w:t>eventually</w:t>
      </w:r>
      <w:r w:rsidR="007A3687">
        <w:rPr>
          <w:rFonts w:ascii="Book Antiqua" w:eastAsia="Book Antiqua" w:hAnsi="Book Antiqua" w:cs="Book Antiqua" w:hint="cs"/>
          <w:color w:val="000000"/>
          <w:rtl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motivate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resorption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osteoclast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osteoclastic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cascade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7A368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accelerates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fragility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males</w:t>
      </w:r>
      <w:r w:rsidR="004A040F" w:rsidRPr="009E587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3E75D55A" w14:textId="1E654345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whether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menace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profile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>showed</w:t>
      </w:r>
      <w:r w:rsidR="007A368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acceptable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4523B4" w:rsidRPr="009E587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Despite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>number</w:t>
      </w:r>
      <w:r w:rsidR="007A368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scarce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Periprosthetic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(PJI)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underlying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modifiable.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cirrhosis,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coagulopathies,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kidney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obstructive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pulmonary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gender,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</w:t>
      </w:r>
      <w:r w:rsidR="0079560C" w:rsidRPr="009E5872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issues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hospital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opioid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dentition,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obesity,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colonization</w:t>
      </w:r>
      <w:r w:rsidR="00653E5D" w:rsidRPr="009E587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EB19BC" w:rsidRPr="009E5872">
        <w:rPr>
          <w:rFonts w:ascii="Book Antiqua" w:eastAsia="Book Antiqua" w:hAnsi="Book Antiqua" w:cs="Book Antiqua"/>
          <w:color w:val="000000"/>
        </w:rPr>
        <w:t>bunch</w:t>
      </w:r>
      <w:r w:rsidR="00EB19B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7660CD" w:rsidRPr="009E587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trauma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EB19BC">
        <w:rPr>
          <w:rFonts w:ascii="Book Antiqua" w:eastAsia="Book Antiqua" w:hAnsi="Book Antiqua" w:cs="Book Antiqua"/>
          <w:color w:val="000000"/>
        </w:rPr>
        <w:t>showed</w:t>
      </w:r>
      <w:r w:rsidR="00EB19B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073FC3" w:rsidRPr="009E5872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64FAE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involved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627BE0" w:rsidRPr="009E5872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displayed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EB19BC">
        <w:rPr>
          <w:rFonts w:ascii="Book Antiqua" w:eastAsia="Book Antiqua" w:hAnsi="Book Antiqua" w:cs="Book Antiqua"/>
          <w:color w:val="000000"/>
        </w:rPr>
        <w:t xml:space="preserve"> remarkably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worryingly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EB19BC">
        <w:rPr>
          <w:rFonts w:ascii="Book Antiqua" w:eastAsia="Book Antiqua" w:hAnsi="Book Antiqua" w:cs="Book Antiqua"/>
          <w:color w:val="000000"/>
        </w:rPr>
        <w:t xml:space="preserve"> rate 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EB19BC">
        <w:rPr>
          <w:rFonts w:ascii="Book Antiqua" w:eastAsia="Book Antiqua" w:hAnsi="Book Antiqua" w:cs="Book Antiqua"/>
          <w:color w:val="000000"/>
        </w:rPr>
        <w:t>s</w:t>
      </w:r>
      <w:r w:rsidR="0066633B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4986A242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Furthermore,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International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Consensus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announced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66633B" w:rsidRPr="009E587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importance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783EC3" w:rsidRPr="009E587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mandatory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burden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already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healthcare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systems.</w:t>
      </w:r>
    </w:p>
    <w:p w14:paraId="4D0B902C" w14:textId="7B22E118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fundamental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approach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understanding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inevitable.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minireview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highlights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aspect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</w:p>
    <w:p w14:paraId="4FA6CBCA" w14:textId="77777777" w:rsidR="00A77B3E" w:rsidRPr="009E5872" w:rsidRDefault="00A77B3E" w:rsidP="00352654">
      <w:pPr>
        <w:spacing w:line="360" w:lineRule="auto"/>
        <w:jc w:val="both"/>
      </w:pPr>
    </w:p>
    <w:p w14:paraId="4CE4DC2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Classification</w:t>
      </w:r>
    </w:p>
    <w:p w14:paraId="02DD8601" w14:textId="35D3BEA3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methods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help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prognosis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454093" w:rsidRPr="009E5872">
        <w:rPr>
          <w:rFonts w:hint="eastAsia"/>
          <w:lang w:eastAsia="zh-CN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operate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understand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introduced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(CDC)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Organization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(WHO).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2D0DA5" w:rsidRPr="009E5872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explanation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combined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multi-test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algorithms,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criteria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direct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laboratory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criteria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approved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refers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burden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planning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prevention,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decisions.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is </w:t>
      </w:r>
      <w:r w:rsidR="00C06FBA" w:rsidRPr="009E5872">
        <w:rPr>
          <w:rFonts w:ascii="Book Antiqua" w:eastAsia="Book Antiqua" w:hAnsi="Book Antiqua" w:cs="Book Antiqua"/>
          <w:color w:val="000000"/>
        </w:rPr>
        <w:t>classifie</w:t>
      </w:r>
      <w:r w:rsidR="00C06FBA">
        <w:rPr>
          <w:rFonts w:ascii="Book Antiqua" w:eastAsia="Book Antiqua" w:hAnsi="Book Antiqua" w:cs="Book Antiqua"/>
          <w:color w:val="000000"/>
        </w:rPr>
        <w:t>d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unknown)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1).</w:t>
      </w:r>
    </w:p>
    <w:p w14:paraId="076A87B1" w14:textId="54E6EF15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descriptive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absence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symptoms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subdivides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500/µL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categorized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C1.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200/µL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400/µL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A2,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B2,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categories.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860F13" w:rsidRPr="009E5872">
        <w:rPr>
          <w:rFonts w:ascii="Book Antiqua" w:eastAsia="Book Antiqua" w:hAnsi="Book Antiqua" w:cs="Book Antiqua"/>
          <w:color w:val="000000"/>
        </w:rPr>
        <w:t xml:space="preserve">Infections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200/μ</w:t>
      </w:r>
      <w:r w:rsidR="00C06FBA">
        <w:rPr>
          <w:rFonts w:ascii="Book Antiqua" w:eastAsia="Book Antiqua" w:hAnsi="Book Antiqua" w:cs="Book Antiqua"/>
          <w:color w:val="000000"/>
        </w:rPr>
        <w:t>L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A3,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B3,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C3.</w:t>
      </w:r>
    </w:p>
    <w:p w14:paraId="1CE4550A" w14:textId="548B3204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 w:rsidRPr="009E5872">
        <w:rPr>
          <w:rFonts w:ascii="Book Antiqua" w:eastAsia="Book Antiqua" w:hAnsi="Book Antiqua" w:cs="Book Antiqua"/>
          <w:color w:val="000000"/>
        </w:rPr>
        <w:t>stag</w:t>
      </w:r>
      <w:r w:rsidR="00C06FBA">
        <w:rPr>
          <w:rFonts w:ascii="Book Antiqua" w:eastAsia="Book Antiqua" w:hAnsi="Book Antiqua" w:cs="Book Antiqua"/>
          <w:color w:val="000000"/>
        </w:rPr>
        <w:t>ing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2F36E1" w:rsidRPr="009E5872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divided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S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tage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patients are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asymptomatic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accompanied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persistent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lymphadenopathy;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patients with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slight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skin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exhibition;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those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experienced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moderate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bacterial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diarrhea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month;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patients with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cryptosporidiosis</w:t>
      </w:r>
      <w:r w:rsidRPr="00C06FBA">
        <w:rPr>
          <w:rFonts w:ascii="Book Antiqua" w:eastAsia="Book Antiqua" w:hAnsi="Book Antiqua" w:cs="Book Antiqua"/>
          <w:color w:val="000000"/>
        </w:rPr>
        <w:t>,</w:t>
      </w:r>
      <w:r w:rsidR="00841984" w:rsidRPr="00C06FBA">
        <w:rPr>
          <w:rFonts w:ascii="Book Antiqua" w:eastAsia="Book Antiqua" w:hAnsi="Book Antiqua" w:cs="Book Antiqua"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toxoplasmosis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syndrome,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Kaposi's</w:t>
      </w:r>
      <w:r w:rsidR="00841984" w:rsidRPr="00AF4972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sarcoma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p</w:t>
      </w:r>
      <w:r w:rsidR="00C06FBA" w:rsidRPr="009E5872">
        <w:rPr>
          <w:rFonts w:ascii="Book Antiqua" w:eastAsia="Book Antiqua" w:hAnsi="Book Antiqua" w:cs="Book Antiqua"/>
          <w:color w:val="000000"/>
        </w:rPr>
        <w:t>neumonia</w:t>
      </w:r>
      <w:r w:rsidR="00C06FBA">
        <w:rPr>
          <w:rFonts w:ascii="Book Antiqua" w:eastAsia="Book Antiqua" w:hAnsi="Book Antiqua" w:cs="Book Antiqua"/>
          <w:color w:val="000000"/>
        </w:rPr>
        <w:t xml:space="preserve"> caused by</w:t>
      </w:r>
      <w:r w:rsidR="00C06FBA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Pneumocystis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jirovecii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7E9F32E4" w14:textId="77777777" w:rsidR="00A77B3E" w:rsidRPr="009E5872" w:rsidRDefault="00A77B3E" w:rsidP="00352654">
      <w:pPr>
        <w:spacing w:line="360" w:lineRule="auto"/>
        <w:jc w:val="both"/>
      </w:pPr>
    </w:p>
    <w:p w14:paraId="3C7056B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Pathophysiology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Association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between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HIV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TJR</w:t>
      </w:r>
    </w:p>
    <w:p w14:paraId="3CBB92B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annual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consistently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ranging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0.08%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1.33%</w:t>
      </w:r>
      <w:r w:rsidR="00D171B3" w:rsidRPr="009E5872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origin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unknown,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variables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identified</w:t>
      </w:r>
      <w:r w:rsidR="002F6E7D" w:rsidRPr="009E5872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2F7F6A2" w14:textId="4CBC494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Alcohol,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corticosteroids,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hyperlipidemia,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anticardiolipin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C06FBA" w:rsidRPr="00C06FBA">
        <w:rPr>
          <w:rFonts w:ascii="Book Antiqua" w:eastAsia="Book Antiqua" w:hAnsi="Book Antiqua" w:cs="Book Antiqua"/>
          <w:color w:val="000000"/>
        </w:rPr>
        <w:t xml:space="preserve"> </w:t>
      </w:r>
      <w:r w:rsidR="00C06FBA" w:rsidRPr="009E5872">
        <w:rPr>
          <w:rFonts w:ascii="Book Antiqua" w:eastAsia="Book Antiqua" w:hAnsi="Book Antiqua" w:cs="Book Antiqua"/>
          <w:color w:val="000000"/>
        </w:rPr>
        <w:t>antibodies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cigarette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smoking,</w:t>
      </w:r>
      <w:r w:rsidR="00C06FBA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bloodstream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D40FE1" w:rsidRPr="009E5872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that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multiple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132C53" w:rsidRPr="009E5872">
        <w:rPr>
          <w:rFonts w:ascii="Book Antiqua" w:eastAsia="Book Antiqua" w:hAnsi="Book Antiqua" w:cs="Book Antiqua"/>
          <w:color w:val="000000"/>
          <w:vertAlign w:val="superscript"/>
        </w:rPr>
        <w:t>[7,22,28]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color w:val="000000"/>
        </w:rPr>
        <w:t>by</w:t>
      </w:r>
      <w:r w:rsidR="00841984" w:rsidRPr="009D4904">
        <w:rPr>
          <w:rFonts w:ascii="Book Antiqua" w:eastAsia="Book Antiqua" w:hAnsi="Book Antiqua" w:cs="Book Antiqua"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color w:val="000000"/>
        </w:rPr>
        <w:t>Ries</w:t>
      </w:r>
      <w:r w:rsidR="00841984" w:rsidRPr="009D4904">
        <w:rPr>
          <w:rFonts w:ascii="Book Antiqua" w:eastAsia="Book Antiqua" w:hAnsi="Book Antiqua" w:cs="Book Antiqua"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D49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0376" w:rsidRPr="009D490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0C87" w:rsidRPr="009D4904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820376" w:rsidRPr="009E58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there was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percentage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nontraumatic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Figure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demonstrate</w:t>
      </w:r>
      <w:r w:rsidR="00C06FBA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affecting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C06FBA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</w:p>
    <w:p w14:paraId="7DBD6643" w14:textId="47B1250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stimulate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-</w:t>
      </w:r>
      <w:r w:rsidRPr="009E5872">
        <w:rPr>
          <w:rFonts w:ascii="Book Antiqua" w:eastAsia="Book Antiqua" w:hAnsi="Book Antiqua" w:cs="Book Antiqua"/>
          <w:color w:val="000000"/>
        </w:rPr>
        <w:t>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metabolism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marrow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stromal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penetration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marrow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blockage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bloodstream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cascade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intraosseous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pressure.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</w:t>
      </w:r>
      <w:r w:rsidR="00C06FBA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acute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embolization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capillary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arteries</w:t>
      </w:r>
      <w:r w:rsidR="002561AE" w:rsidRPr="009E5872">
        <w:rPr>
          <w:rFonts w:ascii="Book Antiqua" w:eastAsia="Book Antiqua" w:hAnsi="Book Antiqua" w:cs="Book Antiqua"/>
          <w:color w:val="000000"/>
          <w:vertAlign w:val="superscript"/>
        </w:rPr>
        <w:t>[23-26]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widely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pneumocystis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pneumonia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nervous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toxoplasmosis</w:t>
      </w:r>
      <w:r w:rsidR="002561AE" w:rsidRPr="009E5872">
        <w:rPr>
          <w:rFonts w:ascii="Book Antiqua" w:eastAsia="Book Antiqua" w:hAnsi="Book Antiqua" w:cs="Book Antiqua"/>
          <w:color w:val="000000"/>
          <w:vertAlign w:val="superscript"/>
        </w:rPr>
        <w:t>[29-31]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Miller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70C7" w:rsidRPr="009E587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verified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short-term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consumption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corticosteroid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Hyperlipidemia,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event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substantially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implicated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atherosclerotic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pathways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steroid-induced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serum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cholesterol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consumption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fat-reduction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pathogenesis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F61979" w:rsidRPr="009E5872">
        <w:rPr>
          <w:rFonts w:ascii="Book Antiqua" w:eastAsia="Book Antiqua" w:hAnsi="Book Antiqua" w:cs="Book Antiqua"/>
          <w:color w:val="000000"/>
          <w:vertAlign w:val="superscript"/>
        </w:rPr>
        <w:t>[7,26,31]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389F192" w14:textId="39F2F258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detrimental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mineral,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C06FBA">
        <w:rPr>
          <w:rFonts w:ascii="Book Antiqua" w:eastAsia="Book Antiqua" w:hAnsi="Book Antiqua" w:cs="Book Antiqua"/>
          <w:color w:val="000000"/>
        </w:rPr>
        <w:t xml:space="preserve"> infection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osteoporosis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3.7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times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greater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BE5ED5" w:rsidRPr="009E5872">
        <w:rPr>
          <w:rFonts w:ascii="Book Antiqua" w:eastAsia="Book Antiqua" w:hAnsi="Book Antiqua" w:cs="Book Antiqua"/>
          <w:color w:val="000000"/>
          <w:vertAlign w:val="superscript"/>
        </w:rPr>
        <w:t>[1,32]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Consequently,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fragility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D41C78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bone mineral density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T-cell count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21457F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constant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osteoblasts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osteoclasts</w:t>
      </w:r>
      <w:r w:rsidR="00C06FBA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miss-balanced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receptor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kappa-B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(RANK)/</w:t>
      </w:r>
      <w:r w:rsidR="00BD161A" w:rsidRPr="009E5872">
        <w:rPr>
          <w:rFonts w:ascii="Book Antiqua" w:eastAsia="Book Antiqua" w:hAnsi="Book Antiqua" w:cs="Book Antiqua"/>
          <w:color w:val="000000"/>
        </w:rPr>
        <w:t>RANKL</w:t>
      </w:r>
      <w:r w:rsidRPr="009E5872">
        <w:rPr>
          <w:rFonts w:ascii="Book Antiqua" w:eastAsia="Book Antiqua" w:hAnsi="Book Antiqua" w:cs="Book Antiqua"/>
          <w:color w:val="000000"/>
        </w:rPr>
        <w:t>/</w:t>
      </w:r>
      <w:r w:rsidR="00BD161A" w:rsidRPr="009E5872">
        <w:rPr>
          <w:rFonts w:ascii="Book Antiqua" w:eastAsia="Book Antiqua" w:hAnsi="Book Antiqua" w:cs="Book Antiqua"/>
          <w:color w:val="000000"/>
        </w:rPr>
        <w:t>OPG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21505C" w:rsidRPr="009E5872">
        <w:rPr>
          <w:rFonts w:ascii="Book Antiqua" w:eastAsia="Book Antiqua" w:hAnsi="Book Antiqua" w:cs="Book Antiqua"/>
          <w:color w:val="000000"/>
          <w:vertAlign w:val="superscript"/>
        </w:rPr>
        <w:t>[11,33]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pattern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triggered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D161A" w:rsidRPr="009E5872">
        <w:rPr>
          <w:rFonts w:ascii="Book Antiqua" w:eastAsia="Book Antiqua" w:hAnsi="Book Antiqua" w:cs="Book Antiqua"/>
          <w:color w:val="000000"/>
        </w:rPr>
        <w:t>TNF-</w:t>
      </w:r>
      <w:r w:rsidR="00C06FBA" w:rsidRPr="008F19D6">
        <w:rPr>
          <w:rFonts w:ascii="Book Antiqua" w:eastAsia="Book Antiqua" w:hAnsi="Book Antiqua" w:cs="Book Antiqua"/>
          <w:color w:val="000000"/>
        </w:rPr>
        <w:t>α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IL-1</w:t>
      </w:r>
      <w:r w:rsidR="005F22D0" w:rsidRPr="009E587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E05331F" w14:textId="661B89BF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arterial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predicted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44%</w:t>
      </w:r>
      <w:r w:rsidR="00270E62" w:rsidRPr="009E587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involved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progress</w:t>
      </w:r>
      <w:r w:rsidR="00C06FBA">
        <w:rPr>
          <w:rFonts w:ascii="Book Antiqua" w:eastAsia="Book Antiqua" w:hAnsi="Book Antiqua" w:cs="Book Antiqua"/>
          <w:color w:val="000000"/>
        </w:rPr>
        <w:t>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lupus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erythematosus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processes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2F2B83" w:rsidRPr="009E5872">
        <w:rPr>
          <w:rFonts w:ascii="Book Antiqua" w:eastAsia="Book Antiqua" w:hAnsi="Book Antiqua" w:cs="Book Antiqua"/>
          <w:color w:val="000000"/>
          <w:vertAlign w:val="superscript"/>
        </w:rPr>
        <w:t>[25,35]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887183D" w14:textId="007156A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engrossed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pathogenesis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precise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processes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unclear,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conventional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recognized</w:t>
      </w:r>
      <w:r w:rsidR="00630F4A" w:rsidRPr="009E5872">
        <w:rPr>
          <w:rFonts w:ascii="Book Antiqua" w:eastAsia="Book Antiqua" w:hAnsi="Book Antiqua" w:cs="Book Antiqua"/>
          <w:color w:val="000000"/>
          <w:vertAlign w:val="superscript"/>
        </w:rPr>
        <w:t>[8,22,26]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Hypertriglyceridemia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C06FBA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widely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potential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cytochrome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P450,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effectiveness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5952E0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Penzak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2E0" w:rsidRPr="009E5872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ritonavir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dramatically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amplified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concentration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prednisolone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with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introduction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etiology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population.</w:t>
      </w:r>
    </w:p>
    <w:p w14:paraId="054FA2D5" w14:textId="42839166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steadily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broad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upgraded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73%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2021</w:t>
      </w:r>
      <w:r w:rsidR="00C35D2F" w:rsidRPr="009E587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64%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</w:t>
      </w:r>
      <w:r w:rsidR="00032369" w:rsidRPr="009E587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ultimately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requires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D069C2" w:rsidRPr="009E587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B267B2D" w14:textId="37652C5A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regardless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6D6430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First-line</w:t>
      </w:r>
      <w:r w:rsidR="00C06FBA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always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consists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combination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nucleoside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transcriptase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(NRTIs)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(PIs)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a</w:t>
      </w:r>
      <w:r w:rsidR="00C06FBA" w:rsidRPr="00C06FBA">
        <w:rPr>
          <w:rFonts w:ascii="Book Antiqua" w:eastAsia="Book Antiqua" w:hAnsi="Book Antiqua" w:cs="Book Antiqua"/>
          <w:color w:val="000000"/>
        </w:rPr>
        <w:t xml:space="preserve">vascular necrosis </w:t>
      </w:r>
      <w:r w:rsidR="00C06FBA">
        <w:rPr>
          <w:rFonts w:ascii="Book Antiqua" w:eastAsia="Book Antiqua" w:hAnsi="Book Antiqua" w:cs="Book Antiqua"/>
          <w:color w:val="000000"/>
        </w:rPr>
        <w:t>(</w:t>
      </w:r>
      <w:r w:rsidRPr="009E5872">
        <w:rPr>
          <w:rFonts w:ascii="Book Antiqua" w:eastAsia="Book Antiqua" w:hAnsi="Book Antiqua" w:cs="Book Antiqua"/>
          <w:color w:val="000000"/>
        </w:rPr>
        <w:t>AVN</w:t>
      </w:r>
      <w:r w:rsidR="00C06FBA">
        <w:rPr>
          <w:rFonts w:ascii="Book Antiqua" w:eastAsia="Book Antiqua" w:hAnsi="Book Antiqua" w:cs="Book Antiqua"/>
          <w:color w:val="000000"/>
        </w:rPr>
        <w:t>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F8021D" w:rsidRPr="009E587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containing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progress</w:t>
      </w:r>
      <w:r w:rsidR="00C06FBA">
        <w:rPr>
          <w:rFonts w:ascii="Book Antiqua" w:eastAsia="Book Antiqua" w:hAnsi="Book Antiqua" w:cs="Book Antiqua"/>
          <w:color w:val="000000"/>
        </w:rPr>
        <w:t>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F457B5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Remarkably,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first-line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corner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agents.</w:t>
      </w:r>
    </w:p>
    <w:p w14:paraId="6E505738" w14:textId="3098158E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osteodegenerative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disoproxil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fumarate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(TDF),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alafenamide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(TAF)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AA7005" w:rsidRPr="009E587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continues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loss,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TDF.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The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integrase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transfer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(InSTIs)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A506A3">
        <w:rPr>
          <w:rFonts w:ascii="Book Antiqua" w:eastAsia="Book Antiqua" w:hAnsi="Book Antiqua" w:cs="Book Antiqua"/>
          <w:color w:val="000000"/>
        </w:rPr>
        <w:t>PIs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first-line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half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South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Africa,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easily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InSTIs</w:t>
      </w:r>
      <w:r w:rsidR="00E060BE" w:rsidRPr="009E587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1B2EF270" w14:textId="5E29EAA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anesthetic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NRTIs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usually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prescribed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sedation.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TDF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nephrotoxic,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checked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urea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nitrogen;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urine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protein-to-creatine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ratio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sometimes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assessed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603519" w:rsidRPr="009E587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Anemia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neutropenia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zidovudine.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amount</w:t>
      </w:r>
      <w:r w:rsidR="00B908BB" w:rsidRPr="009E587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73176629" w14:textId="77777777" w:rsidR="00A77B3E" w:rsidRPr="009E5872" w:rsidRDefault="00A77B3E" w:rsidP="00352654">
      <w:pPr>
        <w:spacing w:line="360" w:lineRule="auto"/>
        <w:jc w:val="both"/>
      </w:pPr>
    </w:p>
    <w:p w14:paraId="63B72AE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Evaluation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Preoperative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optimization</w:t>
      </w:r>
    </w:p>
    <w:p w14:paraId="04F6C601" w14:textId="08D4A834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Different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F037E5" w:rsidRPr="009E587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major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like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mellitus,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results in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leukocyte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FF6A6A" w:rsidRPr="009E5872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malnutrition</w:t>
      </w:r>
      <w:r w:rsidR="00334D99" w:rsidRPr="009E5872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1139E3" w:rsidRPr="009E587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A16CA2A" w14:textId="654FAED3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 xml:space="preserve">T-cell count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alternative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indicator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immunological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T cells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diagnosis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4819A9" w:rsidRPr="009E587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opportunistic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morbidity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 xml:space="preserve">a </w:t>
      </w:r>
      <w:r w:rsidRPr="009E5872">
        <w:rPr>
          <w:rFonts w:ascii="Book Antiqua" w:eastAsia="Book Antiqua" w:hAnsi="Book Antiqua" w:cs="Book Antiqua"/>
          <w:color w:val="000000"/>
        </w:rPr>
        <w:t>CD4+</w:t>
      </w:r>
      <w:r w:rsidR="004F7349" w:rsidRPr="004F7349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T-cell count 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80C48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opportunistic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abandoned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recognized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1D67CC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Antibiotic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prophylaxis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 xml:space="preserve">a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T-cell count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&lt;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311149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guidelines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trimethoprim-sulfamethoxazole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(TMP-SMX)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opportunistic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E6022A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275670C5" w14:textId="08C915E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 w:rsidRPr="009E5872">
        <w:rPr>
          <w:rFonts w:ascii="Book Antiqua" w:eastAsia="Book Antiqua" w:hAnsi="Book Antiqua" w:cs="Book Antiqua"/>
          <w:color w:val="000000"/>
        </w:rPr>
        <w:t>(VL)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indicator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effectiveness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influenced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adherence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4A331B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careful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greater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copies/mL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starting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point,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failure</w:t>
      </w:r>
      <w:r w:rsidR="004A331B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3A31024B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Multiple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thoroughly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often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suffer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cardiovascular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nephropathy,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liver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disaster,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neurological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non-AIDS-related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malignancies</w:t>
      </w:r>
      <w:r w:rsidR="004628AC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contain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suitable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syndrome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AB0A64" w:rsidRPr="009E587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itself.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comprehensive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required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anesthetic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9720EC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0531D117" w14:textId="67FC403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 w:rsidRPr="009E5872">
        <w:rPr>
          <w:rFonts w:ascii="Book Antiqua" w:eastAsia="Book Antiqua" w:hAnsi="Book Antiqua" w:cs="Book Antiqua"/>
          <w:color w:val="000000"/>
        </w:rPr>
        <w:t>the</w:t>
      </w:r>
      <w:r w:rsidR="004F7349">
        <w:rPr>
          <w:rFonts w:ascii="Book Antiqua" w:eastAsia="Book Antiqua" w:hAnsi="Book Antiqua" w:cs="Book Antiqua"/>
          <w:color w:val="000000"/>
        </w:rPr>
        <w:t>re is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deficiencies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wasting</w:t>
      </w:r>
      <w:r w:rsidR="002A46BB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Hypoalbuminemia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1901D3" w:rsidRPr="009E587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632F0AAA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Malnutrition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prolonged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damage,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9F12EA" w:rsidRPr="009E587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inadequate,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supplements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necessary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consulted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nutritionist</w:t>
      </w:r>
      <w:r w:rsidR="002978EF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1EB8F526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coronary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persistent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inflammation</w:t>
      </w:r>
      <w:r w:rsidR="00CC07FE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cardiovascular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B12ED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</w:p>
    <w:p w14:paraId="38A18108" w14:textId="4B5A854B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HIV</w:t>
      </w:r>
      <w:r w:rsidR="004F7349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insulin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resistance,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hypercholesterolemia.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upsurge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thorough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lipodystrophy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lipograms,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containing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PI</w:t>
      </w:r>
      <w:r w:rsidR="005A0DF0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26DFDBA9" w14:textId="5337BA5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approximately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4F7349">
        <w:rPr>
          <w:rFonts w:ascii="Book Antiqua" w:eastAsia="Book Antiqua" w:hAnsi="Book Antiqua" w:cs="Book Antiqua"/>
          <w:color w:val="000000"/>
        </w:rPr>
        <w:t xml:space="preserve"> prevalent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quitting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DD190B" w:rsidRPr="009E5872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makes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susceptible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atherosclerotic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developments,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respiratory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0A33F8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respiratory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capacity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diffusion</w:t>
      </w:r>
      <w:r w:rsidR="008341CA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susceptible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nosocomial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invasive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bacterial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reconstruction</w:t>
      </w:r>
      <w:r w:rsidR="006F2B8D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</w:p>
    <w:p w14:paraId="74FAAE5E" w14:textId="77777777" w:rsidR="00A77B3E" w:rsidRPr="009E5872" w:rsidRDefault="00A77B3E" w:rsidP="00352654">
      <w:pPr>
        <w:spacing w:line="360" w:lineRule="auto"/>
        <w:jc w:val="both"/>
      </w:pPr>
    </w:p>
    <w:p w14:paraId="50005365" w14:textId="6AB874F8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Outcomes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TJR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HIV</w:t>
      </w:r>
      <w:r w:rsidR="004F7349">
        <w:rPr>
          <w:rFonts w:ascii="Book Antiqua" w:eastAsia="Book Antiqua" w:hAnsi="Book Antiqua" w:cs="Book Antiqua"/>
          <w:b/>
          <w:caps/>
          <w:color w:val="000000"/>
          <w:u w:val="single"/>
        </w:rPr>
        <w:t>-infected patients</w:t>
      </w:r>
    </w:p>
    <w:p w14:paraId="378C1E49" w14:textId="63411DAA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4F7349">
        <w:rPr>
          <w:rFonts w:ascii="Book Antiqua" w:eastAsia="Book Antiqua" w:hAnsi="Book Antiqua" w:cs="Book Antiqua"/>
          <w:color w:val="000000"/>
        </w:rPr>
        <w:t xml:space="preserve"> also increases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treatments,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attention.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Previously,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benefits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questioned.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raised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doubts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theory.</w:t>
      </w:r>
    </w:p>
    <w:p w14:paraId="1572B322" w14:textId="349D28AE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algorithms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algorithms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two-step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antibiotics: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U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p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6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mo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6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especially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4F7349">
        <w:rPr>
          <w:rFonts w:ascii="Book Antiqua" w:eastAsia="Book Antiqua" w:hAnsi="Book Antiqua" w:cs="Book Antiqua"/>
          <w:color w:val="000000"/>
        </w:rPr>
        <w:t>+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always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6C4EE64E" w14:textId="145DAF6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focusing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focused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periarticular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intra-articular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hemorrhage,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degeneration.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arthropathy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1979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1985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polluted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products.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injection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VIII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serum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conversion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Preliminary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="004F7349" w:rsidRPr="009E5872">
        <w:rPr>
          <w:rFonts w:ascii="Book Antiqua" w:eastAsia="Book Antiqua" w:hAnsi="Book Antiqua" w:cs="Book Antiqua"/>
          <w:color w:val="000000"/>
        </w:rPr>
        <w:t>conducted</w:t>
      </w:r>
      <w:r w:rsidR="004F7349">
        <w:rPr>
          <w:rFonts w:ascii="Book Antiqua" w:eastAsia="Book Antiqua" w:hAnsi="Book Antiqua" w:cs="Book Antiqua"/>
          <w:color w:val="000000"/>
        </w:rPr>
        <w:t xml:space="preserve"> 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Gregg-Smith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6DA9" w:rsidRPr="009E587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B53093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86DA9" w:rsidRPr="00386DA9">
        <w:rPr>
          <w:rFonts w:ascii="Book Antiqua" w:eastAsia="Book Antiqua" w:hAnsi="Book Antiqua" w:cs="Book Antiqua"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47FE" w:rsidRPr="009E587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underwent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1C0B" w:rsidRPr="00401C0B">
        <w:rPr>
          <w:rFonts w:ascii="Book Antiqua" w:eastAsia="Book Antiqua" w:hAnsi="Book Antiqua" w:cs="Book Antiqua"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4B3A" w:rsidRPr="009E587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1989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acute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earlier,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Gregg-Smith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15D" w:rsidRPr="009E587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29E63F10" w14:textId="691DFF4B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Hicks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589D" w:rsidRPr="009E587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B53093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53093">
        <w:rPr>
          <w:rFonts w:ascii="Book Antiqua" w:eastAsia="Book Antiqua" w:hAnsi="Book Antiqua" w:cs="Book Antiqua"/>
          <w:color w:val="000000"/>
        </w:rPr>
        <w:t xml:space="preserve"> T-</w:t>
      </w:r>
      <w:r w:rsidRPr="009E5872">
        <w:rPr>
          <w:rFonts w:ascii="Book Antiqua" w:eastAsia="Book Antiqua" w:hAnsi="Book Antiqua" w:cs="Book Antiqua"/>
          <w:color w:val="000000"/>
        </w:rPr>
        <w:t>cells.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Hicks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CD7" w:rsidRPr="009E587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multicenter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36.3%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average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five-year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62.5%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B53093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53093">
        <w:rPr>
          <w:rFonts w:ascii="Book Antiqua" w:eastAsia="Book Antiqua" w:hAnsi="Book Antiqua" w:cs="Book Antiqua"/>
          <w:color w:val="000000"/>
        </w:rPr>
        <w:t xml:space="preserve">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0.2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0DDD" w:rsidRPr="00B50DDD">
        <w:rPr>
          <w:rFonts w:ascii="Book Antiqua" w:eastAsia="Book Antiqua" w:hAnsi="Book Antiqua" w:cs="Book Antiqua"/>
          <w:color w:val="000000"/>
        </w:rPr>
        <w:t>×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</w:t>
      </w:r>
      <w:r w:rsidRPr="003406B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E5872">
        <w:rPr>
          <w:rFonts w:ascii="Book Antiqua" w:eastAsia="Book Antiqua" w:hAnsi="Book Antiqua" w:cs="Book Antiqua"/>
          <w:color w:val="000000"/>
        </w:rPr>
        <w:t>/L,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non-infectious.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Ragni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0103" w:rsidRPr="009E587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B53093">
        <w:rPr>
          <w:rFonts w:ascii="Book Antiqua" w:eastAsia="Book Antiqua" w:hAnsi="Book Antiqua" w:cs="Book Antiqua"/>
          <w:color w:val="000000"/>
        </w:rPr>
        <w:t>+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0.2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F3BF3" w:rsidRPr="00B50DDD">
        <w:rPr>
          <w:rFonts w:ascii="Book Antiqua" w:eastAsia="Book Antiqua" w:hAnsi="Book Antiqua" w:cs="Book Antiqua"/>
          <w:color w:val="000000"/>
        </w:rPr>
        <w:t>×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</w:t>
      </w:r>
      <w:r w:rsidRPr="0097036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E5872">
        <w:rPr>
          <w:rFonts w:ascii="Book Antiqua" w:eastAsia="Book Antiqua" w:hAnsi="Book Antiqua" w:cs="Book Antiqua"/>
          <w:color w:val="000000"/>
        </w:rPr>
        <w:t>/L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underwent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surgeries.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  <w:r w:rsidRPr="009E5872">
        <w:rPr>
          <w:rFonts w:ascii="Book Antiqua" w:eastAsia="Book Antiqua" w:hAnsi="Book Antiqua" w:cs="Book Antiqua"/>
          <w:color w:val="000000"/>
        </w:rPr>
        <w:t>15%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observed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1995,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highlighted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times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likely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</w:p>
    <w:p w14:paraId="010E250E" w14:textId="75C86720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contrast,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instance,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Powell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E3C" w:rsidRPr="009E5872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 xml:space="preserve">the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1975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2002.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perusal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elevated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</w:t>
      </w:r>
      <w:r w:rsidR="00B53093">
        <w:rPr>
          <w:rFonts w:ascii="Book Antiqua" w:eastAsia="Book Antiqua" w:hAnsi="Book Antiqua" w:cs="Book Antiqua"/>
          <w:color w:val="000000"/>
        </w:rPr>
        <w:t>relative risk</w:t>
      </w:r>
      <w:r w:rsidR="00B53093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=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1.49).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concluded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choice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concomitant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infection.</w:t>
      </w:r>
    </w:p>
    <w:p w14:paraId="16B02E34" w14:textId="0A29EECB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supported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0CEE" w:rsidRPr="009E5872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B53093">
        <w:rPr>
          <w:rFonts w:ascii="Book Antiqua" w:eastAsia="Book Antiqua" w:hAnsi="Book Antiqua" w:cs="Book Antiqua"/>
          <w:color w:val="000000"/>
        </w:rPr>
        <w:t>, 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B53093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experienced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improvement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6.4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occurred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site.</w:t>
      </w:r>
    </w:p>
    <w:p w14:paraId="7FE9497E" w14:textId="13489409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instance,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4F30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Twelve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reconsidered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Furthermore,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 xml:space="preserve">there was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relationship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immunological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(six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joints).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discovered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deep-seated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7B61BD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33B572DA" w14:textId="3FAF6DB4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parallel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Habermann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303B5" w:rsidRPr="009E5872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7D2616" w:rsidRPr="009E5872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303F208" w14:textId="05BAA78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Recently</w:t>
      </w:r>
      <w:r w:rsidR="00B53093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Mahoney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406C" w:rsidRPr="009E587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favorable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afterward,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antibiotic-resistant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53093" w:rsidRPr="009E5872">
        <w:rPr>
          <w:rFonts w:ascii="Book Antiqua" w:eastAsia="Book Antiqua" w:hAnsi="Book Antiqua" w:cs="Book Antiqua"/>
          <w:i/>
          <w:iCs/>
          <w:color w:val="000000"/>
        </w:rPr>
        <w:t xml:space="preserve">Staphylococcus </w:t>
      </w:r>
      <w:r w:rsidR="00B53093">
        <w:rPr>
          <w:rFonts w:ascii="Book Antiqua" w:eastAsia="Book Antiqua" w:hAnsi="Book Antiqua" w:cs="Book Antiqua"/>
          <w:i/>
          <w:iCs/>
          <w:color w:val="000000"/>
        </w:rPr>
        <w:t>a</w:t>
      </w:r>
      <w:r w:rsidR="00B53093" w:rsidRPr="009E5872">
        <w:rPr>
          <w:rFonts w:ascii="Book Antiqua" w:eastAsia="Book Antiqua" w:hAnsi="Book Antiqua" w:cs="Book Antiqua"/>
          <w:i/>
          <w:iCs/>
          <w:color w:val="000000"/>
        </w:rPr>
        <w:t>ureus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968F8C4" w14:textId="061E1F31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comorbidities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abuse,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negatively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influence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Lehman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3D71" w:rsidRPr="009E587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assessed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B53093">
        <w:rPr>
          <w:rFonts w:ascii="Book Antiqua" w:eastAsia="Book Antiqua" w:hAnsi="Book Antiqua" w:cs="Book Antiqua"/>
          <w:color w:val="000000"/>
        </w:rPr>
        <w:t xml:space="preserve"> 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(IVDU)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co-infection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IVDU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occur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>four</w:t>
      </w:r>
      <w:r w:rsidR="00B53093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comorbidities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(IVDU,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findings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individual-based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benefits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</w:p>
    <w:p w14:paraId="2B1C6B92" w14:textId="77777777" w:rsidR="00A77B3E" w:rsidRPr="009E5872" w:rsidRDefault="00A77B3E" w:rsidP="00352654">
      <w:pPr>
        <w:spacing w:line="360" w:lineRule="auto"/>
        <w:jc w:val="both"/>
      </w:pPr>
    </w:p>
    <w:p w14:paraId="7C5776E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THA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HAART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in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HIV-infected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patients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undergoing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TJR</w:t>
      </w:r>
    </w:p>
    <w:p w14:paraId="4278BACE" w14:textId="16AE1081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debate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efficacy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traditionally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unfavorable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557B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substantial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29%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PJIs</w:t>
      </w:r>
      <w:r w:rsidR="00730C0C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mean</w:t>
      </w:r>
      <w:r w:rsidR="00443C3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count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entire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523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505193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displayed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Lehman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754B" w:rsidRPr="009E587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9E5872">
        <w:rPr>
          <w:rFonts w:ascii="Book Antiqua" w:eastAsia="Book Antiqua" w:hAnsi="Book Antiqua" w:cs="Book Antiqua"/>
          <w:color w:val="000000"/>
        </w:rPr>
        <w:t>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14.3%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</w:p>
    <w:p w14:paraId="2CA350AC" w14:textId="2EBBD35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ambiguous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when </w:t>
      </w:r>
      <w:r w:rsidRPr="009E5872">
        <w:rPr>
          <w:rFonts w:ascii="Book Antiqua" w:eastAsia="Book Antiqua" w:hAnsi="Book Antiqua" w:cs="Book Antiqua"/>
          <w:color w:val="000000"/>
        </w:rPr>
        <w:t>comparing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Graham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16B6" w:rsidRPr="009E5872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occurrences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dislocations,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superficial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either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(&gt;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&lt;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benefits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tangible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progress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Harris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scores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recorded.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l</w:t>
      </w:r>
      <w:r w:rsidR="00443C3C" w:rsidRPr="009E5872">
        <w:rPr>
          <w:rFonts w:ascii="Book Antiqua" w:eastAsia="Book Antiqua" w:hAnsi="Book Antiqua" w:cs="Book Antiqua"/>
          <w:color w:val="000000"/>
        </w:rPr>
        <w:t>ikewise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Naziri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6978" w:rsidRPr="009E587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2E5D64" w:rsidRPr="009E5872">
        <w:rPr>
          <w:rFonts w:ascii="Book Antiqua" w:eastAsia="Book Antiqua" w:hAnsi="Book Antiqua" w:cs="Book Antiqua"/>
          <w:color w:val="000000"/>
        </w:rPr>
        <w:t>9</w:t>
      </w:r>
      <w:r w:rsidRPr="009E5872">
        <w:rPr>
          <w:rFonts w:ascii="Book Antiqua" w:eastAsia="Book Antiqua" w:hAnsi="Book Antiqua" w:cs="Book Antiqua"/>
          <w:color w:val="000000"/>
        </w:rPr>
        <w:t>275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rates of </w:t>
      </w:r>
      <w:r w:rsidRPr="009E5872">
        <w:rPr>
          <w:rFonts w:ascii="Book Antiqua" w:eastAsia="Book Antiqua" w:hAnsi="Book Antiqua" w:cs="Book Antiqua"/>
          <w:color w:val="000000"/>
        </w:rPr>
        <w:t>minor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major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5.2%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2.9%,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respectively,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meaningfully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4.8%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hospitalization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observed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4B336F" w:rsidRPr="009E587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105A962D" w14:textId="7584ED81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Sadoghi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6E93" w:rsidRPr="009E587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registration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data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Zealand,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Australia,</w:t>
      </w:r>
      <w:r w:rsidR="0076448D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Denmark,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Finland,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  <w:r w:rsidRPr="009E5872">
        <w:rPr>
          <w:rFonts w:ascii="Book Antiqua" w:eastAsia="Book Antiqua" w:hAnsi="Book Antiqua" w:cs="Book Antiqua"/>
          <w:color w:val="000000"/>
        </w:rPr>
        <w:t>Norway,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Sweden,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443C3C">
        <w:rPr>
          <w:rFonts w:ascii="Book Antiqua" w:eastAsia="Book Antiqua" w:hAnsi="Book Antiqua" w:cs="Book Antiqua"/>
          <w:color w:val="000000"/>
        </w:rPr>
        <w:t>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aseptic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loosening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55.7%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7A3FD1" w:rsidRPr="009E587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onset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aseptic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loosening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33E31" w:rsidRPr="009E5872">
        <w:rPr>
          <w:rFonts w:ascii="Book Antiqua" w:eastAsia="Book Antiqua" w:hAnsi="Book Antiqua" w:cs="Book Antiqua"/>
          <w:color w:val="000000"/>
          <w:vertAlign w:val="superscript"/>
        </w:rPr>
        <w:t>[1,46]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7E3FFEF5" w14:textId="56E97EE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One</w:t>
      </w:r>
      <w:r w:rsidR="00443C3C">
        <w:rPr>
          <w:rFonts w:ascii="Book Antiqua" w:eastAsia="Book Antiqua" w:hAnsi="Book Antiqua" w:cs="Book Antiqua"/>
          <w:color w:val="000000"/>
        </w:rPr>
        <w:t>-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 w:rsidRPr="009E5872">
        <w:rPr>
          <w:rFonts w:ascii="Book Antiqua" w:eastAsia="Book Antiqua" w:hAnsi="Book Antiqua" w:cs="Book Antiqua"/>
          <w:color w:val="000000"/>
        </w:rPr>
        <w:t>five</w:t>
      </w:r>
      <w:r w:rsidR="00443C3C">
        <w:rPr>
          <w:rFonts w:ascii="Book Antiqua" w:eastAsia="Book Antiqua" w:hAnsi="Book Antiqua" w:cs="Book Antiqua"/>
          <w:color w:val="000000"/>
        </w:rPr>
        <w:t>-</w:t>
      </w:r>
      <w:r w:rsidRPr="009E5872">
        <w:rPr>
          <w:rFonts w:ascii="Book Antiqua" w:eastAsia="Book Antiqua" w:hAnsi="Book Antiqua" w:cs="Book Antiqua"/>
          <w:color w:val="000000"/>
        </w:rPr>
        <w:t>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survival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443C3C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are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 w:rsidRPr="009E5872">
        <w:rPr>
          <w:rFonts w:ascii="Book Antiqua" w:eastAsia="Book Antiqua" w:hAnsi="Book Antiqua" w:cs="Book Antiqua"/>
          <w:color w:val="000000"/>
        </w:rPr>
        <w:t>th</w:t>
      </w:r>
      <w:r w:rsidR="00443C3C">
        <w:rPr>
          <w:rFonts w:ascii="Book Antiqua" w:eastAsia="Book Antiqua" w:hAnsi="Book Antiqua" w:cs="Book Antiqua"/>
          <w:color w:val="000000"/>
        </w:rPr>
        <w:t>ose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6A3274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Issa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5B8B" w:rsidRPr="009E5872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lifespan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prostheses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survival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Novikov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7A39" w:rsidRPr="009E5872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(80%)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happened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Still,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that among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560419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equal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those of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reported.</w:t>
      </w:r>
    </w:p>
    <w:p w14:paraId="7824E932" w14:textId="08701BE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Previously,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A51442" w:rsidRPr="009E587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IVDU</w:t>
      </w:r>
      <w:r w:rsidR="003F56BC" w:rsidRPr="009E587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proportion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comprehensive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assessment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722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443C3C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Enayatollahi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D26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significantly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prevalent</w:t>
      </w:r>
      <w:r w:rsidR="00443C3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alone.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corresponding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10.98%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2.28%,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respectively.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Nevertheless,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frequency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50%</w:t>
      </w:r>
      <w:r w:rsidR="00135E63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onset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coincided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16CC4" w:rsidRPr="009E5872">
        <w:rPr>
          <w:rFonts w:ascii="Book Antiqua" w:eastAsia="Book Antiqua" w:hAnsi="Book Antiqua" w:cs="Book Antiqua"/>
          <w:color w:val="000000"/>
          <w:vertAlign w:val="superscript"/>
        </w:rPr>
        <w:t>[46,58]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Youngman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30AC" w:rsidRPr="009E5872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were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</w:t>
      </w:r>
      <w:r w:rsidR="00443C3C">
        <w:rPr>
          <w:rFonts w:ascii="Book Antiqua" w:eastAsia="Book Antiqua" w:hAnsi="Book Antiqua" w:cs="Book Antiqua"/>
          <w:color w:val="000000"/>
        </w:rPr>
        <w:t>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did not </w:t>
      </w:r>
      <w:r w:rsidR="00443C3C" w:rsidRPr="009E5872">
        <w:rPr>
          <w:rFonts w:ascii="Book Antiqua" w:eastAsia="Book Antiqua" w:hAnsi="Book Antiqua" w:cs="Book Antiqua"/>
          <w:color w:val="000000"/>
        </w:rPr>
        <w:t>undergo</w:t>
      </w:r>
      <w:r w:rsidR="00443C3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12.5%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that of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patients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</w:p>
    <w:p w14:paraId="3B132E75" w14:textId="77777777" w:rsidR="00A77B3E" w:rsidRPr="009E5872" w:rsidRDefault="00A77B3E" w:rsidP="00352654">
      <w:pPr>
        <w:spacing w:line="360" w:lineRule="auto"/>
        <w:jc w:val="both"/>
      </w:pPr>
    </w:p>
    <w:p w14:paraId="69EA0BC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Elective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surgery</w:t>
      </w:r>
    </w:p>
    <w:p w14:paraId="52D1CF5E" w14:textId="789EEBF9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Given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pandemic,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threshold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56B6" w:rsidRPr="009E5872">
        <w:rPr>
          <w:rFonts w:ascii="Book Antiqua" w:eastAsia="Book Antiqua" w:hAnsi="Book Antiqua" w:cs="Book Antiqua"/>
          <w:color w:val="000000"/>
          <w:vertAlign w:val="superscript"/>
        </w:rPr>
        <w:t>[48</w:t>
      </w:r>
      <w:r w:rsidR="00443C3C" w:rsidRPr="009E58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43C3C">
        <w:rPr>
          <w:rFonts w:ascii="Book Antiqua" w:eastAsia="Book Antiqua" w:hAnsi="Book Antiqua" w:cs="Book Antiqua"/>
          <w:color w:val="000000"/>
        </w:rPr>
        <w:t xml:space="preserve"> 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valuated </w:t>
      </w:r>
      <w:r w:rsidR="006B5522">
        <w:rPr>
          <w:rFonts w:ascii="Book Antiqua" w:eastAsia="Book Antiqua" w:hAnsi="Book Antiqua" w:cs="Book Antiqua"/>
          <w:color w:val="000000"/>
        </w:rPr>
        <w:t>30-d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(3.4%)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(1.6%).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Regardless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443C3C">
        <w:rPr>
          <w:rFonts w:ascii="Book Antiqua" w:eastAsia="Book Antiqua" w:hAnsi="Book Antiqua" w:cs="Book Antiqua"/>
          <w:color w:val="000000"/>
        </w:rPr>
        <w:t xml:space="preserve"> T-cell count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T-cell count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greater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F0032" w:rsidRPr="009E587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hypothesis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T-cell count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threshold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proven</w:t>
      </w:r>
      <w:r w:rsidR="00215567" w:rsidRPr="009E5872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6E2BA0" w:rsidRPr="009E5872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="00215567" w:rsidRPr="009E5872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215567" w:rsidRPr="009E5872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215567" w:rsidRPr="009E58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60D2456" w14:textId="6DDA2C99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poor</w:t>
      </w:r>
      <w:r w:rsidR="00443C3C">
        <w:rPr>
          <w:rFonts w:ascii="Book Antiqua" w:eastAsia="Book Antiqua" w:hAnsi="Book Antiqua" w:cs="Book Antiqua"/>
          <w:color w:val="000000"/>
        </w:rPr>
        <w:t>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443C3C">
        <w:rPr>
          <w:rFonts w:ascii="Book Antiqua" w:eastAsia="Book Antiqua" w:hAnsi="Book Antiqua" w:cs="Book Antiqua"/>
          <w:color w:val="000000"/>
        </w:rPr>
        <w:t>led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susceptible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093DE1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Serum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markers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periodically,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perilous,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decrease</w:t>
      </w:r>
      <w:r w:rsidR="00093DE1" w:rsidRPr="009E5872">
        <w:rPr>
          <w:rFonts w:ascii="Book Antiqua" w:eastAsia="Book Antiqua" w:hAnsi="Book Antiqua" w:cs="Book Antiqua"/>
          <w:color w:val="000000"/>
          <w:vertAlign w:val="superscript"/>
        </w:rPr>
        <w:t>[46,65]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consistently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accurately.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Dimitriou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3DE1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administered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regardless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443C3C" w:rsidRPr="00443C3C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7E48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726D" w:rsidRPr="009E5872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</w:t>
      </w:r>
      <w:r w:rsidR="00443C3C">
        <w:rPr>
          <w:rFonts w:ascii="Book Antiqua" w:eastAsia="Book Antiqua" w:hAnsi="Book Antiqua" w:cs="Book Antiqua"/>
          <w:color w:val="000000"/>
        </w:rPr>
        <w:t>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443C3C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HIV.</w:t>
      </w:r>
    </w:p>
    <w:p w14:paraId="5137D341" w14:textId="6E834BD4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important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D6DA7">
        <w:rPr>
          <w:rFonts w:ascii="Book Antiqua" w:eastAsia="Book Antiqua" w:hAnsi="Book Antiqua" w:cs="Book Antiqua"/>
          <w:color w:val="000000"/>
        </w:rPr>
        <w:t xml:space="preserve"> T-cell count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indicate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unsuccessful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require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referral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specialist.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Horberg</w:t>
      </w:r>
      <w:r w:rsidR="00BF2776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2776" w:rsidRPr="009E587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173C59" w:rsidRPr="009E5872">
        <w:rPr>
          <w:rFonts w:ascii="Book Antiqua" w:eastAsia="Book Antiqua" w:hAnsi="Book Antiqua" w:cs="Book Antiqua"/>
          <w:color w:val="000000"/>
        </w:rPr>
        <w:t>5</w:t>
      </w:r>
      <w:r w:rsidRPr="009E5872">
        <w:rPr>
          <w:rFonts w:ascii="Book Antiqua" w:eastAsia="Book Antiqua" w:hAnsi="Book Antiqua" w:cs="Book Antiqua"/>
          <w:color w:val="000000"/>
        </w:rPr>
        <w:t>000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7D6DA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&gt;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173C59" w:rsidRPr="009E5872">
        <w:rPr>
          <w:rFonts w:ascii="Book Antiqua" w:eastAsia="Book Antiqua" w:hAnsi="Book Antiqua" w:cs="Book Antiqua"/>
          <w:color w:val="000000"/>
        </w:rPr>
        <w:t>30</w:t>
      </w:r>
      <w:r w:rsidRPr="009E5872">
        <w:rPr>
          <w:rFonts w:ascii="Book Antiqua" w:eastAsia="Book Antiqua" w:hAnsi="Book Antiqua" w:cs="Book Antiqua"/>
          <w:color w:val="000000"/>
        </w:rPr>
        <w:t>000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copies/mL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-fold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bigger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</w:p>
    <w:p w14:paraId="65B0408C" w14:textId="751F7EB6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514B1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 xml:space="preserve">a </w:t>
      </w:r>
      <w:r w:rsidR="007D6DA7" w:rsidRPr="009E5872">
        <w:rPr>
          <w:rFonts w:ascii="Book Antiqua" w:eastAsia="Book Antiqua" w:hAnsi="Book Antiqua" w:cs="Book Antiqua"/>
          <w:color w:val="000000"/>
        </w:rPr>
        <w:t xml:space="preserve">VL </w:t>
      </w:r>
      <w:r w:rsidR="007D6DA7">
        <w:rPr>
          <w:rFonts w:ascii="Book Antiqua" w:eastAsia="Book Antiqua" w:hAnsi="Book Antiqua" w:cs="Book Antiqua"/>
          <w:color w:val="000000"/>
        </w:rPr>
        <w:t xml:space="preserve">of </w:t>
      </w:r>
      <w:r w:rsidRPr="009E5872">
        <w:rPr>
          <w:rFonts w:ascii="Book Antiqua" w:eastAsia="Book Antiqua" w:hAnsi="Book Antiqua" w:cs="Book Antiqua"/>
          <w:color w:val="000000"/>
        </w:rPr>
        <w:t>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copies/mL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continue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>If</w:t>
      </w:r>
      <w:r w:rsidR="007D6DA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>T-cell count</w:t>
      </w:r>
      <w:r w:rsidR="007D6DA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mismatch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failure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considered.</w:t>
      </w:r>
    </w:p>
    <w:p w14:paraId="35A93631" w14:textId="77777777" w:rsidR="00A77B3E" w:rsidRPr="009E5872" w:rsidRDefault="00A77B3E" w:rsidP="00352654">
      <w:pPr>
        <w:spacing w:line="360" w:lineRule="auto"/>
        <w:jc w:val="both"/>
      </w:pPr>
    </w:p>
    <w:p w14:paraId="3790CEE4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5DD98B" w14:textId="29C371AA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Currently,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afford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contradictory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information.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reconsideration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collections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proportion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confounder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described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especially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examine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patient-specific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load,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1838BD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1838BD">
        <w:rPr>
          <w:rFonts w:ascii="Book Antiqua" w:eastAsia="Book Antiqua" w:hAnsi="Book Antiqua" w:cs="Book Antiqua"/>
          <w:color w:val="000000"/>
        </w:rPr>
        <w:t xml:space="preserve">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overall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frequency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improve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life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1838BD">
        <w:rPr>
          <w:rFonts w:ascii="Book Antiqua" w:eastAsia="Book Antiqua" w:hAnsi="Book Antiqua" w:cs="Book Antiqua"/>
          <w:color w:val="000000"/>
        </w:rPr>
        <w:t>F</w:t>
      </w:r>
      <w:r w:rsidR="001838BD" w:rsidRPr="009E5872">
        <w:rPr>
          <w:rFonts w:ascii="Book Antiqua" w:eastAsia="Book Antiqua" w:hAnsi="Book Antiqua" w:cs="Book Antiqua"/>
          <w:color w:val="000000"/>
        </w:rPr>
        <w:t xml:space="preserve">igure </w:t>
      </w:r>
      <w:r w:rsidRPr="009E5872">
        <w:rPr>
          <w:rFonts w:ascii="Book Antiqua" w:eastAsia="Book Antiqua" w:hAnsi="Book Antiqua" w:cs="Book Antiqua"/>
          <w:color w:val="000000"/>
        </w:rPr>
        <w:t>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</w:p>
    <w:p w14:paraId="306F85BC" w14:textId="77777777" w:rsidR="00A77B3E" w:rsidRPr="009E5872" w:rsidRDefault="00A77B3E" w:rsidP="00352654">
      <w:pPr>
        <w:spacing w:line="360" w:lineRule="auto"/>
        <w:jc w:val="both"/>
      </w:pPr>
    </w:p>
    <w:p w14:paraId="416A47C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55065E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Dimitriou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Ramokgopa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Pietrzak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Jagt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Mokete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JBJS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2017;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28953137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10.2106/JBJS.RVW.17.00029]</w:t>
      </w:r>
    </w:p>
    <w:p w14:paraId="186202C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Mirghaderi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Sharifpour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Moharrami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Ahmadi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Makuku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Mortazavi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accuracy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templating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mediCAD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software.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222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35399090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10.1186/s13018-022-03086-5]</w:t>
      </w:r>
    </w:p>
    <w:p w14:paraId="03110DB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Pietrzak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JRT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Maharaj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Mokete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Sikhauli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EFORT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2020;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164-171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32296550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10.1302/2058-5241.5.190030]</w:t>
      </w:r>
    </w:p>
    <w:p w14:paraId="404810A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Permpalung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Ungprasert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Summachiwakij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Leeaphorn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necrosis: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meta-analysis.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Antimicrob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93-95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24726526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10.1016/j.ijantimicag.2014.02.011]</w:t>
      </w:r>
    </w:p>
    <w:p w14:paraId="27B2C09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Molia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Strady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Rouger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Beguinot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Berger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Trenque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TC.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2050-2054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15507502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10.1345/aph.1E154]</w:t>
      </w:r>
    </w:p>
    <w:p w14:paraId="0F93320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Valencia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Barreiro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Soriano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Blanco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Lahoz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JG.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132-136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12671781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10.1310/8ew3-gyj9-08na-6d5h]</w:t>
      </w:r>
    </w:p>
    <w:p w14:paraId="1CF21F5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Mary-Krause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Billaud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Poizot-Martin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Dhiver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Dupont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Roudiere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Costagliola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Epidemiology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French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Hospital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Database.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combination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1627-1635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16868444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10.1097/01.aids.0000238409.90571.02]</w:t>
      </w:r>
    </w:p>
    <w:p w14:paraId="0FA9115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Morse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Rick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Formentini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Kovacs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natural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2007;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739-748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17278070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10.1086/511683]</w:t>
      </w:r>
    </w:p>
    <w:p w14:paraId="640A198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Knobel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Guelar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Vallecillo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Nogués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X,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Díez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treatment?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2001;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807-808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11371701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10.1097/00002030-200104130-00022]</w:t>
      </w:r>
    </w:p>
    <w:p w14:paraId="7283413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Warriner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Mugavero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163-169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20425517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10.1007/s11926-010-0099-9]</w:t>
      </w:r>
    </w:p>
    <w:p w14:paraId="3069B2A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Triant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VA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Brown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Grinspoon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SK.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(HIV)-infected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U.S.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healthcare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2008;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3499-3504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18593764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10.1210/jc.2008-0828]</w:t>
      </w:r>
    </w:p>
    <w:p w14:paraId="61F751D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Mirghaderi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Baghdadi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Shafiei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Scientometric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Most-Cited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Papers: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Traditional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Altmetric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Measures.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81-92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35464340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10.1016/j.artd.2022.03.001]</w:t>
      </w:r>
    </w:p>
    <w:p w14:paraId="680C50A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Eka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periprosthetic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26539450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10.3978/j.issn.2305-5839.2015.09.26]</w:t>
      </w:r>
    </w:p>
    <w:p w14:paraId="3B7F919A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Stambough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Foster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Barnes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Choices,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Compromises,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You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2018;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3101-3106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29573920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10.1016/j.arth.2018.02.066]</w:t>
      </w:r>
    </w:p>
    <w:p w14:paraId="2801A6D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Moharrami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Mirghaderi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Hoseini-Zare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Kaseb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MH,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Moazen-Jamshidi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Mansour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Mortazavi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Restoring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offset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pelvic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obliquity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observational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35859214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10.1007/s00264-022-05506-x]</w:t>
      </w:r>
    </w:p>
    <w:p w14:paraId="626AADD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Jellis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Orthopaedic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Africa.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253-256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8872550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10.1007/s002640050074]</w:t>
      </w:r>
    </w:p>
    <w:p w14:paraId="319D121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Paiement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GD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LaDouceur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Gosselin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asymptomatic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HIV-seropositive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trauma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545-50;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discussion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550-1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7932883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10.1097/00005373-199410000-00005]</w:t>
      </w:r>
    </w:p>
    <w:p w14:paraId="71CBBA2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18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Sullivan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Pagnano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Trousdale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Bolander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alarming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failure.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259-264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12728415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10.1054/arth.2003.50094]</w:t>
      </w:r>
    </w:p>
    <w:p w14:paraId="2FB1FE3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19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Ragni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Crossett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Herndon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orthopaedic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&lt;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=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716-721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8749751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10.1016/s0883-5403(05)80065-8]</w:t>
      </w:r>
    </w:p>
    <w:p w14:paraId="5A71F10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Rodriguez-Merchan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Haemophilia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387-392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12010439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10.1046/j.1365-2516.2002.00610.x]</w:t>
      </w:r>
    </w:p>
    <w:p w14:paraId="60384EB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Zainul-Abidin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Amanatullah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Anderson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Austin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Barretto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Battenberg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Bedard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Blevins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Callaghan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Certain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Cizmic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Coward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DeMik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Diaz-Borjon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Enayatollahi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Fernando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Gililland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Goodman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Goodman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Greenky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Hwang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Iorio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Karas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Klement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Kunutsor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Limas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Morales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Maldonado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Manrique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Matar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Mokete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Pietrzak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Premkumar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Rondon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Sanchez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Novaes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Santana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Sheth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Springer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Xu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Assembly,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Prevention,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Proceedings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International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Consensus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2019;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S13-S35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30360983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10.1016/j.arth.2018.09.050]</w:t>
      </w:r>
    </w:p>
    <w:p w14:paraId="6B31A78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(CDC).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infection--United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Recomm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1-10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24717910]</w:t>
      </w:r>
    </w:p>
    <w:p w14:paraId="6AF43A4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Harrison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HIV/AIDS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trauma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orthopaedic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1178-1181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16129738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10.1302/0301-620X.87B9.16543]</w:t>
      </w:r>
    </w:p>
    <w:p w14:paraId="366CD95D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Goorney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Lacey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Thurairajasingam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Brown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Genitourin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1990;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451-452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2265845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10.1136/sti.66.6.451]</w:t>
      </w:r>
    </w:p>
    <w:p w14:paraId="08DB8C5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25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Allison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GT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Bostrom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Glesby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epidemiology,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etiologies,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management.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1-9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12478064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10.1097/01.aids.0000042940.55529.93]</w:t>
      </w:r>
    </w:p>
    <w:p w14:paraId="69A3D15A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Yombi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Vandercam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Wilmes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Dubuc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Vincent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Docquier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2009;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815-823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19277811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10.1007/s10067-009-1156-5]</w:t>
      </w:r>
    </w:p>
    <w:p w14:paraId="4CA34B2D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Larrañaga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Bottaro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Martinuzzo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Figueroa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Iglesias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Varela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Perés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Wingeyer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Forastiero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Adamczuk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Corti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Puga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Benetucci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connection?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case-control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2009;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340-347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18160564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10.1177/1076029607310217]</w:t>
      </w:r>
    </w:p>
    <w:p w14:paraId="2F87E34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Ries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Barcohana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Davidson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Jergesen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Paiement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135-139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11847610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10.1054/arth.2002.28727]</w:t>
      </w:r>
    </w:p>
    <w:p w14:paraId="0B25E94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29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Masur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Rick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Kelly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Gerber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LH,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Blackwelder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Falloon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Davey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Polis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Walker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Kovacs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17-25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12093241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10.7326/0003-4819-137-1-200207020-00008]</w:t>
      </w:r>
    </w:p>
    <w:p w14:paraId="487389F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Crane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2001;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1221-1226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11283813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10.1086/319745]</w:t>
      </w:r>
    </w:p>
    <w:p w14:paraId="1380603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Gutiérrez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Padilla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Masiá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Flores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Boix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Merino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Galindo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Ortega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López-Aldeguer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Galera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epidemiology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natural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Spain.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286-292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16763523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10.1097/01.qai.0000225012.53568.20]</w:t>
      </w:r>
    </w:p>
    <w:p w14:paraId="3EF6BF4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32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Rothman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Bessesen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osteoporosis: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pathophysiology,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diagnosis,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Osteoporos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270-277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23100110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10.1007/s11914-012-0125-0]</w:t>
      </w:r>
    </w:p>
    <w:p w14:paraId="1B15806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Muthumani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Choo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WX,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Madesh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Hwang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Premkumar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Thieu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Emmanuel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Kumar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Thompson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Weiner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DB.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Vpr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glucocorticoid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receptor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gain-of-function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localization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PARP-1.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170-179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16429131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10.1038/ncb1352]</w:t>
      </w:r>
    </w:p>
    <w:p w14:paraId="22EAE4C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Galrão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Brites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Atta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Atta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Lima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Gonzalez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Magalhães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Santiago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2007;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1825-1830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17332976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10.1007/s10067-007-0581-6]</w:t>
      </w:r>
    </w:p>
    <w:p w14:paraId="285864F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Cruz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Martín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Herrero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Albarrán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González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Matas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Martín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Luengo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[Recurrent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coronary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thrombosis,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Leiden,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syndrome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HIV].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Esp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997-999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15469799]</w:t>
      </w:r>
    </w:p>
    <w:p w14:paraId="62261F0F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Penzak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Formentini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Alfaro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Natarajan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Kovacs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Prednisolone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pharmacokinetics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absence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ritonavir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prednisone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administration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volunteers.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573-580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16284534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10.1097/01.qai.0000187444.38461.70]</w:t>
      </w:r>
    </w:p>
    <w:p w14:paraId="6B827FA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Morty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Morris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2021: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highlighting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pulmonary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HIV/AIDS.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2021;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321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L1069-L1071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34816744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10.1152/ajplung.00471.2021]</w:t>
      </w:r>
    </w:p>
    <w:p w14:paraId="08681784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Barnhart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Shelton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ARVs: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next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boldly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together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frontiers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1-11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25745115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10.9745/GHSP-D-14-00243]</w:t>
      </w:r>
    </w:p>
    <w:p w14:paraId="1C5AE18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39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Meintjes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Moorhouse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Carmona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Davies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Dlamini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Vuuren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Manzini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Moosa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Nash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Pakade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Woods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Zyl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Conradie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Venter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guidelines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2017.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South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Afr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2017;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776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29568644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10.4102/sajhivmed.v18i1.776]</w:t>
      </w:r>
    </w:p>
    <w:p w14:paraId="658A787E" w14:textId="15A5E3C6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40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Fletcher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Bartlett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Mitty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Overview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UpToDate</w:t>
      </w:r>
      <w:r w:rsidR="009E0EF0">
        <w:rPr>
          <w:rFonts w:ascii="Book Antiqua" w:eastAsia="Book Antiqua" w:hAnsi="Book Antiqua" w:cs="Book Antiqua"/>
          <w:color w:val="000000"/>
        </w:rPr>
        <w:t xml:space="preserve">. </w:t>
      </w:r>
      <w:r w:rsidR="009E0EF0" w:rsidRPr="009E5872">
        <w:rPr>
          <w:rFonts w:ascii="Book Antiqua" w:eastAsia="Book Antiqua" w:hAnsi="Book Antiqua" w:cs="Book Antiqua"/>
          <w:color w:val="000000"/>
        </w:rPr>
        <w:t>2018.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566145" w:rsidRPr="00566145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9E5872">
        <w:rPr>
          <w:rFonts w:ascii="Book Antiqua" w:eastAsia="Book Antiqua" w:hAnsi="Book Antiqua" w:cs="Book Antiqua"/>
          <w:color w:val="000000"/>
        </w:rPr>
        <w:t>https://www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uptodate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com/contents/overview-of-antiretroviral-agents-used-to-treat-hiv</w:t>
      </w:r>
    </w:p>
    <w:p w14:paraId="0C3D571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Kunutsor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Whitehouse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Beswick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INFORM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Team.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Periprosthetic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Meta-Analysis.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e0150866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26938768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10.1371/journal.pone.0150866]</w:t>
      </w:r>
    </w:p>
    <w:p w14:paraId="2841B9C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Reusch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microvascular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cardiovascular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glucose?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986-988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14523035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10.1172/JCI19902]</w:t>
      </w:r>
    </w:p>
    <w:p w14:paraId="7C80231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Seneviratne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Zhang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Samaranayake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culture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biofilm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kinetics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laboratory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strains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Enterococcus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faecalis.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1327-1334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23880095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10.1016/j.archoralbio.2013.06.017]</w:t>
      </w:r>
    </w:p>
    <w:p w14:paraId="5ACFEEF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Berbari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Lahr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Eckel-Passow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Tsaras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Hanssen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Mabry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Steckelberg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Thompson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score: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stratification.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2012;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774-781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22759544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10.1086/666641]</w:t>
      </w:r>
    </w:p>
    <w:p w14:paraId="76106FFF" w14:textId="6F372782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Libman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H,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Bartlett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issues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UpToDate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through: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October.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2018</w:t>
      </w:r>
    </w:p>
    <w:p w14:paraId="6FA56ECA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KN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Truntzer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Touzard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Romo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Rubin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JBJS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27922987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10.2106/JBJS.RVW.15.00117]</w:t>
      </w:r>
    </w:p>
    <w:p w14:paraId="38981D9D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Horberg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Hurley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Klein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Follansbee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Quesenberry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Flamm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era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1238-1245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17178967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10.1001/archsurg.141.12.1238]</w:t>
      </w:r>
    </w:p>
    <w:p w14:paraId="3EB4EEF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King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JT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Perkal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Rosenthal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Gordon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Crystal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Rodriguez-Barradas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Butt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Gibert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Rimland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Simberkoff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Justice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Thirty-day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procedure-matched,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comparators.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343-351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25714794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10.1001/jamasurg.2014.2257]</w:t>
      </w:r>
    </w:p>
    <w:p w14:paraId="3E407F4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49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Mdodo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Frazier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Mattson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Sutton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Brooks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Skarbinski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Cigarette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States: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cross-sectional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surveys.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335-344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25732274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10.7326/M14-0954]</w:t>
      </w:r>
    </w:p>
    <w:p w14:paraId="4B5EAE5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Gregg-Smith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Pattison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Dodd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Giangrande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Duthie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RB.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Septic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arthritis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haemophilia.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368-370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8098712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10.1302/0301-620X.75B3.8098712]</w:t>
      </w:r>
    </w:p>
    <w:p w14:paraId="0A521AC4" w14:textId="23BE3F13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Luck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Gilbert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haemophilia: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Musculoskeletal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1989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0E4B6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152-7</w:t>
      </w:r>
    </w:p>
    <w:p w14:paraId="0AD993A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Hicks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Ribbans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Buzzard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Kelley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Toft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Torri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York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haemophilia.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2001;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1050-1054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11603522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10.1302/0301-620x.83b7.11242]</w:t>
      </w:r>
    </w:p>
    <w:p w14:paraId="5802BF04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Powell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Whitener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Dye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Ballard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Shaffer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Eyster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haemophilia: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single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experience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epidemic.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Haemophilia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233-239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15876268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10.1111/j.1365-2516.2005.01081.x]</w:t>
      </w:r>
    </w:p>
    <w:p w14:paraId="7C66E99F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Unger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Kessler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Lewis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448-452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8523002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10.1016/s0883-5403(05)80144-5]</w:t>
      </w:r>
    </w:p>
    <w:p w14:paraId="131D6B8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Habermann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Eberhardt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Kurth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2008;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41-46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18336915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10.1016/j.jinf.2008.01.045]</w:t>
      </w:r>
    </w:p>
    <w:p w14:paraId="6AB3E48D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Mahoney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Glesby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DiCarlo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Peterson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Bostrom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pathologic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findings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198-203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16097544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10.1080/00016470510030571]</w:t>
      </w:r>
    </w:p>
    <w:p w14:paraId="1253D76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57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Lehman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Paiement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Davidson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2001;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330-335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11307131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10.1054/arth.2001.21454]</w:t>
      </w:r>
    </w:p>
    <w:p w14:paraId="357A7C2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Enayatollahi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Murphy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Maltenfort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2016;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2146-2151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27131415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10.1016/j.arth.2016.02.058]</w:t>
      </w:r>
    </w:p>
    <w:p w14:paraId="36F8DA4D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59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Graham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Lubega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Mkandawire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Harrison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WJ.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96-B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462-466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24692611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10.1302/0301-620X.96B4.33213]</w:t>
      </w:r>
    </w:p>
    <w:p w14:paraId="03DB8D6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Naziri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Boylan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Issa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Khanuja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THA?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nationwide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database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Relat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2015;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473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581-586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25123240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10.1007/s11999-014-3855-8]</w:t>
      </w:r>
    </w:p>
    <w:p w14:paraId="18CD2CB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Sadoghi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Liebensteiner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Agreiter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Leithner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Böhler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Labek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complication-based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worldwide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registers.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1329-1332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23602418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10.1016/j.arth.2013.01.012]</w:t>
      </w:r>
    </w:p>
    <w:p w14:paraId="1239696F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Issa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Naziri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Rasquinha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Maheshwari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Delanois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cementless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1845-1850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24132358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10.2106/JBJS.L.01583]</w:t>
      </w:r>
    </w:p>
    <w:p w14:paraId="3F8E91F4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Novikov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Anoushiravani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Wolfson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Snir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Schwarzkopf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2019;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522-526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30503321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10.1016/j.arth.2018.11.001]</w:t>
      </w:r>
    </w:p>
    <w:p w14:paraId="5B82142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Youngman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Riepen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Rinehart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DB,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Thota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Telford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2021: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11207000211005750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33829908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10.1177/11207000211005750]</w:t>
      </w:r>
    </w:p>
    <w:p w14:paraId="284D210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65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Kuo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Takemoto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Comorbidities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2013;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9E5872">
        <w:rPr>
          <w:rFonts w:ascii="Book Antiqua" w:eastAsia="Book Antiqua" w:hAnsi="Book Antiqua" w:cs="Book Antiqua"/>
          <w:color w:val="000000"/>
        </w:rPr>
        <w:t>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1028-1036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23780541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10.2106/JBJS.L.00269]</w:t>
      </w:r>
    </w:p>
    <w:p w14:paraId="3E2A8328" w14:textId="77777777" w:rsidR="009A5616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66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Sax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OC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Mohamed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Pervaiz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Douglas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Aboulafia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AJ,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Delanois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JB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2021;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[PMID: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34056505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DOI: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10.2106/JBJS.OA.20.00175]</w:t>
      </w:r>
    </w:p>
    <w:p w14:paraId="2AB9D118" w14:textId="77777777" w:rsidR="009A5616" w:rsidRDefault="009A5616" w:rsidP="00352654">
      <w:pPr>
        <w:spacing w:line="360" w:lineRule="auto"/>
        <w:jc w:val="both"/>
      </w:pPr>
    </w:p>
    <w:p w14:paraId="3E36F2E1" w14:textId="7FF6662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Footnotes</w:t>
      </w:r>
    </w:p>
    <w:p w14:paraId="5D1085F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conflict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interest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any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senior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coauthors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efforts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manuscript.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</w:p>
    <w:p w14:paraId="5DF13C76" w14:textId="77777777" w:rsidR="00A77B3E" w:rsidRPr="009E5872" w:rsidRDefault="00A77B3E" w:rsidP="00352654">
      <w:pPr>
        <w:spacing w:line="360" w:lineRule="auto"/>
        <w:jc w:val="both"/>
      </w:pPr>
    </w:p>
    <w:p w14:paraId="0AA956E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article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open-access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article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selected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in-house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editor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peer-reviewed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external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reviewers.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distributed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Creative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Attribution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NonCommercial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(CC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BY-NC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4.0)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license,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permits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distribute,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remix,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adapt,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build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non-commercially,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license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derivative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terms,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provided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original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properly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non-commercial.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See: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D76D1AD" w14:textId="77777777" w:rsidR="00A77B3E" w:rsidRPr="009E5872" w:rsidRDefault="00A77B3E" w:rsidP="00352654">
      <w:pPr>
        <w:spacing w:line="360" w:lineRule="auto"/>
        <w:jc w:val="both"/>
      </w:pPr>
    </w:p>
    <w:p w14:paraId="7256AED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Provenance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peer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review: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article;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Externally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reviewed.</w:t>
      </w:r>
    </w:p>
    <w:p w14:paraId="027D610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Peer-review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model: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Single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blind</w:t>
      </w:r>
    </w:p>
    <w:p w14:paraId="1EFFAF3F" w14:textId="77777777" w:rsidR="00A77B3E" w:rsidRPr="009E5872" w:rsidRDefault="00A77B3E" w:rsidP="00352654">
      <w:pPr>
        <w:spacing w:line="360" w:lineRule="auto"/>
        <w:jc w:val="both"/>
      </w:pPr>
    </w:p>
    <w:p w14:paraId="51F2C0B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Peer-review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started: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July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</w:p>
    <w:p w14:paraId="68D8A34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decision: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October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</w:p>
    <w:p w14:paraId="59FD5A8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Article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press: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7869E32" w14:textId="77777777" w:rsidR="00A77B3E" w:rsidRPr="009E5872" w:rsidRDefault="00A77B3E" w:rsidP="00352654">
      <w:pPr>
        <w:spacing w:line="360" w:lineRule="auto"/>
        <w:jc w:val="both"/>
      </w:pPr>
    </w:p>
    <w:p w14:paraId="326FC40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Specialty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type: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Orthopedics</w:t>
      </w:r>
    </w:p>
    <w:p w14:paraId="04BEF3B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Country/Territory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origin: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2C978FEA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Peer-review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report’s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scientific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quality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78C9D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(Excellent):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2DE4220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(Very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good):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23FA807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(Good):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</w:t>
      </w:r>
    </w:p>
    <w:p w14:paraId="5C1E72B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(Fair):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17231C5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(Poor):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3902EAE1" w14:textId="77777777" w:rsidR="00A77B3E" w:rsidRPr="009E5872" w:rsidRDefault="00A77B3E" w:rsidP="00352654">
      <w:pPr>
        <w:spacing w:line="360" w:lineRule="auto"/>
        <w:jc w:val="both"/>
      </w:pPr>
    </w:p>
    <w:p w14:paraId="3FF99932" w14:textId="09939E2B" w:rsidR="00A77B3E" w:rsidRPr="009E5872" w:rsidRDefault="00403CA9" w:rsidP="00352654">
      <w:pPr>
        <w:spacing w:line="360" w:lineRule="auto"/>
        <w:jc w:val="both"/>
        <w:sectPr w:rsidR="00A77B3E" w:rsidRPr="009E587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872">
        <w:rPr>
          <w:rFonts w:ascii="Book Antiqua" w:eastAsia="Book Antiqua" w:hAnsi="Book Antiqua" w:cs="Book Antiqua"/>
          <w:b/>
          <w:color w:val="000000"/>
        </w:rPr>
        <w:t>P-Reviewer: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Bharara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India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S-Editor: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5963" w:rsidRPr="00065963">
        <w:rPr>
          <w:rFonts w:ascii="Book Antiqua" w:eastAsia="Book Antiqua" w:hAnsi="Book Antiqua" w:cs="Book Antiqua"/>
          <w:color w:val="000000"/>
        </w:rPr>
        <w:t>Liu JH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L-Editor: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838BD">
        <w:rPr>
          <w:rFonts w:ascii="Book Antiqua" w:eastAsia="Book Antiqua" w:hAnsi="Book Antiqua" w:cs="Book Antiqua"/>
          <w:color w:val="000000"/>
        </w:rPr>
        <w:t>Wang TQ</w:t>
      </w:r>
      <w:r w:rsidR="001838BD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P-Editor:</w:t>
      </w:r>
      <w:r w:rsidR="00065963" w:rsidRPr="00065963">
        <w:rPr>
          <w:rFonts w:ascii="Book Antiqua" w:eastAsia="Book Antiqua" w:hAnsi="Book Antiqua" w:cs="Book Antiqua"/>
          <w:color w:val="000000"/>
        </w:rPr>
        <w:t xml:space="preserve"> Liu JH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76FCB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Legends</w:t>
      </w:r>
    </w:p>
    <w:p w14:paraId="07C35ED2" w14:textId="7335FF2D" w:rsidR="0072537F" w:rsidRDefault="00EF6309" w:rsidP="003526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798B55B5" wp14:editId="30BE4157">
            <wp:extent cx="4654605" cy="31652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2257" cy="317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021D" w14:textId="4DAA27E1" w:rsidR="00F655A8" w:rsidRPr="009C28AB" w:rsidRDefault="00403CA9" w:rsidP="00F655A8">
      <w:pPr>
        <w:tabs>
          <w:tab w:val="left" w:pos="1848"/>
        </w:tabs>
        <w:spacing w:line="360" w:lineRule="auto"/>
        <w:jc w:val="both"/>
        <w:rPr>
          <w:rFonts w:ascii="Book Antiqua" w:hAnsi="Book Antiqua" w:cstheme="majorBidi"/>
        </w:rPr>
      </w:pPr>
      <w:r w:rsidRPr="0072537F">
        <w:rPr>
          <w:rFonts w:ascii="Book Antiqua" w:eastAsia="Book Antiqua" w:hAnsi="Book Antiqua" w:cs="Book Antiqua"/>
          <w:b/>
          <w:color w:val="000000"/>
        </w:rPr>
        <w:t>Figure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1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838BD">
        <w:rPr>
          <w:rFonts w:ascii="Book Antiqua" w:eastAsia="Book Antiqua" w:hAnsi="Book Antiqua" w:cs="Book Antiqua"/>
          <w:b/>
          <w:color w:val="000000"/>
        </w:rPr>
        <w:t>F</w:t>
      </w:r>
      <w:r w:rsidRPr="0072537F">
        <w:rPr>
          <w:rFonts w:ascii="Book Antiqua" w:eastAsia="Book Antiqua" w:hAnsi="Book Antiqua" w:cs="Book Antiqua"/>
          <w:b/>
          <w:color w:val="000000"/>
        </w:rPr>
        <w:t>actors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affecting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joint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replacement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among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7E14" w:rsidRPr="00067E14">
        <w:rPr>
          <w:rFonts w:ascii="Book Antiqua" w:eastAsia="Book Antiqua" w:hAnsi="Book Antiqua" w:cs="Book Antiqua"/>
          <w:b/>
          <w:color w:val="000000"/>
        </w:rPr>
        <w:t>human immunodeficiency virus</w:t>
      </w:r>
      <w:r w:rsidR="001838BD">
        <w:rPr>
          <w:rFonts w:ascii="Book Antiqua" w:eastAsia="Book Antiqua" w:hAnsi="Book Antiqua" w:cs="Book Antiqua"/>
          <w:b/>
          <w:color w:val="000000"/>
        </w:rPr>
        <w:t xml:space="preserve">-positive </w:t>
      </w:r>
      <w:r w:rsidRPr="0072537F">
        <w:rPr>
          <w:rFonts w:ascii="Book Antiqua" w:eastAsia="Book Antiqua" w:hAnsi="Book Antiqua" w:cs="Book Antiqua"/>
          <w:b/>
          <w:color w:val="000000"/>
        </w:rPr>
        <w:t>patients.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55A8" w:rsidRPr="009C28AB">
        <w:rPr>
          <w:rFonts w:ascii="Book Antiqua" w:hAnsi="Book Antiqua" w:cstheme="majorBidi"/>
          <w:color w:val="231F20"/>
        </w:rPr>
        <w:t>HIV</w:t>
      </w:r>
      <w:r w:rsidR="00F655A8">
        <w:rPr>
          <w:rFonts w:ascii="Book Antiqua" w:hAnsi="Book Antiqua" w:cstheme="majorBidi"/>
          <w:color w:val="231F20"/>
        </w:rPr>
        <w:t xml:space="preserve">: </w:t>
      </w:r>
      <w:r w:rsidR="00F655A8" w:rsidRPr="00A85B98">
        <w:rPr>
          <w:rFonts w:ascii="Book Antiqua" w:hAnsi="Book Antiqua" w:cstheme="majorBidi"/>
          <w:color w:val="231F20"/>
        </w:rPr>
        <w:t>Human immunodeficiency virus</w:t>
      </w:r>
      <w:r w:rsidR="00F655A8">
        <w:rPr>
          <w:rFonts w:ascii="Book Antiqua" w:hAnsi="Book Antiqua" w:cstheme="majorBidi"/>
          <w:color w:val="231F20"/>
        </w:rPr>
        <w:t>;</w:t>
      </w:r>
      <w:r w:rsidR="00F655A8" w:rsidRPr="00C81605">
        <w:rPr>
          <w:rFonts w:ascii="Book Antiqua" w:eastAsia="Book Antiqua" w:hAnsi="Book Antiqua" w:cs="Book Antiqua"/>
          <w:color w:val="000000"/>
        </w:rPr>
        <w:t xml:space="preserve"> </w:t>
      </w:r>
      <w:r w:rsidR="00F655A8">
        <w:rPr>
          <w:rFonts w:ascii="Book Antiqua" w:hAnsi="Book Antiqua" w:cstheme="majorBidi"/>
          <w:color w:val="231F20"/>
        </w:rPr>
        <w:t xml:space="preserve">THA: </w:t>
      </w:r>
      <w:r w:rsidR="00CA3BD5" w:rsidRPr="00CA3BD5">
        <w:rPr>
          <w:rFonts w:ascii="Book Antiqua" w:hAnsi="Book Antiqua" w:cstheme="majorBidi"/>
          <w:color w:val="231F20"/>
        </w:rPr>
        <w:t>Total hip arthroplasty</w:t>
      </w:r>
      <w:r w:rsidR="00F655A8">
        <w:rPr>
          <w:rFonts w:ascii="Book Antiqua" w:eastAsia="Book Antiqua" w:hAnsi="Book Antiqua" w:cs="Book Antiqua"/>
          <w:color w:val="000000"/>
        </w:rPr>
        <w:t>.</w:t>
      </w:r>
    </w:p>
    <w:p w14:paraId="20CAB5E1" w14:textId="510CB971" w:rsidR="002C4217" w:rsidRDefault="002C4217" w:rsidP="0035265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39002E7" w14:textId="049C1ACF" w:rsidR="002C4217" w:rsidRPr="00352654" w:rsidRDefault="002C4217" w:rsidP="00352654">
      <w:pPr>
        <w:spacing w:line="360" w:lineRule="auto"/>
        <w:jc w:val="both"/>
        <w:rPr>
          <w:rFonts w:ascii="Book Antiqua" w:hAnsi="Book Antiqua" w:cstheme="majorBidi"/>
          <w:b/>
          <w:color w:val="231F20"/>
          <w:spacing w:val="-6"/>
          <w:w w:val="105"/>
          <w:rtl/>
          <w:lang w:bidi="fa-IR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352654" w:rsidRPr="009E262D">
        <w:rPr>
          <w:rFonts w:ascii="Book Antiqua" w:hAnsi="Book Antiqua" w:cstheme="majorBidi"/>
          <w:b/>
          <w:color w:val="231F20"/>
          <w:spacing w:val="-5"/>
          <w:w w:val="105"/>
        </w:rPr>
        <w:lastRenderedPageBreak/>
        <w:t>Table 1</w:t>
      </w:r>
      <w:r w:rsidRPr="009E262D">
        <w:rPr>
          <w:rFonts w:ascii="Book Antiqua" w:hAnsi="Book Antiqua" w:cstheme="majorBidi"/>
          <w:b/>
          <w:color w:val="231F20"/>
          <w:spacing w:val="-5"/>
          <w:w w:val="105"/>
        </w:rPr>
        <w:t xml:space="preserve"> Classification of laboratory categories </w:t>
      </w:r>
      <w:r w:rsidRPr="009E262D">
        <w:rPr>
          <w:rFonts w:ascii="Book Antiqua" w:hAnsi="Book Antiqua" w:cstheme="majorBidi"/>
          <w:b/>
          <w:color w:val="231F20"/>
          <w:spacing w:val="-3"/>
          <w:w w:val="105"/>
        </w:rPr>
        <w:t>based</w:t>
      </w:r>
      <w:r w:rsidRPr="009E262D">
        <w:rPr>
          <w:rFonts w:ascii="Book Antiqua" w:hAnsi="Book Antiqua" w:cstheme="majorBidi"/>
          <w:b/>
          <w:color w:val="231F20"/>
          <w:spacing w:val="-18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w w:val="105"/>
        </w:rPr>
        <w:t>on</w:t>
      </w:r>
      <w:r w:rsidRPr="009E262D">
        <w:rPr>
          <w:rFonts w:ascii="Book Antiqua" w:hAnsi="Book Antiqua" w:cstheme="majorBidi"/>
          <w:b/>
          <w:color w:val="231F20"/>
          <w:spacing w:val="-18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spacing w:val="-3"/>
          <w:w w:val="105"/>
        </w:rPr>
        <w:t>age-specific</w:t>
      </w:r>
      <w:r w:rsidRPr="009E262D">
        <w:rPr>
          <w:rFonts w:ascii="Book Antiqua" w:hAnsi="Book Antiqua" w:cstheme="majorBidi"/>
          <w:b/>
          <w:color w:val="231F20"/>
          <w:spacing w:val="-18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spacing w:val="-3"/>
          <w:w w:val="105"/>
        </w:rPr>
        <w:t>CD4+</w:t>
      </w:r>
      <w:r w:rsidRPr="009E262D">
        <w:rPr>
          <w:rFonts w:ascii="Book Antiqua" w:hAnsi="Book Antiqua" w:cstheme="majorBidi"/>
          <w:b/>
          <w:color w:val="231F20"/>
          <w:spacing w:val="-27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spacing w:val="-4"/>
          <w:w w:val="105"/>
        </w:rPr>
        <w:t xml:space="preserve">T-lymphocyte </w:t>
      </w:r>
      <w:r w:rsidRPr="009E262D">
        <w:rPr>
          <w:rFonts w:ascii="Book Antiqua" w:hAnsi="Book Antiqua" w:cstheme="majorBidi"/>
          <w:b/>
          <w:color w:val="231F20"/>
          <w:w w:val="105"/>
        </w:rPr>
        <w:t>count</w:t>
      </w:r>
    </w:p>
    <w:tbl>
      <w:tblPr>
        <w:tblStyle w:val="ListTable5Dark-Accent51"/>
        <w:tblpPr w:leftFromText="180" w:rightFromText="180" w:vertAnchor="text" w:horzAnchor="margin" w:tblpY="3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6"/>
        <w:gridCol w:w="1327"/>
        <w:gridCol w:w="1126"/>
        <w:gridCol w:w="1470"/>
        <w:gridCol w:w="954"/>
        <w:gridCol w:w="1347"/>
        <w:gridCol w:w="1054"/>
      </w:tblGrid>
      <w:tr w:rsidR="00341507" w14:paraId="054CB23E" w14:textId="77777777" w:rsidTr="00A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CC43AB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9" w:line="360" w:lineRule="auto"/>
              <w:jc w:val="both"/>
              <w:rPr>
                <w:rFonts w:ascii="Book Antiqua" w:hAnsi="Book Antiqua" w:cstheme="majorBidi"/>
                <w:b/>
                <w:bCs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b/>
                <w:bCs/>
                <w:color w:val="231F20"/>
                <w:w w:val="105"/>
              </w:rPr>
              <w:t>Age on date of CD4+ T-lymphocyte test</w:t>
            </w:r>
          </w:p>
        </w:tc>
      </w:tr>
      <w:tr w:rsidR="00352654" w14:paraId="385AE92F" w14:textId="77777777" w:rsidTr="00A36BD7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5EB40F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Stage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2EA4DA" w14:textId="53B7F1FB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&lt;</w:t>
            </w:r>
            <w:r w:rsidR="00341507"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 xml:space="preserve"> </w:t>
            </w: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1</w:t>
            </w:r>
            <w:r w:rsidRPr="0089509A">
              <w:rPr>
                <w:rFonts w:ascii="Book Antiqua" w:hAnsi="Book Antiqua" w:cstheme="majorBidi"/>
                <w:bCs/>
                <w:color w:val="231F20"/>
                <w:spacing w:val="-11"/>
                <w:w w:val="110"/>
              </w:rPr>
              <w:t xml:space="preserve"> </w:t>
            </w:r>
            <w:r w:rsidRPr="0089509A">
              <w:rPr>
                <w:rFonts w:ascii="Book Antiqua" w:hAnsi="Book Antiqua" w:cstheme="majorBidi"/>
                <w:bCs/>
                <w:color w:val="231F20"/>
                <w:spacing w:val="-6"/>
                <w:w w:val="110"/>
              </w:rPr>
              <w:t>yr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770D45" w14:textId="52CB12A2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34" w:line="360" w:lineRule="auto"/>
              <w:ind w:left="619"/>
              <w:jc w:val="both"/>
              <w:rPr>
                <w:rFonts w:ascii="Book Antiqua" w:hAnsi="Book Antiqua" w:cstheme="majorBidi"/>
                <w:bCs/>
                <w:color w:val="231F20"/>
                <w:w w:val="10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05"/>
              </w:rPr>
              <w:t>1–5 yr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44F43E" w14:textId="574FCC43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34" w:line="360" w:lineRule="auto"/>
              <w:ind w:left="592" w:right="503"/>
              <w:jc w:val="both"/>
              <w:rPr>
                <w:rFonts w:ascii="Book Antiqua" w:hAnsi="Book Antiqua" w:cstheme="majorBidi"/>
                <w:bCs/>
                <w:color w:val="231F20"/>
                <w:w w:val="11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≥</w:t>
            </w:r>
            <w:r w:rsidR="00341507"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 xml:space="preserve"> </w:t>
            </w: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6 yr</w:t>
            </w:r>
          </w:p>
        </w:tc>
      </w:tr>
      <w:tr w:rsidR="002C4217" w14:paraId="3F2ED0B0" w14:textId="77777777" w:rsidTr="00A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B070D1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  <w:bCs/>
                <w:color w:val="231F20"/>
                <w:w w:val="11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E4B302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left="154"/>
              <w:jc w:val="both"/>
              <w:rPr>
                <w:rFonts w:ascii="Book Antiqua" w:hAnsi="Book Antiqua" w:cstheme="majorBidi"/>
                <w:bCs/>
                <w:color w:val="231F2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</w:rPr>
              <w:t>Cells/</w:t>
            </w:r>
            <w:r w:rsidRPr="0089509A">
              <w:rPr>
                <w:rFonts w:ascii="Book Antiqua" w:hAnsi="Book Antiqua" w:cstheme="majorBidi"/>
                <w:i/>
                <w:iCs/>
                <w:color w:val="231F20"/>
              </w:rPr>
              <w:t>µ</w:t>
            </w:r>
            <w:r w:rsidRPr="0089509A">
              <w:rPr>
                <w:rFonts w:ascii="Book Antiqua" w:hAnsi="Book Antiqua" w:cstheme="majorBidi"/>
                <w:bCs/>
                <w:color w:val="231F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B4063B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left="188"/>
              <w:jc w:val="both"/>
              <w:rPr>
                <w:rFonts w:ascii="Book Antiqua" w:hAnsi="Book Antiqua" w:cstheme="majorBidi"/>
                <w:bCs/>
                <w:color w:val="231F20"/>
                <w:w w:val="11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5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5FC93E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left="-1" w:right="118"/>
              <w:jc w:val="both"/>
              <w:rPr>
                <w:rFonts w:ascii="Book Antiqua" w:hAnsi="Book Antiqua" w:cstheme="majorBidi"/>
                <w:bCs/>
                <w:color w:val="231F2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</w:rPr>
              <w:t>Cells/</w:t>
            </w:r>
            <w:r w:rsidRPr="0089509A">
              <w:rPr>
                <w:rFonts w:ascii="Book Antiqua" w:hAnsi="Book Antiqua" w:cstheme="majorBidi"/>
                <w:i/>
                <w:iCs/>
                <w:color w:val="231F20"/>
              </w:rPr>
              <w:t>µ</w:t>
            </w:r>
            <w:r w:rsidRPr="0089509A">
              <w:rPr>
                <w:rFonts w:ascii="Book Antiqua" w:hAnsi="Book Antiqua" w:cstheme="majorBidi"/>
                <w:bCs/>
                <w:color w:val="231F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B83820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255"/>
              <w:jc w:val="both"/>
              <w:rPr>
                <w:rFonts w:ascii="Book Antiqua" w:hAnsi="Book Antiqua" w:cstheme="majorBidi"/>
                <w:bCs/>
                <w:color w:val="231F20"/>
                <w:w w:val="11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5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94E040F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174"/>
              <w:jc w:val="both"/>
              <w:rPr>
                <w:rFonts w:ascii="Book Antiqua" w:hAnsi="Book Antiqua" w:cstheme="majorBidi"/>
                <w:bCs/>
                <w:color w:val="231F2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</w:rPr>
              <w:t>Cells/</w:t>
            </w:r>
            <w:r w:rsidRPr="0089509A">
              <w:rPr>
                <w:rFonts w:ascii="Book Antiqua" w:hAnsi="Book Antiqua" w:cstheme="majorBidi"/>
                <w:i/>
                <w:iCs/>
                <w:color w:val="231F20"/>
              </w:rPr>
              <w:t>µ</w:t>
            </w:r>
            <w:r w:rsidRPr="0089509A">
              <w:rPr>
                <w:rFonts w:ascii="Book Antiqua" w:hAnsi="Book Antiqua" w:cstheme="majorBidi"/>
                <w:bCs/>
                <w:color w:val="231F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FE8487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44"/>
              <w:jc w:val="both"/>
              <w:rPr>
                <w:rFonts w:ascii="Book Antiqua" w:hAnsi="Book Antiqua" w:cstheme="majorBidi"/>
                <w:bCs/>
                <w:color w:val="231F20"/>
                <w:w w:val="11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5"/>
              </w:rPr>
              <w:t>%</w:t>
            </w:r>
          </w:p>
        </w:tc>
      </w:tr>
      <w:tr w:rsidR="002C4217" w14:paraId="70CFEC19" w14:textId="77777777" w:rsidTr="00A36BD7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208B8C6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-1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A531CA" w14:textId="023C0D52" w:rsidR="002C4217" w:rsidRPr="009C28AB" w:rsidRDefault="0034150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301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>
              <w:rPr>
                <w:rFonts w:ascii="Book Antiqua" w:hAnsi="Book Antiqua" w:cstheme="majorBidi"/>
                <w:color w:val="231F20"/>
                <w:w w:val="105"/>
              </w:rPr>
              <w:t>≥ 1</w:t>
            </w:r>
            <w:r w:rsidR="002C4217" w:rsidRPr="009C28AB">
              <w:rPr>
                <w:rFonts w:ascii="Book Antiqua" w:hAnsi="Book Antiqua" w:cstheme="majorBidi"/>
                <w:color w:val="231F20"/>
                <w:w w:val="105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73CC28" w14:textId="54D7AAF3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-8"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6BE6BB" w14:textId="004414B0" w:rsidR="002C4217" w:rsidRPr="009C28AB" w:rsidRDefault="0034150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-1" w:right="118"/>
              <w:jc w:val="both"/>
              <w:rPr>
                <w:rFonts w:ascii="Book Antiqua" w:hAnsi="Book Antiqua" w:cstheme="majorBidi"/>
                <w:color w:val="231F20"/>
              </w:rPr>
            </w:pPr>
            <w:r>
              <w:rPr>
                <w:rFonts w:ascii="Book Antiqua" w:hAnsi="Book Antiqua" w:cstheme="majorBidi"/>
                <w:color w:val="231F20"/>
              </w:rPr>
              <w:t>≥ 1</w:t>
            </w:r>
            <w:r w:rsidR="002C4217" w:rsidRPr="009C28AB">
              <w:rPr>
                <w:rFonts w:ascii="Book Antiqua" w:hAnsi="Book Antiqua" w:cstheme="majorBidi"/>
                <w:color w:val="231F20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7F89B9" w14:textId="4EDA4BE0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D3465C" w14:textId="279DA319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right="13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3F348E" w14:textId="6586CC53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118"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26</w:t>
            </w:r>
          </w:p>
        </w:tc>
      </w:tr>
      <w:tr w:rsidR="002C4217" w14:paraId="23919901" w14:textId="77777777" w:rsidTr="00A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A163FB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8584F4" w14:textId="7EB7E2D3" w:rsidR="002C4217" w:rsidRPr="009C28AB" w:rsidRDefault="0034150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"/>
              <w:jc w:val="both"/>
              <w:rPr>
                <w:rFonts w:ascii="Book Antiqua" w:hAnsi="Book Antiqua" w:cstheme="majorBidi"/>
                <w:color w:val="231F20"/>
              </w:rPr>
            </w:pPr>
            <w:r>
              <w:rPr>
                <w:rFonts w:ascii="Book Antiqua" w:hAnsi="Book Antiqua" w:cstheme="majorBidi"/>
                <w:color w:val="231F20"/>
              </w:rPr>
              <w:t>750-1</w:t>
            </w:r>
            <w:r w:rsidR="002C4217" w:rsidRPr="009C28AB">
              <w:rPr>
                <w:rFonts w:ascii="Book Antiqua" w:hAnsi="Book Antiqua" w:cstheme="majorBidi"/>
                <w:color w:val="231F20"/>
              </w:rPr>
              <w:t>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4A465A" w14:textId="1878F369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8" w:right="178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26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9D000" w14:textId="1B4F9433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 w:right="118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500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2D59A8" w14:textId="23F15F15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78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22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D54AB6" w14:textId="16668088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200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A0094C" w14:textId="240F2E6C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18" w:right="160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14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25</w:t>
            </w:r>
          </w:p>
        </w:tc>
      </w:tr>
      <w:tr w:rsidR="002C4217" w14:paraId="08C12F8C" w14:textId="77777777" w:rsidTr="00A36BD7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A78086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FA6141" w14:textId="6F85AE4A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416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71ECE0" w14:textId="767C2D9D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8"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994DBA" w14:textId="14EECD0F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 w:right="11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447B841" w14:textId="283D7704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746DBA" w14:textId="590BA1A1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A269CA" w14:textId="2E447AC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18"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14</w:t>
            </w:r>
          </w:p>
        </w:tc>
      </w:tr>
    </w:tbl>
    <w:p w14:paraId="7649B412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  <w:color w:val="231F20"/>
          <w:spacing w:val="-6"/>
          <w:w w:val="105"/>
        </w:rPr>
      </w:pPr>
    </w:p>
    <w:p w14:paraId="048E08CF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57F4A0D3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5ECA9E42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1E26417D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3CAB2763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73E549E8" w14:textId="77777777" w:rsidR="00A77B3E" w:rsidRDefault="00A77B3E" w:rsidP="00352654">
      <w:pPr>
        <w:spacing w:line="360" w:lineRule="auto"/>
        <w:jc w:val="both"/>
        <w:rPr>
          <w:b/>
        </w:rPr>
      </w:pPr>
    </w:p>
    <w:p w14:paraId="11F7E10D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6D816AD7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18ECA003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5E29B776" w14:textId="5DA3E79B" w:rsidR="00C4503E" w:rsidRPr="00C4503E" w:rsidRDefault="00C4503E" w:rsidP="00C4503E">
      <w:pPr>
        <w:tabs>
          <w:tab w:val="left" w:pos="1788"/>
        </w:tabs>
        <w:spacing w:line="360" w:lineRule="auto"/>
        <w:jc w:val="both"/>
        <w:rPr>
          <w:rFonts w:ascii="Book Antiqua" w:hAnsi="Book Antiqua" w:cstheme="majorBidi"/>
          <w:b/>
        </w:rPr>
      </w:pPr>
      <w:r w:rsidRPr="00C4503E">
        <w:rPr>
          <w:rFonts w:ascii="Book Antiqua" w:hAnsi="Book Antiqua" w:cstheme="majorBidi"/>
          <w:b/>
          <w:color w:val="231F20"/>
          <w:spacing w:val="-5"/>
          <w:w w:val="105"/>
        </w:rPr>
        <w:t xml:space="preserve">Table 2 Classification clinical </w:t>
      </w:r>
      <w:r w:rsidR="00D678F2" w:rsidRPr="00C4503E">
        <w:rPr>
          <w:rFonts w:ascii="Book Antiqua" w:hAnsi="Book Antiqua" w:cstheme="majorBidi"/>
          <w:b/>
          <w:color w:val="231F20"/>
          <w:spacing w:val="-5"/>
          <w:w w:val="105"/>
        </w:rPr>
        <w:t>category</w:t>
      </w:r>
    </w:p>
    <w:tbl>
      <w:tblPr>
        <w:tblStyle w:val="ListTable5Dark-Accent51"/>
        <w:tblpPr w:leftFromText="180" w:rightFromText="180" w:vertAnchor="text" w:horzAnchor="page" w:tblpX="1381" w:tblpY="59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228"/>
        <w:gridCol w:w="8132"/>
      </w:tblGrid>
      <w:tr w:rsidR="00C4503E" w:rsidRPr="004A74F4" w14:paraId="5E47F92F" w14:textId="77777777" w:rsidTr="004A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7007D5" w14:textId="77777777" w:rsidR="00C4503E" w:rsidRPr="004A74F4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  <w:b/>
                <w:color w:val="231F20"/>
                <w:w w:val="110"/>
              </w:rPr>
            </w:pPr>
            <w:bookmarkStart w:id="1" w:name="References"/>
            <w:bookmarkStart w:id="2" w:name="_bookmark0"/>
            <w:bookmarkEnd w:id="1"/>
            <w:bookmarkEnd w:id="2"/>
            <w:r w:rsidRPr="004A74F4">
              <w:rPr>
                <w:rFonts w:ascii="Book Antiqua" w:hAnsi="Book Antiqua" w:cstheme="majorBidi"/>
                <w:b/>
                <w:color w:val="231F20"/>
                <w:w w:val="110"/>
              </w:rPr>
              <w:t>Clinical</w:t>
            </w:r>
          </w:p>
          <w:p w14:paraId="41E93851" w14:textId="77777777" w:rsidR="00C4503E" w:rsidRPr="004A74F4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  <w:b/>
                <w:color w:val="231F20"/>
                <w:w w:val="110"/>
              </w:rPr>
            </w:pPr>
            <w:r w:rsidRPr="004A74F4">
              <w:rPr>
                <w:rFonts w:ascii="Book Antiqua" w:hAnsi="Book Antiqua" w:cstheme="majorBidi"/>
                <w:b/>
                <w:color w:val="231F20"/>
                <w:w w:val="110"/>
              </w:rPr>
              <w:t>category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224F46" w14:textId="77777777" w:rsidR="00C4503E" w:rsidRPr="004A74F4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44"/>
              <w:jc w:val="both"/>
              <w:rPr>
                <w:rFonts w:ascii="Book Antiqua" w:hAnsi="Book Antiqua" w:cstheme="majorBidi"/>
                <w:b/>
                <w:color w:val="231F20"/>
                <w:w w:val="115"/>
              </w:rPr>
            </w:pPr>
            <w:r w:rsidRPr="004A74F4">
              <w:rPr>
                <w:rFonts w:ascii="Book Antiqua" w:hAnsi="Book Antiqua" w:cstheme="majorBidi"/>
                <w:b/>
                <w:bCs/>
                <w:color w:val="231F20"/>
                <w:w w:val="105"/>
              </w:rPr>
              <w:t>Symptomatic conditions</w:t>
            </w:r>
          </w:p>
        </w:tc>
      </w:tr>
      <w:tr w:rsidR="00C4503E" w14:paraId="3882E8B8" w14:textId="77777777" w:rsidTr="004A74F4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2F683A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7BE3EFA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118"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Asymptomatic HIV infection, persistent generalized lymphadenopathy, acute (primary) HIV infection complicated by illness, or a history of acute HIV infection.</w:t>
            </w:r>
            <w:r>
              <w:rPr>
                <w:rFonts w:ascii="Book Antiqua" w:hAnsi="Book Antiqua" w:cstheme="majorBidi"/>
                <w:color w:val="231F20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</w:rPr>
              <w:t>Bacillary angiomatosis</w:t>
            </w:r>
          </w:p>
        </w:tc>
      </w:tr>
      <w:tr w:rsidR="00C4503E" w14:paraId="1C91F5C5" w14:textId="77777777" w:rsidTr="004A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26A3E7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6A8C38" w14:textId="77777777" w:rsidR="00C4503E" w:rsidRPr="009C28AB" w:rsidRDefault="00C4503E" w:rsidP="004F7349">
            <w:p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55" w:after="160" w:line="360" w:lineRule="auto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Candida infection, cervical dysplasia, constitutional symptoms, hairy leukoplakia, herpes zoster, unexplained thrombocytopenic purpura, listeriosis, pelvic inflammatory disease, and peripheral neuropathy.</w:t>
            </w:r>
          </w:p>
        </w:tc>
      </w:tr>
      <w:tr w:rsidR="00C4503E" w14:paraId="0F5933FA" w14:textId="77777777" w:rsidTr="004A74F4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8E4D9A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43C7EA" w14:textId="71573EE9" w:rsidR="00C4503E" w:rsidRPr="009C28AB" w:rsidRDefault="00A655E8" w:rsidP="004F73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>
              <w:rPr>
                <w:rFonts w:ascii="Book Antiqua" w:hAnsi="Book Antiqua" w:cstheme="majorBidi"/>
                <w:color w:val="231F20"/>
              </w:rPr>
              <w:t>AIDS-defining diseases:</w:t>
            </w:r>
            <w:r w:rsidR="00C4503E" w:rsidRPr="009C28AB">
              <w:rPr>
                <w:rFonts w:ascii="Book Antiqua" w:hAnsi="Book Antiqua" w:cstheme="majorBidi"/>
                <w:color w:val="231F20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</w:rPr>
              <w:t>Toxoplasmosis</w:t>
            </w:r>
            <w:r w:rsidR="00C4503E" w:rsidRPr="009C28AB">
              <w:rPr>
                <w:rFonts w:ascii="Book Antiqua" w:hAnsi="Book Antiqua" w:cstheme="majorBidi"/>
                <w:color w:val="231F20"/>
              </w:rPr>
              <w:t>, Kaposi's sarcoma, Pneumocystis pneumonia</w:t>
            </w:r>
          </w:p>
        </w:tc>
      </w:tr>
    </w:tbl>
    <w:p w14:paraId="6C2BBABC" w14:textId="5DA0A8D7" w:rsidR="00C4503E" w:rsidRPr="009C28AB" w:rsidRDefault="00A655E8" w:rsidP="00C4503E">
      <w:pPr>
        <w:tabs>
          <w:tab w:val="left" w:pos="1848"/>
        </w:tabs>
        <w:spacing w:line="360" w:lineRule="auto"/>
        <w:jc w:val="both"/>
        <w:rPr>
          <w:rFonts w:ascii="Book Antiqua" w:hAnsi="Book Antiqua" w:cstheme="majorBidi"/>
        </w:rPr>
      </w:pPr>
      <w:r w:rsidRPr="009C28AB">
        <w:rPr>
          <w:rFonts w:ascii="Book Antiqua" w:hAnsi="Book Antiqua" w:cstheme="majorBidi"/>
          <w:color w:val="231F20"/>
        </w:rPr>
        <w:t>HIV</w:t>
      </w:r>
      <w:r>
        <w:rPr>
          <w:rFonts w:ascii="Book Antiqua" w:hAnsi="Book Antiqua" w:cstheme="majorBidi"/>
          <w:color w:val="231F20"/>
        </w:rPr>
        <w:t xml:space="preserve">: </w:t>
      </w:r>
      <w:r w:rsidR="00A85B98" w:rsidRPr="00A85B98">
        <w:rPr>
          <w:rFonts w:ascii="Book Antiqua" w:hAnsi="Book Antiqua" w:cstheme="majorBidi"/>
          <w:color w:val="231F20"/>
        </w:rPr>
        <w:t>Human immunodeficiency virus</w:t>
      </w:r>
      <w:r w:rsidR="00A85B98">
        <w:rPr>
          <w:rFonts w:ascii="Book Antiqua" w:hAnsi="Book Antiqua" w:cstheme="majorBidi"/>
          <w:color w:val="231F20"/>
        </w:rPr>
        <w:t>;</w:t>
      </w:r>
      <w:r w:rsidR="00C81605" w:rsidRPr="00C81605">
        <w:rPr>
          <w:rFonts w:ascii="Book Antiqua" w:eastAsia="Book Antiqua" w:hAnsi="Book Antiqua" w:cs="Book Antiqua"/>
          <w:color w:val="000000"/>
        </w:rPr>
        <w:t xml:space="preserve"> </w:t>
      </w:r>
      <w:r w:rsidR="00C81605">
        <w:rPr>
          <w:rFonts w:ascii="Book Antiqua" w:hAnsi="Book Antiqua" w:cstheme="majorBidi"/>
          <w:color w:val="231F20"/>
        </w:rPr>
        <w:t>AIDS:</w:t>
      </w:r>
      <w:r w:rsidR="00C81605" w:rsidRPr="009E5872">
        <w:rPr>
          <w:rFonts w:ascii="Book Antiqua" w:eastAsia="Book Antiqua" w:hAnsi="Book Antiqua" w:cs="Book Antiqua"/>
          <w:color w:val="000000"/>
        </w:rPr>
        <w:t xml:space="preserve"> Acquired immunodeficiency syndrome</w:t>
      </w:r>
      <w:r w:rsidR="00B9606C">
        <w:rPr>
          <w:rFonts w:ascii="Book Antiqua" w:eastAsia="Book Antiqua" w:hAnsi="Book Antiqua" w:cs="Book Antiqua"/>
          <w:color w:val="000000"/>
        </w:rPr>
        <w:t>.</w:t>
      </w:r>
    </w:p>
    <w:p w14:paraId="48C347C4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06A4F848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01D59FFA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25F0CA86" w14:textId="77777777" w:rsidR="00B3344C" w:rsidRPr="0072537F" w:rsidRDefault="00B3344C" w:rsidP="00352654">
      <w:pPr>
        <w:spacing w:line="360" w:lineRule="auto"/>
        <w:jc w:val="both"/>
        <w:rPr>
          <w:b/>
        </w:rPr>
      </w:pPr>
    </w:p>
    <w:sectPr w:rsidR="00B3344C" w:rsidRPr="0072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09956" w14:textId="77777777" w:rsidR="00F97FD3" w:rsidRDefault="00F97FD3" w:rsidP="0042080B">
      <w:r>
        <w:separator/>
      </w:r>
    </w:p>
  </w:endnote>
  <w:endnote w:type="continuationSeparator" w:id="0">
    <w:p w14:paraId="469263F6" w14:textId="77777777" w:rsidR="00F97FD3" w:rsidRDefault="00F97FD3" w:rsidP="004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37011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B757C52" w14:textId="2DD5CA13" w:rsidR="004F7349" w:rsidRPr="00B22798" w:rsidRDefault="004F7349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2279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F497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2279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F497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B95A4" w14:textId="77777777" w:rsidR="004F7349" w:rsidRDefault="004F7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D28A" w14:textId="77777777" w:rsidR="00F97FD3" w:rsidRDefault="00F97FD3" w:rsidP="0042080B">
      <w:r>
        <w:separator/>
      </w:r>
    </w:p>
  </w:footnote>
  <w:footnote w:type="continuationSeparator" w:id="0">
    <w:p w14:paraId="11093A96" w14:textId="77777777" w:rsidR="00F97FD3" w:rsidRDefault="00F97FD3" w:rsidP="0042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597"/>
    <w:rsid w:val="00032369"/>
    <w:rsid w:val="00033C76"/>
    <w:rsid w:val="0004072D"/>
    <w:rsid w:val="00056DE2"/>
    <w:rsid w:val="00065963"/>
    <w:rsid w:val="00067E14"/>
    <w:rsid w:val="00073FC3"/>
    <w:rsid w:val="00080277"/>
    <w:rsid w:val="00093DE1"/>
    <w:rsid w:val="000A33F8"/>
    <w:rsid w:val="000D0103"/>
    <w:rsid w:val="000E3737"/>
    <w:rsid w:val="000E4B69"/>
    <w:rsid w:val="000E5DEF"/>
    <w:rsid w:val="001122BB"/>
    <w:rsid w:val="00113958"/>
    <w:rsid w:val="001139E3"/>
    <w:rsid w:val="00132C53"/>
    <w:rsid w:val="00135E63"/>
    <w:rsid w:val="00150218"/>
    <w:rsid w:val="001526F9"/>
    <w:rsid w:val="00173C59"/>
    <w:rsid w:val="001838BD"/>
    <w:rsid w:val="001901D3"/>
    <w:rsid w:val="001B78DB"/>
    <w:rsid w:val="001B7DC9"/>
    <w:rsid w:val="001D67CC"/>
    <w:rsid w:val="001D79A8"/>
    <w:rsid w:val="001E683A"/>
    <w:rsid w:val="00200B87"/>
    <w:rsid w:val="0021457F"/>
    <w:rsid w:val="0021505C"/>
    <w:rsid w:val="00215567"/>
    <w:rsid w:val="00224F4E"/>
    <w:rsid w:val="00255E9F"/>
    <w:rsid w:val="002561AE"/>
    <w:rsid w:val="00266E93"/>
    <w:rsid w:val="00270E62"/>
    <w:rsid w:val="002826A1"/>
    <w:rsid w:val="002978EF"/>
    <w:rsid w:val="002A46BB"/>
    <w:rsid w:val="002B107D"/>
    <w:rsid w:val="002C4217"/>
    <w:rsid w:val="002C56B6"/>
    <w:rsid w:val="002C7A39"/>
    <w:rsid w:val="002D0DA5"/>
    <w:rsid w:val="002D5EE1"/>
    <w:rsid w:val="002E5D64"/>
    <w:rsid w:val="002F2B83"/>
    <w:rsid w:val="002F36E1"/>
    <w:rsid w:val="002F6E7D"/>
    <w:rsid w:val="00311149"/>
    <w:rsid w:val="003160F6"/>
    <w:rsid w:val="00325B8B"/>
    <w:rsid w:val="00332968"/>
    <w:rsid w:val="00334D99"/>
    <w:rsid w:val="0034062D"/>
    <w:rsid w:val="003406B8"/>
    <w:rsid w:val="00340E3C"/>
    <w:rsid w:val="00341507"/>
    <w:rsid w:val="003420B8"/>
    <w:rsid w:val="003514B1"/>
    <w:rsid w:val="00352654"/>
    <w:rsid w:val="0035648A"/>
    <w:rsid w:val="00386DA9"/>
    <w:rsid w:val="00393C96"/>
    <w:rsid w:val="003E2CA6"/>
    <w:rsid w:val="003E60C7"/>
    <w:rsid w:val="003F1385"/>
    <w:rsid w:val="003F3BF3"/>
    <w:rsid w:val="003F3C7A"/>
    <w:rsid w:val="003F56BC"/>
    <w:rsid w:val="00401C0B"/>
    <w:rsid w:val="0040305F"/>
    <w:rsid w:val="00403CA9"/>
    <w:rsid w:val="004050E7"/>
    <w:rsid w:val="0042080B"/>
    <w:rsid w:val="004216B6"/>
    <w:rsid w:val="00424F30"/>
    <w:rsid w:val="00431F30"/>
    <w:rsid w:val="00443924"/>
    <w:rsid w:val="00443C3C"/>
    <w:rsid w:val="004523B4"/>
    <w:rsid w:val="00454093"/>
    <w:rsid w:val="004628AC"/>
    <w:rsid w:val="00464FAE"/>
    <w:rsid w:val="00466D2F"/>
    <w:rsid w:val="004819A9"/>
    <w:rsid w:val="004A040F"/>
    <w:rsid w:val="004A331B"/>
    <w:rsid w:val="004A74F4"/>
    <w:rsid w:val="004A7D74"/>
    <w:rsid w:val="004B336F"/>
    <w:rsid w:val="004B589D"/>
    <w:rsid w:val="004F7349"/>
    <w:rsid w:val="00500019"/>
    <w:rsid w:val="00505193"/>
    <w:rsid w:val="0050573D"/>
    <w:rsid w:val="00520F7D"/>
    <w:rsid w:val="005319CC"/>
    <w:rsid w:val="00540C5C"/>
    <w:rsid w:val="00544207"/>
    <w:rsid w:val="00557716"/>
    <w:rsid w:val="00560419"/>
    <w:rsid w:val="00566145"/>
    <w:rsid w:val="00584B24"/>
    <w:rsid w:val="005866C4"/>
    <w:rsid w:val="005952E0"/>
    <w:rsid w:val="005A0DF0"/>
    <w:rsid w:val="005B0DB5"/>
    <w:rsid w:val="005B578B"/>
    <w:rsid w:val="005B6C23"/>
    <w:rsid w:val="005C51F6"/>
    <w:rsid w:val="005D406C"/>
    <w:rsid w:val="005F22D0"/>
    <w:rsid w:val="00603519"/>
    <w:rsid w:val="006130AC"/>
    <w:rsid w:val="00623D71"/>
    <w:rsid w:val="00627BE0"/>
    <w:rsid w:val="00627E48"/>
    <w:rsid w:val="00630F4A"/>
    <w:rsid w:val="00643BE8"/>
    <w:rsid w:val="00644B3A"/>
    <w:rsid w:val="00653E5D"/>
    <w:rsid w:val="00657656"/>
    <w:rsid w:val="0066633B"/>
    <w:rsid w:val="006A3274"/>
    <w:rsid w:val="006B5522"/>
    <w:rsid w:val="006B733A"/>
    <w:rsid w:val="006C615D"/>
    <w:rsid w:val="006D6430"/>
    <w:rsid w:val="006E2BA0"/>
    <w:rsid w:val="006F2B8D"/>
    <w:rsid w:val="00707BFE"/>
    <w:rsid w:val="00712788"/>
    <w:rsid w:val="00713CB8"/>
    <w:rsid w:val="0072537F"/>
    <w:rsid w:val="00730C0C"/>
    <w:rsid w:val="0076448D"/>
    <w:rsid w:val="007660CD"/>
    <w:rsid w:val="00780E6B"/>
    <w:rsid w:val="00783EC3"/>
    <w:rsid w:val="0079560C"/>
    <w:rsid w:val="007A3687"/>
    <w:rsid w:val="007A3FD1"/>
    <w:rsid w:val="007A7C8D"/>
    <w:rsid w:val="007B1D3E"/>
    <w:rsid w:val="007B61BD"/>
    <w:rsid w:val="007C251A"/>
    <w:rsid w:val="007D2616"/>
    <w:rsid w:val="007D6DA7"/>
    <w:rsid w:val="007E227E"/>
    <w:rsid w:val="007E2A9A"/>
    <w:rsid w:val="007F3BD4"/>
    <w:rsid w:val="008032F5"/>
    <w:rsid w:val="0080742F"/>
    <w:rsid w:val="00816CC4"/>
    <w:rsid w:val="00820376"/>
    <w:rsid w:val="008277BD"/>
    <w:rsid w:val="00827E4D"/>
    <w:rsid w:val="00832E47"/>
    <w:rsid w:val="00833E31"/>
    <w:rsid w:val="008341CA"/>
    <w:rsid w:val="00841984"/>
    <w:rsid w:val="00845B09"/>
    <w:rsid w:val="008603EB"/>
    <w:rsid w:val="00860ACB"/>
    <w:rsid w:val="00860F13"/>
    <w:rsid w:val="008616A6"/>
    <w:rsid w:val="008649D4"/>
    <w:rsid w:val="00880C48"/>
    <w:rsid w:val="0089509A"/>
    <w:rsid w:val="008972B1"/>
    <w:rsid w:val="008B12ED"/>
    <w:rsid w:val="008B467B"/>
    <w:rsid w:val="008C084E"/>
    <w:rsid w:val="008C1184"/>
    <w:rsid w:val="008F0032"/>
    <w:rsid w:val="008F00C3"/>
    <w:rsid w:val="00900120"/>
    <w:rsid w:val="00912552"/>
    <w:rsid w:val="009126CB"/>
    <w:rsid w:val="00921CD7"/>
    <w:rsid w:val="009303B5"/>
    <w:rsid w:val="009349B8"/>
    <w:rsid w:val="00936DE0"/>
    <w:rsid w:val="00941452"/>
    <w:rsid w:val="00946550"/>
    <w:rsid w:val="00961EDE"/>
    <w:rsid w:val="00970366"/>
    <w:rsid w:val="009720EC"/>
    <w:rsid w:val="00995F3D"/>
    <w:rsid w:val="00995FAA"/>
    <w:rsid w:val="009A5616"/>
    <w:rsid w:val="009C3BA4"/>
    <w:rsid w:val="009D4904"/>
    <w:rsid w:val="009D726D"/>
    <w:rsid w:val="009E0EF0"/>
    <w:rsid w:val="009E262D"/>
    <w:rsid w:val="009E5872"/>
    <w:rsid w:val="009E6006"/>
    <w:rsid w:val="009F12EA"/>
    <w:rsid w:val="00A2528A"/>
    <w:rsid w:val="00A36BD7"/>
    <w:rsid w:val="00A402C9"/>
    <w:rsid w:val="00A41E66"/>
    <w:rsid w:val="00A506A3"/>
    <w:rsid w:val="00A51442"/>
    <w:rsid w:val="00A60CEE"/>
    <w:rsid w:val="00A62833"/>
    <w:rsid w:val="00A655E8"/>
    <w:rsid w:val="00A72FB8"/>
    <w:rsid w:val="00A77B3E"/>
    <w:rsid w:val="00A85B98"/>
    <w:rsid w:val="00AA7005"/>
    <w:rsid w:val="00AB0A64"/>
    <w:rsid w:val="00AB4175"/>
    <w:rsid w:val="00AC2612"/>
    <w:rsid w:val="00AC690E"/>
    <w:rsid w:val="00AD0B76"/>
    <w:rsid w:val="00AF4972"/>
    <w:rsid w:val="00B126AC"/>
    <w:rsid w:val="00B22798"/>
    <w:rsid w:val="00B2477B"/>
    <w:rsid w:val="00B3344C"/>
    <w:rsid w:val="00B50DDD"/>
    <w:rsid w:val="00B52C84"/>
    <w:rsid w:val="00B53093"/>
    <w:rsid w:val="00B562C6"/>
    <w:rsid w:val="00B742A2"/>
    <w:rsid w:val="00B8264F"/>
    <w:rsid w:val="00B908BB"/>
    <w:rsid w:val="00B9152C"/>
    <w:rsid w:val="00B927C4"/>
    <w:rsid w:val="00B9606C"/>
    <w:rsid w:val="00BA688C"/>
    <w:rsid w:val="00BB44D0"/>
    <w:rsid w:val="00BD161A"/>
    <w:rsid w:val="00BD3857"/>
    <w:rsid w:val="00BE5ED5"/>
    <w:rsid w:val="00BE7A25"/>
    <w:rsid w:val="00BF1E11"/>
    <w:rsid w:val="00BF2776"/>
    <w:rsid w:val="00C06FBA"/>
    <w:rsid w:val="00C1059F"/>
    <w:rsid w:val="00C35D2F"/>
    <w:rsid w:val="00C4503E"/>
    <w:rsid w:val="00C678C2"/>
    <w:rsid w:val="00C81605"/>
    <w:rsid w:val="00C82240"/>
    <w:rsid w:val="00C96978"/>
    <w:rsid w:val="00C97A6E"/>
    <w:rsid w:val="00CA2A55"/>
    <w:rsid w:val="00CA3BD5"/>
    <w:rsid w:val="00CC07FE"/>
    <w:rsid w:val="00CD15CC"/>
    <w:rsid w:val="00CD5536"/>
    <w:rsid w:val="00CE1BB0"/>
    <w:rsid w:val="00CE754B"/>
    <w:rsid w:val="00CE7662"/>
    <w:rsid w:val="00CF7D26"/>
    <w:rsid w:val="00D069C2"/>
    <w:rsid w:val="00D171B3"/>
    <w:rsid w:val="00D40FE1"/>
    <w:rsid w:val="00D412C7"/>
    <w:rsid w:val="00D41C78"/>
    <w:rsid w:val="00D678F2"/>
    <w:rsid w:val="00DD190B"/>
    <w:rsid w:val="00DD7FB9"/>
    <w:rsid w:val="00DF58AB"/>
    <w:rsid w:val="00E060BE"/>
    <w:rsid w:val="00E13B64"/>
    <w:rsid w:val="00E15991"/>
    <w:rsid w:val="00E434A3"/>
    <w:rsid w:val="00E6022A"/>
    <w:rsid w:val="00E62978"/>
    <w:rsid w:val="00E838EA"/>
    <w:rsid w:val="00EA085E"/>
    <w:rsid w:val="00EA0C87"/>
    <w:rsid w:val="00EA47FE"/>
    <w:rsid w:val="00EB19BC"/>
    <w:rsid w:val="00EB3A90"/>
    <w:rsid w:val="00EB6F5B"/>
    <w:rsid w:val="00EB7F28"/>
    <w:rsid w:val="00EF6309"/>
    <w:rsid w:val="00F037E5"/>
    <w:rsid w:val="00F03EE1"/>
    <w:rsid w:val="00F07C6D"/>
    <w:rsid w:val="00F166E4"/>
    <w:rsid w:val="00F2481F"/>
    <w:rsid w:val="00F256BE"/>
    <w:rsid w:val="00F457B5"/>
    <w:rsid w:val="00F61979"/>
    <w:rsid w:val="00F6557B"/>
    <w:rsid w:val="00F655A8"/>
    <w:rsid w:val="00F6595C"/>
    <w:rsid w:val="00F6679C"/>
    <w:rsid w:val="00F8021D"/>
    <w:rsid w:val="00F970C7"/>
    <w:rsid w:val="00F97FD3"/>
    <w:rsid w:val="00FD49E0"/>
    <w:rsid w:val="00FD741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EBC8"/>
  <w15:docId w15:val="{12215CB4-3103-4A93-9D6D-EC50C1D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character" w:styleId="a3">
    <w:name w:val="annotation reference"/>
    <w:basedOn w:val="a0"/>
    <w:semiHidden/>
    <w:unhideWhenUsed/>
    <w:rsid w:val="001122BB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1122BB"/>
  </w:style>
  <w:style w:type="character" w:customStyle="1" w:styleId="Char">
    <w:name w:val="批注文字 Char"/>
    <w:basedOn w:val="a0"/>
    <w:link w:val="a4"/>
    <w:semiHidden/>
    <w:rsid w:val="001122BB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1122BB"/>
    <w:rPr>
      <w:b/>
      <w:bCs/>
    </w:rPr>
  </w:style>
  <w:style w:type="character" w:customStyle="1" w:styleId="Char0">
    <w:name w:val="批注主题 Char"/>
    <w:basedOn w:val="Char"/>
    <w:link w:val="a5"/>
    <w:semiHidden/>
    <w:rsid w:val="001122BB"/>
    <w:rPr>
      <w:b/>
      <w:bCs/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1122BB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122BB"/>
    <w:rPr>
      <w:sz w:val="18"/>
      <w:szCs w:val="18"/>
    </w:rPr>
  </w:style>
  <w:style w:type="table" w:customStyle="1" w:styleId="ListTable5Dark-Accent51">
    <w:name w:val="List Table 5 Dark - Accent 51"/>
    <w:basedOn w:val="a1"/>
    <w:uiPriority w:val="50"/>
    <w:rsid w:val="002C4217"/>
    <w:rPr>
      <w:rFonts w:ascii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7">
    <w:name w:val="header"/>
    <w:basedOn w:val="a"/>
    <w:link w:val="Char2"/>
    <w:unhideWhenUsed/>
    <w:rsid w:val="0042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42080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208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2080B"/>
    <w:rPr>
      <w:sz w:val="18"/>
      <w:szCs w:val="18"/>
    </w:rPr>
  </w:style>
  <w:style w:type="paragraph" w:styleId="a9">
    <w:name w:val="Revision"/>
    <w:hidden/>
    <w:uiPriority w:val="99"/>
    <w:semiHidden/>
    <w:rsid w:val="000E5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6597</Words>
  <Characters>46509</Characters>
  <Application>Microsoft Office Word</Application>
  <DocSecurity>0</DocSecurity>
  <Lines>877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2022-12-25T12:32:00Z</dcterms:created>
  <dcterms:modified xsi:type="dcterms:W3CDTF">2022-12-25T12:34:00Z</dcterms:modified>
</cp:coreProperties>
</file>