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31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Name of Journal: </w:t>
      </w:r>
      <w:r w:rsidRPr="008021CD">
        <w:rPr>
          <w:rFonts w:ascii="Book Antiqua" w:eastAsia="Book Antiqua" w:hAnsi="Book Antiqua" w:cs="Book Antiqua"/>
          <w:i/>
          <w:color w:val="000000"/>
        </w:rPr>
        <w:t>World Journal of Hepatology</w:t>
      </w:r>
    </w:p>
    <w:p w14:paraId="2A7CB88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Manuscript NO: </w:t>
      </w:r>
      <w:r w:rsidRPr="008021CD">
        <w:rPr>
          <w:rFonts w:ascii="Book Antiqua" w:eastAsia="Book Antiqua" w:hAnsi="Book Antiqua" w:cs="Book Antiqua"/>
          <w:color w:val="000000"/>
        </w:rPr>
        <w:t>79994</w:t>
      </w:r>
    </w:p>
    <w:p w14:paraId="0DBFADD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Manuscript Type: </w:t>
      </w:r>
      <w:r w:rsidRPr="008021CD">
        <w:rPr>
          <w:rFonts w:ascii="Book Antiqua" w:eastAsia="Book Antiqua" w:hAnsi="Book Antiqua" w:cs="Book Antiqua"/>
          <w:color w:val="000000"/>
        </w:rPr>
        <w:t>ORIGINAL ARTICLE</w:t>
      </w:r>
    </w:p>
    <w:p w14:paraId="0D7DF88A" w14:textId="77777777" w:rsidR="00A77B3E" w:rsidRPr="008021CD" w:rsidRDefault="00A77B3E" w:rsidP="008021CD">
      <w:pPr>
        <w:spacing w:line="360" w:lineRule="auto"/>
        <w:jc w:val="both"/>
        <w:rPr>
          <w:rFonts w:ascii="Book Antiqua" w:hAnsi="Book Antiqua"/>
        </w:rPr>
      </w:pPr>
    </w:p>
    <w:p w14:paraId="34B4864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Retrospective Cohort Study</w:t>
      </w:r>
    </w:p>
    <w:p w14:paraId="0C8FF17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Clinical characteristics and outcomes of COVID-19 in patients with autoimmune hepatitis: A population-based matched cohort study</w:t>
      </w:r>
    </w:p>
    <w:p w14:paraId="09301BE2" w14:textId="77777777" w:rsidR="00A77B3E" w:rsidRPr="008021CD" w:rsidRDefault="00A77B3E" w:rsidP="008021CD">
      <w:pPr>
        <w:spacing w:line="360" w:lineRule="auto"/>
        <w:jc w:val="both"/>
        <w:rPr>
          <w:rFonts w:ascii="Book Antiqua" w:hAnsi="Book Antiqua"/>
        </w:rPr>
      </w:pPr>
    </w:p>
    <w:p w14:paraId="15AA6DEB" w14:textId="77777777" w:rsidR="00A77B3E" w:rsidRPr="008021CD" w:rsidRDefault="000E61D2" w:rsidP="008021CD">
      <w:pPr>
        <w:spacing w:line="360" w:lineRule="auto"/>
        <w:jc w:val="both"/>
        <w:rPr>
          <w:rFonts w:ascii="Book Antiqua" w:hAnsi="Book Antiqua"/>
        </w:rPr>
      </w:pPr>
      <w:r w:rsidRPr="008021CD">
        <w:rPr>
          <w:rFonts w:ascii="Book Antiqua" w:eastAsia="Book Antiqua" w:hAnsi="Book Antiqua" w:cs="Book Antiqua"/>
          <w:color w:val="000000"/>
        </w:rPr>
        <w:t xml:space="preserve">Krishnan A </w:t>
      </w:r>
      <w:r w:rsidRPr="008021CD">
        <w:rPr>
          <w:rFonts w:ascii="Book Antiqua" w:eastAsia="Book Antiqua" w:hAnsi="Book Antiqua" w:cs="Book Antiqua"/>
          <w:i/>
          <w:iCs/>
          <w:color w:val="000000"/>
        </w:rPr>
        <w:t>et al</w:t>
      </w:r>
      <w:r w:rsidRPr="008021CD">
        <w:rPr>
          <w:rFonts w:ascii="Book Antiqua" w:eastAsia="Book Antiqua" w:hAnsi="Book Antiqua" w:cs="Book Antiqua"/>
          <w:color w:val="000000"/>
        </w:rPr>
        <w:t xml:space="preserve">. Outcomes of COVID-19 in </w:t>
      </w:r>
      <w:r w:rsidR="0052183B" w:rsidRPr="008021CD">
        <w:rPr>
          <w:rFonts w:ascii="Book Antiqua" w:eastAsia="Book Antiqua" w:hAnsi="Book Antiqua" w:cs="Book Antiqua"/>
          <w:color w:val="000000"/>
        </w:rPr>
        <w:t>autoimmune hepatitis</w:t>
      </w:r>
    </w:p>
    <w:p w14:paraId="4647886B" w14:textId="77777777" w:rsidR="00A77B3E" w:rsidRPr="008021CD" w:rsidRDefault="00A77B3E" w:rsidP="008021CD">
      <w:pPr>
        <w:spacing w:line="360" w:lineRule="auto"/>
        <w:jc w:val="both"/>
        <w:rPr>
          <w:rFonts w:ascii="Book Antiqua" w:hAnsi="Book Antiqua"/>
        </w:rPr>
      </w:pPr>
    </w:p>
    <w:p w14:paraId="4149459E" w14:textId="77777777" w:rsidR="00A77B3E" w:rsidRPr="008021CD" w:rsidRDefault="00A565FE" w:rsidP="008021CD">
      <w:pPr>
        <w:spacing w:line="360" w:lineRule="auto"/>
        <w:jc w:val="both"/>
        <w:rPr>
          <w:rFonts w:ascii="Book Antiqua" w:hAnsi="Book Antiqua"/>
        </w:rPr>
      </w:pPr>
      <w:proofErr w:type="spellStart"/>
      <w:r w:rsidRPr="008021CD">
        <w:rPr>
          <w:rFonts w:ascii="Book Antiqua" w:eastAsia="Book Antiqua" w:hAnsi="Book Antiqua" w:cs="Book Antiqua"/>
          <w:color w:val="000000"/>
        </w:rPr>
        <w:t>Arunkumar</w:t>
      </w:r>
      <w:proofErr w:type="spellEnd"/>
      <w:r w:rsidRPr="008021CD">
        <w:rPr>
          <w:rFonts w:ascii="Book Antiqua" w:eastAsia="Book Antiqua" w:hAnsi="Book Antiqua" w:cs="Book Antiqua"/>
          <w:color w:val="000000"/>
        </w:rPr>
        <w:t xml:space="preserve"> Krishnan, </w:t>
      </w:r>
      <w:proofErr w:type="spellStart"/>
      <w:r w:rsidRPr="008021CD">
        <w:rPr>
          <w:rFonts w:ascii="Book Antiqua" w:eastAsia="Book Antiqua" w:hAnsi="Book Antiqua" w:cs="Book Antiqua"/>
          <w:color w:val="000000"/>
        </w:rPr>
        <w:t>Ruhee</w:t>
      </w:r>
      <w:proofErr w:type="spellEnd"/>
      <w:r w:rsidRPr="008021CD">
        <w:rPr>
          <w:rFonts w:ascii="Book Antiqua" w:eastAsia="Book Antiqua" w:hAnsi="Book Antiqua" w:cs="Book Antiqua"/>
          <w:color w:val="000000"/>
        </w:rPr>
        <w:t xml:space="preserve"> A Patel, Yousaf Bashir </w:t>
      </w:r>
      <w:proofErr w:type="spellStart"/>
      <w:r w:rsidRPr="008021CD">
        <w:rPr>
          <w:rFonts w:ascii="Book Antiqua" w:eastAsia="Book Antiqua" w:hAnsi="Book Antiqua" w:cs="Book Antiqua"/>
          <w:color w:val="000000"/>
        </w:rPr>
        <w:t>Hadi</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Diptasree</w:t>
      </w:r>
      <w:proofErr w:type="spellEnd"/>
      <w:r w:rsidRPr="008021CD">
        <w:rPr>
          <w:rFonts w:ascii="Book Antiqua" w:eastAsia="Book Antiqua" w:hAnsi="Book Antiqua" w:cs="Book Antiqua"/>
          <w:color w:val="000000"/>
        </w:rPr>
        <w:t xml:space="preserve"> Mukherjee, Sarah </w:t>
      </w:r>
      <w:proofErr w:type="spellStart"/>
      <w:r w:rsidRPr="008021CD">
        <w:rPr>
          <w:rFonts w:ascii="Book Antiqua" w:eastAsia="Book Antiqua" w:hAnsi="Book Antiqua" w:cs="Book Antiqua"/>
          <w:color w:val="000000"/>
        </w:rPr>
        <w:t>Shabih</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Shyam</w:t>
      </w:r>
      <w:proofErr w:type="spellEnd"/>
      <w:r w:rsidRPr="008021CD">
        <w:rPr>
          <w:rFonts w:ascii="Book Antiqua" w:eastAsia="Book Antiqua" w:hAnsi="Book Antiqua" w:cs="Book Antiqua"/>
          <w:color w:val="000000"/>
        </w:rPr>
        <w:t xml:space="preserve"> Thakkar, Shailendra Singh, </w:t>
      </w:r>
      <w:proofErr w:type="spellStart"/>
      <w:r w:rsidRPr="008021CD">
        <w:rPr>
          <w:rFonts w:ascii="Book Antiqua" w:eastAsia="Book Antiqua" w:hAnsi="Book Antiqua" w:cs="Book Antiqua"/>
          <w:color w:val="000000"/>
        </w:rPr>
        <w:t>Tinsay</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Saleh A </w:t>
      </w:r>
      <w:proofErr w:type="spellStart"/>
      <w:r w:rsidRPr="008021CD">
        <w:rPr>
          <w:rFonts w:ascii="Book Antiqua" w:eastAsia="Book Antiqua" w:hAnsi="Book Antiqua" w:cs="Book Antiqua"/>
          <w:color w:val="000000"/>
        </w:rPr>
        <w:t>Alqahtani</w:t>
      </w:r>
      <w:proofErr w:type="spellEnd"/>
    </w:p>
    <w:p w14:paraId="33008296" w14:textId="77777777" w:rsidR="00A77B3E" w:rsidRPr="008021CD" w:rsidRDefault="00A77B3E" w:rsidP="008021CD">
      <w:pPr>
        <w:spacing w:line="360" w:lineRule="auto"/>
        <w:jc w:val="both"/>
        <w:rPr>
          <w:rFonts w:ascii="Book Antiqua" w:hAnsi="Book Antiqua"/>
        </w:rPr>
      </w:pPr>
    </w:p>
    <w:p w14:paraId="359E7335" w14:textId="77777777" w:rsidR="00A77B3E" w:rsidRPr="008021CD" w:rsidRDefault="00A565FE" w:rsidP="008021CD">
      <w:pPr>
        <w:spacing w:line="360" w:lineRule="auto"/>
        <w:jc w:val="both"/>
        <w:rPr>
          <w:rFonts w:ascii="Book Antiqua" w:hAnsi="Book Antiqua"/>
        </w:rPr>
      </w:pPr>
      <w:proofErr w:type="spellStart"/>
      <w:r w:rsidRPr="008021CD">
        <w:rPr>
          <w:rFonts w:ascii="Book Antiqua" w:eastAsia="Book Antiqua" w:hAnsi="Book Antiqua" w:cs="Book Antiqua"/>
          <w:b/>
          <w:bCs/>
          <w:color w:val="000000"/>
        </w:rPr>
        <w:t>Arunkumar</w:t>
      </w:r>
      <w:proofErr w:type="spellEnd"/>
      <w:r w:rsidRPr="008021CD">
        <w:rPr>
          <w:rFonts w:ascii="Book Antiqua" w:eastAsia="Book Antiqua" w:hAnsi="Book Antiqua" w:cs="Book Antiqua"/>
          <w:b/>
          <w:bCs/>
          <w:color w:val="000000"/>
        </w:rPr>
        <w:t xml:space="preserve"> Krishnan, </w:t>
      </w:r>
      <w:proofErr w:type="spellStart"/>
      <w:r w:rsidR="000E61D2" w:rsidRPr="008021CD">
        <w:rPr>
          <w:rFonts w:ascii="Book Antiqua" w:eastAsia="Book Antiqua" w:hAnsi="Book Antiqua" w:cs="Book Antiqua"/>
          <w:b/>
          <w:bCs/>
          <w:color w:val="000000"/>
        </w:rPr>
        <w:t>Ruhee</w:t>
      </w:r>
      <w:proofErr w:type="spellEnd"/>
      <w:r w:rsidR="000E61D2" w:rsidRPr="008021CD">
        <w:rPr>
          <w:rFonts w:ascii="Book Antiqua" w:eastAsia="Book Antiqua" w:hAnsi="Book Antiqua" w:cs="Book Antiqua"/>
          <w:b/>
          <w:bCs/>
          <w:color w:val="000000"/>
        </w:rPr>
        <w:t xml:space="preserve"> A Patel, </w:t>
      </w:r>
      <w:r w:rsidRPr="008021CD">
        <w:rPr>
          <w:rFonts w:ascii="Book Antiqua" w:eastAsia="Book Antiqua" w:hAnsi="Book Antiqua" w:cs="Book Antiqua"/>
          <w:b/>
          <w:bCs/>
          <w:color w:val="000000"/>
        </w:rPr>
        <w:t xml:space="preserve">Yousaf Bashir </w:t>
      </w:r>
      <w:proofErr w:type="spellStart"/>
      <w:r w:rsidRPr="008021CD">
        <w:rPr>
          <w:rFonts w:ascii="Book Antiqua" w:eastAsia="Book Antiqua" w:hAnsi="Book Antiqua" w:cs="Book Antiqua"/>
          <w:b/>
          <w:bCs/>
          <w:color w:val="000000"/>
        </w:rPr>
        <w:t>Hadi</w:t>
      </w:r>
      <w:proofErr w:type="spellEnd"/>
      <w:r w:rsidRPr="008021CD">
        <w:rPr>
          <w:rFonts w:ascii="Book Antiqua" w:eastAsia="Book Antiqua" w:hAnsi="Book Antiqua" w:cs="Book Antiqua"/>
          <w:b/>
          <w:bCs/>
          <w:color w:val="000000"/>
        </w:rPr>
        <w:t xml:space="preserve">, Sarah </w:t>
      </w:r>
      <w:proofErr w:type="spellStart"/>
      <w:r w:rsidRPr="008021CD">
        <w:rPr>
          <w:rFonts w:ascii="Book Antiqua" w:eastAsia="Book Antiqua" w:hAnsi="Book Antiqua" w:cs="Book Antiqua"/>
          <w:b/>
          <w:bCs/>
          <w:color w:val="000000"/>
        </w:rPr>
        <w:t>Shabih</w:t>
      </w:r>
      <w:proofErr w:type="spellEnd"/>
      <w:r w:rsidRPr="008021CD">
        <w:rPr>
          <w:rFonts w:ascii="Book Antiqua" w:eastAsia="Book Antiqua" w:hAnsi="Book Antiqua" w:cs="Book Antiqua"/>
          <w:b/>
          <w:bCs/>
          <w:color w:val="000000"/>
        </w:rPr>
        <w:t xml:space="preserve">, </w:t>
      </w:r>
      <w:proofErr w:type="spellStart"/>
      <w:r w:rsidRPr="008021CD">
        <w:rPr>
          <w:rFonts w:ascii="Book Antiqua" w:eastAsia="Book Antiqua" w:hAnsi="Book Antiqua" w:cs="Book Antiqua"/>
          <w:b/>
          <w:bCs/>
          <w:color w:val="000000"/>
        </w:rPr>
        <w:t>Shyam</w:t>
      </w:r>
      <w:proofErr w:type="spellEnd"/>
      <w:r w:rsidRPr="008021CD">
        <w:rPr>
          <w:rFonts w:ascii="Book Antiqua" w:eastAsia="Book Antiqua" w:hAnsi="Book Antiqua" w:cs="Book Antiqua"/>
          <w:b/>
          <w:bCs/>
          <w:color w:val="000000"/>
        </w:rPr>
        <w:t xml:space="preserve"> Thakkar, Shailendra Singh, </w:t>
      </w:r>
      <w:r w:rsidRPr="008021CD">
        <w:rPr>
          <w:rFonts w:ascii="Book Antiqua" w:eastAsia="Book Antiqua" w:hAnsi="Book Antiqua" w:cs="Book Antiqua"/>
          <w:color w:val="000000"/>
        </w:rPr>
        <w:t xml:space="preserve">Section of Gastroenterology </w:t>
      </w:r>
      <w:r w:rsidR="00517DA3">
        <w:rPr>
          <w:rFonts w:ascii="Book Antiqua" w:eastAsia="Book Antiqua" w:hAnsi="Book Antiqua" w:cs="Book Antiqua"/>
          <w:color w:val="000000"/>
        </w:rPr>
        <w:t>and</w:t>
      </w:r>
      <w:r w:rsidRPr="008021CD">
        <w:rPr>
          <w:rFonts w:ascii="Book Antiqua" w:eastAsia="Book Antiqua" w:hAnsi="Book Antiqua" w:cs="Book Antiqua"/>
          <w:color w:val="000000"/>
        </w:rPr>
        <w:t xml:space="preserve"> Hepatology, West Virginia University School of Medicine, Morgantown, WV 26505, United States</w:t>
      </w:r>
    </w:p>
    <w:p w14:paraId="1AB6935F" w14:textId="77777777" w:rsidR="00A77B3E" w:rsidRPr="008021CD" w:rsidRDefault="00A77B3E" w:rsidP="008021CD">
      <w:pPr>
        <w:spacing w:line="360" w:lineRule="auto"/>
        <w:jc w:val="both"/>
        <w:rPr>
          <w:rFonts w:ascii="Book Antiqua" w:hAnsi="Book Antiqua"/>
        </w:rPr>
      </w:pPr>
    </w:p>
    <w:p w14:paraId="69405231" w14:textId="77777777" w:rsidR="00A77B3E" w:rsidRPr="008021CD" w:rsidRDefault="00A565FE" w:rsidP="008021CD">
      <w:pPr>
        <w:spacing w:line="360" w:lineRule="auto"/>
        <w:jc w:val="both"/>
        <w:rPr>
          <w:rFonts w:ascii="Book Antiqua" w:hAnsi="Book Antiqua"/>
        </w:rPr>
      </w:pPr>
      <w:proofErr w:type="spellStart"/>
      <w:r w:rsidRPr="008021CD">
        <w:rPr>
          <w:rFonts w:ascii="Book Antiqua" w:eastAsia="Book Antiqua" w:hAnsi="Book Antiqua" w:cs="Book Antiqua"/>
          <w:b/>
          <w:bCs/>
          <w:color w:val="000000"/>
        </w:rPr>
        <w:t>Arunkumar</w:t>
      </w:r>
      <w:proofErr w:type="spellEnd"/>
      <w:r w:rsidRPr="008021CD">
        <w:rPr>
          <w:rFonts w:ascii="Book Antiqua" w:eastAsia="Book Antiqua" w:hAnsi="Book Antiqua" w:cs="Book Antiqua"/>
          <w:b/>
          <w:bCs/>
          <w:color w:val="000000"/>
        </w:rPr>
        <w:t xml:space="preserve"> Krishnan, </w:t>
      </w:r>
      <w:r w:rsidRPr="008021CD">
        <w:rPr>
          <w:rFonts w:ascii="Book Antiqua" w:eastAsia="Book Antiqua" w:hAnsi="Book Antiqua" w:cs="Book Antiqua"/>
          <w:color w:val="000000"/>
        </w:rPr>
        <w:t>Division of Gastroenterology and Hepatology, Johns Hopkins University School of Medicine, Baltimore, MD 21287, United States</w:t>
      </w:r>
    </w:p>
    <w:p w14:paraId="639E01DB" w14:textId="77777777" w:rsidR="00A77B3E" w:rsidRPr="008021CD" w:rsidRDefault="00A77B3E" w:rsidP="008021CD">
      <w:pPr>
        <w:spacing w:line="360" w:lineRule="auto"/>
        <w:jc w:val="both"/>
        <w:rPr>
          <w:rFonts w:ascii="Book Antiqua" w:hAnsi="Book Antiqua"/>
        </w:rPr>
      </w:pPr>
    </w:p>
    <w:p w14:paraId="3FBA2984" w14:textId="77777777" w:rsidR="00A77B3E" w:rsidRPr="008021CD" w:rsidRDefault="00A565FE" w:rsidP="008021CD">
      <w:pPr>
        <w:spacing w:line="360" w:lineRule="auto"/>
        <w:jc w:val="both"/>
        <w:rPr>
          <w:rFonts w:ascii="Book Antiqua" w:hAnsi="Book Antiqua"/>
        </w:rPr>
      </w:pPr>
      <w:proofErr w:type="spellStart"/>
      <w:r w:rsidRPr="008021CD">
        <w:rPr>
          <w:rFonts w:ascii="Book Antiqua" w:eastAsia="Book Antiqua" w:hAnsi="Book Antiqua" w:cs="Book Antiqua"/>
          <w:b/>
          <w:bCs/>
          <w:color w:val="000000"/>
        </w:rPr>
        <w:t>Diptasree</w:t>
      </w:r>
      <w:proofErr w:type="spellEnd"/>
      <w:r w:rsidRPr="008021CD">
        <w:rPr>
          <w:rFonts w:ascii="Book Antiqua" w:eastAsia="Book Antiqua" w:hAnsi="Book Antiqua" w:cs="Book Antiqua"/>
          <w:b/>
          <w:bCs/>
          <w:color w:val="000000"/>
        </w:rPr>
        <w:t xml:space="preserve"> Mukherjee, </w:t>
      </w:r>
      <w:r w:rsidRPr="008021CD">
        <w:rPr>
          <w:rFonts w:ascii="Book Antiqua" w:eastAsia="Book Antiqua" w:hAnsi="Book Antiqua" w:cs="Book Antiqua"/>
          <w:color w:val="000000"/>
        </w:rPr>
        <w:t xml:space="preserve">Department of Medicine, Apex Institute </w:t>
      </w:r>
      <w:r w:rsidR="000E61D2" w:rsidRPr="008021CD">
        <w:rPr>
          <w:rFonts w:ascii="Book Antiqua" w:eastAsia="Book Antiqua" w:hAnsi="Book Antiqua" w:cs="Book Antiqua"/>
          <w:color w:val="000000"/>
        </w:rPr>
        <w:t>o</w:t>
      </w:r>
      <w:r w:rsidRPr="008021CD">
        <w:rPr>
          <w:rFonts w:ascii="Book Antiqua" w:eastAsia="Book Antiqua" w:hAnsi="Book Antiqua" w:cs="Book Antiqua"/>
          <w:color w:val="000000"/>
        </w:rPr>
        <w:t>f Medical Science, Kolkata 700075, West Bengal, India</w:t>
      </w:r>
    </w:p>
    <w:p w14:paraId="63D78990" w14:textId="77777777" w:rsidR="00A77B3E" w:rsidRPr="008021CD" w:rsidRDefault="00A77B3E" w:rsidP="008021CD">
      <w:pPr>
        <w:spacing w:line="360" w:lineRule="auto"/>
        <w:jc w:val="both"/>
        <w:rPr>
          <w:rFonts w:ascii="Book Antiqua" w:hAnsi="Book Antiqua"/>
        </w:rPr>
      </w:pPr>
    </w:p>
    <w:p w14:paraId="5EC546A2" w14:textId="77777777" w:rsidR="00A77B3E" w:rsidRPr="008021CD" w:rsidRDefault="00A565FE" w:rsidP="008021CD">
      <w:pPr>
        <w:spacing w:line="360" w:lineRule="auto"/>
        <w:jc w:val="both"/>
        <w:rPr>
          <w:rFonts w:ascii="Book Antiqua" w:hAnsi="Book Antiqua"/>
        </w:rPr>
      </w:pPr>
      <w:proofErr w:type="spellStart"/>
      <w:r w:rsidRPr="008021CD">
        <w:rPr>
          <w:rFonts w:ascii="Book Antiqua" w:eastAsia="Book Antiqua" w:hAnsi="Book Antiqua" w:cs="Book Antiqua"/>
          <w:b/>
          <w:bCs/>
          <w:color w:val="000000"/>
        </w:rPr>
        <w:t>Tinsay</w:t>
      </w:r>
      <w:proofErr w:type="spellEnd"/>
      <w:r w:rsidRPr="008021CD">
        <w:rPr>
          <w:rFonts w:ascii="Book Antiqua" w:eastAsia="Book Antiqua" w:hAnsi="Book Antiqua" w:cs="Book Antiqua"/>
          <w:b/>
          <w:bCs/>
          <w:color w:val="000000"/>
        </w:rPr>
        <w:t xml:space="preserve"> A </w:t>
      </w:r>
      <w:proofErr w:type="spellStart"/>
      <w:r w:rsidRPr="008021CD">
        <w:rPr>
          <w:rFonts w:ascii="Book Antiqua" w:eastAsia="Book Antiqua" w:hAnsi="Book Antiqua" w:cs="Book Antiqua"/>
          <w:b/>
          <w:bCs/>
          <w:color w:val="000000"/>
        </w:rPr>
        <w:t>Woreta</w:t>
      </w:r>
      <w:proofErr w:type="spellEnd"/>
      <w:r w:rsidRPr="008021CD">
        <w:rPr>
          <w:rFonts w:ascii="Book Antiqua" w:eastAsia="Book Antiqua" w:hAnsi="Book Antiqua" w:cs="Book Antiqua"/>
          <w:b/>
          <w:bCs/>
          <w:color w:val="000000"/>
        </w:rPr>
        <w:t xml:space="preserve">, Saleh A </w:t>
      </w:r>
      <w:proofErr w:type="spellStart"/>
      <w:r w:rsidRPr="008021CD">
        <w:rPr>
          <w:rFonts w:ascii="Book Antiqua" w:eastAsia="Book Antiqua" w:hAnsi="Book Antiqua" w:cs="Book Antiqua"/>
          <w:b/>
          <w:bCs/>
          <w:color w:val="000000"/>
        </w:rPr>
        <w:t>Alqahtani</w:t>
      </w:r>
      <w:proofErr w:type="spellEnd"/>
      <w:r w:rsidRPr="008021CD">
        <w:rPr>
          <w:rFonts w:ascii="Book Antiqua" w:eastAsia="Book Antiqua" w:hAnsi="Book Antiqua" w:cs="Book Antiqua"/>
          <w:b/>
          <w:bCs/>
          <w:color w:val="000000"/>
        </w:rPr>
        <w:t xml:space="preserve">, </w:t>
      </w:r>
      <w:r w:rsidRPr="008021CD">
        <w:rPr>
          <w:rFonts w:ascii="Book Antiqua" w:eastAsia="Book Antiqua" w:hAnsi="Book Antiqua" w:cs="Book Antiqua"/>
          <w:color w:val="000000"/>
        </w:rPr>
        <w:t xml:space="preserve">Division of Gastroenterology </w:t>
      </w:r>
      <w:r w:rsidR="00517DA3">
        <w:rPr>
          <w:rFonts w:ascii="Book Antiqua" w:eastAsia="Book Antiqua" w:hAnsi="Book Antiqua" w:cs="Book Antiqua"/>
          <w:color w:val="000000"/>
        </w:rPr>
        <w:t>and</w:t>
      </w:r>
      <w:r w:rsidRPr="008021CD">
        <w:rPr>
          <w:rFonts w:ascii="Book Antiqua" w:eastAsia="Book Antiqua" w:hAnsi="Book Antiqua" w:cs="Book Antiqua"/>
          <w:color w:val="000000"/>
        </w:rPr>
        <w:t xml:space="preserve"> Hepatology, Johns Hopkins University School of Medicine, Baltimore, MD 21287, United States</w:t>
      </w:r>
    </w:p>
    <w:p w14:paraId="51338F37" w14:textId="77777777" w:rsidR="00A77B3E" w:rsidRPr="008021CD" w:rsidRDefault="00A77B3E" w:rsidP="008021CD">
      <w:pPr>
        <w:spacing w:line="360" w:lineRule="auto"/>
        <w:jc w:val="both"/>
        <w:rPr>
          <w:rFonts w:ascii="Book Antiqua" w:hAnsi="Book Antiqua"/>
        </w:rPr>
      </w:pPr>
    </w:p>
    <w:p w14:paraId="420A0D1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Saleh A </w:t>
      </w:r>
      <w:proofErr w:type="spellStart"/>
      <w:r w:rsidRPr="008021CD">
        <w:rPr>
          <w:rFonts w:ascii="Book Antiqua" w:eastAsia="Book Antiqua" w:hAnsi="Book Antiqua" w:cs="Book Antiqua"/>
          <w:b/>
          <w:bCs/>
          <w:color w:val="000000"/>
        </w:rPr>
        <w:t>Alqahtani</w:t>
      </w:r>
      <w:proofErr w:type="spellEnd"/>
      <w:r w:rsidRPr="008021CD">
        <w:rPr>
          <w:rFonts w:ascii="Book Antiqua" w:eastAsia="Book Antiqua" w:hAnsi="Book Antiqua" w:cs="Book Antiqua"/>
          <w:b/>
          <w:bCs/>
          <w:color w:val="000000"/>
        </w:rPr>
        <w:t xml:space="preserve">, </w:t>
      </w:r>
      <w:r w:rsidRPr="008021CD">
        <w:rPr>
          <w:rFonts w:ascii="Book Antiqua" w:eastAsia="Book Antiqua" w:hAnsi="Book Antiqua" w:cs="Book Antiqua"/>
          <w:color w:val="000000"/>
        </w:rPr>
        <w:t xml:space="preserve">Liver Transplant Center, King Faisal Specialist Hospital </w:t>
      </w:r>
      <w:r w:rsidR="00517DA3">
        <w:rPr>
          <w:rFonts w:ascii="Book Antiqua" w:eastAsia="Book Antiqua" w:hAnsi="Book Antiqua" w:cs="Book Antiqua"/>
          <w:color w:val="000000"/>
        </w:rPr>
        <w:t>and</w:t>
      </w:r>
      <w:r w:rsidRPr="008021CD">
        <w:rPr>
          <w:rFonts w:ascii="Book Antiqua" w:eastAsia="Book Antiqua" w:hAnsi="Book Antiqua" w:cs="Book Antiqua"/>
          <w:color w:val="000000"/>
        </w:rPr>
        <w:t xml:space="preserve"> Research Center, Riyadh 12713, Saudi Arabia</w:t>
      </w:r>
    </w:p>
    <w:p w14:paraId="16A42815" w14:textId="77777777" w:rsidR="00A77B3E" w:rsidRPr="008021CD" w:rsidRDefault="00A77B3E" w:rsidP="008021CD">
      <w:pPr>
        <w:spacing w:line="360" w:lineRule="auto"/>
        <w:jc w:val="both"/>
        <w:rPr>
          <w:rFonts w:ascii="Book Antiqua" w:hAnsi="Book Antiqua"/>
        </w:rPr>
      </w:pPr>
    </w:p>
    <w:p w14:paraId="32A27E7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lastRenderedPageBreak/>
        <w:t xml:space="preserve">Author contributions: </w:t>
      </w:r>
      <w:r w:rsidR="000E61D2" w:rsidRPr="008021CD">
        <w:rPr>
          <w:rFonts w:ascii="Book Antiqua" w:eastAsia="Book Antiqua" w:hAnsi="Book Antiqua" w:cs="Book Antiqua"/>
          <w:color w:val="000000"/>
        </w:rPr>
        <w:t>Krishnan A</w:t>
      </w:r>
      <w:r w:rsidRPr="008021CD">
        <w:rPr>
          <w:rFonts w:ascii="Book Antiqua" w:eastAsia="Book Antiqua" w:hAnsi="Book Antiqua" w:cs="Book Antiqua"/>
          <w:color w:val="000000"/>
        </w:rPr>
        <w:t xml:space="preserve"> conceptualized and designed the research</w:t>
      </w:r>
      <w:r w:rsidR="000E61D2"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Alqahtani</w:t>
      </w:r>
      <w:proofErr w:type="spellEnd"/>
      <w:r w:rsidRPr="008021CD">
        <w:rPr>
          <w:rFonts w:ascii="Book Antiqua" w:eastAsia="Book Antiqua" w:hAnsi="Book Antiqua" w:cs="Book Antiqua"/>
          <w:color w:val="000000"/>
        </w:rPr>
        <w:t xml:space="preserve"> SA and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TA supervised the project; Krishnan A performed the formal analysis and interpretation of the data; Krishnan A</w:t>
      </w:r>
      <w:r w:rsidR="000E61D2" w:rsidRPr="008021CD">
        <w:rPr>
          <w:rFonts w:ascii="Book Antiqua" w:eastAsia="Book Antiqua" w:hAnsi="Book Antiqua" w:cs="Book Antiqua"/>
          <w:color w:val="000000"/>
        </w:rPr>
        <w:t xml:space="preserve"> and</w:t>
      </w:r>
      <w:r w:rsidRPr="008021CD">
        <w:rPr>
          <w:rFonts w:ascii="Book Antiqua" w:eastAsia="Book Antiqua" w:hAnsi="Book Antiqua" w:cs="Book Antiqua"/>
          <w:color w:val="000000"/>
        </w:rPr>
        <w:t xml:space="preserve"> Patel RA wrote the original draft; Krishnan A, Patel RA, </w:t>
      </w:r>
      <w:proofErr w:type="spellStart"/>
      <w:r w:rsidRPr="008021CD">
        <w:rPr>
          <w:rFonts w:ascii="Book Antiqua" w:eastAsia="Book Antiqua" w:hAnsi="Book Antiqua" w:cs="Book Antiqua"/>
          <w:color w:val="000000"/>
        </w:rPr>
        <w:t>Hadi</w:t>
      </w:r>
      <w:proofErr w:type="spellEnd"/>
      <w:r w:rsidRPr="008021CD">
        <w:rPr>
          <w:rFonts w:ascii="Book Antiqua" w:eastAsia="Book Antiqua" w:hAnsi="Book Antiqua" w:cs="Book Antiqua"/>
          <w:color w:val="000000"/>
        </w:rPr>
        <w:t xml:space="preserve"> Y</w:t>
      </w:r>
      <w:r w:rsidR="000E61D2" w:rsidRPr="008021CD">
        <w:rPr>
          <w:rFonts w:ascii="Book Antiqua" w:eastAsia="Book Antiqua" w:hAnsi="Book Antiqua" w:cs="Book Antiqua"/>
          <w:color w:val="000000"/>
        </w:rPr>
        <w:t>B</w:t>
      </w:r>
      <w:r w:rsidRPr="008021CD">
        <w:rPr>
          <w:rFonts w:ascii="Book Antiqua" w:eastAsia="Book Antiqua" w:hAnsi="Book Antiqua" w:cs="Book Antiqua"/>
          <w:color w:val="000000"/>
        </w:rPr>
        <w:t xml:space="preserve">, Mukherjee D,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TA, </w:t>
      </w:r>
      <w:r w:rsidR="000E61D2" w:rsidRPr="008021CD">
        <w:rPr>
          <w:rFonts w:ascii="Book Antiqua" w:eastAsia="Book Antiqua" w:hAnsi="Book Antiqua" w:cs="Book Antiqua"/>
          <w:color w:val="000000"/>
        </w:rPr>
        <w:t xml:space="preserve">and </w:t>
      </w:r>
      <w:proofErr w:type="spellStart"/>
      <w:r w:rsidRPr="008021CD">
        <w:rPr>
          <w:rFonts w:ascii="Book Antiqua" w:eastAsia="Book Antiqua" w:hAnsi="Book Antiqua" w:cs="Book Antiqua"/>
          <w:color w:val="000000"/>
        </w:rPr>
        <w:t>Alqahtani</w:t>
      </w:r>
      <w:proofErr w:type="spellEnd"/>
      <w:r w:rsidRPr="008021CD">
        <w:rPr>
          <w:rFonts w:ascii="Book Antiqua" w:eastAsia="Book Antiqua" w:hAnsi="Book Antiqua" w:cs="Book Antiqua"/>
          <w:color w:val="000000"/>
        </w:rPr>
        <w:t xml:space="preserve"> SA performed the review and editing of the draft; Krishnan A and </w:t>
      </w:r>
      <w:proofErr w:type="spellStart"/>
      <w:r w:rsidRPr="008021CD">
        <w:rPr>
          <w:rFonts w:ascii="Book Antiqua" w:eastAsia="Book Antiqua" w:hAnsi="Book Antiqua" w:cs="Book Antiqua"/>
          <w:color w:val="000000"/>
        </w:rPr>
        <w:t>Hadi</w:t>
      </w:r>
      <w:proofErr w:type="spellEnd"/>
      <w:r w:rsidRPr="008021CD">
        <w:rPr>
          <w:rFonts w:ascii="Book Antiqua" w:eastAsia="Book Antiqua" w:hAnsi="Book Antiqua" w:cs="Book Antiqua"/>
          <w:color w:val="000000"/>
        </w:rPr>
        <w:t xml:space="preserve"> Y</w:t>
      </w:r>
      <w:r w:rsidR="000E61D2" w:rsidRPr="008021CD">
        <w:rPr>
          <w:rFonts w:ascii="Book Antiqua" w:eastAsia="Book Antiqua" w:hAnsi="Book Antiqua" w:cs="Book Antiqua"/>
          <w:color w:val="000000"/>
        </w:rPr>
        <w:t>B</w:t>
      </w:r>
      <w:r w:rsidRPr="008021CD">
        <w:rPr>
          <w:rFonts w:ascii="Book Antiqua" w:eastAsia="Book Antiqua" w:hAnsi="Book Antiqua" w:cs="Book Antiqua"/>
          <w:color w:val="000000"/>
        </w:rPr>
        <w:t xml:space="preserve"> performed a critical revision of the manuscript</w:t>
      </w:r>
      <w:r w:rsidR="000E61D2" w:rsidRPr="008021CD">
        <w:rPr>
          <w:rFonts w:ascii="Book Antiqua" w:eastAsia="Book Antiqua" w:hAnsi="Book Antiqua" w:cs="Book Antiqua"/>
          <w:color w:val="000000"/>
        </w:rPr>
        <w:t>; and</w:t>
      </w:r>
      <w:r w:rsidRPr="008021CD">
        <w:rPr>
          <w:rFonts w:ascii="Book Antiqua" w:eastAsia="Book Antiqua" w:hAnsi="Book Antiqua" w:cs="Book Antiqua"/>
          <w:color w:val="000000"/>
        </w:rPr>
        <w:t xml:space="preserve"> </w:t>
      </w:r>
      <w:r w:rsidR="000E61D2" w:rsidRPr="008021CD">
        <w:rPr>
          <w:rFonts w:ascii="Book Antiqua" w:eastAsia="Book Antiqua" w:hAnsi="Book Antiqua" w:cs="Book Antiqua"/>
          <w:color w:val="000000"/>
        </w:rPr>
        <w:t>a</w:t>
      </w:r>
      <w:r w:rsidRPr="008021CD">
        <w:rPr>
          <w:rFonts w:ascii="Book Antiqua" w:eastAsia="Book Antiqua" w:hAnsi="Book Antiqua" w:cs="Book Antiqua"/>
          <w:color w:val="000000"/>
        </w:rPr>
        <w:t xml:space="preserve">ll authors revised the manuscript for important intellectual content; </w:t>
      </w:r>
      <w:r w:rsidR="000E61D2" w:rsidRPr="008021CD">
        <w:rPr>
          <w:rFonts w:ascii="Book Antiqua" w:eastAsia="Book Antiqua" w:hAnsi="Book Antiqua" w:cs="Book Antiqua"/>
          <w:color w:val="000000"/>
        </w:rPr>
        <w:t>and a</w:t>
      </w:r>
      <w:r w:rsidRPr="008021CD">
        <w:rPr>
          <w:rFonts w:ascii="Book Antiqua" w:eastAsia="Book Antiqua" w:hAnsi="Book Antiqua" w:cs="Book Antiqua"/>
          <w:color w:val="000000"/>
        </w:rPr>
        <w:t>ll authors approved the article</w:t>
      </w:r>
      <w:r w:rsidR="000E61D2"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s final version, including the authorship list. </w:t>
      </w:r>
    </w:p>
    <w:p w14:paraId="1EDAE7C9" w14:textId="77777777" w:rsidR="000E61D2" w:rsidRPr="008021CD" w:rsidRDefault="000E61D2" w:rsidP="008021CD">
      <w:pPr>
        <w:spacing w:line="360" w:lineRule="auto"/>
        <w:jc w:val="both"/>
        <w:rPr>
          <w:rFonts w:ascii="Book Antiqua" w:eastAsia="Book Antiqua" w:hAnsi="Book Antiqua" w:cs="Book Antiqua"/>
          <w:color w:val="000000"/>
        </w:rPr>
      </w:pPr>
    </w:p>
    <w:p w14:paraId="4EFADF3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Corresponding author: </w:t>
      </w:r>
      <w:proofErr w:type="spellStart"/>
      <w:r w:rsidRPr="008021CD">
        <w:rPr>
          <w:rFonts w:ascii="Book Antiqua" w:eastAsia="Book Antiqua" w:hAnsi="Book Antiqua" w:cs="Book Antiqua"/>
          <w:b/>
          <w:bCs/>
          <w:color w:val="000000"/>
        </w:rPr>
        <w:t>Arunkumar</w:t>
      </w:r>
      <w:proofErr w:type="spellEnd"/>
      <w:r w:rsidRPr="008021CD">
        <w:rPr>
          <w:rFonts w:ascii="Book Antiqua" w:eastAsia="Book Antiqua" w:hAnsi="Book Antiqua" w:cs="Book Antiqua"/>
          <w:b/>
          <w:bCs/>
          <w:color w:val="000000"/>
        </w:rPr>
        <w:t xml:space="preserve"> Krishnan, MBBS, Doctor, Research Fellow, </w:t>
      </w:r>
      <w:r w:rsidRPr="008021CD">
        <w:rPr>
          <w:rFonts w:ascii="Book Antiqua" w:eastAsia="Book Antiqua" w:hAnsi="Book Antiqua" w:cs="Book Antiqua"/>
          <w:color w:val="000000"/>
        </w:rPr>
        <w:t xml:space="preserve">Section of Gastroenterology </w:t>
      </w:r>
      <w:r w:rsidR="00517DA3">
        <w:rPr>
          <w:rFonts w:ascii="Book Antiqua" w:eastAsia="Book Antiqua" w:hAnsi="Book Antiqua" w:cs="Book Antiqua"/>
          <w:color w:val="000000"/>
        </w:rPr>
        <w:t>and</w:t>
      </w:r>
      <w:r w:rsidRPr="008021CD">
        <w:rPr>
          <w:rFonts w:ascii="Book Antiqua" w:eastAsia="Book Antiqua" w:hAnsi="Book Antiqua" w:cs="Book Antiqua"/>
          <w:color w:val="000000"/>
        </w:rPr>
        <w:t xml:space="preserve"> Hepatology, West Virginia University School of Medicine, PO Box 9161, 5</w:t>
      </w:r>
      <w:r w:rsidRPr="008021CD">
        <w:rPr>
          <w:rFonts w:ascii="Book Antiqua" w:eastAsia="Book Antiqua" w:hAnsi="Book Antiqua" w:cs="Book Antiqua"/>
          <w:color w:val="000000"/>
          <w:vertAlign w:val="superscript"/>
        </w:rPr>
        <w:t>th</w:t>
      </w:r>
      <w:r w:rsidRPr="008021CD">
        <w:rPr>
          <w:rFonts w:ascii="Book Antiqua" w:eastAsia="Book Antiqua" w:hAnsi="Book Antiqua" w:cs="Book Antiqua"/>
          <w:color w:val="000000"/>
        </w:rPr>
        <w:t xml:space="preserve"> Floor HSC, Room 5500, Morgantown, WV 26505, United States. dr.arunkumar.krishnan@gmail.com</w:t>
      </w:r>
    </w:p>
    <w:p w14:paraId="0952089E" w14:textId="77777777" w:rsidR="00A77B3E" w:rsidRPr="008021CD" w:rsidRDefault="00A77B3E" w:rsidP="008021CD">
      <w:pPr>
        <w:spacing w:line="360" w:lineRule="auto"/>
        <w:jc w:val="both"/>
        <w:rPr>
          <w:rFonts w:ascii="Book Antiqua" w:hAnsi="Book Antiqua"/>
        </w:rPr>
      </w:pPr>
    </w:p>
    <w:p w14:paraId="2B213B6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Received: </w:t>
      </w:r>
      <w:r w:rsidRPr="008021CD">
        <w:rPr>
          <w:rFonts w:ascii="Book Antiqua" w:eastAsia="Book Antiqua" w:hAnsi="Book Antiqua" w:cs="Book Antiqua"/>
          <w:color w:val="000000"/>
        </w:rPr>
        <w:t>September 13, 2022</w:t>
      </w:r>
    </w:p>
    <w:p w14:paraId="34F0225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Revised: </w:t>
      </w:r>
      <w:r w:rsidRPr="008021CD">
        <w:rPr>
          <w:rFonts w:ascii="Book Antiqua" w:eastAsia="Book Antiqua" w:hAnsi="Book Antiqua" w:cs="Book Antiqua"/>
          <w:color w:val="000000"/>
        </w:rPr>
        <w:t>October 25, 2022</w:t>
      </w:r>
    </w:p>
    <w:p w14:paraId="7B61B06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Accepted:</w:t>
      </w:r>
      <w:r w:rsidR="00262A9F">
        <w:rPr>
          <w:rFonts w:ascii="Book Antiqua" w:eastAsia="Book Antiqua" w:hAnsi="Book Antiqua" w:cs="Book Antiqua"/>
          <w:b/>
          <w:bCs/>
          <w:color w:val="000000"/>
        </w:rPr>
        <w:t xml:space="preserve"> </w:t>
      </w:r>
      <w:r w:rsidR="00262A9F" w:rsidRPr="00506786">
        <w:rPr>
          <w:rFonts w:ascii="Book Antiqua" w:eastAsia="Book Antiqua" w:hAnsi="Book Antiqua" w:cs="Book Antiqua"/>
          <w:color w:val="000000"/>
        </w:rPr>
        <w:t>November 14, 2022</w:t>
      </w:r>
    </w:p>
    <w:p w14:paraId="6DBA437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Published online: </w:t>
      </w:r>
      <w:r w:rsidR="00321972">
        <w:rPr>
          <w:rFonts w:ascii="Book Antiqua" w:hAnsi="Book Antiqua"/>
          <w:color w:val="000000"/>
          <w:shd w:val="clear" w:color="auto" w:fill="FFFFFF"/>
        </w:rPr>
        <w:t>January 27, 2023</w:t>
      </w:r>
    </w:p>
    <w:p w14:paraId="1DBB7F28" w14:textId="77777777" w:rsidR="00A77B3E" w:rsidRPr="008021CD" w:rsidRDefault="00A77B3E" w:rsidP="008021CD">
      <w:pPr>
        <w:spacing w:line="360" w:lineRule="auto"/>
        <w:jc w:val="both"/>
        <w:rPr>
          <w:rFonts w:ascii="Book Antiqua" w:hAnsi="Book Antiqua"/>
        </w:rPr>
        <w:sectPr w:rsidR="00A77B3E" w:rsidRPr="008021CD">
          <w:footerReference w:type="default" r:id="rId6"/>
          <w:pgSz w:w="12240" w:h="15840"/>
          <w:pgMar w:top="1440" w:right="1440" w:bottom="1440" w:left="1440" w:header="720" w:footer="720" w:gutter="0"/>
          <w:cols w:space="720"/>
          <w:docGrid w:linePitch="360"/>
        </w:sectPr>
      </w:pPr>
    </w:p>
    <w:p w14:paraId="3D09E14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lastRenderedPageBreak/>
        <w:t>Abstract</w:t>
      </w:r>
    </w:p>
    <w:p w14:paraId="3F14EA3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BACKGROUND</w:t>
      </w:r>
    </w:p>
    <w:p w14:paraId="20691B8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Patients with autoimmune hepatitis (AIH) require life-long immunosuppressive agents that may increase the risk of poor </w:t>
      </w:r>
      <w:bookmarkStart w:id="0" w:name="_Hlk118961472"/>
      <w:r w:rsidR="000E61D2" w:rsidRPr="008021CD">
        <w:rPr>
          <w:rFonts w:ascii="Book Antiqua" w:eastAsia="Book Antiqua" w:hAnsi="Book Antiqua" w:cs="Book Antiqua"/>
          <w:color w:val="000000"/>
        </w:rPr>
        <w:t>coronavirus disease 2019</w:t>
      </w:r>
      <w:bookmarkEnd w:id="0"/>
      <w:r w:rsidR="000E61D2" w:rsidRPr="008021CD">
        <w:rPr>
          <w:rFonts w:ascii="Book Antiqua" w:eastAsia="Book Antiqua" w:hAnsi="Book Antiqua" w:cs="Book Antiqua"/>
          <w:color w:val="000000"/>
        </w:rPr>
        <w:t xml:space="preserve"> (COVID-19)</w:t>
      </w:r>
      <w:r w:rsidRPr="008021CD">
        <w:rPr>
          <w:rFonts w:ascii="Book Antiqua" w:eastAsia="Book Antiqua" w:hAnsi="Book Antiqua" w:cs="Book Antiqua"/>
          <w:color w:val="000000"/>
        </w:rPr>
        <w:t xml:space="preserve"> outcomes. There is a paucity of large data at </w:t>
      </w:r>
      <w:r w:rsidR="00517DA3">
        <w:rPr>
          <w:rFonts w:ascii="Book Antiqua" w:eastAsia="Book Antiqua" w:hAnsi="Book Antiqua" w:cs="Book Antiqua"/>
          <w:color w:val="000000"/>
        </w:rPr>
        <w:t>the</w:t>
      </w:r>
      <w:r w:rsidRPr="008021CD">
        <w:rPr>
          <w:rFonts w:ascii="Book Antiqua" w:eastAsia="Book Antiqua" w:hAnsi="Book Antiqua" w:cs="Book Antiqua"/>
          <w:color w:val="000000"/>
        </w:rPr>
        <w:t xml:space="preserve"> population level to assess whether patients with AIH have an increased risk of severe diseases.</w:t>
      </w:r>
    </w:p>
    <w:p w14:paraId="7B5155E4" w14:textId="77777777" w:rsidR="00A77B3E" w:rsidRPr="008021CD" w:rsidRDefault="00A77B3E" w:rsidP="008021CD">
      <w:pPr>
        <w:spacing w:line="360" w:lineRule="auto"/>
        <w:jc w:val="both"/>
        <w:rPr>
          <w:rFonts w:ascii="Book Antiqua" w:hAnsi="Book Antiqua"/>
        </w:rPr>
      </w:pPr>
    </w:p>
    <w:p w14:paraId="7A58FBD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AIM</w:t>
      </w:r>
    </w:p>
    <w:p w14:paraId="42C27C9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To evaluate the impact of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AIH on the clinical outcomes of patients with COVID-19.</w:t>
      </w:r>
    </w:p>
    <w:p w14:paraId="3A326EB8" w14:textId="77777777" w:rsidR="00A77B3E" w:rsidRPr="008021CD" w:rsidRDefault="00A77B3E" w:rsidP="008021CD">
      <w:pPr>
        <w:spacing w:line="360" w:lineRule="auto"/>
        <w:jc w:val="both"/>
        <w:rPr>
          <w:rFonts w:ascii="Book Antiqua" w:hAnsi="Book Antiqua"/>
        </w:rPr>
      </w:pPr>
    </w:p>
    <w:p w14:paraId="3BCE55B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METHODS</w:t>
      </w:r>
    </w:p>
    <w:p w14:paraId="75BB5B9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We conducted a population-based, multicenter, propensity score</w:t>
      </w:r>
      <w:r w:rsidR="000E61D2" w:rsidRPr="008021CD">
        <w:rPr>
          <w:rFonts w:ascii="Book Antiqua" w:eastAsia="Book Antiqua" w:hAnsi="Book Antiqua" w:cs="Book Antiqua"/>
          <w:color w:val="000000"/>
        </w:rPr>
        <w:t>-</w:t>
      </w:r>
      <w:r w:rsidRPr="008021CD">
        <w:rPr>
          <w:rFonts w:ascii="Book Antiqua" w:eastAsia="Book Antiqua" w:hAnsi="Book Antiqua" w:cs="Book Antiqua"/>
          <w:color w:val="000000"/>
        </w:rPr>
        <w:t>matched cohort study with consecutive adult patients (≥</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18 years) diagnosed with COVID-19 using the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research network platform. The outcomes of patients with AIH (main group) were compared to a propensity score</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matched cohort of patients</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1) </w:t>
      </w:r>
      <w:r w:rsidR="006C1319" w:rsidRPr="008021CD">
        <w:rPr>
          <w:rFonts w:ascii="Book Antiqua" w:eastAsia="Book Antiqua" w:hAnsi="Book Antiqua" w:cs="Book Antiqua"/>
          <w:color w:val="000000"/>
        </w:rPr>
        <w:t>W</w:t>
      </w:r>
      <w:r w:rsidRPr="008021CD">
        <w:rPr>
          <w:rFonts w:ascii="Book Antiqua" w:eastAsia="Book Antiqua" w:hAnsi="Book Antiqua" w:cs="Book Antiqua"/>
          <w:color w:val="000000"/>
        </w:rPr>
        <w:t xml:space="preserve">ithout chronic liver disease (CLD); </w:t>
      </w:r>
      <w:r w:rsidR="006C1319" w:rsidRPr="008021CD">
        <w:rPr>
          <w:rFonts w:ascii="Book Antiqua" w:eastAsia="Book Antiqua" w:hAnsi="Book Antiqua" w:cs="Book Antiqua"/>
          <w:color w:val="000000"/>
        </w:rPr>
        <w:t>and (</w:t>
      </w:r>
      <w:r w:rsidRPr="008021CD">
        <w:rPr>
          <w:rFonts w:ascii="Book Antiqua" w:eastAsia="Book Antiqua" w:hAnsi="Book Antiqua" w:cs="Book Antiqua"/>
          <w:color w:val="000000"/>
        </w:rPr>
        <w:t xml:space="preserve">2) </w:t>
      </w:r>
      <w:r w:rsidR="006C1319" w:rsidRPr="008021CD">
        <w:rPr>
          <w:rFonts w:ascii="Book Antiqua" w:eastAsia="Book Antiqua" w:hAnsi="Book Antiqua" w:cs="Book Antiqua"/>
          <w:color w:val="000000"/>
        </w:rPr>
        <w:t>P</w:t>
      </w:r>
      <w:r w:rsidRPr="008021CD">
        <w:rPr>
          <w:rFonts w:ascii="Book Antiqua" w:eastAsia="Book Antiqua" w:hAnsi="Book Antiqua" w:cs="Book Antiqua"/>
          <w:color w:val="000000"/>
        </w:rPr>
        <w:t xml:space="preserve">atients with </w:t>
      </w:r>
      <w:r w:rsidR="006C1319" w:rsidRPr="008021CD">
        <w:rPr>
          <w:rFonts w:ascii="Book Antiqua" w:eastAsia="Book Antiqua" w:hAnsi="Book Antiqua" w:cs="Book Antiqua"/>
          <w:color w:val="000000"/>
        </w:rPr>
        <w:t>CLD</w:t>
      </w:r>
      <w:r w:rsidRPr="008021CD">
        <w:rPr>
          <w:rFonts w:ascii="Book Antiqua" w:eastAsia="Book Antiqua" w:hAnsi="Book Antiqua" w:cs="Book Antiqua"/>
          <w:color w:val="000000"/>
        </w:rPr>
        <w:t xml:space="preserve"> except AIH (non-AIH CLD) control groups. Each patient in the main group was matched to a patient in the control group using 1:1 propensity score matching to reduce confounding effects. The primary outcome was all-cause mortality, and secondary outcomes were hospitalization rate, need for critical care, severe disease, mechanical ventilation, and acute kidney injury (AKI). For each outcome, the risk ratio (RR) and confidence intervals (CI) were calculated to compare the association of AIH with the outcome.</w:t>
      </w:r>
    </w:p>
    <w:p w14:paraId="2FB6AC31" w14:textId="77777777" w:rsidR="00A77B3E" w:rsidRPr="008021CD" w:rsidRDefault="00A77B3E" w:rsidP="008021CD">
      <w:pPr>
        <w:spacing w:line="360" w:lineRule="auto"/>
        <w:jc w:val="both"/>
        <w:rPr>
          <w:rFonts w:ascii="Book Antiqua" w:hAnsi="Book Antiqua"/>
        </w:rPr>
      </w:pPr>
    </w:p>
    <w:p w14:paraId="0DF8ADF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RESULTS</w:t>
      </w:r>
    </w:p>
    <w:p w14:paraId="1835BDB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We identified 375 patients with AIH, 1647915 patients with non-CLD, and 15790 patients with non-AIH CLD with COVID-19 infection. Compared to non-CLD patients, the AIH cohort had an increased risk of all-cause mortality (RR </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2.22;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1.07-4.61), hospitalization rate (RR</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1.78;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1.17-2.69), and severe disease (RR</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1.98;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lastRenderedPageBreak/>
        <w:t xml:space="preserve">1.19-3.26). The AIH cohort had a lower risk </w:t>
      </w:r>
      <w:r w:rsidR="00517DA3">
        <w:rPr>
          <w:rFonts w:ascii="Book Antiqua" w:eastAsia="Book Antiqua" w:hAnsi="Book Antiqua" w:cs="Book Antiqua"/>
          <w:color w:val="000000"/>
        </w:rPr>
        <w:t>of</w:t>
      </w:r>
      <w:r w:rsidRPr="008021CD">
        <w:rPr>
          <w:rFonts w:ascii="Book Antiqua" w:eastAsia="Book Antiqua" w:hAnsi="Book Antiqua" w:cs="Book Antiqua"/>
          <w:color w:val="000000"/>
        </w:rPr>
        <w:t xml:space="preserve"> hospitalization rate (RR</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0.72;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0.56-0.92), critical care (RR</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0.50;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0.32-0.79), and AKI (RR</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0.56; 95%CI</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0.35-0.88) compared to the non-AIH CLD patients.</w:t>
      </w:r>
    </w:p>
    <w:p w14:paraId="60BC9E33" w14:textId="77777777" w:rsidR="00A77B3E" w:rsidRPr="008021CD" w:rsidRDefault="00A77B3E" w:rsidP="008021CD">
      <w:pPr>
        <w:spacing w:line="360" w:lineRule="auto"/>
        <w:jc w:val="both"/>
        <w:rPr>
          <w:rFonts w:ascii="Book Antiqua" w:hAnsi="Book Antiqua"/>
        </w:rPr>
      </w:pPr>
    </w:p>
    <w:p w14:paraId="3F0E009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CONCLUSION</w:t>
      </w:r>
    </w:p>
    <w:p w14:paraId="173A6B1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Patients with AIH are associated with increased hospitalization risk, severe disease, and all-cause mortality compared to patients without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CLD from the diagnosis of COVID-19. However, patients with AIH were not at risk for worse outcomes with COVID-19 than other causes of CLD.</w:t>
      </w:r>
    </w:p>
    <w:p w14:paraId="372A3176" w14:textId="77777777" w:rsidR="00A77B3E" w:rsidRPr="008021CD" w:rsidRDefault="00A77B3E" w:rsidP="008021CD">
      <w:pPr>
        <w:spacing w:line="360" w:lineRule="auto"/>
        <w:jc w:val="both"/>
        <w:rPr>
          <w:rFonts w:ascii="Book Antiqua" w:hAnsi="Book Antiqua"/>
        </w:rPr>
      </w:pPr>
    </w:p>
    <w:p w14:paraId="68B83DE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Key Words: </w:t>
      </w:r>
      <w:r w:rsidRPr="008021CD">
        <w:rPr>
          <w:rFonts w:ascii="Book Antiqua" w:eastAsia="Book Antiqua" w:hAnsi="Book Antiqua" w:cs="Book Antiqua"/>
          <w:color w:val="000000"/>
        </w:rPr>
        <w:t>Autoimmune hepatitis; SARS-CoV-2; COVID-19; Mortality; Outcomes; Liver disease; Severe</w:t>
      </w:r>
    </w:p>
    <w:p w14:paraId="7F2ABB8C" w14:textId="394280E0" w:rsidR="00A77B3E" w:rsidRDefault="00A77B3E" w:rsidP="008021CD">
      <w:pPr>
        <w:spacing w:line="360" w:lineRule="auto"/>
        <w:jc w:val="both"/>
        <w:rPr>
          <w:rFonts w:ascii="Book Antiqua" w:hAnsi="Book Antiqua"/>
        </w:rPr>
      </w:pPr>
    </w:p>
    <w:p w14:paraId="295032D0" w14:textId="77777777" w:rsidR="005F0DB9" w:rsidRDefault="005F0DB9" w:rsidP="005F0DB9">
      <w:pPr>
        <w:spacing w:line="360" w:lineRule="auto"/>
        <w:rPr>
          <w:rFonts w:ascii="Book Antiqua" w:eastAsia="Book Antiqua" w:hAnsi="Book Antiqua" w:cs="Book Antiqua"/>
          <w:color w:val="000000"/>
        </w:rPr>
      </w:pPr>
      <w:bookmarkStart w:id="1"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4756E78B" w14:textId="77777777" w:rsidR="005F0DB9" w:rsidRPr="008021CD" w:rsidRDefault="005F0DB9" w:rsidP="008021CD">
      <w:pPr>
        <w:spacing w:line="360" w:lineRule="auto"/>
        <w:jc w:val="both"/>
        <w:rPr>
          <w:rFonts w:ascii="Book Antiqua" w:hAnsi="Book Antiqua"/>
        </w:rPr>
      </w:pPr>
    </w:p>
    <w:p w14:paraId="335F940A" w14:textId="7F4C3009" w:rsidR="005F0DB9" w:rsidRDefault="005F0DB9" w:rsidP="008021CD">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565FE" w:rsidRPr="008021CD">
        <w:rPr>
          <w:rFonts w:ascii="Book Antiqua" w:eastAsia="Book Antiqua" w:hAnsi="Book Antiqua" w:cs="Book Antiqua"/>
          <w:color w:val="000000"/>
        </w:rPr>
        <w:t xml:space="preserve">Krishnan A, Patel RA, </w:t>
      </w:r>
      <w:proofErr w:type="spellStart"/>
      <w:r w:rsidR="00A565FE" w:rsidRPr="008021CD">
        <w:rPr>
          <w:rFonts w:ascii="Book Antiqua" w:eastAsia="Book Antiqua" w:hAnsi="Book Antiqua" w:cs="Book Antiqua"/>
          <w:color w:val="000000"/>
        </w:rPr>
        <w:t>Hadi</w:t>
      </w:r>
      <w:proofErr w:type="spellEnd"/>
      <w:r w:rsidR="00A565FE" w:rsidRPr="008021CD">
        <w:rPr>
          <w:rFonts w:ascii="Book Antiqua" w:eastAsia="Book Antiqua" w:hAnsi="Book Antiqua" w:cs="Book Antiqua"/>
          <w:color w:val="000000"/>
        </w:rPr>
        <w:t xml:space="preserve"> YB, Mukherjee D, </w:t>
      </w:r>
      <w:proofErr w:type="spellStart"/>
      <w:r w:rsidR="00A565FE" w:rsidRPr="008021CD">
        <w:rPr>
          <w:rFonts w:ascii="Book Antiqua" w:eastAsia="Book Antiqua" w:hAnsi="Book Antiqua" w:cs="Book Antiqua"/>
          <w:color w:val="000000"/>
        </w:rPr>
        <w:t>Shabih</w:t>
      </w:r>
      <w:proofErr w:type="spellEnd"/>
      <w:r w:rsidR="00A565FE" w:rsidRPr="008021CD">
        <w:rPr>
          <w:rFonts w:ascii="Book Antiqua" w:eastAsia="Book Antiqua" w:hAnsi="Book Antiqua" w:cs="Book Antiqua"/>
          <w:color w:val="000000"/>
        </w:rPr>
        <w:t xml:space="preserve"> S, Thakkar S, Singh S, </w:t>
      </w:r>
      <w:proofErr w:type="spellStart"/>
      <w:r w:rsidR="00A565FE" w:rsidRPr="008021CD">
        <w:rPr>
          <w:rFonts w:ascii="Book Antiqua" w:eastAsia="Book Antiqua" w:hAnsi="Book Antiqua" w:cs="Book Antiqua"/>
          <w:color w:val="000000"/>
        </w:rPr>
        <w:t>Woreta</w:t>
      </w:r>
      <w:proofErr w:type="spellEnd"/>
      <w:r w:rsidR="00A565FE" w:rsidRPr="008021CD">
        <w:rPr>
          <w:rFonts w:ascii="Book Antiqua" w:eastAsia="Book Antiqua" w:hAnsi="Book Antiqua" w:cs="Book Antiqua"/>
          <w:color w:val="000000"/>
        </w:rPr>
        <w:t xml:space="preserve"> TA, </w:t>
      </w:r>
      <w:proofErr w:type="spellStart"/>
      <w:r w:rsidR="00A565FE" w:rsidRPr="008021CD">
        <w:rPr>
          <w:rFonts w:ascii="Book Antiqua" w:eastAsia="Book Antiqua" w:hAnsi="Book Antiqua" w:cs="Book Antiqua"/>
          <w:color w:val="000000"/>
        </w:rPr>
        <w:t>Alqahtani</w:t>
      </w:r>
      <w:proofErr w:type="spellEnd"/>
      <w:r w:rsidR="00A565FE" w:rsidRPr="008021CD">
        <w:rPr>
          <w:rFonts w:ascii="Book Antiqua" w:eastAsia="Book Antiqua" w:hAnsi="Book Antiqua" w:cs="Book Antiqua"/>
          <w:color w:val="000000"/>
        </w:rPr>
        <w:t xml:space="preserve"> SA. Clinical characteristics and outcomes of COVID-19 in patients with autoimmune hepatitis: A population-based matched cohort study. </w:t>
      </w:r>
      <w:r w:rsidR="00A565FE" w:rsidRPr="008021CD">
        <w:rPr>
          <w:rFonts w:ascii="Book Antiqua" w:eastAsia="Book Antiqua" w:hAnsi="Book Antiqua" w:cs="Book Antiqua"/>
          <w:i/>
          <w:iCs/>
          <w:color w:val="000000"/>
        </w:rPr>
        <w:t>World J Hepatol</w:t>
      </w:r>
      <w:r w:rsidR="00A565FE" w:rsidRPr="008021CD">
        <w:rPr>
          <w:rFonts w:ascii="Book Antiqua" w:eastAsia="Book Antiqua" w:hAnsi="Book Antiqua" w:cs="Book Antiqua"/>
          <w:color w:val="000000"/>
        </w:rPr>
        <w:t xml:space="preserve"> 202</w:t>
      </w:r>
      <w:r w:rsidR="00321972">
        <w:rPr>
          <w:rFonts w:ascii="Book Antiqua" w:eastAsia="Book Antiqua" w:hAnsi="Book Antiqua" w:cs="Book Antiqua"/>
          <w:color w:val="000000"/>
        </w:rPr>
        <w:t>3</w:t>
      </w:r>
      <w:r w:rsidR="00A565FE" w:rsidRPr="008021CD">
        <w:rPr>
          <w:rFonts w:ascii="Book Antiqua" w:eastAsia="Book Antiqua" w:hAnsi="Book Antiqua" w:cs="Book Antiqua"/>
          <w:color w:val="000000"/>
        </w:rPr>
        <w:t xml:space="preserve">; </w:t>
      </w:r>
      <w:r w:rsidR="00321972" w:rsidRPr="00321972">
        <w:rPr>
          <w:rFonts w:ascii="Book Antiqua" w:eastAsia="Book Antiqua" w:hAnsi="Book Antiqua" w:cs="Book Antiqua"/>
          <w:color w:val="000000"/>
        </w:rPr>
        <w:t xml:space="preserve">15(1): </w:t>
      </w:r>
      <w:r>
        <w:rPr>
          <w:rFonts w:ascii="Book Antiqua" w:eastAsia="Book Antiqua" w:hAnsi="Book Antiqua" w:cs="Book Antiqua"/>
          <w:color w:val="000000"/>
        </w:rPr>
        <w:t>68</w:t>
      </w:r>
      <w:r w:rsidR="00321972" w:rsidRPr="00321972">
        <w:rPr>
          <w:rFonts w:ascii="Book Antiqua" w:eastAsia="Book Antiqua" w:hAnsi="Book Antiqua" w:cs="Book Antiqua"/>
          <w:color w:val="000000"/>
        </w:rPr>
        <w:t>-</w:t>
      </w:r>
      <w:r>
        <w:rPr>
          <w:rFonts w:ascii="Book Antiqua" w:eastAsia="Book Antiqua" w:hAnsi="Book Antiqua" w:cs="Book Antiqua"/>
          <w:color w:val="000000"/>
        </w:rPr>
        <w:t>78</w:t>
      </w:r>
      <w:r w:rsidR="00321972" w:rsidRPr="00321972">
        <w:rPr>
          <w:rFonts w:ascii="Book Antiqua" w:eastAsia="Book Antiqua" w:hAnsi="Book Antiqua" w:cs="Book Antiqua"/>
          <w:color w:val="000000"/>
        </w:rPr>
        <w:t xml:space="preserve"> </w:t>
      </w:r>
    </w:p>
    <w:p w14:paraId="60B29575" w14:textId="01ED81B1" w:rsidR="005F0DB9" w:rsidRDefault="00321972" w:rsidP="008021CD">
      <w:pPr>
        <w:spacing w:line="360" w:lineRule="auto"/>
        <w:jc w:val="both"/>
        <w:rPr>
          <w:rFonts w:ascii="Book Antiqua" w:eastAsia="Book Antiqua" w:hAnsi="Book Antiqua" w:cs="Book Antiqua"/>
          <w:color w:val="000000"/>
        </w:rPr>
      </w:pPr>
      <w:r w:rsidRPr="005F0DB9">
        <w:rPr>
          <w:rFonts w:ascii="Book Antiqua" w:eastAsia="Book Antiqua" w:hAnsi="Book Antiqua" w:cs="Book Antiqua"/>
          <w:b/>
          <w:bCs/>
          <w:color w:val="000000"/>
        </w:rPr>
        <w:t>URL:</w:t>
      </w:r>
      <w:r w:rsidRPr="00321972">
        <w:rPr>
          <w:rFonts w:ascii="Book Antiqua" w:eastAsia="Book Antiqua" w:hAnsi="Book Antiqua" w:cs="Book Antiqua"/>
          <w:color w:val="000000"/>
        </w:rPr>
        <w:t xml:space="preserve"> </w:t>
      </w:r>
      <w:hyperlink r:id="rId7" w:history="1">
        <w:r w:rsidR="005F0DB9" w:rsidRPr="005F0DB9">
          <w:rPr>
            <w:rStyle w:val="af"/>
            <w:rFonts w:ascii="Book Antiqua" w:eastAsia="Book Antiqua" w:hAnsi="Book Antiqua" w:cs="Book Antiqua"/>
            <w:color w:val="000000" w:themeColor="text1"/>
            <w:u w:val="none"/>
          </w:rPr>
          <w:t>https://www.wjgnet.com/1948-5182/full/v15/i1/68.htm</w:t>
        </w:r>
      </w:hyperlink>
      <w:r w:rsidRPr="005F0DB9">
        <w:rPr>
          <w:rFonts w:ascii="Book Antiqua" w:eastAsia="Book Antiqua" w:hAnsi="Book Antiqua" w:cs="Book Antiqua"/>
          <w:color w:val="000000" w:themeColor="text1"/>
        </w:rPr>
        <w:t xml:space="preserve"> </w:t>
      </w:r>
    </w:p>
    <w:p w14:paraId="2569EFC2" w14:textId="0B205788" w:rsidR="00A77B3E" w:rsidRPr="008021CD" w:rsidRDefault="00321972" w:rsidP="008021CD">
      <w:pPr>
        <w:spacing w:line="360" w:lineRule="auto"/>
        <w:jc w:val="both"/>
        <w:rPr>
          <w:rFonts w:ascii="Book Antiqua" w:hAnsi="Book Antiqua"/>
        </w:rPr>
      </w:pPr>
      <w:r w:rsidRPr="005F0DB9">
        <w:rPr>
          <w:rFonts w:ascii="Book Antiqua" w:eastAsia="Book Antiqua" w:hAnsi="Book Antiqua" w:cs="Book Antiqua"/>
          <w:b/>
          <w:bCs/>
          <w:color w:val="000000"/>
        </w:rPr>
        <w:t>DOI:</w:t>
      </w:r>
      <w:r w:rsidRPr="00321972">
        <w:rPr>
          <w:rFonts w:ascii="Book Antiqua" w:eastAsia="Book Antiqua" w:hAnsi="Book Antiqua" w:cs="Book Antiqua"/>
          <w:color w:val="000000"/>
        </w:rPr>
        <w:t xml:space="preserve"> https://dx.doi.org/10.4254/wjh.v15.i1.</w:t>
      </w:r>
      <w:r w:rsidR="005F0DB9">
        <w:rPr>
          <w:rFonts w:ascii="Book Antiqua" w:eastAsia="Book Antiqua" w:hAnsi="Book Antiqua" w:cs="Book Antiqua"/>
          <w:color w:val="000000"/>
        </w:rPr>
        <w:t>68</w:t>
      </w:r>
    </w:p>
    <w:p w14:paraId="6C1FAFBA" w14:textId="77777777" w:rsidR="00A77B3E" w:rsidRPr="008021CD" w:rsidRDefault="00A77B3E" w:rsidP="008021CD">
      <w:pPr>
        <w:spacing w:line="360" w:lineRule="auto"/>
        <w:jc w:val="both"/>
        <w:rPr>
          <w:rFonts w:ascii="Book Antiqua" w:hAnsi="Book Antiqua"/>
        </w:rPr>
      </w:pPr>
    </w:p>
    <w:p w14:paraId="16A57300" w14:textId="77777777" w:rsidR="00A77B3E" w:rsidRPr="008021CD" w:rsidRDefault="00A565FE"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b/>
          <w:bCs/>
          <w:color w:val="000000"/>
        </w:rPr>
        <w:t xml:space="preserve">Core Tip: </w:t>
      </w:r>
      <w:r w:rsidRPr="008021CD">
        <w:rPr>
          <w:rFonts w:ascii="Book Antiqua" w:eastAsia="Book Antiqua" w:hAnsi="Book Antiqua" w:cs="Book Antiqua"/>
          <w:color w:val="000000"/>
        </w:rPr>
        <w:t xml:space="preserve">Autoimmune hepatitis (AIH) is a chronic inflammatory disease of the liver of unknown etiology. Patients with AIH may be at increased risk of severe illness from </w:t>
      </w:r>
      <w:r w:rsidR="00204CB8" w:rsidRPr="008021CD">
        <w:rPr>
          <w:rFonts w:ascii="Book Antiqua" w:eastAsia="Book Antiqua" w:hAnsi="Book Antiqua" w:cs="Book Antiqua"/>
          <w:color w:val="000000"/>
        </w:rPr>
        <w:t>coronavirus disease 2019 (COVID-19)</w:t>
      </w:r>
      <w:r w:rsidRPr="008021CD">
        <w:rPr>
          <w:rFonts w:ascii="Book Antiqua" w:eastAsia="Book Antiqua" w:hAnsi="Book Antiqua" w:cs="Book Antiqua"/>
          <w:color w:val="000000"/>
        </w:rPr>
        <w:t xml:space="preserve"> and have poor outcomes due to underlying chronic liver disease</w:t>
      </w:r>
      <w:r w:rsidR="006C1319" w:rsidRPr="008021CD">
        <w:rPr>
          <w:rFonts w:ascii="Book Antiqua" w:eastAsia="Book Antiqua" w:hAnsi="Book Antiqua" w:cs="Book Antiqua"/>
          <w:color w:val="000000"/>
        </w:rPr>
        <w:t xml:space="preserve"> (CLD)</w:t>
      </w:r>
      <w:r w:rsidRPr="008021CD">
        <w:rPr>
          <w:rFonts w:ascii="Book Antiqua" w:eastAsia="Book Antiqua" w:hAnsi="Book Antiqua" w:cs="Book Antiqua"/>
          <w:color w:val="000000"/>
        </w:rPr>
        <w:t xml:space="preserve"> and ongoing pre-existing immunosuppression therapies. Patients with AIH are associated with increased hospitalization risk, severe disease, and all-cause mortality compared to patients without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existing </w:t>
      </w:r>
      <w:r w:rsidR="006C1319" w:rsidRPr="008021CD">
        <w:rPr>
          <w:rFonts w:ascii="Book Antiqua" w:eastAsia="Book Antiqua" w:hAnsi="Book Antiqua" w:cs="Book Antiqua"/>
          <w:color w:val="000000"/>
        </w:rPr>
        <w:t>CLD</w:t>
      </w:r>
      <w:r w:rsidRPr="008021CD">
        <w:rPr>
          <w:rFonts w:ascii="Book Antiqua" w:eastAsia="Book Antiqua" w:hAnsi="Book Antiqua" w:cs="Book Antiqua"/>
          <w:color w:val="000000"/>
        </w:rPr>
        <w:t xml:space="preserve">s from the diagnosis of </w:t>
      </w:r>
      <w:r w:rsidR="00204CB8" w:rsidRPr="008021CD">
        <w:rPr>
          <w:rFonts w:ascii="Book Antiqua" w:eastAsia="Book Antiqua" w:hAnsi="Book Antiqua" w:cs="Book Antiqua"/>
          <w:color w:val="000000"/>
        </w:rPr>
        <w:t>COVID-</w:t>
      </w:r>
      <w:r w:rsidR="00204CB8" w:rsidRPr="008021CD">
        <w:rPr>
          <w:rFonts w:ascii="Book Antiqua" w:eastAsia="Book Antiqua" w:hAnsi="Book Antiqua" w:cs="Book Antiqua"/>
          <w:color w:val="000000"/>
        </w:rPr>
        <w:lastRenderedPageBreak/>
        <w:t>19</w:t>
      </w:r>
      <w:r w:rsidRPr="008021CD">
        <w:rPr>
          <w:rFonts w:ascii="Book Antiqua" w:eastAsia="Book Antiqua" w:hAnsi="Book Antiqua" w:cs="Book Antiqua"/>
          <w:color w:val="000000"/>
        </w:rPr>
        <w:t>. Patients with AIH had a lower risk of several outcomes, including hospitalization, a necessity for critical care, and acute kidney injury, compared to patients with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existing </w:t>
      </w:r>
      <w:r w:rsidR="006C1319" w:rsidRPr="008021CD">
        <w:rPr>
          <w:rFonts w:ascii="Book Antiqua" w:eastAsia="Book Antiqua" w:hAnsi="Book Antiqua" w:cs="Book Antiqua"/>
          <w:color w:val="000000"/>
        </w:rPr>
        <w:t>CLD</w:t>
      </w:r>
      <w:r w:rsidRPr="008021CD">
        <w:rPr>
          <w:rFonts w:ascii="Book Antiqua" w:eastAsia="Book Antiqua" w:hAnsi="Book Antiqua" w:cs="Book Antiqua"/>
          <w:color w:val="000000"/>
        </w:rPr>
        <w:t>s other than AIH.</w:t>
      </w:r>
    </w:p>
    <w:p w14:paraId="6439875D" w14:textId="77777777" w:rsidR="00A77B3E" w:rsidRPr="008021CD" w:rsidRDefault="00A77B3E" w:rsidP="008021CD">
      <w:pPr>
        <w:spacing w:line="360" w:lineRule="auto"/>
        <w:jc w:val="both"/>
        <w:rPr>
          <w:rFonts w:ascii="Book Antiqua" w:hAnsi="Book Antiqua"/>
        </w:rPr>
      </w:pPr>
    </w:p>
    <w:p w14:paraId="0E0AD5C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INTRODUCTION</w:t>
      </w:r>
    </w:p>
    <w:p w14:paraId="50B6EDD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As coronavirus disease 2019 (COVID-19) cases increase in the U</w:t>
      </w:r>
      <w:r w:rsidR="006C1319"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6C1319" w:rsidRPr="008021CD">
        <w:rPr>
          <w:rFonts w:ascii="Book Antiqua" w:eastAsia="Book Antiqua" w:hAnsi="Book Antiqua" w:cs="Book Antiqua"/>
          <w:color w:val="000000"/>
        </w:rPr>
        <w:t>tates</w:t>
      </w:r>
      <w:r w:rsidRPr="008021CD">
        <w:rPr>
          <w:rFonts w:ascii="Book Antiqua" w:eastAsia="Book Antiqua" w:hAnsi="Book Antiqua" w:cs="Book Antiqua"/>
          <w:color w:val="000000"/>
        </w:rPr>
        <w:t xml:space="preserve"> and globally, investigators continue to identify risk factors for adverse outcomes resulting from COVID-19 infection. The known risk factors for severe disease include older age, male gender, and comorbidities such as hypertension, diabetes, chronic obstructive pulmonary disease, and chronic liver diseases</w:t>
      </w:r>
      <w:r w:rsidR="006C1319" w:rsidRPr="008021CD">
        <w:rPr>
          <w:rFonts w:ascii="Book Antiqua" w:eastAsia="Book Antiqua" w:hAnsi="Book Antiqua" w:cs="Book Antiqua"/>
          <w:color w:val="000000"/>
        </w:rPr>
        <w:t xml:space="preserve"> (CLDs</w:t>
      </w:r>
      <w:proofErr w:type="gramStart"/>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w:t>
      </w:r>
      <w:r w:rsidR="006C1319" w:rsidRPr="008021CD">
        <w:rPr>
          <w:rFonts w:ascii="Book Antiqua" w:eastAsia="Book Antiqua" w:hAnsi="Book Antiqua" w:cs="Book Antiqua"/>
          <w:color w:val="000000"/>
          <w:vertAlign w:val="superscript"/>
        </w:rPr>
        <w:t>-</w:t>
      </w:r>
      <w:r w:rsidRPr="008021CD">
        <w:rPr>
          <w:rFonts w:ascii="Book Antiqua" w:eastAsia="Book Antiqua" w:hAnsi="Book Antiqua" w:cs="Book Antiqua"/>
          <w:color w:val="000000"/>
          <w:vertAlign w:val="superscript"/>
        </w:rPr>
        <w:t>3]</w:t>
      </w:r>
      <w:r w:rsidRPr="008021CD">
        <w:rPr>
          <w:rFonts w:ascii="Book Antiqua" w:eastAsia="Book Antiqua" w:hAnsi="Book Antiqua" w:cs="Book Antiqua"/>
          <w:color w:val="000000"/>
        </w:rPr>
        <w:t xml:space="preserve">. In addition, studies have shown that COVID-19 affects the liver, with over one-third of hospitalized COVID-19 patients presenting with abnormal liver function, which was also associated with a longer hospital </w:t>
      </w:r>
      <w:proofErr w:type="gramStart"/>
      <w:r w:rsidRPr="008021CD">
        <w:rPr>
          <w:rFonts w:ascii="Book Antiqua" w:eastAsia="Book Antiqua" w:hAnsi="Book Antiqua" w:cs="Book Antiqua"/>
          <w:color w:val="000000"/>
        </w:rPr>
        <w:t>stay</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4,5]</w:t>
      </w:r>
      <w:r w:rsidRPr="008021CD">
        <w:rPr>
          <w:rFonts w:ascii="Book Antiqua" w:eastAsia="Book Antiqua" w:hAnsi="Book Antiqua" w:cs="Book Antiqua"/>
          <w:color w:val="000000"/>
        </w:rPr>
        <w:t xml:space="preserve">. In contrast, </w:t>
      </w:r>
      <w:r w:rsidR="002E20DD">
        <w:rPr>
          <w:rFonts w:ascii="Book Antiqua" w:eastAsia="Book Antiqua" w:hAnsi="Book Antiqua" w:cs="Book Antiqua"/>
          <w:color w:val="000000"/>
        </w:rPr>
        <w:t xml:space="preserve">a </w:t>
      </w:r>
      <w:r w:rsidRPr="008021CD">
        <w:rPr>
          <w:rFonts w:ascii="Book Antiqua" w:eastAsia="Book Antiqua" w:hAnsi="Book Antiqua" w:cs="Book Antiqua"/>
          <w:color w:val="000000"/>
        </w:rPr>
        <w:t>higher risk of mortality and hospitalization rates have been reported in COVID-19 patients with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existing liver disease compared to those without liver </w:t>
      </w:r>
      <w:proofErr w:type="gramStart"/>
      <w:r w:rsidRPr="008021CD">
        <w:rPr>
          <w:rFonts w:ascii="Book Antiqua" w:eastAsia="Book Antiqua" w:hAnsi="Book Antiqua" w:cs="Book Antiqua"/>
          <w:color w:val="000000"/>
        </w:rPr>
        <w:t>disease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6]</w:t>
      </w:r>
      <w:r w:rsidRPr="008021CD">
        <w:rPr>
          <w:rFonts w:ascii="Book Antiqua" w:eastAsia="Book Antiqua" w:hAnsi="Book Antiqua" w:cs="Book Antiqua"/>
          <w:color w:val="000000"/>
        </w:rPr>
        <w:t>.</w:t>
      </w:r>
    </w:p>
    <w:p w14:paraId="14CFD2DD" w14:textId="77777777" w:rsidR="006C1319"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Autoimmune hepatitis (AIH) is a genetically predisposed </w:t>
      </w:r>
      <w:r w:rsidR="006C1319" w:rsidRPr="008021CD">
        <w:rPr>
          <w:rFonts w:ascii="Book Antiqua" w:eastAsia="Book Antiqua" w:hAnsi="Book Antiqua" w:cs="Book Antiqua"/>
          <w:color w:val="000000"/>
        </w:rPr>
        <w:t>CLD</w:t>
      </w:r>
      <w:r w:rsidRPr="008021CD">
        <w:rPr>
          <w:rFonts w:ascii="Book Antiqua" w:eastAsia="Book Antiqua" w:hAnsi="Book Antiqua" w:cs="Book Antiqua"/>
          <w:color w:val="000000"/>
        </w:rPr>
        <w:t xml:space="preserve">. </w:t>
      </w:r>
      <w:r w:rsidR="002E20DD">
        <w:rPr>
          <w:rFonts w:ascii="Book Antiqua" w:eastAsia="Book Antiqua" w:hAnsi="Book Antiqua" w:cs="Book Antiqua"/>
          <w:color w:val="000000"/>
        </w:rPr>
        <w:t>The</w:t>
      </w:r>
      <w:r w:rsidRPr="008021CD">
        <w:rPr>
          <w:rFonts w:ascii="Book Antiqua" w:eastAsia="Book Antiqua" w:hAnsi="Book Antiqua" w:cs="Book Antiqua"/>
          <w:color w:val="000000"/>
        </w:rPr>
        <w:t xml:space="preserve"> exact mechanism regarding its immune dysfunction has yet to be elucidated; however, an imbalance between effector and regulatory immunity and molecular mimicry may play a role in its </w:t>
      </w:r>
      <w:proofErr w:type="gramStart"/>
      <w:r w:rsidRPr="008021CD">
        <w:rPr>
          <w:rFonts w:ascii="Book Antiqua" w:eastAsia="Book Antiqua" w:hAnsi="Book Antiqua" w:cs="Book Antiqua"/>
          <w:color w:val="000000"/>
        </w:rPr>
        <w:t>pathogenesis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7]</w:t>
      </w:r>
      <w:r w:rsidRPr="008021CD">
        <w:rPr>
          <w:rFonts w:ascii="Book Antiqua" w:eastAsia="Book Antiqua" w:hAnsi="Book Antiqua" w:cs="Book Antiqua"/>
          <w:color w:val="000000"/>
        </w:rPr>
        <w:t xml:space="preserve">. The prevalence rate of AIH in the United States is estimated to be 31.2/100000, which is similar to the prevalence rates reported in </w:t>
      </w:r>
      <w:proofErr w:type="gramStart"/>
      <w:r w:rsidRPr="008021CD">
        <w:rPr>
          <w:rFonts w:ascii="Book Antiqua" w:eastAsia="Book Antiqua" w:hAnsi="Book Antiqua" w:cs="Book Antiqua"/>
          <w:color w:val="000000"/>
        </w:rPr>
        <w:t>Europe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8]</w:t>
      </w:r>
      <w:r w:rsidRPr="008021CD">
        <w:rPr>
          <w:rFonts w:ascii="Book Antiqua" w:eastAsia="Book Antiqua" w:hAnsi="Book Antiqua" w:cs="Book Antiqua"/>
          <w:color w:val="000000"/>
        </w:rPr>
        <w:t>.</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The association between </w:t>
      </w:r>
      <w:r w:rsidR="006C1319" w:rsidRPr="008021CD">
        <w:rPr>
          <w:rFonts w:ascii="Book Antiqua" w:eastAsia="Book Antiqua" w:hAnsi="Book Antiqua" w:cs="Book Antiqua"/>
          <w:color w:val="000000"/>
        </w:rPr>
        <w:t>severe acute respiratory disease coronavirus 2 (SARS-CoV-2)</w:t>
      </w:r>
      <w:r w:rsidRPr="008021CD">
        <w:rPr>
          <w:rFonts w:ascii="Book Antiqua" w:eastAsia="Book Antiqua" w:hAnsi="Book Antiqua" w:cs="Book Antiqua"/>
          <w:color w:val="000000"/>
        </w:rPr>
        <w:t xml:space="preserve"> and autoimmune diseases is very complex and only partially understood. In addition, understanding the outcomes of COVID-19 infections in AIH patients is particularly important due to the fact that patients with AIH require lifelong immunosuppressive agents to prevent cirrhosis and end-stage liver disease, which may increase the risk of viral and bacterial </w:t>
      </w:r>
      <w:proofErr w:type="gramStart"/>
      <w:r w:rsidRPr="008021CD">
        <w:rPr>
          <w:rFonts w:ascii="Book Antiqua" w:eastAsia="Book Antiqua" w:hAnsi="Book Antiqua" w:cs="Book Antiqua"/>
          <w:color w:val="000000"/>
        </w:rPr>
        <w:t>infections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9,10]</w:t>
      </w:r>
      <w:r w:rsidRPr="008021CD">
        <w:rPr>
          <w:rFonts w:ascii="Book Antiqua" w:eastAsia="Book Antiqua" w:hAnsi="Book Antiqua" w:cs="Book Antiqua"/>
          <w:color w:val="000000"/>
        </w:rPr>
        <w:t>. The clinical impact of the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existing use of immunosuppression in patients with COVID-19 remains complex and not clearly defined. Evidence is mixed regarding the impact of immunosuppressive agents on COVID-19 outcomes. Hence, existing data are controversial on the outcome following COVID-19 </w:t>
      </w:r>
      <w:r w:rsidRPr="008021CD">
        <w:rPr>
          <w:rFonts w:ascii="Book Antiqua" w:eastAsia="Book Antiqua" w:hAnsi="Book Antiqua" w:cs="Book Antiqua"/>
          <w:color w:val="000000"/>
        </w:rPr>
        <w:lastRenderedPageBreak/>
        <w:t xml:space="preserve">infection in patients with autoimmune diseases. Some studies have shown that long-term steroid use in the management of autoimmune conditions prior to COVID-19 diagnosis is associated with adverse outcomes such as hospitalization, </w:t>
      </w:r>
      <w:r w:rsidR="006C1319" w:rsidRPr="008021CD">
        <w:rPr>
          <w:rFonts w:ascii="Book Antiqua" w:eastAsia="Book Antiqua" w:hAnsi="Book Antiqua" w:cs="Book Antiqua"/>
          <w:color w:val="000000"/>
        </w:rPr>
        <w:t>intensive care unit (</w:t>
      </w:r>
      <w:r w:rsidRPr="008021CD">
        <w:rPr>
          <w:rFonts w:ascii="Book Antiqua" w:eastAsia="Book Antiqua" w:hAnsi="Book Antiqua" w:cs="Book Antiqua"/>
          <w:color w:val="000000"/>
        </w:rPr>
        <w:t>ICU</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admission, and </w:t>
      </w:r>
      <w:proofErr w:type="gramStart"/>
      <w:r w:rsidRPr="008021CD">
        <w:rPr>
          <w:rFonts w:ascii="Book Antiqua" w:eastAsia="Book Antiqua" w:hAnsi="Book Antiqua" w:cs="Book Antiqua"/>
          <w:color w:val="000000"/>
        </w:rPr>
        <w:t>mortality</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11,12]</w:t>
      </w:r>
      <w:r w:rsidRPr="008021CD">
        <w:rPr>
          <w:rFonts w:ascii="Book Antiqua" w:eastAsia="Book Antiqua" w:hAnsi="Book Antiqua" w:cs="Book Antiqua"/>
          <w:color w:val="000000"/>
        </w:rPr>
        <w:t>. At the same time, other results did not support an increased risk of severe COVID-19</w:t>
      </w:r>
      <w:r w:rsidRPr="008021CD">
        <w:rPr>
          <w:rFonts w:ascii="Book Antiqua" w:eastAsia="Book Antiqua" w:hAnsi="Book Antiqua" w:cs="Book Antiqua"/>
          <w:color w:val="000000"/>
          <w:vertAlign w:val="superscript"/>
        </w:rPr>
        <w:t>[13,14]</w:t>
      </w:r>
      <w:r w:rsidR="004362AC"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Thus, study results are inconsistent, with a high degree of heterogeneity. Therefore, a detailed understanding of the clinical course of COVID-19 in patients with AIH is necessary.</w:t>
      </w:r>
    </w:p>
    <w:p w14:paraId="03D915C5"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On the other hand, increasing vaccine uptake and other public health safety measures have helped reduce the pandemic</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s burden. However, considerable morbidity and mortality continue to accrue among non-immune and unvaccinated individuals. Furthermore, previous AIH literature has used small samples of patients with AIH. To address these research gaps, we performed a large population-based retrospective cohort study using data from the </w:t>
      </w:r>
      <w:r w:rsidR="004362AC" w:rsidRPr="008021CD">
        <w:rPr>
          <w:rFonts w:ascii="Book Antiqua" w:eastAsia="Book Antiqua" w:hAnsi="Book Antiqua" w:cs="Book Antiqua"/>
          <w:color w:val="000000"/>
        </w:rPr>
        <w:t>multicenter</w:t>
      </w:r>
      <w:r w:rsidRPr="008021CD">
        <w:rPr>
          <w:rFonts w:ascii="Book Antiqua" w:eastAsia="Book Antiqua" w:hAnsi="Book Antiqua" w:cs="Book Antiqua"/>
          <w:color w:val="000000"/>
        </w:rPr>
        <w:t xml:space="preserve"> research network. Our analysis focused on evaluating AIH as an independent risk factor associated with severe diseases of SARS-Co</w:t>
      </w:r>
      <w:r w:rsidR="006C1319" w:rsidRPr="008021CD">
        <w:rPr>
          <w:rFonts w:ascii="Book Antiqua" w:eastAsia="Book Antiqua" w:hAnsi="Book Antiqua" w:cs="Book Antiqua"/>
          <w:color w:val="000000"/>
        </w:rPr>
        <w:t>V-</w:t>
      </w:r>
      <w:r w:rsidRPr="008021CD">
        <w:rPr>
          <w:rFonts w:ascii="Book Antiqua" w:eastAsia="Book Antiqua" w:hAnsi="Book Antiqua" w:cs="Book Antiqua"/>
          <w:color w:val="000000"/>
        </w:rPr>
        <w:t>2 and all-cause mortality.</w:t>
      </w:r>
    </w:p>
    <w:p w14:paraId="3A24E3DC" w14:textId="77777777" w:rsidR="00A77B3E" w:rsidRPr="008021CD" w:rsidRDefault="00A77B3E" w:rsidP="008021CD">
      <w:pPr>
        <w:spacing w:line="360" w:lineRule="auto"/>
        <w:jc w:val="both"/>
        <w:rPr>
          <w:rFonts w:ascii="Book Antiqua" w:hAnsi="Book Antiqua"/>
        </w:rPr>
      </w:pPr>
    </w:p>
    <w:p w14:paraId="344638B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MATERIALS AND METHODS</w:t>
      </w:r>
    </w:p>
    <w:p w14:paraId="04FB0E3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Study design</w:t>
      </w:r>
    </w:p>
    <w:p w14:paraId="2E5C2061" w14:textId="77777777" w:rsidR="004362AC"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This population-based, multicenter, retrospective cohort study was conducted using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(Cambridge, MA, U</w:t>
      </w:r>
      <w:r w:rsidR="006C1319"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6C1319" w:rsidRPr="008021CD">
        <w:rPr>
          <w:rFonts w:ascii="Book Antiqua" w:eastAsia="Book Antiqua" w:hAnsi="Book Antiqua" w:cs="Book Antiqua"/>
          <w:color w:val="000000"/>
        </w:rPr>
        <w:t>tates</w:t>
      </w:r>
      <w:r w:rsidRPr="008021CD">
        <w:rPr>
          <w:rFonts w:ascii="Book Antiqua" w:eastAsia="Book Antiqua" w:hAnsi="Book Antiqua" w:cs="Book Antiqua"/>
          <w:color w:val="000000"/>
        </w:rPr>
        <w:t xml:space="preserve">), a federated health research network data set.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is a multi-institutional health research network that provides de-identified electronic medical records systems (EHRs) from the included healthcare organizations. Clinical variables (referred to as </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facts</w:t>
      </w:r>
      <w:r w:rsidR="006C1319"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on the network) are derived directly through EHRs. Robust quality assurance on the network is achieved at the time of extraction before inclusion. The platform only provides aggregate patient counts and statistical summaries to ensure de-identification at all levels of retrieval and dissemination of patient data.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received a waiver from </w:t>
      </w:r>
      <w:r w:rsidR="002E20DD">
        <w:rPr>
          <w:rFonts w:ascii="Book Antiqua" w:eastAsia="Book Antiqua" w:hAnsi="Book Antiqua" w:cs="Book Antiqua"/>
          <w:color w:val="000000"/>
        </w:rPr>
        <w:t xml:space="preserve">the </w:t>
      </w:r>
      <w:r w:rsidRPr="008021CD">
        <w:rPr>
          <w:rFonts w:ascii="Book Antiqua" w:eastAsia="Book Antiqua" w:hAnsi="Book Antiqua" w:cs="Book Antiqua"/>
          <w:color w:val="000000"/>
        </w:rPr>
        <w:t xml:space="preserve">Western </w:t>
      </w:r>
      <w:r w:rsidR="006C1319" w:rsidRPr="008021CD">
        <w:rPr>
          <w:rFonts w:ascii="Book Antiqua" w:eastAsia="Book Antiqua" w:hAnsi="Book Antiqua" w:cs="Book Antiqua"/>
          <w:color w:val="000000"/>
        </w:rPr>
        <w:t>institutional review board</w:t>
      </w:r>
      <w:r w:rsidRPr="008021CD">
        <w:rPr>
          <w:rFonts w:ascii="Book Antiqua" w:eastAsia="Book Antiqua" w:hAnsi="Book Antiqua" w:cs="Book Antiqua"/>
          <w:color w:val="000000"/>
        </w:rPr>
        <w:t xml:space="preserve"> as a federated network since only aggregated counts </w:t>
      </w:r>
      <w:r w:rsidR="001C2E01">
        <w:rPr>
          <w:rFonts w:ascii="Book Antiqua" w:eastAsia="Book Antiqua" w:hAnsi="Book Antiqua" w:cs="Book Antiqua"/>
          <w:color w:val="000000"/>
        </w:rPr>
        <w:t xml:space="preserve">and </w:t>
      </w:r>
      <w:r w:rsidRPr="008021CD">
        <w:rPr>
          <w:rFonts w:ascii="Book Antiqua" w:eastAsia="Book Antiqua" w:hAnsi="Book Antiqua" w:cs="Book Antiqua"/>
          <w:color w:val="000000"/>
        </w:rPr>
        <w:t>statistical summaries of de-identified information</w:t>
      </w:r>
      <w:r w:rsidR="002E20DD">
        <w:rPr>
          <w:rFonts w:ascii="Book Antiqua" w:eastAsia="Book Antiqua" w:hAnsi="Book Antiqua" w:cs="Book Antiqua"/>
          <w:color w:val="000000"/>
        </w:rPr>
        <w:t xml:space="preserve"> are included</w:t>
      </w:r>
      <w:r w:rsidRPr="008021CD">
        <w:rPr>
          <w:rFonts w:ascii="Book Antiqua" w:eastAsia="Book Antiqua" w:hAnsi="Book Antiqua" w:cs="Book Antiqua"/>
          <w:color w:val="000000"/>
        </w:rPr>
        <w:t xml:space="preserve">. </w:t>
      </w:r>
      <w:r w:rsidR="002E20DD">
        <w:rPr>
          <w:rFonts w:ascii="Book Antiqua" w:eastAsia="Book Antiqua" w:hAnsi="Book Antiqua" w:cs="Book Antiqua"/>
          <w:color w:val="000000"/>
        </w:rPr>
        <w:t>N</w:t>
      </w:r>
      <w:r w:rsidRPr="008021CD">
        <w:rPr>
          <w:rFonts w:ascii="Book Antiqua" w:eastAsia="Book Antiqua" w:hAnsi="Book Antiqua" w:cs="Book Antiqua"/>
          <w:color w:val="000000"/>
        </w:rPr>
        <w:t xml:space="preserve">o protected health information </w:t>
      </w:r>
      <w:r w:rsidR="002E20DD">
        <w:rPr>
          <w:rFonts w:ascii="Book Antiqua" w:eastAsia="Book Antiqua" w:hAnsi="Book Antiqua" w:cs="Book Antiqua"/>
          <w:color w:val="000000"/>
        </w:rPr>
        <w:t>was</w:t>
      </w:r>
      <w:r w:rsidRPr="008021CD">
        <w:rPr>
          <w:rFonts w:ascii="Book Antiqua" w:eastAsia="Book Antiqua" w:hAnsi="Book Antiqua" w:cs="Book Antiqua"/>
          <w:color w:val="000000"/>
        </w:rPr>
        <w:t xml:space="preserve"> obtained, and </w:t>
      </w:r>
      <w:r w:rsidRPr="008021CD">
        <w:rPr>
          <w:rFonts w:ascii="Book Antiqua" w:eastAsia="Book Antiqua" w:hAnsi="Book Antiqua" w:cs="Book Antiqua"/>
          <w:color w:val="000000"/>
        </w:rPr>
        <w:lastRenderedPageBreak/>
        <w:t xml:space="preserve">no study-specific activities </w:t>
      </w:r>
      <w:r w:rsidR="002E20DD">
        <w:rPr>
          <w:rFonts w:ascii="Book Antiqua" w:eastAsia="Book Antiqua" w:hAnsi="Book Antiqua" w:cs="Book Antiqua"/>
          <w:color w:val="000000"/>
        </w:rPr>
        <w:t>were</w:t>
      </w:r>
      <w:r w:rsidRPr="008021CD">
        <w:rPr>
          <w:rFonts w:ascii="Book Antiqua" w:eastAsia="Book Antiqua" w:hAnsi="Book Antiqua" w:cs="Book Antiqua"/>
          <w:color w:val="000000"/>
        </w:rPr>
        <w:t xml:space="preserve"> performed in </w:t>
      </w:r>
      <w:r w:rsidR="002E20DD">
        <w:rPr>
          <w:rFonts w:ascii="Book Antiqua" w:eastAsia="Book Antiqua" w:hAnsi="Book Antiqua" w:cs="Book Antiqua"/>
          <w:color w:val="000000"/>
        </w:rPr>
        <w:t xml:space="preserve">the </w:t>
      </w:r>
      <w:r w:rsidRPr="008021CD">
        <w:rPr>
          <w:rFonts w:ascii="Book Antiqua" w:eastAsia="Book Antiqua" w:hAnsi="Book Antiqua" w:cs="Book Antiqua"/>
          <w:color w:val="000000"/>
        </w:rPr>
        <w:t>retrospective analyses. Details of the data source and quality checks are described in the supplementary</w:t>
      </w:r>
      <w:r w:rsidR="00E223E6">
        <w:rPr>
          <w:rFonts w:ascii="Book Antiqua" w:eastAsia="Book Antiqua" w:hAnsi="Book Antiqua" w:cs="Book Antiqua"/>
          <w:color w:val="000000"/>
        </w:rPr>
        <w:t xml:space="preserve"> data</w:t>
      </w:r>
      <w:r w:rsidRPr="008021CD">
        <w:rPr>
          <w:rFonts w:ascii="Book Antiqua" w:eastAsia="Book Antiqua" w:hAnsi="Book Antiqua" w:cs="Book Antiqua"/>
          <w:color w:val="000000"/>
        </w:rPr>
        <w:t>.</w:t>
      </w:r>
    </w:p>
    <w:p w14:paraId="1F52F405" w14:textId="77777777" w:rsidR="00A77B3E" w:rsidRDefault="00A77B3E" w:rsidP="008021CD">
      <w:pPr>
        <w:spacing w:line="360" w:lineRule="auto"/>
        <w:jc w:val="both"/>
        <w:rPr>
          <w:rFonts w:ascii="Book Antiqua" w:hAnsi="Book Antiqua"/>
        </w:rPr>
      </w:pPr>
    </w:p>
    <w:p w14:paraId="4C6821EE" w14:textId="77777777" w:rsidR="001C2E01" w:rsidRPr="008021CD" w:rsidRDefault="001C2E01" w:rsidP="008021CD">
      <w:pPr>
        <w:spacing w:line="360" w:lineRule="auto"/>
        <w:jc w:val="both"/>
        <w:rPr>
          <w:rFonts w:ascii="Book Antiqua" w:hAnsi="Book Antiqua"/>
        </w:rPr>
      </w:pPr>
    </w:p>
    <w:p w14:paraId="51EA978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Study participants</w:t>
      </w:r>
    </w:p>
    <w:p w14:paraId="2FC4F23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All adult patients (age ≥</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18 years) with AIH and confirmed COVID-19 infection between January 20, 2020, and November 30, 2021</w:t>
      </w:r>
      <w:r w:rsidR="001C2E01">
        <w:rPr>
          <w:rFonts w:ascii="Book Antiqua" w:eastAsia="Book Antiqua" w:hAnsi="Book Antiqua" w:cs="Book Antiqua"/>
          <w:color w:val="000000"/>
        </w:rPr>
        <w:t>,</w:t>
      </w:r>
      <w:r w:rsidR="002E20DD">
        <w:rPr>
          <w:rFonts w:ascii="Book Antiqua" w:eastAsia="Book Antiqua" w:hAnsi="Book Antiqua" w:cs="Book Antiqua"/>
          <w:color w:val="000000"/>
        </w:rPr>
        <w:t xml:space="preserve"> were included</w:t>
      </w:r>
      <w:r w:rsidRPr="008021CD">
        <w:rPr>
          <w:rFonts w:ascii="Book Antiqua" w:eastAsia="Book Antiqua" w:hAnsi="Book Antiqua" w:cs="Book Antiqua"/>
          <w:color w:val="000000"/>
        </w:rPr>
        <w:t>. The search criteria for potential patients with COVID-19 were based on specific COVID-19 diagnosis codes or positive laboratory confirmation of COVID-19.</w:t>
      </w:r>
    </w:p>
    <w:p w14:paraId="318DC4DC"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To determine the clinical impact of AIH on clinical outcomes </w:t>
      </w:r>
      <w:r w:rsidR="002E20DD">
        <w:rPr>
          <w:rFonts w:ascii="Book Antiqua" w:eastAsia="Book Antiqua" w:hAnsi="Book Antiqua" w:cs="Book Antiqua"/>
          <w:color w:val="000000"/>
        </w:rPr>
        <w:t>of</w:t>
      </w:r>
      <w:r w:rsidRPr="008021CD">
        <w:rPr>
          <w:rFonts w:ascii="Book Antiqua" w:eastAsia="Book Antiqua" w:hAnsi="Book Antiqua" w:cs="Book Antiqua"/>
          <w:color w:val="000000"/>
        </w:rPr>
        <w:t xml:space="preserve"> COVID</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19, we compared AIH patients to a control group of patients without any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w:t>
      </w:r>
      <w:r w:rsidR="006C1319"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CLD, including AIH (non</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CLD) and COVID</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19. To assess the impact of AIH compared to other liver diseases, we compared AIH patients to a control group of patients with other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CLD (non-AIH CLD) and COVID</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19. Details of the search criteria and diagnosis codes used for patient selection are described in the supplementary</w:t>
      </w:r>
      <w:r w:rsidR="002E20DD">
        <w:rPr>
          <w:rFonts w:ascii="Book Antiqua" w:eastAsia="Book Antiqua" w:hAnsi="Book Antiqua" w:cs="Book Antiqua"/>
          <w:color w:val="000000"/>
        </w:rPr>
        <w:t xml:space="preserve"> data</w:t>
      </w:r>
      <w:r w:rsidRPr="008021CD">
        <w:rPr>
          <w:rFonts w:ascii="Book Antiqua" w:eastAsia="Book Antiqua" w:hAnsi="Book Antiqua" w:cs="Book Antiqua"/>
          <w:color w:val="000000"/>
        </w:rPr>
        <w:t>.</w:t>
      </w:r>
    </w:p>
    <w:p w14:paraId="26C5F654" w14:textId="77777777" w:rsidR="00A77B3E" w:rsidRPr="008021CD" w:rsidRDefault="00A77B3E" w:rsidP="008021CD">
      <w:pPr>
        <w:spacing w:line="360" w:lineRule="auto"/>
        <w:ind w:firstLine="240"/>
        <w:jc w:val="both"/>
        <w:rPr>
          <w:rFonts w:ascii="Book Antiqua" w:hAnsi="Book Antiqua"/>
        </w:rPr>
      </w:pPr>
    </w:p>
    <w:p w14:paraId="1387B62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Matching process</w:t>
      </w:r>
    </w:p>
    <w:p w14:paraId="5863D480" w14:textId="77777777" w:rsidR="004362AC"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Each patient in the main group was matched to a patient in the control group using 1:1 propensity score matching (PSM) to reduce confounding </w:t>
      </w:r>
      <w:proofErr w:type="gramStart"/>
      <w:r w:rsidRPr="008021CD">
        <w:rPr>
          <w:rFonts w:ascii="Book Antiqua" w:eastAsia="Book Antiqua" w:hAnsi="Book Antiqua" w:cs="Book Antiqua"/>
          <w:color w:val="000000"/>
        </w:rPr>
        <w:t>effects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15]</w:t>
      </w:r>
      <w:r w:rsidRPr="008021CD">
        <w:rPr>
          <w:rFonts w:ascii="Book Antiqua" w:eastAsia="Book Antiqua" w:hAnsi="Book Antiqua" w:cs="Book Antiqua"/>
          <w:color w:val="000000"/>
        </w:rPr>
        <w: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Covariates in the propensity score model were adjusted for a</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priori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identified potential confounders: </w:t>
      </w:r>
      <w:r w:rsidR="00080726" w:rsidRPr="008021CD">
        <w:rPr>
          <w:rFonts w:ascii="Book Antiqua" w:eastAsia="Book Antiqua" w:hAnsi="Book Antiqua" w:cs="Book Antiqua"/>
          <w:color w:val="000000"/>
        </w:rPr>
        <w:t>A</w:t>
      </w:r>
      <w:r w:rsidRPr="008021CD">
        <w:rPr>
          <w:rFonts w:ascii="Book Antiqua" w:eastAsia="Book Antiqua" w:hAnsi="Book Antiqua" w:cs="Book Antiqua"/>
          <w:color w:val="000000"/>
        </w:rPr>
        <w:t xml:space="preserve">ge, sex, race/ethnicity (Hispanic, non-Hispanic white, non-Hispanic black, or non-Hispanic other), </w:t>
      </w:r>
      <w:r w:rsidR="00080726" w:rsidRPr="008021CD">
        <w:rPr>
          <w:rFonts w:ascii="Book Antiqua" w:eastAsia="Book Antiqua" w:hAnsi="Book Antiqua" w:cs="Book Antiqua"/>
          <w:color w:val="000000"/>
        </w:rPr>
        <w:t>body mass index (</w:t>
      </w:r>
      <w:r w:rsidRPr="008021CD">
        <w:rPr>
          <w:rFonts w:ascii="Book Antiqua" w:eastAsia="Book Antiqua" w:hAnsi="Book Antiqua" w:cs="Book Antiqua"/>
          <w:color w:val="000000"/>
        </w:rPr>
        <w:t>BMI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nicotine dependence, and comorbidities that are listed in </w:t>
      </w:r>
      <w:r w:rsidR="00080726" w:rsidRPr="008021CD">
        <w:rPr>
          <w:rFonts w:ascii="Book Antiqua" w:eastAsia="Book Antiqua" w:hAnsi="Book Antiqua" w:cs="Book Antiqua"/>
          <w:color w:val="000000"/>
        </w:rPr>
        <w:t>T</w:t>
      </w:r>
      <w:r w:rsidRPr="008021CD">
        <w:rPr>
          <w:rFonts w:ascii="Book Antiqua" w:eastAsia="Book Antiqua" w:hAnsi="Book Antiqua" w:cs="Book Antiqua"/>
          <w:color w:val="000000"/>
        </w:rPr>
        <w:t xml:space="preserve">able 1. Logistic regression on these input matrices was used to obtain propensity scores for each patient in both cohorts. Logistic regression was performed in Python 3.6.5 (Python Software Foundation) using standard libraries NumPy and </w:t>
      </w:r>
      <w:proofErr w:type="spellStart"/>
      <w:r w:rsidR="00E223E6">
        <w:rPr>
          <w:rFonts w:ascii="Book Antiqua" w:eastAsia="Book Antiqua" w:hAnsi="Book Antiqua" w:cs="Book Antiqua"/>
          <w:color w:val="000000"/>
        </w:rPr>
        <w:t>S</w:t>
      </w:r>
      <w:r w:rsidRPr="008021CD">
        <w:rPr>
          <w:rFonts w:ascii="Book Antiqua" w:eastAsia="Book Antiqua" w:hAnsi="Book Antiqua" w:cs="Book Antiqua"/>
          <w:color w:val="000000"/>
        </w:rPr>
        <w:t>klearn</w:t>
      </w:r>
      <w:proofErr w:type="spellEnd"/>
      <w:r w:rsidRPr="008021CD">
        <w:rPr>
          <w:rFonts w:ascii="Book Antiqua" w:eastAsia="Book Antiqua" w:hAnsi="Book Antiqua" w:cs="Book Antiqua"/>
          <w:color w:val="000000"/>
        </w:rPr>
        <w:t xml:space="preserve">. The same analyses were also performed in R 3.4.4 software (R Foundation for Statistical Computing, Vienna, Austria) to ensure outputs match. After calculating propensity scores, matching was performed using a greedy nearest-neighbor matching algorithm with a caliper of 0.1 pooled standard deviations. The order of the rows in the covariate matrix can affect the </w:t>
      </w:r>
      <w:r w:rsidRPr="008021CD">
        <w:rPr>
          <w:rFonts w:ascii="Book Antiqua" w:eastAsia="Book Antiqua" w:hAnsi="Book Antiqua" w:cs="Book Antiqua"/>
          <w:color w:val="000000"/>
        </w:rPr>
        <w:lastRenderedPageBreak/>
        <w:t>nearest neighbor matching; therefore, the order of the rows in the matrix was randomized to eliminate this bias.</w:t>
      </w:r>
    </w:p>
    <w:p w14:paraId="08DC26A4" w14:textId="77777777" w:rsidR="00A77B3E" w:rsidRDefault="00A77B3E" w:rsidP="008021CD">
      <w:pPr>
        <w:spacing w:line="360" w:lineRule="auto"/>
        <w:jc w:val="both"/>
        <w:rPr>
          <w:rFonts w:ascii="Book Antiqua" w:hAnsi="Book Antiqua"/>
        </w:rPr>
      </w:pPr>
    </w:p>
    <w:p w14:paraId="00C329E3" w14:textId="77777777" w:rsidR="001C2E01" w:rsidRDefault="001C2E01" w:rsidP="008021CD">
      <w:pPr>
        <w:spacing w:line="360" w:lineRule="auto"/>
        <w:jc w:val="both"/>
        <w:rPr>
          <w:rFonts w:ascii="Book Antiqua" w:hAnsi="Book Antiqua"/>
        </w:rPr>
      </w:pPr>
    </w:p>
    <w:p w14:paraId="5A2AA7C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Study outcomes</w:t>
      </w:r>
    </w:p>
    <w:p w14:paraId="3174687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The primary study outcome was all-cause mortality from index events within 60 d. The index event was defined as either the time of COVID-19 diagnosis or </w:t>
      </w:r>
      <w:r w:rsidR="00E223E6">
        <w:rPr>
          <w:rFonts w:ascii="Book Antiqua" w:eastAsia="Book Antiqua" w:hAnsi="Book Antiqua" w:cs="Book Antiqua"/>
          <w:color w:val="000000"/>
        </w:rPr>
        <w:t xml:space="preserve">the </w:t>
      </w:r>
      <w:r w:rsidRPr="008021CD">
        <w:rPr>
          <w:rFonts w:ascii="Book Antiqua" w:eastAsia="Book Antiqua" w:hAnsi="Book Antiqua" w:cs="Book Antiqua"/>
          <w:color w:val="000000"/>
        </w:rPr>
        <w:t xml:space="preserve">first COVID-19 positive test result date, whichever occurred first. Secondary outcomes were hospitalization, severe diseases, acute kidney injury (AKI), </w:t>
      </w:r>
      <w:r w:rsidR="001C2E01">
        <w:rPr>
          <w:rFonts w:ascii="Book Antiqua" w:eastAsia="Book Antiqua" w:hAnsi="Book Antiqua" w:cs="Book Antiqua"/>
          <w:color w:val="000000"/>
        </w:rPr>
        <w:t xml:space="preserve">and </w:t>
      </w:r>
      <w:r w:rsidRPr="008021CD">
        <w:rPr>
          <w:rFonts w:ascii="Book Antiqua" w:eastAsia="Book Antiqua" w:hAnsi="Book Antiqua" w:cs="Book Antiqua"/>
          <w:color w:val="000000"/>
        </w:rPr>
        <w:t>intensive care (requiring extracorporeal membrane oxygenation or mechanical ventilation) in the 30 d from COVID-19 diagnosis. Severe disease was operationalized and defined as a composite outcome requiring intensive care or death within 30 d of COVID-19 diagnosis.</w:t>
      </w:r>
    </w:p>
    <w:p w14:paraId="59D8B8B5" w14:textId="77777777" w:rsidR="00A77B3E" w:rsidRPr="008021CD" w:rsidRDefault="00A77B3E" w:rsidP="008021CD">
      <w:pPr>
        <w:spacing w:line="360" w:lineRule="auto"/>
        <w:jc w:val="both"/>
        <w:rPr>
          <w:rFonts w:ascii="Book Antiqua" w:hAnsi="Book Antiqua"/>
        </w:rPr>
      </w:pPr>
    </w:p>
    <w:p w14:paraId="6A32CDE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Statistical analysis</w:t>
      </w:r>
    </w:p>
    <w:p w14:paraId="3A12AC3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All statistical analyses were performed in real-time using the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platform. Continuous variables are expressed as means ±</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SD. Categorical variables were defined as frequency and percentage. For each outcome, the risk ratio (RR) and confidence intervals (CI) were calculated to compare the association of the AIH with the outcome. Numbers were then validated by comparing them with the output from SAS version 9.4. A-priori-defined two-sided alpha of less than ≤</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0.05 was used for statistical significance, and all statistical data analy</w:t>
      </w:r>
      <w:r w:rsidR="00E223E6">
        <w:rPr>
          <w:rFonts w:ascii="Book Antiqua" w:eastAsia="Book Antiqua" w:hAnsi="Book Antiqua" w:cs="Book Antiqua"/>
          <w:color w:val="000000"/>
        </w:rPr>
        <w:t>s</w:t>
      </w:r>
      <w:r w:rsidRPr="008021CD">
        <w:rPr>
          <w:rFonts w:ascii="Book Antiqua" w:eastAsia="Book Antiqua" w:hAnsi="Book Antiqua" w:cs="Book Antiqua"/>
          <w:color w:val="000000"/>
        </w:rPr>
        <w:t>es were performed utilizing the form of the limitation in real-time.</w:t>
      </w:r>
    </w:p>
    <w:p w14:paraId="79661092" w14:textId="77777777" w:rsidR="00A77B3E" w:rsidRPr="008021CD" w:rsidRDefault="00A77B3E" w:rsidP="008021CD">
      <w:pPr>
        <w:spacing w:line="360" w:lineRule="auto"/>
        <w:jc w:val="both"/>
        <w:rPr>
          <w:rFonts w:ascii="Book Antiqua" w:hAnsi="Book Antiqua"/>
        </w:rPr>
      </w:pPr>
    </w:p>
    <w:p w14:paraId="5B96B9A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RESULTS</w:t>
      </w:r>
    </w:p>
    <w:p w14:paraId="405C5AC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Baseline characteristics</w:t>
      </w:r>
    </w:p>
    <w:p w14:paraId="3213B02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We identified 15790 non-AIH CLD and 1647915 non-CLD patients during the study period (Figure 1). Major etiologies of non-AIH CLD include</w:t>
      </w:r>
      <w:r w:rsidR="00E223E6">
        <w:rPr>
          <w:rFonts w:ascii="Book Antiqua" w:eastAsia="Book Antiqua" w:hAnsi="Book Antiqua" w:cs="Book Antiqua"/>
          <w:color w:val="000000"/>
        </w:rPr>
        <w:t>d</w:t>
      </w:r>
      <w:r w:rsidRPr="008021CD">
        <w:rPr>
          <w:rFonts w:ascii="Book Antiqua" w:eastAsia="Book Antiqua" w:hAnsi="Book Antiqua" w:cs="Book Antiqua"/>
          <w:color w:val="000000"/>
        </w:rPr>
        <w:t xml:space="preserve"> alcoholic liver disease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4159, 26.3%), NAFLD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3085, 19.5%), viral hepatitis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1093, 6.9%), and other diseases of the liver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3456, 21.8%) (Supplementary Table 1). Baseline characteristics of non-CLD patients are described in Table 1. 893768 (54.2%) were female, and 144535 (8.8%) </w:t>
      </w:r>
      <w:r w:rsidRPr="008021CD">
        <w:rPr>
          <w:rFonts w:ascii="Book Antiqua" w:eastAsia="Book Antiqua" w:hAnsi="Book Antiqua" w:cs="Book Antiqua"/>
          <w:color w:val="000000"/>
        </w:rPr>
        <w:lastRenderedPageBreak/>
        <w:t>were Hispanic or Latino. 181270 (11%) reported nicotine dependence. Rates of several common comorbidities were significantly lower in the non-CLD group compared to the AIH cohort, including hypertension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384968, 23.3%), neoplasms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293362, 17.8%), and chronic lower respiratory diseases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235406, 14.2%).</w:t>
      </w:r>
    </w:p>
    <w:p w14:paraId="385AA26A"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Baseline characteristics of the non-AIH CLD patients are described in Table 2. 6517 (41.2%) patients were female, and 1831 (11.5%) patients had a history of nicotine dependence. Compared to the AIH cohort, non-AIH CLD patients had higher rates of comorbidities, including hypertension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11469, 72.6%), neoplasms </w:t>
      </w:r>
      <w:r w:rsidR="00080726" w:rsidRPr="008021CD">
        <w:rPr>
          <w:rFonts w:ascii="Book Antiqua" w:eastAsia="Book Antiqua" w:hAnsi="Book Antiqua" w:cs="Book Antiqua"/>
          <w:color w:val="000000"/>
        </w:rPr>
        <w:t>(</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8400, 53.1%), diabetes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7882, 49.9%), and chronic lower respiratory diseases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5843, 37.0%). </w:t>
      </w:r>
    </w:p>
    <w:p w14:paraId="08157DD9" w14:textId="77777777" w:rsidR="00A77B3E" w:rsidRPr="008021CD" w:rsidRDefault="00A77B3E" w:rsidP="008021CD">
      <w:pPr>
        <w:spacing w:line="360" w:lineRule="auto"/>
        <w:ind w:firstLine="240"/>
        <w:jc w:val="both"/>
        <w:rPr>
          <w:rFonts w:ascii="Book Antiqua" w:hAnsi="Book Antiqua"/>
        </w:rPr>
      </w:pPr>
    </w:p>
    <w:p w14:paraId="3B89B04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AIH characteristics</w:t>
      </w:r>
    </w:p>
    <w:p w14:paraId="2C3D0B8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During the same study period, 375 patients with AIH were identified. Baseline characteristics are described in Tables 1 and 2. A majority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271, 72.2%) of the patients were female, and 76 (20.2%) patients had a history of nicotine dependence. Common comorbidities were hypertension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163, 43.4%), neoplasms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125, 33.3%), chronic lower respiratory diseases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82, 21.8%), and diabetes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74, 19.7%). Coexistence of other immune-mediated disorders in the AIH cohort occurred most often with systemic lupus erythematosus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61, 16.2%), rheumatoid arthritis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57, 15.2%), </w:t>
      </w:r>
      <w:proofErr w:type="spellStart"/>
      <w:r w:rsidRPr="008021CD">
        <w:rPr>
          <w:rFonts w:ascii="Book Antiqua" w:eastAsia="Book Antiqua" w:hAnsi="Book Antiqua" w:cs="Book Antiqua"/>
          <w:color w:val="000000"/>
        </w:rPr>
        <w:t>Sjögren</w:t>
      </w:r>
      <w:proofErr w:type="spellEnd"/>
      <w:r w:rsidRPr="008021CD">
        <w:rPr>
          <w:rFonts w:ascii="Book Antiqua" w:eastAsia="Book Antiqua" w:hAnsi="Book Antiqua" w:cs="Book Antiqua"/>
          <w:color w:val="000000"/>
        </w:rPr>
        <w:t xml:space="preserve"> syndrome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45, 12.0%), and ulcerative colitis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27, 7.2%) (Supplementary Table 2). The most common immunosuppressive agents used in the AIH cohort were prednisone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313, 83.4%), azathioprine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170, 45.3%), and budesonide (</w:t>
      </w:r>
      <w:r w:rsidRPr="008021CD">
        <w:rPr>
          <w:rFonts w:ascii="Book Antiqua" w:eastAsia="Book Antiqua" w:hAnsi="Book Antiqua" w:cs="Book Antiqua"/>
          <w:i/>
          <w:iCs/>
          <w:color w:val="000000"/>
        </w:rPr>
        <w:t>n</w:t>
      </w:r>
      <w:r w:rsidRPr="008021CD">
        <w:rPr>
          <w:rFonts w:ascii="Book Antiqua" w:eastAsia="Book Antiqua" w:hAnsi="Book Antiqua" w:cs="Book Antiqua"/>
          <w:color w:val="000000"/>
        </w:rPr>
        <w:t xml:space="preserve"> = 80, 21.3%) (Supplementary Table 2).</w:t>
      </w:r>
    </w:p>
    <w:p w14:paraId="3CEF4109" w14:textId="77777777" w:rsidR="00A77B3E" w:rsidRPr="008021CD" w:rsidRDefault="00A77B3E" w:rsidP="008021CD">
      <w:pPr>
        <w:spacing w:line="360" w:lineRule="auto"/>
        <w:jc w:val="both"/>
        <w:rPr>
          <w:rFonts w:ascii="Book Antiqua" w:hAnsi="Book Antiqua"/>
        </w:rPr>
      </w:pPr>
    </w:p>
    <w:p w14:paraId="419EC2B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Clinical characteristics</w:t>
      </w:r>
    </w:p>
    <w:p w14:paraId="02A00AF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Patients with AIH compared to non-CLD:</w:t>
      </w:r>
      <w:r w:rsidRPr="008021CD">
        <w:rPr>
          <w:rFonts w:ascii="Book Antiqua" w:eastAsia="Book Antiqua" w:hAnsi="Book Antiqua" w:cs="Book Antiqua"/>
          <w:color w:val="000000"/>
        </w:rPr>
        <w:t xml:space="preserve"> Results of lab</w:t>
      </w:r>
      <w:r w:rsidR="00E223E6">
        <w:rPr>
          <w:rFonts w:ascii="Book Antiqua" w:eastAsia="Book Antiqua" w:hAnsi="Book Antiqua" w:cs="Book Antiqua"/>
          <w:color w:val="000000"/>
        </w:rPr>
        <w:t>oratory</w:t>
      </w:r>
      <w:r w:rsidRPr="008021CD">
        <w:rPr>
          <w:rFonts w:ascii="Book Antiqua" w:eastAsia="Book Antiqua" w:hAnsi="Book Antiqua" w:cs="Book Antiqua"/>
          <w:color w:val="000000"/>
        </w:rPr>
        <w:t xml:space="preserve"> vitals, symptoms, and laboratory findings between AIH and non-CLD cohorts are presented in Supplementary Table 3. All liver function tests were significantly different between the AIH and non-CLD patients (</w:t>
      </w:r>
      <w:r w:rsidRPr="008021CD">
        <w:rPr>
          <w:rFonts w:ascii="Book Antiqua" w:eastAsia="Book Antiqua" w:hAnsi="Book Antiqua" w:cs="Book Antiqua"/>
          <w:i/>
          <w:iCs/>
          <w:color w:val="000000"/>
        </w:rPr>
        <w:t>P</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0.01). After a propensity score-matched analysis, all liver function results remained significantly different between the cohorts</w:t>
      </w:r>
      <w:r w:rsidR="00E223E6">
        <w:rPr>
          <w:rFonts w:ascii="Book Antiqua" w:eastAsia="Book Antiqua" w:hAnsi="Book Antiqua" w:cs="Book Antiqua"/>
          <w:color w:val="000000"/>
        </w:rPr>
        <w:t>:</w:t>
      </w:r>
      <w:r w:rsidRPr="008021CD">
        <w:rPr>
          <w:rFonts w:ascii="Book Antiqua" w:eastAsia="Book Antiqua" w:hAnsi="Book Antiqua" w:cs="Book Antiqua"/>
          <w:color w:val="000000"/>
        </w:rPr>
        <w:t xml:space="preserve"> The mean alanine </w:t>
      </w:r>
      <w:r w:rsidRPr="008021CD">
        <w:rPr>
          <w:rFonts w:ascii="Book Antiqua" w:eastAsia="Book Antiqua" w:hAnsi="Book Antiqua" w:cs="Book Antiqua"/>
          <w:color w:val="000000"/>
        </w:rPr>
        <w:lastRenderedPageBreak/>
        <w:t xml:space="preserve">aminotransferase (ALT) (65.3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23.6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0.01), aspartate aminotransferase (54.9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23.7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total bilirubin (0.86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0.53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and alkaline phosphatase (ALP) (105.0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88.3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and serum albumin (3.88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4.04 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0.04) (Supplementary Table 3).</w:t>
      </w:r>
    </w:p>
    <w:p w14:paraId="50D2946E"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Compared to non-CLD patients, AIH patients had higher ferritin levels (336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192 ng/mL;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and lower fibrinogen levels (303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389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0.04). After propensity matching, the higher ferritin level (336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118 ng/mL;</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and lower fibrinogen level (303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436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0.03) remained. All other inflammatory markers were measured with no significant differences (Supplementary Table 3).</w:t>
      </w:r>
    </w:p>
    <w:p w14:paraId="399517DB" w14:textId="77777777" w:rsidR="00A77B3E" w:rsidRPr="008021CD" w:rsidRDefault="00A77B3E" w:rsidP="008021CD">
      <w:pPr>
        <w:spacing w:line="360" w:lineRule="auto"/>
        <w:ind w:firstLine="240"/>
        <w:jc w:val="both"/>
        <w:rPr>
          <w:rFonts w:ascii="Book Antiqua" w:hAnsi="Book Antiqua"/>
        </w:rPr>
      </w:pPr>
    </w:p>
    <w:p w14:paraId="27C0F98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Patients with AIH compared to non-AIH CLD:</w:t>
      </w:r>
      <w:r w:rsidRPr="008021CD">
        <w:rPr>
          <w:rFonts w:ascii="Book Antiqua" w:eastAsia="Book Antiqua" w:hAnsi="Book Antiqua" w:cs="Book Antiqua"/>
          <w:color w:val="000000"/>
        </w:rPr>
        <w:t xml:space="preserve"> When compared to non-AIH CLD patients, AIH patients had higher ALT levels (65.6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38.3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0.01), lower total bilirubin (0.87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1.58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lower ALP (106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129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0.04), and higher serum albumin (3.87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3.61 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0.01). After </w:t>
      </w:r>
      <w:r w:rsidR="00080726" w:rsidRPr="008021CD">
        <w:rPr>
          <w:rFonts w:ascii="Book Antiqua" w:eastAsia="Book Antiqua" w:hAnsi="Book Antiqua" w:cs="Book Antiqua"/>
          <w:color w:val="000000"/>
        </w:rPr>
        <w:t>PSM</w:t>
      </w:r>
      <w:r w:rsidRPr="008021CD">
        <w:rPr>
          <w:rFonts w:ascii="Book Antiqua" w:eastAsia="Book Antiqua" w:hAnsi="Book Antiqua" w:cs="Book Antiqua"/>
          <w:color w:val="000000"/>
        </w:rPr>
        <w:t xml:space="preserve">, the differences in total bilirubin (0.87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2.09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0.01), ALP (105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133 U/L;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0.04), and serum albumin (3.87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3.71 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remained significant. Before </w:t>
      </w:r>
      <w:r w:rsidR="00080726" w:rsidRPr="008021CD">
        <w:rPr>
          <w:rFonts w:ascii="Book Antiqua" w:eastAsia="Book Antiqua" w:hAnsi="Book Antiqua" w:cs="Book Antiqua"/>
          <w:color w:val="000000"/>
        </w:rPr>
        <w:t>PSM</w:t>
      </w:r>
      <w:r w:rsidRPr="008021CD">
        <w:rPr>
          <w:rFonts w:ascii="Book Antiqua" w:eastAsia="Book Antiqua" w:hAnsi="Book Antiqua" w:cs="Book Antiqua"/>
          <w:color w:val="000000"/>
        </w:rPr>
        <w:t xml:space="preserve">, AIH patients had higher </w:t>
      </w:r>
      <w:r w:rsidR="00080726" w:rsidRPr="008021CD">
        <w:rPr>
          <w:rFonts w:ascii="Book Antiqua" w:eastAsia="Book Antiqua" w:hAnsi="Book Antiqua" w:cs="Book Antiqua"/>
          <w:color w:val="000000"/>
        </w:rPr>
        <w:t>C-reactive protein</w:t>
      </w:r>
      <w:r w:rsidRPr="008021CD">
        <w:rPr>
          <w:rFonts w:ascii="Book Antiqua" w:eastAsia="Book Antiqua" w:hAnsi="Book Antiqua" w:cs="Book Antiqua"/>
          <w:color w:val="000000"/>
        </w:rPr>
        <w:t xml:space="preserve"> levels (15.4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28.4 mg/L;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and lower </w:t>
      </w:r>
      <w:r w:rsidR="004362AC" w:rsidRPr="008021CD">
        <w:rPr>
          <w:rFonts w:ascii="Book Antiqua" w:eastAsia="Book Antiqua" w:hAnsi="Book Antiqua" w:cs="Book Antiqua"/>
          <w:color w:val="000000"/>
        </w:rPr>
        <w:t>erythrocyte sedimentation rate</w:t>
      </w:r>
      <w:r w:rsidR="004362AC" w:rsidRPr="008021CD" w:rsidDel="004362AC">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(24.3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34.0 mm/h;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&lt;</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0.01). After </w:t>
      </w:r>
      <w:r w:rsidR="00080726" w:rsidRPr="008021CD">
        <w:rPr>
          <w:rFonts w:ascii="Book Antiqua" w:eastAsia="Book Antiqua" w:hAnsi="Book Antiqua" w:cs="Book Antiqua"/>
          <w:color w:val="000000"/>
        </w:rPr>
        <w:t>PSM</w:t>
      </w:r>
      <w:r w:rsidRPr="008021CD">
        <w:rPr>
          <w:rFonts w:ascii="Book Antiqua" w:eastAsia="Book Antiqua" w:hAnsi="Book Antiqua" w:cs="Book Antiqua"/>
          <w:color w:val="000000"/>
        </w:rPr>
        <w:t xml:space="preserve">, the AIH group had higher fibrinogen levels (307 </w:t>
      </w:r>
      <w:r w:rsidRPr="008021CD">
        <w:rPr>
          <w:rFonts w:ascii="Book Antiqua" w:eastAsia="Book Antiqua" w:hAnsi="Book Antiqua" w:cs="Book Antiqua"/>
          <w:i/>
          <w:iCs/>
          <w:color w:val="000000"/>
        </w:rPr>
        <w:t>vs</w:t>
      </w:r>
      <w:r w:rsidRPr="008021CD">
        <w:rPr>
          <w:rFonts w:ascii="Book Antiqua" w:eastAsia="Book Antiqua" w:hAnsi="Book Antiqua" w:cs="Book Antiqua"/>
          <w:color w:val="000000"/>
        </w:rPr>
        <w:t xml:space="preserve"> 234 mg/dL; </w:t>
      </w:r>
      <w:r w:rsidRPr="008021CD">
        <w:rPr>
          <w:rFonts w:ascii="Book Antiqua" w:eastAsia="Book Antiqua" w:hAnsi="Book Antiqua" w:cs="Book Antiqua"/>
          <w:i/>
          <w:iCs/>
          <w:color w:val="000000"/>
        </w:rPr>
        <w:t>P</w:t>
      </w:r>
      <w:r w:rsidRPr="008021CD">
        <w:rPr>
          <w:rFonts w:ascii="Book Antiqua" w:eastAsia="Book Antiqua" w:hAnsi="Book Antiqua" w:cs="Book Antiqua"/>
          <w:color w:val="000000"/>
        </w:rPr>
        <w:t xml:space="preserve"> = 0.01) (Supplementary Table 4).</w:t>
      </w:r>
    </w:p>
    <w:p w14:paraId="3130DEF9" w14:textId="77777777" w:rsidR="00A77B3E" w:rsidRPr="008021CD" w:rsidRDefault="00A77B3E" w:rsidP="008021CD">
      <w:pPr>
        <w:spacing w:line="360" w:lineRule="auto"/>
        <w:jc w:val="both"/>
        <w:rPr>
          <w:rFonts w:ascii="Book Antiqua" w:hAnsi="Book Antiqua"/>
        </w:rPr>
      </w:pPr>
    </w:p>
    <w:p w14:paraId="3AE6BBC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Outcomes</w:t>
      </w:r>
    </w:p>
    <w:p w14:paraId="40BE28B7"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Patients with AIH compared to non-CLD:</w:t>
      </w:r>
      <w:r w:rsidRPr="008021CD">
        <w:rPr>
          <w:rFonts w:ascii="Book Antiqua" w:eastAsia="Book Antiqua" w:hAnsi="Book Antiqua" w:cs="Book Antiqua"/>
          <w:color w:val="000000"/>
        </w:rPr>
        <w:t xml:space="preserve"> Before </w:t>
      </w:r>
      <w:r w:rsidR="00080726" w:rsidRPr="008021CD">
        <w:rPr>
          <w:rFonts w:ascii="Book Antiqua" w:eastAsia="Book Antiqua" w:hAnsi="Book Antiqua" w:cs="Book Antiqua"/>
          <w:color w:val="000000"/>
        </w:rPr>
        <w:t>PSM</w:t>
      </w:r>
      <w:r w:rsidRPr="008021CD">
        <w:rPr>
          <w:rFonts w:ascii="Book Antiqua" w:eastAsia="Book Antiqua" w:hAnsi="Book Antiqua" w:cs="Book Antiqua"/>
          <w:color w:val="000000"/>
        </w:rPr>
        <w:t>, there were significant differences between the AIH and non-CLD cohorts in the rates of all hospitalization-related outcomes. AIH patients had a significantly higher risk of all-cause mortality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2.33;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1.66-3.28), hospitalization rate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2.14;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1.75-2.60), critical care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1.94;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1.35-2.79), severe disease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2.01;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1.55-2.59), need for mechanical ventilation (RR </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1.99;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1.21-3.27), and AKI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1.94;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1.38-2.72).</w:t>
      </w:r>
    </w:p>
    <w:p w14:paraId="5A2CDE81"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After </w:t>
      </w:r>
      <w:r w:rsidR="0017275A">
        <w:rPr>
          <w:rFonts w:ascii="Book Antiqua" w:eastAsia="Book Antiqua" w:hAnsi="Book Antiqua" w:cs="Book Antiqua"/>
          <w:color w:val="000000"/>
        </w:rPr>
        <w:t>PSM</w:t>
      </w:r>
      <w:r w:rsidRPr="008021CD">
        <w:rPr>
          <w:rFonts w:ascii="Book Antiqua" w:eastAsia="Book Antiqua" w:hAnsi="Book Antiqua" w:cs="Book Antiqua"/>
          <w:color w:val="000000"/>
        </w:rPr>
        <w:t>, the increased risk of all-cause mortality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2.22;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1.07-4.61), hospitalization rate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1.78;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1.17-2.69), and severe disease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1.98;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lastRenderedPageBreak/>
        <w:t>1.19-3.26), persisted in the AIH group. However, there were no significant differences in the rates of critical care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1.50;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0.79-2.83), </w:t>
      </w:r>
      <w:r w:rsidR="00BC7404" w:rsidRPr="008021CD">
        <w:rPr>
          <w:rFonts w:ascii="Book Antiqua" w:eastAsia="Book Antiqua" w:hAnsi="Book Antiqua" w:cs="Book Antiqua"/>
          <w:color w:val="000000"/>
        </w:rPr>
        <w:t xml:space="preserve">need for </w:t>
      </w:r>
      <w:r w:rsidRPr="008021CD">
        <w:rPr>
          <w:rFonts w:ascii="Book Antiqua" w:eastAsia="Book Antiqua" w:hAnsi="Book Antiqua" w:cs="Book Antiqua"/>
          <w:color w:val="000000"/>
        </w:rPr>
        <w:t>mechanical ventilation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1.38;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0.62-3.08), and AKI (RR</w:t>
      </w:r>
      <w:r w:rsidR="0008072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1.53; 95%CI</w:t>
      </w:r>
      <w:r w:rsidR="0008072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0.79-2.96) (Figure 2A).</w:t>
      </w:r>
    </w:p>
    <w:p w14:paraId="0660D588" w14:textId="77777777" w:rsidR="00A77B3E" w:rsidRPr="008021CD" w:rsidRDefault="00A77B3E" w:rsidP="008021CD">
      <w:pPr>
        <w:spacing w:line="360" w:lineRule="auto"/>
        <w:ind w:firstLine="240"/>
        <w:jc w:val="both"/>
        <w:rPr>
          <w:rFonts w:ascii="Book Antiqua" w:hAnsi="Book Antiqua"/>
        </w:rPr>
      </w:pPr>
    </w:p>
    <w:p w14:paraId="4BEC6DA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Patients with AIH compared to non-AIH CLD:</w:t>
      </w:r>
      <w:r w:rsidRPr="008021CD">
        <w:rPr>
          <w:rFonts w:ascii="Book Antiqua" w:eastAsia="Book Antiqua" w:hAnsi="Book Antiqua" w:cs="Book Antiqua"/>
          <w:color w:val="000000"/>
        </w:rPr>
        <w:t xml:space="preserve"> When compared to the non-AIH CLD cohort, the AIH group had a lower risk of all-cause mortality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0.49;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0.34-0.68), critical care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0.43; 95%CI</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0.30-0.62), severe disease (RR</w:t>
      </w:r>
      <w:r w:rsidR="004F5616" w:rsidRPr="008021CD">
        <w:rPr>
          <w:rFonts w:ascii="Book Antiqua" w:eastAsia="Book Antiqua" w:hAnsi="Book Antiqua" w:cs="Book Antiqua"/>
          <w:color w:val="000000"/>
        </w:rPr>
        <w:t xml:space="preserve"> </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0.57;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0.45-0.74), </w:t>
      </w:r>
      <w:r w:rsidR="00BC7404" w:rsidRPr="008021CD">
        <w:rPr>
          <w:rFonts w:ascii="Book Antiqua" w:eastAsia="Book Antiqua" w:hAnsi="Book Antiqua" w:cs="Book Antiqua"/>
          <w:color w:val="000000"/>
        </w:rPr>
        <w:t xml:space="preserve">need for </w:t>
      </w:r>
      <w:r w:rsidRPr="008021CD">
        <w:rPr>
          <w:rFonts w:ascii="Book Antiqua" w:eastAsia="Book Antiqua" w:hAnsi="Book Antiqua" w:cs="Book Antiqua"/>
          <w:color w:val="000000"/>
        </w:rPr>
        <w:t>mechanical ventilation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0.41;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0.24-0.69), and AKI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0.38;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0.27-0.53), There were no significant differences between </w:t>
      </w:r>
      <w:r w:rsidR="0017275A">
        <w:rPr>
          <w:rFonts w:ascii="Book Antiqua" w:eastAsia="Book Antiqua" w:hAnsi="Book Antiqua" w:cs="Book Antiqua"/>
          <w:color w:val="000000"/>
        </w:rPr>
        <w:t xml:space="preserve">the </w:t>
      </w:r>
      <w:r w:rsidRPr="008021CD">
        <w:rPr>
          <w:rFonts w:ascii="Book Antiqua" w:eastAsia="Book Antiqua" w:hAnsi="Book Antiqua" w:cs="Book Antiqua"/>
          <w:color w:val="000000"/>
        </w:rPr>
        <w:t xml:space="preserve">groups in hospitalization rate (RR </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0.93;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0.78-1.10).</w:t>
      </w:r>
    </w:p>
    <w:p w14:paraId="4836FF00"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After </w:t>
      </w:r>
      <w:r w:rsidR="0017275A">
        <w:rPr>
          <w:rFonts w:ascii="Book Antiqua" w:eastAsia="Book Antiqua" w:hAnsi="Book Antiqua" w:cs="Book Antiqua"/>
          <w:color w:val="000000"/>
        </w:rPr>
        <w:t>PSM</w:t>
      </w:r>
      <w:r w:rsidRPr="008021CD">
        <w:rPr>
          <w:rFonts w:ascii="Book Antiqua" w:eastAsia="Book Antiqua" w:hAnsi="Book Antiqua" w:cs="Book Antiqua"/>
          <w:color w:val="000000"/>
        </w:rPr>
        <w:t xml:space="preserve">, lower risk persisted for hospitalization rate (RR </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0.72;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0.56-0.92), critical care (RR </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0.50;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0.32-0.79), and AKI (RR </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0.56;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0.35-0.88) among patients with AIH. However, there were no significant differences in all-cause mortality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0.93;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0.55-1.56), severe disease (RR </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0.78;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0.55-1.06), and </w:t>
      </w:r>
      <w:r w:rsidR="00BC7404" w:rsidRPr="008021CD">
        <w:rPr>
          <w:rFonts w:ascii="Book Antiqua" w:eastAsia="Book Antiqua" w:hAnsi="Book Antiqua" w:cs="Book Antiqua"/>
          <w:color w:val="000000"/>
        </w:rPr>
        <w:t xml:space="preserve">need for </w:t>
      </w:r>
      <w:r w:rsidRPr="008021CD">
        <w:rPr>
          <w:rFonts w:ascii="Book Antiqua" w:eastAsia="Book Antiqua" w:hAnsi="Book Antiqua" w:cs="Book Antiqua"/>
          <w:color w:val="000000"/>
        </w:rPr>
        <w:t>mechanical ventilation (RR</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 0.81; 95%CI</w:t>
      </w:r>
      <w:r w:rsidR="00A21AA6"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0.43-1.52) between these groups (Figure 2B).</w:t>
      </w:r>
    </w:p>
    <w:p w14:paraId="00E1755A" w14:textId="77777777" w:rsidR="00A77B3E" w:rsidRPr="008021CD" w:rsidRDefault="00A77B3E" w:rsidP="008021CD">
      <w:pPr>
        <w:spacing w:line="360" w:lineRule="auto"/>
        <w:ind w:firstLine="240"/>
        <w:jc w:val="both"/>
        <w:rPr>
          <w:rFonts w:ascii="Book Antiqua" w:hAnsi="Book Antiqua"/>
        </w:rPr>
      </w:pPr>
    </w:p>
    <w:p w14:paraId="645FA2B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DISCUSSION</w:t>
      </w:r>
    </w:p>
    <w:p w14:paraId="43F1EF9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Although the number of COVID-19-related cases, rates of hospitalizations, and deaths </w:t>
      </w:r>
      <w:r w:rsidR="00966436">
        <w:rPr>
          <w:rFonts w:ascii="Book Antiqua" w:eastAsia="Book Antiqua" w:hAnsi="Book Antiqua" w:cs="Book Antiqua"/>
          <w:color w:val="000000"/>
        </w:rPr>
        <w:t>are</w:t>
      </w:r>
      <w:r w:rsidRPr="008021CD">
        <w:rPr>
          <w:rFonts w:ascii="Book Antiqua" w:eastAsia="Book Antiqua" w:hAnsi="Book Antiqua" w:cs="Book Antiqua"/>
          <w:color w:val="000000"/>
        </w:rPr>
        <w:t xml:space="preserve"> decreasing in the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Pr="008021CD">
        <w:rPr>
          <w:rFonts w:ascii="Book Antiqua" w:eastAsia="Book Antiqua" w:hAnsi="Book Antiqua" w:cs="Book Antiqua"/>
          <w:color w:val="000000"/>
        </w:rPr>
        <w:t xml:space="preserve">, the COVID-19 pandemic is still ongoing worldwide, and significant questions remain. Our data showed that the patients with AIH had a higher risk of hospitalization, severe COVID-19, and all-cause mortality than those without liver disease. Notably, a lower survival probability was also noted for AIH patients. On the other hand, compared to non-AIH CLD, AIH patients had a lower risk of hospitalization, critical care, and AKI without any difference in survival probability between </w:t>
      </w:r>
      <w:r w:rsidR="00966436">
        <w:rPr>
          <w:rFonts w:ascii="Book Antiqua" w:eastAsia="Book Antiqua" w:hAnsi="Book Antiqua" w:cs="Book Antiqua"/>
          <w:color w:val="000000"/>
        </w:rPr>
        <w:t xml:space="preserve">the </w:t>
      </w:r>
      <w:r w:rsidRPr="008021CD">
        <w:rPr>
          <w:rFonts w:ascii="Book Antiqua" w:eastAsia="Book Antiqua" w:hAnsi="Book Antiqua" w:cs="Book Antiqua"/>
          <w:color w:val="000000"/>
        </w:rPr>
        <w:t>groups.</w:t>
      </w:r>
    </w:p>
    <w:p w14:paraId="33825AFD"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The present study is the largest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00966436">
        <w:rPr>
          <w:rFonts w:ascii="Book Antiqua" w:eastAsia="Book Antiqua" w:hAnsi="Book Antiqua" w:cs="Book Antiqua"/>
          <w:color w:val="000000"/>
        </w:rPr>
        <w:t>-</w:t>
      </w:r>
      <w:r w:rsidRPr="008021CD">
        <w:rPr>
          <w:rFonts w:ascii="Book Antiqua" w:eastAsia="Book Antiqua" w:hAnsi="Book Antiqua" w:cs="Book Antiqua"/>
          <w:color w:val="000000"/>
        </w:rPr>
        <w:t>based study investigating severe COVID-19 in AIH patients. Our results showed an increased all-cause mortality risk in AIH patients compared to non-CLD</w:t>
      </w:r>
      <w:r w:rsidR="00966436">
        <w:rPr>
          <w:rFonts w:ascii="Book Antiqua" w:eastAsia="Book Antiqua" w:hAnsi="Book Antiqua" w:cs="Book Antiqua"/>
          <w:color w:val="000000"/>
        </w:rPr>
        <w:t>,</w:t>
      </w:r>
      <w:r w:rsidRPr="008021CD">
        <w:rPr>
          <w:rFonts w:ascii="Book Antiqua" w:eastAsia="Book Antiqua" w:hAnsi="Book Antiqua" w:cs="Book Antiqua"/>
          <w:color w:val="000000"/>
        </w:rPr>
        <w:t xml:space="preserve"> but no difference in all-cause mortality risk compared to non-AIH CLD. </w:t>
      </w:r>
      <w:proofErr w:type="spellStart"/>
      <w:r w:rsidRPr="008021CD">
        <w:rPr>
          <w:rFonts w:ascii="Book Antiqua" w:eastAsia="Book Antiqua" w:hAnsi="Book Antiqua" w:cs="Book Antiqua"/>
          <w:color w:val="000000"/>
        </w:rPr>
        <w:t>Marjot</w:t>
      </w:r>
      <w:proofErr w:type="spellEnd"/>
      <w:r w:rsidRPr="008021CD">
        <w:rPr>
          <w:rFonts w:ascii="Book Antiqua" w:eastAsia="Book Antiqua" w:hAnsi="Book Antiqua" w:cs="Book Antiqua"/>
          <w:color w:val="000000"/>
        </w:rPr>
        <w:t xml:space="preserve"> </w:t>
      </w:r>
      <w:r w:rsidRPr="008021CD">
        <w:rPr>
          <w:rFonts w:ascii="Book Antiqua" w:eastAsia="Book Antiqua" w:hAnsi="Book Antiqua" w:cs="Book Antiqua"/>
          <w:i/>
          <w:iCs/>
          <w:color w:val="000000"/>
        </w:rPr>
        <w:t xml:space="preserve">et </w:t>
      </w:r>
      <w:proofErr w:type="gramStart"/>
      <w:r w:rsidRPr="008021CD">
        <w:rPr>
          <w:rFonts w:ascii="Book Antiqua" w:eastAsia="Book Antiqua" w:hAnsi="Book Antiqua" w:cs="Book Antiqua"/>
          <w:i/>
          <w:iCs/>
          <w:color w:val="000000"/>
        </w:rPr>
        <w:t>al</w:t>
      </w:r>
      <w:r w:rsidR="00A21AA6" w:rsidRPr="008021CD">
        <w:rPr>
          <w:rFonts w:ascii="Book Antiqua" w:eastAsia="Book Antiqua" w:hAnsi="Book Antiqua" w:cs="Book Antiqua"/>
          <w:color w:val="000000"/>
          <w:vertAlign w:val="superscript"/>
        </w:rPr>
        <w:t>[</w:t>
      </w:r>
      <w:proofErr w:type="gramEnd"/>
      <w:r w:rsidR="00A21AA6" w:rsidRPr="008021CD">
        <w:rPr>
          <w:rFonts w:ascii="Book Antiqua" w:eastAsia="Book Antiqua" w:hAnsi="Book Antiqua" w:cs="Book Antiqua"/>
          <w:color w:val="000000"/>
          <w:vertAlign w:val="superscript"/>
        </w:rPr>
        <w:t>16]</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demonstrated a similar significant difference in mortality </w:t>
      </w:r>
      <w:r w:rsidRPr="008021CD">
        <w:rPr>
          <w:rFonts w:ascii="Book Antiqua" w:eastAsia="Book Antiqua" w:hAnsi="Book Antiqua" w:cs="Book Antiqua"/>
          <w:color w:val="000000"/>
        </w:rPr>
        <w:lastRenderedPageBreak/>
        <w:t xml:space="preserve">risk between AIH and non-CLD patients; however, their findings showed a similar mortality risk between AIH and non-CLD patients. </w:t>
      </w:r>
      <w:proofErr w:type="spellStart"/>
      <w:r w:rsidRPr="008021CD">
        <w:rPr>
          <w:rFonts w:ascii="Book Antiqua" w:eastAsia="Book Antiqua" w:hAnsi="Book Antiqua" w:cs="Book Antiqua"/>
          <w:color w:val="000000"/>
        </w:rPr>
        <w:t>Efe</w:t>
      </w:r>
      <w:proofErr w:type="spellEnd"/>
      <w:r w:rsidRPr="008021CD">
        <w:rPr>
          <w:rFonts w:ascii="Book Antiqua" w:eastAsia="Book Antiqua" w:hAnsi="Book Antiqua" w:cs="Book Antiqua"/>
          <w:color w:val="000000"/>
        </w:rPr>
        <w:t xml:space="preserve"> </w:t>
      </w:r>
      <w:r w:rsidRPr="008021CD">
        <w:rPr>
          <w:rFonts w:ascii="Book Antiqua" w:eastAsia="Book Antiqua" w:hAnsi="Book Antiqua" w:cs="Book Antiqua"/>
          <w:i/>
          <w:iCs/>
          <w:color w:val="000000"/>
        </w:rPr>
        <w:t xml:space="preserve">et </w:t>
      </w:r>
      <w:proofErr w:type="gramStart"/>
      <w:r w:rsidRPr="008021CD">
        <w:rPr>
          <w:rFonts w:ascii="Book Antiqua" w:eastAsia="Book Antiqua" w:hAnsi="Book Antiqua" w:cs="Book Antiqua"/>
          <w:i/>
          <w:iCs/>
          <w:color w:val="000000"/>
        </w:rPr>
        <w:t>al</w:t>
      </w:r>
      <w:r w:rsidR="00A21AA6" w:rsidRPr="008021CD">
        <w:rPr>
          <w:rFonts w:ascii="Book Antiqua" w:eastAsia="Book Antiqua" w:hAnsi="Book Antiqua" w:cs="Book Antiqua"/>
          <w:color w:val="000000"/>
          <w:vertAlign w:val="superscript"/>
        </w:rPr>
        <w:t>[</w:t>
      </w:r>
      <w:proofErr w:type="gramEnd"/>
      <w:r w:rsidR="00A21AA6" w:rsidRPr="008021CD">
        <w:rPr>
          <w:rFonts w:ascii="Book Antiqua" w:eastAsia="Book Antiqua" w:hAnsi="Book Antiqua" w:cs="Book Antiqua"/>
          <w:color w:val="000000"/>
          <w:vertAlign w:val="superscript"/>
        </w:rPr>
        <w:t>17]</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compared rates of adverse outcomes of COVID-19 between AIH patients and non-AIH CLD. The AIH cohort included 34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Pr="008021CD">
        <w:rPr>
          <w:rFonts w:ascii="Book Antiqua" w:eastAsia="Book Antiqua" w:hAnsi="Book Antiqua" w:cs="Book Antiqua"/>
          <w:color w:val="000000"/>
        </w:rPr>
        <w:t xml:space="preserve"> patients and 110 total AIH </w:t>
      </w:r>
      <w:proofErr w:type="gramStart"/>
      <w:r w:rsidRPr="008021CD">
        <w:rPr>
          <w:rFonts w:ascii="Book Antiqua" w:eastAsia="Book Antiqua" w:hAnsi="Book Antiqua" w:cs="Book Antiqua"/>
          <w:color w:val="000000"/>
        </w:rPr>
        <w:t>patients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14]</w:t>
      </w:r>
      <w:r w:rsidR="00A21AA6" w:rsidRPr="008021CD">
        <w:rPr>
          <w:rFonts w:ascii="Book Antiqua" w:eastAsia="Book Antiqua" w:hAnsi="Book Antiqua" w:cs="Book Antiqua"/>
          <w:color w:val="000000"/>
        </w:rPr>
        <w:t xml:space="preserve">. </w:t>
      </w:r>
      <w:r w:rsidR="00966436">
        <w:rPr>
          <w:rFonts w:ascii="Book Antiqua" w:eastAsia="Book Antiqua" w:hAnsi="Book Antiqua" w:cs="Book Antiqua"/>
          <w:color w:val="000000"/>
        </w:rPr>
        <w:t>N</w:t>
      </w:r>
      <w:r w:rsidRPr="008021CD">
        <w:rPr>
          <w:rFonts w:ascii="Book Antiqua" w:eastAsia="Book Antiqua" w:hAnsi="Book Antiqua" w:cs="Book Antiqua"/>
          <w:color w:val="000000"/>
        </w:rPr>
        <w:t xml:space="preserve">o differences </w:t>
      </w:r>
      <w:r w:rsidR="00966436">
        <w:rPr>
          <w:rFonts w:ascii="Book Antiqua" w:eastAsia="Book Antiqua" w:hAnsi="Book Antiqua" w:cs="Book Antiqua"/>
          <w:color w:val="000000"/>
        </w:rPr>
        <w:t xml:space="preserve">were </w:t>
      </w:r>
      <w:r w:rsidRPr="008021CD">
        <w:rPr>
          <w:rFonts w:ascii="Book Antiqua" w:eastAsia="Book Antiqua" w:hAnsi="Book Antiqua" w:cs="Book Antiqua"/>
          <w:color w:val="000000"/>
        </w:rPr>
        <w:t xml:space="preserve">found in the risk of severe </w:t>
      </w:r>
      <w:proofErr w:type="gramStart"/>
      <w:r w:rsidRPr="008021CD">
        <w:rPr>
          <w:rFonts w:ascii="Book Antiqua" w:eastAsia="Book Antiqua" w:hAnsi="Book Antiqua" w:cs="Book Antiqua"/>
          <w:color w:val="000000"/>
        </w:rPr>
        <w:t>outcomes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17]</w:t>
      </w:r>
      <w:r w:rsidRPr="008021CD">
        <w:rPr>
          <w:rFonts w:ascii="Book Antiqua" w:eastAsia="Book Antiqua" w:hAnsi="Book Antiqua" w:cs="Book Antiqua"/>
          <w:color w:val="000000"/>
        </w:rPr>
        <w:t xml:space="preserve">. Although outcomes such as mortality, severe COVID-19, need for supplemental oxygen, and hospitalization was addressed in the </w:t>
      </w:r>
      <w:proofErr w:type="gramStart"/>
      <w:r w:rsidRPr="008021CD">
        <w:rPr>
          <w:rFonts w:ascii="Book Antiqua" w:eastAsia="Book Antiqua" w:hAnsi="Book Antiqua" w:cs="Book Antiqua"/>
          <w:color w:val="000000"/>
        </w:rPr>
        <w:t>study</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14]</w:t>
      </w:r>
      <w:r w:rsidRPr="008021CD">
        <w:rPr>
          <w:rFonts w:ascii="Book Antiqua" w:eastAsia="Book Antiqua" w:hAnsi="Book Antiqua" w:cs="Book Antiqua"/>
          <w:color w:val="000000"/>
        </w:rPr>
        <w:t xml:space="preserve">, the need for intensive care or mechanical ventilation was not. </w:t>
      </w:r>
      <w:proofErr w:type="spellStart"/>
      <w:r w:rsidRPr="008021CD">
        <w:rPr>
          <w:rFonts w:ascii="Book Antiqua" w:eastAsia="Book Antiqua" w:hAnsi="Book Antiqua" w:cs="Book Antiqua"/>
          <w:color w:val="000000"/>
        </w:rPr>
        <w:t>Marjot</w:t>
      </w:r>
      <w:proofErr w:type="spellEnd"/>
      <w:r w:rsidRPr="008021CD">
        <w:rPr>
          <w:rFonts w:ascii="Book Antiqua" w:eastAsia="Book Antiqua" w:hAnsi="Book Antiqua" w:cs="Book Antiqua"/>
          <w:color w:val="000000"/>
        </w:rPr>
        <w:t xml:space="preserve"> </w:t>
      </w:r>
      <w:r w:rsidRPr="008021CD">
        <w:rPr>
          <w:rFonts w:ascii="Book Antiqua" w:eastAsia="Book Antiqua" w:hAnsi="Book Antiqua" w:cs="Book Antiqua"/>
          <w:i/>
          <w:iCs/>
          <w:color w:val="000000"/>
        </w:rPr>
        <w:t xml:space="preserve">et </w:t>
      </w:r>
      <w:proofErr w:type="gramStart"/>
      <w:r w:rsidRPr="008021CD">
        <w:rPr>
          <w:rFonts w:ascii="Book Antiqua" w:eastAsia="Book Antiqua" w:hAnsi="Book Antiqua" w:cs="Book Antiqua"/>
          <w:i/>
          <w:iCs/>
          <w:color w:val="000000"/>
        </w:rPr>
        <w:t>al</w:t>
      </w:r>
      <w:r w:rsidR="00A21AA6" w:rsidRPr="008021CD">
        <w:rPr>
          <w:rFonts w:ascii="Book Antiqua" w:eastAsia="Book Antiqua" w:hAnsi="Book Antiqua" w:cs="Book Antiqua"/>
          <w:color w:val="000000"/>
          <w:vertAlign w:val="superscript"/>
        </w:rPr>
        <w:t>[</w:t>
      </w:r>
      <w:proofErr w:type="gramEnd"/>
      <w:r w:rsidR="00A21AA6" w:rsidRPr="008021CD">
        <w:rPr>
          <w:rFonts w:ascii="Book Antiqua" w:eastAsia="Book Antiqua" w:hAnsi="Book Antiqua" w:cs="Book Antiqua"/>
          <w:color w:val="000000"/>
          <w:vertAlign w:val="superscript"/>
        </w:rPr>
        <w:t>16]</w:t>
      </w:r>
      <w:r w:rsidRPr="008021CD">
        <w:rPr>
          <w:rFonts w:ascii="Book Antiqua" w:eastAsia="Book Antiqua" w:hAnsi="Book Antiqua" w:cs="Book Antiqua"/>
          <w:color w:val="000000"/>
        </w:rPr>
        <w:t xml:space="preserve"> also conducted an international retrospective study comparing 70 AIH to non-AIH CLD and non-CLD patients.</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There was an increased hospitalization risk for AIH patients compared to non-CLD </w:t>
      </w:r>
      <w:proofErr w:type="gramStart"/>
      <w:r w:rsidRPr="008021CD">
        <w:rPr>
          <w:rFonts w:ascii="Book Antiqua" w:eastAsia="Book Antiqua" w:hAnsi="Book Antiqua" w:cs="Book Antiqua"/>
          <w:color w:val="000000"/>
        </w:rPr>
        <w:t>patients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12]</w:t>
      </w:r>
      <w:r w:rsidRPr="008021CD">
        <w:rPr>
          <w:rFonts w:ascii="Book Antiqua" w:eastAsia="Book Antiqua" w:hAnsi="Book Antiqua" w:cs="Book Antiqua"/>
          <w:color w:val="000000"/>
        </w:rPr>
        <w:t xml:space="preserve">; however, there were no differences in the risk of severe outcomes between the AIH group and patients with other causes of </w:t>
      </w:r>
      <w:r w:rsidR="006C1319" w:rsidRPr="008021CD">
        <w:rPr>
          <w:rFonts w:ascii="Book Antiqua" w:eastAsia="Book Antiqua" w:hAnsi="Book Antiqua" w:cs="Book Antiqua"/>
          <w:color w:val="000000"/>
        </w:rPr>
        <w:t>CLD</w:t>
      </w:r>
      <w:r w:rsidRPr="008021CD">
        <w:rPr>
          <w:rFonts w:ascii="Book Antiqua" w:eastAsia="Book Antiqua" w:hAnsi="Book Antiqua" w:cs="Book Antiqua"/>
          <w:color w:val="000000"/>
          <w:vertAlign w:val="superscript"/>
        </w:rPr>
        <w:t>[13,14]</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Outcomes assessed in this study included hospitalization, ICU requirement, ICU admission, the new requirement for renal replacement therapy, the need for invasive ventilation, and mortality. In AIH patients, age and advanced liver disease, but not immunosuppression, were found to be factors associated with </w:t>
      </w:r>
      <w:proofErr w:type="gramStart"/>
      <w:r w:rsidRPr="008021CD">
        <w:rPr>
          <w:rFonts w:ascii="Book Antiqua" w:eastAsia="Book Antiqua" w:hAnsi="Book Antiqua" w:cs="Book Antiqua"/>
          <w:color w:val="000000"/>
        </w:rPr>
        <w:t>mortality</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13]</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vertAlign w:val="superscript"/>
        </w:rPr>
        <w:t xml:space="preserve"> </w:t>
      </w:r>
      <w:r w:rsidRPr="008021CD">
        <w:rPr>
          <w:rFonts w:ascii="Book Antiqua" w:eastAsia="Book Antiqua" w:hAnsi="Book Antiqua" w:cs="Book Antiqua"/>
          <w:color w:val="000000"/>
        </w:rPr>
        <w:t xml:space="preserve">While both studies investigated hospitalization and mortality, neither study included AKI as an adverse outcome. Additionally, a small case series demonstrated a clinical course of COVID-19 in 10 AIH patients that </w:t>
      </w:r>
      <w:r w:rsidR="001C2E01">
        <w:rPr>
          <w:rFonts w:ascii="Book Antiqua" w:eastAsia="Book Antiqua" w:hAnsi="Book Antiqua" w:cs="Book Antiqua"/>
          <w:color w:val="000000"/>
        </w:rPr>
        <w:t>were</w:t>
      </w:r>
      <w:r w:rsidR="001C2E01"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similar to the general </w:t>
      </w:r>
      <w:proofErr w:type="gramStart"/>
      <w:r w:rsidRPr="008021CD">
        <w:rPr>
          <w:rFonts w:ascii="Book Antiqua" w:eastAsia="Book Antiqua" w:hAnsi="Book Antiqua" w:cs="Book Antiqua"/>
          <w:color w:val="000000"/>
        </w:rPr>
        <w:t>population</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15]</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Our study addresses these gaps in knowledge while building on previous work with a focus on a larger cohort of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Pr="008021CD">
        <w:rPr>
          <w:rFonts w:ascii="Book Antiqua" w:eastAsia="Book Antiqua" w:hAnsi="Book Antiqua" w:cs="Book Antiqua"/>
          <w:color w:val="000000"/>
        </w:rPr>
        <w:t>-based AIH patients.</w:t>
      </w:r>
    </w:p>
    <w:p w14:paraId="2AE9668A"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Our results may differ from previous studies due to the covariables included in our propensity score-matched analysis. Strengths of the present study include an expansion of clinical outcomes addressed in previous studies and an adjustment for confounders such as BMI, race, ethnicity, chronic kidney disease, neoplasms, and obstructive sleep apnea. The chronic, low-grade inflammation that is characteristic of obesity causes immune dysregulation, and obesity has been established as an independent risk factor for severe COVID-19 </w:t>
      </w:r>
      <w:proofErr w:type="gramStart"/>
      <w:r w:rsidRPr="008021CD">
        <w:rPr>
          <w:rFonts w:ascii="Book Antiqua" w:eastAsia="Book Antiqua" w:hAnsi="Book Antiqua" w:cs="Book Antiqua"/>
          <w:color w:val="000000"/>
        </w:rPr>
        <w:t>disease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14]</w:t>
      </w:r>
      <w:r w:rsidRPr="008021CD">
        <w:rPr>
          <w:rFonts w:ascii="Book Antiqua" w:eastAsia="Book Antiqua" w:hAnsi="Book Antiqua" w:cs="Book Antiqua"/>
          <w:color w:val="000000"/>
        </w:rPr>
        <w:t xml:space="preserve">. The inclusion of race and ethnicity as covariables are also important, as minority groups, including African American, Hispanic, and Asian </w:t>
      </w:r>
      <w:r w:rsidRPr="008021CD">
        <w:rPr>
          <w:rFonts w:ascii="Book Antiqua" w:eastAsia="Book Antiqua" w:hAnsi="Book Antiqua" w:cs="Book Antiqua"/>
          <w:color w:val="000000"/>
        </w:rPr>
        <w:lastRenderedPageBreak/>
        <w:t xml:space="preserve">American individuals, have higher rates of comorbidities that are associated with an increased risk of severe COVID-19 </w:t>
      </w:r>
      <w:proofErr w:type="gramStart"/>
      <w:r w:rsidRPr="008021CD">
        <w:rPr>
          <w:rFonts w:ascii="Book Antiqua" w:eastAsia="Book Antiqua" w:hAnsi="Book Antiqua" w:cs="Book Antiqua"/>
          <w:color w:val="000000"/>
        </w:rPr>
        <w:t>disease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18,19]</w:t>
      </w:r>
      <w:r w:rsidRPr="008021CD">
        <w:rPr>
          <w:rFonts w:ascii="Book Antiqua" w:eastAsia="Book Antiqua" w:hAnsi="Book Antiqua" w:cs="Book Antiqua"/>
          <w:color w:val="000000"/>
        </w:rPr>
        <w:t>.</w:t>
      </w:r>
    </w:p>
    <w:p w14:paraId="570F92AD"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Autoimmune disease diagnosis has been associated with more severe COVID-19 </w:t>
      </w:r>
      <w:proofErr w:type="gramStart"/>
      <w:r w:rsidRPr="008021CD">
        <w:rPr>
          <w:rFonts w:ascii="Book Antiqua" w:eastAsia="Book Antiqua" w:hAnsi="Book Antiqua" w:cs="Book Antiqua"/>
          <w:color w:val="000000"/>
        </w:rPr>
        <w:t>disease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20,21]</w:t>
      </w:r>
      <w:r w:rsidRPr="008021CD">
        <w:rPr>
          <w:rFonts w:ascii="Book Antiqua" w:eastAsia="Book Antiqua" w:hAnsi="Book Antiqua" w:cs="Book Antiqua"/>
          <w:color w:val="000000"/>
        </w:rPr>
        <w:t xml:space="preserve">. The immunosuppressive agents used to treat AIH may increase the risk of viral and bacterial infections and delay viral </w:t>
      </w:r>
      <w:proofErr w:type="gramStart"/>
      <w:r w:rsidRPr="008021CD">
        <w:rPr>
          <w:rFonts w:ascii="Book Antiqua" w:eastAsia="Book Antiqua" w:hAnsi="Book Antiqua" w:cs="Book Antiqua"/>
          <w:color w:val="000000"/>
        </w:rPr>
        <w:t>clearance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22]</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Our contrasting finding that AIH patients had a lower risk of several adverse outcomes compared to non-AIH CLD patients may be explained by the immunosuppressive agents that are used in its treatment. Other investigators have found a decreased risk of severe COVID-19 outcomes such as mechanical ventilation, death, and severe acute respiratory distress </w:t>
      </w:r>
      <w:proofErr w:type="gramStart"/>
      <w:r w:rsidRPr="008021CD">
        <w:rPr>
          <w:rFonts w:ascii="Book Antiqua" w:eastAsia="Book Antiqua" w:hAnsi="Book Antiqua" w:cs="Book Antiqua"/>
          <w:color w:val="000000"/>
        </w:rPr>
        <w:t>syndrome</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w:t>
      </w:r>
      <w:r w:rsidR="00032BB4" w:rsidRPr="008021CD">
        <w:rPr>
          <w:rFonts w:ascii="Book Antiqua" w:eastAsia="Book Antiqua" w:hAnsi="Book Antiqua" w:cs="Book Antiqua"/>
          <w:color w:val="000000"/>
          <w:vertAlign w:val="superscript"/>
        </w:rPr>
        <w:t>3</w:t>
      </w:r>
      <w:r w:rsidRPr="008021CD">
        <w:rPr>
          <w:rFonts w:ascii="Book Antiqua" w:eastAsia="Book Antiqua" w:hAnsi="Book Antiqua" w:cs="Book Antiqua"/>
          <w:color w:val="000000"/>
          <w:vertAlign w:val="superscript"/>
        </w:rPr>
        <w:t>]</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In contrast, a different study found a higher risk of severe COVID-19 in AIH patients who were on thiopurine or glucocorticoid therapy prior to COVID-19 </w:t>
      </w:r>
      <w:proofErr w:type="gramStart"/>
      <w:r w:rsidRPr="008021CD">
        <w:rPr>
          <w:rFonts w:ascii="Book Antiqua" w:eastAsia="Book Antiqua" w:hAnsi="Book Antiqua" w:cs="Book Antiqua"/>
          <w:color w:val="000000"/>
        </w:rPr>
        <w:t>infection</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24]</w:t>
      </w:r>
      <w:r w:rsidRPr="008021CD">
        <w:rPr>
          <w:rFonts w:ascii="Book Antiqua" w:eastAsia="Book Antiqua" w:hAnsi="Book Antiqua" w:cs="Book Antiqua"/>
          <w:color w:val="000000"/>
        </w:rPr>
        <w:t>. Further investigation is needed to clarify the relationship between immunosuppression and COVID-19 outcomes.</w:t>
      </w:r>
    </w:p>
    <w:p w14:paraId="0B7AC8D3"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Of note, we found that AIH patients had higher fibrinogen levels than the non-CLD group but lower than the non-AIH CLD group. This is consistent with the literature, as higher fibrinogen levels have been associated with disease severity and ICU admission in COVID-19 </w:t>
      </w:r>
      <w:proofErr w:type="gramStart"/>
      <w:r w:rsidRPr="008021CD">
        <w:rPr>
          <w:rFonts w:ascii="Book Antiqua" w:eastAsia="Book Antiqua" w:hAnsi="Book Antiqua" w:cs="Book Antiqua"/>
          <w:color w:val="000000"/>
        </w:rPr>
        <w:t>patients</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25]</w:t>
      </w:r>
      <w:r w:rsidRPr="008021CD">
        <w:rPr>
          <w:rFonts w:ascii="Book Antiqua" w:eastAsia="Book Antiqua" w:hAnsi="Book Antiqua" w:cs="Book Antiqua"/>
          <w:color w:val="000000"/>
        </w:rPr>
        <w:t>, which may be explained by the role of the cytokine storm that follows COVID-19 infection in disseminated intravascular coagulation</w:t>
      </w:r>
      <w:r w:rsidRPr="008021CD">
        <w:rPr>
          <w:rFonts w:ascii="Book Antiqua" w:eastAsia="Book Antiqua" w:hAnsi="Book Antiqua" w:cs="Book Antiqua"/>
          <w:color w:val="000000"/>
          <w:vertAlign w:val="superscript"/>
        </w:rPr>
        <w:t>[26]</w:t>
      </w:r>
      <w:r w:rsidRPr="008021CD">
        <w:rPr>
          <w:rFonts w:ascii="Book Antiqua" w:eastAsia="Book Antiqua" w:hAnsi="Book Antiqua" w:cs="Book Antiqua"/>
          <w:color w:val="000000"/>
        </w:rPr>
        <w:t>.</w:t>
      </w:r>
    </w:p>
    <w:p w14:paraId="0076EF31" w14:textId="77777777" w:rsidR="00A77B3E" w:rsidRPr="008021CD" w:rsidRDefault="00A77B3E" w:rsidP="008021CD">
      <w:pPr>
        <w:spacing w:line="360" w:lineRule="auto"/>
        <w:ind w:firstLine="240"/>
        <w:jc w:val="both"/>
        <w:rPr>
          <w:rFonts w:ascii="Book Antiqua" w:hAnsi="Book Antiqua"/>
        </w:rPr>
      </w:pPr>
    </w:p>
    <w:p w14:paraId="6DC2E88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i/>
          <w:iCs/>
          <w:color w:val="000000"/>
        </w:rPr>
        <w:t>Strengths and limitations</w:t>
      </w:r>
    </w:p>
    <w:p w14:paraId="695FE9B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Our study has several strengths. Firstly, our study is the first to examine severe COVID-19 outcomes in a large cohort of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Pr="008021CD">
        <w:rPr>
          <w:rFonts w:ascii="Book Antiqua" w:eastAsia="Book Antiqua" w:hAnsi="Book Antiqua" w:cs="Book Antiqua"/>
          <w:color w:val="000000"/>
        </w:rPr>
        <w:t>-based AIH patients. While other studies have also compared AIH COVID-19 outcomes to non-CLD and non-AIH CLD groups, our</w:t>
      </w:r>
      <w:r w:rsidR="00483D8D">
        <w:rPr>
          <w:rFonts w:ascii="Book Antiqua" w:eastAsia="Book Antiqua" w:hAnsi="Book Antiqua" w:cs="Book Antiqua"/>
          <w:color w:val="000000"/>
        </w:rPr>
        <w:t xml:space="preserve"> </w:t>
      </w:r>
      <w:r w:rsidRPr="008021CD">
        <w:rPr>
          <w:rFonts w:ascii="Book Antiqua" w:eastAsia="Book Antiqua" w:hAnsi="Book Antiqua" w:cs="Book Antiqua"/>
          <w:color w:val="000000"/>
        </w:rPr>
        <w:t>s</w:t>
      </w:r>
      <w:r w:rsidR="00483D8D">
        <w:rPr>
          <w:rFonts w:ascii="Book Antiqua" w:eastAsia="Book Antiqua" w:hAnsi="Book Antiqua" w:cs="Book Antiqua"/>
          <w:color w:val="000000"/>
        </w:rPr>
        <w:t>tudy</w:t>
      </w:r>
      <w:r w:rsidRPr="008021CD">
        <w:rPr>
          <w:rFonts w:ascii="Book Antiqua" w:eastAsia="Book Antiqua" w:hAnsi="Book Antiqua" w:cs="Book Antiqua"/>
          <w:color w:val="000000"/>
        </w:rPr>
        <w:t xml:space="preserve"> includes a larger sample size of 375 patients with AIH. Additionally, we included AKI as an adverse outcome. AKI is a common complication of COVID-19, reported in a</w:t>
      </w:r>
      <w:r w:rsidR="00483D8D">
        <w:rPr>
          <w:rFonts w:ascii="Book Antiqua" w:eastAsia="Book Antiqua" w:hAnsi="Book Antiqua" w:cs="Book Antiqua"/>
          <w:color w:val="000000"/>
        </w:rPr>
        <w:t>pproximately</w:t>
      </w:r>
      <w:r w:rsidRPr="008021CD">
        <w:rPr>
          <w:rFonts w:ascii="Book Antiqua" w:eastAsia="Book Antiqua" w:hAnsi="Book Antiqua" w:cs="Book Antiqua"/>
          <w:color w:val="000000"/>
        </w:rPr>
        <w:t xml:space="preserve"> 29% of hospitalized patients and 78% of patients that require </w:t>
      </w:r>
      <w:proofErr w:type="gramStart"/>
      <w:r w:rsidRPr="008021CD">
        <w:rPr>
          <w:rFonts w:ascii="Book Antiqua" w:eastAsia="Book Antiqua" w:hAnsi="Book Antiqua" w:cs="Book Antiqua"/>
          <w:color w:val="000000"/>
        </w:rPr>
        <w:t>intubation</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27]</w:t>
      </w:r>
      <w:r w:rsidRPr="008021CD">
        <w:rPr>
          <w:rFonts w:ascii="Book Antiqua" w:eastAsia="Book Antiqua" w:hAnsi="Book Antiqua" w:cs="Book Antiqua"/>
          <w:color w:val="000000"/>
        </w:rPr>
        <w:t xml:space="preserve">. The investigation of AKI in COVID-19 is important, as there may be differences in pathophysiology between AKI related to COVID-19 and non-COVID sepsis-associated </w:t>
      </w:r>
      <w:proofErr w:type="gramStart"/>
      <w:r w:rsidRPr="008021CD">
        <w:rPr>
          <w:rFonts w:ascii="Book Antiqua" w:eastAsia="Book Antiqua" w:hAnsi="Book Antiqua" w:cs="Book Antiqua"/>
          <w:color w:val="000000"/>
        </w:rPr>
        <w:t>AKI</w:t>
      </w:r>
      <w:r w:rsidRPr="008021CD">
        <w:rPr>
          <w:rFonts w:ascii="Book Antiqua" w:eastAsia="Book Antiqua" w:hAnsi="Book Antiqua" w:cs="Book Antiqua"/>
          <w:color w:val="000000"/>
          <w:vertAlign w:val="superscript"/>
        </w:rPr>
        <w:t>[</w:t>
      </w:r>
      <w:proofErr w:type="gramEnd"/>
      <w:r w:rsidRPr="008021CD">
        <w:rPr>
          <w:rFonts w:ascii="Book Antiqua" w:eastAsia="Book Antiqua" w:hAnsi="Book Antiqua" w:cs="Book Antiqua"/>
          <w:color w:val="000000"/>
          <w:vertAlign w:val="superscript"/>
        </w:rPr>
        <w:t>25]</w:t>
      </w:r>
      <w:r w:rsidRPr="008021CD">
        <w:rPr>
          <w:rFonts w:ascii="Book Antiqua" w:eastAsia="Book Antiqua" w:hAnsi="Book Antiqua" w:cs="Book Antiqua"/>
          <w:color w:val="000000"/>
        </w:rPr>
        <w:t>.</w:t>
      </w:r>
      <w:r w:rsidR="00A21AA6" w:rsidRPr="008021CD">
        <w:rPr>
          <w:rFonts w:ascii="Book Antiqua" w:eastAsia="Book Antiqua" w:hAnsi="Book Antiqua" w:cs="Book Antiqua"/>
          <w:color w:val="000000"/>
        </w:rPr>
        <w:t xml:space="preserve"> </w:t>
      </w:r>
      <w:r w:rsidRPr="008021CD">
        <w:rPr>
          <w:rFonts w:ascii="Book Antiqua" w:eastAsia="Book Antiqua" w:hAnsi="Book Antiqua" w:cs="Book Antiqua"/>
          <w:color w:val="000000"/>
        </w:rPr>
        <w:t xml:space="preserve">Secondly, we included </w:t>
      </w:r>
      <w:r w:rsidR="00483D8D">
        <w:rPr>
          <w:rFonts w:ascii="Book Antiqua" w:eastAsia="Book Antiqua" w:hAnsi="Book Antiqua" w:cs="Book Antiqua"/>
          <w:color w:val="000000"/>
        </w:rPr>
        <w:t>a</w:t>
      </w:r>
      <w:r w:rsidRPr="008021CD">
        <w:rPr>
          <w:rFonts w:ascii="Book Antiqua" w:eastAsia="Book Antiqua" w:hAnsi="Book Antiqua" w:cs="Book Antiqua"/>
          <w:color w:val="000000"/>
        </w:rPr>
        <w:t xml:space="preserve"> robust control and adjustment for </w:t>
      </w:r>
      <w:r w:rsidRPr="008021CD">
        <w:rPr>
          <w:rFonts w:ascii="Book Antiqua" w:eastAsia="Book Antiqua" w:hAnsi="Book Antiqua" w:cs="Book Antiqua"/>
          <w:color w:val="000000"/>
        </w:rPr>
        <w:lastRenderedPageBreak/>
        <w:t xml:space="preserve">baseline and potential confounders. Thirdly, the large sample in the propensity-matched analyses resulted in narrow confidence intervals. It allowed us to capture a significant number of outcomes, which lends strength to the conclusions that we have derived. Lastly, our cohort was derived from a multicenter database, increasing </w:t>
      </w:r>
      <w:r w:rsidR="00483D8D">
        <w:rPr>
          <w:rFonts w:ascii="Book Antiqua" w:eastAsia="Book Antiqua" w:hAnsi="Book Antiqua" w:cs="Book Antiqua"/>
          <w:color w:val="000000"/>
        </w:rPr>
        <w:t xml:space="preserve">the </w:t>
      </w:r>
      <w:r w:rsidR="00483D8D" w:rsidRPr="008021CD">
        <w:rPr>
          <w:rFonts w:ascii="Book Antiqua" w:eastAsia="Book Antiqua" w:hAnsi="Book Antiqua" w:cs="Book Antiqua"/>
          <w:color w:val="000000"/>
        </w:rPr>
        <w:t xml:space="preserve">generalizability </w:t>
      </w:r>
      <w:r w:rsidR="00483D8D">
        <w:rPr>
          <w:rFonts w:ascii="Book Antiqua" w:eastAsia="Book Antiqua" w:hAnsi="Book Antiqua" w:cs="Book Antiqua"/>
          <w:color w:val="000000"/>
        </w:rPr>
        <w:t xml:space="preserve">of </w:t>
      </w:r>
      <w:r w:rsidRPr="008021CD">
        <w:rPr>
          <w:rFonts w:ascii="Book Antiqua" w:eastAsia="Book Antiqua" w:hAnsi="Book Antiqua" w:cs="Book Antiqua"/>
          <w:color w:val="000000"/>
        </w:rPr>
        <w:t>our findings within the U</w:t>
      </w:r>
      <w:r w:rsidR="00A21AA6" w:rsidRPr="008021CD">
        <w:rPr>
          <w:rFonts w:ascii="Book Antiqua" w:eastAsia="Book Antiqua" w:hAnsi="Book Antiqua" w:cs="Book Antiqua"/>
          <w:color w:val="000000"/>
        </w:rPr>
        <w:t xml:space="preserve">nited </w:t>
      </w:r>
      <w:r w:rsidRPr="008021CD">
        <w:rPr>
          <w:rFonts w:ascii="Book Antiqua" w:eastAsia="Book Antiqua" w:hAnsi="Book Antiqua" w:cs="Book Antiqua"/>
          <w:color w:val="000000"/>
        </w:rPr>
        <w:t>S</w:t>
      </w:r>
      <w:r w:rsidR="00A21AA6" w:rsidRPr="008021CD">
        <w:rPr>
          <w:rFonts w:ascii="Book Antiqua" w:eastAsia="Book Antiqua" w:hAnsi="Book Antiqua" w:cs="Book Antiqua"/>
          <w:color w:val="000000"/>
        </w:rPr>
        <w:t>tates</w:t>
      </w:r>
      <w:r w:rsidRPr="008021CD">
        <w:rPr>
          <w:rFonts w:ascii="Book Antiqua" w:eastAsia="Book Antiqua" w:hAnsi="Book Antiqua" w:cs="Book Antiqua"/>
          <w:color w:val="000000"/>
        </w:rPr>
        <w:t>.</w:t>
      </w:r>
    </w:p>
    <w:p w14:paraId="1F973442" w14:textId="77777777" w:rsidR="00A77B3E" w:rsidRPr="008021CD" w:rsidRDefault="00A565FE" w:rsidP="008021CD">
      <w:pPr>
        <w:spacing w:line="360" w:lineRule="auto"/>
        <w:ind w:firstLine="240"/>
        <w:jc w:val="both"/>
        <w:rPr>
          <w:rFonts w:ascii="Book Antiqua" w:hAnsi="Book Antiqua"/>
        </w:rPr>
      </w:pPr>
      <w:r w:rsidRPr="008021CD">
        <w:rPr>
          <w:rFonts w:ascii="Book Antiqua" w:eastAsia="Book Antiqua" w:hAnsi="Book Antiqua" w:cs="Book Antiqua"/>
          <w:color w:val="000000"/>
        </w:rPr>
        <w:t xml:space="preserve">The study had some notable limitations. First, the data derived from an EHRs-based database is susceptible to errors in coding or data entry when patient information is translated into the diagnosis and procedure codes. However, care was taken to use standardized measures to identify cases to minimize documentation errors. Second, even though we adjusted our analyses, it is still possible that there is some residual confounding we did not account for. Third, patients who were asymptomatic throughout the course of infection and who did not undergo COVID-19 testing </w:t>
      </w:r>
      <w:r w:rsidR="00483D8D">
        <w:rPr>
          <w:rFonts w:ascii="Book Antiqua" w:eastAsia="Book Antiqua" w:hAnsi="Book Antiqua" w:cs="Book Antiqua"/>
          <w:color w:val="000000"/>
        </w:rPr>
        <w:t xml:space="preserve">were not </w:t>
      </w:r>
      <w:r w:rsidRPr="008021CD">
        <w:rPr>
          <w:rFonts w:ascii="Book Antiqua" w:eastAsia="Book Antiqua" w:hAnsi="Book Antiqua" w:cs="Book Antiqua"/>
          <w:color w:val="000000"/>
        </w:rPr>
        <w:t xml:space="preserve">captured in the study. Fourth, </w:t>
      </w:r>
      <w:r w:rsidR="00262A9F" w:rsidRPr="008021CD">
        <w:rPr>
          <w:rFonts w:ascii="Book Antiqua" w:eastAsia="Book Antiqua" w:hAnsi="Book Antiqua" w:cs="Book Antiqua"/>
          <w:color w:val="000000"/>
        </w:rPr>
        <w:t>our</w:t>
      </w:r>
      <w:r w:rsidRPr="008021CD">
        <w:rPr>
          <w:rFonts w:ascii="Book Antiqua" w:eastAsia="Book Antiqua" w:hAnsi="Book Antiqua" w:cs="Book Antiqua"/>
          <w:color w:val="000000"/>
        </w:rPr>
        <w:t xml:space="preserve"> data were not able to include COVID-19 vaccines or SARS-CoV-2 variants to assess the impact </w:t>
      </w:r>
      <w:r w:rsidR="00483D8D">
        <w:rPr>
          <w:rFonts w:ascii="Book Antiqua" w:eastAsia="Book Antiqua" w:hAnsi="Book Antiqua" w:cs="Book Antiqua"/>
          <w:color w:val="000000"/>
        </w:rPr>
        <w:t>o</w:t>
      </w:r>
      <w:r w:rsidRPr="008021CD">
        <w:rPr>
          <w:rFonts w:ascii="Book Antiqua" w:eastAsia="Book Antiqua" w:hAnsi="Book Antiqua" w:cs="Book Antiqua"/>
          <w:color w:val="000000"/>
        </w:rPr>
        <w:t xml:space="preserve">n accuracy in patients with AIH. Another limitation includes </w:t>
      </w:r>
      <w:r w:rsidR="00483D8D">
        <w:rPr>
          <w:rFonts w:ascii="Book Antiqua" w:eastAsia="Book Antiqua" w:hAnsi="Book Antiqua" w:cs="Book Antiqua"/>
          <w:color w:val="000000"/>
        </w:rPr>
        <w:t>the</w:t>
      </w:r>
      <w:r w:rsidRPr="008021CD">
        <w:rPr>
          <w:rFonts w:ascii="Book Antiqua" w:eastAsia="Book Antiqua" w:hAnsi="Book Antiqua" w:cs="Book Antiqua"/>
          <w:color w:val="000000"/>
        </w:rPr>
        <w:t xml:space="preserve"> absence of cirrhosis prevalence and Child-Pugh scores in our cohort. Our study did not examine the changes made in immunosuppressive therapy after COVID-19 diagnosis </w:t>
      </w:r>
      <w:r w:rsidR="00483D8D">
        <w:rPr>
          <w:rFonts w:ascii="Book Antiqua" w:eastAsia="Book Antiqua" w:hAnsi="Book Antiqua" w:cs="Book Antiqua"/>
          <w:color w:val="000000"/>
        </w:rPr>
        <w:t>in</w:t>
      </w:r>
      <w:r w:rsidRPr="008021CD">
        <w:rPr>
          <w:rFonts w:ascii="Book Antiqua" w:eastAsia="Book Antiqua" w:hAnsi="Book Antiqua" w:cs="Book Antiqua"/>
          <w:color w:val="000000"/>
        </w:rPr>
        <w:t xml:space="preserve"> AIH patients. Finally, we could not obtain long-term outcomes due to a comparatively short observation period.</w:t>
      </w:r>
    </w:p>
    <w:p w14:paraId="06BC82B9" w14:textId="77777777" w:rsidR="00A77B3E" w:rsidRPr="008021CD" w:rsidRDefault="00A77B3E" w:rsidP="008021CD">
      <w:pPr>
        <w:spacing w:line="360" w:lineRule="auto"/>
        <w:ind w:firstLine="240"/>
        <w:jc w:val="both"/>
        <w:rPr>
          <w:rFonts w:ascii="Book Antiqua" w:hAnsi="Book Antiqua"/>
        </w:rPr>
      </w:pPr>
    </w:p>
    <w:p w14:paraId="08EFB64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CONCLUSION</w:t>
      </w:r>
    </w:p>
    <w:p w14:paraId="6F303E58" w14:textId="77777777" w:rsidR="004362AC"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In conclusion, in this cohort, we found that AIH patients </w:t>
      </w:r>
      <w:r w:rsidR="00483D8D">
        <w:rPr>
          <w:rFonts w:ascii="Book Antiqua" w:eastAsia="Book Antiqua" w:hAnsi="Book Antiqua" w:cs="Book Antiqua"/>
          <w:color w:val="000000"/>
        </w:rPr>
        <w:t>have an</w:t>
      </w:r>
      <w:r w:rsidRPr="008021CD">
        <w:rPr>
          <w:rFonts w:ascii="Book Antiqua" w:eastAsia="Book Antiqua" w:hAnsi="Book Antiqua" w:cs="Book Antiqua"/>
          <w:color w:val="000000"/>
        </w:rPr>
        <w:t xml:space="preserve"> increased hospitalization risk, severe COVID-19, and all-cause mortality compared to non-CLD patients. Compared to the large group of patients with non-AIH CLD, AIH patients had a lower risk of several outcomes, including hospitalization, a necessity for critical care, and </w:t>
      </w:r>
      <w:r w:rsidR="006C1319" w:rsidRPr="008021CD">
        <w:rPr>
          <w:rFonts w:ascii="Book Antiqua" w:eastAsia="Book Antiqua" w:hAnsi="Book Antiqua" w:cs="Book Antiqua"/>
          <w:color w:val="000000"/>
        </w:rPr>
        <w:t>AKI</w:t>
      </w:r>
      <w:r w:rsidRPr="008021CD">
        <w:rPr>
          <w:rFonts w:ascii="Book Antiqua" w:eastAsia="Book Antiqua" w:hAnsi="Book Antiqua" w:cs="Book Antiqua"/>
          <w:color w:val="000000"/>
        </w:rPr>
        <w:t>. These results confirm that many patients with existing AIH are at high risk and should continue to follow recommended preventive measures against SARS-CoV-2 exposure.</w:t>
      </w:r>
    </w:p>
    <w:p w14:paraId="28D4A889" w14:textId="77777777" w:rsidR="001C2E01" w:rsidRPr="008021CD" w:rsidRDefault="001C2E01" w:rsidP="008021CD">
      <w:pPr>
        <w:spacing w:line="360" w:lineRule="auto"/>
        <w:jc w:val="both"/>
        <w:rPr>
          <w:rFonts w:ascii="Book Antiqua" w:hAnsi="Book Antiqua"/>
        </w:rPr>
      </w:pPr>
    </w:p>
    <w:p w14:paraId="01525F4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aps/>
          <w:color w:val="000000"/>
          <w:u w:val="single"/>
        </w:rPr>
        <w:t>ARTICLE HIGHLIGHTS</w:t>
      </w:r>
    </w:p>
    <w:p w14:paraId="501DA93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lastRenderedPageBreak/>
        <w:t>Research background</w:t>
      </w:r>
    </w:p>
    <w:p w14:paraId="1CF08F7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Severe illness and clinical outcomes can directly correlate with the underlying comorbidities of patients infected with </w:t>
      </w:r>
      <w:r w:rsidR="00A21AA6" w:rsidRPr="008021CD">
        <w:rPr>
          <w:rFonts w:ascii="Book Antiqua" w:eastAsia="Book Antiqua" w:hAnsi="Book Antiqua" w:cs="Book Antiqua"/>
          <w:color w:val="000000"/>
        </w:rPr>
        <w:t>c</w:t>
      </w:r>
      <w:r w:rsidRPr="008021CD">
        <w:rPr>
          <w:rFonts w:ascii="Book Antiqua" w:eastAsia="Book Antiqua" w:hAnsi="Book Antiqua" w:cs="Book Antiqua"/>
          <w:color w:val="000000"/>
        </w:rPr>
        <w:t xml:space="preserve">oronavirus disease </w:t>
      </w:r>
      <w:r w:rsidR="00A21AA6" w:rsidRPr="008021CD">
        <w:rPr>
          <w:rFonts w:ascii="Book Antiqua" w:eastAsia="Book Antiqua" w:hAnsi="Book Antiqua" w:cs="Book Antiqua"/>
          <w:color w:val="000000"/>
        </w:rPr>
        <w:t xml:space="preserve">2019 </w:t>
      </w:r>
      <w:r w:rsidRPr="008021CD">
        <w:rPr>
          <w:rFonts w:ascii="Book Antiqua" w:eastAsia="Book Antiqua" w:hAnsi="Book Antiqua" w:cs="Book Antiqua"/>
          <w:color w:val="000000"/>
        </w:rPr>
        <w:t>(COVID-19), including patients with autoimmune diseases. However, the clinical course of COVID-19 in patients with autoimmune hepatitis (AIH) is still not well studied.</w:t>
      </w:r>
    </w:p>
    <w:p w14:paraId="53BBFB21" w14:textId="77777777" w:rsidR="00A77B3E" w:rsidRPr="008021CD" w:rsidRDefault="00A77B3E" w:rsidP="008021CD">
      <w:pPr>
        <w:spacing w:line="360" w:lineRule="auto"/>
        <w:jc w:val="both"/>
        <w:rPr>
          <w:rFonts w:ascii="Book Antiqua" w:hAnsi="Book Antiqua"/>
        </w:rPr>
      </w:pPr>
    </w:p>
    <w:p w14:paraId="6D9DFE5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Research motivation</w:t>
      </w:r>
    </w:p>
    <w:p w14:paraId="6133829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AIH is a chronic inflammatory liver disease of unknown etiology in which autoimmune-mediated </w:t>
      </w:r>
      <w:r w:rsidR="00483D8D">
        <w:rPr>
          <w:rFonts w:ascii="Book Antiqua" w:eastAsia="Book Antiqua" w:hAnsi="Book Antiqua" w:cs="Book Antiqua"/>
          <w:color w:val="000000"/>
        </w:rPr>
        <w:t>factors</w:t>
      </w:r>
      <w:r w:rsidRPr="008021CD">
        <w:rPr>
          <w:rFonts w:ascii="Book Antiqua" w:eastAsia="Book Antiqua" w:hAnsi="Book Antiqua" w:cs="Book Antiqua"/>
          <w:color w:val="000000"/>
        </w:rPr>
        <w:t xml:space="preserve"> against hepatocytes are thought to play a key role. Patients with AIH may be at increased risk of severe illness from COVID-19 and have poor outcomes due to underlying chronic liver disease (CLD) and ongoing pre-existing immunosuppression therapies. Notably, there is a wide research gap in the perceived impact of COVID-19 on patients with AIH due to a high degree of heterogeneity in the existing literature.</w:t>
      </w:r>
    </w:p>
    <w:p w14:paraId="10267244" w14:textId="77777777" w:rsidR="00A77B3E" w:rsidRPr="008021CD" w:rsidRDefault="00A77B3E" w:rsidP="008021CD">
      <w:pPr>
        <w:spacing w:line="360" w:lineRule="auto"/>
        <w:jc w:val="both"/>
        <w:rPr>
          <w:rFonts w:ascii="Book Antiqua" w:hAnsi="Book Antiqua"/>
        </w:rPr>
      </w:pPr>
    </w:p>
    <w:p w14:paraId="2DFA5B2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Research objectives</w:t>
      </w:r>
    </w:p>
    <w:p w14:paraId="7887560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This study aimed to evaluate the impact of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AIH on the clinical outcomes of patients with COVID-19.</w:t>
      </w:r>
    </w:p>
    <w:p w14:paraId="7AFB7413" w14:textId="77777777" w:rsidR="00A77B3E" w:rsidRPr="008021CD" w:rsidRDefault="00A77B3E" w:rsidP="008021CD">
      <w:pPr>
        <w:spacing w:line="360" w:lineRule="auto"/>
        <w:jc w:val="both"/>
        <w:rPr>
          <w:rFonts w:ascii="Book Antiqua" w:hAnsi="Book Antiqua"/>
        </w:rPr>
      </w:pPr>
    </w:p>
    <w:p w14:paraId="1BA0E5B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Research methods</w:t>
      </w:r>
    </w:p>
    <w:p w14:paraId="0699EEE9" w14:textId="77777777" w:rsidR="004362AC" w:rsidRPr="008021CD" w:rsidRDefault="004362AC"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color w:val="000000"/>
        </w:rPr>
        <w:t>A population-based, multicenter, propensity score</w:t>
      </w:r>
      <w:r w:rsidR="009D309A"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matched cohort study included 375 patients with AIH, 1647915 patients with non-CLD, and 15790 patients with non-AIH CLD with COVID-19 infection. </w:t>
      </w:r>
      <w:r w:rsidR="00DA2D43" w:rsidRPr="008021CD">
        <w:rPr>
          <w:rFonts w:ascii="Book Antiqua" w:eastAsia="Book Antiqua" w:hAnsi="Book Antiqua" w:cs="Book Antiqua"/>
          <w:color w:val="000000"/>
        </w:rPr>
        <w:t>To reduce confounding effects, we performed a 1:1 propensity score matching with each patient in the main group to a patient in the control group</w:t>
      </w:r>
      <w:r w:rsidRPr="008021CD">
        <w:rPr>
          <w:rFonts w:ascii="Book Antiqua" w:eastAsia="Book Antiqua" w:hAnsi="Book Antiqua" w:cs="Book Antiqua"/>
          <w:color w:val="000000"/>
        </w:rPr>
        <w:t xml:space="preserve">. The primary outcome was all-cause mortality at 60 d, and secondary outcomes were hospitalization rate, need for critical care, severe disease, mechanical ventilation, and acute kidney injury (AKI) at 30 d. </w:t>
      </w:r>
    </w:p>
    <w:p w14:paraId="5A6F080E" w14:textId="77777777" w:rsidR="00A77B3E" w:rsidRPr="008021CD" w:rsidRDefault="00A77B3E" w:rsidP="008021CD">
      <w:pPr>
        <w:spacing w:line="360" w:lineRule="auto"/>
        <w:jc w:val="both"/>
        <w:rPr>
          <w:rFonts w:ascii="Book Antiqua" w:hAnsi="Book Antiqua"/>
        </w:rPr>
      </w:pPr>
    </w:p>
    <w:p w14:paraId="7094EFC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Research results</w:t>
      </w:r>
    </w:p>
    <w:p w14:paraId="1CBEA3D2" w14:textId="77777777" w:rsidR="004362AC" w:rsidRPr="008021CD" w:rsidRDefault="004362AC"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color w:val="000000"/>
        </w:rPr>
        <w:lastRenderedPageBreak/>
        <w:t xml:space="preserve">Patients with AIH had an increased risk of all-cause mortality </w:t>
      </w:r>
      <w:r w:rsidR="009D309A" w:rsidRPr="008021CD">
        <w:rPr>
          <w:rFonts w:ascii="Book Antiqua" w:eastAsia="Book Antiqua" w:hAnsi="Book Antiqua" w:cs="Book Antiqua"/>
          <w:color w:val="000000"/>
        </w:rPr>
        <w:t>[risk ratio (</w:t>
      </w:r>
      <w:r w:rsidRPr="008021CD">
        <w:rPr>
          <w:rFonts w:ascii="Book Antiqua" w:eastAsia="Book Antiqua" w:hAnsi="Book Antiqua" w:cs="Book Antiqua"/>
          <w:color w:val="000000"/>
        </w:rPr>
        <w:t>RR</w:t>
      </w:r>
      <w:r w:rsidR="009D309A" w:rsidRPr="008021CD">
        <w:rPr>
          <w:rFonts w:ascii="Book Antiqua" w:eastAsia="Book Antiqua" w:hAnsi="Book Antiqua" w:cs="Book Antiqua"/>
          <w:color w:val="000000"/>
        </w:rPr>
        <w:t>)</w:t>
      </w:r>
      <w:r w:rsidRPr="008021CD">
        <w:rPr>
          <w:rFonts w:ascii="Book Antiqua" w:eastAsia="Book Antiqua" w:hAnsi="Book Antiqua" w:cs="Book Antiqua"/>
          <w:color w:val="000000"/>
        </w:rPr>
        <w:t xml:space="preserve"> = 2.22; 95%</w:t>
      </w:r>
      <w:r w:rsidR="009D309A" w:rsidRPr="008021CD">
        <w:rPr>
          <w:rFonts w:ascii="Book Antiqua" w:eastAsia="Book Antiqua" w:hAnsi="Book Antiqua" w:cs="Book Antiqua"/>
          <w:color w:val="000000"/>
        </w:rPr>
        <w:t xml:space="preserve"> confidence interval (</w:t>
      </w:r>
      <w:r w:rsidRPr="008021CD">
        <w:rPr>
          <w:rFonts w:ascii="Book Antiqua" w:eastAsia="Book Antiqua" w:hAnsi="Book Antiqua" w:cs="Book Antiqua"/>
          <w:color w:val="000000"/>
        </w:rPr>
        <w:t>CI</w:t>
      </w:r>
      <w:r w:rsidR="009D309A" w:rsidRPr="008021CD">
        <w:rPr>
          <w:rFonts w:ascii="Book Antiqua" w:eastAsia="Book Antiqua" w:hAnsi="Book Antiqua" w:cs="Book Antiqua"/>
          <w:color w:val="000000"/>
        </w:rPr>
        <w:t>)</w:t>
      </w:r>
      <w:r w:rsidRPr="008021CD">
        <w:rPr>
          <w:rFonts w:ascii="Book Antiqua" w:eastAsia="Book Antiqua" w:hAnsi="Book Antiqua" w:cs="Book Antiqua"/>
          <w:color w:val="000000"/>
        </w:rPr>
        <w:t>: 1.07-4.61</w:t>
      </w:r>
      <w:r w:rsidR="009D309A" w:rsidRPr="008021CD">
        <w:rPr>
          <w:rFonts w:ascii="Book Antiqua" w:eastAsia="Book Antiqua" w:hAnsi="Book Antiqua" w:cs="Book Antiqua"/>
          <w:color w:val="000000"/>
        </w:rPr>
        <w:t>]</w:t>
      </w:r>
      <w:r w:rsidRPr="008021CD">
        <w:rPr>
          <w:rFonts w:ascii="Book Antiqua" w:eastAsia="Book Antiqua" w:hAnsi="Book Antiqua" w:cs="Book Antiqua"/>
          <w:color w:val="000000"/>
        </w:rPr>
        <w:t>, hospitalization rate (RR = 1.78), and severe disease (RR = 1.98) compared to the non-CLD control</w:t>
      </w:r>
      <w:r w:rsidR="00483D8D">
        <w:rPr>
          <w:rFonts w:ascii="Book Antiqua" w:eastAsia="Book Antiqua" w:hAnsi="Book Antiqua" w:cs="Book Antiqua"/>
          <w:color w:val="000000"/>
        </w:rPr>
        <w:t>s</w:t>
      </w:r>
      <w:r w:rsidRPr="008021CD">
        <w:rPr>
          <w:rFonts w:ascii="Book Antiqua" w:eastAsia="Book Antiqua" w:hAnsi="Book Antiqua" w:cs="Book Antiqua"/>
          <w:color w:val="000000"/>
        </w:rPr>
        <w:t>. However, compared to the non-AIH CLD</w:t>
      </w:r>
      <w:r w:rsidR="00483D8D">
        <w:rPr>
          <w:rFonts w:ascii="Book Antiqua" w:eastAsia="Book Antiqua" w:hAnsi="Book Antiqua" w:cs="Book Antiqua"/>
          <w:color w:val="000000"/>
        </w:rPr>
        <w:t xml:space="preserve"> group</w:t>
      </w:r>
      <w:r w:rsidRPr="008021CD">
        <w:rPr>
          <w:rFonts w:ascii="Book Antiqua" w:eastAsia="Book Antiqua" w:hAnsi="Book Antiqua" w:cs="Book Antiqua"/>
          <w:color w:val="000000"/>
        </w:rPr>
        <w:t xml:space="preserve">, patients </w:t>
      </w:r>
      <w:r w:rsidR="00483D8D">
        <w:rPr>
          <w:rFonts w:ascii="Book Antiqua" w:eastAsia="Book Antiqua" w:hAnsi="Book Antiqua" w:cs="Book Antiqua"/>
          <w:color w:val="000000"/>
        </w:rPr>
        <w:t>in</w:t>
      </w:r>
      <w:r w:rsidRPr="008021CD">
        <w:rPr>
          <w:rFonts w:ascii="Book Antiqua" w:eastAsia="Book Antiqua" w:hAnsi="Book Antiqua" w:cs="Book Antiqua"/>
          <w:color w:val="000000"/>
        </w:rPr>
        <w:t xml:space="preserve"> the AIH cohort had a lower risk </w:t>
      </w:r>
      <w:r w:rsidR="00483D8D">
        <w:rPr>
          <w:rFonts w:ascii="Book Antiqua" w:eastAsia="Book Antiqua" w:hAnsi="Book Antiqua" w:cs="Book Antiqua"/>
          <w:color w:val="000000"/>
        </w:rPr>
        <w:t>of</w:t>
      </w:r>
      <w:r w:rsidRPr="008021CD">
        <w:rPr>
          <w:rFonts w:ascii="Book Antiqua" w:eastAsia="Book Antiqua" w:hAnsi="Book Antiqua" w:cs="Book Antiqua"/>
          <w:color w:val="000000"/>
        </w:rPr>
        <w:t xml:space="preserve"> hospitalization rate (RR = 0.72), critical care (RR = 0.50), and AKI (RR = 0.56). </w:t>
      </w:r>
    </w:p>
    <w:p w14:paraId="589F678F" w14:textId="77777777" w:rsidR="00A77B3E" w:rsidRPr="008021CD" w:rsidRDefault="00A77B3E" w:rsidP="008021CD">
      <w:pPr>
        <w:spacing w:line="360" w:lineRule="auto"/>
        <w:jc w:val="both"/>
        <w:rPr>
          <w:rFonts w:ascii="Book Antiqua" w:hAnsi="Book Antiqua"/>
        </w:rPr>
      </w:pPr>
    </w:p>
    <w:p w14:paraId="7654C298" w14:textId="77777777" w:rsidR="004362AC" w:rsidRPr="008021CD" w:rsidRDefault="00A565FE"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b/>
          <w:i/>
          <w:color w:val="000000"/>
        </w:rPr>
        <w:t>Research conclusions</w:t>
      </w:r>
    </w:p>
    <w:p w14:paraId="2CBA45C5" w14:textId="77777777" w:rsidR="004362AC" w:rsidRPr="008021CD" w:rsidRDefault="004362AC"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color w:val="000000"/>
        </w:rPr>
        <w:t xml:space="preserve">This multicenter, propensity score-matched cohort study reveals that patients with AIH are at risk </w:t>
      </w:r>
      <w:r w:rsidR="00483D8D">
        <w:rPr>
          <w:rFonts w:ascii="Book Antiqua" w:eastAsia="Book Antiqua" w:hAnsi="Book Antiqua" w:cs="Book Antiqua"/>
          <w:color w:val="000000"/>
        </w:rPr>
        <w:t>of</w:t>
      </w:r>
      <w:r w:rsidRPr="008021CD">
        <w:rPr>
          <w:rFonts w:ascii="Book Antiqua" w:eastAsia="Book Antiqua" w:hAnsi="Book Antiqua" w:cs="Book Antiqua"/>
          <w:color w:val="000000"/>
        </w:rPr>
        <w:t xml:space="preserve"> worse COVID-19 </w:t>
      </w:r>
      <w:r w:rsidR="00483D8D" w:rsidRPr="008021CD">
        <w:rPr>
          <w:rFonts w:ascii="Book Antiqua" w:eastAsia="Book Antiqua" w:hAnsi="Book Antiqua" w:cs="Book Antiqua"/>
          <w:color w:val="000000"/>
        </w:rPr>
        <w:t xml:space="preserve">outcomes </w:t>
      </w:r>
      <w:r w:rsidRPr="008021CD">
        <w:rPr>
          <w:rFonts w:ascii="Book Antiqua" w:eastAsia="Book Antiqua" w:hAnsi="Book Antiqua" w:cs="Book Antiqua"/>
          <w:color w:val="000000"/>
        </w:rPr>
        <w:t xml:space="preserve">than those without pre-existing CLD. However, patients with AIH were not at increased risk of COVID-19 </w:t>
      </w:r>
      <w:r w:rsidR="0075112B" w:rsidRPr="008021CD">
        <w:rPr>
          <w:rFonts w:ascii="Book Antiqua" w:eastAsia="Book Antiqua" w:hAnsi="Book Antiqua" w:cs="Book Antiqua"/>
          <w:color w:val="000000"/>
        </w:rPr>
        <w:t xml:space="preserve">adverse outcomes </w:t>
      </w:r>
      <w:r w:rsidRPr="008021CD">
        <w:rPr>
          <w:rFonts w:ascii="Book Antiqua" w:eastAsia="Book Antiqua" w:hAnsi="Book Antiqua" w:cs="Book Antiqua"/>
          <w:color w:val="000000"/>
        </w:rPr>
        <w:t>compared to matched patients with other causes of CLD.</w:t>
      </w:r>
    </w:p>
    <w:p w14:paraId="0113567C" w14:textId="77777777" w:rsidR="009D309A" w:rsidRPr="008021CD" w:rsidRDefault="009D309A" w:rsidP="008021CD">
      <w:pPr>
        <w:spacing w:line="360" w:lineRule="auto"/>
        <w:jc w:val="both"/>
        <w:rPr>
          <w:rFonts w:ascii="Book Antiqua" w:eastAsia="Book Antiqua" w:hAnsi="Book Antiqua" w:cs="Book Antiqua"/>
          <w:color w:val="000000"/>
        </w:rPr>
      </w:pPr>
    </w:p>
    <w:p w14:paraId="5DE9843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i/>
          <w:color w:val="000000"/>
        </w:rPr>
        <w:t>Research perspectives</w:t>
      </w:r>
    </w:p>
    <w:p w14:paraId="6281785C" w14:textId="77777777" w:rsidR="00DA2D43"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Further studies with long-term follow-up of the</w:t>
      </w:r>
      <w:r w:rsidR="0075112B">
        <w:rPr>
          <w:rFonts w:ascii="Book Antiqua" w:eastAsia="Book Antiqua" w:hAnsi="Book Antiqua" w:cs="Book Antiqua"/>
          <w:color w:val="000000"/>
        </w:rPr>
        <w:t>se</w:t>
      </w:r>
      <w:r w:rsidRPr="008021CD">
        <w:rPr>
          <w:rFonts w:ascii="Book Antiqua" w:eastAsia="Book Antiqua" w:hAnsi="Book Antiqua" w:cs="Book Antiqua"/>
          <w:color w:val="000000"/>
        </w:rPr>
        <w:t xml:space="preserve"> patients are needed to understand the long-term impact of COVID-19 on the liver and elucidate the pathogenic mechanisms among patients with AIH.</w:t>
      </w:r>
    </w:p>
    <w:p w14:paraId="1BF352F1" w14:textId="77777777" w:rsidR="00A77B3E" w:rsidRPr="008021CD" w:rsidRDefault="00A77B3E" w:rsidP="008021CD">
      <w:pPr>
        <w:spacing w:line="360" w:lineRule="auto"/>
        <w:jc w:val="both"/>
        <w:rPr>
          <w:rFonts w:ascii="Book Antiqua" w:hAnsi="Book Antiqua"/>
        </w:rPr>
      </w:pPr>
    </w:p>
    <w:p w14:paraId="60C1A22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REFERENCES</w:t>
      </w:r>
    </w:p>
    <w:p w14:paraId="7F7640E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 </w:t>
      </w:r>
      <w:r w:rsidRPr="008021CD">
        <w:rPr>
          <w:rFonts w:ascii="Book Antiqua" w:eastAsia="Book Antiqua" w:hAnsi="Book Antiqua" w:cs="Book Antiqua"/>
          <w:b/>
          <w:bCs/>
          <w:color w:val="000000"/>
        </w:rPr>
        <w:t>Gao YD</w:t>
      </w:r>
      <w:r w:rsidRPr="008021CD">
        <w:rPr>
          <w:rFonts w:ascii="Book Antiqua" w:eastAsia="Book Antiqua" w:hAnsi="Book Antiqua" w:cs="Book Antiqua"/>
          <w:color w:val="000000"/>
        </w:rPr>
        <w:t xml:space="preserve">, Ding M, Dong X, Zhang JJ, </w:t>
      </w:r>
      <w:proofErr w:type="spellStart"/>
      <w:r w:rsidRPr="008021CD">
        <w:rPr>
          <w:rFonts w:ascii="Book Antiqua" w:eastAsia="Book Antiqua" w:hAnsi="Book Antiqua" w:cs="Book Antiqua"/>
          <w:color w:val="000000"/>
        </w:rPr>
        <w:t>Kursat</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Azkur</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Azkur</w:t>
      </w:r>
      <w:proofErr w:type="spellEnd"/>
      <w:r w:rsidRPr="008021CD">
        <w:rPr>
          <w:rFonts w:ascii="Book Antiqua" w:eastAsia="Book Antiqua" w:hAnsi="Book Antiqua" w:cs="Book Antiqua"/>
          <w:color w:val="000000"/>
        </w:rPr>
        <w:t xml:space="preserve"> D, Gan H, Sun YL, Fu W, Li W, Liang HL, Cao YY, Yan Q, Cao C, Gao HY, </w:t>
      </w:r>
      <w:proofErr w:type="spellStart"/>
      <w:r w:rsidRPr="008021CD">
        <w:rPr>
          <w:rFonts w:ascii="Book Antiqua" w:eastAsia="Book Antiqua" w:hAnsi="Book Antiqua" w:cs="Book Antiqua"/>
          <w:color w:val="000000"/>
        </w:rPr>
        <w:t>Brüggen</w:t>
      </w:r>
      <w:proofErr w:type="spellEnd"/>
      <w:r w:rsidRPr="008021CD">
        <w:rPr>
          <w:rFonts w:ascii="Book Antiqua" w:eastAsia="Book Antiqua" w:hAnsi="Book Antiqua" w:cs="Book Antiqua"/>
          <w:color w:val="000000"/>
        </w:rPr>
        <w:t xml:space="preserve"> MC, van de Veen W, </w:t>
      </w:r>
      <w:proofErr w:type="spellStart"/>
      <w:r w:rsidRPr="008021CD">
        <w:rPr>
          <w:rFonts w:ascii="Book Antiqua" w:eastAsia="Book Antiqua" w:hAnsi="Book Antiqua" w:cs="Book Antiqua"/>
          <w:color w:val="000000"/>
        </w:rPr>
        <w:t>Sokolowska</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Akdis</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Akdis</w:t>
      </w:r>
      <w:proofErr w:type="spellEnd"/>
      <w:r w:rsidRPr="008021CD">
        <w:rPr>
          <w:rFonts w:ascii="Book Antiqua" w:eastAsia="Book Antiqua" w:hAnsi="Book Antiqua" w:cs="Book Antiqua"/>
          <w:color w:val="000000"/>
        </w:rPr>
        <w:t xml:space="preserve"> CA. Risk factors for severe and critically ill COVID-19 patients: A review. </w:t>
      </w:r>
      <w:r w:rsidRPr="008021CD">
        <w:rPr>
          <w:rFonts w:ascii="Book Antiqua" w:eastAsia="Book Antiqua" w:hAnsi="Book Antiqua" w:cs="Book Antiqua"/>
          <w:i/>
          <w:iCs/>
          <w:color w:val="000000"/>
        </w:rPr>
        <w:t>Allergy</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76</w:t>
      </w:r>
      <w:r w:rsidRPr="008021CD">
        <w:rPr>
          <w:rFonts w:ascii="Book Antiqua" w:eastAsia="Book Antiqua" w:hAnsi="Book Antiqua" w:cs="Book Antiqua"/>
          <w:color w:val="000000"/>
        </w:rPr>
        <w:t>: 428-455 [PMID: 33185910 DOI: 10.1111/all.14657]</w:t>
      </w:r>
    </w:p>
    <w:p w14:paraId="76A5BBF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 </w:t>
      </w:r>
      <w:r w:rsidRPr="008021CD">
        <w:rPr>
          <w:rFonts w:ascii="Book Antiqua" w:eastAsia="Book Antiqua" w:hAnsi="Book Antiqua" w:cs="Book Antiqua"/>
          <w:b/>
          <w:bCs/>
          <w:color w:val="000000"/>
        </w:rPr>
        <w:t>Krishnan A</w:t>
      </w:r>
      <w:r w:rsidRPr="008021CD">
        <w:rPr>
          <w:rFonts w:ascii="Book Antiqua" w:eastAsia="Book Antiqua" w:hAnsi="Book Antiqua" w:cs="Book Antiqua"/>
          <w:color w:val="000000"/>
        </w:rPr>
        <w:t xml:space="preserve">, Hamilton JP, </w:t>
      </w:r>
      <w:proofErr w:type="spellStart"/>
      <w:r w:rsidRPr="008021CD">
        <w:rPr>
          <w:rFonts w:ascii="Book Antiqua" w:eastAsia="Book Antiqua" w:hAnsi="Book Antiqua" w:cs="Book Antiqua"/>
          <w:color w:val="000000"/>
        </w:rPr>
        <w:t>Alqahtani</w:t>
      </w:r>
      <w:proofErr w:type="spellEnd"/>
      <w:r w:rsidRPr="008021CD">
        <w:rPr>
          <w:rFonts w:ascii="Book Antiqua" w:eastAsia="Book Antiqua" w:hAnsi="Book Antiqua" w:cs="Book Antiqua"/>
          <w:color w:val="000000"/>
        </w:rPr>
        <w:t xml:space="preserve"> SA, A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T. A narrative review of coronavirus disease 2019 (COVID-19): clinical, epidemiological characteristics, and systemic manifestations. </w:t>
      </w:r>
      <w:r w:rsidRPr="008021CD">
        <w:rPr>
          <w:rFonts w:ascii="Book Antiqua" w:eastAsia="Book Antiqua" w:hAnsi="Book Antiqua" w:cs="Book Antiqua"/>
          <w:i/>
          <w:iCs/>
          <w:color w:val="000000"/>
        </w:rPr>
        <w:t xml:space="preserve">Intern </w:t>
      </w:r>
      <w:proofErr w:type="spellStart"/>
      <w:r w:rsidRPr="008021CD">
        <w:rPr>
          <w:rFonts w:ascii="Book Antiqua" w:eastAsia="Book Antiqua" w:hAnsi="Book Antiqua" w:cs="Book Antiqua"/>
          <w:i/>
          <w:iCs/>
          <w:color w:val="000000"/>
        </w:rPr>
        <w:t>Emerg</w:t>
      </w:r>
      <w:proofErr w:type="spellEnd"/>
      <w:r w:rsidRPr="008021CD">
        <w:rPr>
          <w:rFonts w:ascii="Book Antiqua" w:eastAsia="Book Antiqua" w:hAnsi="Book Antiqua" w:cs="Book Antiqua"/>
          <w:i/>
          <w:iCs/>
          <w:color w:val="000000"/>
        </w:rPr>
        <w:t xml:space="preserve"> Med</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16</w:t>
      </w:r>
      <w:r w:rsidRPr="008021CD">
        <w:rPr>
          <w:rFonts w:ascii="Book Antiqua" w:eastAsia="Book Antiqua" w:hAnsi="Book Antiqua" w:cs="Book Antiqua"/>
          <w:color w:val="000000"/>
        </w:rPr>
        <w:t>: 815-830 [PMID: 33453010 DOI: 10.1007/s11739-020-02616-5]</w:t>
      </w:r>
    </w:p>
    <w:p w14:paraId="4F297E0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3 </w:t>
      </w:r>
      <w:r w:rsidRPr="008021CD">
        <w:rPr>
          <w:rFonts w:ascii="Book Antiqua" w:eastAsia="Book Antiqua" w:hAnsi="Book Antiqua" w:cs="Book Antiqua"/>
          <w:b/>
          <w:bCs/>
          <w:color w:val="000000"/>
        </w:rPr>
        <w:t>Krishnan A</w:t>
      </w:r>
      <w:r w:rsidRPr="008021CD">
        <w:rPr>
          <w:rFonts w:ascii="Book Antiqua" w:eastAsia="Book Antiqua" w:hAnsi="Book Antiqua" w:cs="Book Antiqua"/>
          <w:color w:val="000000"/>
        </w:rPr>
        <w:t xml:space="preserve">, Hamilton JP, </w:t>
      </w:r>
      <w:proofErr w:type="spellStart"/>
      <w:r w:rsidRPr="008021CD">
        <w:rPr>
          <w:rFonts w:ascii="Book Antiqua" w:eastAsia="Book Antiqua" w:hAnsi="Book Antiqua" w:cs="Book Antiqua"/>
          <w:color w:val="000000"/>
        </w:rPr>
        <w:t>Alqahtani</w:t>
      </w:r>
      <w:proofErr w:type="spellEnd"/>
      <w:r w:rsidRPr="008021CD">
        <w:rPr>
          <w:rFonts w:ascii="Book Antiqua" w:eastAsia="Book Antiqua" w:hAnsi="Book Antiqua" w:cs="Book Antiqua"/>
          <w:color w:val="000000"/>
        </w:rPr>
        <w:t xml:space="preserve"> SA,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TA. COVID-19: An overview and a clinical update. </w:t>
      </w:r>
      <w:r w:rsidRPr="008021CD">
        <w:rPr>
          <w:rFonts w:ascii="Book Antiqua" w:eastAsia="Book Antiqua" w:hAnsi="Book Antiqua" w:cs="Book Antiqua"/>
          <w:i/>
          <w:iCs/>
          <w:color w:val="000000"/>
        </w:rPr>
        <w:t>World J Clin Cases</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9</w:t>
      </w:r>
      <w:r w:rsidRPr="008021CD">
        <w:rPr>
          <w:rFonts w:ascii="Book Antiqua" w:eastAsia="Book Antiqua" w:hAnsi="Book Antiqua" w:cs="Book Antiqua"/>
          <w:color w:val="000000"/>
        </w:rPr>
        <w:t>: 8-23 [PMID: 33511168 DOI: 10.12998/</w:t>
      </w:r>
      <w:proofErr w:type="gramStart"/>
      <w:r w:rsidRPr="008021CD">
        <w:rPr>
          <w:rFonts w:ascii="Book Antiqua" w:eastAsia="Book Antiqua" w:hAnsi="Book Antiqua" w:cs="Book Antiqua"/>
          <w:color w:val="000000"/>
        </w:rPr>
        <w:t>wjcc.v</w:t>
      </w:r>
      <w:proofErr w:type="gramEnd"/>
      <w:r w:rsidRPr="008021CD">
        <w:rPr>
          <w:rFonts w:ascii="Book Antiqua" w:eastAsia="Book Antiqua" w:hAnsi="Book Antiqua" w:cs="Book Antiqua"/>
          <w:color w:val="000000"/>
        </w:rPr>
        <w:t>9.i1.8]</w:t>
      </w:r>
    </w:p>
    <w:p w14:paraId="05D39C8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lastRenderedPageBreak/>
        <w:t xml:space="preserve">4 </w:t>
      </w:r>
      <w:r w:rsidRPr="008021CD">
        <w:rPr>
          <w:rFonts w:ascii="Book Antiqua" w:eastAsia="Book Antiqua" w:hAnsi="Book Antiqua" w:cs="Book Antiqua"/>
          <w:b/>
          <w:bCs/>
          <w:color w:val="000000"/>
        </w:rPr>
        <w:t>Fan Z</w:t>
      </w:r>
      <w:r w:rsidRPr="008021CD">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8021CD">
        <w:rPr>
          <w:rFonts w:ascii="Book Antiqua" w:eastAsia="Book Antiqua" w:hAnsi="Book Antiqua" w:cs="Book Antiqua"/>
          <w:i/>
          <w:iCs/>
          <w:color w:val="000000"/>
        </w:rPr>
        <w:t>Clin Gastroenterol Hepatol</w:t>
      </w:r>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18</w:t>
      </w:r>
      <w:r w:rsidRPr="008021CD">
        <w:rPr>
          <w:rFonts w:ascii="Book Antiqua" w:eastAsia="Book Antiqua" w:hAnsi="Book Antiqua" w:cs="Book Antiqua"/>
          <w:color w:val="000000"/>
        </w:rPr>
        <w:t>: 1561-1566 [PMID: 32283325 DOI: 10.1016/j.cgh.2020.04.002]</w:t>
      </w:r>
    </w:p>
    <w:p w14:paraId="2229527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5 </w:t>
      </w:r>
      <w:r w:rsidRPr="008021CD">
        <w:rPr>
          <w:rFonts w:ascii="Book Antiqua" w:eastAsia="Book Antiqua" w:hAnsi="Book Antiqua" w:cs="Book Antiqua"/>
          <w:b/>
          <w:bCs/>
          <w:color w:val="000000"/>
        </w:rPr>
        <w:t>Krishnan A</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Prichett</w:t>
      </w:r>
      <w:proofErr w:type="spellEnd"/>
      <w:r w:rsidRPr="008021CD">
        <w:rPr>
          <w:rFonts w:ascii="Book Antiqua" w:eastAsia="Book Antiqua" w:hAnsi="Book Antiqua" w:cs="Book Antiqua"/>
          <w:color w:val="000000"/>
        </w:rPr>
        <w:t xml:space="preserve"> L, Tao X, </w:t>
      </w:r>
      <w:proofErr w:type="spellStart"/>
      <w:r w:rsidRPr="008021CD">
        <w:rPr>
          <w:rFonts w:ascii="Book Antiqua" w:eastAsia="Book Antiqua" w:hAnsi="Book Antiqua" w:cs="Book Antiqua"/>
          <w:color w:val="000000"/>
        </w:rPr>
        <w:t>Alqahtani</w:t>
      </w:r>
      <w:proofErr w:type="spellEnd"/>
      <w:r w:rsidRPr="008021CD">
        <w:rPr>
          <w:rFonts w:ascii="Book Antiqua" w:eastAsia="Book Antiqua" w:hAnsi="Book Antiqua" w:cs="Book Antiqua"/>
          <w:color w:val="000000"/>
        </w:rPr>
        <w:t xml:space="preserve"> SA, Hamilton JP, </w:t>
      </w:r>
      <w:proofErr w:type="spellStart"/>
      <w:r w:rsidRPr="008021CD">
        <w:rPr>
          <w:rFonts w:ascii="Book Antiqua" w:eastAsia="Book Antiqua" w:hAnsi="Book Antiqua" w:cs="Book Antiqua"/>
          <w:color w:val="000000"/>
        </w:rPr>
        <w:t>Mezey</w:t>
      </w:r>
      <w:proofErr w:type="spellEnd"/>
      <w:r w:rsidRPr="008021CD">
        <w:rPr>
          <w:rFonts w:ascii="Book Antiqua" w:eastAsia="Book Antiqua" w:hAnsi="Book Antiqua" w:cs="Book Antiqua"/>
          <w:color w:val="000000"/>
        </w:rPr>
        <w:t xml:space="preserve"> E, Strauss AT, Kim A, Potter JJ, Chen PH, </w:t>
      </w:r>
      <w:proofErr w:type="spellStart"/>
      <w:r w:rsidRPr="008021CD">
        <w:rPr>
          <w:rFonts w:ascii="Book Antiqua" w:eastAsia="Book Antiqua" w:hAnsi="Book Antiqua" w:cs="Book Antiqua"/>
          <w:color w:val="000000"/>
        </w:rPr>
        <w:t>Woreta</w:t>
      </w:r>
      <w:proofErr w:type="spellEnd"/>
      <w:r w:rsidRPr="008021CD">
        <w:rPr>
          <w:rFonts w:ascii="Book Antiqua" w:eastAsia="Book Antiqua" w:hAnsi="Book Antiqua" w:cs="Book Antiqua"/>
          <w:color w:val="000000"/>
        </w:rPr>
        <w:t xml:space="preserve"> TA. Abnormal liver chemistries as a predictor of COVID-19 severity and clinical outcomes in hospitalized patients. </w:t>
      </w:r>
      <w:r w:rsidRPr="008021CD">
        <w:rPr>
          <w:rFonts w:ascii="Book Antiqua" w:eastAsia="Book Antiqua" w:hAnsi="Book Antiqua" w:cs="Book Antiqua"/>
          <w:i/>
          <w:iCs/>
          <w:color w:val="000000"/>
        </w:rPr>
        <w:t>World J Gastroenterol</w:t>
      </w:r>
      <w:r w:rsidRPr="008021CD">
        <w:rPr>
          <w:rFonts w:ascii="Book Antiqua" w:eastAsia="Book Antiqua" w:hAnsi="Book Antiqua" w:cs="Book Antiqua"/>
          <w:color w:val="000000"/>
        </w:rPr>
        <w:t xml:space="preserve"> 2022; </w:t>
      </w:r>
      <w:r w:rsidRPr="008021CD">
        <w:rPr>
          <w:rFonts w:ascii="Book Antiqua" w:eastAsia="Book Antiqua" w:hAnsi="Book Antiqua" w:cs="Book Antiqua"/>
          <w:b/>
          <w:bCs/>
          <w:color w:val="000000"/>
        </w:rPr>
        <w:t>28</w:t>
      </w:r>
      <w:r w:rsidRPr="008021CD">
        <w:rPr>
          <w:rFonts w:ascii="Book Antiqua" w:eastAsia="Book Antiqua" w:hAnsi="Book Antiqua" w:cs="Book Antiqua"/>
          <w:color w:val="000000"/>
        </w:rPr>
        <w:t>: 570-587 [PMID: 35316959 DOI: 10.3748/</w:t>
      </w:r>
      <w:proofErr w:type="gramStart"/>
      <w:r w:rsidRPr="008021CD">
        <w:rPr>
          <w:rFonts w:ascii="Book Antiqua" w:eastAsia="Book Antiqua" w:hAnsi="Book Antiqua" w:cs="Book Antiqua"/>
          <w:color w:val="000000"/>
        </w:rPr>
        <w:t>wjg.v28.i</w:t>
      </w:r>
      <w:proofErr w:type="gramEnd"/>
      <w:r w:rsidRPr="008021CD">
        <w:rPr>
          <w:rFonts w:ascii="Book Antiqua" w:eastAsia="Book Antiqua" w:hAnsi="Book Antiqua" w:cs="Book Antiqua"/>
          <w:color w:val="000000"/>
        </w:rPr>
        <w:t>5.570]</w:t>
      </w:r>
    </w:p>
    <w:p w14:paraId="264D947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6 </w:t>
      </w:r>
      <w:r w:rsidRPr="008021CD">
        <w:rPr>
          <w:rFonts w:ascii="Book Antiqua" w:eastAsia="Book Antiqua" w:hAnsi="Book Antiqua" w:cs="Book Antiqua"/>
          <w:b/>
          <w:bCs/>
          <w:color w:val="000000"/>
        </w:rPr>
        <w:t>Singh S</w:t>
      </w:r>
      <w:r w:rsidRPr="008021CD">
        <w:rPr>
          <w:rFonts w:ascii="Book Antiqua" w:eastAsia="Book Antiqua" w:hAnsi="Book Antiqua" w:cs="Book Antiqua"/>
          <w:color w:val="000000"/>
        </w:rPr>
        <w:t xml:space="preserve">, Khan A. Clinical Characteristics and Outcomes of Coronavirus Disease 2019 Among Patients </w:t>
      </w:r>
      <w:proofErr w:type="gramStart"/>
      <w:r w:rsidRPr="008021CD">
        <w:rPr>
          <w:rFonts w:ascii="Book Antiqua" w:eastAsia="Book Antiqua" w:hAnsi="Book Antiqua" w:cs="Book Antiqua"/>
          <w:color w:val="000000"/>
        </w:rPr>
        <w:t>With</w:t>
      </w:r>
      <w:proofErr w:type="gramEnd"/>
      <w:r w:rsidRPr="008021CD">
        <w:rPr>
          <w:rFonts w:ascii="Book Antiqua" w:eastAsia="Book Antiqua" w:hAnsi="Book Antiqua" w:cs="Book Antiqua"/>
          <w:color w:val="000000"/>
        </w:rPr>
        <w:t xml:space="preserve"> Preexisting Liver Disease in the United States: A Multicenter Research Network Study. </w:t>
      </w:r>
      <w:r w:rsidRPr="008021CD">
        <w:rPr>
          <w:rFonts w:ascii="Book Antiqua" w:eastAsia="Book Antiqua" w:hAnsi="Book Antiqua" w:cs="Book Antiqua"/>
          <w:i/>
          <w:iCs/>
          <w:color w:val="000000"/>
        </w:rPr>
        <w:t>Gastroenterology</w:t>
      </w:r>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159</w:t>
      </w:r>
      <w:r w:rsidRPr="008021CD">
        <w:rPr>
          <w:rFonts w:ascii="Book Antiqua" w:eastAsia="Book Antiqua" w:hAnsi="Book Antiqua" w:cs="Book Antiqua"/>
          <w:color w:val="000000"/>
        </w:rPr>
        <w:t>: 768-771.e3 [PMID: 32376408 DOI: 10.1053/j.gastro.2020.04.064]</w:t>
      </w:r>
    </w:p>
    <w:p w14:paraId="094689E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7 </w:t>
      </w:r>
      <w:r w:rsidRPr="008021CD">
        <w:rPr>
          <w:rFonts w:ascii="Book Antiqua" w:eastAsia="Book Antiqua" w:hAnsi="Book Antiqua" w:cs="Book Antiqua"/>
          <w:b/>
          <w:bCs/>
          <w:color w:val="000000"/>
        </w:rPr>
        <w:t>Sucher E</w:t>
      </w:r>
      <w:r w:rsidRPr="008021CD">
        <w:rPr>
          <w:rFonts w:ascii="Book Antiqua" w:eastAsia="Book Antiqua" w:hAnsi="Book Antiqua" w:cs="Book Antiqua"/>
          <w:color w:val="000000"/>
        </w:rPr>
        <w:t xml:space="preserve">, Sucher R, </w:t>
      </w:r>
      <w:proofErr w:type="spellStart"/>
      <w:r w:rsidRPr="008021CD">
        <w:rPr>
          <w:rFonts w:ascii="Book Antiqua" w:eastAsia="Book Antiqua" w:hAnsi="Book Antiqua" w:cs="Book Antiqua"/>
          <w:color w:val="000000"/>
        </w:rPr>
        <w:t>Gradistanac</w:t>
      </w:r>
      <w:proofErr w:type="spellEnd"/>
      <w:r w:rsidRPr="008021CD">
        <w:rPr>
          <w:rFonts w:ascii="Book Antiqua" w:eastAsia="Book Antiqua" w:hAnsi="Book Antiqua" w:cs="Book Antiqua"/>
          <w:color w:val="000000"/>
        </w:rPr>
        <w:t xml:space="preserve"> T, </w:t>
      </w:r>
      <w:proofErr w:type="spellStart"/>
      <w:r w:rsidRPr="008021CD">
        <w:rPr>
          <w:rFonts w:ascii="Book Antiqua" w:eastAsia="Book Antiqua" w:hAnsi="Book Antiqua" w:cs="Book Antiqua"/>
          <w:color w:val="000000"/>
        </w:rPr>
        <w:t>Brandacher</w:t>
      </w:r>
      <w:proofErr w:type="spellEnd"/>
      <w:r w:rsidRPr="008021CD">
        <w:rPr>
          <w:rFonts w:ascii="Book Antiqua" w:eastAsia="Book Antiqua" w:hAnsi="Book Antiqua" w:cs="Book Antiqua"/>
          <w:color w:val="000000"/>
        </w:rPr>
        <w:t xml:space="preserve"> G, </w:t>
      </w:r>
      <w:proofErr w:type="spellStart"/>
      <w:r w:rsidRPr="008021CD">
        <w:rPr>
          <w:rFonts w:ascii="Book Antiqua" w:eastAsia="Book Antiqua" w:hAnsi="Book Antiqua" w:cs="Book Antiqua"/>
          <w:color w:val="000000"/>
        </w:rPr>
        <w:t>Schneeberger</w:t>
      </w:r>
      <w:proofErr w:type="spellEnd"/>
      <w:r w:rsidRPr="008021CD">
        <w:rPr>
          <w:rFonts w:ascii="Book Antiqua" w:eastAsia="Book Antiqua" w:hAnsi="Book Antiqua" w:cs="Book Antiqua"/>
          <w:color w:val="000000"/>
        </w:rPr>
        <w:t xml:space="preserve"> S, Berg T. Autoimmune Hepatitis-Immunologically Triggered Liver Pathogenesis-Diagnostic and Therapeutic Strategies. </w:t>
      </w:r>
      <w:r w:rsidRPr="008021CD">
        <w:rPr>
          <w:rFonts w:ascii="Book Antiqua" w:eastAsia="Book Antiqua" w:hAnsi="Book Antiqua" w:cs="Book Antiqua"/>
          <w:i/>
          <w:iCs/>
          <w:color w:val="000000"/>
        </w:rPr>
        <w:t>J Immunol Res</w:t>
      </w:r>
      <w:r w:rsidRPr="008021CD">
        <w:rPr>
          <w:rFonts w:ascii="Book Antiqua" w:eastAsia="Book Antiqua" w:hAnsi="Book Antiqua" w:cs="Book Antiqua"/>
          <w:color w:val="000000"/>
        </w:rPr>
        <w:t xml:space="preserve"> 2019; </w:t>
      </w:r>
      <w:r w:rsidRPr="008021CD">
        <w:rPr>
          <w:rFonts w:ascii="Book Antiqua" w:eastAsia="Book Antiqua" w:hAnsi="Book Antiqua" w:cs="Book Antiqua"/>
          <w:b/>
          <w:bCs/>
          <w:color w:val="000000"/>
        </w:rPr>
        <w:t>2019</w:t>
      </w:r>
      <w:r w:rsidRPr="008021CD">
        <w:rPr>
          <w:rFonts w:ascii="Book Antiqua" w:eastAsia="Book Antiqua" w:hAnsi="Book Antiqua" w:cs="Book Antiqua"/>
          <w:color w:val="000000"/>
        </w:rPr>
        <w:t>: 9437043 [PMID: 31886312 DOI: 10.1155/2019/9437043]</w:t>
      </w:r>
    </w:p>
    <w:p w14:paraId="722449F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8 </w:t>
      </w:r>
      <w:proofErr w:type="spellStart"/>
      <w:r w:rsidRPr="008021CD">
        <w:rPr>
          <w:rFonts w:ascii="Book Antiqua" w:eastAsia="Book Antiqua" w:hAnsi="Book Antiqua" w:cs="Book Antiqua"/>
          <w:b/>
          <w:bCs/>
          <w:color w:val="000000"/>
        </w:rPr>
        <w:t>Tunio</w:t>
      </w:r>
      <w:proofErr w:type="spellEnd"/>
      <w:r w:rsidRPr="008021CD">
        <w:rPr>
          <w:rFonts w:ascii="Book Antiqua" w:eastAsia="Book Antiqua" w:hAnsi="Book Antiqua" w:cs="Book Antiqua"/>
          <w:b/>
          <w:bCs/>
          <w:color w:val="000000"/>
        </w:rPr>
        <w:t xml:space="preserve"> NA</w:t>
      </w:r>
      <w:r w:rsidRPr="008021CD">
        <w:rPr>
          <w:rFonts w:ascii="Book Antiqua" w:eastAsia="Book Antiqua" w:hAnsi="Book Antiqua" w:cs="Book Antiqua"/>
          <w:color w:val="000000"/>
        </w:rPr>
        <w:t xml:space="preserve">, Mansoor E, Sheriff MZ, Cooper GS, </w:t>
      </w:r>
      <w:proofErr w:type="spellStart"/>
      <w:r w:rsidRPr="008021CD">
        <w:rPr>
          <w:rFonts w:ascii="Book Antiqua" w:eastAsia="Book Antiqua" w:hAnsi="Book Antiqua" w:cs="Book Antiqua"/>
          <w:color w:val="000000"/>
        </w:rPr>
        <w:t>Sclair</w:t>
      </w:r>
      <w:proofErr w:type="spellEnd"/>
      <w:r w:rsidRPr="008021CD">
        <w:rPr>
          <w:rFonts w:ascii="Book Antiqua" w:eastAsia="Book Antiqua" w:hAnsi="Book Antiqua" w:cs="Book Antiqua"/>
          <w:color w:val="000000"/>
        </w:rPr>
        <w:t xml:space="preserve"> SN, Cohen SM. Epidemiology of Autoimmune Hepatitis (AIH) in the United States Between 2014 and 2019: A Population-based National Study. </w:t>
      </w:r>
      <w:r w:rsidRPr="008021CD">
        <w:rPr>
          <w:rFonts w:ascii="Book Antiqua" w:eastAsia="Book Antiqua" w:hAnsi="Book Antiqua" w:cs="Book Antiqua"/>
          <w:i/>
          <w:iCs/>
          <w:color w:val="000000"/>
        </w:rPr>
        <w:t>J Clin Gastroenterol</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55</w:t>
      </w:r>
      <w:r w:rsidRPr="008021CD">
        <w:rPr>
          <w:rFonts w:ascii="Book Antiqua" w:eastAsia="Book Antiqua" w:hAnsi="Book Antiqua" w:cs="Book Antiqua"/>
          <w:color w:val="000000"/>
        </w:rPr>
        <w:t>: 903-910 [PMID: 33074948 DOI: 10.1097/MCG.0000000000001449]</w:t>
      </w:r>
    </w:p>
    <w:p w14:paraId="7537532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9 </w:t>
      </w:r>
      <w:r w:rsidRPr="008021CD">
        <w:rPr>
          <w:rFonts w:ascii="Book Antiqua" w:eastAsia="Book Antiqua" w:hAnsi="Book Antiqua" w:cs="Book Antiqua"/>
          <w:b/>
          <w:bCs/>
          <w:color w:val="000000"/>
        </w:rPr>
        <w:t>Pape S</w:t>
      </w:r>
      <w:r w:rsidRPr="008021CD">
        <w:rPr>
          <w:rFonts w:ascii="Book Antiqua" w:eastAsia="Book Antiqua" w:hAnsi="Book Antiqua" w:cs="Book Antiqua"/>
          <w:color w:val="000000"/>
        </w:rPr>
        <w:t xml:space="preserve">, Schramm C, </w:t>
      </w:r>
      <w:proofErr w:type="spellStart"/>
      <w:r w:rsidRPr="008021CD">
        <w:rPr>
          <w:rFonts w:ascii="Book Antiqua" w:eastAsia="Book Antiqua" w:hAnsi="Book Antiqua" w:cs="Book Antiqua"/>
          <w:color w:val="000000"/>
        </w:rPr>
        <w:t>Gevers</w:t>
      </w:r>
      <w:proofErr w:type="spellEnd"/>
      <w:r w:rsidRPr="008021CD">
        <w:rPr>
          <w:rFonts w:ascii="Book Antiqua" w:eastAsia="Book Antiqua" w:hAnsi="Book Antiqua" w:cs="Book Antiqua"/>
          <w:color w:val="000000"/>
        </w:rPr>
        <w:t xml:space="preserve"> TJ. Clinical management of autoimmune hepatitis. </w:t>
      </w:r>
      <w:r w:rsidRPr="008021CD">
        <w:rPr>
          <w:rFonts w:ascii="Book Antiqua" w:eastAsia="Book Antiqua" w:hAnsi="Book Antiqua" w:cs="Book Antiqua"/>
          <w:i/>
          <w:iCs/>
          <w:color w:val="000000"/>
        </w:rPr>
        <w:t>United European Gastroenterol J</w:t>
      </w:r>
      <w:r w:rsidRPr="008021CD">
        <w:rPr>
          <w:rFonts w:ascii="Book Antiqua" w:eastAsia="Book Antiqua" w:hAnsi="Book Antiqua" w:cs="Book Antiqua"/>
          <w:color w:val="000000"/>
        </w:rPr>
        <w:t xml:space="preserve"> 2019; </w:t>
      </w:r>
      <w:r w:rsidRPr="008021CD">
        <w:rPr>
          <w:rFonts w:ascii="Book Antiqua" w:eastAsia="Book Antiqua" w:hAnsi="Book Antiqua" w:cs="Book Antiqua"/>
          <w:b/>
          <w:bCs/>
          <w:color w:val="000000"/>
        </w:rPr>
        <w:t>7</w:t>
      </w:r>
      <w:r w:rsidRPr="008021CD">
        <w:rPr>
          <w:rFonts w:ascii="Book Antiqua" w:eastAsia="Book Antiqua" w:hAnsi="Book Antiqua" w:cs="Book Antiqua"/>
          <w:color w:val="000000"/>
        </w:rPr>
        <w:t>: 1156-1163 [PMID: 31700628 DOI: 10.1177/2050640619872408]</w:t>
      </w:r>
    </w:p>
    <w:p w14:paraId="667E4D9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10 </w:t>
      </w:r>
      <w:r w:rsidRPr="008021CD">
        <w:rPr>
          <w:rFonts w:ascii="Book Antiqua" w:eastAsia="Book Antiqua" w:hAnsi="Book Antiqua" w:cs="Book Antiqua"/>
          <w:b/>
          <w:bCs/>
          <w:color w:val="000000"/>
        </w:rPr>
        <w:t>Mack CL</w:t>
      </w:r>
      <w:r w:rsidRPr="008021CD">
        <w:rPr>
          <w:rFonts w:ascii="Book Antiqua" w:eastAsia="Book Antiqua" w:hAnsi="Book Antiqua" w:cs="Book Antiqua"/>
          <w:color w:val="000000"/>
        </w:rPr>
        <w:t xml:space="preserve">, Adams D, Assis DN, </w:t>
      </w:r>
      <w:proofErr w:type="spellStart"/>
      <w:r w:rsidRPr="008021CD">
        <w:rPr>
          <w:rFonts w:ascii="Book Antiqua" w:eastAsia="Book Antiqua" w:hAnsi="Book Antiqua" w:cs="Book Antiqua"/>
          <w:color w:val="000000"/>
        </w:rPr>
        <w:t>Kerkar</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Manns</w:t>
      </w:r>
      <w:proofErr w:type="spellEnd"/>
      <w:r w:rsidRPr="008021CD">
        <w:rPr>
          <w:rFonts w:ascii="Book Antiqua" w:eastAsia="Book Antiqua" w:hAnsi="Book Antiqua" w:cs="Book Antiqua"/>
          <w:color w:val="000000"/>
        </w:rPr>
        <w:t xml:space="preserve"> MP, Mayo MJ, </w:t>
      </w:r>
      <w:proofErr w:type="spellStart"/>
      <w:r w:rsidRPr="008021CD">
        <w:rPr>
          <w:rFonts w:ascii="Book Antiqua" w:eastAsia="Book Antiqua" w:hAnsi="Book Antiqua" w:cs="Book Antiqua"/>
          <w:color w:val="000000"/>
        </w:rPr>
        <w:t>Vierling</w:t>
      </w:r>
      <w:proofErr w:type="spellEnd"/>
      <w:r w:rsidRPr="008021CD">
        <w:rPr>
          <w:rFonts w:ascii="Book Antiqua" w:eastAsia="Book Antiqua" w:hAnsi="Book Antiqua" w:cs="Book Antiqua"/>
          <w:color w:val="000000"/>
        </w:rPr>
        <w:t xml:space="preserve"> JM, </w:t>
      </w:r>
      <w:proofErr w:type="spellStart"/>
      <w:r w:rsidRPr="008021CD">
        <w:rPr>
          <w:rFonts w:ascii="Book Antiqua" w:eastAsia="Book Antiqua" w:hAnsi="Book Antiqua" w:cs="Book Antiqua"/>
          <w:color w:val="000000"/>
        </w:rPr>
        <w:t>Alsawas</w:t>
      </w:r>
      <w:proofErr w:type="spellEnd"/>
      <w:r w:rsidRPr="008021CD">
        <w:rPr>
          <w:rFonts w:ascii="Book Antiqua" w:eastAsia="Book Antiqua" w:hAnsi="Book Antiqua" w:cs="Book Antiqua"/>
          <w:color w:val="000000"/>
        </w:rPr>
        <w:t xml:space="preserve"> M, Murad MH, </w:t>
      </w:r>
      <w:proofErr w:type="spellStart"/>
      <w:r w:rsidRPr="008021CD">
        <w:rPr>
          <w:rFonts w:ascii="Book Antiqua" w:eastAsia="Book Antiqua" w:hAnsi="Book Antiqua" w:cs="Book Antiqua"/>
          <w:color w:val="000000"/>
        </w:rPr>
        <w:t>Czaja</w:t>
      </w:r>
      <w:proofErr w:type="spellEnd"/>
      <w:r w:rsidRPr="008021CD">
        <w:rPr>
          <w:rFonts w:ascii="Book Antiqua" w:eastAsia="Book Antiqua" w:hAnsi="Book Antiqua" w:cs="Book Antiqua"/>
          <w:color w:val="000000"/>
        </w:rPr>
        <w:t xml:space="preserve"> AJ. Diagnosis and Management of Autoimmune Hepatitis in Adults and Children: 2019 Practice Guidance and Guidelines </w:t>
      </w:r>
      <w:proofErr w:type="gramStart"/>
      <w:r w:rsidRPr="008021CD">
        <w:rPr>
          <w:rFonts w:ascii="Book Antiqua" w:eastAsia="Book Antiqua" w:hAnsi="Book Antiqua" w:cs="Book Antiqua"/>
          <w:color w:val="000000"/>
        </w:rPr>
        <w:t>From</w:t>
      </w:r>
      <w:proofErr w:type="gramEnd"/>
      <w:r w:rsidRPr="008021CD">
        <w:rPr>
          <w:rFonts w:ascii="Book Antiqua" w:eastAsia="Book Antiqua" w:hAnsi="Book Antiqua" w:cs="Book Antiqua"/>
          <w:color w:val="000000"/>
        </w:rPr>
        <w:t xml:space="preserve"> the American Association for the Study of Liver Diseases. </w:t>
      </w:r>
      <w:r w:rsidRPr="008021CD">
        <w:rPr>
          <w:rFonts w:ascii="Book Antiqua" w:eastAsia="Book Antiqua" w:hAnsi="Book Antiqua" w:cs="Book Antiqua"/>
          <w:i/>
          <w:iCs/>
          <w:color w:val="000000"/>
        </w:rPr>
        <w:t>Hepatology</w:t>
      </w:r>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72</w:t>
      </w:r>
      <w:r w:rsidRPr="008021CD">
        <w:rPr>
          <w:rFonts w:ascii="Book Antiqua" w:eastAsia="Book Antiqua" w:hAnsi="Book Antiqua" w:cs="Book Antiqua"/>
          <w:color w:val="000000"/>
        </w:rPr>
        <w:t>: 671-722 [PMID: 31863477 DOI: 10.1002/hep.31065]</w:t>
      </w:r>
    </w:p>
    <w:p w14:paraId="1673AA3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lastRenderedPageBreak/>
        <w:t xml:space="preserve">11 </w:t>
      </w:r>
      <w:proofErr w:type="spellStart"/>
      <w:r w:rsidRPr="008021CD">
        <w:rPr>
          <w:rFonts w:ascii="Book Antiqua" w:eastAsia="Book Antiqua" w:hAnsi="Book Antiqua" w:cs="Book Antiqua"/>
          <w:b/>
          <w:bCs/>
          <w:color w:val="000000"/>
        </w:rPr>
        <w:t>Velayos</w:t>
      </w:r>
      <w:proofErr w:type="spellEnd"/>
      <w:r w:rsidRPr="008021CD">
        <w:rPr>
          <w:rFonts w:ascii="Book Antiqua" w:eastAsia="Book Antiqua" w:hAnsi="Book Antiqua" w:cs="Book Antiqua"/>
          <w:b/>
          <w:bCs/>
          <w:color w:val="000000"/>
        </w:rPr>
        <w:t xml:space="preserve"> FS</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Dusendang</w:t>
      </w:r>
      <w:proofErr w:type="spellEnd"/>
      <w:r w:rsidRPr="008021CD">
        <w:rPr>
          <w:rFonts w:ascii="Book Antiqua" w:eastAsia="Book Antiqua" w:hAnsi="Book Antiqua" w:cs="Book Antiqua"/>
          <w:color w:val="000000"/>
        </w:rPr>
        <w:t xml:space="preserve"> JR, </w:t>
      </w:r>
      <w:proofErr w:type="spellStart"/>
      <w:r w:rsidRPr="008021CD">
        <w:rPr>
          <w:rFonts w:ascii="Book Antiqua" w:eastAsia="Book Antiqua" w:hAnsi="Book Antiqua" w:cs="Book Antiqua"/>
          <w:color w:val="000000"/>
        </w:rPr>
        <w:t>Schmittdiel</w:t>
      </w:r>
      <w:proofErr w:type="spellEnd"/>
      <w:r w:rsidRPr="008021CD">
        <w:rPr>
          <w:rFonts w:ascii="Book Antiqua" w:eastAsia="Book Antiqua" w:hAnsi="Book Antiqua" w:cs="Book Antiqua"/>
          <w:color w:val="000000"/>
        </w:rPr>
        <w:t xml:space="preserve"> JA. Prior Immunosuppressive Therapy and Severe Illness Among Patients Diagnosed with SARS-CoV-2: a Community-Based Study. </w:t>
      </w:r>
      <w:r w:rsidRPr="008021CD">
        <w:rPr>
          <w:rFonts w:ascii="Book Antiqua" w:eastAsia="Book Antiqua" w:hAnsi="Book Antiqua" w:cs="Book Antiqua"/>
          <w:i/>
          <w:iCs/>
          <w:color w:val="000000"/>
        </w:rPr>
        <w:t>J Gen Intern Med</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36</w:t>
      </w:r>
      <w:r w:rsidRPr="008021CD">
        <w:rPr>
          <w:rFonts w:ascii="Book Antiqua" w:eastAsia="Book Antiqua" w:hAnsi="Book Antiqua" w:cs="Book Antiqua"/>
          <w:color w:val="000000"/>
        </w:rPr>
        <w:t>: 3794-3801 [PMID: 34581984 DOI: 10.1007/s11606-021-07152-2]</w:t>
      </w:r>
    </w:p>
    <w:p w14:paraId="6E56E72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12 </w:t>
      </w:r>
      <w:r w:rsidRPr="008021CD">
        <w:rPr>
          <w:rFonts w:ascii="Book Antiqua" w:eastAsia="Book Antiqua" w:hAnsi="Book Antiqua" w:cs="Book Antiqua"/>
          <w:b/>
          <w:bCs/>
          <w:color w:val="000000"/>
        </w:rPr>
        <w:t>Brenner EJ</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Ungaro</w:t>
      </w:r>
      <w:proofErr w:type="spellEnd"/>
      <w:r w:rsidRPr="008021CD">
        <w:rPr>
          <w:rFonts w:ascii="Book Antiqua" w:eastAsia="Book Antiqua" w:hAnsi="Book Antiqua" w:cs="Book Antiqua"/>
          <w:color w:val="000000"/>
        </w:rPr>
        <w:t xml:space="preserve"> RC, </w:t>
      </w:r>
      <w:proofErr w:type="spellStart"/>
      <w:r w:rsidRPr="008021CD">
        <w:rPr>
          <w:rFonts w:ascii="Book Antiqua" w:eastAsia="Book Antiqua" w:hAnsi="Book Antiqua" w:cs="Book Antiqua"/>
          <w:color w:val="000000"/>
        </w:rPr>
        <w:t>Gearry</w:t>
      </w:r>
      <w:proofErr w:type="spellEnd"/>
      <w:r w:rsidRPr="008021CD">
        <w:rPr>
          <w:rFonts w:ascii="Book Antiqua" w:eastAsia="Book Antiqua" w:hAnsi="Book Antiqua" w:cs="Book Antiqua"/>
          <w:color w:val="000000"/>
        </w:rPr>
        <w:t xml:space="preserve"> RB, Kaplan GG, </w:t>
      </w:r>
      <w:proofErr w:type="spellStart"/>
      <w:r w:rsidRPr="008021CD">
        <w:rPr>
          <w:rFonts w:ascii="Book Antiqua" w:eastAsia="Book Antiqua" w:hAnsi="Book Antiqua" w:cs="Book Antiqua"/>
          <w:color w:val="000000"/>
        </w:rPr>
        <w:t>Kissous</w:t>
      </w:r>
      <w:proofErr w:type="spellEnd"/>
      <w:r w:rsidRPr="008021CD">
        <w:rPr>
          <w:rFonts w:ascii="Book Antiqua" w:eastAsia="Book Antiqua" w:hAnsi="Book Antiqua" w:cs="Book Antiqua"/>
          <w:color w:val="000000"/>
        </w:rPr>
        <w:t xml:space="preserve">-Hunt M, Lewis JD, Ng SC, </w:t>
      </w:r>
      <w:proofErr w:type="spellStart"/>
      <w:r w:rsidRPr="008021CD">
        <w:rPr>
          <w:rFonts w:ascii="Book Antiqua" w:eastAsia="Book Antiqua" w:hAnsi="Book Antiqua" w:cs="Book Antiqua"/>
          <w:color w:val="000000"/>
        </w:rPr>
        <w:t>Rahier</w:t>
      </w:r>
      <w:proofErr w:type="spellEnd"/>
      <w:r w:rsidRPr="008021CD">
        <w:rPr>
          <w:rFonts w:ascii="Book Antiqua" w:eastAsia="Book Antiqua" w:hAnsi="Book Antiqua" w:cs="Book Antiqua"/>
          <w:color w:val="000000"/>
        </w:rPr>
        <w:t xml:space="preserve"> JF, </w:t>
      </w:r>
      <w:proofErr w:type="spellStart"/>
      <w:r w:rsidRPr="008021CD">
        <w:rPr>
          <w:rFonts w:ascii="Book Antiqua" w:eastAsia="Book Antiqua" w:hAnsi="Book Antiqua" w:cs="Book Antiqua"/>
          <w:color w:val="000000"/>
        </w:rPr>
        <w:t>Reinisch</w:t>
      </w:r>
      <w:proofErr w:type="spellEnd"/>
      <w:r w:rsidRPr="008021CD">
        <w:rPr>
          <w:rFonts w:ascii="Book Antiqua" w:eastAsia="Book Antiqua" w:hAnsi="Book Antiqua" w:cs="Book Antiqua"/>
          <w:color w:val="000000"/>
        </w:rPr>
        <w:t xml:space="preserve"> W, </w:t>
      </w:r>
      <w:proofErr w:type="spellStart"/>
      <w:r w:rsidRPr="008021CD">
        <w:rPr>
          <w:rFonts w:ascii="Book Antiqua" w:eastAsia="Book Antiqua" w:hAnsi="Book Antiqua" w:cs="Book Antiqua"/>
          <w:color w:val="000000"/>
        </w:rPr>
        <w:t>Ruemmele</w:t>
      </w:r>
      <w:proofErr w:type="spellEnd"/>
      <w:r w:rsidRPr="008021CD">
        <w:rPr>
          <w:rFonts w:ascii="Book Antiqua" w:eastAsia="Book Antiqua" w:hAnsi="Book Antiqua" w:cs="Book Antiqua"/>
          <w:color w:val="000000"/>
        </w:rPr>
        <w:t xml:space="preserve"> FM, </w:t>
      </w:r>
      <w:proofErr w:type="spellStart"/>
      <w:r w:rsidRPr="008021CD">
        <w:rPr>
          <w:rFonts w:ascii="Book Antiqua" w:eastAsia="Book Antiqua" w:hAnsi="Book Antiqua" w:cs="Book Antiqua"/>
          <w:color w:val="000000"/>
        </w:rPr>
        <w:t>Steinwurz</w:t>
      </w:r>
      <w:proofErr w:type="spellEnd"/>
      <w:r w:rsidRPr="008021CD">
        <w:rPr>
          <w:rFonts w:ascii="Book Antiqua" w:eastAsia="Book Antiqua" w:hAnsi="Book Antiqua" w:cs="Book Antiqua"/>
          <w:color w:val="000000"/>
        </w:rPr>
        <w:t xml:space="preserve"> F, Underwood FE, Zhang X, </w:t>
      </w:r>
      <w:proofErr w:type="spellStart"/>
      <w:r w:rsidRPr="008021CD">
        <w:rPr>
          <w:rFonts w:ascii="Book Antiqua" w:eastAsia="Book Antiqua" w:hAnsi="Book Antiqua" w:cs="Book Antiqua"/>
          <w:color w:val="000000"/>
        </w:rPr>
        <w:t>Colombel</w:t>
      </w:r>
      <w:proofErr w:type="spellEnd"/>
      <w:r w:rsidRPr="008021CD">
        <w:rPr>
          <w:rFonts w:ascii="Book Antiqua" w:eastAsia="Book Antiqua" w:hAnsi="Book Antiqua" w:cs="Book Antiqua"/>
          <w:color w:val="000000"/>
        </w:rPr>
        <w:t xml:space="preserve"> JF, </w:t>
      </w:r>
      <w:proofErr w:type="spellStart"/>
      <w:r w:rsidRPr="008021CD">
        <w:rPr>
          <w:rFonts w:ascii="Book Antiqua" w:eastAsia="Book Antiqua" w:hAnsi="Book Antiqua" w:cs="Book Antiqua"/>
          <w:color w:val="000000"/>
        </w:rPr>
        <w:t>Kappelman</w:t>
      </w:r>
      <w:proofErr w:type="spellEnd"/>
      <w:r w:rsidRPr="008021CD">
        <w:rPr>
          <w:rFonts w:ascii="Book Antiqua" w:eastAsia="Book Antiqua" w:hAnsi="Book Antiqua" w:cs="Book Antiqua"/>
          <w:color w:val="000000"/>
        </w:rPr>
        <w:t xml:space="preserve"> MD. Corticosteroids, But Not TNF Antagonists, Are Associated </w:t>
      </w:r>
      <w:proofErr w:type="gramStart"/>
      <w:r w:rsidRPr="008021CD">
        <w:rPr>
          <w:rFonts w:ascii="Book Antiqua" w:eastAsia="Book Antiqua" w:hAnsi="Book Antiqua" w:cs="Book Antiqua"/>
          <w:color w:val="000000"/>
        </w:rPr>
        <w:t>With</w:t>
      </w:r>
      <w:proofErr w:type="gramEnd"/>
      <w:r w:rsidRPr="008021CD">
        <w:rPr>
          <w:rFonts w:ascii="Book Antiqua" w:eastAsia="Book Antiqua" w:hAnsi="Book Antiqua" w:cs="Book Antiqua"/>
          <w:color w:val="000000"/>
        </w:rPr>
        <w:t xml:space="preserve"> Adverse COVID-19 Outcomes in Patients With Inflammatory Bowel Diseases: Results From an International Registry. </w:t>
      </w:r>
      <w:r w:rsidRPr="008021CD">
        <w:rPr>
          <w:rFonts w:ascii="Book Antiqua" w:eastAsia="Book Antiqua" w:hAnsi="Book Antiqua" w:cs="Book Antiqua"/>
          <w:i/>
          <w:iCs/>
          <w:color w:val="000000"/>
        </w:rPr>
        <w:t>Gastroenterology</w:t>
      </w:r>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159</w:t>
      </w:r>
      <w:r w:rsidRPr="008021CD">
        <w:rPr>
          <w:rFonts w:ascii="Book Antiqua" w:eastAsia="Book Antiqua" w:hAnsi="Book Antiqua" w:cs="Book Antiqua"/>
          <w:color w:val="000000"/>
        </w:rPr>
        <w:t>: 481-491.e3 [PMID: 32425234 DOI: 10.1053/j.gastro.2020.05.032]</w:t>
      </w:r>
    </w:p>
    <w:p w14:paraId="16EFEE0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13 </w:t>
      </w:r>
      <w:r w:rsidRPr="008021CD">
        <w:rPr>
          <w:rFonts w:ascii="Book Antiqua" w:eastAsia="Book Antiqua" w:hAnsi="Book Antiqua" w:cs="Book Antiqua"/>
          <w:b/>
          <w:bCs/>
          <w:color w:val="000000"/>
        </w:rPr>
        <w:t>Singh S</w:t>
      </w:r>
      <w:r w:rsidRPr="008021CD">
        <w:rPr>
          <w:rFonts w:ascii="Book Antiqua" w:eastAsia="Book Antiqua" w:hAnsi="Book Antiqua" w:cs="Book Antiqua"/>
          <w:color w:val="000000"/>
        </w:rPr>
        <w:t xml:space="preserve">, Khan A, </w:t>
      </w:r>
      <w:proofErr w:type="spellStart"/>
      <w:r w:rsidRPr="008021CD">
        <w:rPr>
          <w:rFonts w:ascii="Book Antiqua" w:eastAsia="Book Antiqua" w:hAnsi="Book Antiqua" w:cs="Book Antiqua"/>
          <w:color w:val="000000"/>
        </w:rPr>
        <w:t>Chowdhry</w:t>
      </w:r>
      <w:proofErr w:type="spellEnd"/>
      <w:r w:rsidRPr="008021CD">
        <w:rPr>
          <w:rFonts w:ascii="Book Antiqua" w:eastAsia="Book Antiqua" w:hAnsi="Book Antiqua" w:cs="Book Antiqua"/>
          <w:color w:val="000000"/>
        </w:rPr>
        <w:t xml:space="preserve"> M, Bilal M, Kochhar GS, Clarke K. Risk of Severe Coronavirus Disease 2019 in Patients </w:t>
      </w:r>
      <w:proofErr w:type="gramStart"/>
      <w:r w:rsidRPr="008021CD">
        <w:rPr>
          <w:rFonts w:ascii="Book Antiqua" w:eastAsia="Book Antiqua" w:hAnsi="Book Antiqua" w:cs="Book Antiqua"/>
          <w:color w:val="000000"/>
        </w:rPr>
        <w:t>With</w:t>
      </w:r>
      <w:proofErr w:type="gramEnd"/>
      <w:r w:rsidRPr="008021CD">
        <w:rPr>
          <w:rFonts w:ascii="Book Antiqua" w:eastAsia="Book Antiqua" w:hAnsi="Book Antiqua" w:cs="Book Antiqua"/>
          <w:color w:val="000000"/>
        </w:rPr>
        <w:t xml:space="preserve"> Inflammatory Bowel Disease in the United States: A Multicenter Research Network Study. </w:t>
      </w:r>
      <w:r w:rsidRPr="008021CD">
        <w:rPr>
          <w:rFonts w:ascii="Book Antiqua" w:eastAsia="Book Antiqua" w:hAnsi="Book Antiqua" w:cs="Book Antiqua"/>
          <w:i/>
          <w:iCs/>
          <w:color w:val="000000"/>
        </w:rPr>
        <w:t>Gastroenterology</w:t>
      </w:r>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159</w:t>
      </w:r>
      <w:r w:rsidRPr="008021CD">
        <w:rPr>
          <w:rFonts w:ascii="Book Antiqua" w:eastAsia="Book Antiqua" w:hAnsi="Book Antiqua" w:cs="Book Antiqua"/>
          <w:color w:val="000000"/>
        </w:rPr>
        <w:t>: 1575-1578.e4 [PMID: 32522507 DOI: 10.1053/j.gastro.2020.06.003]</w:t>
      </w:r>
    </w:p>
    <w:p w14:paraId="0D8BA1C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14 </w:t>
      </w:r>
      <w:r w:rsidRPr="008021CD">
        <w:rPr>
          <w:rFonts w:ascii="Book Antiqua" w:eastAsia="Book Antiqua" w:hAnsi="Book Antiqua" w:cs="Book Antiqua"/>
          <w:b/>
          <w:bCs/>
          <w:color w:val="000000"/>
        </w:rPr>
        <w:t>Andersen KM</w:t>
      </w:r>
      <w:r w:rsidRPr="008021CD">
        <w:rPr>
          <w:rFonts w:ascii="Book Antiqua" w:eastAsia="Book Antiqua" w:hAnsi="Book Antiqua" w:cs="Book Antiqua"/>
          <w:color w:val="000000"/>
        </w:rPr>
        <w:t xml:space="preserve">, Bates BA, Rashidi ES, </w:t>
      </w:r>
      <w:proofErr w:type="spellStart"/>
      <w:r w:rsidRPr="008021CD">
        <w:rPr>
          <w:rFonts w:ascii="Book Antiqua" w:eastAsia="Book Antiqua" w:hAnsi="Book Antiqua" w:cs="Book Antiqua"/>
          <w:color w:val="000000"/>
        </w:rPr>
        <w:t>Olex</w:t>
      </w:r>
      <w:proofErr w:type="spellEnd"/>
      <w:r w:rsidRPr="008021CD">
        <w:rPr>
          <w:rFonts w:ascii="Book Antiqua" w:eastAsia="Book Antiqua" w:hAnsi="Book Antiqua" w:cs="Book Antiqua"/>
          <w:color w:val="000000"/>
        </w:rPr>
        <w:t xml:space="preserve"> AL, </w:t>
      </w:r>
      <w:proofErr w:type="spellStart"/>
      <w:r w:rsidRPr="008021CD">
        <w:rPr>
          <w:rFonts w:ascii="Book Antiqua" w:eastAsia="Book Antiqua" w:hAnsi="Book Antiqua" w:cs="Book Antiqua"/>
          <w:color w:val="000000"/>
        </w:rPr>
        <w:t>Mannon</w:t>
      </w:r>
      <w:proofErr w:type="spellEnd"/>
      <w:r w:rsidRPr="008021CD">
        <w:rPr>
          <w:rFonts w:ascii="Book Antiqua" w:eastAsia="Book Antiqua" w:hAnsi="Book Antiqua" w:cs="Book Antiqua"/>
          <w:color w:val="000000"/>
        </w:rPr>
        <w:t xml:space="preserve"> RB, Patel RC, Singh J, Sun J, </w:t>
      </w:r>
      <w:proofErr w:type="spellStart"/>
      <w:r w:rsidRPr="008021CD">
        <w:rPr>
          <w:rFonts w:ascii="Book Antiqua" w:eastAsia="Book Antiqua" w:hAnsi="Book Antiqua" w:cs="Book Antiqua"/>
          <w:color w:val="000000"/>
        </w:rPr>
        <w:t>Auwaerter</w:t>
      </w:r>
      <w:proofErr w:type="spellEnd"/>
      <w:r w:rsidRPr="008021CD">
        <w:rPr>
          <w:rFonts w:ascii="Book Antiqua" w:eastAsia="Book Antiqua" w:hAnsi="Book Antiqua" w:cs="Book Antiqua"/>
          <w:color w:val="000000"/>
        </w:rPr>
        <w:t xml:space="preserve"> PG, Ng DK, Segal JB, Garibaldi BT, Mehta HB, Alexander GC; National COVID Cohort Collaborative Consortium. Long-term use of immunosuppressive medicines and in-hospital COVID-19 outcomes: a retrospective cohort study using data from the National COVID Cohort Collaborative. </w:t>
      </w:r>
      <w:r w:rsidRPr="008021CD">
        <w:rPr>
          <w:rFonts w:ascii="Book Antiqua" w:eastAsia="Book Antiqua" w:hAnsi="Book Antiqua" w:cs="Book Antiqua"/>
          <w:i/>
          <w:iCs/>
          <w:color w:val="000000"/>
        </w:rPr>
        <w:t xml:space="preserve">Lancet </w:t>
      </w:r>
      <w:proofErr w:type="spellStart"/>
      <w:r w:rsidRPr="008021CD">
        <w:rPr>
          <w:rFonts w:ascii="Book Antiqua" w:eastAsia="Book Antiqua" w:hAnsi="Book Antiqua" w:cs="Book Antiqua"/>
          <w:i/>
          <w:iCs/>
          <w:color w:val="000000"/>
        </w:rPr>
        <w:t>Rheumatol</w:t>
      </w:r>
      <w:proofErr w:type="spellEnd"/>
      <w:r w:rsidRPr="008021CD">
        <w:rPr>
          <w:rFonts w:ascii="Book Antiqua" w:eastAsia="Book Antiqua" w:hAnsi="Book Antiqua" w:cs="Book Antiqua"/>
          <w:color w:val="000000"/>
        </w:rPr>
        <w:t xml:space="preserve"> 2022; </w:t>
      </w:r>
      <w:r w:rsidRPr="008021CD">
        <w:rPr>
          <w:rFonts w:ascii="Book Antiqua" w:eastAsia="Book Antiqua" w:hAnsi="Book Antiqua" w:cs="Book Antiqua"/>
          <w:b/>
          <w:bCs/>
          <w:color w:val="000000"/>
        </w:rPr>
        <w:t>4</w:t>
      </w:r>
      <w:r w:rsidRPr="008021CD">
        <w:rPr>
          <w:rFonts w:ascii="Book Antiqua" w:eastAsia="Book Antiqua" w:hAnsi="Book Antiqua" w:cs="Book Antiqua"/>
          <w:color w:val="000000"/>
        </w:rPr>
        <w:t>: e33-e41 [PMID: 34806036 DOI: 10.1016/S2665-9913(21)00325-8]</w:t>
      </w:r>
    </w:p>
    <w:p w14:paraId="40C9B58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15 </w:t>
      </w:r>
      <w:r w:rsidRPr="008021CD">
        <w:rPr>
          <w:rFonts w:ascii="Book Antiqua" w:eastAsia="Book Antiqua" w:hAnsi="Book Antiqua" w:cs="Book Antiqua"/>
          <w:b/>
          <w:bCs/>
          <w:color w:val="000000"/>
        </w:rPr>
        <w:t>Austin PC</w:t>
      </w:r>
      <w:r w:rsidRPr="008021CD">
        <w:rPr>
          <w:rFonts w:ascii="Book Antiqua" w:eastAsia="Book Antiqua" w:hAnsi="Book Antiqua" w:cs="Book Antiqua"/>
          <w:color w:val="000000"/>
        </w:rPr>
        <w:t xml:space="preserve">. An Introduction to Propensity Score Methods for Reducing the Effects of Confounding in Observational Studies. </w:t>
      </w:r>
      <w:r w:rsidRPr="008021CD">
        <w:rPr>
          <w:rFonts w:ascii="Book Antiqua" w:eastAsia="Book Antiqua" w:hAnsi="Book Antiqua" w:cs="Book Antiqua"/>
          <w:i/>
          <w:iCs/>
          <w:color w:val="000000"/>
        </w:rPr>
        <w:t xml:space="preserve">Multivariate </w:t>
      </w:r>
      <w:proofErr w:type="spellStart"/>
      <w:r w:rsidRPr="008021CD">
        <w:rPr>
          <w:rFonts w:ascii="Book Antiqua" w:eastAsia="Book Antiqua" w:hAnsi="Book Antiqua" w:cs="Book Antiqua"/>
          <w:i/>
          <w:iCs/>
          <w:color w:val="000000"/>
        </w:rPr>
        <w:t>Behav</w:t>
      </w:r>
      <w:proofErr w:type="spellEnd"/>
      <w:r w:rsidRPr="008021CD">
        <w:rPr>
          <w:rFonts w:ascii="Book Antiqua" w:eastAsia="Book Antiqua" w:hAnsi="Book Antiqua" w:cs="Book Antiqua"/>
          <w:i/>
          <w:iCs/>
          <w:color w:val="000000"/>
        </w:rPr>
        <w:t xml:space="preserve"> Res</w:t>
      </w:r>
      <w:r w:rsidRPr="008021CD">
        <w:rPr>
          <w:rFonts w:ascii="Book Antiqua" w:eastAsia="Book Antiqua" w:hAnsi="Book Antiqua" w:cs="Book Antiqua"/>
          <w:color w:val="000000"/>
        </w:rPr>
        <w:t xml:space="preserve"> 2011; </w:t>
      </w:r>
      <w:r w:rsidRPr="008021CD">
        <w:rPr>
          <w:rFonts w:ascii="Book Antiqua" w:eastAsia="Book Antiqua" w:hAnsi="Book Antiqua" w:cs="Book Antiqua"/>
          <w:b/>
          <w:bCs/>
          <w:color w:val="000000"/>
        </w:rPr>
        <w:t>46</w:t>
      </w:r>
      <w:r w:rsidRPr="008021CD">
        <w:rPr>
          <w:rFonts w:ascii="Book Antiqua" w:eastAsia="Book Antiqua" w:hAnsi="Book Antiqua" w:cs="Book Antiqua"/>
          <w:color w:val="000000"/>
        </w:rPr>
        <w:t>: 399-424 [PMID: 21818162 DOI: 10.1080/00273171.2011.568786]</w:t>
      </w:r>
    </w:p>
    <w:p w14:paraId="1545769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16 </w:t>
      </w:r>
      <w:proofErr w:type="spellStart"/>
      <w:r w:rsidRPr="008021CD">
        <w:rPr>
          <w:rFonts w:ascii="Book Antiqua" w:eastAsia="Book Antiqua" w:hAnsi="Book Antiqua" w:cs="Book Antiqua"/>
          <w:b/>
          <w:bCs/>
          <w:color w:val="000000"/>
        </w:rPr>
        <w:t>Marjot</w:t>
      </w:r>
      <w:proofErr w:type="spellEnd"/>
      <w:r w:rsidRPr="008021CD">
        <w:rPr>
          <w:rFonts w:ascii="Book Antiqua" w:eastAsia="Book Antiqua" w:hAnsi="Book Antiqua" w:cs="Book Antiqua"/>
          <w:b/>
          <w:bCs/>
          <w:color w:val="000000"/>
        </w:rPr>
        <w:t xml:space="preserve"> T</w:t>
      </w:r>
      <w:r w:rsidRPr="008021CD">
        <w:rPr>
          <w:rFonts w:ascii="Book Antiqua" w:eastAsia="Book Antiqua" w:hAnsi="Book Antiqua" w:cs="Book Antiqua"/>
          <w:color w:val="000000"/>
        </w:rPr>
        <w:t xml:space="preserve">, Buescher G, </w:t>
      </w:r>
      <w:proofErr w:type="spellStart"/>
      <w:r w:rsidRPr="008021CD">
        <w:rPr>
          <w:rFonts w:ascii="Book Antiqua" w:eastAsia="Book Antiqua" w:hAnsi="Book Antiqua" w:cs="Book Antiqua"/>
          <w:color w:val="000000"/>
        </w:rPr>
        <w:t>Sebode</w:t>
      </w:r>
      <w:proofErr w:type="spellEnd"/>
      <w:r w:rsidRPr="008021CD">
        <w:rPr>
          <w:rFonts w:ascii="Book Antiqua" w:eastAsia="Book Antiqua" w:hAnsi="Book Antiqua" w:cs="Book Antiqua"/>
          <w:color w:val="000000"/>
        </w:rPr>
        <w:t xml:space="preserve"> M, Barnes E, </w:t>
      </w:r>
      <w:proofErr w:type="spellStart"/>
      <w:r w:rsidRPr="008021CD">
        <w:rPr>
          <w:rFonts w:ascii="Book Antiqua" w:eastAsia="Book Antiqua" w:hAnsi="Book Antiqua" w:cs="Book Antiqua"/>
          <w:color w:val="000000"/>
        </w:rPr>
        <w:t>Barritt</w:t>
      </w:r>
      <w:proofErr w:type="spellEnd"/>
      <w:r w:rsidRPr="008021CD">
        <w:rPr>
          <w:rFonts w:ascii="Book Antiqua" w:eastAsia="Book Antiqua" w:hAnsi="Book Antiqua" w:cs="Book Antiqua"/>
          <w:color w:val="000000"/>
        </w:rPr>
        <w:t xml:space="preserve"> AS 4th, Armstrong MJ, Baldelli L, Kennedy J, Mercer C, </w:t>
      </w:r>
      <w:proofErr w:type="spellStart"/>
      <w:r w:rsidRPr="008021CD">
        <w:rPr>
          <w:rFonts w:ascii="Book Antiqua" w:eastAsia="Book Antiqua" w:hAnsi="Book Antiqua" w:cs="Book Antiqua"/>
          <w:color w:val="000000"/>
        </w:rPr>
        <w:t>Ozga</w:t>
      </w:r>
      <w:proofErr w:type="spellEnd"/>
      <w:r w:rsidRPr="008021CD">
        <w:rPr>
          <w:rFonts w:ascii="Book Antiqua" w:eastAsia="Book Antiqua" w:hAnsi="Book Antiqua" w:cs="Book Antiqua"/>
          <w:color w:val="000000"/>
        </w:rPr>
        <w:t xml:space="preserve"> AK, </w:t>
      </w:r>
      <w:proofErr w:type="spellStart"/>
      <w:r w:rsidRPr="008021CD">
        <w:rPr>
          <w:rFonts w:ascii="Book Antiqua" w:eastAsia="Book Antiqua" w:hAnsi="Book Antiqua" w:cs="Book Antiqua"/>
          <w:color w:val="000000"/>
        </w:rPr>
        <w:t>Casar</w:t>
      </w:r>
      <w:proofErr w:type="spellEnd"/>
      <w:r w:rsidRPr="008021CD">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sidRPr="008021CD">
        <w:rPr>
          <w:rFonts w:ascii="Book Antiqua" w:eastAsia="Book Antiqua" w:hAnsi="Book Antiqua" w:cs="Book Antiqua"/>
          <w:i/>
          <w:iCs/>
          <w:color w:val="000000"/>
        </w:rPr>
        <w:t>J Hepatol</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74</w:t>
      </w:r>
      <w:r w:rsidRPr="008021CD">
        <w:rPr>
          <w:rFonts w:ascii="Book Antiqua" w:eastAsia="Book Antiqua" w:hAnsi="Book Antiqua" w:cs="Book Antiqua"/>
          <w:color w:val="000000"/>
        </w:rPr>
        <w:t>: 1335-1343 [PMID: 33508378 DOI: 10.1016/j.jhep.2021.01.021]</w:t>
      </w:r>
    </w:p>
    <w:p w14:paraId="24E2B547"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17 </w:t>
      </w:r>
      <w:proofErr w:type="spellStart"/>
      <w:r w:rsidRPr="008021CD">
        <w:rPr>
          <w:rFonts w:ascii="Book Antiqua" w:eastAsia="Book Antiqua" w:hAnsi="Book Antiqua" w:cs="Book Antiqua"/>
          <w:b/>
          <w:bCs/>
          <w:color w:val="000000"/>
        </w:rPr>
        <w:t>Efe</w:t>
      </w:r>
      <w:proofErr w:type="spellEnd"/>
      <w:r w:rsidRPr="008021CD">
        <w:rPr>
          <w:rFonts w:ascii="Book Antiqua" w:eastAsia="Book Antiqua" w:hAnsi="Book Antiqua" w:cs="Book Antiqua"/>
          <w:b/>
          <w:bCs/>
          <w:color w:val="000000"/>
        </w:rPr>
        <w:t xml:space="preserve"> C</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Dhanasekaran</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Lammert</w:t>
      </w:r>
      <w:proofErr w:type="spellEnd"/>
      <w:r w:rsidRPr="008021CD">
        <w:rPr>
          <w:rFonts w:ascii="Book Antiqua" w:eastAsia="Book Antiqua" w:hAnsi="Book Antiqua" w:cs="Book Antiqua"/>
          <w:color w:val="000000"/>
        </w:rPr>
        <w:t xml:space="preserve"> C, </w:t>
      </w:r>
      <w:proofErr w:type="spellStart"/>
      <w:r w:rsidRPr="008021CD">
        <w:rPr>
          <w:rFonts w:ascii="Book Antiqua" w:eastAsia="Book Antiqua" w:hAnsi="Book Antiqua" w:cs="Book Antiqua"/>
          <w:color w:val="000000"/>
        </w:rPr>
        <w:t>Ebik</w:t>
      </w:r>
      <w:proofErr w:type="spellEnd"/>
      <w:r w:rsidRPr="008021CD">
        <w:rPr>
          <w:rFonts w:ascii="Book Antiqua" w:eastAsia="Book Antiqua" w:hAnsi="Book Antiqua" w:cs="Book Antiqua"/>
          <w:color w:val="000000"/>
        </w:rPr>
        <w:t xml:space="preserve"> B, Higuera-de la </w:t>
      </w:r>
      <w:proofErr w:type="spellStart"/>
      <w:r w:rsidRPr="008021CD">
        <w:rPr>
          <w:rFonts w:ascii="Book Antiqua" w:eastAsia="Book Antiqua" w:hAnsi="Book Antiqua" w:cs="Book Antiqua"/>
          <w:color w:val="000000"/>
        </w:rPr>
        <w:t>Tijera</w:t>
      </w:r>
      <w:proofErr w:type="spellEnd"/>
      <w:r w:rsidRPr="008021CD">
        <w:rPr>
          <w:rFonts w:ascii="Book Antiqua" w:eastAsia="Book Antiqua" w:hAnsi="Book Antiqua" w:cs="Book Antiqua"/>
          <w:color w:val="000000"/>
        </w:rPr>
        <w:t xml:space="preserve"> F, </w:t>
      </w:r>
      <w:proofErr w:type="spellStart"/>
      <w:r w:rsidRPr="008021CD">
        <w:rPr>
          <w:rFonts w:ascii="Book Antiqua" w:eastAsia="Book Antiqua" w:hAnsi="Book Antiqua" w:cs="Book Antiqua"/>
          <w:color w:val="000000"/>
        </w:rPr>
        <w:t>Aloman</w:t>
      </w:r>
      <w:proofErr w:type="spellEnd"/>
      <w:r w:rsidRPr="008021CD">
        <w:rPr>
          <w:rFonts w:ascii="Book Antiqua" w:eastAsia="Book Antiqua" w:hAnsi="Book Antiqua" w:cs="Book Antiqua"/>
          <w:color w:val="000000"/>
        </w:rPr>
        <w:t xml:space="preserve"> C, </w:t>
      </w:r>
      <w:proofErr w:type="spellStart"/>
      <w:r w:rsidRPr="008021CD">
        <w:rPr>
          <w:rFonts w:ascii="Book Antiqua" w:eastAsia="Book Antiqua" w:hAnsi="Book Antiqua" w:cs="Book Antiqua"/>
          <w:color w:val="000000"/>
        </w:rPr>
        <w:t>Rıza</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Calışkan</w:t>
      </w:r>
      <w:proofErr w:type="spellEnd"/>
      <w:r w:rsidRPr="008021CD">
        <w:rPr>
          <w:rFonts w:ascii="Book Antiqua" w:eastAsia="Book Antiqua" w:hAnsi="Book Antiqua" w:cs="Book Antiqua"/>
          <w:color w:val="000000"/>
        </w:rPr>
        <w:t xml:space="preserve"> A, Peralta M, </w:t>
      </w:r>
      <w:proofErr w:type="spellStart"/>
      <w:r w:rsidRPr="008021CD">
        <w:rPr>
          <w:rFonts w:ascii="Book Antiqua" w:eastAsia="Book Antiqua" w:hAnsi="Book Antiqua" w:cs="Book Antiqua"/>
          <w:color w:val="000000"/>
        </w:rPr>
        <w:t>Gerussi</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Massoumi</w:t>
      </w:r>
      <w:proofErr w:type="spellEnd"/>
      <w:r w:rsidRPr="008021CD">
        <w:rPr>
          <w:rFonts w:ascii="Book Antiqua" w:eastAsia="Book Antiqua" w:hAnsi="Book Antiqua" w:cs="Book Antiqua"/>
          <w:color w:val="000000"/>
        </w:rPr>
        <w:t xml:space="preserve"> H, </w:t>
      </w:r>
      <w:proofErr w:type="spellStart"/>
      <w:r w:rsidRPr="008021CD">
        <w:rPr>
          <w:rFonts w:ascii="Book Antiqua" w:eastAsia="Book Antiqua" w:hAnsi="Book Antiqua" w:cs="Book Antiqua"/>
          <w:color w:val="000000"/>
        </w:rPr>
        <w:t>Catana</w:t>
      </w:r>
      <w:proofErr w:type="spellEnd"/>
      <w:r w:rsidRPr="008021CD">
        <w:rPr>
          <w:rFonts w:ascii="Book Antiqua" w:eastAsia="Book Antiqua" w:hAnsi="Book Antiqua" w:cs="Book Antiqua"/>
          <w:color w:val="000000"/>
        </w:rPr>
        <w:t xml:space="preserve"> AM, </w:t>
      </w:r>
      <w:proofErr w:type="spellStart"/>
      <w:r w:rsidRPr="008021CD">
        <w:rPr>
          <w:rFonts w:ascii="Book Antiqua" w:eastAsia="Book Antiqua" w:hAnsi="Book Antiqua" w:cs="Book Antiqua"/>
          <w:color w:val="000000"/>
        </w:rPr>
        <w:t>Torgutalp</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Purnak</w:t>
      </w:r>
      <w:proofErr w:type="spellEnd"/>
      <w:r w:rsidRPr="008021CD">
        <w:rPr>
          <w:rFonts w:ascii="Book Antiqua" w:eastAsia="Book Antiqua" w:hAnsi="Book Antiqua" w:cs="Book Antiqua"/>
          <w:color w:val="000000"/>
        </w:rPr>
        <w:t xml:space="preserve"> T, </w:t>
      </w:r>
      <w:proofErr w:type="spellStart"/>
      <w:r w:rsidRPr="008021CD">
        <w:rPr>
          <w:rFonts w:ascii="Book Antiqua" w:eastAsia="Book Antiqua" w:hAnsi="Book Antiqua" w:cs="Book Antiqua"/>
          <w:color w:val="000000"/>
        </w:rPr>
        <w:lastRenderedPageBreak/>
        <w:t>Rigamonti</w:t>
      </w:r>
      <w:proofErr w:type="spellEnd"/>
      <w:r w:rsidRPr="008021CD">
        <w:rPr>
          <w:rFonts w:ascii="Book Antiqua" w:eastAsia="Book Antiqua" w:hAnsi="Book Antiqua" w:cs="Book Antiqua"/>
          <w:color w:val="000000"/>
        </w:rPr>
        <w:t xml:space="preserve"> C, Gomez Aldana AJ, </w:t>
      </w:r>
      <w:proofErr w:type="spellStart"/>
      <w:r w:rsidRPr="008021CD">
        <w:rPr>
          <w:rFonts w:ascii="Book Antiqua" w:eastAsia="Book Antiqua" w:hAnsi="Book Antiqua" w:cs="Book Antiqua"/>
          <w:color w:val="000000"/>
        </w:rPr>
        <w:t>Khakoo</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Kacmaz</w:t>
      </w:r>
      <w:proofErr w:type="spellEnd"/>
      <w:r w:rsidRPr="008021CD">
        <w:rPr>
          <w:rFonts w:ascii="Book Antiqua" w:eastAsia="Book Antiqua" w:hAnsi="Book Antiqua" w:cs="Book Antiqua"/>
          <w:color w:val="000000"/>
        </w:rPr>
        <w:t xml:space="preserve"> H, </w:t>
      </w:r>
      <w:proofErr w:type="spellStart"/>
      <w:r w:rsidRPr="008021CD">
        <w:rPr>
          <w:rFonts w:ascii="Book Antiqua" w:eastAsia="Book Antiqua" w:hAnsi="Book Antiqua" w:cs="Book Antiqua"/>
          <w:color w:val="000000"/>
        </w:rPr>
        <w:t>Nazal</w:t>
      </w:r>
      <w:proofErr w:type="spellEnd"/>
      <w:r w:rsidRPr="008021CD">
        <w:rPr>
          <w:rFonts w:ascii="Book Antiqua" w:eastAsia="Book Antiqua" w:hAnsi="Book Antiqua" w:cs="Book Antiqua"/>
          <w:color w:val="000000"/>
        </w:rPr>
        <w:t xml:space="preserve"> L, Frager S, Demir N, </w:t>
      </w:r>
      <w:proofErr w:type="spellStart"/>
      <w:r w:rsidRPr="008021CD">
        <w:rPr>
          <w:rFonts w:ascii="Book Antiqua" w:eastAsia="Book Antiqua" w:hAnsi="Book Antiqua" w:cs="Book Antiqua"/>
          <w:color w:val="000000"/>
        </w:rPr>
        <w:t>Irak</w:t>
      </w:r>
      <w:proofErr w:type="spellEnd"/>
      <w:r w:rsidRPr="008021CD">
        <w:rPr>
          <w:rFonts w:ascii="Book Antiqua" w:eastAsia="Book Antiqua" w:hAnsi="Book Antiqua" w:cs="Book Antiqua"/>
          <w:color w:val="000000"/>
        </w:rPr>
        <w:t xml:space="preserve"> K, </w:t>
      </w:r>
      <w:proofErr w:type="spellStart"/>
      <w:r w:rsidRPr="008021CD">
        <w:rPr>
          <w:rFonts w:ascii="Book Antiqua" w:eastAsia="Book Antiqua" w:hAnsi="Book Antiqua" w:cs="Book Antiqua"/>
          <w:color w:val="000000"/>
        </w:rPr>
        <w:t>Ellik</w:t>
      </w:r>
      <w:proofErr w:type="spellEnd"/>
      <w:r w:rsidRPr="008021CD">
        <w:rPr>
          <w:rFonts w:ascii="Book Antiqua" w:eastAsia="Book Antiqua" w:hAnsi="Book Antiqua" w:cs="Book Antiqua"/>
          <w:color w:val="000000"/>
        </w:rPr>
        <w:t xml:space="preserve"> ZM, Balaban Y, </w:t>
      </w:r>
      <w:proofErr w:type="spellStart"/>
      <w:r w:rsidRPr="008021CD">
        <w:rPr>
          <w:rFonts w:ascii="Book Antiqua" w:eastAsia="Book Antiqua" w:hAnsi="Book Antiqua" w:cs="Book Antiqua"/>
          <w:color w:val="000000"/>
        </w:rPr>
        <w:t>Atay</w:t>
      </w:r>
      <w:proofErr w:type="spellEnd"/>
      <w:r w:rsidRPr="008021CD">
        <w:rPr>
          <w:rFonts w:ascii="Book Antiqua" w:eastAsia="Book Antiqua" w:hAnsi="Book Antiqua" w:cs="Book Antiqua"/>
          <w:color w:val="000000"/>
        </w:rPr>
        <w:t xml:space="preserve"> K, </w:t>
      </w:r>
      <w:proofErr w:type="spellStart"/>
      <w:r w:rsidRPr="008021CD">
        <w:rPr>
          <w:rFonts w:ascii="Book Antiqua" w:eastAsia="Book Antiqua" w:hAnsi="Book Antiqua" w:cs="Book Antiqua"/>
          <w:color w:val="000000"/>
        </w:rPr>
        <w:t>Eren</w:t>
      </w:r>
      <w:proofErr w:type="spellEnd"/>
      <w:r w:rsidRPr="008021CD">
        <w:rPr>
          <w:rFonts w:ascii="Book Antiqua" w:eastAsia="Book Antiqua" w:hAnsi="Book Antiqua" w:cs="Book Antiqua"/>
          <w:color w:val="000000"/>
        </w:rPr>
        <w:t xml:space="preserve"> F, </w:t>
      </w:r>
      <w:proofErr w:type="spellStart"/>
      <w:r w:rsidRPr="008021CD">
        <w:rPr>
          <w:rFonts w:ascii="Book Antiqua" w:eastAsia="Book Antiqua" w:hAnsi="Book Antiqua" w:cs="Book Antiqua"/>
          <w:color w:val="000000"/>
        </w:rPr>
        <w:t>Cristoferi</w:t>
      </w:r>
      <w:proofErr w:type="spellEnd"/>
      <w:r w:rsidRPr="008021CD">
        <w:rPr>
          <w:rFonts w:ascii="Book Antiqua" w:eastAsia="Book Antiqua" w:hAnsi="Book Antiqua" w:cs="Book Antiqua"/>
          <w:color w:val="000000"/>
        </w:rPr>
        <w:t xml:space="preserve"> L, </w:t>
      </w:r>
      <w:proofErr w:type="spellStart"/>
      <w:r w:rsidRPr="008021CD">
        <w:rPr>
          <w:rFonts w:ascii="Book Antiqua" w:eastAsia="Book Antiqua" w:hAnsi="Book Antiqua" w:cs="Book Antiqua"/>
          <w:color w:val="000000"/>
        </w:rPr>
        <w:t>Batıbay</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Urzua</w:t>
      </w:r>
      <w:proofErr w:type="spellEnd"/>
      <w:r w:rsidRPr="008021CD">
        <w:rPr>
          <w:rFonts w:ascii="Book Antiqua" w:eastAsia="Book Antiqua" w:hAnsi="Book Antiqua" w:cs="Book Antiqua"/>
          <w:color w:val="000000"/>
        </w:rPr>
        <w:t xml:space="preserve"> Á, </w:t>
      </w:r>
      <w:proofErr w:type="spellStart"/>
      <w:r w:rsidRPr="008021CD">
        <w:rPr>
          <w:rFonts w:ascii="Book Antiqua" w:eastAsia="Book Antiqua" w:hAnsi="Book Antiqua" w:cs="Book Antiqua"/>
          <w:color w:val="000000"/>
        </w:rPr>
        <w:t>Snijders</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Kıyıcı</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Akyıldız</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Ekin</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Carr</w:t>
      </w:r>
      <w:proofErr w:type="spellEnd"/>
      <w:r w:rsidRPr="008021CD">
        <w:rPr>
          <w:rFonts w:ascii="Book Antiqua" w:eastAsia="Book Antiqua" w:hAnsi="Book Antiqua" w:cs="Book Antiqua"/>
          <w:color w:val="000000"/>
        </w:rPr>
        <w:t xml:space="preserve"> RM, </w:t>
      </w:r>
      <w:proofErr w:type="spellStart"/>
      <w:r w:rsidRPr="008021CD">
        <w:rPr>
          <w:rFonts w:ascii="Book Antiqua" w:eastAsia="Book Antiqua" w:hAnsi="Book Antiqua" w:cs="Book Antiqua"/>
          <w:color w:val="000000"/>
        </w:rPr>
        <w:t>Harputluoğlu</w:t>
      </w:r>
      <w:proofErr w:type="spellEnd"/>
      <w:r w:rsidRPr="008021CD">
        <w:rPr>
          <w:rFonts w:ascii="Book Antiqua" w:eastAsia="Book Antiqua" w:hAnsi="Book Antiqua" w:cs="Book Antiqua"/>
          <w:color w:val="000000"/>
        </w:rPr>
        <w:t xml:space="preserve"> M, Hatemi I, </w:t>
      </w:r>
      <w:proofErr w:type="spellStart"/>
      <w:r w:rsidRPr="008021CD">
        <w:rPr>
          <w:rFonts w:ascii="Book Antiqua" w:eastAsia="Book Antiqua" w:hAnsi="Book Antiqua" w:cs="Book Antiqua"/>
          <w:color w:val="000000"/>
        </w:rPr>
        <w:t>Mendizabal</w:t>
      </w:r>
      <w:proofErr w:type="spellEnd"/>
      <w:r w:rsidRPr="008021CD">
        <w:rPr>
          <w:rFonts w:ascii="Book Antiqua" w:eastAsia="Book Antiqua" w:hAnsi="Book Antiqua" w:cs="Book Antiqua"/>
          <w:color w:val="000000"/>
        </w:rPr>
        <w:t xml:space="preserve"> M, Silva M, </w:t>
      </w:r>
      <w:proofErr w:type="spellStart"/>
      <w:r w:rsidRPr="008021CD">
        <w:rPr>
          <w:rFonts w:ascii="Book Antiqua" w:eastAsia="Book Antiqua" w:hAnsi="Book Antiqua" w:cs="Book Antiqua"/>
          <w:color w:val="000000"/>
        </w:rPr>
        <w:t>Idilman</w:t>
      </w:r>
      <w:proofErr w:type="spellEnd"/>
      <w:r w:rsidRPr="008021CD">
        <w:rPr>
          <w:rFonts w:ascii="Book Antiqua" w:eastAsia="Book Antiqua" w:hAnsi="Book Antiqua" w:cs="Book Antiqua"/>
          <w:color w:val="000000"/>
        </w:rPr>
        <w:t xml:space="preserve"> R, Silveira M, </w:t>
      </w:r>
      <w:proofErr w:type="spellStart"/>
      <w:r w:rsidRPr="008021CD">
        <w:rPr>
          <w:rFonts w:ascii="Book Antiqua" w:eastAsia="Book Antiqua" w:hAnsi="Book Antiqua" w:cs="Book Antiqua"/>
          <w:color w:val="000000"/>
        </w:rPr>
        <w:t>Drenth</w:t>
      </w:r>
      <w:proofErr w:type="spellEnd"/>
      <w:r w:rsidRPr="008021CD">
        <w:rPr>
          <w:rFonts w:ascii="Book Antiqua" w:eastAsia="Book Antiqua" w:hAnsi="Book Antiqua" w:cs="Book Antiqua"/>
          <w:color w:val="000000"/>
        </w:rPr>
        <w:t xml:space="preserve"> JPH, Assis DN, </w:t>
      </w:r>
      <w:proofErr w:type="spellStart"/>
      <w:r w:rsidRPr="008021CD">
        <w:rPr>
          <w:rFonts w:ascii="Book Antiqua" w:eastAsia="Book Antiqua" w:hAnsi="Book Antiqua" w:cs="Book Antiqua"/>
          <w:color w:val="000000"/>
        </w:rPr>
        <w:t>Björnsson</w:t>
      </w:r>
      <w:proofErr w:type="spellEnd"/>
      <w:r w:rsidRPr="008021CD">
        <w:rPr>
          <w:rFonts w:ascii="Book Antiqua" w:eastAsia="Book Antiqua" w:hAnsi="Book Antiqua" w:cs="Book Antiqua"/>
          <w:color w:val="000000"/>
        </w:rPr>
        <w:t xml:space="preserve"> E, Boyer JL, </w:t>
      </w:r>
      <w:proofErr w:type="spellStart"/>
      <w:r w:rsidRPr="008021CD">
        <w:rPr>
          <w:rFonts w:ascii="Book Antiqua" w:eastAsia="Book Antiqua" w:hAnsi="Book Antiqua" w:cs="Book Antiqua"/>
          <w:color w:val="000000"/>
        </w:rPr>
        <w:t>Invernizzi</w:t>
      </w:r>
      <w:proofErr w:type="spellEnd"/>
      <w:r w:rsidRPr="008021CD">
        <w:rPr>
          <w:rFonts w:ascii="Book Antiqua" w:eastAsia="Book Antiqua" w:hAnsi="Book Antiqua" w:cs="Book Antiqua"/>
          <w:color w:val="000000"/>
        </w:rPr>
        <w:t xml:space="preserve"> P, Levy C, Schiano TD, </w:t>
      </w:r>
      <w:proofErr w:type="spellStart"/>
      <w:r w:rsidRPr="008021CD">
        <w:rPr>
          <w:rFonts w:ascii="Book Antiqua" w:eastAsia="Book Antiqua" w:hAnsi="Book Antiqua" w:cs="Book Antiqua"/>
          <w:color w:val="000000"/>
        </w:rPr>
        <w:t>Ridruejo</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Wahlin</w:t>
      </w:r>
      <w:proofErr w:type="spellEnd"/>
      <w:r w:rsidRPr="008021CD">
        <w:rPr>
          <w:rFonts w:ascii="Book Antiqua" w:eastAsia="Book Antiqua" w:hAnsi="Book Antiqua" w:cs="Book Antiqua"/>
          <w:color w:val="000000"/>
        </w:rPr>
        <w:t xml:space="preserve"> S. Outcome of COVID-19 in Patients With Autoimmune Hepatitis: An International Multicenter Study. </w:t>
      </w:r>
      <w:r w:rsidRPr="008021CD">
        <w:rPr>
          <w:rFonts w:ascii="Book Antiqua" w:eastAsia="Book Antiqua" w:hAnsi="Book Antiqua" w:cs="Book Antiqua"/>
          <w:i/>
          <w:iCs/>
          <w:color w:val="000000"/>
        </w:rPr>
        <w:t>Hepatology</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73</w:t>
      </w:r>
      <w:r w:rsidRPr="008021CD">
        <w:rPr>
          <w:rFonts w:ascii="Book Antiqua" w:eastAsia="Book Antiqua" w:hAnsi="Book Antiqua" w:cs="Book Antiqua"/>
          <w:color w:val="000000"/>
        </w:rPr>
        <w:t>: 2099-2109 [PMID: 33713486 DOI: 10.1002/hep.31797]</w:t>
      </w:r>
    </w:p>
    <w:p w14:paraId="28513066"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18 </w:t>
      </w:r>
      <w:proofErr w:type="spellStart"/>
      <w:r w:rsidRPr="008021CD">
        <w:rPr>
          <w:rFonts w:ascii="Book Antiqua" w:eastAsia="Book Antiqua" w:hAnsi="Book Antiqua" w:cs="Book Antiqua"/>
          <w:b/>
          <w:bCs/>
          <w:color w:val="000000"/>
        </w:rPr>
        <w:t>Gerussi</w:t>
      </w:r>
      <w:proofErr w:type="spellEnd"/>
      <w:r w:rsidRPr="008021CD">
        <w:rPr>
          <w:rFonts w:ascii="Book Antiqua" w:eastAsia="Book Antiqua" w:hAnsi="Book Antiqua" w:cs="Book Antiqua"/>
          <w:b/>
          <w:bCs/>
          <w:color w:val="000000"/>
        </w:rPr>
        <w:t xml:space="preserve"> A</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Rigamonti</w:t>
      </w:r>
      <w:proofErr w:type="spellEnd"/>
      <w:r w:rsidRPr="008021CD">
        <w:rPr>
          <w:rFonts w:ascii="Book Antiqua" w:eastAsia="Book Antiqua" w:hAnsi="Book Antiqua" w:cs="Book Antiqua"/>
          <w:color w:val="000000"/>
        </w:rPr>
        <w:t xml:space="preserve"> C, Elia C, </w:t>
      </w:r>
      <w:proofErr w:type="spellStart"/>
      <w:r w:rsidRPr="008021CD">
        <w:rPr>
          <w:rFonts w:ascii="Book Antiqua" w:eastAsia="Book Antiqua" w:hAnsi="Book Antiqua" w:cs="Book Antiqua"/>
          <w:color w:val="000000"/>
        </w:rPr>
        <w:t>Cazzagon</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Floreani</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Pozzi</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Pozzoni</w:t>
      </w:r>
      <w:proofErr w:type="spellEnd"/>
      <w:r w:rsidRPr="008021CD">
        <w:rPr>
          <w:rFonts w:ascii="Book Antiqua" w:eastAsia="Book Antiqua" w:hAnsi="Book Antiqua" w:cs="Book Antiqua"/>
          <w:color w:val="000000"/>
        </w:rPr>
        <w:t xml:space="preserve"> P, </w:t>
      </w:r>
      <w:proofErr w:type="spellStart"/>
      <w:r w:rsidRPr="008021CD">
        <w:rPr>
          <w:rFonts w:ascii="Book Antiqua" w:eastAsia="Book Antiqua" w:hAnsi="Book Antiqua" w:cs="Book Antiqua"/>
          <w:color w:val="000000"/>
        </w:rPr>
        <w:t>Claar</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Pasulo</w:t>
      </w:r>
      <w:proofErr w:type="spellEnd"/>
      <w:r w:rsidRPr="008021CD">
        <w:rPr>
          <w:rFonts w:ascii="Book Antiqua" w:eastAsia="Book Antiqua" w:hAnsi="Book Antiqua" w:cs="Book Antiqua"/>
          <w:color w:val="000000"/>
        </w:rPr>
        <w:t xml:space="preserve"> L, </w:t>
      </w:r>
      <w:proofErr w:type="spellStart"/>
      <w:r w:rsidRPr="008021CD">
        <w:rPr>
          <w:rFonts w:ascii="Book Antiqua" w:eastAsia="Book Antiqua" w:hAnsi="Book Antiqua" w:cs="Book Antiqua"/>
          <w:color w:val="000000"/>
        </w:rPr>
        <w:t>Fagiuoli</w:t>
      </w:r>
      <w:proofErr w:type="spellEnd"/>
      <w:r w:rsidRPr="008021CD">
        <w:rPr>
          <w:rFonts w:ascii="Book Antiqua" w:eastAsia="Book Antiqua" w:hAnsi="Book Antiqua" w:cs="Book Antiqua"/>
          <w:color w:val="000000"/>
        </w:rPr>
        <w:t xml:space="preserve"> S, </w:t>
      </w:r>
      <w:proofErr w:type="spellStart"/>
      <w:r w:rsidRPr="008021CD">
        <w:rPr>
          <w:rFonts w:ascii="Book Antiqua" w:eastAsia="Book Antiqua" w:hAnsi="Book Antiqua" w:cs="Book Antiqua"/>
          <w:color w:val="000000"/>
        </w:rPr>
        <w:t>Cristoferi</w:t>
      </w:r>
      <w:proofErr w:type="spellEnd"/>
      <w:r w:rsidRPr="008021CD">
        <w:rPr>
          <w:rFonts w:ascii="Book Antiqua" w:eastAsia="Book Antiqua" w:hAnsi="Book Antiqua" w:cs="Book Antiqua"/>
          <w:color w:val="000000"/>
        </w:rPr>
        <w:t xml:space="preserve"> L, Carbone M, </w:t>
      </w:r>
      <w:proofErr w:type="spellStart"/>
      <w:r w:rsidRPr="008021CD">
        <w:rPr>
          <w:rFonts w:ascii="Book Antiqua" w:eastAsia="Book Antiqua" w:hAnsi="Book Antiqua" w:cs="Book Antiqua"/>
          <w:color w:val="000000"/>
        </w:rPr>
        <w:t>Invernizzi</w:t>
      </w:r>
      <w:proofErr w:type="spellEnd"/>
      <w:r w:rsidRPr="008021CD">
        <w:rPr>
          <w:rFonts w:ascii="Book Antiqua" w:eastAsia="Book Antiqua" w:hAnsi="Book Antiqua" w:cs="Book Antiqua"/>
          <w:color w:val="000000"/>
        </w:rPr>
        <w:t xml:space="preserve"> P. Coronavirus Disease 2019 in Autoimmune Hepatitis: A Lesson </w:t>
      </w:r>
      <w:proofErr w:type="gramStart"/>
      <w:r w:rsidRPr="008021CD">
        <w:rPr>
          <w:rFonts w:ascii="Book Antiqua" w:eastAsia="Book Antiqua" w:hAnsi="Book Antiqua" w:cs="Book Antiqua"/>
          <w:color w:val="000000"/>
        </w:rPr>
        <w:t>From</w:t>
      </w:r>
      <w:proofErr w:type="gramEnd"/>
      <w:r w:rsidRPr="008021CD">
        <w:rPr>
          <w:rFonts w:ascii="Book Antiqua" w:eastAsia="Book Antiqua" w:hAnsi="Book Antiqua" w:cs="Book Antiqua"/>
          <w:color w:val="000000"/>
        </w:rPr>
        <w:t xml:space="preserve"> Immunosuppressed Patients. </w:t>
      </w:r>
      <w:r w:rsidRPr="008021CD">
        <w:rPr>
          <w:rFonts w:ascii="Book Antiqua" w:eastAsia="Book Antiqua" w:hAnsi="Book Antiqua" w:cs="Book Antiqua"/>
          <w:i/>
          <w:iCs/>
          <w:color w:val="000000"/>
        </w:rPr>
        <w:t xml:space="preserve">Hepatol </w:t>
      </w:r>
      <w:proofErr w:type="spellStart"/>
      <w:r w:rsidRPr="008021CD">
        <w:rPr>
          <w:rFonts w:ascii="Book Antiqua" w:eastAsia="Book Antiqua" w:hAnsi="Book Antiqua" w:cs="Book Antiqua"/>
          <w:i/>
          <w:iCs/>
          <w:color w:val="000000"/>
        </w:rPr>
        <w:t>Commun</w:t>
      </w:r>
      <w:proofErr w:type="spellEnd"/>
      <w:r w:rsidRPr="008021CD">
        <w:rPr>
          <w:rFonts w:ascii="Book Antiqua" w:eastAsia="Book Antiqua" w:hAnsi="Book Antiqua" w:cs="Book Antiqua"/>
          <w:color w:val="000000"/>
        </w:rPr>
        <w:t xml:space="preserve"> 2020; </w:t>
      </w:r>
      <w:r w:rsidRPr="008021CD">
        <w:rPr>
          <w:rFonts w:ascii="Book Antiqua" w:eastAsia="Book Antiqua" w:hAnsi="Book Antiqua" w:cs="Book Antiqua"/>
          <w:b/>
          <w:bCs/>
          <w:color w:val="000000"/>
        </w:rPr>
        <w:t>4</w:t>
      </w:r>
      <w:r w:rsidRPr="008021CD">
        <w:rPr>
          <w:rFonts w:ascii="Book Antiqua" w:eastAsia="Book Antiqua" w:hAnsi="Book Antiqua" w:cs="Book Antiqua"/>
          <w:color w:val="000000"/>
        </w:rPr>
        <w:t>: 1257-1262 [PMID: 32838102 DOI: 10.1002/hep4.1557]</w:t>
      </w:r>
    </w:p>
    <w:p w14:paraId="4DBA771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19 </w:t>
      </w:r>
      <w:r w:rsidRPr="008021CD">
        <w:rPr>
          <w:rFonts w:ascii="Book Antiqua" w:eastAsia="Book Antiqua" w:hAnsi="Book Antiqua" w:cs="Book Antiqua"/>
          <w:b/>
          <w:bCs/>
          <w:color w:val="000000"/>
        </w:rPr>
        <w:t>Magesh S</w:t>
      </w:r>
      <w:r w:rsidRPr="008021CD">
        <w:rPr>
          <w:rFonts w:ascii="Book Antiqua" w:eastAsia="Book Antiqua" w:hAnsi="Book Antiqua" w:cs="Book Antiqua"/>
          <w:color w:val="000000"/>
        </w:rPr>
        <w:t xml:space="preserve">, John D, Li WT, Li Y, Mattingly-App A, Jain S, Chang EY, </w:t>
      </w:r>
      <w:proofErr w:type="spellStart"/>
      <w:r w:rsidRPr="008021CD">
        <w:rPr>
          <w:rFonts w:ascii="Book Antiqua" w:eastAsia="Book Antiqua" w:hAnsi="Book Antiqua" w:cs="Book Antiqua"/>
          <w:color w:val="000000"/>
        </w:rPr>
        <w:t>Ongkeko</w:t>
      </w:r>
      <w:proofErr w:type="spellEnd"/>
      <w:r w:rsidRPr="008021CD">
        <w:rPr>
          <w:rFonts w:ascii="Book Antiqua" w:eastAsia="Book Antiqua" w:hAnsi="Book Antiqua" w:cs="Book Antiqua"/>
          <w:color w:val="000000"/>
        </w:rPr>
        <w:t xml:space="preserve"> WM. Disparities in COVID-19 Outcomes by Race, Ethnicity, and Socioeconomic Status: A Systematic-Review and Meta-analysis. </w:t>
      </w:r>
      <w:r w:rsidRPr="008021CD">
        <w:rPr>
          <w:rFonts w:ascii="Book Antiqua" w:eastAsia="Book Antiqua" w:hAnsi="Book Antiqua" w:cs="Book Antiqua"/>
          <w:i/>
          <w:iCs/>
          <w:color w:val="000000"/>
        </w:rPr>
        <w:t xml:space="preserve">JAMA </w:t>
      </w:r>
      <w:proofErr w:type="spellStart"/>
      <w:r w:rsidRPr="008021CD">
        <w:rPr>
          <w:rFonts w:ascii="Book Antiqua" w:eastAsia="Book Antiqua" w:hAnsi="Book Antiqua" w:cs="Book Antiqua"/>
          <w:i/>
          <w:iCs/>
          <w:color w:val="000000"/>
        </w:rPr>
        <w:t>Netw</w:t>
      </w:r>
      <w:proofErr w:type="spellEnd"/>
      <w:r w:rsidRPr="008021CD">
        <w:rPr>
          <w:rFonts w:ascii="Book Antiqua" w:eastAsia="Book Antiqua" w:hAnsi="Book Antiqua" w:cs="Book Antiqua"/>
          <w:i/>
          <w:iCs/>
          <w:color w:val="000000"/>
        </w:rPr>
        <w:t xml:space="preserve"> Open</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4</w:t>
      </w:r>
      <w:r w:rsidRPr="008021CD">
        <w:rPr>
          <w:rFonts w:ascii="Book Antiqua" w:eastAsia="Book Antiqua" w:hAnsi="Book Antiqua" w:cs="Book Antiqua"/>
          <w:color w:val="000000"/>
        </w:rPr>
        <w:t>: e2134147 [PMID: 34762110 DOI: 10.1001/jamanetworkopen.2021.34147]</w:t>
      </w:r>
    </w:p>
    <w:p w14:paraId="0577BCD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20 </w:t>
      </w:r>
      <w:proofErr w:type="spellStart"/>
      <w:r w:rsidRPr="008021CD">
        <w:rPr>
          <w:rFonts w:ascii="Book Antiqua" w:eastAsia="Book Antiqua" w:hAnsi="Book Antiqua" w:cs="Book Antiqua"/>
          <w:b/>
          <w:bCs/>
          <w:color w:val="000000"/>
        </w:rPr>
        <w:t>Bertoglio</w:t>
      </w:r>
      <w:proofErr w:type="spellEnd"/>
      <w:r w:rsidRPr="008021CD">
        <w:rPr>
          <w:rFonts w:ascii="Book Antiqua" w:eastAsia="Book Antiqua" w:hAnsi="Book Antiqua" w:cs="Book Antiqua"/>
          <w:b/>
          <w:bCs/>
          <w:color w:val="000000"/>
        </w:rPr>
        <w:t xml:space="preserve"> IM</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Valim</w:t>
      </w:r>
      <w:proofErr w:type="spellEnd"/>
      <w:r w:rsidRPr="008021CD">
        <w:rPr>
          <w:rFonts w:ascii="Book Antiqua" w:eastAsia="Book Antiqua" w:hAnsi="Book Antiqua" w:cs="Book Antiqua"/>
          <w:color w:val="000000"/>
        </w:rPr>
        <w:t xml:space="preserve"> JML, </w:t>
      </w:r>
      <w:proofErr w:type="spellStart"/>
      <w:r w:rsidRPr="008021CD">
        <w:rPr>
          <w:rFonts w:ascii="Book Antiqua" w:eastAsia="Book Antiqua" w:hAnsi="Book Antiqua" w:cs="Book Antiqua"/>
          <w:color w:val="000000"/>
        </w:rPr>
        <w:t>Daffre</w:t>
      </w:r>
      <w:proofErr w:type="spellEnd"/>
      <w:r w:rsidRPr="008021CD">
        <w:rPr>
          <w:rFonts w:ascii="Book Antiqua" w:eastAsia="Book Antiqua" w:hAnsi="Book Antiqua" w:cs="Book Antiqua"/>
          <w:color w:val="000000"/>
        </w:rPr>
        <w:t xml:space="preserve"> D, </w:t>
      </w:r>
      <w:proofErr w:type="spellStart"/>
      <w:r w:rsidRPr="008021CD">
        <w:rPr>
          <w:rFonts w:ascii="Book Antiqua" w:eastAsia="Book Antiqua" w:hAnsi="Book Antiqua" w:cs="Book Antiqua"/>
          <w:color w:val="000000"/>
        </w:rPr>
        <w:t>Aikawa</w:t>
      </w:r>
      <w:proofErr w:type="spellEnd"/>
      <w:r w:rsidRPr="008021CD">
        <w:rPr>
          <w:rFonts w:ascii="Book Antiqua" w:eastAsia="Book Antiqua" w:hAnsi="Book Antiqua" w:cs="Book Antiqua"/>
          <w:color w:val="000000"/>
        </w:rPr>
        <w:t xml:space="preserve"> NE, Silva CA, </w:t>
      </w:r>
      <w:proofErr w:type="spellStart"/>
      <w:r w:rsidRPr="008021CD">
        <w:rPr>
          <w:rFonts w:ascii="Book Antiqua" w:eastAsia="Book Antiqua" w:hAnsi="Book Antiqua" w:cs="Book Antiqua"/>
          <w:color w:val="000000"/>
        </w:rPr>
        <w:t>Bonfá</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Ugolini</w:t>
      </w:r>
      <w:proofErr w:type="spellEnd"/>
      <w:r w:rsidRPr="008021CD">
        <w:rPr>
          <w:rFonts w:ascii="Book Antiqua" w:eastAsia="Book Antiqua" w:hAnsi="Book Antiqua" w:cs="Book Antiqua"/>
          <w:color w:val="000000"/>
        </w:rPr>
        <w:t xml:space="preserve">-Lopes MR. Poor Prognosis of COVID-19 </w:t>
      </w:r>
      <w:proofErr w:type="gramStart"/>
      <w:r w:rsidRPr="008021CD">
        <w:rPr>
          <w:rFonts w:ascii="Book Antiqua" w:eastAsia="Book Antiqua" w:hAnsi="Book Antiqua" w:cs="Book Antiqua"/>
          <w:color w:val="000000"/>
        </w:rPr>
        <w:t>Acute Respiratory Distress Syndrome</w:t>
      </w:r>
      <w:proofErr w:type="gramEnd"/>
      <w:r w:rsidRPr="008021CD">
        <w:rPr>
          <w:rFonts w:ascii="Book Antiqua" w:eastAsia="Book Antiqua" w:hAnsi="Book Antiqua" w:cs="Book Antiqua"/>
          <w:color w:val="000000"/>
        </w:rPr>
        <w:t xml:space="preserve"> in Lupus Erythematosus: Nationwide Cross-Sectional Population Study Of 252</w:t>
      </w:r>
      <w:r w:rsidRPr="008021CD">
        <w:rPr>
          <w:rFonts w:ascii="MS Gothic" w:eastAsia="MS Gothic" w:hAnsi="MS Gothic" w:cs="MS Gothic" w:hint="eastAsia"/>
          <w:color w:val="000000"/>
        </w:rPr>
        <w:t> </w:t>
      </w:r>
      <w:r w:rsidRPr="008021CD">
        <w:rPr>
          <w:rFonts w:ascii="Book Antiqua" w:eastAsia="Book Antiqua" w:hAnsi="Book Antiqua" w:cs="Book Antiqua"/>
          <w:color w:val="000000"/>
        </w:rPr>
        <w:t xml:space="preserve">119 Patients. </w:t>
      </w:r>
      <w:r w:rsidRPr="008021CD">
        <w:rPr>
          <w:rFonts w:ascii="Book Antiqua" w:eastAsia="Book Antiqua" w:hAnsi="Book Antiqua" w:cs="Book Antiqua"/>
          <w:i/>
          <w:iCs/>
          <w:color w:val="000000"/>
        </w:rPr>
        <w:t xml:space="preserve">ACR Open </w:t>
      </w:r>
      <w:proofErr w:type="spellStart"/>
      <w:r w:rsidRPr="008021CD">
        <w:rPr>
          <w:rFonts w:ascii="Book Antiqua" w:eastAsia="Book Antiqua" w:hAnsi="Book Antiqua" w:cs="Book Antiqua"/>
          <w:i/>
          <w:iCs/>
          <w:color w:val="000000"/>
        </w:rPr>
        <w:t>Rheumatol</w:t>
      </w:r>
      <w:proofErr w:type="spellEnd"/>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3</w:t>
      </w:r>
      <w:r w:rsidRPr="008021CD">
        <w:rPr>
          <w:rFonts w:ascii="Book Antiqua" w:eastAsia="Book Antiqua" w:hAnsi="Book Antiqua" w:cs="Book Antiqua"/>
          <w:color w:val="000000"/>
        </w:rPr>
        <w:t>: 804-811 [PMID: 34423922 DOI: 10.1002/acr2.11329]</w:t>
      </w:r>
    </w:p>
    <w:p w14:paraId="5D947E3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21 </w:t>
      </w:r>
      <w:r w:rsidRPr="008021CD">
        <w:rPr>
          <w:rFonts w:ascii="Book Antiqua" w:eastAsia="Book Antiqua" w:hAnsi="Book Antiqua" w:cs="Book Antiqua"/>
          <w:b/>
          <w:bCs/>
          <w:color w:val="000000"/>
        </w:rPr>
        <w:t>Wang F</w:t>
      </w:r>
      <w:r w:rsidRPr="008021CD">
        <w:rPr>
          <w:rFonts w:ascii="Book Antiqua" w:eastAsia="Book Antiqua" w:hAnsi="Book Antiqua" w:cs="Book Antiqua"/>
          <w:color w:val="000000"/>
        </w:rPr>
        <w:t xml:space="preserve">, Ma Y, Xu S, Liu H, Chen Y, Yang H, Shao M, Xu W, Kong J, Chen L, Xu S, Shuai Z, Pan F. </w:t>
      </w:r>
      <w:proofErr w:type="gramStart"/>
      <w:r w:rsidRPr="008021CD">
        <w:rPr>
          <w:rFonts w:ascii="Book Antiqua" w:eastAsia="Book Antiqua" w:hAnsi="Book Antiqua" w:cs="Book Antiqua"/>
          <w:color w:val="000000"/>
        </w:rPr>
        <w:t>Prevalence</w:t>
      </w:r>
      <w:proofErr w:type="gramEnd"/>
      <w:r w:rsidRPr="008021CD">
        <w:rPr>
          <w:rFonts w:ascii="Book Antiqua" w:eastAsia="Book Antiqua" w:hAnsi="Book Antiqua" w:cs="Book Antiqua"/>
          <w:color w:val="000000"/>
        </w:rPr>
        <w:t xml:space="preserve"> and risk of COVID-19 in patients with rheumatic diseases: a systematic review and meta-analysis. </w:t>
      </w:r>
      <w:r w:rsidRPr="008021CD">
        <w:rPr>
          <w:rFonts w:ascii="Book Antiqua" w:eastAsia="Book Antiqua" w:hAnsi="Book Antiqua" w:cs="Book Antiqua"/>
          <w:i/>
          <w:iCs/>
          <w:color w:val="000000"/>
        </w:rPr>
        <w:t xml:space="preserve">Clin </w:t>
      </w:r>
      <w:proofErr w:type="spellStart"/>
      <w:r w:rsidRPr="008021CD">
        <w:rPr>
          <w:rFonts w:ascii="Book Antiqua" w:eastAsia="Book Antiqua" w:hAnsi="Book Antiqua" w:cs="Book Antiqua"/>
          <w:i/>
          <w:iCs/>
          <w:color w:val="000000"/>
        </w:rPr>
        <w:t>Rheumatol</w:t>
      </w:r>
      <w:proofErr w:type="spellEnd"/>
      <w:r w:rsidRPr="008021CD">
        <w:rPr>
          <w:rFonts w:ascii="Book Antiqua" w:eastAsia="Book Antiqua" w:hAnsi="Book Antiqua" w:cs="Book Antiqua"/>
          <w:color w:val="000000"/>
        </w:rPr>
        <w:t xml:space="preserve"> 2022; </w:t>
      </w:r>
      <w:r w:rsidRPr="008021CD">
        <w:rPr>
          <w:rFonts w:ascii="Book Antiqua" w:eastAsia="Book Antiqua" w:hAnsi="Book Antiqua" w:cs="Book Antiqua"/>
          <w:b/>
          <w:bCs/>
          <w:color w:val="000000"/>
        </w:rPr>
        <w:t>41</w:t>
      </w:r>
      <w:r w:rsidRPr="008021CD">
        <w:rPr>
          <w:rFonts w:ascii="Book Antiqua" w:eastAsia="Book Antiqua" w:hAnsi="Book Antiqua" w:cs="Book Antiqua"/>
          <w:color w:val="000000"/>
        </w:rPr>
        <w:t>: 2213-2223 [PMID: 35352217 DOI: 10.1007/s10067-022-06087-1]</w:t>
      </w:r>
    </w:p>
    <w:p w14:paraId="24BBC6D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22 </w:t>
      </w:r>
      <w:r w:rsidRPr="008021CD">
        <w:rPr>
          <w:rFonts w:ascii="Book Antiqua" w:eastAsia="Book Antiqua" w:hAnsi="Book Antiqua" w:cs="Book Antiqua"/>
          <w:b/>
          <w:bCs/>
          <w:color w:val="000000"/>
        </w:rPr>
        <w:t>Madhu D</w:t>
      </w:r>
      <w:r w:rsidRPr="008021CD">
        <w:rPr>
          <w:rFonts w:ascii="Book Antiqua" w:eastAsia="Book Antiqua" w:hAnsi="Book Antiqua" w:cs="Book Antiqua"/>
          <w:color w:val="000000"/>
        </w:rPr>
        <w:t xml:space="preserve">, Sharma S, Agarwal A, </w:t>
      </w:r>
      <w:proofErr w:type="spellStart"/>
      <w:r w:rsidRPr="008021CD">
        <w:rPr>
          <w:rFonts w:ascii="Book Antiqua" w:eastAsia="Book Antiqua" w:hAnsi="Book Antiqua" w:cs="Book Antiqua"/>
          <w:color w:val="000000"/>
        </w:rPr>
        <w:t>Saraya</w:t>
      </w:r>
      <w:proofErr w:type="spellEnd"/>
      <w:r w:rsidRPr="008021CD">
        <w:rPr>
          <w:rFonts w:ascii="Book Antiqua" w:eastAsia="Book Antiqua" w:hAnsi="Book Antiqua" w:cs="Book Antiqua"/>
          <w:color w:val="000000"/>
        </w:rPr>
        <w:t xml:space="preserve"> A. Special Considerations in the Management of Autoimmune Hepatitis in COVID-19 Hotspots: A Review. </w:t>
      </w:r>
      <w:r w:rsidRPr="008021CD">
        <w:rPr>
          <w:rFonts w:ascii="Book Antiqua" w:eastAsia="Book Antiqua" w:hAnsi="Book Antiqua" w:cs="Book Antiqua"/>
          <w:i/>
          <w:iCs/>
          <w:color w:val="000000"/>
        </w:rPr>
        <w:t xml:space="preserve">J Clin </w:t>
      </w:r>
      <w:proofErr w:type="spellStart"/>
      <w:r w:rsidRPr="008021CD">
        <w:rPr>
          <w:rFonts w:ascii="Book Antiqua" w:eastAsia="Book Antiqua" w:hAnsi="Book Antiqua" w:cs="Book Antiqua"/>
          <w:i/>
          <w:iCs/>
          <w:color w:val="000000"/>
        </w:rPr>
        <w:t>Transl</w:t>
      </w:r>
      <w:proofErr w:type="spellEnd"/>
      <w:r w:rsidRPr="008021CD">
        <w:rPr>
          <w:rFonts w:ascii="Book Antiqua" w:eastAsia="Book Antiqua" w:hAnsi="Book Antiqua" w:cs="Book Antiqua"/>
          <w:i/>
          <w:iCs/>
          <w:color w:val="000000"/>
        </w:rPr>
        <w:t xml:space="preserve"> Hepatol</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9</w:t>
      </w:r>
      <w:r w:rsidRPr="008021CD">
        <w:rPr>
          <w:rFonts w:ascii="Book Antiqua" w:eastAsia="Book Antiqua" w:hAnsi="Book Antiqua" w:cs="Book Antiqua"/>
          <w:color w:val="000000"/>
        </w:rPr>
        <w:t>: 568-575 [PMID: 34447687 DOI: 10.14218/JCTH.2021.00001]</w:t>
      </w:r>
    </w:p>
    <w:p w14:paraId="52C840C2"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23 </w:t>
      </w:r>
      <w:proofErr w:type="spellStart"/>
      <w:r w:rsidRPr="008021CD">
        <w:rPr>
          <w:rFonts w:ascii="Book Antiqua" w:eastAsia="Book Antiqua" w:hAnsi="Book Antiqua" w:cs="Book Antiqua"/>
          <w:b/>
          <w:bCs/>
          <w:color w:val="000000"/>
        </w:rPr>
        <w:t>Monreal</w:t>
      </w:r>
      <w:proofErr w:type="spellEnd"/>
      <w:r w:rsidRPr="008021CD">
        <w:rPr>
          <w:rFonts w:ascii="Book Antiqua" w:eastAsia="Book Antiqua" w:hAnsi="Book Antiqua" w:cs="Book Antiqua"/>
          <w:b/>
          <w:bCs/>
          <w:color w:val="000000"/>
        </w:rPr>
        <w:t xml:space="preserve"> E</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Maza</w:t>
      </w:r>
      <w:proofErr w:type="spellEnd"/>
      <w:r w:rsidRPr="008021CD">
        <w:rPr>
          <w:rFonts w:ascii="Book Antiqua" w:eastAsia="Book Antiqua" w:hAnsi="Book Antiqua" w:cs="Book Antiqua"/>
          <w:color w:val="000000"/>
        </w:rPr>
        <w:t xml:space="preserve"> S </w:t>
      </w:r>
      <w:proofErr w:type="spellStart"/>
      <w:r w:rsidRPr="008021CD">
        <w:rPr>
          <w:rFonts w:ascii="Book Antiqua" w:eastAsia="Book Antiqua" w:hAnsi="Book Antiqua" w:cs="Book Antiqua"/>
          <w:color w:val="000000"/>
        </w:rPr>
        <w:t>S</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Gullón</w:t>
      </w:r>
      <w:proofErr w:type="spellEnd"/>
      <w:r w:rsidRPr="008021CD">
        <w:rPr>
          <w:rFonts w:ascii="Book Antiqua" w:eastAsia="Book Antiqua" w:hAnsi="Book Antiqua" w:cs="Book Antiqua"/>
          <w:color w:val="000000"/>
        </w:rPr>
        <w:t xml:space="preserve"> P, </w:t>
      </w:r>
      <w:proofErr w:type="spellStart"/>
      <w:r w:rsidRPr="008021CD">
        <w:rPr>
          <w:rFonts w:ascii="Book Antiqua" w:eastAsia="Book Antiqua" w:hAnsi="Book Antiqua" w:cs="Book Antiqua"/>
          <w:color w:val="000000"/>
        </w:rPr>
        <w:t>Natera-Villalba</w:t>
      </w:r>
      <w:proofErr w:type="spellEnd"/>
      <w:r w:rsidRPr="008021CD">
        <w:rPr>
          <w:rFonts w:ascii="Book Antiqua" w:eastAsia="Book Antiqua" w:hAnsi="Book Antiqua" w:cs="Book Antiqua"/>
          <w:color w:val="000000"/>
        </w:rPr>
        <w:t xml:space="preserve"> E, Chico-García JL, </w:t>
      </w:r>
      <w:proofErr w:type="spellStart"/>
      <w:r w:rsidRPr="008021CD">
        <w:rPr>
          <w:rFonts w:ascii="Book Antiqua" w:eastAsia="Book Antiqua" w:hAnsi="Book Antiqua" w:cs="Book Antiqua"/>
          <w:color w:val="000000"/>
        </w:rPr>
        <w:t>Beltrán-Corbellini</w:t>
      </w:r>
      <w:proofErr w:type="spellEnd"/>
      <w:r w:rsidRPr="008021CD">
        <w:rPr>
          <w:rFonts w:ascii="Book Antiqua" w:eastAsia="Book Antiqua" w:hAnsi="Book Antiqua" w:cs="Book Antiqua"/>
          <w:color w:val="000000"/>
        </w:rPr>
        <w:t xml:space="preserve"> Á, Martínez-Sanz J, García-</w:t>
      </w:r>
      <w:proofErr w:type="spellStart"/>
      <w:r w:rsidRPr="008021CD">
        <w:rPr>
          <w:rFonts w:ascii="Book Antiqua" w:eastAsia="Book Antiqua" w:hAnsi="Book Antiqua" w:cs="Book Antiqua"/>
          <w:color w:val="000000"/>
        </w:rPr>
        <w:t>Barragán</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Buisán</w:t>
      </w:r>
      <w:proofErr w:type="spellEnd"/>
      <w:r w:rsidRPr="008021CD">
        <w:rPr>
          <w:rFonts w:ascii="Book Antiqua" w:eastAsia="Book Antiqua" w:hAnsi="Book Antiqua" w:cs="Book Antiqua"/>
          <w:color w:val="000000"/>
        </w:rPr>
        <w:t xml:space="preserve"> J, Toledano R, Alonso-Canovas A, Pérez-Torre P, </w:t>
      </w:r>
      <w:proofErr w:type="spellStart"/>
      <w:r w:rsidRPr="008021CD">
        <w:rPr>
          <w:rFonts w:ascii="Book Antiqua" w:eastAsia="Book Antiqua" w:hAnsi="Book Antiqua" w:cs="Book Antiqua"/>
          <w:color w:val="000000"/>
        </w:rPr>
        <w:t>Matute</w:t>
      </w:r>
      <w:proofErr w:type="spellEnd"/>
      <w:r w:rsidRPr="008021CD">
        <w:rPr>
          <w:rFonts w:ascii="Book Antiqua" w:eastAsia="Book Antiqua" w:hAnsi="Book Antiqua" w:cs="Book Antiqua"/>
          <w:color w:val="000000"/>
        </w:rPr>
        <w:t>-Lozano MC, López-</w:t>
      </w:r>
      <w:proofErr w:type="spellStart"/>
      <w:r w:rsidRPr="008021CD">
        <w:rPr>
          <w:rFonts w:ascii="Book Antiqua" w:eastAsia="Book Antiqua" w:hAnsi="Book Antiqua" w:cs="Book Antiqua"/>
          <w:color w:val="000000"/>
        </w:rPr>
        <w:t>Sendón</w:t>
      </w:r>
      <w:proofErr w:type="spellEnd"/>
      <w:r w:rsidRPr="008021CD">
        <w:rPr>
          <w:rFonts w:ascii="Book Antiqua" w:eastAsia="Book Antiqua" w:hAnsi="Book Antiqua" w:cs="Book Antiqua"/>
          <w:color w:val="000000"/>
        </w:rPr>
        <w:t xml:space="preserve"> JL, García-</w:t>
      </w:r>
      <w:proofErr w:type="spellStart"/>
      <w:r w:rsidRPr="008021CD">
        <w:rPr>
          <w:rFonts w:ascii="Book Antiqua" w:eastAsia="Book Antiqua" w:hAnsi="Book Antiqua" w:cs="Book Antiqua"/>
          <w:color w:val="000000"/>
        </w:rPr>
        <w:t>Ribas</w:t>
      </w:r>
      <w:proofErr w:type="spellEnd"/>
      <w:r w:rsidRPr="008021CD">
        <w:rPr>
          <w:rFonts w:ascii="Book Antiqua" w:eastAsia="Book Antiqua" w:hAnsi="Book Antiqua" w:cs="Book Antiqua"/>
          <w:color w:val="000000"/>
        </w:rPr>
        <w:t xml:space="preserve"> G, Corral Í, </w:t>
      </w:r>
      <w:proofErr w:type="spellStart"/>
      <w:r w:rsidRPr="008021CD">
        <w:rPr>
          <w:rFonts w:ascii="Book Antiqua" w:eastAsia="Book Antiqua" w:hAnsi="Book Antiqua" w:cs="Book Antiqua"/>
          <w:color w:val="000000"/>
        </w:rPr>
        <w:t>Fortún</w:t>
      </w:r>
      <w:proofErr w:type="spellEnd"/>
      <w:r w:rsidRPr="008021CD">
        <w:rPr>
          <w:rFonts w:ascii="Book Antiqua" w:eastAsia="Book Antiqua" w:hAnsi="Book Antiqua" w:cs="Book Antiqua"/>
          <w:color w:val="000000"/>
        </w:rPr>
        <w:t xml:space="preserve"> J, </w:t>
      </w:r>
      <w:r w:rsidRPr="008021CD">
        <w:rPr>
          <w:rFonts w:ascii="Book Antiqua" w:eastAsia="Book Antiqua" w:hAnsi="Book Antiqua" w:cs="Book Antiqua"/>
          <w:color w:val="000000"/>
        </w:rPr>
        <w:lastRenderedPageBreak/>
        <w:t>Montero-</w:t>
      </w:r>
      <w:proofErr w:type="spellStart"/>
      <w:r w:rsidRPr="008021CD">
        <w:rPr>
          <w:rFonts w:ascii="Book Antiqua" w:eastAsia="Book Antiqua" w:hAnsi="Book Antiqua" w:cs="Book Antiqua"/>
          <w:color w:val="000000"/>
        </w:rPr>
        <w:t>Errasquín</w:t>
      </w:r>
      <w:proofErr w:type="spellEnd"/>
      <w:r w:rsidRPr="008021CD">
        <w:rPr>
          <w:rFonts w:ascii="Book Antiqua" w:eastAsia="Book Antiqua" w:hAnsi="Book Antiqua" w:cs="Book Antiqua"/>
          <w:color w:val="000000"/>
        </w:rPr>
        <w:t xml:space="preserve"> B, Manzano L, </w:t>
      </w:r>
      <w:proofErr w:type="spellStart"/>
      <w:r w:rsidRPr="008021CD">
        <w:rPr>
          <w:rFonts w:ascii="Book Antiqua" w:eastAsia="Book Antiqua" w:hAnsi="Book Antiqua" w:cs="Book Antiqua"/>
          <w:color w:val="000000"/>
        </w:rPr>
        <w:t>Máiz-Carro</w:t>
      </w:r>
      <w:proofErr w:type="spellEnd"/>
      <w:r w:rsidRPr="008021CD">
        <w:rPr>
          <w:rFonts w:ascii="Book Antiqua" w:eastAsia="Book Antiqua" w:hAnsi="Book Antiqua" w:cs="Book Antiqua"/>
          <w:color w:val="000000"/>
        </w:rPr>
        <w:t xml:space="preserve"> L, Costa-</w:t>
      </w:r>
      <w:proofErr w:type="spellStart"/>
      <w:r w:rsidRPr="008021CD">
        <w:rPr>
          <w:rFonts w:ascii="Book Antiqua" w:eastAsia="Book Antiqua" w:hAnsi="Book Antiqua" w:cs="Book Antiqua"/>
          <w:color w:val="000000"/>
        </w:rPr>
        <w:t>Frossard</w:t>
      </w:r>
      <w:proofErr w:type="spellEnd"/>
      <w:r w:rsidRPr="008021CD">
        <w:rPr>
          <w:rFonts w:ascii="Book Antiqua" w:eastAsia="Book Antiqua" w:hAnsi="Book Antiqua" w:cs="Book Antiqua"/>
          <w:color w:val="000000"/>
        </w:rPr>
        <w:t xml:space="preserve"> L, </w:t>
      </w:r>
      <w:proofErr w:type="spellStart"/>
      <w:r w:rsidRPr="008021CD">
        <w:rPr>
          <w:rFonts w:ascii="Book Antiqua" w:eastAsia="Book Antiqua" w:hAnsi="Book Antiqua" w:cs="Book Antiqua"/>
          <w:color w:val="000000"/>
        </w:rPr>
        <w:t>Masjuan</w:t>
      </w:r>
      <w:proofErr w:type="spellEnd"/>
      <w:r w:rsidRPr="008021CD">
        <w:rPr>
          <w:rFonts w:ascii="Book Antiqua" w:eastAsia="Book Antiqua" w:hAnsi="Book Antiqua" w:cs="Book Antiqua"/>
          <w:color w:val="000000"/>
        </w:rPr>
        <w:t xml:space="preserve"> J; COVID-HRC Group. Non-severe immunosuppression might be associated with a lower risk of moderate-severe acute respiratory distress syndrome in COVID-19: A pilot study. </w:t>
      </w:r>
      <w:r w:rsidRPr="008021CD">
        <w:rPr>
          <w:rFonts w:ascii="Book Antiqua" w:eastAsia="Book Antiqua" w:hAnsi="Book Antiqua" w:cs="Book Antiqua"/>
          <w:i/>
          <w:iCs/>
          <w:color w:val="000000"/>
        </w:rPr>
        <w:t xml:space="preserve">J Med </w:t>
      </w:r>
      <w:proofErr w:type="spellStart"/>
      <w:r w:rsidRPr="008021CD">
        <w:rPr>
          <w:rFonts w:ascii="Book Antiqua" w:eastAsia="Book Antiqua" w:hAnsi="Book Antiqua" w:cs="Book Antiqua"/>
          <w:i/>
          <w:iCs/>
          <w:color w:val="000000"/>
        </w:rPr>
        <w:t>Virol</w:t>
      </w:r>
      <w:proofErr w:type="spellEnd"/>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93</w:t>
      </w:r>
      <w:r w:rsidRPr="008021CD">
        <w:rPr>
          <w:rFonts w:ascii="Book Antiqua" w:eastAsia="Book Antiqua" w:hAnsi="Book Antiqua" w:cs="Book Antiqua"/>
          <w:color w:val="000000"/>
        </w:rPr>
        <w:t>: 2243-2251 [PMID: 33165922 DOI: 10.1002/jmv.26656]</w:t>
      </w:r>
    </w:p>
    <w:p w14:paraId="676928B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24 </w:t>
      </w:r>
      <w:proofErr w:type="spellStart"/>
      <w:r w:rsidRPr="008021CD">
        <w:rPr>
          <w:rFonts w:ascii="Book Antiqua" w:eastAsia="Book Antiqua" w:hAnsi="Book Antiqua" w:cs="Book Antiqua"/>
          <w:b/>
          <w:bCs/>
          <w:color w:val="000000"/>
        </w:rPr>
        <w:t>Efe</w:t>
      </w:r>
      <w:proofErr w:type="spellEnd"/>
      <w:r w:rsidRPr="008021CD">
        <w:rPr>
          <w:rFonts w:ascii="Book Antiqua" w:eastAsia="Book Antiqua" w:hAnsi="Book Antiqua" w:cs="Book Antiqua"/>
          <w:b/>
          <w:bCs/>
          <w:color w:val="000000"/>
        </w:rPr>
        <w:t xml:space="preserve"> C</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Lammert</w:t>
      </w:r>
      <w:proofErr w:type="spellEnd"/>
      <w:r w:rsidRPr="008021CD">
        <w:rPr>
          <w:rFonts w:ascii="Book Antiqua" w:eastAsia="Book Antiqua" w:hAnsi="Book Antiqua" w:cs="Book Antiqua"/>
          <w:color w:val="000000"/>
        </w:rPr>
        <w:t xml:space="preserve"> C, </w:t>
      </w:r>
      <w:proofErr w:type="spellStart"/>
      <w:r w:rsidRPr="008021CD">
        <w:rPr>
          <w:rFonts w:ascii="Book Antiqua" w:eastAsia="Book Antiqua" w:hAnsi="Book Antiqua" w:cs="Book Antiqua"/>
          <w:color w:val="000000"/>
        </w:rPr>
        <w:t>Taşçılar</w:t>
      </w:r>
      <w:proofErr w:type="spellEnd"/>
      <w:r w:rsidRPr="008021CD">
        <w:rPr>
          <w:rFonts w:ascii="Book Antiqua" w:eastAsia="Book Antiqua" w:hAnsi="Book Antiqua" w:cs="Book Antiqua"/>
          <w:color w:val="000000"/>
        </w:rPr>
        <w:t xml:space="preserve"> K, </w:t>
      </w:r>
      <w:proofErr w:type="spellStart"/>
      <w:r w:rsidRPr="008021CD">
        <w:rPr>
          <w:rFonts w:ascii="Book Antiqua" w:eastAsia="Book Antiqua" w:hAnsi="Book Antiqua" w:cs="Book Antiqua"/>
          <w:color w:val="000000"/>
        </w:rPr>
        <w:t>Dhanasekaran</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Ebik</w:t>
      </w:r>
      <w:proofErr w:type="spellEnd"/>
      <w:r w:rsidRPr="008021CD">
        <w:rPr>
          <w:rFonts w:ascii="Book Antiqua" w:eastAsia="Book Antiqua" w:hAnsi="Book Antiqua" w:cs="Book Antiqua"/>
          <w:color w:val="000000"/>
        </w:rPr>
        <w:t xml:space="preserve"> B, Higuera-de la </w:t>
      </w:r>
      <w:proofErr w:type="spellStart"/>
      <w:r w:rsidRPr="008021CD">
        <w:rPr>
          <w:rFonts w:ascii="Book Antiqua" w:eastAsia="Book Antiqua" w:hAnsi="Book Antiqua" w:cs="Book Antiqua"/>
          <w:color w:val="000000"/>
        </w:rPr>
        <w:t>Tijera</w:t>
      </w:r>
      <w:proofErr w:type="spellEnd"/>
      <w:r w:rsidRPr="008021CD">
        <w:rPr>
          <w:rFonts w:ascii="Book Antiqua" w:eastAsia="Book Antiqua" w:hAnsi="Book Antiqua" w:cs="Book Antiqua"/>
          <w:color w:val="000000"/>
        </w:rPr>
        <w:t xml:space="preserve"> F, </w:t>
      </w:r>
      <w:proofErr w:type="spellStart"/>
      <w:r w:rsidRPr="008021CD">
        <w:rPr>
          <w:rFonts w:ascii="Book Antiqua" w:eastAsia="Book Antiqua" w:hAnsi="Book Antiqua" w:cs="Book Antiqua"/>
          <w:color w:val="000000"/>
        </w:rPr>
        <w:t>Calışkan</w:t>
      </w:r>
      <w:proofErr w:type="spellEnd"/>
      <w:r w:rsidRPr="008021CD">
        <w:rPr>
          <w:rFonts w:ascii="Book Antiqua" w:eastAsia="Book Antiqua" w:hAnsi="Book Antiqua" w:cs="Book Antiqua"/>
          <w:color w:val="000000"/>
        </w:rPr>
        <w:t xml:space="preserve"> AR, Peralta M, </w:t>
      </w:r>
      <w:proofErr w:type="spellStart"/>
      <w:r w:rsidRPr="008021CD">
        <w:rPr>
          <w:rFonts w:ascii="Book Antiqua" w:eastAsia="Book Antiqua" w:hAnsi="Book Antiqua" w:cs="Book Antiqua"/>
          <w:color w:val="000000"/>
        </w:rPr>
        <w:t>Gerussi</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Massoumi</w:t>
      </w:r>
      <w:proofErr w:type="spellEnd"/>
      <w:r w:rsidRPr="008021CD">
        <w:rPr>
          <w:rFonts w:ascii="Book Antiqua" w:eastAsia="Book Antiqua" w:hAnsi="Book Antiqua" w:cs="Book Antiqua"/>
          <w:color w:val="000000"/>
        </w:rPr>
        <w:t xml:space="preserve"> H, </w:t>
      </w:r>
      <w:proofErr w:type="spellStart"/>
      <w:r w:rsidRPr="008021CD">
        <w:rPr>
          <w:rFonts w:ascii="Book Antiqua" w:eastAsia="Book Antiqua" w:hAnsi="Book Antiqua" w:cs="Book Antiqua"/>
          <w:color w:val="000000"/>
        </w:rPr>
        <w:t>Catana</w:t>
      </w:r>
      <w:proofErr w:type="spellEnd"/>
      <w:r w:rsidRPr="008021CD">
        <w:rPr>
          <w:rFonts w:ascii="Book Antiqua" w:eastAsia="Book Antiqua" w:hAnsi="Book Antiqua" w:cs="Book Antiqua"/>
          <w:color w:val="000000"/>
        </w:rPr>
        <w:t xml:space="preserve"> AM, </w:t>
      </w:r>
      <w:proofErr w:type="spellStart"/>
      <w:r w:rsidRPr="008021CD">
        <w:rPr>
          <w:rFonts w:ascii="Book Antiqua" w:eastAsia="Book Antiqua" w:hAnsi="Book Antiqua" w:cs="Book Antiqua"/>
          <w:color w:val="000000"/>
        </w:rPr>
        <w:t>Purnak</w:t>
      </w:r>
      <w:proofErr w:type="spellEnd"/>
      <w:r w:rsidRPr="008021CD">
        <w:rPr>
          <w:rFonts w:ascii="Book Antiqua" w:eastAsia="Book Antiqua" w:hAnsi="Book Antiqua" w:cs="Book Antiqua"/>
          <w:color w:val="000000"/>
        </w:rPr>
        <w:t xml:space="preserve"> T, </w:t>
      </w:r>
      <w:proofErr w:type="spellStart"/>
      <w:r w:rsidRPr="008021CD">
        <w:rPr>
          <w:rFonts w:ascii="Book Antiqua" w:eastAsia="Book Antiqua" w:hAnsi="Book Antiqua" w:cs="Book Antiqua"/>
          <w:color w:val="000000"/>
        </w:rPr>
        <w:t>Rigamonti</w:t>
      </w:r>
      <w:proofErr w:type="spellEnd"/>
      <w:r w:rsidRPr="008021CD">
        <w:rPr>
          <w:rFonts w:ascii="Book Antiqua" w:eastAsia="Book Antiqua" w:hAnsi="Book Antiqua" w:cs="Book Antiqua"/>
          <w:color w:val="000000"/>
        </w:rPr>
        <w:t xml:space="preserve"> C, Aldana AJG, </w:t>
      </w:r>
      <w:proofErr w:type="spellStart"/>
      <w:r w:rsidRPr="008021CD">
        <w:rPr>
          <w:rFonts w:ascii="Book Antiqua" w:eastAsia="Book Antiqua" w:hAnsi="Book Antiqua" w:cs="Book Antiqua"/>
          <w:color w:val="000000"/>
        </w:rPr>
        <w:t>Khakoo</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Nazal</w:t>
      </w:r>
      <w:proofErr w:type="spellEnd"/>
      <w:r w:rsidRPr="008021CD">
        <w:rPr>
          <w:rFonts w:ascii="Book Antiqua" w:eastAsia="Book Antiqua" w:hAnsi="Book Antiqua" w:cs="Book Antiqua"/>
          <w:color w:val="000000"/>
        </w:rPr>
        <w:t xml:space="preserve"> L, Frager S, Demir N, </w:t>
      </w:r>
      <w:proofErr w:type="spellStart"/>
      <w:r w:rsidRPr="008021CD">
        <w:rPr>
          <w:rFonts w:ascii="Book Antiqua" w:eastAsia="Book Antiqua" w:hAnsi="Book Antiqua" w:cs="Book Antiqua"/>
          <w:color w:val="000000"/>
        </w:rPr>
        <w:t>Irak</w:t>
      </w:r>
      <w:proofErr w:type="spellEnd"/>
      <w:r w:rsidRPr="008021CD">
        <w:rPr>
          <w:rFonts w:ascii="Book Antiqua" w:eastAsia="Book Antiqua" w:hAnsi="Book Antiqua" w:cs="Book Antiqua"/>
          <w:color w:val="000000"/>
        </w:rPr>
        <w:t xml:space="preserve"> K, </w:t>
      </w:r>
      <w:proofErr w:type="spellStart"/>
      <w:r w:rsidRPr="008021CD">
        <w:rPr>
          <w:rFonts w:ascii="Book Antiqua" w:eastAsia="Book Antiqua" w:hAnsi="Book Antiqua" w:cs="Book Antiqua"/>
          <w:color w:val="000000"/>
        </w:rPr>
        <w:t>Melekoğlu-Ellik</w:t>
      </w:r>
      <w:proofErr w:type="spellEnd"/>
      <w:r w:rsidRPr="008021CD">
        <w:rPr>
          <w:rFonts w:ascii="Book Antiqua" w:eastAsia="Book Antiqua" w:hAnsi="Book Antiqua" w:cs="Book Antiqua"/>
          <w:color w:val="000000"/>
        </w:rPr>
        <w:t xml:space="preserve"> Z, </w:t>
      </w:r>
      <w:proofErr w:type="spellStart"/>
      <w:r w:rsidRPr="008021CD">
        <w:rPr>
          <w:rFonts w:ascii="Book Antiqua" w:eastAsia="Book Antiqua" w:hAnsi="Book Antiqua" w:cs="Book Antiqua"/>
          <w:color w:val="000000"/>
        </w:rPr>
        <w:t>Kacmaz</w:t>
      </w:r>
      <w:proofErr w:type="spellEnd"/>
      <w:r w:rsidRPr="008021CD">
        <w:rPr>
          <w:rFonts w:ascii="Book Antiqua" w:eastAsia="Book Antiqua" w:hAnsi="Book Antiqua" w:cs="Book Antiqua"/>
          <w:color w:val="000000"/>
        </w:rPr>
        <w:t xml:space="preserve"> H, Balaban Y, </w:t>
      </w:r>
      <w:proofErr w:type="spellStart"/>
      <w:r w:rsidRPr="008021CD">
        <w:rPr>
          <w:rFonts w:ascii="Book Antiqua" w:eastAsia="Book Antiqua" w:hAnsi="Book Antiqua" w:cs="Book Antiqua"/>
          <w:color w:val="000000"/>
        </w:rPr>
        <w:t>Atay</w:t>
      </w:r>
      <w:proofErr w:type="spellEnd"/>
      <w:r w:rsidRPr="008021CD">
        <w:rPr>
          <w:rFonts w:ascii="Book Antiqua" w:eastAsia="Book Antiqua" w:hAnsi="Book Antiqua" w:cs="Book Antiqua"/>
          <w:color w:val="000000"/>
        </w:rPr>
        <w:t xml:space="preserve"> K, </w:t>
      </w:r>
      <w:proofErr w:type="spellStart"/>
      <w:r w:rsidRPr="008021CD">
        <w:rPr>
          <w:rFonts w:ascii="Book Antiqua" w:eastAsia="Book Antiqua" w:hAnsi="Book Antiqua" w:cs="Book Antiqua"/>
          <w:color w:val="000000"/>
        </w:rPr>
        <w:t>Eren</w:t>
      </w:r>
      <w:proofErr w:type="spellEnd"/>
      <w:r w:rsidRPr="008021CD">
        <w:rPr>
          <w:rFonts w:ascii="Book Antiqua" w:eastAsia="Book Antiqua" w:hAnsi="Book Antiqua" w:cs="Book Antiqua"/>
          <w:color w:val="000000"/>
        </w:rPr>
        <w:t xml:space="preserve"> F, </w:t>
      </w:r>
      <w:proofErr w:type="spellStart"/>
      <w:r w:rsidRPr="008021CD">
        <w:rPr>
          <w:rFonts w:ascii="Book Antiqua" w:eastAsia="Book Antiqua" w:hAnsi="Book Antiqua" w:cs="Book Antiqua"/>
          <w:color w:val="000000"/>
        </w:rPr>
        <w:t>Alvares</w:t>
      </w:r>
      <w:proofErr w:type="spellEnd"/>
      <w:r w:rsidRPr="008021CD">
        <w:rPr>
          <w:rFonts w:ascii="Book Antiqua" w:eastAsia="Book Antiqua" w:hAnsi="Book Antiqua" w:cs="Book Antiqua"/>
          <w:color w:val="000000"/>
        </w:rPr>
        <w:t xml:space="preserve">-da-Silva MR, </w:t>
      </w:r>
      <w:proofErr w:type="spellStart"/>
      <w:r w:rsidRPr="008021CD">
        <w:rPr>
          <w:rFonts w:ascii="Book Antiqua" w:eastAsia="Book Antiqua" w:hAnsi="Book Antiqua" w:cs="Book Antiqua"/>
          <w:color w:val="000000"/>
        </w:rPr>
        <w:t>Cristoferi</w:t>
      </w:r>
      <w:proofErr w:type="spellEnd"/>
      <w:r w:rsidRPr="008021CD">
        <w:rPr>
          <w:rFonts w:ascii="Book Antiqua" w:eastAsia="Book Antiqua" w:hAnsi="Book Antiqua" w:cs="Book Antiqua"/>
          <w:color w:val="000000"/>
        </w:rPr>
        <w:t xml:space="preserve"> L, </w:t>
      </w:r>
      <w:proofErr w:type="spellStart"/>
      <w:r w:rsidRPr="008021CD">
        <w:rPr>
          <w:rFonts w:ascii="Book Antiqua" w:eastAsia="Book Antiqua" w:hAnsi="Book Antiqua" w:cs="Book Antiqua"/>
          <w:color w:val="000000"/>
        </w:rPr>
        <w:t>Urzua</w:t>
      </w:r>
      <w:proofErr w:type="spellEnd"/>
      <w:r w:rsidRPr="008021CD">
        <w:rPr>
          <w:rFonts w:ascii="Book Antiqua" w:eastAsia="Book Antiqua" w:hAnsi="Book Antiqua" w:cs="Book Antiqua"/>
          <w:color w:val="000000"/>
        </w:rPr>
        <w:t xml:space="preserve"> Á, </w:t>
      </w:r>
      <w:proofErr w:type="spellStart"/>
      <w:r w:rsidRPr="008021CD">
        <w:rPr>
          <w:rFonts w:ascii="Book Antiqua" w:eastAsia="Book Antiqua" w:hAnsi="Book Antiqua" w:cs="Book Antiqua"/>
          <w:color w:val="000000"/>
        </w:rPr>
        <w:t>Eşkazan</w:t>
      </w:r>
      <w:proofErr w:type="spellEnd"/>
      <w:r w:rsidRPr="008021CD">
        <w:rPr>
          <w:rFonts w:ascii="Book Antiqua" w:eastAsia="Book Antiqua" w:hAnsi="Book Antiqua" w:cs="Book Antiqua"/>
          <w:color w:val="000000"/>
        </w:rPr>
        <w:t xml:space="preserve"> T, </w:t>
      </w:r>
      <w:proofErr w:type="spellStart"/>
      <w:r w:rsidRPr="008021CD">
        <w:rPr>
          <w:rFonts w:ascii="Book Antiqua" w:eastAsia="Book Antiqua" w:hAnsi="Book Antiqua" w:cs="Book Antiqua"/>
          <w:color w:val="000000"/>
        </w:rPr>
        <w:t>Magro</w:t>
      </w:r>
      <w:proofErr w:type="spellEnd"/>
      <w:r w:rsidRPr="008021CD">
        <w:rPr>
          <w:rFonts w:ascii="Book Antiqua" w:eastAsia="Book Antiqua" w:hAnsi="Book Antiqua" w:cs="Book Antiqua"/>
          <w:color w:val="000000"/>
        </w:rPr>
        <w:t xml:space="preserve"> B, </w:t>
      </w:r>
      <w:proofErr w:type="spellStart"/>
      <w:r w:rsidRPr="008021CD">
        <w:rPr>
          <w:rFonts w:ascii="Book Antiqua" w:eastAsia="Book Antiqua" w:hAnsi="Book Antiqua" w:cs="Book Antiqua"/>
          <w:color w:val="000000"/>
        </w:rPr>
        <w:t>Snijders</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Barutçu</w:t>
      </w:r>
      <w:proofErr w:type="spellEnd"/>
      <w:r w:rsidRPr="008021CD">
        <w:rPr>
          <w:rFonts w:ascii="Book Antiqua" w:eastAsia="Book Antiqua" w:hAnsi="Book Antiqua" w:cs="Book Antiqua"/>
          <w:color w:val="000000"/>
        </w:rPr>
        <w:t xml:space="preserve"> S, </w:t>
      </w:r>
      <w:proofErr w:type="spellStart"/>
      <w:r w:rsidRPr="008021CD">
        <w:rPr>
          <w:rFonts w:ascii="Book Antiqua" w:eastAsia="Book Antiqua" w:hAnsi="Book Antiqua" w:cs="Book Antiqua"/>
          <w:color w:val="000000"/>
        </w:rPr>
        <w:t>Lytvyak</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Zazueta</w:t>
      </w:r>
      <w:proofErr w:type="spellEnd"/>
      <w:r w:rsidRPr="008021CD">
        <w:rPr>
          <w:rFonts w:ascii="Book Antiqua" w:eastAsia="Book Antiqua" w:hAnsi="Book Antiqua" w:cs="Book Antiqua"/>
          <w:color w:val="000000"/>
        </w:rPr>
        <w:t xml:space="preserve"> GM, </w:t>
      </w:r>
      <w:proofErr w:type="spellStart"/>
      <w:r w:rsidRPr="008021CD">
        <w:rPr>
          <w:rFonts w:ascii="Book Antiqua" w:eastAsia="Book Antiqua" w:hAnsi="Book Antiqua" w:cs="Book Antiqua"/>
          <w:color w:val="000000"/>
        </w:rPr>
        <w:t>Demirezer-Bolat</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Aydın</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Heurgue-Berlot</w:t>
      </w:r>
      <w:proofErr w:type="spellEnd"/>
      <w:r w:rsidRPr="008021CD">
        <w:rPr>
          <w:rFonts w:ascii="Book Antiqua" w:eastAsia="Book Antiqua" w:hAnsi="Book Antiqua" w:cs="Book Antiqua"/>
          <w:color w:val="000000"/>
        </w:rPr>
        <w:t xml:space="preserve"> A, De Martin E, </w:t>
      </w:r>
      <w:proofErr w:type="spellStart"/>
      <w:r w:rsidRPr="008021CD">
        <w:rPr>
          <w:rFonts w:ascii="Book Antiqua" w:eastAsia="Book Antiqua" w:hAnsi="Book Antiqua" w:cs="Book Antiqua"/>
          <w:color w:val="000000"/>
        </w:rPr>
        <w:t>Ekin</w:t>
      </w:r>
      <w:proofErr w:type="spellEnd"/>
      <w:r w:rsidRPr="008021CD">
        <w:rPr>
          <w:rFonts w:ascii="Book Antiqua" w:eastAsia="Book Antiqua" w:hAnsi="Book Antiqua" w:cs="Book Antiqua"/>
          <w:color w:val="000000"/>
        </w:rPr>
        <w:t xml:space="preserve"> N, </w:t>
      </w:r>
      <w:proofErr w:type="spellStart"/>
      <w:r w:rsidRPr="008021CD">
        <w:rPr>
          <w:rFonts w:ascii="Book Antiqua" w:eastAsia="Book Antiqua" w:hAnsi="Book Antiqua" w:cs="Book Antiqua"/>
          <w:color w:val="000000"/>
        </w:rPr>
        <w:t>Yıldırım</w:t>
      </w:r>
      <w:proofErr w:type="spellEnd"/>
      <w:r w:rsidRPr="008021CD">
        <w:rPr>
          <w:rFonts w:ascii="Book Antiqua" w:eastAsia="Book Antiqua" w:hAnsi="Book Antiqua" w:cs="Book Antiqua"/>
          <w:color w:val="000000"/>
        </w:rPr>
        <w:t xml:space="preserve"> S, Yavuz A, </w:t>
      </w:r>
      <w:proofErr w:type="spellStart"/>
      <w:r w:rsidRPr="008021CD">
        <w:rPr>
          <w:rFonts w:ascii="Book Antiqua" w:eastAsia="Book Antiqua" w:hAnsi="Book Antiqua" w:cs="Book Antiqua"/>
          <w:color w:val="000000"/>
        </w:rPr>
        <w:t>Bıyık</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Narro</w:t>
      </w:r>
      <w:proofErr w:type="spellEnd"/>
      <w:r w:rsidRPr="008021CD">
        <w:rPr>
          <w:rFonts w:ascii="Book Antiqua" w:eastAsia="Book Antiqua" w:hAnsi="Book Antiqua" w:cs="Book Antiqua"/>
          <w:color w:val="000000"/>
        </w:rPr>
        <w:t xml:space="preserve"> GC, </w:t>
      </w:r>
      <w:proofErr w:type="spellStart"/>
      <w:r w:rsidRPr="008021CD">
        <w:rPr>
          <w:rFonts w:ascii="Book Antiqua" w:eastAsia="Book Antiqua" w:hAnsi="Book Antiqua" w:cs="Book Antiqua"/>
          <w:color w:val="000000"/>
        </w:rPr>
        <w:t>Kıyıcı</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Akyıldız</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Kahramanoğlu</w:t>
      </w:r>
      <w:proofErr w:type="spellEnd"/>
      <w:r w:rsidRPr="008021CD">
        <w:rPr>
          <w:rFonts w:ascii="Book Antiqua" w:eastAsia="Book Antiqua" w:hAnsi="Book Antiqua" w:cs="Book Antiqua"/>
          <w:color w:val="000000"/>
        </w:rPr>
        <w:t xml:space="preserve">-Aksoy E, Vincent M, </w:t>
      </w:r>
      <w:proofErr w:type="spellStart"/>
      <w:r w:rsidRPr="008021CD">
        <w:rPr>
          <w:rFonts w:ascii="Book Antiqua" w:eastAsia="Book Antiqua" w:hAnsi="Book Antiqua" w:cs="Book Antiqua"/>
          <w:color w:val="000000"/>
        </w:rPr>
        <w:t>Carr</w:t>
      </w:r>
      <w:proofErr w:type="spellEnd"/>
      <w:r w:rsidRPr="008021CD">
        <w:rPr>
          <w:rFonts w:ascii="Book Antiqua" w:eastAsia="Book Antiqua" w:hAnsi="Book Antiqua" w:cs="Book Antiqua"/>
          <w:color w:val="000000"/>
        </w:rPr>
        <w:t xml:space="preserve"> RM, </w:t>
      </w:r>
      <w:proofErr w:type="spellStart"/>
      <w:r w:rsidRPr="008021CD">
        <w:rPr>
          <w:rFonts w:ascii="Book Antiqua" w:eastAsia="Book Antiqua" w:hAnsi="Book Antiqua" w:cs="Book Antiqua"/>
          <w:color w:val="000000"/>
        </w:rPr>
        <w:t>Günşar</w:t>
      </w:r>
      <w:proofErr w:type="spellEnd"/>
      <w:r w:rsidRPr="008021CD">
        <w:rPr>
          <w:rFonts w:ascii="Book Antiqua" w:eastAsia="Book Antiqua" w:hAnsi="Book Antiqua" w:cs="Book Antiqua"/>
          <w:color w:val="000000"/>
        </w:rPr>
        <w:t xml:space="preserve"> F, Reyes EC, </w:t>
      </w:r>
      <w:proofErr w:type="spellStart"/>
      <w:r w:rsidRPr="008021CD">
        <w:rPr>
          <w:rFonts w:ascii="Book Antiqua" w:eastAsia="Book Antiqua" w:hAnsi="Book Antiqua" w:cs="Book Antiqua"/>
          <w:color w:val="000000"/>
        </w:rPr>
        <w:t>Harputluoğlu</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Aloman</w:t>
      </w:r>
      <w:proofErr w:type="spellEnd"/>
      <w:r w:rsidRPr="008021CD">
        <w:rPr>
          <w:rFonts w:ascii="Book Antiqua" w:eastAsia="Book Antiqua" w:hAnsi="Book Antiqua" w:cs="Book Antiqua"/>
          <w:color w:val="000000"/>
        </w:rPr>
        <w:t xml:space="preserve"> C, </w:t>
      </w:r>
      <w:proofErr w:type="spellStart"/>
      <w:r w:rsidRPr="008021CD">
        <w:rPr>
          <w:rFonts w:ascii="Book Antiqua" w:eastAsia="Book Antiqua" w:hAnsi="Book Antiqua" w:cs="Book Antiqua"/>
          <w:color w:val="000000"/>
        </w:rPr>
        <w:t>Gatselis</w:t>
      </w:r>
      <w:proofErr w:type="spellEnd"/>
      <w:r w:rsidRPr="008021CD">
        <w:rPr>
          <w:rFonts w:ascii="Book Antiqua" w:eastAsia="Book Antiqua" w:hAnsi="Book Antiqua" w:cs="Book Antiqua"/>
          <w:color w:val="000000"/>
        </w:rPr>
        <w:t xml:space="preserve"> NK, </w:t>
      </w:r>
      <w:proofErr w:type="spellStart"/>
      <w:r w:rsidRPr="008021CD">
        <w:rPr>
          <w:rFonts w:ascii="Book Antiqua" w:eastAsia="Book Antiqua" w:hAnsi="Book Antiqua" w:cs="Book Antiqua"/>
          <w:color w:val="000000"/>
        </w:rPr>
        <w:t>Üstündağ</w:t>
      </w:r>
      <w:proofErr w:type="spellEnd"/>
      <w:r w:rsidRPr="008021CD">
        <w:rPr>
          <w:rFonts w:ascii="Book Antiqua" w:eastAsia="Book Antiqua" w:hAnsi="Book Antiqua" w:cs="Book Antiqua"/>
          <w:color w:val="000000"/>
        </w:rPr>
        <w:t xml:space="preserve"> Y, </w:t>
      </w:r>
      <w:proofErr w:type="spellStart"/>
      <w:r w:rsidRPr="008021CD">
        <w:rPr>
          <w:rFonts w:ascii="Book Antiqua" w:eastAsia="Book Antiqua" w:hAnsi="Book Antiqua" w:cs="Book Antiqua"/>
          <w:color w:val="000000"/>
        </w:rPr>
        <w:t>Brahm</w:t>
      </w:r>
      <w:proofErr w:type="spellEnd"/>
      <w:r w:rsidRPr="008021CD">
        <w:rPr>
          <w:rFonts w:ascii="Book Antiqua" w:eastAsia="Book Antiqua" w:hAnsi="Book Antiqua" w:cs="Book Antiqua"/>
          <w:color w:val="000000"/>
        </w:rPr>
        <w:t xml:space="preserve"> J, Vargas NCE, </w:t>
      </w:r>
      <w:proofErr w:type="spellStart"/>
      <w:r w:rsidRPr="008021CD">
        <w:rPr>
          <w:rFonts w:ascii="Book Antiqua" w:eastAsia="Book Antiqua" w:hAnsi="Book Antiqua" w:cs="Book Antiqua"/>
          <w:color w:val="000000"/>
        </w:rPr>
        <w:t>Güzelbulut</w:t>
      </w:r>
      <w:proofErr w:type="spellEnd"/>
      <w:r w:rsidRPr="008021CD">
        <w:rPr>
          <w:rFonts w:ascii="Book Antiqua" w:eastAsia="Book Antiqua" w:hAnsi="Book Antiqua" w:cs="Book Antiqua"/>
          <w:color w:val="000000"/>
        </w:rPr>
        <w:t xml:space="preserve"> F, Garcia SR, Aguirre J, Anders M, </w:t>
      </w:r>
      <w:proofErr w:type="spellStart"/>
      <w:r w:rsidRPr="008021CD">
        <w:rPr>
          <w:rFonts w:ascii="Book Antiqua" w:eastAsia="Book Antiqua" w:hAnsi="Book Antiqua" w:cs="Book Antiqua"/>
          <w:color w:val="000000"/>
        </w:rPr>
        <w:t>Ratusnu</w:t>
      </w:r>
      <w:proofErr w:type="spellEnd"/>
      <w:r w:rsidRPr="008021CD">
        <w:rPr>
          <w:rFonts w:ascii="Book Antiqua" w:eastAsia="Book Antiqua" w:hAnsi="Book Antiqua" w:cs="Book Antiqua"/>
          <w:color w:val="000000"/>
        </w:rPr>
        <w:t xml:space="preserve"> N, Hatemi I, </w:t>
      </w:r>
      <w:proofErr w:type="spellStart"/>
      <w:r w:rsidRPr="008021CD">
        <w:rPr>
          <w:rFonts w:ascii="Book Antiqua" w:eastAsia="Book Antiqua" w:hAnsi="Book Antiqua" w:cs="Book Antiqua"/>
          <w:color w:val="000000"/>
        </w:rPr>
        <w:t>Mendizabal</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Floreani</w:t>
      </w:r>
      <w:proofErr w:type="spellEnd"/>
      <w:r w:rsidRPr="008021CD">
        <w:rPr>
          <w:rFonts w:ascii="Book Antiqua" w:eastAsia="Book Antiqua" w:hAnsi="Book Antiqua" w:cs="Book Antiqua"/>
          <w:color w:val="000000"/>
        </w:rPr>
        <w:t xml:space="preserve"> A, </w:t>
      </w:r>
      <w:proofErr w:type="spellStart"/>
      <w:r w:rsidRPr="008021CD">
        <w:rPr>
          <w:rFonts w:ascii="Book Antiqua" w:eastAsia="Book Antiqua" w:hAnsi="Book Antiqua" w:cs="Book Antiqua"/>
          <w:color w:val="000000"/>
        </w:rPr>
        <w:t>Fagiuoli</w:t>
      </w:r>
      <w:proofErr w:type="spellEnd"/>
      <w:r w:rsidRPr="008021CD">
        <w:rPr>
          <w:rFonts w:ascii="Book Antiqua" w:eastAsia="Book Antiqua" w:hAnsi="Book Antiqua" w:cs="Book Antiqua"/>
          <w:color w:val="000000"/>
        </w:rPr>
        <w:t xml:space="preserve"> S, Silva M, </w:t>
      </w:r>
      <w:proofErr w:type="spellStart"/>
      <w:r w:rsidRPr="008021CD">
        <w:rPr>
          <w:rFonts w:ascii="Book Antiqua" w:eastAsia="Book Antiqua" w:hAnsi="Book Antiqua" w:cs="Book Antiqua"/>
          <w:color w:val="000000"/>
        </w:rPr>
        <w:t>Idilman</w:t>
      </w:r>
      <w:proofErr w:type="spellEnd"/>
      <w:r w:rsidRPr="008021CD">
        <w:rPr>
          <w:rFonts w:ascii="Book Antiqua" w:eastAsia="Book Antiqua" w:hAnsi="Book Antiqua" w:cs="Book Antiqua"/>
          <w:color w:val="000000"/>
        </w:rPr>
        <w:t xml:space="preserve"> R, </w:t>
      </w:r>
      <w:proofErr w:type="spellStart"/>
      <w:r w:rsidRPr="008021CD">
        <w:rPr>
          <w:rFonts w:ascii="Book Antiqua" w:eastAsia="Book Antiqua" w:hAnsi="Book Antiqua" w:cs="Book Antiqua"/>
          <w:color w:val="000000"/>
        </w:rPr>
        <w:t>Satapathy</w:t>
      </w:r>
      <w:proofErr w:type="spellEnd"/>
      <w:r w:rsidRPr="008021CD">
        <w:rPr>
          <w:rFonts w:ascii="Book Antiqua" w:eastAsia="Book Antiqua" w:hAnsi="Book Antiqua" w:cs="Book Antiqua"/>
          <w:color w:val="000000"/>
        </w:rPr>
        <w:t xml:space="preserve"> SK, Silveira M, </w:t>
      </w:r>
      <w:proofErr w:type="spellStart"/>
      <w:r w:rsidRPr="008021CD">
        <w:rPr>
          <w:rFonts w:ascii="Book Antiqua" w:eastAsia="Book Antiqua" w:hAnsi="Book Antiqua" w:cs="Book Antiqua"/>
          <w:color w:val="000000"/>
        </w:rPr>
        <w:t>Drenth</w:t>
      </w:r>
      <w:proofErr w:type="spellEnd"/>
      <w:r w:rsidRPr="008021CD">
        <w:rPr>
          <w:rFonts w:ascii="Book Antiqua" w:eastAsia="Book Antiqua" w:hAnsi="Book Antiqua" w:cs="Book Antiqua"/>
          <w:color w:val="000000"/>
        </w:rPr>
        <w:t xml:space="preserve"> JPH, </w:t>
      </w:r>
      <w:proofErr w:type="spellStart"/>
      <w:r w:rsidRPr="008021CD">
        <w:rPr>
          <w:rFonts w:ascii="Book Antiqua" w:eastAsia="Book Antiqua" w:hAnsi="Book Antiqua" w:cs="Book Antiqua"/>
          <w:color w:val="000000"/>
        </w:rPr>
        <w:t>Dalekos</w:t>
      </w:r>
      <w:proofErr w:type="spellEnd"/>
      <w:r w:rsidRPr="008021CD">
        <w:rPr>
          <w:rFonts w:ascii="Book Antiqua" w:eastAsia="Book Antiqua" w:hAnsi="Book Antiqua" w:cs="Book Antiqua"/>
          <w:color w:val="000000"/>
        </w:rPr>
        <w:t xml:space="preserve"> GN, N Assis D, </w:t>
      </w:r>
      <w:proofErr w:type="spellStart"/>
      <w:r w:rsidRPr="008021CD">
        <w:rPr>
          <w:rFonts w:ascii="Book Antiqua" w:eastAsia="Book Antiqua" w:hAnsi="Book Antiqua" w:cs="Book Antiqua"/>
          <w:color w:val="000000"/>
        </w:rPr>
        <w:t>Björnsson</w:t>
      </w:r>
      <w:proofErr w:type="spellEnd"/>
      <w:r w:rsidRPr="008021CD">
        <w:rPr>
          <w:rFonts w:ascii="Book Antiqua" w:eastAsia="Book Antiqua" w:hAnsi="Book Antiqua" w:cs="Book Antiqua"/>
          <w:color w:val="000000"/>
        </w:rPr>
        <w:t xml:space="preserve"> E, Boyer JL, Yoshida EM, </w:t>
      </w:r>
      <w:proofErr w:type="spellStart"/>
      <w:r w:rsidRPr="008021CD">
        <w:rPr>
          <w:rFonts w:ascii="Book Antiqua" w:eastAsia="Book Antiqua" w:hAnsi="Book Antiqua" w:cs="Book Antiqua"/>
          <w:color w:val="000000"/>
        </w:rPr>
        <w:t>Invernizzi</w:t>
      </w:r>
      <w:proofErr w:type="spellEnd"/>
      <w:r w:rsidRPr="008021CD">
        <w:rPr>
          <w:rFonts w:ascii="Book Antiqua" w:eastAsia="Book Antiqua" w:hAnsi="Book Antiqua" w:cs="Book Antiqua"/>
          <w:color w:val="000000"/>
        </w:rPr>
        <w:t xml:space="preserve"> P, Levy C, Montano-</w:t>
      </w:r>
      <w:proofErr w:type="spellStart"/>
      <w:r w:rsidRPr="008021CD">
        <w:rPr>
          <w:rFonts w:ascii="Book Antiqua" w:eastAsia="Book Antiqua" w:hAnsi="Book Antiqua" w:cs="Book Antiqua"/>
          <w:color w:val="000000"/>
        </w:rPr>
        <w:t>Loza</w:t>
      </w:r>
      <w:proofErr w:type="spellEnd"/>
      <w:r w:rsidRPr="008021CD">
        <w:rPr>
          <w:rFonts w:ascii="Book Antiqua" w:eastAsia="Book Antiqua" w:hAnsi="Book Antiqua" w:cs="Book Antiqua"/>
          <w:color w:val="000000"/>
        </w:rPr>
        <w:t xml:space="preserve"> AJ, Schiano TD, </w:t>
      </w:r>
      <w:proofErr w:type="spellStart"/>
      <w:r w:rsidRPr="008021CD">
        <w:rPr>
          <w:rFonts w:ascii="Book Antiqua" w:eastAsia="Book Antiqua" w:hAnsi="Book Antiqua" w:cs="Book Antiqua"/>
          <w:color w:val="000000"/>
        </w:rPr>
        <w:t>Ridruejo</w:t>
      </w:r>
      <w:proofErr w:type="spellEnd"/>
      <w:r w:rsidRPr="008021CD">
        <w:rPr>
          <w:rFonts w:ascii="Book Antiqua" w:eastAsia="Book Antiqua" w:hAnsi="Book Antiqua" w:cs="Book Antiqua"/>
          <w:color w:val="000000"/>
        </w:rPr>
        <w:t xml:space="preserve"> E, </w:t>
      </w:r>
      <w:proofErr w:type="spellStart"/>
      <w:r w:rsidRPr="008021CD">
        <w:rPr>
          <w:rFonts w:ascii="Book Antiqua" w:eastAsia="Book Antiqua" w:hAnsi="Book Antiqua" w:cs="Book Antiqua"/>
          <w:color w:val="000000"/>
        </w:rPr>
        <w:t>Wahlin</w:t>
      </w:r>
      <w:proofErr w:type="spellEnd"/>
      <w:r w:rsidRPr="008021CD">
        <w:rPr>
          <w:rFonts w:ascii="Book Antiqua" w:eastAsia="Book Antiqua" w:hAnsi="Book Antiqua" w:cs="Book Antiqua"/>
          <w:color w:val="000000"/>
        </w:rPr>
        <w:t xml:space="preserve"> S. Effects of immunosuppressive drugs on COVID-19 severity in patients with autoimmune hepatitis. </w:t>
      </w:r>
      <w:r w:rsidRPr="008021CD">
        <w:rPr>
          <w:rFonts w:ascii="Book Antiqua" w:eastAsia="Book Antiqua" w:hAnsi="Book Antiqua" w:cs="Book Antiqua"/>
          <w:i/>
          <w:iCs/>
          <w:color w:val="000000"/>
        </w:rPr>
        <w:t>Liver Int</w:t>
      </w:r>
      <w:r w:rsidRPr="008021CD">
        <w:rPr>
          <w:rFonts w:ascii="Book Antiqua" w:eastAsia="Book Antiqua" w:hAnsi="Book Antiqua" w:cs="Book Antiqua"/>
          <w:color w:val="000000"/>
        </w:rPr>
        <w:t xml:space="preserve"> 2022; </w:t>
      </w:r>
      <w:r w:rsidRPr="008021CD">
        <w:rPr>
          <w:rFonts w:ascii="Book Antiqua" w:eastAsia="Book Antiqua" w:hAnsi="Book Antiqua" w:cs="Book Antiqua"/>
          <w:b/>
          <w:bCs/>
          <w:color w:val="000000"/>
        </w:rPr>
        <w:t>42</w:t>
      </w:r>
      <w:r w:rsidRPr="008021CD">
        <w:rPr>
          <w:rFonts w:ascii="Book Antiqua" w:eastAsia="Book Antiqua" w:hAnsi="Book Antiqua" w:cs="Book Antiqua"/>
          <w:color w:val="000000"/>
        </w:rPr>
        <w:t>: 607-614 [PMID: 34846800 DOI: 10.1111/Liv.15121]</w:t>
      </w:r>
    </w:p>
    <w:p w14:paraId="484BF74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25 </w:t>
      </w:r>
      <w:r w:rsidRPr="008021CD">
        <w:rPr>
          <w:rFonts w:ascii="Book Antiqua" w:eastAsia="Book Antiqua" w:hAnsi="Book Antiqua" w:cs="Book Antiqua"/>
          <w:b/>
          <w:bCs/>
          <w:color w:val="000000"/>
        </w:rPr>
        <w:t>Sui J</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Noubouossie</w:t>
      </w:r>
      <w:proofErr w:type="spellEnd"/>
      <w:r w:rsidRPr="008021CD">
        <w:rPr>
          <w:rFonts w:ascii="Book Antiqua" w:eastAsia="Book Antiqua" w:hAnsi="Book Antiqua" w:cs="Book Antiqua"/>
          <w:color w:val="000000"/>
        </w:rPr>
        <w:t xml:space="preserve"> DF, </w:t>
      </w:r>
      <w:proofErr w:type="spellStart"/>
      <w:r w:rsidRPr="008021CD">
        <w:rPr>
          <w:rFonts w:ascii="Book Antiqua" w:eastAsia="Book Antiqua" w:hAnsi="Book Antiqua" w:cs="Book Antiqua"/>
          <w:color w:val="000000"/>
        </w:rPr>
        <w:t>Gandotra</w:t>
      </w:r>
      <w:proofErr w:type="spellEnd"/>
      <w:r w:rsidRPr="008021CD">
        <w:rPr>
          <w:rFonts w:ascii="Book Antiqua" w:eastAsia="Book Antiqua" w:hAnsi="Book Antiqua" w:cs="Book Antiqua"/>
          <w:color w:val="000000"/>
        </w:rPr>
        <w:t xml:space="preserve"> S, Cao L. Elevated Plasma Fibrinogen Is Associated </w:t>
      </w:r>
      <w:proofErr w:type="gramStart"/>
      <w:r w:rsidRPr="008021CD">
        <w:rPr>
          <w:rFonts w:ascii="Book Antiqua" w:eastAsia="Book Antiqua" w:hAnsi="Book Antiqua" w:cs="Book Antiqua"/>
          <w:color w:val="000000"/>
        </w:rPr>
        <w:t>With</w:t>
      </w:r>
      <w:proofErr w:type="gramEnd"/>
      <w:r w:rsidRPr="008021CD">
        <w:rPr>
          <w:rFonts w:ascii="Book Antiqua" w:eastAsia="Book Antiqua" w:hAnsi="Book Antiqua" w:cs="Book Antiqua"/>
          <w:color w:val="000000"/>
        </w:rPr>
        <w:t xml:space="preserve"> Excessive Inflammation and Disease Severity in COVID-19 Patients. </w:t>
      </w:r>
      <w:r w:rsidRPr="008021CD">
        <w:rPr>
          <w:rFonts w:ascii="Book Antiqua" w:eastAsia="Book Antiqua" w:hAnsi="Book Antiqua" w:cs="Book Antiqua"/>
          <w:i/>
          <w:iCs/>
          <w:color w:val="000000"/>
        </w:rPr>
        <w:t xml:space="preserve">Front Cell Infect </w:t>
      </w:r>
      <w:proofErr w:type="spellStart"/>
      <w:r w:rsidRPr="008021CD">
        <w:rPr>
          <w:rFonts w:ascii="Book Antiqua" w:eastAsia="Book Antiqua" w:hAnsi="Book Antiqua" w:cs="Book Antiqua"/>
          <w:i/>
          <w:iCs/>
          <w:color w:val="000000"/>
        </w:rPr>
        <w:t>Microbiol</w:t>
      </w:r>
      <w:proofErr w:type="spellEnd"/>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11</w:t>
      </w:r>
      <w:r w:rsidRPr="008021CD">
        <w:rPr>
          <w:rFonts w:ascii="Book Antiqua" w:eastAsia="Book Antiqua" w:hAnsi="Book Antiqua" w:cs="Book Antiqua"/>
          <w:color w:val="000000"/>
        </w:rPr>
        <w:t>: 734005 [PMID: 34414135 DOI: 10.3389/fcimb.2021.734005]</w:t>
      </w:r>
    </w:p>
    <w:p w14:paraId="255B4AB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26 </w:t>
      </w:r>
      <w:r w:rsidRPr="008021CD">
        <w:rPr>
          <w:rFonts w:ascii="Book Antiqua" w:eastAsia="Book Antiqua" w:hAnsi="Book Antiqua" w:cs="Book Antiqua"/>
          <w:b/>
          <w:bCs/>
          <w:color w:val="000000"/>
        </w:rPr>
        <w:t>Martinez MA</w:t>
      </w:r>
      <w:r w:rsidRPr="008021CD">
        <w:rPr>
          <w:rFonts w:ascii="Book Antiqua" w:eastAsia="Book Antiqua" w:hAnsi="Book Antiqua" w:cs="Book Antiqua"/>
          <w:color w:val="000000"/>
        </w:rPr>
        <w:t xml:space="preserve">, Franco S. Impact of COVID-19 in Liver Disease Progression. </w:t>
      </w:r>
      <w:r w:rsidRPr="008021CD">
        <w:rPr>
          <w:rFonts w:ascii="Book Antiqua" w:eastAsia="Book Antiqua" w:hAnsi="Book Antiqua" w:cs="Book Antiqua"/>
          <w:i/>
          <w:iCs/>
          <w:color w:val="000000"/>
        </w:rPr>
        <w:t xml:space="preserve">Hepatol </w:t>
      </w:r>
      <w:proofErr w:type="spellStart"/>
      <w:r w:rsidRPr="008021CD">
        <w:rPr>
          <w:rFonts w:ascii="Book Antiqua" w:eastAsia="Book Antiqua" w:hAnsi="Book Antiqua" w:cs="Book Antiqua"/>
          <w:i/>
          <w:iCs/>
          <w:color w:val="000000"/>
        </w:rPr>
        <w:t>Commun</w:t>
      </w:r>
      <w:proofErr w:type="spellEnd"/>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5</w:t>
      </w:r>
      <w:r w:rsidRPr="008021CD">
        <w:rPr>
          <w:rFonts w:ascii="Book Antiqua" w:eastAsia="Book Antiqua" w:hAnsi="Book Antiqua" w:cs="Book Antiqua"/>
          <w:color w:val="000000"/>
        </w:rPr>
        <w:t>: 1138-1150 [PMID: 34533001 DOI: 10.1002/hep4.1745]</w:t>
      </w:r>
    </w:p>
    <w:p w14:paraId="3A4E577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 xml:space="preserve">27 </w:t>
      </w:r>
      <w:r w:rsidRPr="008021CD">
        <w:rPr>
          <w:rFonts w:ascii="Book Antiqua" w:eastAsia="Book Antiqua" w:hAnsi="Book Antiqua" w:cs="Book Antiqua"/>
          <w:b/>
          <w:bCs/>
          <w:color w:val="000000"/>
        </w:rPr>
        <w:t>Legrand M</w:t>
      </w:r>
      <w:r w:rsidRPr="008021CD">
        <w:rPr>
          <w:rFonts w:ascii="Book Antiqua" w:eastAsia="Book Antiqua" w:hAnsi="Book Antiqua" w:cs="Book Antiqua"/>
          <w:color w:val="000000"/>
        </w:rPr>
        <w:t xml:space="preserve">, Bell S, </w:t>
      </w:r>
      <w:proofErr w:type="spellStart"/>
      <w:r w:rsidRPr="008021CD">
        <w:rPr>
          <w:rFonts w:ascii="Book Antiqua" w:eastAsia="Book Antiqua" w:hAnsi="Book Antiqua" w:cs="Book Antiqua"/>
          <w:color w:val="000000"/>
        </w:rPr>
        <w:t>Forni</w:t>
      </w:r>
      <w:proofErr w:type="spellEnd"/>
      <w:r w:rsidRPr="008021CD">
        <w:rPr>
          <w:rFonts w:ascii="Book Antiqua" w:eastAsia="Book Antiqua" w:hAnsi="Book Antiqua" w:cs="Book Antiqua"/>
          <w:color w:val="000000"/>
        </w:rPr>
        <w:t xml:space="preserve"> L, </w:t>
      </w:r>
      <w:proofErr w:type="spellStart"/>
      <w:r w:rsidRPr="008021CD">
        <w:rPr>
          <w:rFonts w:ascii="Book Antiqua" w:eastAsia="Book Antiqua" w:hAnsi="Book Antiqua" w:cs="Book Antiqua"/>
          <w:color w:val="000000"/>
        </w:rPr>
        <w:t>Joannidis</w:t>
      </w:r>
      <w:proofErr w:type="spellEnd"/>
      <w:r w:rsidRPr="008021CD">
        <w:rPr>
          <w:rFonts w:ascii="Book Antiqua" w:eastAsia="Book Antiqua" w:hAnsi="Book Antiqua" w:cs="Book Antiqua"/>
          <w:color w:val="000000"/>
        </w:rPr>
        <w:t xml:space="preserve"> M, </w:t>
      </w:r>
      <w:proofErr w:type="spellStart"/>
      <w:r w:rsidRPr="008021CD">
        <w:rPr>
          <w:rFonts w:ascii="Book Antiqua" w:eastAsia="Book Antiqua" w:hAnsi="Book Antiqua" w:cs="Book Antiqua"/>
          <w:color w:val="000000"/>
        </w:rPr>
        <w:t>Koyner</w:t>
      </w:r>
      <w:proofErr w:type="spellEnd"/>
      <w:r w:rsidRPr="008021CD">
        <w:rPr>
          <w:rFonts w:ascii="Book Antiqua" w:eastAsia="Book Antiqua" w:hAnsi="Book Antiqua" w:cs="Book Antiqua"/>
          <w:color w:val="000000"/>
        </w:rPr>
        <w:t xml:space="preserve"> JL, Liu K, </w:t>
      </w:r>
      <w:proofErr w:type="spellStart"/>
      <w:r w:rsidRPr="008021CD">
        <w:rPr>
          <w:rFonts w:ascii="Book Antiqua" w:eastAsia="Book Antiqua" w:hAnsi="Book Antiqua" w:cs="Book Antiqua"/>
          <w:color w:val="000000"/>
        </w:rPr>
        <w:t>Cantaluppi</w:t>
      </w:r>
      <w:proofErr w:type="spellEnd"/>
      <w:r w:rsidRPr="008021CD">
        <w:rPr>
          <w:rFonts w:ascii="Book Antiqua" w:eastAsia="Book Antiqua" w:hAnsi="Book Antiqua" w:cs="Book Antiqua"/>
          <w:color w:val="000000"/>
        </w:rPr>
        <w:t xml:space="preserve"> V. Pathophysiology of COVID-19-associated acute kidney injury. </w:t>
      </w:r>
      <w:r w:rsidRPr="008021CD">
        <w:rPr>
          <w:rFonts w:ascii="Book Antiqua" w:eastAsia="Book Antiqua" w:hAnsi="Book Antiqua" w:cs="Book Antiqua"/>
          <w:i/>
          <w:iCs/>
          <w:color w:val="000000"/>
        </w:rPr>
        <w:t>Nat Rev Nephrol</w:t>
      </w:r>
      <w:r w:rsidRPr="008021CD">
        <w:rPr>
          <w:rFonts w:ascii="Book Antiqua" w:eastAsia="Book Antiqua" w:hAnsi="Book Antiqua" w:cs="Book Antiqua"/>
          <w:color w:val="000000"/>
        </w:rPr>
        <w:t xml:space="preserve"> 2021; </w:t>
      </w:r>
      <w:r w:rsidRPr="008021CD">
        <w:rPr>
          <w:rFonts w:ascii="Book Antiqua" w:eastAsia="Book Antiqua" w:hAnsi="Book Antiqua" w:cs="Book Antiqua"/>
          <w:b/>
          <w:bCs/>
          <w:color w:val="000000"/>
        </w:rPr>
        <w:t>17</w:t>
      </w:r>
      <w:r w:rsidRPr="008021CD">
        <w:rPr>
          <w:rFonts w:ascii="Book Antiqua" w:eastAsia="Book Antiqua" w:hAnsi="Book Antiqua" w:cs="Book Antiqua"/>
          <w:color w:val="000000"/>
        </w:rPr>
        <w:t>: 751-764 [PMID: 34226718 DOI: 10.1038/s41581-021-00452-0]</w:t>
      </w:r>
    </w:p>
    <w:p w14:paraId="6A7DB21D" w14:textId="77777777" w:rsidR="00A77B3E" w:rsidRPr="008021CD" w:rsidRDefault="00A77B3E" w:rsidP="008021CD">
      <w:pPr>
        <w:spacing w:line="360" w:lineRule="auto"/>
        <w:jc w:val="both"/>
        <w:rPr>
          <w:rFonts w:ascii="Book Antiqua" w:hAnsi="Book Antiqua"/>
        </w:rPr>
        <w:sectPr w:rsidR="00A77B3E" w:rsidRPr="008021CD">
          <w:pgSz w:w="12240" w:h="15840"/>
          <w:pgMar w:top="1440" w:right="1440" w:bottom="1440" w:left="1440" w:header="720" w:footer="720" w:gutter="0"/>
          <w:cols w:space="720"/>
          <w:docGrid w:linePitch="360"/>
        </w:sectPr>
      </w:pPr>
    </w:p>
    <w:p w14:paraId="7326EC7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lastRenderedPageBreak/>
        <w:t>Footnotes</w:t>
      </w:r>
    </w:p>
    <w:p w14:paraId="374B24BE"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Institutional review board statement: </w:t>
      </w:r>
      <w:proofErr w:type="spellStart"/>
      <w:r w:rsidRPr="008021CD">
        <w:rPr>
          <w:rFonts w:ascii="Book Antiqua" w:eastAsia="Book Antiqua" w:hAnsi="Book Antiqua" w:cs="Book Antiqua"/>
          <w:color w:val="000000"/>
        </w:rPr>
        <w:t>TriNetX</w:t>
      </w:r>
      <w:proofErr w:type="spellEnd"/>
      <w:r w:rsidRPr="008021CD">
        <w:rPr>
          <w:rFonts w:ascii="Book Antiqua" w:eastAsia="Book Antiqua" w:hAnsi="Book Antiqua" w:cs="Book Antiqua"/>
          <w:color w:val="000000"/>
        </w:rPr>
        <w:t xml:space="preserve"> data have been granted a waiver from the Western institutional review board as a federated network since only aggregated counts and statistical summaries of de-identified information.</w:t>
      </w:r>
    </w:p>
    <w:p w14:paraId="58CD62D1" w14:textId="77777777" w:rsidR="00A77B3E" w:rsidRPr="008021CD" w:rsidRDefault="00A77B3E" w:rsidP="008021CD">
      <w:pPr>
        <w:spacing w:line="360" w:lineRule="auto"/>
        <w:jc w:val="both"/>
        <w:rPr>
          <w:rFonts w:ascii="Book Antiqua" w:hAnsi="Book Antiqua"/>
        </w:rPr>
      </w:pPr>
    </w:p>
    <w:p w14:paraId="5A54C4F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Informed consent statement:</w:t>
      </w:r>
      <w:r w:rsidR="00DA2D43" w:rsidRPr="008021CD">
        <w:rPr>
          <w:rFonts w:ascii="Book Antiqua" w:hAnsi="Book Antiqua"/>
        </w:rPr>
        <w:t xml:space="preserve"> </w:t>
      </w:r>
      <w:r w:rsidR="00DA2D43" w:rsidRPr="008021CD">
        <w:rPr>
          <w:rFonts w:ascii="Book Antiqua" w:eastAsia="Book Antiqua" w:hAnsi="Book Antiqua" w:cs="Book Antiqua"/>
          <w:color w:val="000000"/>
        </w:rPr>
        <w:t>Not applicable for de-identified data.</w:t>
      </w:r>
    </w:p>
    <w:p w14:paraId="0114234D" w14:textId="77777777" w:rsidR="00A77B3E" w:rsidRPr="008021CD" w:rsidRDefault="00A77B3E" w:rsidP="008021CD">
      <w:pPr>
        <w:spacing w:line="360" w:lineRule="auto"/>
        <w:jc w:val="both"/>
        <w:rPr>
          <w:rFonts w:ascii="Book Antiqua" w:hAnsi="Book Antiqua"/>
        </w:rPr>
      </w:pPr>
    </w:p>
    <w:p w14:paraId="7C9AFAF7"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Conflict-of-interest statement: </w:t>
      </w:r>
      <w:r w:rsidRPr="008021CD">
        <w:rPr>
          <w:rFonts w:ascii="Book Antiqua" w:eastAsia="Book Antiqua" w:hAnsi="Book Antiqua" w:cs="Book Antiqua"/>
          <w:color w:val="000000"/>
        </w:rPr>
        <w:t>All the authors report no relevant conflicts of interest for this article.</w:t>
      </w:r>
    </w:p>
    <w:p w14:paraId="609AC633" w14:textId="77777777" w:rsidR="00A77B3E" w:rsidRPr="008021CD" w:rsidRDefault="00A77B3E" w:rsidP="008021CD">
      <w:pPr>
        <w:spacing w:line="360" w:lineRule="auto"/>
        <w:jc w:val="both"/>
        <w:rPr>
          <w:rFonts w:ascii="Book Antiqua" w:hAnsi="Book Antiqua"/>
        </w:rPr>
      </w:pPr>
    </w:p>
    <w:p w14:paraId="2CB26A45"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Data sharing statement: </w:t>
      </w:r>
      <w:r w:rsidRPr="008021CD">
        <w:rPr>
          <w:rFonts w:ascii="Book Antiqua" w:eastAsia="Book Antiqua" w:hAnsi="Book Antiqua" w:cs="Book Antiqua"/>
          <w:color w:val="000000"/>
        </w:rPr>
        <w:t>No additional data are available.</w:t>
      </w:r>
    </w:p>
    <w:p w14:paraId="53A3A771" w14:textId="77777777" w:rsidR="00A77B3E" w:rsidRPr="008021CD" w:rsidRDefault="00A77B3E" w:rsidP="008021CD">
      <w:pPr>
        <w:spacing w:line="360" w:lineRule="auto"/>
        <w:jc w:val="both"/>
        <w:rPr>
          <w:rFonts w:ascii="Book Antiqua" w:hAnsi="Book Antiqua"/>
        </w:rPr>
      </w:pPr>
    </w:p>
    <w:p w14:paraId="485B73BD"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STROBE statement: </w:t>
      </w:r>
      <w:r w:rsidRPr="008021CD">
        <w:rPr>
          <w:rFonts w:ascii="Book Antiqua" w:eastAsia="Book Antiqua" w:hAnsi="Book Antiqua" w:cs="Book Antiqua"/>
          <w:color w:val="000000"/>
        </w:rPr>
        <w:t>The authors have read the STROBE-Statement checklist of items, and the manuscript was prepared and revised according to the STROBE-Statement checklist of items.</w:t>
      </w:r>
    </w:p>
    <w:p w14:paraId="777403C1" w14:textId="77777777" w:rsidR="00A77B3E" w:rsidRPr="008021CD" w:rsidRDefault="00A77B3E" w:rsidP="008021CD">
      <w:pPr>
        <w:spacing w:line="360" w:lineRule="auto"/>
        <w:jc w:val="both"/>
        <w:rPr>
          <w:rFonts w:ascii="Book Antiqua" w:hAnsi="Book Antiqua"/>
        </w:rPr>
      </w:pPr>
    </w:p>
    <w:p w14:paraId="38C10B1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bCs/>
          <w:color w:val="000000"/>
        </w:rPr>
        <w:t xml:space="preserve">Open-Access: </w:t>
      </w:r>
      <w:r w:rsidRPr="008021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21CD">
        <w:rPr>
          <w:rFonts w:ascii="Book Antiqua" w:eastAsia="Book Antiqua" w:hAnsi="Book Antiqua" w:cs="Book Antiqua"/>
          <w:color w:val="000000"/>
        </w:rPr>
        <w:t>NonCommercial</w:t>
      </w:r>
      <w:proofErr w:type="spellEnd"/>
      <w:r w:rsidRPr="008021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D3FEB9" w14:textId="77777777" w:rsidR="00A77B3E" w:rsidRPr="008021CD" w:rsidRDefault="00A77B3E" w:rsidP="008021CD">
      <w:pPr>
        <w:spacing w:line="360" w:lineRule="auto"/>
        <w:jc w:val="both"/>
        <w:rPr>
          <w:rFonts w:ascii="Book Antiqua" w:hAnsi="Book Antiqua"/>
        </w:rPr>
      </w:pPr>
    </w:p>
    <w:p w14:paraId="3FDFD8F9"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Provenance and peer review: </w:t>
      </w:r>
      <w:r w:rsidRPr="008021CD">
        <w:rPr>
          <w:rFonts w:ascii="Book Antiqua" w:eastAsia="Book Antiqua" w:hAnsi="Book Antiqua" w:cs="Book Antiqua"/>
          <w:color w:val="000000"/>
        </w:rPr>
        <w:t>Unsolicited article; Externally peer reviewed</w:t>
      </w:r>
    </w:p>
    <w:p w14:paraId="0993932A"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Peer-review model: </w:t>
      </w:r>
      <w:r w:rsidRPr="008021CD">
        <w:rPr>
          <w:rFonts w:ascii="Book Antiqua" w:eastAsia="Book Antiqua" w:hAnsi="Book Antiqua" w:cs="Book Antiqua"/>
          <w:color w:val="000000"/>
        </w:rPr>
        <w:t>Single blind</w:t>
      </w:r>
    </w:p>
    <w:p w14:paraId="7D816967" w14:textId="77777777" w:rsidR="00A77B3E" w:rsidRPr="008021CD" w:rsidRDefault="00A77B3E" w:rsidP="008021CD">
      <w:pPr>
        <w:spacing w:line="360" w:lineRule="auto"/>
        <w:jc w:val="both"/>
        <w:rPr>
          <w:rFonts w:ascii="Book Antiqua" w:hAnsi="Book Antiqua"/>
        </w:rPr>
      </w:pPr>
    </w:p>
    <w:p w14:paraId="68B588A1"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Peer-review started: </w:t>
      </w:r>
      <w:r w:rsidRPr="008021CD">
        <w:rPr>
          <w:rFonts w:ascii="Book Antiqua" w:eastAsia="Book Antiqua" w:hAnsi="Book Antiqua" w:cs="Book Antiqua"/>
          <w:color w:val="000000"/>
        </w:rPr>
        <w:t>September 13, 2022</w:t>
      </w:r>
    </w:p>
    <w:p w14:paraId="17477E3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First decision: </w:t>
      </w:r>
      <w:r w:rsidRPr="008021CD">
        <w:rPr>
          <w:rFonts w:ascii="Book Antiqua" w:eastAsia="Book Antiqua" w:hAnsi="Book Antiqua" w:cs="Book Antiqua"/>
          <w:color w:val="000000"/>
        </w:rPr>
        <w:t>October 20, 2022</w:t>
      </w:r>
    </w:p>
    <w:p w14:paraId="2CC15214"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Article in press: </w:t>
      </w:r>
      <w:r w:rsidR="00321972" w:rsidRPr="00506786">
        <w:rPr>
          <w:rFonts w:ascii="Book Antiqua" w:eastAsia="Book Antiqua" w:hAnsi="Book Antiqua" w:cs="Book Antiqua"/>
          <w:color w:val="000000"/>
        </w:rPr>
        <w:t>November 14, 2022</w:t>
      </w:r>
    </w:p>
    <w:p w14:paraId="0F76A428" w14:textId="77777777" w:rsidR="00A77B3E" w:rsidRPr="008021CD" w:rsidRDefault="00A77B3E" w:rsidP="008021CD">
      <w:pPr>
        <w:spacing w:line="360" w:lineRule="auto"/>
        <w:jc w:val="both"/>
        <w:rPr>
          <w:rFonts w:ascii="Book Antiqua" w:hAnsi="Book Antiqua"/>
        </w:rPr>
      </w:pPr>
    </w:p>
    <w:p w14:paraId="558452A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Specialty type: </w:t>
      </w:r>
      <w:r w:rsidRPr="008021CD">
        <w:rPr>
          <w:rFonts w:ascii="Book Antiqua" w:eastAsia="Book Antiqua" w:hAnsi="Book Antiqua" w:cs="Book Antiqua"/>
          <w:color w:val="000000"/>
        </w:rPr>
        <w:t xml:space="preserve">Gastroenterology and </w:t>
      </w:r>
      <w:r w:rsidR="000E61D2" w:rsidRPr="008021CD">
        <w:rPr>
          <w:rFonts w:ascii="Book Antiqua" w:eastAsia="Book Antiqua" w:hAnsi="Book Antiqua" w:cs="Book Antiqua"/>
          <w:color w:val="000000"/>
        </w:rPr>
        <w:t>h</w:t>
      </w:r>
      <w:r w:rsidRPr="008021CD">
        <w:rPr>
          <w:rFonts w:ascii="Book Antiqua" w:eastAsia="Book Antiqua" w:hAnsi="Book Antiqua" w:cs="Book Antiqua"/>
          <w:color w:val="000000"/>
        </w:rPr>
        <w:t>epatology</w:t>
      </w:r>
    </w:p>
    <w:p w14:paraId="5064568B"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 xml:space="preserve">Country/Territory of origin: </w:t>
      </w:r>
      <w:r w:rsidRPr="008021CD">
        <w:rPr>
          <w:rFonts w:ascii="Book Antiqua" w:eastAsia="Book Antiqua" w:hAnsi="Book Antiqua" w:cs="Book Antiqua"/>
          <w:color w:val="000000"/>
        </w:rPr>
        <w:t>United States</w:t>
      </w:r>
    </w:p>
    <w:p w14:paraId="3458E5F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b/>
          <w:color w:val="000000"/>
        </w:rPr>
        <w:t>Peer-review report’s scientific quality classification</w:t>
      </w:r>
    </w:p>
    <w:p w14:paraId="517B1BE8"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Grade A (Excellent): 0</w:t>
      </w:r>
    </w:p>
    <w:p w14:paraId="7AEA71B0"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Grade B (Very good): B, B</w:t>
      </w:r>
    </w:p>
    <w:p w14:paraId="0F18680C"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Grade C (Good): C</w:t>
      </w:r>
    </w:p>
    <w:p w14:paraId="365C589F"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Grade D (Fair): 0</w:t>
      </w:r>
    </w:p>
    <w:p w14:paraId="0FC09173" w14:textId="77777777" w:rsidR="00A77B3E" w:rsidRPr="008021CD" w:rsidRDefault="00A565FE" w:rsidP="008021CD">
      <w:pPr>
        <w:spacing w:line="360" w:lineRule="auto"/>
        <w:jc w:val="both"/>
        <w:rPr>
          <w:rFonts w:ascii="Book Antiqua" w:hAnsi="Book Antiqua"/>
        </w:rPr>
      </w:pPr>
      <w:r w:rsidRPr="008021CD">
        <w:rPr>
          <w:rFonts w:ascii="Book Antiqua" w:eastAsia="Book Antiqua" w:hAnsi="Book Antiqua" w:cs="Book Antiqua"/>
          <w:color w:val="000000"/>
        </w:rPr>
        <w:t>Grade E (Poor): 0</w:t>
      </w:r>
    </w:p>
    <w:p w14:paraId="69989967" w14:textId="77777777" w:rsidR="00A77B3E" w:rsidRPr="008021CD" w:rsidRDefault="00A77B3E" w:rsidP="008021CD">
      <w:pPr>
        <w:spacing w:line="360" w:lineRule="auto"/>
        <w:jc w:val="both"/>
        <w:rPr>
          <w:rFonts w:ascii="Book Antiqua" w:hAnsi="Book Antiqua"/>
        </w:rPr>
      </w:pPr>
    </w:p>
    <w:p w14:paraId="1E420034" w14:textId="77777777" w:rsidR="0004087D" w:rsidRPr="008021CD" w:rsidRDefault="00A565FE" w:rsidP="008021CD">
      <w:pPr>
        <w:spacing w:line="360" w:lineRule="auto"/>
        <w:jc w:val="both"/>
        <w:rPr>
          <w:rFonts w:ascii="Book Antiqua" w:eastAsia="Book Antiqua" w:hAnsi="Book Antiqua" w:cs="Book Antiqua"/>
          <w:bCs/>
          <w:color w:val="000000"/>
        </w:rPr>
      </w:pPr>
      <w:r w:rsidRPr="008021CD">
        <w:rPr>
          <w:rFonts w:ascii="Book Antiqua" w:eastAsia="Book Antiqua" w:hAnsi="Book Antiqua" w:cs="Book Antiqua"/>
          <w:b/>
          <w:color w:val="000000"/>
        </w:rPr>
        <w:t xml:space="preserve">P-Reviewer: </w:t>
      </w:r>
      <w:r w:rsidRPr="008021CD">
        <w:rPr>
          <w:rFonts w:ascii="Book Antiqua" w:eastAsia="Book Antiqua" w:hAnsi="Book Antiqua" w:cs="Book Antiqua"/>
          <w:color w:val="000000"/>
        </w:rPr>
        <w:t>Moriya K, Japan; Rodrigues AT, Brazil</w:t>
      </w:r>
      <w:r w:rsidRPr="008021CD">
        <w:rPr>
          <w:rFonts w:ascii="Book Antiqua" w:eastAsia="Book Antiqua" w:hAnsi="Book Antiqua" w:cs="Book Antiqua"/>
          <w:b/>
          <w:color w:val="000000"/>
        </w:rPr>
        <w:t xml:space="preserve"> S-Editor: </w:t>
      </w:r>
      <w:r w:rsidR="000E61D2" w:rsidRPr="008021CD">
        <w:rPr>
          <w:rFonts w:ascii="Book Antiqua" w:eastAsia="Book Antiqua" w:hAnsi="Book Antiqua" w:cs="Book Antiqua"/>
          <w:bCs/>
          <w:color w:val="000000"/>
        </w:rPr>
        <w:t>Wang JJ</w:t>
      </w:r>
      <w:r w:rsidRPr="008021CD">
        <w:rPr>
          <w:rFonts w:ascii="Book Antiqua" w:eastAsia="Book Antiqua" w:hAnsi="Book Antiqua" w:cs="Book Antiqua"/>
          <w:b/>
          <w:color w:val="000000"/>
        </w:rPr>
        <w:t xml:space="preserve"> L-Editor: </w:t>
      </w:r>
      <w:r w:rsidR="0075112B" w:rsidRPr="00506786">
        <w:rPr>
          <w:rFonts w:ascii="Book Antiqua" w:eastAsia="Book Antiqua" w:hAnsi="Book Antiqua" w:cs="Book Antiqua"/>
          <w:color w:val="000000"/>
        </w:rPr>
        <w:t>Webster JR</w:t>
      </w:r>
      <w:r w:rsidRPr="008021CD">
        <w:rPr>
          <w:rFonts w:ascii="Book Antiqua" w:eastAsia="Book Antiqua" w:hAnsi="Book Antiqua" w:cs="Book Antiqua"/>
          <w:b/>
          <w:color w:val="000000"/>
        </w:rPr>
        <w:t xml:space="preserve"> P-Editor:</w:t>
      </w:r>
      <w:r w:rsidR="0004087D" w:rsidRPr="008021CD">
        <w:rPr>
          <w:rFonts w:ascii="Book Antiqua" w:eastAsia="Book Antiqua" w:hAnsi="Book Antiqua" w:cs="Book Antiqua"/>
          <w:bCs/>
          <w:color w:val="000000"/>
        </w:rPr>
        <w:t xml:space="preserve"> </w:t>
      </w:r>
      <w:r w:rsidR="00AE1862">
        <w:rPr>
          <w:rFonts w:ascii="Book Antiqua" w:eastAsia="Book Antiqua" w:hAnsi="Book Antiqua" w:cs="Book Antiqua"/>
          <w:bCs/>
          <w:color w:val="000000"/>
        </w:rPr>
        <w:t>Wang JJ</w:t>
      </w:r>
    </w:p>
    <w:p w14:paraId="650E8110" w14:textId="77777777" w:rsidR="00A77B3E" w:rsidRPr="008021CD" w:rsidRDefault="00A565FE" w:rsidP="008021CD">
      <w:pPr>
        <w:spacing w:line="360" w:lineRule="auto"/>
        <w:jc w:val="both"/>
        <w:rPr>
          <w:rFonts w:ascii="Book Antiqua" w:hAnsi="Book Antiqua"/>
        </w:rPr>
        <w:sectPr w:rsidR="00A77B3E" w:rsidRPr="008021CD">
          <w:pgSz w:w="12240" w:h="15840"/>
          <w:pgMar w:top="1440" w:right="1440" w:bottom="1440" w:left="1440" w:header="720" w:footer="720" w:gutter="0"/>
          <w:cols w:space="720"/>
          <w:docGrid w:linePitch="360"/>
        </w:sectPr>
      </w:pPr>
      <w:r w:rsidRPr="008021CD">
        <w:rPr>
          <w:rFonts w:ascii="Book Antiqua" w:eastAsia="Book Antiqua" w:hAnsi="Book Antiqua" w:cs="Book Antiqua"/>
          <w:b/>
          <w:color w:val="000000"/>
        </w:rPr>
        <w:t xml:space="preserve"> </w:t>
      </w:r>
    </w:p>
    <w:p w14:paraId="787A2929" w14:textId="77777777" w:rsidR="00A77B3E" w:rsidRPr="008021CD" w:rsidRDefault="00A565FE" w:rsidP="008021CD">
      <w:pPr>
        <w:spacing w:line="360" w:lineRule="auto"/>
        <w:jc w:val="both"/>
        <w:rPr>
          <w:rFonts w:ascii="Book Antiqua" w:eastAsia="Book Antiqua" w:hAnsi="Book Antiqua" w:cs="Book Antiqua"/>
          <w:b/>
          <w:color w:val="000000"/>
        </w:rPr>
      </w:pPr>
      <w:r w:rsidRPr="008021CD">
        <w:rPr>
          <w:rFonts w:ascii="Book Antiqua" w:eastAsia="Book Antiqua" w:hAnsi="Book Antiqua" w:cs="Book Antiqua"/>
          <w:b/>
          <w:color w:val="000000"/>
        </w:rPr>
        <w:lastRenderedPageBreak/>
        <w:t>Figure Legends</w:t>
      </w:r>
    </w:p>
    <w:p w14:paraId="018A0EBF" w14:textId="1AE9BF4A" w:rsidR="000E61D2" w:rsidRPr="008021CD" w:rsidRDefault="00E47FEE" w:rsidP="008021CD">
      <w:pPr>
        <w:spacing w:line="360" w:lineRule="auto"/>
        <w:jc w:val="both"/>
        <w:rPr>
          <w:rFonts w:ascii="Book Antiqua" w:hAnsi="Book Antiqua"/>
        </w:rPr>
      </w:pPr>
      <w:r>
        <w:rPr>
          <w:noProof/>
        </w:rPr>
        <w:drawing>
          <wp:inline distT="0" distB="0" distL="0" distR="0" wp14:anchorId="03EFC903" wp14:editId="11A8FC75">
            <wp:extent cx="5803265" cy="4075430"/>
            <wp:effectExtent l="0" t="0" r="698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265" cy="4075430"/>
                    </a:xfrm>
                    <a:prstGeom prst="rect">
                      <a:avLst/>
                    </a:prstGeom>
                    <a:noFill/>
                    <a:ln>
                      <a:noFill/>
                    </a:ln>
                  </pic:spPr>
                </pic:pic>
              </a:graphicData>
            </a:graphic>
          </wp:inline>
        </w:drawing>
      </w:r>
    </w:p>
    <w:p w14:paraId="28646AD0" w14:textId="77777777" w:rsidR="00A77B3E" w:rsidRPr="008021CD" w:rsidRDefault="00A565FE"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b/>
          <w:bCs/>
          <w:color w:val="000000"/>
        </w:rPr>
        <w:t>Figure 1 Flow chart showing patient selection for study cohorts.</w:t>
      </w:r>
      <w:r w:rsidRPr="008021CD">
        <w:rPr>
          <w:rFonts w:ascii="Book Antiqua" w:eastAsia="Book Antiqua" w:hAnsi="Book Antiqua" w:cs="Book Antiqua"/>
          <w:color w:val="000000"/>
        </w:rPr>
        <w:t xml:space="preserve"> COVID-19: Coronavirus disease-2019; AIH: Autoimmune hepatitis; CLD: Chronic liver disease.</w:t>
      </w:r>
    </w:p>
    <w:p w14:paraId="2F627499" w14:textId="77777777" w:rsidR="000E61D2" w:rsidRPr="008021CD" w:rsidRDefault="000E61D2" w:rsidP="008021CD">
      <w:pPr>
        <w:spacing w:line="360" w:lineRule="auto"/>
        <w:jc w:val="both"/>
        <w:rPr>
          <w:rFonts w:ascii="Book Antiqua" w:eastAsia="Book Antiqua" w:hAnsi="Book Antiqua" w:cs="Book Antiqua"/>
          <w:color w:val="000000"/>
        </w:rPr>
      </w:pPr>
    </w:p>
    <w:p w14:paraId="6F1FD80D" w14:textId="2EF7C279" w:rsidR="001579EF" w:rsidRPr="008021CD" w:rsidRDefault="00E47FEE" w:rsidP="008021CD">
      <w:pPr>
        <w:spacing w:line="360" w:lineRule="auto"/>
        <w:jc w:val="both"/>
        <w:rPr>
          <w:rFonts w:ascii="Book Antiqua" w:hAnsi="Book Antiqua"/>
        </w:rPr>
      </w:pPr>
      <w:r>
        <w:rPr>
          <w:noProof/>
        </w:rPr>
        <w:lastRenderedPageBreak/>
        <w:drawing>
          <wp:inline distT="0" distB="0" distL="0" distR="0" wp14:anchorId="4FEA1B3A" wp14:editId="357D9CDE">
            <wp:extent cx="4646295" cy="509524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6295" cy="5095240"/>
                    </a:xfrm>
                    <a:prstGeom prst="rect">
                      <a:avLst/>
                    </a:prstGeom>
                    <a:noFill/>
                    <a:ln>
                      <a:noFill/>
                    </a:ln>
                  </pic:spPr>
                </pic:pic>
              </a:graphicData>
            </a:graphic>
          </wp:inline>
        </w:drawing>
      </w:r>
    </w:p>
    <w:p w14:paraId="33B05157" w14:textId="77777777" w:rsidR="00A77B3E" w:rsidRPr="008021CD" w:rsidRDefault="00A565FE" w:rsidP="008021CD">
      <w:pPr>
        <w:spacing w:line="360" w:lineRule="auto"/>
        <w:jc w:val="both"/>
        <w:rPr>
          <w:rFonts w:ascii="Book Antiqua" w:eastAsia="Book Antiqua" w:hAnsi="Book Antiqua" w:cs="Book Antiqua"/>
          <w:color w:val="000000"/>
        </w:rPr>
      </w:pPr>
      <w:r w:rsidRPr="008021CD">
        <w:rPr>
          <w:rFonts w:ascii="Book Antiqua" w:eastAsia="Book Antiqua" w:hAnsi="Book Antiqua" w:cs="Book Antiqua"/>
          <w:b/>
          <w:bCs/>
          <w:color w:val="000000"/>
        </w:rPr>
        <w:t xml:space="preserve">Figure 2 Risk of all-cause mortality, </w:t>
      </w:r>
      <w:r w:rsidR="0084132E" w:rsidRPr="008021CD">
        <w:rPr>
          <w:rFonts w:ascii="Book Antiqua" w:eastAsia="Book Antiqua" w:hAnsi="Book Antiqua" w:cs="Book Antiqua"/>
          <w:b/>
          <w:bCs/>
          <w:color w:val="000000"/>
        </w:rPr>
        <w:t xml:space="preserve">rates of </w:t>
      </w:r>
      <w:r w:rsidRPr="008021CD">
        <w:rPr>
          <w:rFonts w:ascii="Book Antiqua" w:eastAsia="Book Antiqua" w:hAnsi="Book Antiqua" w:cs="Book Antiqua"/>
          <w:b/>
          <w:bCs/>
          <w:color w:val="000000"/>
        </w:rPr>
        <w:t xml:space="preserve">hospitalization, severe diseases, </w:t>
      </w:r>
      <w:r w:rsidR="0084132E" w:rsidRPr="008021CD">
        <w:rPr>
          <w:rFonts w:ascii="Book Antiqua" w:eastAsia="Book Antiqua" w:hAnsi="Book Antiqua" w:cs="Book Antiqua"/>
          <w:b/>
          <w:bCs/>
          <w:color w:val="000000"/>
        </w:rPr>
        <w:t>need for critical care, need for mechanical ventilation</w:t>
      </w:r>
      <w:r w:rsidR="001C2E01">
        <w:rPr>
          <w:rFonts w:ascii="Book Antiqua" w:eastAsia="Book Antiqua" w:hAnsi="Book Antiqua" w:cs="Book Antiqua"/>
          <w:b/>
          <w:bCs/>
          <w:color w:val="000000"/>
        </w:rPr>
        <w:t>,</w:t>
      </w:r>
      <w:r w:rsidR="0084132E" w:rsidRPr="008021CD">
        <w:rPr>
          <w:rFonts w:ascii="Book Antiqua" w:eastAsia="Book Antiqua" w:hAnsi="Book Antiqua" w:cs="Book Antiqua"/>
          <w:b/>
          <w:bCs/>
          <w:color w:val="000000"/>
        </w:rPr>
        <w:t xml:space="preserve"> and </w:t>
      </w:r>
      <w:r w:rsidRPr="008021CD">
        <w:rPr>
          <w:rFonts w:ascii="Book Antiqua" w:eastAsia="Book Antiqua" w:hAnsi="Book Antiqua" w:cs="Book Antiqua"/>
          <w:b/>
          <w:bCs/>
          <w:color w:val="000000"/>
        </w:rPr>
        <w:t xml:space="preserve">acute kidney injury, at 30 d from </w:t>
      </w:r>
      <w:r w:rsidR="001579EF" w:rsidRPr="008021CD">
        <w:rPr>
          <w:rFonts w:ascii="Book Antiqua" w:eastAsia="Book Antiqua" w:hAnsi="Book Antiqua" w:cs="Book Antiqua"/>
          <w:b/>
          <w:bCs/>
          <w:color w:val="000000"/>
        </w:rPr>
        <w:t>coronavirus disease 2019</w:t>
      </w:r>
      <w:r w:rsidRPr="008021CD">
        <w:rPr>
          <w:rFonts w:ascii="Book Antiqua" w:eastAsia="Book Antiqua" w:hAnsi="Book Antiqua" w:cs="Book Antiqua"/>
          <w:b/>
          <w:bCs/>
          <w:color w:val="000000"/>
        </w:rPr>
        <w:t xml:space="preserve"> diagnosis.</w:t>
      </w:r>
      <w:r w:rsidRPr="008021CD">
        <w:rPr>
          <w:rFonts w:ascii="Book Antiqua" w:eastAsia="Book Antiqua" w:hAnsi="Book Antiqua" w:cs="Book Antiqua"/>
          <w:color w:val="000000"/>
        </w:rPr>
        <w:t xml:space="preserve"> A: Between patients with autoimmune hepatitis and patients without any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liver diseases; B: Between patients with autoimmune hepatitis and patients with pre</w:t>
      </w:r>
      <w:r w:rsidR="0052183B" w:rsidRPr="008021CD">
        <w:rPr>
          <w:rFonts w:ascii="Book Antiqua" w:eastAsia="Book Antiqua" w:hAnsi="Book Antiqua" w:cs="Book Antiqua"/>
          <w:color w:val="000000"/>
        </w:rPr>
        <w:t>-</w:t>
      </w:r>
      <w:r w:rsidRPr="008021CD">
        <w:rPr>
          <w:rFonts w:ascii="Book Antiqua" w:eastAsia="Book Antiqua" w:hAnsi="Book Antiqua" w:cs="Book Antiqua"/>
          <w:color w:val="000000"/>
        </w:rPr>
        <w:t>existing liver diseases other than autoimmune hepatitis. The numbers inside the bars represent the number of patients who developed outcomes related to the study. AIH: Autoimmune hepatitis; CLD: Chronic liver disease.</w:t>
      </w:r>
    </w:p>
    <w:p w14:paraId="0E2D33FA" w14:textId="77777777" w:rsidR="000E61D2" w:rsidRPr="008021CD" w:rsidRDefault="000E61D2" w:rsidP="008021CD">
      <w:pPr>
        <w:spacing w:line="360" w:lineRule="auto"/>
        <w:jc w:val="both"/>
        <w:rPr>
          <w:rFonts w:ascii="Book Antiqua" w:hAnsi="Book Antiqua"/>
        </w:rPr>
        <w:sectPr w:rsidR="000E61D2" w:rsidRPr="008021CD">
          <w:pgSz w:w="12240" w:h="15840"/>
          <w:pgMar w:top="1440" w:right="1440" w:bottom="1440" w:left="1440" w:header="720" w:footer="720" w:gutter="0"/>
          <w:cols w:space="720"/>
          <w:docGrid w:linePitch="360"/>
        </w:sectPr>
      </w:pPr>
    </w:p>
    <w:p w14:paraId="772FA83A" w14:textId="77777777" w:rsidR="00043614" w:rsidRPr="008021CD" w:rsidRDefault="000E61D2" w:rsidP="008021CD">
      <w:pPr>
        <w:tabs>
          <w:tab w:val="left" w:pos="900"/>
        </w:tabs>
        <w:spacing w:line="360" w:lineRule="auto"/>
        <w:jc w:val="both"/>
        <w:rPr>
          <w:rFonts w:ascii="Book Antiqua" w:hAnsi="Book Antiqua"/>
          <w:b/>
        </w:rPr>
      </w:pPr>
      <w:r w:rsidRPr="008021CD">
        <w:rPr>
          <w:rFonts w:ascii="Book Antiqua" w:hAnsi="Book Antiqua"/>
          <w:b/>
          <w:bCs/>
        </w:rPr>
        <w:lastRenderedPageBreak/>
        <w:t>Table 1</w:t>
      </w:r>
      <w:r w:rsidR="009D309A" w:rsidRPr="008021CD">
        <w:rPr>
          <w:rFonts w:ascii="Book Antiqua" w:hAnsi="Book Antiqua"/>
          <w:b/>
        </w:rPr>
        <w:t xml:space="preserve"> Baseline characteristics of patients with autoimmune hepatitis and non-chronic liver diseases patients with a positive test for severe acute respiratory syndrome coronavirus-2</w:t>
      </w:r>
    </w:p>
    <w:tbl>
      <w:tblPr>
        <w:tblW w:w="11705" w:type="dxa"/>
        <w:tblInd w:w="-1026" w:type="dxa"/>
        <w:tblLayout w:type="fixed"/>
        <w:tblLook w:val="04A0" w:firstRow="1" w:lastRow="0" w:firstColumn="1" w:lastColumn="0" w:noHBand="0" w:noVBand="1"/>
      </w:tblPr>
      <w:tblGrid>
        <w:gridCol w:w="3969"/>
        <w:gridCol w:w="1418"/>
        <w:gridCol w:w="1701"/>
        <w:gridCol w:w="850"/>
        <w:gridCol w:w="1418"/>
        <w:gridCol w:w="1417"/>
        <w:gridCol w:w="932"/>
      </w:tblGrid>
      <w:tr w:rsidR="00043614" w:rsidRPr="009D309A" w14:paraId="5A5D1FDB" w14:textId="77777777">
        <w:trPr>
          <w:trHeight w:val="392"/>
        </w:trPr>
        <w:tc>
          <w:tcPr>
            <w:tcW w:w="3969" w:type="dxa"/>
            <w:vMerge w:val="restart"/>
            <w:tcBorders>
              <w:top w:val="single" w:sz="4" w:space="0" w:color="auto"/>
            </w:tcBorders>
          </w:tcPr>
          <w:p w14:paraId="7A55B1ED" w14:textId="77777777" w:rsidR="00043614" w:rsidRPr="009D309A" w:rsidRDefault="00043614">
            <w:pPr>
              <w:spacing w:line="360" w:lineRule="auto"/>
              <w:jc w:val="both"/>
              <w:rPr>
                <w:rFonts w:ascii="Book Antiqua" w:hAnsi="Book Antiqua"/>
                <w:b/>
                <w:bCs/>
              </w:rPr>
            </w:pPr>
            <w:r w:rsidRPr="009D309A">
              <w:rPr>
                <w:rFonts w:ascii="Book Antiqua" w:hAnsi="Book Antiqua"/>
                <w:b/>
                <w:bCs/>
              </w:rPr>
              <w:t>Variables</w:t>
            </w:r>
          </w:p>
        </w:tc>
        <w:tc>
          <w:tcPr>
            <w:tcW w:w="3969" w:type="dxa"/>
            <w:gridSpan w:val="3"/>
            <w:tcBorders>
              <w:top w:val="single" w:sz="4" w:space="0" w:color="auto"/>
              <w:bottom w:val="single" w:sz="4" w:space="0" w:color="auto"/>
            </w:tcBorders>
          </w:tcPr>
          <w:p w14:paraId="4497D0DA" w14:textId="77777777" w:rsidR="00043614" w:rsidRPr="009D309A" w:rsidRDefault="00043614">
            <w:pPr>
              <w:spacing w:line="360" w:lineRule="auto"/>
              <w:jc w:val="both"/>
              <w:rPr>
                <w:rFonts w:ascii="Book Antiqua" w:hAnsi="Book Antiqua"/>
                <w:b/>
                <w:bCs/>
              </w:rPr>
            </w:pPr>
            <w:r w:rsidRPr="009D309A">
              <w:rPr>
                <w:rFonts w:ascii="Book Antiqua" w:hAnsi="Book Antiqua"/>
                <w:b/>
                <w:bCs/>
              </w:rPr>
              <w:t>Before propensity score matching</w:t>
            </w:r>
          </w:p>
        </w:tc>
        <w:tc>
          <w:tcPr>
            <w:tcW w:w="3767" w:type="dxa"/>
            <w:gridSpan w:val="3"/>
            <w:tcBorders>
              <w:top w:val="single" w:sz="4" w:space="0" w:color="auto"/>
              <w:bottom w:val="single" w:sz="4" w:space="0" w:color="auto"/>
            </w:tcBorders>
          </w:tcPr>
          <w:p w14:paraId="0F340980" w14:textId="77777777" w:rsidR="00043614" w:rsidRPr="009D309A" w:rsidRDefault="00043614">
            <w:pPr>
              <w:spacing w:line="360" w:lineRule="auto"/>
              <w:jc w:val="both"/>
              <w:rPr>
                <w:rFonts w:ascii="Book Antiqua" w:hAnsi="Book Antiqua"/>
                <w:b/>
                <w:bCs/>
              </w:rPr>
            </w:pPr>
            <w:r w:rsidRPr="009D309A">
              <w:rPr>
                <w:rFonts w:ascii="Book Antiqua" w:hAnsi="Book Antiqua"/>
                <w:b/>
                <w:bCs/>
              </w:rPr>
              <w:t>After propensity score matching</w:t>
            </w:r>
          </w:p>
        </w:tc>
      </w:tr>
      <w:tr w:rsidR="00043614" w:rsidRPr="009D309A" w14:paraId="23F3F0EF" w14:textId="77777777">
        <w:trPr>
          <w:trHeight w:val="392"/>
        </w:trPr>
        <w:tc>
          <w:tcPr>
            <w:tcW w:w="3969" w:type="dxa"/>
            <w:vMerge/>
            <w:tcBorders>
              <w:bottom w:val="single" w:sz="4" w:space="0" w:color="auto"/>
            </w:tcBorders>
            <w:hideMark/>
          </w:tcPr>
          <w:p w14:paraId="419C02C7" w14:textId="77777777" w:rsidR="00043614" w:rsidRPr="009D309A" w:rsidRDefault="00043614">
            <w:pPr>
              <w:spacing w:line="360" w:lineRule="auto"/>
              <w:jc w:val="both"/>
              <w:rPr>
                <w:rFonts w:ascii="Book Antiqua" w:hAnsi="Book Antiqua"/>
                <w:b/>
                <w:bCs/>
              </w:rPr>
            </w:pPr>
            <w:bookmarkStart w:id="2" w:name="_Hlk90231028"/>
          </w:p>
        </w:tc>
        <w:tc>
          <w:tcPr>
            <w:tcW w:w="1418" w:type="dxa"/>
            <w:tcBorders>
              <w:top w:val="single" w:sz="4" w:space="0" w:color="auto"/>
              <w:bottom w:val="single" w:sz="4" w:space="0" w:color="auto"/>
            </w:tcBorders>
            <w:hideMark/>
          </w:tcPr>
          <w:p w14:paraId="19236D8D" w14:textId="77777777" w:rsidR="00043614" w:rsidRPr="00673A96" w:rsidRDefault="00043614">
            <w:pPr>
              <w:spacing w:line="360" w:lineRule="auto"/>
              <w:jc w:val="both"/>
              <w:rPr>
                <w:rFonts w:ascii="Book Antiqua" w:hAnsi="Book Antiqua"/>
                <w:b/>
                <w:bCs/>
              </w:rPr>
            </w:pPr>
            <w:r w:rsidRPr="009D309A">
              <w:rPr>
                <w:rFonts w:ascii="Book Antiqua" w:hAnsi="Book Antiqua"/>
                <w:b/>
                <w:bCs/>
              </w:rPr>
              <w:t>AIH</w:t>
            </w:r>
            <w:r w:rsidRPr="00673A96">
              <w:rPr>
                <w:rFonts w:ascii="Book Antiqua" w:hAnsi="Book Antiqua" w:hint="eastAsia"/>
                <w:b/>
                <w:bCs/>
                <w:lang w:eastAsia="zh-CN"/>
              </w:rPr>
              <w:t xml:space="preserve"> </w:t>
            </w:r>
            <w:r w:rsidRPr="00673A96">
              <w:rPr>
                <w:rFonts w:ascii="Book Antiqua" w:hAnsi="Book Antiqua"/>
                <w:b/>
                <w:bCs/>
              </w:rPr>
              <w:t>(</w:t>
            </w:r>
            <w:r w:rsidRPr="00673A96">
              <w:rPr>
                <w:rFonts w:ascii="Book Antiqua" w:hAnsi="Book Antiqua"/>
                <w:b/>
                <w:bCs/>
                <w:i/>
                <w:iCs/>
              </w:rPr>
              <w:t>n</w:t>
            </w:r>
            <w:r w:rsidRPr="00673A96">
              <w:rPr>
                <w:rFonts w:ascii="Book Antiqua" w:hAnsi="Book Antiqua"/>
                <w:b/>
                <w:bCs/>
              </w:rPr>
              <w:t xml:space="preserve"> = 375)</w:t>
            </w:r>
          </w:p>
        </w:tc>
        <w:tc>
          <w:tcPr>
            <w:tcW w:w="1701" w:type="dxa"/>
            <w:tcBorders>
              <w:top w:val="single" w:sz="4" w:space="0" w:color="auto"/>
              <w:bottom w:val="single" w:sz="4" w:space="0" w:color="auto"/>
            </w:tcBorders>
            <w:hideMark/>
          </w:tcPr>
          <w:p w14:paraId="7F2E8B37" w14:textId="77777777" w:rsidR="00043614" w:rsidRPr="00673A96" w:rsidRDefault="00043614">
            <w:pPr>
              <w:spacing w:line="360" w:lineRule="auto"/>
              <w:jc w:val="both"/>
              <w:rPr>
                <w:rFonts w:ascii="Book Antiqua" w:hAnsi="Book Antiqua"/>
                <w:b/>
                <w:bCs/>
              </w:rPr>
            </w:pPr>
            <w:r w:rsidRPr="009D309A">
              <w:rPr>
                <w:rFonts w:ascii="Book Antiqua" w:hAnsi="Book Antiqua"/>
                <w:b/>
                <w:bCs/>
              </w:rPr>
              <w:t>Non-CLD</w:t>
            </w:r>
            <w:r>
              <w:rPr>
                <w:rFonts w:ascii="Book Antiqua" w:hAnsi="Book Antiqua" w:hint="eastAsia"/>
                <w:b/>
                <w:bCs/>
                <w:lang w:eastAsia="zh-CN"/>
              </w:rPr>
              <w:t xml:space="preserve"> </w:t>
            </w:r>
            <w:r w:rsidRPr="00673A96">
              <w:rPr>
                <w:rFonts w:ascii="Book Antiqua" w:hAnsi="Book Antiqua"/>
                <w:b/>
                <w:bCs/>
              </w:rPr>
              <w:t>(</w:t>
            </w:r>
            <w:r w:rsidRPr="00673A96">
              <w:rPr>
                <w:rFonts w:ascii="Book Antiqua" w:hAnsi="Book Antiqua"/>
                <w:b/>
                <w:bCs/>
                <w:i/>
                <w:iCs/>
              </w:rPr>
              <w:t>n</w:t>
            </w:r>
            <w:r w:rsidRPr="00673A96">
              <w:rPr>
                <w:rFonts w:ascii="Book Antiqua" w:hAnsi="Book Antiqua"/>
                <w:b/>
                <w:bCs/>
              </w:rPr>
              <w:t xml:space="preserve"> = 1647915)</w:t>
            </w:r>
          </w:p>
        </w:tc>
        <w:tc>
          <w:tcPr>
            <w:tcW w:w="850" w:type="dxa"/>
            <w:tcBorders>
              <w:top w:val="single" w:sz="4" w:space="0" w:color="auto"/>
              <w:bottom w:val="single" w:sz="4" w:space="0" w:color="auto"/>
            </w:tcBorders>
          </w:tcPr>
          <w:p w14:paraId="379FCABF" w14:textId="77777777" w:rsidR="00043614" w:rsidRPr="009D309A" w:rsidRDefault="00043614">
            <w:pPr>
              <w:spacing w:line="360" w:lineRule="auto"/>
              <w:jc w:val="both"/>
              <w:rPr>
                <w:rFonts w:ascii="Book Antiqua" w:hAnsi="Book Antiqua"/>
                <w:b/>
                <w:lang w:eastAsia="en-IN"/>
              </w:rPr>
            </w:pPr>
            <w:r w:rsidRPr="00673A96">
              <w:rPr>
                <w:rFonts w:ascii="Book Antiqua" w:hAnsi="Book Antiqua"/>
                <w:b/>
                <w:i/>
                <w:iCs/>
                <w:lang w:eastAsia="en-IN"/>
              </w:rPr>
              <w:t>P</w:t>
            </w:r>
            <w:r>
              <w:rPr>
                <w:rFonts w:ascii="Book Antiqua" w:hAnsi="Book Antiqua"/>
                <w:b/>
                <w:lang w:eastAsia="en-IN"/>
              </w:rPr>
              <w:t xml:space="preserve"> v</w:t>
            </w:r>
            <w:r w:rsidRPr="009D309A">
              <w:rPr>
                <w:rFonts w:ascii="Book Antiqua" w:hAnsi="Book Antiqua"/>
                <w:b/>
                <w:lang w:eastAsia="en-IN"/>
              </w:rPr>
              <w:t>alue</w:t>
            </w:r>
          </w:p>
        </w:tc>
        <w:tc>
          <w:tcPr>
            <w:tcW w:w="1418" w:type="dxa"/>
            <w:tcBorders>
              <w:top w:val="single" w:sz="4" w:space="0" w:color="auto"/>
              <w:bottom w:val="single" w:sz="4" w:space="0" w:color="auto"/>
            </w:tcBorders>
          </w:tcPr>
          <w:p w14:paraId="0831CE58" w14:textId="77777777" w:rsidR="00043614" w:rsidRPr="00673A96" w:rsidRDefault="00043614">
            <w:pPr>
              <w:spacing w:line="360" w:lineRule="auto"/>
              <w:jc w:val="both"/>
              <w:rPr>
                <w:rFonts w:ascii="Book Antiqua" w:hAnsi="Book Antiqua"/>
                <w:b/>
                <w:bCs/>
              </w:rPr>
            </w:pPr>
            <w:r w:rsidRPr="009D309A">
              <w:rPr>
                <w:rFonts w:ascii="Book Antiqua" w:hAnsi="Book Antiqua"/>
                <w:b/>
                <w:bCs/>
              </w:rPr>
              <w:t>AIH</w:t>
            </w:r>
            <w:r w:rsidRPr="00673A96">
              <w:rPr>
                <w:rFonts w:ascii="Book Antiqua" w:hAnsi="Book Antiqua" w:hint="eastAsia"/>
                <w:b/>
                <w:bCs/>
                <w:lang w:eastAsia="zh-CN"/>
              </w:rPr>
              <w:t xml:space="preserve"> </w:t>
            </w:r>
            <w:r w:rsidRPr="00673A96">
              <w:rPr>
                <w:rFonts w:ascii="Book Antiqua" w:hAnsi="Book Antiqua"/>
                <w:b/>
                <w:bCs/>
              </w:rPr>
              <w:t>(</w:t>
            </w:r>
            <w:r w:rsidRPr="00673A96">
              <w:rPr>
                <w:rFonts w:ascii="Book Antiqua" w:hAnsi="Book Antiqua"/>
                <w:b/>
                <w:bCs/>
                <w:i/>
                <w:iCs/>
              </w:rPr>
              <w:t>n</w:t>
            </w:r>
            <w:r w:rsidRPr="00673A96">
              <w:rPr>
                <w:rFonts w:ascii="Book Antiqua" w:hAnsi="Book Antiqua"/>
                <w:b/>
                <w:bCs/>
              </w:rPr>
              <w:t xml:space="preserve"> = 375)</w:t>
            </w:r>
          </w:p>
        </w:tc>
        <w:tc>
          <w:tcPr>
            <w:tcW w:w="1417" w:type="dxa"/>
            <w:tcBorders>
              <w:top w:val="single" w:sz="4" w:space="0" w:color="auto"/>
              <w:bottom w:val="single" w:sz="4" w:space="0" w:color="auto"/>
            </w:tcBorders>
          </w:tcPr>
          <w:p w14:paraId="79C5A7FC" w14:textId="77777777" w:rsidR="00043614" w:rsidRPr="00673A96" w:rsidRDefault="00043614">
            <w:pPr>
              <w:spacing w:line="360" w:lineRule="auto"/>
              <w:jc w:val="both"/>
              <w:rPr>
                <w:rFonts w:ascii="Book Antiqua" w:hAnsi="Book Antiqua"/>
                <w:b/>
                <w:bCs/>
              </w:rPr>
            </w:pPr>
            <w:r w:rsidRPr="009D309A">
              <w:rPr>
                <w:rFonts w:ascii="Book Antiqua" w:hAnsi="Book Antiqua"/>
                <w:b/>
                <w:bCs/>
              </w:rPr>
              <w:t>Non-CLD</w:t>
            </w:r>
            <w:r w:rsidRPr="00673A96">
              <w:rPr>
                <w:rFonts w:ascii="Book Antiqua" w:hAnsi="Book Antiqua" w:hint="eastAsia"/>
                <w:b/>
                <w:bCs/>
                <w:lang w:eastAsia="zh-CN"/>
              </w:rPr>
              <w:t xml:space="preserve"> </w:t>
            </w:r>
            <w:r w:rsidRPr="00673A96">
              <w:rPr>
                <w:rFonts w:ascii="Book Antiqua" w:hAnsi="Book Antiqua"/>
                <w:b/>
                <w:bCs/>
              </w:rPr>
              <w:t>(</w:t>
            </w:r>
            <w:r w:rsidRPr="00673A96">
              <w:rPr>
                <w:rFonts w:ascii="Book Antiqua" w:hAnsi="Book Antiqua"/>
                <w:b/>
                <w:bCs/>
                <w:i/>
                <w:iCs/>
              </w:rPr>
              <w:t>n</w:t>
            </w:r>
            <w:r w:rsidRPr="00673A96">
              <w:rPr>
                <w:rFonts w:ascii="Book Antiqua" w:hAnsi="Book Antiqua"/>
                <w:b/>
                <w:bCs/>
              </w:rPr>
              <w:t xml:space="preserve"> = 375)</w:t>
            </w:r>
          </w:p>
        </w:tc>
        <w:tc>
          <w:tcPr>
            <w:tcW w:w="932" w:type="dxa"/>
            <w:tcBorders>
              <w:top w:val="single" w:sz="4" w:space="0" w:color="auto"/>
              <w:bottom w:val="single" w:sz="4" w:space="0" w:color="auto"/>
            </w:tcBorders>
          </w:tcPr>
          <w:p w14:paraId="2ECA5A38" w14:textId="77777777" w:rsidR="00043614" w:rsidRPr="009D309A" w:rsidRDefault="00043614">
            <w:pPr>
              <w:spacing w:line="360" w:lineRule="auto"/>
              <w:jc w:val="both"/>
              <w:rPr>
                <w:rFonts w:ascii="Book Antiqua" w:hAnsi="Book Antiqua"/>
                <w:b/>
                <w:lang w:eastAsia="en-IN"/>
              </w:rPr>
            </w:pPr>
            <w:r w:rsidRPr="00673A96">
              <w:rPr>
                <w:rFonts w:ascii="Book Antiqua" w:hAnsi="Book Antiqua"/>
                <w:b/>
                <w:i/>
                <w:iCs/>
                <w:lang w:eastAsia="en-IN"/>
              </w:rPr>
              <w:t>P</w:t>
            </w:r>
            <w:r>
              <w:rPr>
                <w:rFonts w:ascii="Book Antiqua" w:hAnsi="Book Antiqua"/>
                <w:b/>
                <w:lang w:eastAsia="en-IN"/>
              </w:rPr>
              <w:t xml:space="preserve"> v</w:t>
            </w:r>
            <w:r w:rsidRPr="009D309A">
              <w:rPr>
                <w:rFonts w:ascii="Book Antiqua" w:hAnsi="Book Antiqua"/>
                <w:b/>
                <w:lang w:eastAsia="en-IN"/>
              </w:rPr>
              <w:t>alue</w:t>
            </w:r>
          </w:p>
        </w:tc>
      </w:tr>
      <w:bookmarkEnd w:id="2"/>
      <w:tr w:rsidR="00043614" w:rsidRPr="009D309A" w14:paraId="0214741D" w14:textId="77777777">
        <w:trPr>
          <w:trHeight w:val="64"/>
        </w:trPr>
        <w:tc>
          <w:tcPr>
            <w:tcW w:w="3969" w:type="dxa"/>
            <w:tcBorders>
              <w:top w:val="single" w:sz="4" w:space="0" w:color="auto"/>
            </w:tcBorders>
            <w:hideMark/>
          </w:tcPr>
          <w:p w14:paraId="606ECB73" w14:textId="77777777" w:rsidR="00043614" w:rsidRPr="009D309A" w:rsidRDefault="00043614">
            <w:pPr>
              <w:spacing w:line="360" w:lineRule="auto"/>
              <w:jc w:val="both"/>
              <w:rPr>
                <w:rFonts w:ascii="Book Antiqua" w:hAnsi="Book Antiqua"/>
                <w:b/>
                <w:bCs/>
              </w:rPr>
            </w:pPr>
            <w:r w:rsidRPr="00673A96">
              <w:rPr>
                <w:rFonts w:ascii="Book Antiqua" w:hAnsi="Book Antiqua"/>
              </w:rPr>
              <w:t xml:space="preserve">Age, </w:t>
            </w:r>
            <w:proofErr w:type="spellStart"/>
            <w:r w:rsidRPr="009D309A">
              <w:rPr>
                <w:rFonts w:ascii="Book Antiqua" w:hAnsi="Book Antiqua"/>
              </w:rPr>
              <w:t>yr</w:t>
            </w:r>
            <w:proofErr w:type="spellEnd"/>
            <w:r w:rsidRPr="009D309A">
              <w:rPr>
                <w:rFonts w:ascii="Book Antiqua" w:hAnsi="Book Antiqua"/>
                <w:b/>
                <w:bCs/>
              </w:rPr>
              <w:t xml:space="preserve">, </w:t>
            </w:r>
            <w:r w:rsidRPr="009D309A">
              <w:rPr>
                <w:rFonts w:ascii="Book Antiqua" w:hAnsi="Book Antiqua"/>
              </w:rPr>
              <w:t>mean</w:t>
            </w:r>
            <w:r>
              <w:rPr>
                <w:rFonts w:ascii="Book Antiqua" w:hAnsi="Book Antiqua"/>
              </w:rPr>
              <w:t xml:space="preserve"> </w:t>
            </w:r>
            <w:r w:rsidRPr="009D309A">
              <w:rPr>
                <w:rFonts w:ascii="Book Antiqua" w:hAnsi="Book Antiqua"/>
              </w:rPr>
              <w:t>±</w:t>
            </w:r>
            <w:r>
              <w:rPr>
                <w:rFonts w:ascii="Book Antiqua" w:hAnsi="Book Antiqua"/>
              </w:rPr>
              <w:t xml:space="preserve"> </w:t>
            </w:r>
            <w:r w:rsidRPr="009D309A">
              <w:rPr>
                <w:rFonts w:ascii="Book Antiqua" w:hAnsi="Book Antiqua"/>
              </w:rPr>
              <w:t>SD</w:t>
            </w:r>
          </w:p>
        </w:tc>
        <w:tc>
          <w:tcPr>
            <w:tcW w:w="1418" w:type="dxa"/>
            <w:tcBorders>
              <w:top w:val="single" w:sz="4" w:space="0" w:color="auto"/>
            </w:tcBorders>
          </w:tcPr>
          <w:p w14:paraId="157FF7B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53.1 ± 18.4</w:t>
            </w:r>
          </w:p>
        </w:tc>
        <w:tc>
          <w:tcPr>
            <w:tcW w:w="1701" w:type="dxa"/>
            <w:tcBorders>
              <w:top w:val="single" w:sz="4" w:space="0" w:color="auto"/>
            </w:tcBorders>
          </w:tcPr>
          <w:p w14:paraId="694DC68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46.4 ± 18.8</w:t>
            </w:r>
          </w:p>
        </w:tc>
        <w:tc>
          <w:tcPr>
            <w:tcW w:w="850" w:type="dxa"/>
            <w:tcBorders>
              <w:top w:val="single" w:sz="4" w:space="0" w:color="auto"/>
            </w:tcBorders>
          </w:tcPr>
          <w:p w14:paraId="67C6B7C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Borders>
              <w:top w:val="single" w:sz="4" w:space="0" w:color="auto"/>
            </w:tcBorders>
          </w:tcPr>
          <w:p w14:paraId="4D847195"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53.1 ± 8.4</w:t>
            </w:r>
          </w:p>
        </w:tc>
        <w:tc>
          <w:tcPr>
            <w:tcW w:w="1417" w:type="dxa"/>
            <w:tcBorders>
              <w:top w:val="single" w:sz="4" w:space="0" w:color="auto"/>
            </w:tcBorders>
          </w:tcPr>
          <w:p w14:paraId="6D062E61"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53.2 ± 8.2</w:t>
            </w:r>
          </w:p>
        </w:tc>
        <w:tc>
          <w:tcPr>
            <w:tcW w:w="932" w:type="dxa"/>
            <w:tcBorders>
              <w:top w:val="single" w:sz="4" w:space="0" w:color="auto"/>
            </w:tcBorders>
          </w:tcPr>
          <w:p w14:paraId="212E237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0.97</w:t>
            </w:r>
          </w:p>
        </w:tc>
      </w:tr>
      <w:tr w:rsidR="00043614" w:rsidRPr="009D309A" w14:paraId="07F66B91" w14:textId="77777777">
        <w:trPr>
          <w:trHeight w:val="161"/>
        </w:trPr>
        <w:tc>
          <w:tcPr>
            <w:tcW w:w="3969" w:type="dxa"/>
            <w:hideMark/>
          </w:tcPr>
          <w:p w14:paraId="65B7401E" w14:textId="77777777" w:rsidR="00043614" w:rsidRPr="00673A96" w:rsidRDefault="00043614">
            <w:pPr>
              <w:spacing w:line="360" w:lineRule="auto"/>
              <w:jc w:val="both"/>
              <w:rPr>
                <w:rFonts w:ascii="Book Antiqua" w:hAnsi="Book Antiqua"/>
              </w:rPr>
            </w:pPr>
            <w:r w:rsidRPr="00673A96">
              <w:rPr>
                <w:rFonts w:ascii="Book Antiqua" w:hAnsi="Book Antiqua"/>
              </w:rPr>
              <w:t>Sex</w:t>
            </w:r>
            <w:r w:rsidRPr="000C460C">
              <w:rPr>
                <w:rFonts w:ascii="Book Antiqua" w:hAnsi="Book Antiqua"/>
                <w:bCs/>
              </w:rPr>
              <w:t xml:space="preserve">, </w:t>
            </w:r>
            <w:r w:rsidRPr="000C460C">
              <w:rPr>
                <w:rFonts w:ascii="Book Antiqua" w:hAnsi="Book Antiqua"/>
                <w:bCs/>
                <w:i/>
                <w:iCs/>
              </w:rPr>
              <w:t>n</w:t>
            </w:r>
            <w:r w:rsidRPr="000C460C">
              <w:rPr>
                <w:rFonts w:ascii="Book Antiqua" w:hAnsi="Book Antiqua"/>
                <w:bCs/>
              </w:rPr>
              <w:t xml:space="preserve"> (%)</w:t>
            </w:r>
          </w:p>
        </w:tc>
        <w:tc>
          <w:tcPr>
            <w:tcW w:w="1418" w:type="dxa"/>
          </w:tcPr>
          <w:p w14:paraId="4223B8F6" w14:textId="77777777" w:rsidR="00043614" w:rsidRPr="009D309A" w:rsidRDefault="00043614">
            <w:pPr>
              <w:spacing w:line="360" w:lineRule="auto"/>
              <w:jc w:val="both"/>
              <w:rPr>
                <w:rFonts w:ascii="Book Antiqua" w:hAnsi="Book Antiqua"/>
                <w:lang w:eastAsia="en-IN"/>
              </w:rPr>
            </w:pPr>
          </w:p>
        </w:tc>
        <w:tc>
          <w:tcPr>
            <w:tcW w:w="1701" w:type="dxa"/>
          </w:tcPr>
          <w:p w14:paraId="6F7B7BB9" w14:textId="77777777" w:rsidR="00043614" w:rsidRPr="009D309A" w:rsidRDefault="00043614">
            <w:pPr>
              <w:spacing w:line="360" w:lineRule="auto"/>
              <w:jc w:val="both"/>
              <w:rPr>
                <w:rFonts w:ascii="Book Antiqua" w:hAnsi="Book Antiqua"/>
                <w:lang w:eastAsia="en-IN"/>
              </w:rPr>
            </w:pPr>
          </w:p>
        </w:tc>
        <w:tc>
          <w:tcPr>
            <w:tcW w:w="850" w:type="dxa"/>
          </w:tcPr>
          <w:p w14:paraId="6F46578C" w14:textId="77777777" w:rsidR="00043614" w:rsidRPr="009D309A" w:rsidRDefault="00043614">
            <w:pPr>
              <w:spacing w:line="360" w:lineRule="auto"/>
              <w:jc w:val="both"/>
              <w:rPr>
                <w:rFonts w:ascii="Book Antiqua" w:hAnsi="Book Antiqua"/>
                <w:lang w:eastAsia="en-IN"/>
              </w:rPr>
            </w:pPr>
          </w:p>
        </w:tc>
        <w:tc>
          <w:tcPr>
            <w:tcW w:w="1418" w:type="dxa"/>
          </w:tcPr>
          <w:p w14:paraId="78999310" w14:textId="77777777" w:rsidR="00043614" w:rsidRPr="009D309A" w:rsidRDefault="00043614">
            <w:pPr>
              <w:spacing w:line="360" w:lineRule="auto"/>
              <w:jc w:val="both"/>
              <w:rPr>
                <w:rFonts w:ascii="Book Antiqua" w:hAnsi="Book Antiqua"/>
                <w:lang w:eastAsia="en-IN"/>
              </w:rPr>
            </w:pPr>
          </w:p>
        </w:tc>
        <w:tc>
          <w:tcPr>
            <w:tcW w:w="1417" w:type="dxa"/>
          </w:tcPr>
          <w:p w14:paraId="36ABBABC" w14:textId="77777777" w:rsidR="00043614" w:rsidRPr="009D309A" w:rsidRDefault="00043614">
            <w:pPr>
              <w:spacing w:line="360" w:lineRule="auto"/>
              <w:jc w:val="both"/>
              <w:rPr>
                <w:rFonts w:ascii="Book Antiqua" w:hAnsi="Book Antiqua"/>
                <w:lang w:eastAsia="en-IN"/>
              </w:rPr>
            </w:pPr>
          </w:p>
        </w:tc>
        <w:tc>
          <w:tcPr>
            <w:tcW w:w="932" w:type="dxa"/>
          </w:tcPr>
          <w:p w14:paraId="752783C1" w14:textId="77777777" w:rsidR="00043614" w:rsidRPr="009D309A" w:rsidRDefault="00043614">
            <w:pPr>
              <w:spacing w:line="360" w:lineRule="auto"/>
              <w:jc w:val="both"/>
              <w:rPr>
                <w:rFonts w:ascii="Book Antiqua" w:hAnsi="Book Antiqua"/>
                <w:lang w:eastAsia="en-IN"/>
              </w:rPr>
            </w:pPr>
          </w:p>
        </w:tc>
      </w:tr>
      <w:tr w:rsidR="00043614" w:rsidRPr="009D309A" w14:paraId="50253E0A" w14:textId="77777777">
        <w:trPr>
          <w:trHeight w:val="161"/>
        </w:trPr>
        <w:tc>
          <w:tcPr>
            <w:tcW w:w="3969" w:type="dxa"/>
          </w:tcPr>
          <w:p w14:paraId="1389553F" w14:textId="77777777" w:rsidR="00043614" w:rsidRPr="00673A96" w:rsidRDefault="00043614">
            <w:pPr>
              <w:spacing w:line="360" w:lineRule="auto"/>
              <w:jc w:val="both"/>
              <w:rPr>
                <w:rFonts w:ascii="Book Antiqua" w:hAnsi="Book Antiqua"/>
              </w:rPr>
            </w:pPr>
            <w:r w:rsidRPr="009D309A">
              <w:rPr>
                <w:rFonts w:ascii="Book Antiqua" w:hAnsi="Book Antiqua"/>
              </w:rPr>
              <w:t>Female</w:t>
            </w:r>
          </w:p>
        </w:tc>
        <w:tc>
          <w:tcPr>
            <w:tcW w:w="1418" w:type="dxa"/>
          </w:tcPr>
          <w:p w14:paraId="169814E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271</w:t>
            </w:r>
            <w:r>
              <w:rPr>
                <w:rFonts w:ascii="Book Antiqua" w:hAnsi="Book Antiqua"/>
                <w:lang w:eastAsia="en-IN"/>
              </w:rPr>
              <w:t xml:space="preserve"> </w:t>
            </w:r>
            <w:r w:rsidRPr="009D309A">
              <w:rPr>
                <w:rFonts w:ascii="Book Antiqua" w:hAnsi="Book Antiqua"/>
                <w:lang w:eastAsia="en-IN"/>
              </w:rPr>
              <w:t>(72.2)</w:t>
            </w:r>
          </w:p>
        </w:tc>
        <w:tc>
          <w:tcPr>
            <w:tcW w:w="1701" w:type="dxa"/>
          </w:tcPr>
          <w:p w14:paraId="636597A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893768</w:t>
            </w:r>
            <w:r>
              <w:rPr>
                <w:rFonts w:ascii="Book Antiqua" w:hAnsi="Book Antiqua"/>
                <w:lang w:eastAsia="en-IN"/>
              </w:rPr>
              <w:t xml:space="preserve"> </w:t>
            </w:r>
            <w:r w:rsidRPr="009D309A">
              <w:rPr>
                <w:rFonts w:ascii="Book Antiqua" w:hAnsi="Book Antiqua"/>
                <w:lang w:eastAsia="en-IN"/>
              </w:rPr>
              <w:t>(54.2)</w:t>
            </w:r>
          </w:p>
        </w:tc>
        <w:tc>
          <w:tcPr>
            <w:tcW w:w="850" w:type="dxa"/>
          </w:tcPr>
          <w:p w14:paraId="4B790B4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7DB1D86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271</w:t>
            </w:r>
            <w:r>
              <w:rPr>
                <w:rFonts w:ascii="Book Antiqua" w:hAnsi="Book Antiqua"/>
                <w:lang w:eastAsia="en-IN"/>
              </w:rPr>
              <w:t xml:space="preserve"> </w:t>
            </w:r>
            <w:r w:rsidRPr="009D309A">
              <w:rPr>
                <w:rFonts w:ascii="Book Antiqua" w:hAnsi="Book Antiqua"/>
                <w:lang w:eastAsia="en-IN"/>
              </w:rPr>
              <w:t>(72.2)</w:t>
            </w:r>
          </w:p>
        </w:tc>
        <w:tc>
          <w:tcPr>
            <w:tcW w:w="1417" w:type="dxa"/>
          </w:tcPr>
          <w:p w14:paraId="2AC7400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256</w:t>
            </w:r>
            <w:r>
              <w:rPr>
                <w:rFonts w:ascii="Book Antiqua" w:hAnsi="Book Antiqua"/>
                <w:lang w:eastAsia="en-IN"/>
              </w:rPr>
              <w:t xml:space="preserve"> </w:t>
            </w:r>
            <w:r w:rsidRPr="009D309A">
              <w:rPr>
                <w:rFonts w:ascii="Book Antiqua" w:hAnsi="Book Antiqua"/>
                <w:lang w:eastAsia="en-IN"/>
              </w:rPr>
              <w:t>(68.2)</w:t>
            </w:r>
          </w:p>
        </w:tc>
        <w:tc>
          <w:tcPr>
            <w:tcW w:w="932" w:type="dxa"/>
          </w:tcPr>
          <w:p w14:paraId="38EF51E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0.23</w:t>
            </w:r>
          </w:p>
        </w:tc>
      </w:tr>
      <w:tr w:rsidR="00043614" w:rsidRPr="009D309A" w14:paraId="1B84AEBF" w14:textId="77777777">
        <w:trPr>
          <w:trHeight w:val="161"/>
        </w:trPr>
        <w:tc>
          <w:tcPr>
            <w:tcW w:w="3969" w:type="dxa"/>
          </w:tcPr>
          <w:p w14:paraId="3FC9F7E6" w14:textId="77777777" w:rsidR="00043614" w:rsidRPr="00673A96" w:rsidRDefault="00043614">
            <w:pPr>
              <w:spacing w:line="360" w:lineRule="auto"/>
              <w:jc w:val="both"/>
              <w:rPr>
                <w:rFonts w:ascii="Book Antiqua" w:hAnsi="Book Antiqua"/>
              </w:rPr>
            </w:pPr>
            <w:r w:rsidRPr="00673A96">
              <w:rPr>
                <w:rFonts w:ascii="Book Antiqua" w:hAnsi="Book Antiqua"/>
              </w:rPr>
              <w:t>Ethnicity</w:t>
            </w:r>
            <w:r w:rsidRPr="000C460C">
              <w:rPr>
                <w:rFonts w:ascii="Book Antiqua" w:hAnsi="Book Antiqua"/>
                <w:bCs/>
              </w:rPr>
              <w:t xml:space="preserve">, </w:t>
            </w:r>
            <w:r w:rsidRPr="000C460C">
              <w:rPr>
                <w:rFonts w:ascii="Book Antiqua" w:hAnsi="Book Antiqua"/>
                <w:bCs/>
                <w:i/>
                <w:iCs/>
              </w:rPr>
              <w:t>n</w:t>
            </w:r>
            <w:r w:rsidRPr="000C460C">
              <w:rPr>
                <w:rFonts w:ascii="Book Antiqua" w:hAnsi="Book Antiqua"/>
                <w:bCs/>
              </w:rPr>
              <w:t xml:space="preserve"> (%)</w:t>
            </w:r>
          </w:p>
        </w:tc>
        <w:tc>
          <w:tcPr>
            <w:tcW w:w="1418" w:type="dxa"/>
          </w:tcPr>
          <w:p w14:paraId="42380C78" w14:textId="77777777" w:rsidR="00043614" w:rsidRPr="009D309A" w:rsidRDefault="00043614">
            <w:pPr>
              <w:spacing w:line="360" w:lineRule="auto"/>
              <w:jc w:val="both"/>
              <w:rPr>
                <w:rFonts w:ascii="Book Antiqua" w:hAnsi="Book Antiqua"/>
                <w:lang w:eastAsia="en-IN"/>
              </w:rPr>
            </w:pPr>
          </w:p>
        </w:tc>
        <w:tc>
          <w:tcPr>
            <w:tcW w:w="1701" w:type="dxa"/>
          </w:tcPr>
          <w:p w14:paraId="7B43303B" w14:textId="77777777" w:rsidR="00043614" w:rsidRPr="009D309A" w:rsidRDefault="00043614">
            <w:pPr>
              <w:spacing w:line="360" w:lineRule="auto"/>
              <w:jc w:val="both"/>
              <w:rPr>
                <w:rFonts w:ascii="Book Antiqua" w:hAnsi="Book Antiqua"/>
                <w:lang w:eastAsia="en-IN"/>
              </w:rPr>
            </w:pPr>
          </w:p>
        </w:tc>
        <w:tc>
          <w:tcPr>
            <w:tcW w:w="850" w:type="dxa"/>
          </w:tcPr>
          <w:p w14:paraId="5B9E4310" w14:textId="77777777" w:rsidR="00043614" w:rsidRPr="009D309A" w:rsidRDefault="00043614">
            <w:pPr>
              <w:spacing w:line="360" w:lineRule="auto"/>
              <w:jc w:val="both"/>
              <w:rPr>
                <w:rFonts w:ascii="Book Antiqua" w:hAnsi="Book Antiqua"/>
                <w:lang w:eastAsia="en-IN"/>
              </w:rPr>
            </w:pPr>
          </w:p>
        </w:tc>
        <w:tc>
          <w:tcPr>
            <w:tcW w:w="1418" w:type="dxa"/>
          </w:tcPr>
          <w:p w14:paraId="617FB1EC" w14:textId="77777777" w:rsidR="00043614" w:rsidRPr="009D309A" w:rsidRDefault="00043614">
            <w:pPr>
              <w:spacing w:line="360" w:lineRule="auto"/>
              <w:jc w:val="both"/>
              <w:rPr>
                <w:rFonts w:ascii="Book Antiqua" w:hAnsi="Book Antiqua"/>
                <w:lang w:eastAsia="en-IN"/>
              </w:rPr>
            </w:pPr>
          </w:p>
        </w:tc>
        <w:tc>
          <w:tcPr>
            <w:tcW w:w="1417" w:type="dxa"/>
          </w:tcPr>
          <w:p w14:paraId="7AD9A743" w14:textId="77777777" w:rsidR="00043614" w:rsidRPr="009D309A" w:rsidRDefault="00043614">
            <w:pPr>
              <w:spacing w:line="360" w:lineRule="auto"/>
              <w:jc w:val="both"/>
              <w:rPr>
                <w:rFonts w:ascii="Book Antiqua" w:hAnsi="Book Antiqua"/>
                <w:lang w:eastAsia="en-IN"/>
              </w:rPr>
            </w:pPr>
          </w:p>
        </w:tc>
        <w:tc>
          <w:tcPr>
            <w:tcW w:w="932" w:type="dxa"/>
          </w:tcPr>
          <w:p w14:paraId="0AF2B133" w14:textId="77777777" w:rsidR="00043614" w:rsidRPr="009D309A" w:rsidRDefault="00043614">
            <w:pPr>
              <w:spacing w:line="360" w:lineRule="auto"/>
              <w:jc w:val="both"/>
              <w:rPr>
                <w:rFonts w:ascii="Book Antiqua" w:hAnsi="Book Antiqua"/>
                <w:lang w:eastAsia="en-IN"/>
              </w:rPr>
            </w:pPr>
          </w:p>
        </w:tc>
      </w:tr>
      <w:tr w:rsidR="00043614" w:rsidRPr="009D309A" w14:paraId="1079A262" w14:textId="77777777">
        <w:trPr>
          <w:trHeight w:val="161"/>
        </w:trPr>
        <w:tc>
          <w:tcPr>
            <w:tcW w:w="3969" w:type="dxa"/>
          </w:tcPr>
          <w:p w14:paraId="4C309839" w14:textId="77777777" w:rsidR="00043614" w:rsidRPr="009D309A" w:rsidRDefault="00043614">
            <w:pPr>
              <w:spacing w:line="360" w:lineRule="auto"/>
              <w:jc w:val="both"/>
              <w:rPr>
                <w:rFonts w:ascii="Book Antiqua" w:hAnsi="Book Antiqua"/>
              </w:rPr>
            </w:pPr>
            <w:r w:rsidRPr="00673A96">
              <w:rPr>
                <w:rFonts w:ascii="Book Antiqua" w:hAnsi="Book Antiqua"/>
                <w:iCs/>
              </w:rPr>
              <w:t>Hispanic or Latino</w:t>
            </w:r>
          </w:p>
        </w:tc>
        <w:tc>
          <w:tcPr>
            <w:tcW w:w="1418" w:type="dxa"/>
          </w:tcPr>
          <w:p w14:paraId="7F4C9D71"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p>
        </w:tc>
        <w:tc>
          <w:tcPr>
            <w:tcW w:w="1701" w:type="dxa"/>
          </w:tcPr>
          <w:p w14:paraId="3940F6F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144535</w:t>
            </w:r>
            <w:r>
              <w:rPr>
                <w:rFonts w:ascii="Book Antiqua" w:hAnsi="Book Antiqua"/>
                <w:lang w:eastAsia="en-IN"/>
              </w:rPr>
              <w:t xml:space="preserve"> </w:t>
            </w:r>
            <w:r w:rsidRPr="009D309A">
              <w:rPr>
                <w:rFonts w:ascii="Book Antiqua" w:hAnsi="Book Antiqua"/>
                <w:lang w:eastAsia="en-IN"/>
              </w:rPr>
              <w:t>(8.7)</w:t>
            </w:r>
            <w:r>
              <w:rPr>
                <w:rFonts w:ascii="Book Antiqua" w:hAnsi="Book Antiqua"/>
                <w:lang w:eastAsia="en-IN"/>
              </w:rPr>
              <w:t xml:space="preserve"> </w:t>
            </w:r>
          </w:p>
        </w:tc>
        <w:tc>
          <w:tcPr>
            <w:tcW w:w="850" w:type="dxa"/>
          </w:tcPr>
          <w:p w14:paraId="0C4FC9A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0.45</w:t>
            </w:r>
          </w:p>
        </w:tc>
        <w:tc>
          <w:tcPr>
            <w:tcW w:w="1418" w:type="dxa"/>
          </w:tcPr>
          <w:p w14:paraId="6BF72C8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r>
              <w:rPr>
                <w:rFonts w:ascii="Book Antiqua" w:hAnsi="Book Antiqua"/>
                <w:lang w:eastAsia="en-IN"/>
              </w:rPr>
              <w:t xml:space="preserve"> </w:t>
            </w:r>
          </w:p>
        </w:tc>
        <w:tc>
          <w:tcPr>
            <w:tcW w:w="1417" w:type="dxa"/>
          </w:tcPr>
          <w:p w14:paraId="04735D35"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36</w:t>
            </w:r>
            <w:r>
              <w:rPr>
                <w:rFonts w:ascii="Book Antiqua" w:hAnsi="Book Antiqua"/>
                <w:lang w:eastAsia="en-IN"/>
              </w:rPr>
              <w:t xml:space="preserve"> </w:t>
            </w:r>
            <w:r w:rsidRPr="009D309A">
              <w:rPr>
                <w:rFonts w:ascii="Book Antiqua" w:hAnsi="Book Antiqua"/>
                <w:lang w:eastAsia="en-IN"/>
              </w:rPr>
              <w:t>(9.6)</w:t>
            </w:r>
            <w:r>
              <w:rPr>
                <w:rFonts w:ascii="Book Antiqua" w:hAnsi="Book Antiqua"/>
                <w:lang w:eastAsia="en-IN"/>
              </w:rPr>
              <w:t xml:space="preserve"> </w:t>
            </w:r>
          </w:p>
        </w:tc>
        <w:tc>
          <w:tcPr>
            <w:tcW w:w="932" w:type="dxa"/>
          </w:tcPr>
          <w:p w14:paraId="58CB75F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0.90</w:t>
            </w:r>
          </w:p>
        </w:tc>
      </w:tr>
      <w:tr w:rsidR="00043614" w:rsidRPr="009D309A" w14:paraId="6154CD5A" w14:textId="77777777">
        <w:trPr>
          <w:trHeight w:val="161"/>
        </w:trPr>
        <w:tc>
          <w:tcPr>
            <w:tcW w:w="3969" w:type="dxa"/>
          </w:tcPr>
          <w:p w14:paraId="255743AC" w14:textId="77777777" w:rsidR="00043614" w:rsidRPr="009D309A" w:rsidRDefault="00043614">
            <w:pPr>
              <w:spacing w:line="360" w:lineRule="auto"/>
              <w:jc w:val="both"/>
              <w:rPr>
                <w:rFonts w:ascii="Book Antiqua" w:hAnsi="Book Antiqua"/>
              </w:rPr>
            </w:pPr>
            <w:r w:rsidRPr="00673A96">
              <w:rPr>
                <w:rFonts w:ascii="Book Antiqua" w:hAnsi="Book Antiqua"/>
              </w:rPr>
              <w:t>Race</w:t>
            </w:r>
            <w:r w:rsidRPr="000C460C">
              <w:rPr>
                <w:rFonts w:ascii="Book Antiqua" w:hAnsi="Book Antiqua"/>
                <w:bCs/>
              </w:rPr>
              <w:t xml:space="preserve">, </w:t>
            </w:r>
            <w:r w:rsidRPr="000C460C">
              <w:rPr>
                <w:rFonts w:ascii="Book Antiqua" w:hAnsi="Book Antiqua"/>
                <w:bCs/>
                <w:i/>
                <w:iCs/>
              </w:rPr>
              <w:t>n</w:t>
            </w:r>
            <w:r w:rsidRPr="000C460C">
              <w:rPr>
                <w:rFonts w:ascii="Book Antiqua" w:hAnsi="Book Antiqua"/>
                <w:bCs/>
              </w:rPr>
              <w:t xml:space="preserve"> (%)</w:t>
            </w:r>
          </w:p>
        </w:tc>
        <w:tc>
          <w:tcPr>
            <w:tcW w:w="1418" w:type="dxa"/>
          </w:tcPr>
          <w:p w14:paraId="1FCBEE8F" w14:textId="77777777" w:rsidR="00043614" w:rsidRPr="009D309A" w:rsidRDefault="00043614">
            <w:pPr>
              <w:spacing w:line="360" w:lineRule="auto"/>
              <w:jc w:val="both"/>
              <w:rPr>
                <w:rFonts w:ascii="Book Antiqua" w:hAnsi="Book Antiqua"/>
                <w:lang w:eastAsia="en-IN"/>
              </w:rPr>
            </w:pPr>
          </w:p>
        </w:tc>
        <w:tc>
          <w:tcPr>
            <w:tcW w:w="1701" w:type="dxa"/>
          </w:tcPr>
          <w:p w14:paraId="6D8BABF4" w14:textId="77777777" w:rsidR="00043614" w:rsidRPr="009D309A" w:rsidRDefault="00043614">
            <w:pPr>
              <w:spacing w:line="360" w:lineRule="auto"/>
              <w:jc w:val="both"/>
              <w:rPr>
                <w:rFonts w:ascii="Book Antiqua" w:hAnsi="Book Antiqua"/>
                <w:lang w:eastAsia="en-IN"/>
              </w:rPr>
            </w:pPr>
          </w:p>
        </w:tc>
        <w:tc>
          <w:tcPr>
            <w:tcW w:w="850" w:type="dxa"/>
          </w:tcPr>
          <w:p w14:paraId="22509ED6" w14:textId="77777777" w:rsidR="00043614" w:rsidRPr="009D309A" w:rsidRDefault="00043614">
            <w:pPr>
              <w:spacing w:line="360" w:lineRule="auto"/>
              <w:jc w:val="both"/>
              <w:rPr>
                <w:rFonts w:ascii="Book Antiqua" w:hAnsi="Book Antiqua"/>
                <w:lang w:eastAsia="en-IN"/>
              </w:rPr>
            </w:pPr>
          </w:p>
        </w:tc>
        <w:tc>
          <w:tcPr>
            <w:tcW w:w="1418" w:type="dxa"/>
          </w:tcPr>
          <w:p w14:paraId="09EA4080" w14:textId="77777777" w:rsidR="00043614" w:rsidRPr="009D309A" w:rsidRDefault="00043614">
            <w:pPr>
              <w:spacing w:line="360" w:lineRule="auto"/>
              <w:jc w:val="both"/>
              <w:rPr>
                <w:rFonts w:ascii="Book Antiqua" w:hAnsi="Book Antiqua"/>
                <w:lang w:eastAsia="en-IN"/>
              </w:rPr>
            </w:pPr>
          </w:p>
        </w:tc>
        <w:tc>
          <w:tcPr>
            <w:tcW w:w="1417" w:type="dxa"/>
          </w:tcPr>
          <w:p w14:paraId="7AB93049" w14:textId="77777777" w:rsidR="00043614" w:rsidRPr="009D309A" w:rsidRDefault="00043614">
            <w:pPr>
              <w:spacing w:line="360" w:lineRule="auto"/>
              <w:jc w:val="both"/>
              <w:rPr>
                <w:rFonts w:ascii="Book Antiqua" w:hAnsi="Book Antiqua"/>
                <w:lang w:eastAsia="en-IN"/>
              </w:rPr>
            </w:pPr>
          </w:p>
        </w:tc>
        <w:tc>
          <w:tcPr>
            <w:tcW w:w="932" w:type="dxa"/>
          </w:tcPr>
          <w:p w14:paraId="2D7E4CCB" w14:textId="77777777" w:rsidR="00043614" w:rsidRPr="009D309A" w:rsidRDefault="00043614">
            <w:pPr>
              <w:spacing w:line="360" w:lineRule="auto"/>
              <w:jc w:val="both"/>
              <w:rPr>
                <w:rFonts w:ascii="Book Antiqua" w:hAnsi="Book Antiqua"/>
                <w:lang w:eastAsia="en-IN"/>
              </w:rPr>
            </w:pPr>
          </w:p>
        </w:tc>
      </w:tr>
      <w:tr w:rsidR="00043614" w:rsidRPr="009D309A" w14:paraId="27EED659" w14:textId="77777777">
        <w:trPr>
          <w:trHeight w:val="161"/>
        </w:trPr>
        <w:tc>
          <w:tcPr>
            <w:tcW w:w="3969" w:type="dxa"/>
          </w:tcPr>
          <w:p w14:paraId="0D56EC16" w14:textId="77777777" w:rsidR="00043614" w:rsidRPr="009D309A" w:rsidRDefault="00043614">
            <w:pPr>
              <w:spacing w:line="360" w:lineRule="auto"/>
              <w:jc w:val="both"/>
              <w:rPr>
                <w:rFonts w:ascii="Book Antiqua" w:hAnsi="Book Antiqua"/>
              </w:rPr>
            </w:pPr>
            <w:r w:rsidRPr="009D309A">
              <w:rPr>
                <w:rFonts w:ascii="Book Antiqua" w:hAnsi="Book Antiqua"/>
              </w:rPr>
              <w:t>White</w:t>
            </w:r>
          </w:p>
        </w:tc>
        <w:tc>
          <w:tcPr>
            <w:tcW w:w="1418" w:type="dxa"/>
          </w:tcPr>
          <w:p w14:paraId="5AABBB2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238</w:t>
            </w:r>
            <w:r>
              <w:rPr>
                <w:rFonts w:ascii="Book Antiqua" w:hAnsi="Book Antiqua"/>
                <w:lang w:eastAsia="en-IN"/>
              </w:rPr>
              <w:t xml:space="preserve"> </w:t>
            </w:r>
            <w:r w:rsidRPr="009D309A">
              <w:rPr>
                <w:rFonts w:ascii="Book Antiqua" w:hAnsi="Book Antiqua"/>
                <w:lang w:eastAsia="en-IN"/>
              </w:rPr>
              <w:t>(63.4)</w:t>
            </w:r>
          </w:p>
        </w:tc>
        <w:tc>
          <w:tcPr>
            <w:tcW w:w="1701" w:type="dxa"/>
          </w:tcPr>
          <w:p w14:paraId="09383CC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1028824</w:t>
            </w:r>
            <w:r>
              <w:rPr>
                <w:rFonts w:ascii="Book Antiqua" w:hAnsi="Book Antiqua"/>
                <w:lang w:eastAsia="en-IN"/>
              </w:rPr>
              <w:t xml:space="preserve"> </w:t>
            </w:r>
            <w:r w:rsidRPr="009D309A">
              <w:rPr>
                <w:rFonts w:ascii="Book Antiqua" w:hAnsi="Book Antiqua"/>
                <w:lang w:eastAsia="en-IN"/>
              </w:rPr>
              <w:t>(62.4)</w:t>
            </w:r>
          </w:p>
        </w:tc>
        <w:tc>
          <w:tcPr>
            <w:tcW w:w="850" w:type="dxa"/>
          </w:tcPr>
          <w:p w14:paraId="4D80AE8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0.68</w:t>
            </w:r>
          </w:p>
        </w:tc>
        <w:tc>
          <w:tcPr>
            <w:tcW w:w="1418" w:type="dxa"/>
          </w:tcPr>
          <w:p w14:paraId="5CB4642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238</w:t>
            </w:r>
            <w:r>
              <w:rPr>
                <w:rFonts w:ascii="Book Antiqua" w:hAnsi="Book Antiqua"/>
                <w:lang w:eastAsia="en-IN"/>
              </w:rPr>
              <w:t xml:space="preserve"> </w:t>
            </w:r>
            <w:r w:rsidRPr="009D309A">
              <w:rPr>
                <w:rFonts w:ascii="Book Antiqua" w:hAnsi="Book Antiqua"/>
                <w:lang w:eastAsia="en-IN"/>
              </w:rPr>
              <w:t>(63.4)</w:t>
            </w:r>
          </w:p>
        </w:tc>
        <w:tc>
          <w:tcPr>
            <w:tcW w:w="1417" w:type="dxa"/>
          </w:tcPr>
          <w:p w14:paraId="0F72463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228</w:t>
            </w:r>
            <w:r>
              <w:rPr>
                <w:rFonts w:ascii="Book Antiqua" w:hAnsi="Book Antiqua"/>
                <w:lang w:eastAsia="en-IN"/>
              </w:rPr>
              <w:t xml:space="preserve"> </w:t>
            </w:r>
            <w:r w:rsidRPr="009D309A">
              <w:rPr>
                <w:rFonts w:ascii="Book Antiqua" w:hAnsi="Book Antiqua"/>
                <w:lang w:eastAsia="en-IN"/>
              </w:rPr>
              <w:t>(60.8)</w:t>
            </w:r>
          </w:p>
        </w:tc>
        <w:tc>
          <w:tcPr>
            <w:tcW w:w="932" w:type="dxa"/>
          </w:tcPr>
          <w:p w14:paraId="2DFB977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0.45</w:t>
            </w:r>
          </w:p>
        </w:tc>
      </w:tr>
      <w:tr w:rsidR="00043614" w:rsidRPr="009D309A" w14:paraId="5F3A97EF" w14:textId="77777777">
        <w:trPr>
          <w:trHeight w:val="161"/>
        </w:trPr>
        <w:tc>
          <w:tcPr>
            <w:tcW w:w="3969" w:type="dxa"/>
          </w:tcPr>
          <w:p w14:paraId="10A1E28F" w14:textId="77777777" w:rsidR="00043614" w:rsidRPr="009D309A" w:rsidRDefault="00043614" w:rsidP="0075112B">
            <w:pPr>
              <w:spacing w:line="360" w:lineRule="auto"/>
              <w:jc w:val="both"/>
              <w:rPr>
                <w:rFonts w:ascii="Book Antiqua" w:hAnsi="Book Antiqua"/>
              </w:rPr>
            </w:pPr>
            <w:r w:rsidRPr="009D309A">
              <w:rPr>
                <w:rFonts w:ascii="Book Antiqua" w:hAnsi="Book Antiqua"/>
              </w:rPr>
              <w:t>Black or African American</w:t>
            </w:r>
          </w:p>
        </w:tc>
        <w:tc>
          <w:tcPr>
            <w:tcW w:w="1418" w:type="dxa"/>
          </w:tcPr>
          <w:p w14:paraId="2D7D53B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64</w:t>
            </w:r>
            <w:r>
              <w:rPr>
                <w:rFonts w:ascii="Book Antiqua" w:hAnsi="Book Antiqua"/>
                <w:lang w:eastAsia="en-IN"/>
              </w:rPr>
              <w:t xml:space="preserve"> </w:t>
            </w:r>
            <w:r w:rsidRPr="009D309A">
              <w:rPr>
                <w:rFonts w:ascii="Book Antiqua" w:hAnsi="Book Antiqua"/>
                <w:lang w:eastAsia="en-IN"/>
              </w:rPr>
              <w:t>(17.1)</w:t>
            </w:r>
          </w:p>
        </w:tc>
        <w:tc>
          <w:tcPr>
            <w:tcW w:w="1701" w:type="dxa"/>
          </w:tcPr>
          <w:p w14:paraId="3C00EC5E"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245820</w:t>
            </w:r>
            <w:r>
              <w:rPr>
                <w:rFonts w:ascii="Book Antiqua" w:hAnsi="Book Antiqua"/>
                <w:lang w:eastAsia="en-IN"/>
              </w:rPr>
              <w:t xml:space="preserve"> </w:t>
            </w:r>
            <w:r w:rsidRPr="009D309A">
              <w:rPr>
                <w:rFonts w:ascii="Book Antiqua" w:hAnsi="Book Antiqua"/>
                <w:lang w:eastAsia="en-IN"/>
              </w:rPr>
              <w:t>(14.9)</w:t>
            </w:r>
          </w:p>
        </w:tc>
        <w:tc>
          <w:tcPr>
            <w:tcW w:w="850" w:type="dxa"/>
          </w:tcPr>
          <w:p w14:paraId="0A78B30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0.24</w:t>
            </w:r>
          </w:p>
        </w:tc>
        <w:tc>
          <w:tcPr>
            <w:tcW w:w="1418" w:type="dxa"/>
          </w:tcPr>
          <w:p w14:paraId="53790E6D"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64</w:t>
            </w:r>
            <w:r>
              <w:rPr>
                <w:rFonts w:ascii="Book Antiqua" w:hAnsi="Book Antiqua"/>
                <w:lang w:eastAsia="en-IN"/>
              </w:rPr>
              <w:t xml:space="preserve"> </w:t>
            </w:r>
            <w:r w:rsidRPr="009D309A">
              <w:rPr>
                <w:rFonts w:ascii="Book Antiqua" w:hAnsi="Book Antiqua"/>
                <w:lang w:eastAsia="en-IN"/>
              </w:rPr>
              <w:t>(17.1)</w:t>
            </w:r>
          </w:p>
        </w:tc>
        <w:tc>
          <w:tcPr>
            <w:tcW w:w="1417" w:type="dxa"/>
          </w:tcPr>
          <w:p w14:paraId="662B413D"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69</w:t>
            </w:r>
            <w:r>
              <w:rPr>
                <w:rFonts w:ascii="Book Antiqua" w:hAnsi="Book Antiqua"/>
                <w:lang w:eastAsia="en-IN"/>
              </w:rPr>
              <w:t xml:space="preserve"> </w:t>
            </w:r>
            <w:r w:rsidRPr="009D309A">
              <w:rPr>
                <w:rFonts w:ascii="Book Antiqua" w:hAnsi="Book Antiqua"/>
                <w:lang w:eastAsia="en-IN"/>
              </w:rPr>
              <w:t>(18.4)</w:t>
            </w:r>
          </w:p>
        </w:tc>
        <w:tc>
          <w:tcPr>
            <w:tcW w:w="932" w:type="dxa"/>
          </w:tcPr>
          <w:p w14:paraId="2472B29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0.63</w:t>
            </w:r>
          </w:p>
        </w:tc>
      </w:tr>
      <w:tr w:rsidR="00043614" w:rsidRPr="009D309A" w14:paraId="0E909D6F" w14:textId="77777777">
        <w:trPr>
          <w:trHeight w:val="404"/>
        </w:trPr>
        <w:tc>
          <w:tcPr>
            <w:tcW w:w="3969" w:type="dxa"/>
          </w:tcPr>
          <w:p w14:paraId="65E38B6E" w14:textId="77777777" w:rsidR="00043614" w:rsidRPr="009D309A" w:rsidRDefault="00043614">
            <w:pPr>
              <w:spacing w:line="360" w:lineRule="auto"/>
              <w:jc w:val="both"/>
              <w:rPr>
                <w:rFonts w:ascii="Book Antiqua" w:hAnsi="Book Antiqua"/>
                <w:i/>
              </w:rPr>
            </w:pPr>
            <w:r w:rsidRPr="009D309A">
              <w:rPr>
                <w:rFonts w:ascii="Book Antiqua" w:hAnsi="Book Antiqua"/>
              </w:rPr>
              <w:t>Other</w:t>
            </w:r>
          </w:p>
        </w:tc>
        <w:tc>
          <w:tcPr>
            <w:tcW w:w="1418" w:type="dxa"/>
          </w:tcPr>
          <w:p w14:paraId="6568F27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65</w:t>
            </w:r>
            <w:r>
              <w:rPr>
                <w:rFonts w:ascii="Book Antiqua" w:hAnsi="Book Antiqua"/>
                <w:lang w:eastAsia="en-IN"/>
              </w:rPr>
              <w:t xml:space="preserve"> </w:t>
            </w:r>
            <w:r w:rsidRPr="009D309A">
              <w:rPr>
                <w:rFonts w:ascii="Book Antiqua" w:hAnsi="Book Antiqua"/>
                <w:lang w:eastAsia="en-IN"/>
              </w:rPr>
              <w:t>(17.3)</w:t>
            </w:r>
          </w:p>
        </w:tc>
        <w:tc>
          <w:tcPr>
            <w:tcW w:w="1701" w:type="dxa"/>
          </w:tcPr>
          <w:p w14:paraId="062ADAE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325638</w:t>
            </w:r>
            <w:r>
              <w:rPr>
                <w:rFonts w:ascii="Book Antiqua" w:hAnsi="Book Antiqua"/>
                <w:lang w:eastAsia="en-IN"/>
              </w:rPr>
              <w:t xml:space="preserve"> </w:t>
            </w:r>
            <w:r w:rsidRPr="009D309A">
              <w:rPr>
                <w:rFonts w:ascii="Book Antiqua" w:hAnsi="Book Antiqua"/>
                <w:lang w:eastAsia="en-IN"/>
              </w:rPr>
              <w:t>(19.7)</w:t>
            </w:r>
          </w:p>
        </w:tc>
        <w:tc>
          <w:tcPr>
            <w:tcW w:w="850" w:type="dxa"/>
          </w:tcPr>
          <w:p w14:paraId="351DC78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0.24</w:t>
            </w:r>
          </w:p>
        </w:tc>
        <w:tc>
          <w:tcPr>
            <w:tcW w:w="1418" w:type="dxa"/>
          </w:tcPr>
          <w:p w14:paraId="527C9BE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65</w:t>
            </w:r>
            <w:r>
              <w:rPr>
                <w:rFonts w:ascii="Book Antiqua" w:hAnsi="Book Antiqua"/>
                <w:lang w:eastAsia="en-IN"/>
              </w:rPr>
              <w:t xml:space="preserve"> </w:t>
            </w:r>
            <w:r w:rsidRPr="009D309A">
              <w:rPr>
                <w:rFonts w:ascii="Book Antiqua" w:hAnsi="Book Antiqua"/>
                <w:lang w:eastAsia="en-IN"/>
              </w:rPr>
              <w:t>(17.3)</w:t>
            </w:r>
          </w:p>
        </w:tc>
        <w:tc>
          <w:tcPr>
            <w:tcW w:w="1417" w:type="dxa"/>
          </w:tcPr>
          <w:p w14:paraId="1175AB3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69</w:t>
            </w:r>
            <w:r>
              <w:rPr>
                <w:rFonts w:ascii="Book Antiqua" w:hAnsi="Book Antiqua"/>
                <w:lang w:eastAsia="en-IN"/>
              </w:rPr>
              <w:t xml:space="preserve"> </w:t>
            </w:r>
            <w:r w:rsidRPr="009D309A">
              <w:rPr>
                <w:rFonts w:ascii="Book Antiqua" w:hAnsi="Book Antiqua"/>
                <w:lang w:eastAsia="en-IN"/>
              </w:rPr>
              <w:t>(18.4)</w:t>
            </w:r>
          </w:p>
        </w:tc>
        <w:tc>
          <w:tcPr>
            <w:tcW w:w="932" w:type="dxa"/>
          </w:tcPr>
          <w:p w14:paraId="6A3501BD"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0.70</w:t>
            </w:r>
          </w:p>
        </w:tc>
      </w:tr>
      <w:tr w:rsidR="00043614" w:rsidRPr="009D309A" w14:paraId="28FC0426" w14:textId="77777777">
        <w:trPr>
          <w:trHeight w:val="314"/>
        </w:trPr>
        <w:tc>
          <w:tcPr>
            <w:tcW w:w="3969" w:type="dxa"/>
          </w:tcPr>
          <w:p w14:paraId="5CF462C5" w14:textId="77777777" w:rsidR="00043614" w:rsidRPr="009D309A" w:rsidRDefault="00043614">
            <w:pPr>
              <w:spacing w:line="360" w:lineRule="auto"/>
              <w:jc w:val="both"/>
              <w:rPr>
                <w:rFonts w:ascii="Book Antiqua" w:hAnsi="Book Antiqua"/>
                <w:b/>
                <w:bCs/>
              </w:rPr>
            </w:pPr>
            <w:r w:rsidRPr="00673A96">
              <w:rPr>
                <w:rFonts w:ascii="Book Antiqua" w:hAnsi="Book Antiqua"/>
              </w:rPr>
              <w:t>Nicotine dependence</w:t>
            </w:r>
            <w:r w:rsidRPr="000C460C">
              <w:rPr>
                <w:rFonts w:ascii="Book Antiqua" w:hAnsi="Book Antiqua"/>
                <w:bCs/>
              </w:rPr>
              <w:t xml:space="preserve">, </w:t>
            </w:r>
            <w:r w:rsidRPr="000C460C">
              <w:rPr>
                <w:rFonts w:ascii="Book Antiqua" w:hAnsi="Book Antiqua"/>
                <w:bCs/>
                <w:i/>
                <w:iCs/>
              </w:rPr>
              <w:t>n</w:t>
            </w:r>
            <w:r w:rsidRPr="000C460C">
              <w:rPr>
                <w:rFonts w:ascii="Book Antiqua" w:hAnsi="Book Antiqua"/>
                <w:bCs/>
              </w:rPr>
              <w:t xml:space="preserve"> (%)</w:t>
            </w:r>
          </w:p>
        </w:tc>
        <w:tc>
          <w:tcPr>
            <w:tcW w:w="1418" w:type="dxa"/>
          </w:tcPr>
          <w:p w14:paraId="267E094B"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76</w:t>
            </w:r>
            <w:r>
              <w:rPr>
                <w:rFonts w:ascii="Book Antiqua" w:hAnsi="Book Antiqua"/>
              </w:rPr>
              <w:t xml:space="preserve"> </w:t>
            </w:r>
            <w:r w:rsidRPr="009D309A">
              <w:rPr>
                <w:rFonts w:ascii="Book Antiqua" w:hAnsi="Book Antiqua"/>
              </w:rPr>
              <w:t>(20.2)</w:t>
            </w:r>
          </w:p>
        </w:tc>
        <w:tc>
          <w:tcPr>
            <w:tcW w:w="1701" w:type="dxa"/>
          </w:tcPr>
          <w:p w14:paraId="4C374109"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181270</w:t>
            </w:r>
            <w:r>
              <w:rPr>
                <w:rFonts w:ascii="Book Antiqua" w:hAnsi="Book Antiqua"/>
              </w:rPr>
              <w:t xml:space="preserve"> </w:t>
            </w:r>
            <w:r w:rsidRPr="009D309A">
              <w:rPr>
                <w:rFonts w:ascii="Book Antiqua" w:hAnsi="Book Antiqua"/>
              </w:rPr>
              <w:t>(10.9)</w:t>
            </w:r>
          </w:p>
        </w:tc>
        <w:tc>
          <w:tcPr>
            <w:tcW w:w="850" w:type="dxa"/>
          </w:tcPr>
          <w:p w14:paraId="7EC6D859"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&lt;</w:t>
            </w:r>
            <w:r>
              <w:rPr>
                <w:rFonts w:ascii="Book Antiqua" w:hAnsi="Book Antiqua"/>
              </w:rPr>
              <w:t xml:space="preserve"> </w:t>
            </w:r>
            <w:r w:rsidRPr="009D309A">
              <w:rPr>
                <w:rFonts w:ascii="Book Antiqua" w:hAnsi="Book Antiqua"/>
              </w:rPr>
              <w:t>0.01</w:t>
            </w:r>
          </w:p>
        </w:tc>
        <w:tc>
          <w:tcPr>
            <w:tcW w:w="1418" w:type="dxa"/>
          </w:tcPr>
          <w:p w14:paraId="2D66C59F"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72</w:t>
            </w:r>
            <w:r>
              <w:rPr>
                <w:rFonts w:ascii="Book Antiqua" w:hAnsi="Book Antiqua"/>
              </w:rPr>
              <w:t xml:space="preserve"> </w:t>
            </w:r>
            <w:r w:rsidRPr="009D309A">
              <w:rPr>
                <w:rFonts w:ascii="Book Antiqua" w:hAnsi="Book Antiqua"/>
              </w:rPr>
              <w:t>(19.2)</w:t>
            </w:r>
          </w:p>
        </w:tc>
        <w:tc>
          <w:tcPr>
            <w:tcW w:w="1417" w:type="dxa"/>
          </w:tcPr>
          <w:p w14:paraId="5AB81ED4"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74</w:t>
            </w:r>
            <w:r>
              <w:rPr>
                <w:rFonts w:ascii="Book Antiqua" w:hAnsi="Book Antiqua"/>
              </w:rPr>
              <w:t xml:space="preserve"> </w:t>
            </w:r>
            <w:r w:rsidRPr="009D309A">
              <w:rPr>
                <w:rFonts w:ascii="Book Antiqua" w:hAnsi="Book Antiqua"/>
              </w:rPr>
              <w:t>(19.7)</w:t>
            </w:r>
          </w:p>
        </w:tc>
        <w:tc>
          <w:tcPr>
            <w:tcW w:w="932" w:type="dxa"/>
          </w:tcPr>
          <w:p w14:paraId="6483A273" w14:textId="77777777" w:rsidR="00043614" w:rsidRPr="009D309A" w:rsidRDefault="00043614">
            <w:pPr>
              <w:spacing w:line="360" w:lineRule="auto"/>
              <w:jc w:val="both"/>
              <w:rPr>
                <w:rFonts w:ascii="Book Antiqua" w:hAnsi="Book Antiqua"/>
                <w:lang w:eastAsia="en-IN"/>
              </w:rPr>
            </w:pPr>
            <w:r w:rsidRPr="009D309A">
              <w:rPr>
                <w:rFonts w:ascii="Book Antiqua" w:hAnsi="Book Antiqua"/>
              </w:rPr>
              <w:t>0.67</w:t>
            </w:r>
          </w:p>
        </w:tc>
      </w:tr>
      <w:tr w:rsidR="00043614" w:rsidRPr="009D309A" w14:paraId="4A05BB66" w14:textId="77777777">
        <w:trPr>
          <w:trHeight w:val="84"/>
        </w:trPr>
        <w:tc>
          <w:tcPr>
            <w:tcW w:w="3969" w:type="dxa"/>
          </w:tcPr>
          <w:p w14:paraId="6737EEA2" w14:textId="77777777" w:rsidR="00043614" w:rsidRPr="009D309A" w:rsidRDefault="00043614">
            <w:pPr>
              <w:spacing w:line="360" w:lineRule="auto"/>
              <w:jc w:val="both"/>
              <w:rPr>
                <w:rFonts w:ascii="Book Antiqua" w:hAnsi="Book Antiqua"/>
                <w:b/>
                <w:bCs/>
              </w:rPr>
            </w:pPr>
            <w:r w:rsidRPr="00990B03">
              <w:rPr>
                <w:rFonts w:ascii="Book Antiqua" w:hAnsi="Book Antiqua"/>
              </w:rPr>
              <w:t>BMI (kg/m</w:t>
            </w:r>
            <w:r w:rsidRPr="00990B03">
              <w:rPr>
                <w:rFonts w:ascii="Book Antiqua" w:hAnsi="Book Antiqua"/>
                <w:vertAlign w:val="superscript"/>
              </w:rPr>
              <w:t>2</w:t>
            </w:r>
            <w:r w:rsidRPr="00990B03">
              <w:rPr>
                <w:rFonts w:ascii="Book Antiqua" w:hAnsi="Book Antiqua"/>
              </w:rPr>
              <w:t>),</w:t>
            </w:r>
            <w:r w:rsidRPr="009D309A">
              <w:rPr>
                <w:rFonts w:ascii="Book Antiqua" w:hAnsi="Book Antiqua"/>
                <w:b/>
                <w:bCs/>
              </w:rPr>
              <w:t xml:space="preserve"> </w:t>
            </w:r>
            <w:r w:rsidRPr="009D309A">
              <w:rPr>
                <w:rFonts w:ascii="Book Antiqua" w:hAnsi="Book Antiqua"/>
              </w:rPr>
              <w:t>mean</w:t>
            </w:r>
            <w:r>
              <w:rPr>
                <w:rFonts w:ascii="Book Antiqua" w:hAnsi="Book Antiqua"/>
              </w:rPr>
              <w:t xml:space="preserve"> </w:t>
            </w:r>
            <w:r w:rsidRPr="009D309A">
              <w:rPr>
                <w:rFonts w:ascii="Book Antiqua" w:hAnsi="Book Antiqua"/>
              </w:rPr>
              <w:t>±</w:t>
            </w:r>
            <w:r>
              <w:rPr>
                <w:rFonts w:ascii="Book Antiqua" w:hAnsi="Book Antiqua"/>
              </w:rPr>
              <w:t xml:space="preserve"> </w:t>
            </w:r>
            <w:r w:rsidRPr="009D309A">
              <w:rPr>
                <w:rFonts w:ascii="Book Antiqua" w:hAnsi="Book Antiqua"/>
              </w:rPr>
              <w:t>SD</w:t>
            </w:r>
          </w:p>
        </w:tc>
        <w:tc>
          <w:tcPr>
            <w:tcW w:w="1418" w:type="dxa"/>
          </w:tcPr>
          <w:p w14:paraId="67CAABF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28.9 ± 7.05</w:t>
            </w:r>
          </w:p>
        </w:tc>
        <w:tc>
          <w:tcPr>
            <w:tcW w:w="1701" w:type="dxa"/>
          </w:tcPr>
          <w:p w14:paraId="6534313E"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29.9 ± 7.45</w:t>
            </w:r>
          </w:p>
        </w:tc>
        <w:tc>
          <w:tcPr>
            <w:tcW w:w="850" w:type="dxa"/>
          </w:tcPr>
          <w:p w14:paraId="1E5203CC"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0.07</w:t>
            </w:r>
          </w:p>
        </w:tc>
        <w:tc>
          <w:tcPr>
            <w:tcW w:w="1418" w:type="dxa"/>
          </w:tcPr>
          <w:p w14:paraId="4B686EA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28.9 ± 7.05</w:t>
            </w:r>
          </w:p>
        </w:tc>
        <w:tc>
          <w:tcPr>
            <w:tcW w:w="1417" w:type="dxa"/>
          </w:tcPr>
          <w:p w14:paraId="0069790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30.8 ± 7.65</w:t>
            </w:r>
          </w:p>
        </w:tc>
        <w:tc>
          <w:tcPr>
            <w:tcW w:w="932" w:type="dxa"/>
          </w:tcPr>
          <w:p w14:paraId="6953AC4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0.01</w:t>
            </w:r>
          </w:p>
        </w:tc>
      </w:tr>
      <w:tr w:rsidR="00043614" w:rsidRPr="009D309A" w14:paraId="7F58B77D" w14:textId="77777777">
        <w:trPr>
          <w:trHeight w:val="201"/>
        </w:trPr>
        <w:tc>
          <w:tcPr>
            <w:tcW w:w="11705" w:type="dxa"/>
            <w:gridSpan w:val="7"/>
          </w:tcPr>
          <w:p w14:paraId="58F30D79" w14:textId="77777777" w:rsidR="00043614" w:rsidRPr="00990B03" w:rsidRDefault="00043614">
            <w:pPr>
              <w:spacing w:line="360" w:lineRule="auto"/>
              <w:jc w:val="both"/>
              <w:rPr>
                <w:rFonts w:ascii="Book Antiqua" w:hAnsi="Book Antiqua"/>
              </w:rPr>
            </w:pPr>
            <w:r w:rsidRPr="00990B03">
              <w:rPr>
                <w:rFonts w:ascii="Book Antiqua" w:hAnsi="Book Antiqua"/>
              </w:rPr>
              <w:t>Comorbidities</w:t>
            </w:r>
            <w:r w:rsidRPr="000C460C">
              <w:rPr>
                <w:rFonts w:ascii="Book Antiqua" w:hAnsi="Book Antiqua"/>
                <w:bCs/>
              </w:rPr>
              <w:t xml:space="preserve">, </w:t>
            </w:r>
            <w:r w:rsidRPr="000C460C">
              <w:rPr>
                <w:rFonts w:ascii="Book Antiqua" w:hAnsi="Book Antiqua"/>
                <w:bCs/>
                <w:i/>
                <w:iCs/>
              </w:rPr>
              <w:t>n</w:t>
            </w:r>
            <w:r w:rsidRPr="000C460C">
              <w:rPr>
                <w:rFonts w:ascii="Book Antiqua" w:hAnsi="Book Antiqua"/>
                <w:bCs/>
              </w:rPr>
              <w:t xml:space="preserve"> (%)</w:t>
            </w:r>
          </w:p>
        </w:tc>
      </w:tr>
      <w:tr w:rsidR="00043614" w:rsidRPr="009D309A" w14:paraId="4F8669C0" w14:textId="77777777">
        <w:trPr>
          <w:trHeight w:val="409"/>
        </w:trPr>
        <w:tc>
          <w:tcPr>
            <w:tcW w:w="3969" w:type="dxa"/>
            <w:hideMark/>
          </w:tcPr>
          <w:p w14:paraId="09844321" w14:textId="77777777" w:rsidR="00043614" w:rsidRPr="009D309A" w:rsidRDefault="00043614">
            <w:pPr>
              <w:spacing w:line="360" w:lineRule="auto"/>
              <w:jc w:val="both"/>
              <w:rPr>
                <w:rFonts w:ascii="Book Antiqua" w:hAnsi="Book Antiqua"/>
              </w:rPr>
            </w:pPr>
            <w:r w:rsidRPr="009D309A">
              <w:rPr>
                <w:rFonts w:ascii="Book Antiqua" w:hAnsi="Book Antiqua"/>
              </w:rPr>
              <w:t>Hypertension</w:t>
            </w:r>
          </w:p>
        </w:tc>
        <w:tc>
          <w:tcPr>
            <w:tcW w:w="1418" w:type="dxa"/>
          </w:tcPr>
          <w:p w14:paraId="3210014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163</w:t>
            </w:r>
            <w:r>
              <w:rPr>
                <w:rFonts w:ascii="Book Antiqua" w:hAnsi="Book Antiqua"/>
                <w:lang w:eastAsia="en-IN"/>
              </w:rPr>
              <w:t xml:space="preserve"> </w:t>
            </w:r>
            <w:r w:rsidRPr="009D309A">
              <w:rPr>
                <w:rFonts w:ascii="Book Antiqua" w:hAnsi="Book Antiqua"/>
                <w:lang w:eastAsia="en-IN"/>
              </w:rPr>
              <w:t>(43.4)</w:t>
            </w:r>
          </w:p>
        </w:tc>
        <w:tc>
          <w:tcPr>
            <w:tcW w:w="1701" w:type="dxa"/>
          </w:tcPr>
          <w:p w14:paraId="2B0D2AA1"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384968</w:t>
            </w:r>
            <w:r>
              <w:rPr>
                <w:rFonts w:ascii="Book Antiqua" w:hAnsi="Book Antiqua"/>
                <w:lang w:eastAsia="en-IN"/>
              </w:rPr>
              <w:t xml:space="preserve"> </w:t>
            </w:r>
            <w:r w:rsidRPr="009D309A">
              <w:rPr>
                <w:rFonts w:ascii="Book Antiqua" w:hAnsi="Book Antiqua"/>
                <w:lang w:eastAsia="en-IN"/>
              </w:rPr>
              <w:t>(23.3)</w:t>
            </w:r>
          </w:p>
        </w:tc>
        <w:tc>
          <w:tcPr>
            <w:tcW w:w="850" w:type="dxa"/>
          </w:tcPr>
          <w:p w14:paraId="33291A5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4AE32EE7"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163</w:t>
            </w:r>
            <w:r>
              <w:rPr>
                <w:rFonts w:ascii="Book Antiqua" w:hAnsi="Book Antiqua"/>
                <w:lang w:eastAsia="en-IN"/>
              </w:rPr>
              <w:t xml:space="preserve"> </w:t>
            </w:r>
            <w:r w:rsidRPr="009D309A">
              <w:rPr>
                <w:rFonts w:ascii="Book Antiqua" w:hAnsi="Book Antiqua"/>
                <w:lang w:eastAsia="en-IN"/>
              </w:rPr>
              <w:t>(43.4)</w:t>
            </w:r>
          </w:p>
        </w:tc>
        <w:tc>
          <w:tcPr>
            <w:tcW w:w="1417" w:type="dxa"/>
          </w:tcPr>
          <w:p w14:paraId="088B247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159</w:t>
            </w:r>
            <w:r>
              <w:rPr>
                <w:rFonts w:ascii="Book Antiqua" w:hAnsi="Book Antiqua"/>
                <w:lang w:eastAsia="en-IN"/>
              </w:rPr>
              <w:t xml:space="preserve"> </w:t>
            </w:r>
            <w:r w:rsidRPr="009D309A">
              <w:rPr>
                <w:rFonts w:ascii="Book Antiqua" w:hAnsi="Book Antiqua"/>
                <w:lang w:eastAsia="en-IN"/>
              </w:rPr>
              <w:t>(42.4)</w:t>
            </w:r>
          </w:p>
        </w:tc>
        <w:tc>
          <w:tcPr>
            <w:tcW w:w="932" w:type="dxa"/>
          </w:tcPr>
          <w:p w14:paraId="5D02CD2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0.77</w:t>
            </w:r>
          </w:p>
        </w:tc>
      </w:tr>
      <w:tr w:rsidR="00043614" w:rsidRPr="009D309A" w14:paraId="1EDF5B8E" w14:textId="77777777">
        <w:trPr>
          <w:trHeight w:val="404"/>
        </w:trPr>
        <w:tc>
          <w:tcPr>
            <w:tcW w:w="3969" w:type="dxa"/>
          </w:tcPr>
          <w:p w14:paraId="7293D73E"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Ischemic heart diseases</w:t>
            </w:r>
          </w:p>
        </w:tc>
        <w:tc>
          <w:tcPr>
            <w:tcW w:w="1418" w:type="dxa"/>
          </w:tcPr>
          <w:p w14:paraId="2CB5665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59</w:t>
            </w:r>
            <w:r>
              <w:rPr>
                <w:rFonts w:ascii="Book Antiqua" w:hAnsi="Book Antiqua"/>
                <w:lang w:eastAsia="en-IN"/>
              </w:rPr>
              <w:t xml:space="preserve"> </w:t>
            </w:r>
            <w:r w:rsidRPr="009D309A">
              <w:rPr>
                <w:rFonts w:ascii="Book Antiqua" w:hAnsi="Book Antiqua"/>
                <w:lang w:eastAsia="en-IN"/>
              </w:rPr>
              <w:t>(15.7)</w:t>
            </w:r>
          </w:p>
        </w:tc>
        <w:tc>
          <w:tcPr>
            <w:tcW w:w="1701" w:type="dxa"/>
          </w:tcPr>
          <w:p w14:paraId="4623614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119162</w:t>
            </w:r>
            <w:r>
              <w:rPr>
                <w:rFonts w:ascii="Book Antiqua" w:hAnsi="Book Antiqua"/>
                <w:lang w:eastAsia="en-IN"/>
              </w:rPr>
              <w:t xml:space="preserve"> </w:t>
            </w:r>
            <w:r w:rsidRPr="009D309A">
              <w:rPr>
                <w:rFonts w:ascii="Book Antiqua" w:hAnsi="Book Antiqua"/>
                <w:lang w:eastAsia="en-IN"/>
              </w:rPr>
              <w:t>(7.2)</w:t>
            </w:r>
          </w:p>
        </w:tc>
        <w:tc>
          <w:tcPr>
            <w:tcW w:w="850" w:type="dxa"/>
          </w:tcPr>
          <w:p w14:paraId="5657ECE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062873C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59</w:t>
            </w:r>
            <w:r>
              <w:rPr>
                <w:rFonts w:ascii="Book Antiqua" w:hAnsi="Book Antiqua"/>
                <w:lang w:eastAsia="en-IN"/>
              </w:rPr>
              <w:t xml:space="preserve"> </w:t>
            </w:r>
            <w:r w:rsidRPr="009D309A">
              <w:rPr>
                <w:rFonts w:ascii="Book Antiqua" w:hAnsi="Book Antiqua"/>
                <w:lang w:eastAsia="en-IN"/>
              </w:rPr>
              <w:t>(15.7)</w:t>
            </w:r>
          </w:p>
        </w:tc>
        <w:tc>
          <w:tcPr>
            <w:tcW w:w="1417" w:type="dxa"/>
          </w:tcPr>
          <w:p w14:paraId="58ED3CB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57</w:t>
            </w:r>
            <w:r>
              <w:rPr>
                <w:rFonts w:ascii="Book Antiqua" w:hAnsi="Book Antiqua"/>
                <w:lang w:eastAsia="en-IN"/>
              </w:rPr>
              <w:t xml:space="preserve"> </w:t>
            </w:r>
            <w:r w:rsidRPr="009D309A">
              <w:rPr>
                <w:rFonts w:ascii="Book Antiqua" w:hAnsi="Book Antiqua"/>
                <w:lang w:eastAsia="en-IN"/>
              </w:rPr>
              <w:t>(15.2)</w:t>
            </w:r>
          </w:p>
        </w:tc>
        <w:tc>
          <w:tcPr>
            <w:tcW w:w="932" w:type="dxa"/>
          </w:tcPr>
          <w:p w14:paraId="203EA8D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0.84</w:t>
            </w:r>
          </w:p>
        </w:tc>
      </w:tr>
      <w:tr w:rsidR="00043614" w:rsidRPr="009D309A" w14:paraId="2E6035A5" w14:textId="77777777">
        <w:trPr>
          <w:trHeight w:val="409"/>
        </w:trPr>
        <w:tc>
          <w:tcPr>
            <w:tcW w:w="3969" w:type="dxa"/>
          </w:tcPr>
          <w:p w14:paraId="79C8133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Heart failure</w:t>
            </w:r>
          </w:p>
        </w:tc>
        <w:tc>
          <w:tcPr>
            <w:tcW w:w="1418" w:type="dxa"/>
          </w:tcPr>
          <w:p w14:paraId="0B9589B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38</w:t>
            </w:r>
            <w:r>
              <w:rPr>
                <w:rFonts w:ascii="Book Antiqua" w:hAnsi="Book Antiqua"/>
                <w:lang w:eastAsia="en-IN"/>
              </w:rPr>
              <w:t xml:space="preserve"> </w:t>
            </w:r>
            <w:r w:rsidRPr="009D309A">
              <w:rPr>
                <w:rFonts w:ascii="Book Antiqua" w:hAnsi="Book Antiqua"/>
                <w:lang w:eastAsia="en-IN"/>
              </w:rPr>
              <w:t>(10.1)</w:t>
            </w:r>
          </w:p>
        </w:tc>
        <w:tc>
          <w:tcPr>
            <w:tcW w:w="1701" w:type="dxa"/>
          </w:tcPr>
          <w:p w14:paraId="02D0BA1A"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65245</w:t>
            </w:r>
            <w:r>
              <w:rPr>
                <w:rFonts w:ascii="Book Antiqua" w:hAnsi="Book Antiqua"/>
                <w:lang w:eastAsia="en-IN"/>
              </w:rPr>
              <w:t xml:space="preserve"> </w:t>
            </w:r>
            <w:r w:rsidRPr="009D309A">
              <w:rPr>
                <w:rFonts w:ascii="Book Antiqua" w:hAnsi="Book Antiqua"/>
                <w:lang w:eastAsia="en-IN"/>
              </w:rPr>
              <w:t>(3.9)</w:t>
            </w:r>
          </w:p>
        </w:tc>
        <w:tc>
          <w:tcPr>
            <w:tcW w:w="850" w:type="dxa"/>
          </w:tcPr>
          <w:p w14:paraId="1C8026A7"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7B5798C7"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38</w:t>
            </w:r>
            <w:r>
              <w:rPr>
                <w:rFonts w:ascii="Book Antiqua" w:hAnsi="Book Antiqua"/>
                <w:lang w:eastAsia="en-IN"/>
              </w:rPr>
              <w:t xml:space="preserve"> </w:t>
            </w:r>
            <w:r w:rsidRPr="009D309A">
              <w:rPr>
                <w:rFonts w:ascii="Book Antiqua" w:hAnsi="Book Antiqua"/>
                <w:lang w:eastAsia="en-IN"/>
              </w:rPr>
              <w:t>(10.1)</w:t>
            </w:r>
          </w:p>
        </w:tc>
        <w:tc>
          <w:tcPr>
            <w:tcW w:w="1417" w:type="dxa"/>
          </w:tcPr>
          <w:p w14:paraId="6A8CFF67"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p>
        </w:tc>
        <w:tc>
          <w:tcPr>
            <w:tcW w:w="932" w:type="dxa"/>
          </w:tcPr>
          <w:p w14:paraId="3E2F0F0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0.90</w:t>
            </w:r>
          </w:p>
        </w:tc>
      </w:tr>
      <w:tr w:rsidR="00043614" w:rsidRPr="009D309A" w14:paraId="648BABBD" w14:textId="77777777">
        <w:trPr>
          <w:trHeight w:val="27"/>
        </w:trPr>
        <w:tc>
          <w:tcPr>
            <w:tcW w:w="3969" w:type="dxa"/>
            <w:hideMark/>
          </w:tcPr>
          <w:p w14:paraId="3BF6B3F6" w14:textId="77777777" w:rsidR="00043614" w:rsidRPr="009D309A" w:rsidRDefault="00043614">
            <w:pPr>
              <w:spacing w:line="360" w:lineRule="auto"/>
              <w:jc w:val="both"/>
              <w:rPr>
                <w:rFonts w:ascii="Book Antiqua" w:hAnsi="Book Antiqua"/>
              </w:rPr>
            </w:pPr>
            <w:r w:rsidRPr="009D309A">
              <w:rPr>
                <w:rFonts w:ascii="Book Antiqua" w:hAnsi="Book Antiqua"/>
              </w:rPr>
              <w:t>Diabetes</w:t>
            </w:r>
          </w:p>
        </w:tc>
        <w:tc>
          <w:tcPr>
            <w:tcW w:w="1418" w:type="dxa"/>
          </w:tcPr>
          <w:p w14:paraId="0262C6FA"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74</w:t>
            </w:r>
            <w:r>
              <w:rPr>
                <w:rFonts w:ascii="Book Antiqua" w:hAnsi="Book Antiqua"/>
                <w:lang w:eastAsia="en-IN"/>
              </w:rPr>
              <w:t xml:space="preserve"> </w:t>
            </w:r>
            <w:r w:rsidRPr="009D309A">
              <w:rPr>
                <w:rFonts w:ascii="Book Antiqua" w:hAnsi="Book Antiqua"/>
                <w:lang w:eastAsia="en-IN"/>
              </w:rPr>
              <w:t>(19.7)</w:t>
            </w:r>
          </w:p>
        </w:tc>
        <w:tc>
          <w:tcPr>
            <w:tcW w:w="1701" w:type="dxa"/>
          </w:tcPr>
          <w:p w14:paraId="227819CC"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171727</w:t>
            </w:r>
            <w:r>
              <w:rPr>
                <w:rFonts w:ascii="Book Antiqua" w:hAnsi="Book Antiqua"/>
                <w:lang w:eastAsia="en-IN"/>
              </w:rPr>
              <w:t xml:space="preserve"> </w:t>
            </w:r>
            <w:r w:rsidRPr="009D309A">
              <w:rPr>
                <w:rFonts w:ascii="Book Antiqua" w:hAnsi="Book Antiqua"/>
                <w:lang w:eastAsia="en-IN"/>
              </w:rPr>
              <w:t>(10.4)</w:t>
            </w:r>
          </w:p>
        </w:tc>
        <w:tc>
          <w:tcPr>
            <w:tcW w:w="850" w:type="dxa"/>
          </w:tcPr>
          <w:p w14:paraId="74826AB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4A44195D"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74</w:t>
            </w:r>
            <w:r>
              <w:rPr>
                <w:rFonts w:ascii="Book Antiqua" w:hAnsi="Book Antiqua"/>
                <w:lang w:eastAsia="en-IN"/>
              </w:rPr>
              <w:t xml:space="preserve"> </w:t>
            </w:r>
            <w:r w:rsidRPr="009D309A">
              <w:rPr>
                <w:rFonts w:ascii="Book Antiqua" w:hAnsi="Book Antiqua"/>
                <w:lang w:eastAsia="en-IN"/>
              </w:rPr>
              <w:t>(19.7)</w:t>
            </w:r>
          </w:p>
        </w:tc>
        <w:tc>
          <w:tcPr>
            <w:tcW w:w="1417" w:type="dxa"/>
          </w:tcPr>
          <w:p w14:paraId="318DD170"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68</w:t>
            </w:r>
            <w:r>
              <w:rPr>
                <w:rFonts w:ascii="Book Antiqua" w:hAnsi="Book Antiqua"/>
                <w:lang w:eastAsia="en-IN"/>
              </w:rPr>
              <w:t xml:space="preserve"> </w:t>
            </w:r>
            <w:r w:rsidRPr="009D309A">
              <w:rPr>
                <w:rFonts w:ascii="Book Antiqua" w:hAnsi="Book Antiqua"/>
                <w:lang w:eastAsia="en-IN"/>
              </w:rPr>
              <w:t>(18.1)</w:t>
            </w:r>
          </w:p>
        </w:tc>
        <w:tc>
          <w:tcPr>
            <w:tcW w:w="932" w:type="dxa"/>
          </w:tcPr>
          <w:p w14:paraId="28A8888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0.58</w:t>
            </w:r>
          </w:p>
        </w:tc>
      </w:tr>
      <w:tr w:rsidR="00043614" w:rsidRPr="009D309A" w14:paraId="75D84961" w14:textId="77777777">
        <w:trPr>
          <w:trHeight w:val="117"/>
        </w:trPr>
        <w:tc>
          <w:tcPr>
            <w:tcW w:w="3969" w:type="dxa"/>
            <w:hideMark/>
          </w:tcPr>
          <w:p w14:paraId="5D48710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Chronic lower respiratory diseases</w:t>
            </w:r>
          </w:p>
        </w:tc>
        <w:tc>
          <w:tcPr>
            <w:tcW w:w="1418" w:type="dxa"/>
          </w:tcPr>
          <w:p w14:paraId="3F255E61"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82</w:t>
            </w:r>
            <w:r>
              <w:rPr>
                <w:rFonts w:ascii="Book Antiqua" w:hAnsi="Book Antiqua"/>
                <w:lang w:eastAsia="en-IN"/>
              </w:rPr>
              <w:t xml:space="preserve"> </w:t>
            </w:r>
            <w:r w:rsidRPr="009D309A">
              <w:rPr>
                <w:rFonts w:ascii="Book Antiqua" w:hAnsi="Book Antiqua"/>
                <w:lang w:eastAsia="en-IN"/>
              </w:rPr>
              <w:t>(21.8)</w:t>
            </w:r>
          </w:p>
        </w:tc>
        <w:tc>
          <w:tcPr>
            <w:tcW w:w="1701" w:type="dxa"/>
          </w:tcPr>
          <w:p w14:paraId="17A28F9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235406</w:t>
            </w:r>
            <w:r>
              <w:rPr>
                <w:rFonts w:ascii="Book Antiqua" w:hAnsi="Book Antiqua"/>
                <w:lang w:eastAsia="en-IN"/>
              </w:rPr>
              <w:t xml:space="preserve"> </w:t>
            </w:r>
            <w:r w:rsidRPr="009D309A">
              <w:rPr>
                <w:rFonts w:ascii="Book Antiqua" w:hAnsi="Book Antiqua"/>
                <w:lang w:eastAsia="en-IN"/>
              </w:rPr>
              <w:t>(14.2)</w:t>
            </w:r>
          </w:p>
        </w:tc>
        <w:tc>
          <w:tcPr>
            <w:tcW w:w="850" w:type="dxa"/>
          </w:tcPr>
          <w:p w14:paraId="526BAAA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077FEE1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82</w:t>
            </w:r>
            <w:r>
              <w:rPr>
                <w:rFonts w:ascii="Book Antiqua" w:hAnsi="Book Antiqua"/>
                <w:lang w:eastAsia="en-IN"/>
              </w:rPr>
              <w:t xml:space="preserve"> </w:t>
            </w:r>
            <w:r w:rsidRPr="009D309A">
              <w:rPr>
                <w:rFonts w:ascii="Book Antiqua" w:hAnsi="Book Antiqua"/>
                <w:lang w:eastAsia="en-IN"/>
              </w:rPr>
              <w:t>(21.8)</w:t>
            </w:r>
          </w:p>
        </w:tc>
        <w:tc>
          <w:tcPr>
            <w:tcW w:w="1417" w:type="dxa"/>
          </w:tcPr>
          <w:p w14:paraId="51DCCAA1"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81</w:t>
            </w:r>
            <w:r>
              <w:rPr>
                <w:rFonts w:ascii="Book Antiqua" w:hAnsi="Book Antiqua"/>
                <w:lang w:eastAsia="en-IN"/>
              </w:rPr>
              <w:t xml:space="preserve"> </w:t>
            </w:r>
            <w:r w:rsidRPr="009D309A">
              <w:rPr>
                <w:rFonts w:ascii="Book Antiqua" w:hAnsi="Book Antiqua"/>
                <w:lang w:eastAsia="en-IN"/>
              </w:rPr>
              <w:t>(21.6)</w:t>
            </w:r>
          </w:p>
        </w:tc>
        <w:tc>
          <w:tcPr>
            <w:tcW w:w="932" w:type="dxa"/>
          </w:tcPr>
          <w:p w14:paraId="1E56752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0.93</w:t>
            </w:r>
          </w:p>
        </w:tc>
      </w:tr>
      <w:tr w:rsidR="00043614" w:rsidRPr="009D309A" w14:paraId="0CE8AB0E" w14:textId="77777777">
        <w:trPr>
          <w:trHeight w:val="201"/>
        </w:trPr>
        <w:tc>
          <w:tcPr>
            <w:tcW w:w="3969" w:type="dxa"/>
            <w:hideMark/>
          </w:tcPr>
          <w:p w14:paraId="0583F8A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Cerebrovascular diseases</w:t>
            </w:r>
          </w:p>
        </w:tc>
        <w:tc>
          <w:tcPr>
            <w:tcW w:w="1418" w:type="dxa"/>
          </w:tcPr>
          <w:p w14:paraId="32E65C5C"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p>
        </w:tc>
        <w:tc>
          <w:tcPr>
            <w:tcW w:w="1701" w:type="dxa"/>
          </w:tcPr>
          <w:p w14:paraId="4A71F26A"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73209</w:t>
            </w:r>
            <w:r>
              <w:rPr>
                <w:rFonts w:ascii="Book Antiqua" w:hAnsi="Book Antiqua"/>
                <w:lang w:eastAsia="en-IN"/>
              </w:rPr>
              <w:t xml:space="preserve"> </w:t>
            </w:r>
            <w:r w:rsidRPr="009D309A">
              <w:rPr>
                <w:rFonts w:ascii="Book Antiqua" w:hAnsi="Book Antiqua"/>
                <w:lang w:eastAsia="en-IN"/>
              </w:rPr>
              <w:t>(4.4)</w:t>
            </w:r>
          </w:p>
        </w:tc>
        <w:tc>
          <w:tcPr>
            <w:tcW w:w="850" w:type="dxa"/>
          </w:tcPr>
          <w:p w14:paraId="106DA0CE"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58BEBF9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p>
        </w:tc>
        <w:tc>
          <w:tcPr>
            <w:tcW w:w="1417" w:type="dxa"/>
          </w:tcPr>
          <w:p w14:paraId="28C841D8" w14:textId="77777777" w:rsidR="00043614" w:rsidRPr="009D309A" w:rsidRDefault="00043614">
            <w:pPr>
              <w:spacing w:line="360" w:lineRule="auto"/>
              <w:jc w:val="both"/>
              <w:rPr>
                <w:rFonts w:ascii="Book Antiqua" w:hAnsi="Book Antiqua"/>
                <w:b/>
                <w:lang w:eastAsia="en-IN"/>
              </w:rPr>
            </w:pPr>
            <w:r w:rsidRPr="009D309A">
              <w:rPr>
                <w:rFonts w:ascii="Book Antiqua" w:hAnsi="Book Antiqua"/>
                <w:lang w:eastAsia="en-IN"/>
              </w:rPr>
              <w:t>39</w:t>
            </w:r>
            <w:r>
              <w:rPr>
                <w:rFonts w:ascii="Book Antiqua" w:hAnsi="Book Antiqua"/>
                <w:lang w:eastAsia="en-IN"/>
              </w:rPr>
              <w:t xml:space="preserve"> </w:t>
            </w:r>
            <w:r w:rsidRPr="009D309A">
              <w:rPr>
                <w:rFonts w:ascii="Book Antiqua" w:hAnsi="Book Antiqua"/>
                <w:lang w:eastAsia="en-IN"/>
              </w:rPr>
              <w:t>(10.4)</w:t>
            </w:r>
          </w:p>
        </w:tc>
        <w:tc>
          <w:tcPr>
            <w:tcW w:w="932" w:type="dxa"/>
          </w:tcPr>
          <w:p w14:paraId="2592D45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0.81</w:t>
            </w:r>
          </w:p>
        </w:tc>
      </w:tr>
      <w:tr w:rsidR="00043614" w:rsidRPr="009D309A" w14:paraId="1FF30212" w14:textId="77777777">
        <w:trPr>
          <w:trHeight w:val="409"/>
        </w:trPr>
        <w:tc>
          <w:tcPr>
            <w:tcW w:w="3969" w:type="dxa"/>
            <w:hideMark/>
          </w:tcPr>
          <w:p w14:paraId="54F6FA52" w14:textId="77777777" w:rsidR="00043614" w:rsidRPr="009D309A" w:rsidRDefault="00043614">
            <w:pPr>
              <w:spacing w:line="360" w:lineRule="auto"/>
              <w:jc w:val="both"/>
              <w:rPr>
                <w:rFonts w:ascii="Book Antiqua" w:hAnsi="Book Antiqua"/>
              </w:rPr>
            </w:pPr>
            <w:r w:rsidRPr="009D309A">
              <w:rPr>
                <w:rFonts w:ascii="Book Antiqua" w:hAnsi="Book Antiqua"/>
              </w:rPr>
              <w:t>CKD of any stage</w:t>
            </w:r>
          </w:p>
        </w:tc>
        <w:tc>
          <w:tcPr>
            <w:tcW w:w="1418" w:type="dxa"/>
          </w:tcPr>
          <w:p w14:paraId="21EE0B82"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46</w:t>
            </w:r>
            <w:r>
              <w:rPr>
                <w:rFonts w:ascii="Book Antiqua" w:hAnsi="Book Antiqua"/>
                <w:lang w:eastAsia="en-IN"/>
              </w:rPr>
              <w:t xml:space="preserve"> </w:t>
            </w:r>
            <w:r w:rsidRPr="009D309A">
              <w:rPr>
                <w:rFonts w:ascii="Book Antiqua" w:hAnsi="Book Antiqua"/>
                <w:lang w:eastAsia="en-IN"/>
              </w:rPr>
              <w:t>(12.2)</w:t>
            </w:r>
          </w:p>
        </w:tc>
        <w:tc>
          <w:tcPr>
            <w:tcW w:w="1701" w:type="dxa"/>
          </w:tcPr>
          <w:p w14:paraId="443C4D6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78265</w:t>
            </w:r>
            <w:r>
              <w:rPr>
                <w:rFonts w:ascii="Book Antiqua" w:hAnsi="Book Antiqua"/>
                <w:lang w:eastAsia="en-IN"/>
              </w:rPr>
              <w:t xml:space="preserve"> </w:t>
            </w:r>
            <w:r w:rsidRPr="009D309A">
              <w:rPr>
                <w:rFonts w:ascii="Book Antiqua" w:hAnsi="Book Antiqua"/>
                <w:lang w:eastAsia="en-IN"/>
              </w:rPr>
              <w:t>(4.7)</w:t>
            </w:r>
          </w:p>
        </w:tc>
        <w:tc>
          <w:tcPr>
            <w:tcW w:w="850" w:type="dxa"/>
          </w:tcPr>
          <w:p w14:paraId="58720D5B"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Pr>
          <w:p w14:paraId="2A774AF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46</w:t>
            </w:r>
            <w:r>
              <w:rPr>
                <w:rFonts w:ascii="Book Antiqua" w:hAnsi="Book Antiqua"/>
                <w:lang w:eastAsia="en-IN"/>
              </w:rPr>
              <w:t xml:space="preserve"> </w:t>
            </w:r>
            <w:r w:rsidRPr="009D309A">
              <w:rPr>
                <w:rFonts w:ascii="Book Antiqua" w:hAnsi="Book Antiqua"/>
                <w:lang w:eastAsia="en-IN"/>
              </w:rPr>
              <w:t>(12.2)</w:t>
            </w:r>
          </w:p>
        </w:tc>
        <w:tc>
          <w:tcPr>
            <w:tcW w:w="1417" w:type="dxa"/>
          </w:tcPr>
          <w:p w14:paraId="3D8345E3"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37</w:t>
            </w:r>
            <w:r>
              <w:rPr>
                <w:rFonts w:ascii="Book Antiqua" w:hAnsi="Book Antiqua"/>
                <w:lang w:eastAsia="en-IN"/>
              </w:rPr>
              <w:t xml:space="preserve"> </w:t>
            </w:r>
            <w:r w:rsidRPr="009D309A">
              <w:rPr>
                <w:rFonts w:ascii="Book Antiqua" w:hAnsi="Book Antiqua"/>
                <w:lang w:eastAsia="en-IN"/>
              </w:rPr>
              <w:t>(9.8)</w:t>
            </w:r>
          </w:p>
        </w:tc>
        <w:tc>
          <w:tcPr>
            <w:tcW w:w="932" w:type="dxa"/>
          </w:tcPr>
          <w:p w14:paraId="701CE7BC"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0.29</w:t>
            </w:r>
          </w:p>
        </w:tc>
      </w:tr>
      <w:tr w:rsidR="00043614" w:rsidRPr="009D309A" w14:paraId="67201F12" w14:textId="77777777">
        <w:trPr>
          <w:trHeight w:val="404"/>
        </w:trPr>
        <w:tc>
          <w:tcPr>
            <w:tcW w:w="3969" w:type="dxa"/>
            <w:tcBorders>
              <w:bottom w:val="single" w:sz="4" w:space="0" w:color="auto"/>
            </w:tcBorders>
            <w:hideMark/>
          </w:tcPr>
          <w:p w14:paraId="48A3403C"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Neoplasms</w:t>
            </w:r>
          </w:p>
        </w:tc>
        <w:tc>
          <w:tcPr>
            <w:tcW w:w="1418" w:type="dxa"/>
            <w:tcBorders>
              <w:bottom w:val="single" w:sz="4" w:space="0" w:color="auto"/>
            </w:tcBorders>
          </w:tcPr>
          <w:p w14:paraId="39E41384"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125</w:t>
            </w:r>
            <w:r>
              <w:rPr>
                <w:rFonts w:ascii="Book Antiqua" w:hAnsi="Book Antiqua"/>
                <w:lang w:eastAsia="en-IN"/>
              </w:rPr>
              <w:t xml:space="preserve"> </w:t>
            </w:r>
            <w:r w:rsidRPr="009D309A">
              <w:rPr>
                <w:rFonts w:ascii="Book Antiqua" w:hAnsi="Book Antiqua"/>
                <w:lang w:eastAsia="en-IN"/>
              </w:rPr>
              <w:t>(33.3)</w:t>
            </w:r>
          </w:p>
        </w:tc>
        <w:tc>
          <w:tcPr>
            <w:tcW w:w="1701" w:type="dxa"/>
            <w:tcBorders>
              <w:bottom w:val="single" w:sz="4" w:space="0" w:color="auto"/>
            </w:tcBorders>
          </w:tcPr>
          <w:p w14:paraId="7DCD80FF"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293362</w:t>
            </w:r>
            <w:r>
              <w:rPr>
                <w:rFonts w:ascii="Book Antiqua" w:hAnsi="Book Antiqua"/>
                <w:lang w:eastAsia="en-IN"/>
              </w:rPr>
              <w:t xml:space="preserve"> </w:t>
            </w:r>
            <w:r w:rsidRPr="009D309A">
              <w:rPr>
                <w:rFonts w:ascii="Book Antiqua" w:hAnsi="Book Antiqua"/>
                <w:lang w:eastAsia="en-IN"/>
              </w:rPr>
              <w:t>(17.8)</w:t>
            </w:r>
          </w:p>
        </w:tc>
        <w:tc>
          <w:tcPr>
            <w:tcW w:w="850" w:type="dxa"/>
            <w:tcBorders>
              <w:bottom w:val="single" w:sz="4" w:space="0" w:color="auto"/>
            </w:tcBorders>
          </w:tcPr>
          <w:p w14:paraId="4FDAB2DE"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&lt;</w:t>
            </w:r>
            <w:r>
              <w:rPr>
                <w:rFonts w:ascii="Book Antiqua" w:hAnsi="Book Antiqua"/>
                <w:lang w:eastAsia="en-IN"/>
              </w:rPr>
              <w:t xml:space="preserve"> </w:t>
            </w:r>
            <w:r w:rsidRPr="009D309A">
              <w:rPr>
                <w:rFonts w:ascii="Book Antiqua" w:hAnsi="Book Antiqua"/>
                <w:lang w:eastAsia="en-IN"/>
              </w:rPr>
              <w:t>0.01</w:t>
            </w:r>
          </w:p>
        </w:tc>
        <w:tc>
          <w:tcPr>
            <w:tcW w:w="1418" w:type="dxa"/>
            <w:tcBorders>
              <w:bottom w:val="single" w:sz="4" w:space="0" w:color="auto"/>
            </w:tcBorders>
          </w:tcPr>
          <w:p w14:paraId="140CCEC9"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125</w:t>
            </w:r>
            <w:r>
              <w:rPr>
                <w:rFonts w:ascii="Book Antiqua" w:hAnsi="Book Antiqua"/>
                <w:lang w:eastAsia="en-IN"/>
              </w:rPr>
              <w:t xml:space="preserve"> </w:t>
            </w:r>
            <w:r w:rsidRPr="009D309A">
              <w:rPr>
                <w:rFonts w:ascii="Book Antiqua" w:hAnsi="Book Antiqua"/>
                <w:lang w:eastAsia="en-IN"/>
              </w:rPr>
              <w:t>(33.3)</w:t>
            </w:r>
          </w:p>
        </w:tc>
        <w:tc>
          <w:tcPr>
            <w:tcW w:w="1417" w:type="dxa"/>
            <w:tcBorders>
              <w:bottom w:val="single" w:sz="4" w:space="0" w:color="auto"/>
            </w:tcBorders>
          </w:tcPr>
          <w:p w14:paraId="4A65AA38"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132</w:t>
            </w:r>
            <w:r>
              <w:rPr>
                <w:rFonts w:ascii="Book Antiqua" w:hAnsi="Book Antiqua"/>
                <w:lang w:eastAsia="en-IN"/>
              </w:rPr>
              <w:t xml:space="preserve"> </w:t>
            </w:r>
            <w:r w:rsidRPr="009D309A">
              <w:rPr>
                <w:rFonts w:ascii="Book Antiqua" w:hAnsi="Book Antiqua"/>
                <w:lang w:eastAsia="en-IN"/>
              </w:rPr>
              <w:t>(35.2)</w:t>
            </w:r>
          </w:p>
        </w:tc>
        <w:tc>
          <w:tcPr>
            <w:tcW w:w="932" w:type="dxa"/>
            <w:tcBorders>
              <w:bottom w:val="single" w:sz="4" w:space="0" w:color="auto"/>
            </w:tcBorders>
          </w:tcPr>
          <w:p w14:paraId="393FFED6" w14:textId="77777777" w:rsidR="00043614" w:rsidRPr="009D309A" w:rsidRDefault="00043614">
            <w:pPr>
              <w:spacing w:line="360" w:lineRule="auto"/>
              <w:jc w:val="both"/>
              <w:rPr>
                <w:rFonts w:ascii="Book Antiqua" w:hAnsi="Book Antiqua"/>
                <w:lang w:eastAsia="en-IN"/>
              </w:rPr>
            </w:pPr>
            <w:r w:rsidRPr="009D309A">
              <w:rPr>
                <w:rFonts w:ascii="Book Antiqua" w:hAnsi="Book Antiqua"/>
                <w:lang w:eastAsia="en-IN"/>
              </w:rPr>
              <w:t>0.59</w:t>
            </w:r>
          </w:p>
        </w:tc>
      </w:tr>
    </w:tbl>
    <w:p w14:paraId="5654F2BE" w14:textId="77777777" w:rsidR="00DA2D43" w:rsidRPr="008021CD" w:rsidRDefault="00673A96" w:rsidP="008021CD">
      <w:pPr>
        <w:tabs>
          <w:tab w:val="left" w:pos="900"/>
        </w:tabs>
        <w:spacing w:line="360" w:lineRule="auto"/>
        <w:jc w:val="both"/>
        <w:rPr>
          <w:rFonts w:ascii="Book Antiqua" w:hAnsi="Book Antiqua"/>
          <w:b/>
        </w:rPr>
      </w:pPr>
      <w:r w:rsidRPr="008021CD">
        <w:rPr>
          <w:rFonts w:ascii="Book Antiqua" w:hAnsi="Book Antiqua"/>
        </w:rPr>
        <w:t xml:space="preserve">AIH: </w:t>
      </w:r>
      <w:bookmarkStart w:id="3" w:name="_Hlk118790019"/>
      <w:r w:rsidRPr="008021CD">
        <w:rPr>
          <w:rFonts w:ascii="Book Antiqua" w:hAnsi="Book Antiqua"/>
        </w:rPr>
        <w:t>Autoimmune hepatitis</w:t>
      </w:r>
      <w:bookmarkEnd w:id="3"/>
      <w:r w:rsidRPr="008021CD">
        <w:rPr>
          <w:rFonts w:ascii="Book Antiqua" w:hAnsi="Book Antiqua"/>
        </w:rPr>
        <w:t xml:space="preserve">; </w:t>
      </w:r>
      <w:r w:rsidRPr="008021CD">
        <w:rPr>
          <w:rFonts w:ascii="Book Antiqua" w:hAnsi="Book Antiqua"/>
          <w:lang w:val="es-NI"/>
        </w:rPr>
        <w:t xml:space="preserve">CLD: </w:t>
      </w:r>
      <w:bookmarkStart w:id="4" w:name="_Hlk118790036"/>
      <w:r w:rsidRPr="008021CD">
        <w:rPr>
          <w:rFonts w:ascii="Book Antiqua" w:hAnsi="Book Antiqua"/>
          <w:lang w:val="es-NI"/>
        </w:rPr>
        <w:t>Chronic liver diseases</w:t>
      </w:r>
      <w:bookmarkEnd w:id="4"/>
      <w:r w:rsidRPr="008021CD">
        <w:rPr>
          <w:rFonts w:ascii="Book Antiqua" w:hAnsi="Book Antiqua"/>
          <w:lang w:val="es-NI"/>
        </w:rPr>
        <w:t xml:space="preserve">; SARS-CoV-2: </w:t>
      </w:r>
      <w:proofErr w:type="gramStart"/>
      <w:r w:rsidRPr="008021CD">
        <w:rPr>
          <w:rFonts w:ascii="Book Antiqua" w:hAnsi="Book Antiqua"/>
          <w:lang w:val="es-NI"/>
        </w:rPr>
        <w:t>Severe acute respiratory syndrome</w:t>
      </w:r>
      <w:proofErr w:type="gramEnd"/>
      <w:r w:rsidRPr="008021CD">
        <w:rPr>
          <w:rFonts w:ascii="Book Antiqua" w:hAnsi="Book Antiqua"/>
          <w:lang w:val="es-NI"/>
        </w:rPr>
        <w:t xml:space="preserve"> coronavirus-2; SD: Standard deviation; BMI: Body mass index; CKD: Chronic kidney disease.</w:t>
      </w:r>
    </w:p>
    <w:p w14:paraId="13F150DF" w14:textId="77777777" w:rsidR="00673A96" w:rsidRPr="008021CD" w:rsidRDefault="00673A96" w:rsidP="008021CD">
      <w:pPr>
        <w:tabs>
          <w:tab w:val="left" w:pos="900"/>
        </w:tabs>
        <w:spacing w:line="360" w:lineRule="auto"/>
        <w:jc w:val="both"/>
        <w:rPr>
          <w:rFonts w:ascii="Book Antiqua" w:hAnsi="Book Antiqua"/>
          <w:b/>
        </w:rPr>
        <w:sectPr w:rsidR="00673A96" w:rsidRPr="008021CD">
          <w:pgSz w:w="12240" w:h="15840"/>
          <w:pgMar w:top="1440" w:right="1440" w:bottom="1440" w:left="1440" w:header="720" w:footer="720" w:gutter="0"/>
          <w:cols w:space="720"/>
          <w:docGrid w:linePitch="360"/>
        </w:sectPr>
      </w:pPr>
    </w:p>
    <w:p w14:paraId="2BB8396E" w14:textId="77777777" w:rsidR="00DA2D43" w:rsidRPr="008021CD" w:rsidRDefault="00DA2D43" w:rsidP="008021CD">
      <w:pPr>
        <w:tabs>
          <w:tab w:val="left" w:pos="900"/>
        </w:tabs>
        <w:spacing w:line="360" w:lineRule="auto"/>
        <w:jc w:val="both"/>
        <w:rPr>
          <w:rFonts w:ascii="Book Antiqua" w:hAnsi="Book Antiqua"/>
          <w:b/>
        </w:rPr>
      </w:pPr>
      <w:r w:rsidRPr="008021CD">
        <w:rPr>
          <w:rFonts w:ascii="Book Antiqua" w:hAnsi="Book Antiqua"/>
          <w:b/>
        </w:rPr>
        <w:lastRenderedPageBreak/>
        <w:t xml:space="preserve">Table 2 Baseline characteristics of patients with </w:t>
      </w:r>
      <w:r w:rsidR="009D309A" w:rsidRPr="008021CD">
        <w:rPr>
          <w:rFonts w:ascii="Book Antiqua" w:hAnsi="Book Antiqua"/>
          <w:b/>
        </w:rPr>
        <w:t>autoimmune hepatitis</w:t>
      </w:r>
      <w:r w:rsidRPr="008021CD">
        <w:rPr>
          <w:rFonts w:ascii="Book Antiqua" w:hAnsi="Book Antiqua"/>
          <w:b/>
        </w:rPr>
        <w:t xml:space="preserve"> and </w:t>
      </w:r>
      <w:r w:rsidR="009D309A" w:rsidRPr="008021CD">
        <w:rPr>
          <w:rFonts w:ascii="Book Antiqua" w:hAnsi="Book Antiqua"/>
          <w:b/>
        </w:rPr>
        <w:t>n</w:t>
      </w:r>
      <w:r w:rsidRPr="008021CD">
        <w:rPr>
          <w:rFonts w:ascii="Book Antiqua" w:hAnsi="Book Antiqua"/>
          <w:b/>
        </w:rPr>
        <w:t>on-</w:t>
      </w:r>
      <w:r w:rsidR="009D309A" w:rsidRPr="008021CD">
        <w:rPr>
          <w:rFonts w:ascii="Book Antiqua" w:hAnsi="Book Antiqua"/>
          <w:b/>
        </w:rPr>
        <w:t>autoimmune hepatitis</w:t>
      </w:r>
      <w:r w:rsidRPr="008021CD">
        <w:rPr>
          <w:rFonts w:ascii="Book Antiqua" w:hAnsi="Book Antiqua"/>
          <w:b/>
        </w:rPr>
        <w:t xml:space="preserve"> </w:t>
      </w:r>
      <w:r w:rsidR="009D309A" w:rsidRPr="008021CD">
        <w:rPr>
          <w:rFonts w:ascii="Book Antiqua" w:hAnsi="Book Antiqua"/>
          <w:b/>
        </w:rPr>
        <w:t>chronic liver diseases</w:t>
      </w:r>
      <w:r w:rsidRPr="008021CD">
        <w:rPr>
          <w:rFonts w:ascii="Book Antiqua" w:hAnsi="Book Antiqua"/>
          <w:b/>
        </w:rPr>
        <w:t xml:space="preserve"> patients with a positive test for </w:t>
      </w:r>
      <w:r w:rsidR="009D309A" w:rsidRPr="008021CD">
        <w:rPr>
          <w:rFonts w:ascii="Book Antiqua" w:hAnsi="Book Antiqua"/>
          <w:b/>
        </w:rPr>
        <w:t>severe acute respiratory syndrome coronavirus-2</w:t>
      </w:r>
    </w:p>
    <w:tbl>
      <w:tblPr>
        <w:tblW w:w="11643" w:type="dxa"/>
        <w:jc w:val="center"/>
        <w:tblLayout w:type="fixed"/>
        <w:tblLook w:val="04A0" w:firstRow="1" w:lastRow="0" w:firstColumn="1" w:lastColumn="0" w:noHBand="0" w:noVBand="1"/>
      </w:tblPr>
      <w:tblGrid>
        <w:gridCol w:w="3370"/>
        <w:gridCol w:w="1665"/>
        <w:gridCol w:w="1725"/>
        <w:gridCol w:w="1018"/>
        <w:gridCol w:w="1486"/>
        <w:gridCol w:w="1404"/>
        <w:gridCol w:w="975"/>
      </w:tblGrid>
      <w:tr w:rsidR="00D01380" w:rsidRPr="008021CD" w14:paraId="7A41619E" w14:textId="77777777" w:rsidTr="008021CD">
        <w:trPr>
          <w:trHeight w:val="461"/>
          <w:jc w:val="center"/>
        </w:trPr>
        <w:tc>
          <w:tcPr>
            <w:tcW w:w="3370" w:type="dxa"/>
            <w:vMerge w:val="restart"/>
            <w:tcBorders>
              <w:top w:val="single" w:sz="4" w:space="0" w:color="auto"/>
            </w:tcBorders>
          </w:tcPr>
          <w:p w14:paraId="557FF033"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Variables</w:t>
            </w:r>
          </w:p>
        </w:tc>
        <w:tc>
          <w:tcPr>
            <w:tcW w:w="4408" w:type="dxa"/>
            <w:gridSpan w:val="3"/>
            <w:tcBorders>
              <w:top w:val="single" w:sz="4" w:space="0" w:color="auto"/>
              <w:bottom w:val="single" w:sz="4" w:space="0" w:color="auto"/>
            </w:tcBorders>
          </w:tcPr>
          <w:p w14:paraId="282EBA0F"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Before propensity score matching</w:t>
            </w:r>
          </w:p>
        </w:tc>
        <w:tc>
          <w:tcPr>
            <w:tcW w:w="3863" w:type="dxa"/>
            <w:gridSpan w:val="3"/>
            <w:tcBorders>
              <w:top w:val="single" w:sz="4" w:space="0" w:color="auto"/>
              <w:bottom w:val="single" w:sz="4" w:space="0" w:color="auto"/>
            </w:tcBorders>
          </w:tcPr>
          <w:p w14:paraId="23A489A6"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After propensity score matching</w:t>
            </w:r>
          </w:p>
        </w:tc>
      </w:tr>
      <w:tr w:rsidR="00280D44" w:rsidRPr="008021CD" w14:paraId="2E315D33" w14:textId="77777777" w:rsidTr="008021CD">
        <w:trPr>
          <w:trHeight w:val="461"/>
          <w:jc w:val="center"/>
        </w:trPr>
        <w:tc>
          <w:tcPr>
            <w:tcW w:w="3370" w:type="dxa"/>
            <w:vMerge/>
            <w:tcBorders>
              <w:bottom w:val="single" w:sz="4" w:space="0" w:color="auto"/>
            </w:tcBorders>
            <w:hideMark/>
          </w:tcPr>
          <w:p w14:paraId="394AF312" w14:textId="77777777" w:rsidR="00DA2D43" w:rsidRPr="008021CD" w:rsidRDefault="00DA2D43" w:rsidP="008021CD">
            <w:pPr>
              <w:spacing w:line="360" w:lineRule="auto"/>
              <w:jc w:val="both"/>
              <w:rPr>
                <w:rFonts w:ascii="Book Antiqua" w:hAnsi="Book Antiqua"/>
                <w:b/>
                <w:bCs/>
              </w:rPr>
            </w:pPr>
          </w:p>
        </w:tc>
        <w:tc>
          <w:tcPr>
            <w:tcW w:w="1665" w:type="dxa"/>
            <w:tcBorders>
              <w:top w:val="single" w:sz="4" w:space="0" w:color="auto"/>
              <w:bottom w:val="single" w:sz="4" w:space="0" w:color="auto"/>
            </w:tcBorders>
            <w:hideMark/>
          </w:tcPr>
          <w:p w14:paraId="0B5BB902" w14:textId="77777777" w:rsidR="00463120" w:rsidRPr="008021CD" w:rsidRDefault="00DA2D43" w:rsidP="008021CD">
            <w:pPr>
              <w:spacing w:line="360" w:lineRule="auto"/>
              <w:jc w:val="both"/>
              <w:rPr>
                <w:rFonts w:ascii="Book Antiqua" w:hAnsi="Book Antiqua"/>
                <w:b/>
                <w:bCs/>
                <w:lang w:eastAsia="zh-CN"/>
              </w:rPr>
            </w:pPr>
            <w:r w:rsidRPr="008021CD">
              <w:rPr>
                <w:rFonts w:ascii="Book Antiqua" w:hAnsi="Book Antiqua"/>
                <w:b/>
                <w:bCs/>
              </w:rPr>
              <w:t>AIH</w:t>
            </w:r>
            <w:r w:rsidR="009D309A" w:rsidRPr="008021CD">
              <w:rPr>
                <w:rFonts w:ascii="Book Antiqua" w:hAnsi="Book Antiqua"/>
                <w:b/>
                <w:bCs/>
                <w:lang w:eastAsia="zh-CN"/>
              </w:rPr>
              <w:t xml:space="preserve"> </w:t>
            </w:r>
          </w:p>
          <w:p w14:paraId="58D52F6E"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w:t>
            </w:r>
            <w:r w:rsidR="009D309A" w:rsidRPr="008021CD">
              <w:rPr>
                <w:rFonts w:ascii="Book Antiqua" w:hAnsi="Book Antiqua"/>
                <w:b/>
                <w:bCs/>
                <w:i/>
                <w:iCs/>
              </w:rPr>
              <w:t>n</w:t>
            </w:r>
            <w:r w:rsidR="009D309A" w:rsidRPr="008021CD">
              <w:rPr>
                <w:rFonts w:ascii="Book Antiqua" w:hAnsi="Book Antiqua"/>
                <w:b/>
                <w:bCs/>
              </w:rPr>
              <w:t xml:space="preserve"> </w:t>
            </w:r>
            <w:r w:rsidRPr="008021CD">
              <w:rPr>
                <w:rFonts w:ascii="Book Antiqua" w:hAnsi="Book Antiqua"/>
                <w:b/>
                <w:bCs/>
              </w:rPr>
              <w:t>=</w:t>
            </w:r>
            <w:r w:rsidR="009D309A" w:rsidRPr="008021CD">
              <w:rPr>
                <w:rFonts w:ascii="Book Antiqua" w:hAnsi="Book Antiqua"/>
                <w:b/>
                <w:bCs/>
              </w:rPr>
              <w:t xml:space="preserve"> </w:t>
            </w:r>
            <w:r w:rsidRPr="008021CD">
              <w:rPr>
                <w:rFonts w:ascii="Book Antiqua" w:hAnsi="Book Antiqua"/>
                <w:b/>
                <w:bCs/>
              </w:rPr>
              <w:t>375)</w:t>
            </w:r>
          </w:p>
        </w:tc>
        <w:tc>
          <w:tcPr>
            <w:tcW w:w="1725" w:type="dxa"/>
            <w:tcBorders>
              <w:top w:val="single" w:sz="4" w:space="0" w:color="auto"/>
              <w:bottom w:val="single" w:sz="4" w:space="0" w:color="auto"/>
            </w:tcBorders>
            <w:hideMark/>
          </w:tcPr>
          <w:p w14:paraId="05898786" w14:textId="77777777" w:rsidR="00463120" w:rsidRPr="008021CD" w:rsidRDefault="00DA2D43" w:rsidP="008021CD">
            <w:pPr>
              <w:spacing w:line="360" w:lineRule="auto"/>
              <w:jc w:val="both"/>
              <w:rPr>
                <w:rFonts w:ascii="Book Antiqua" w:hAnsi="Book Antiqua"/>
                <w:b/>
                <w:bCs/>
              </w:rPr>
            </w:pPr>
            <w:r w:rsidRPr="008021CD">
              <w:rPr>
                <w:rFonts w:ascii="Book Antiqua" w:hAnsi="Book Antiqua"/>
                <w:b/>
                <w:bCs/>
              </w:rPr>
              <w:t>Non-AIH CLD</w:t>
            </w:r>
          </w:p>
          <w:p w14:paraId="0820DD20"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w:t>
            </w:r>
            <w:r w:rsidR="009D309A" w:rsidRPr="008021CD">
              <w:rPr>
                <w:rFonts w:ascii="Book Antiqua" w:hAnsi="Book Antiqua"/>
                <w:b/>
                <w:bCs/>
                <w:i/>
                <w:iCs/>
              </w:rPr>
              <w:t>n</w:t>
            </w:r>
            <w:r w:rsidR="009D309A" w:rsidRPr="008021CD">
              <w:rPr>
                <w:rFonts w:ascii="Book Antiqua" w:hAnsi="Book Antiqua"/>
                <w:b/>
                <w:bCs/>
              </w:rPr>
              <w:t xml:space="preserve"> </w:t>
            </w:r>
            <w:r w:rsidRPr="008021CD">
              <w:rPr>
                <w:rFonts w:ascii="Book Antiqua" w:hAnsi="Book Antiqua"/>
                <w:b/>
                <w:bCs/>
              </w:rPr>
              <w:t>=</w:t>
            </w:r>
            <w:r w:rsidR="009D309A" w:rsidRPr="008021CD">
              <w:rPr>
                <w:rFonts w:ascii="Book Antiqua" w:hAnsi="Book Antiqua"/>
                <w:b/>
                <w:bCs/>
              </w:rPr>
              <w:t xml:space="preserve"> </w:t>
            </w:r>
            <w:r w:rsidRPr="008021CD">
              <w:rPr>
                <w:rFonts w:ascii="Book Antiqua" w:hAnsi="Book Antiqua"/>
                <w:b/>
                <w:bCs/>
              </w:rPr>
              <w:t>15790)</w:t>
            </w:r>
          </w:p>
        </w:tc>
        <w:tc>
          <w:tcPr>
            <w:tcW w:w="1017" w:type="dxa"/>
            <w:tcBorders>
              <w:top w:val="single" w:sz="4" w:space="0" w:color="auto"/>
              <w:bottom w:val="single" w:sz="4" w:space="0" w:color="auto"/>
            </w:tcBorders>
          </w:tcPr>
          <w:p w14:paraId="6FCFC600" w14:textId="77777777" w:rsidR="00DA2D43" w:rsidRPr="008021CD" w:rsidRDefault="00DA2D43" w:rsidP="008021CD">
            <w:pPr>
              <w:spacing w:line="360" w:lineRule="auto"/>
              <w:jc w:val="both"/>
              <w:rPr>
                <w:rFonts w:ascii="Book Antiqua" w:hAnsi="Book Antiqua"/>
                <w:b/>
                <w:bCs/>
                <w:lang w:eastAsia="en-IN"/>
              </w:rPr>
            </w:pPr>
            <w:r w:rsidRPr="008021CD">
              <w:rPr>
                <w:rFonts w:ascii="Book Antiqua" w:hAnsi="Book Antiqua"/>
                <w:b/>
                <w:bCs/>
                <w:i/>
                <w:iCs/>
                <w:lang w:eastAsia="en-IN"/>
              </w:rPr>
              <w:t>P</w:t>
            </w:r>
            <w:r w:rsidR="009D309A" w:rsidRPr="008021CD">
              <w:rPr>
                <w:rFonts w:ascii="Book Antiqua" w:hAnsi="Book Antiqua"/>
                <w:b/>
                <w:bCs/>
                <w:lang w:eastAsia="en-IN"/>
              </w:rPr>
              <w:t xml:space="preserve"> v</w:t>
            </w:r>
            <w:r w:rsidRPr="008021CD">
              <w:rPr>
                <w:rFonts w:ascii="Book Antiqua" w:hAnsi="Book Antiqua"/>
                <w:b/>
                <w:bCs/>
                <w:lang w:eastAsia="en-IN"/>
              </w:rPr>
              <w:t>alue</w:t>
            </w:r>
          </w:p>
        </w:tc>
        <w:tc>
          <w:tcPr>
            <w:tcW w:w="1486" w:type="dxa"/>
            <w:tcBorders>
              <w:top w:val="single" w:sz="4" w:space="0" w:color="auto"/>
              <w:bottom w:val="single" w:sz="4" w:space="0" w:color="auto"/>
            </w:tcBorders>
          </w:tcPr>
          <w:p w14:paraId="10EBE2BE" w14:textId="77777777" w:rsidR="00463120" w:rsidRPr="008021CD" w:rsidRDefault="00DA2D43" w:rsidP="008021CD">
            <w:pPr>
              <w:spacing w:line="360" w:lineRule="auto"/>
              <w:jc w:val="both"/>
              <w:rPr>
                <w:rFonts w:ascii="Book Antiqua" w:hAnsi="Book Antiqua"/>
                <w:b/>
                <w:bCs/>
                <w:lang w:eastAsia="zh-CN"/>
              </w:rPr>
            </w:pPr>
            <w:r w:rsidRPr="008021CD">
              <w:rPr>
                <w:rFonts w:ascii="Book Antiqua" w:hAnsi="Book Antiqua"/>
                <w:b/>
                <w:bCs/>
              </w:rPr>
              <w:t>AIH</w:t>
            </w:r>
            <w:r w:rsidR="009D309A" w:rsidRPr="008021CD">
              <w:rPr>
                <w:rFonts w:ascii="Book Antiqua" w:hAnsi="Book Antiqua"/>
                <w:b/>
                <w:bCs/>
                <w:lang w:eastAsia="zh-CN"/>
              </w:rPr>
              <w:t xml:space="preserve"> </w:t>
            </w:r>
          </w:p>
          <w:p w14:paraId="44664680" w14:textId="77777777" w:rsidR="00DA2D43" w:rsidRPr="008021CD" w:rsidRDefault="00DA2D43" w:rsidP="008021CD">
            <w:pPr>
              <w:spacing w:line="360" w:lineRule="auto"/>
              <w:jc w:val="both"/>
              <w:rPr>
                <w:rFonts w:ascii="Book Antiqua" w:hAnsi="Book Antiqua"/>
                <w:b/>
                <w:bCs/>
              </w:rPr>
            </w:pPr>
            <w:r w:rsidRPr="008021CD">
              <w:rPr>
                <w:rFonts w:ascii="Book Antiqua" w:hAnsi="Book Antiqua"/>
                <w:b/>
                <w:bCs/>
              </w:rPr>
              <w:t>(</w:t>
            </w:r>
            <w:r w:rsidR="009D309A" w:rsidRPr="008021CD">
              <w:rPr>
                <w:rFonts w:ascii="Book Antiqua" w:hAnsi="Book Antiqua"/>
                <w:b/>
                <w:bCs/>
                <w:i/>
                <w:iCs/>
              </w:rPr>
              <w:t>n</w:t>
            </w:r>
            <w:r w:rsidR="009D309A" w:rsidRPr="008021CD">
              <w:rPr>
                <w:rFonts w:ascii="Book Antiqua" w:hAnsi="Book Antiqua"/>
                <w:b/>
                <w:bCs/>
              </w:rPr>
              <w:t xml:space="preserve"> </w:t>
            </w:r>
            <w:r w:rsidRPr="008021CD">
              <w:rPr>
                <w:rFonts w:ascii="Book Antiqua" w:hAnsi="Book Antiqua"/>
                <w:b/>
                <w:bCs/>
              </w:rPr>
              <w:t>=</w:t>
            </w:r>
            <w:r w:rsidR="009D309A" w:rsidRPr="008021CD">
              <w:rPr>
                <w:rFonts w:ascii="Book Antiqua" w:hAnsi="Book Antiqua"/>
                <w:b/>
                <w:bCs/>
              </w:rPr>
              <w:t xml:space="preserve"> </w:t>
            </w:r>
            <w:r w:rsidRPr="008021CD">
              <w:rPr>
                <w:rFonts w:ascii="Book Antiqua" w:hAnsi="Book Antiqua"/>
                <w:b/>
                <w:bCs/>
              </w:rPr>
              <w:t>363)</w:t>
            </w:r>
          </w:p>
        </w:tc>
        <w:tc>
          <w:tcPr>
            <w:tcW w:w="1404" w:type="dxa"/>
            <w:tcBorders>
              <w:top w:val="single" w:sz="4" w:space="0" w:color="auto"/>
              <w:bottom w:val="single" w:sz="4" w:space="0" w:color="auto"/>
            </w:tcBorders>
          </w:tcPr>
          <w:p w14:paraId="22AB6E2D" w14:textId="77777777" w:rsidR="00463120" w:rsidRPr="008021CD" w:rsidRDefault="00DA2D43" w:rsidP="008021CD">
            <w:pPr>
              <w:spacing w:line="360" w:lineRule="auto"/>
              <w:jc w:val="both"/>
              <w:rPr>
                <w:rFonts w:ascii="Book Antiqua" w:hAnsi="Book Antiqua"/>
                <w:b/>
                <w:bCs/>
              </w:rPr>
            </w:pPr>
            <w:r w:rsidRPr="008021CD">
              <w:rPr>
                <w:rFonts w:ascii="Book Antiqua" w:hAnsi="Book Antiqua"/>
                <w:b/>
                <w:bCs/>
              </w:rPr>
              <w:t>Non-AIH CLD</w:t>
            </w:r>
          </w:p>
          <w:p w14:paraId="25AE6760" w14:textId="77777777" w:rsidR="00DA2D43" w:rsidRPr="008021CD" w:rsidRDefault="00DA2D43" w:rsidP="008021CD">
            <w:pPr>
              <w:spacing w:line="360" w:lineRule="auto"/>
              <w:jc w:val="both"/>
              <w:rPr>
                <w:rFonts w:ascii="Book Antiqua" w:hAnsi="Book Antiqua"/>
                <w:b/>
                <w:bCs/>
                <w:lang w:eastAsia="en-IN"/>
              </w:rPr>
            </w:pPr>
            <w:r w:rsidRPr="008021CD">
              <w:rPr>
                <w:rFonts w:ascii="Book Antiqua" w:hAnsi="Book Antiqua"/>
                <w:b/>
                <w:bCs/>
              </w:rPr>
              <w:t>(</w:t>
            </w:r>
            <w:r w:rsidR="009D309A" w:rsidRPr="008021CD">
              <w:rPr>
                <w:rFonts w:ascii="Book Antiqua" w:hAnsi="Book Antiqua"/>
                <w:b/>
                <w:bCs/>
                <w:i/>
                <w:iCs/>
              </w:rPr>
              <w:t>n</w:t>
            </w:r>
            <w:r w:rsidR="009D309A" w:rsidRPr="008021CD">
              <w:rPr>
                <w:rFonts w:ascii="Book Antiqua" w:hAnsi="Book Antiqua"/>
                <w:b/>
                <w:bCs/>
              </w:rPr>
              <w:t xml:space="preserve"> </w:t>
            </w:r>
            <w:r w:rsidRPr="008021CD">
              <w:rPr>
                <w:rFonts w:ascii="Book Antiqua" w:hAnsi="Book Antiqua"/>
                <w:b/>
                <w:bCs/>
              </w:rPr>
              <w:t>=</w:t>
            </w:r>
            <w:r w:rsidR="009D309A" w:rsidRPr="008021CD">
              <w:rPr>
                <w:rFonts w:ascii="Book Antiqua" w:hAnsi="Book Antiqua"/>
                <w:b/>
                <w:bCs/>
              </w:rPr>
              <w:t xml:space="preserve"> </w:t>
            </w:r>
            <w:r w:rsidRPr="008021CD">
              <w:rPr>
                <w:rFonts w:ascii="Book Antiqua" w:hAnsi="Book Antiqua"/>
                <w:b/>
                <w:bCs/>
              </w:rPr>
              <w:t>363)</w:t>
            </w:r>
          </w:p>
        </w:tc>
        <w:tc>
          <w:tcPr>
            <w:tcW w:w="973" w:type="dxa"/>
            <w:tcBorders>
              <w:top w:val="single" w:sz="4" w:space="0" w:color="auto"/>
              <w:bottom w:val="single" w:sz="4" w:space="0" w:color="auto"/>
            </w:tcBorders>
          </w:tcPr>
          <w:p w14:paraId="2EC09C1A" w14:textId="77777777" w:rsidR="00DA2D43" w:rsidRPr="008021CD" w:rsidRDefault="00DA2D43" w:rsidP="008021CD">
            <w:pPr>
              <w:spacing w:line="360" w:lineRule="auto"/>
              <w:jc w:val="both"/>
              <w:rPr>
                <w:rFonts w:ascii="Book Antiqua" w:hAnsi="Book Antiqua"/>
                <w:b/>
                <w:bCs/>
                <w:lang w:eastAsia="en-IN"/>
              </w:rPr>
            </w:pPr>
            <w:r w:rsidRPr="008021CD">
              <w:rPr>
                <w:rFonts w:ascii="Book Antiqua" w:hAnsi="Book Antiqua"/>
                <w:b/>
                <w:bCs/>
                <w:i/>
                <w:iCs/>
                <w:lang w:eastAsia="en-IN"/>
              </w:rPr>
              <w:t>P</w:t>
            </w:r>
            <w:r w:rsidR="009D309A" w:rsidRPr="008021CD">
              <w:rPr>
                <w:rFonts w:ascii="Book Antiqua" w:hAnsi="Book Antiqua"/>
                <w:b/>
                <w:bCs/>
                <w:lang w:eastAsia="en-IN"/>
              </w:rPr>
              <w:t xml:space="preserve"> v</w:t>
            </w:r>
            <w:r w:rsidRPr="008021CD">
              <w:rPr>
                <w:rFonts w:ascii="Book Antiqua" w:hAnsi="Book Antiqua"/>
                <w:b/>
                <w:bCs/>
                <w:lang w:eastAsia="en-IN"/>
              </w:rPr>
              <w:t>alue</w:t>
            </w:r>
          </w:p>
        </w:tc>
      </w:tr>
      <w:tr w:rsidR="00280D44" w:rsidRPr="008021CD" w14:paraId="6CCD1357" w14:textId="77777777" w:rsidTr="008021CD">
        <w:trPr>
          <w:trHeight w:val="75"/>
          <w:jc w:val="center"/>
        </w:trPr>
        <w:tc>
          <w:tcPr>
            <w:tcW w:w="3370" w:type="dxa"/>
            <w:tcBorders>
              <w:top w:val="single" w:sz="4" w:space="0" w:color="auto"/>
            </w:tcBorders>
            <w:hideMark/>
          </w:tcPr>
          <w:p w14:paraId="36D13981" w14:textId="77777777" w:rsidR="00DA2D43" w:rsidRPr="008021CD" w:rsidRDefault="00DA2D43" w:rsidP="008021CD">
            <w:pPr>
              <w:spacing w:line="360" w:lineRule="auto"/>
              <w:jc w:val="both"/>
              <w:rPr>
                <w:rFonts w:ascii="Book Antiqua" w:hAnsi="Book Antiqua"/>
                <w:b/>
                <w:bCs/>
              </w:rPr>
            </w:pPr>
            <w:r w:rsidRPr="008021CD">
              <w:rPr>
                <w:rFonts w:ascii="Book Antiqua" w:hAnsi="Book Antiqua"/>
              </w:rPr>
              <w:t>Age,</w:t>
            </w:r>
            <w:r w:rsidRPr="008021CD">
              <w:rPr>
                <w:rFonts w:ascii="Book Antiqua" w:hAnsi="Book Antiqua"/>
                <w:b/>
                <w:bCs/>
              </w:rPr>
              <w:t xml:space="preserve"> </w:t>
            </w:r>
            <w:proofErr w:type="spellStart"/>
            <w:r w:rsidRPr="008021CD">
              <w:rPr>
                <w:rFonts w:ascii="Book Antiqua" w:hAnsi="Book Antiqua"/>
              </w:rPr>
              <w:t>yr</w:t>
            </w:r>
            <w:proofErr w:type="spellEnd"/>
            <w:r w:rsidRPr="008021CD">
              <w:rPr>
                <w:rFonts w:ascii="Book Antiqua" w:hAnsi="Book Antiqua"/>
                <w:b/>
                <w:bCs/>
              </w:rPr>
              <w:t xml:space="preserve">, </w:t>
            </w:r>
            <w:r w:rsidRPr="008021CD">
              <w:rPr>
                <w:rFonts w:ascii="Book Antiqua" w:hAnsi="Book Antiqua"/>
              </w:rPr>
              <w:t xml:space="preserve">mean </w:t>
            </w:r>
            <w:r w:rsidRPr="008021CD">
              <w:rPr>
                <w:rFonts w:ascii="Book Antiqua" w:hAnsi="Book Antiqua"/>
                <w:lang w:eastAsia="en-IN"/>
              </w:rPr>
              <w:t xml:space="preserve">± </w:t>
            </w:r>
            <w:r w:rsidRPr="008021CD">
              <w:rPr>
                <w:rFonts w:ascii="Book Antiqua" w:hAnsi="Book Antiqua"/>
              </w:rPr>
              <w:t>SD</w:t>
            </w:r>
          </w:p>
        </w:tc>
        <w:tc>
          <w:tcPr>
            <w:tcW w:w="1665" w:type="dxa"/>
            <w:tcBorders>
              <w:top w:val="single" w:sz="4" w:space="0" w:color="auto"/>
            </w:tcBorders>
          </w:tcPr>
          <w:p w14:paraId="1397EAC0"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53.1 ± 18.5</w:t>
            </w:r>
          </w:p>
        </w:tc>
        <w:tc>
          <w:tcPr>
            <w:tcW w:w="1725" w:type="dxa"/>
            <w:tcBorders>
              <w:top w:val="single" w:sz="4" w:space="0" w:color="auto"/>
            </w:tcBorders>
          </w:tcPr>
          <w:p w14:paraId="461575E8"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60.3 ± 12.1</w:t>
            </w:r>
          </w:p>
        </w:tc>
        <w:tc>
          <w:tcPr>
            <w:tcW w:w="1017" w:type="dxa"/>
            <w:tcBorders>
              <w:top w:val="single" w:sz="4" w:space="0" w:color="auto"/>
            </w:tcBorders>
          </w:tcPr>
          <w:p w14:paraId="40591AED"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&lt;</w:t>
            </w:r>
            <w:r w:rsidR="009D309A" w:rsidRPr="008021CD">
              <w:rPr>
                <w:rFonts w:ascii="Book Antiqua" w:hAnsi="Book Antiqua"/>
                <w:lang w:eastAsia="en-IN"/>
              </w:rPr>
              <w:t xml:space="preserve"> </w:t>
            </w:r>
            <w:r w:rsidRPr="008021CD">
              <w:rPr>
                <w:rFonts w:ascii="Book Antiqua" w:hAnsi="Book Antiqua"/>
                <w:lang w:eastAsia="en-IN"/>
              </w:rPr>
              <w:t>0.01</w:t>
            </w:r>
          </w:p>
        </w:tc>
        <w:tc>
          <w:tcPr>
            <w:tcW w:w="1486" w:type="dxa"/>
            <w:tcBorders>
              <w:top w:val="single" w:sz="4" w:space="0" w:color="auto"/>
            </w:tcBorders>
          </w:tcPr>
          <w:p w14:paraId="356AC12D"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53.9 ± 18.1</w:t>
            </w:r>
          </w:p>
        </w:tc>
        <w:tc>
          <w:tcPr>
            <w:tcW w:w="1404" w:type="dxa"/>
            <w:tcBorders>
              <w:top w:val="single" w:sz="4" w:space="0" w:color="auto"/>
            </w:tcBorders>
          </w:tcPr>
          <w:p w14:paraId="5B81B556"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54.3 ± 15.5</w:t>
            </w:r>
          </w:p>
        </w:tc>
        <w:tc>
          <w:tcPr>
            <w:tcW w:w="973" w:type="dxa"/>
            <w:tcBorders>
              <w:top w:val="single" w:sz="4" w:space="0" w:color="auto"/>
            </w:tcBorders>
          </w:tcPr>
          <w:p w14:paraId="1A1683DA" w14:textId="77777777" w:rsidR="00DA2D43" w:rsidRPr="008021CD" w:rsidRDefault="00DA2D43" w:rsidP="008021CD">
            <w:pPr>
              <w:spacing w:line="360" w:lineRule="auto"/>
              <w:jc w:val="both"/>
              <w:rPr>
                <w:rFonts w:ascii="Book Antiqua" w:hAnsi="Book Antiqua"/>
                <w:lang w:eastAsia="en-IN"/>
              </w:rPr>
            </w:pPr>
            <w:r w:rsidRPr="008021CD">
              <w:rPr>
                <w:rFonts w:ascii="Book Antiqua" w:hAnsi="Book Antiqua"/>
                <w:lang w:eastAsia="en-IN"/>
              </w:rPr>
              <w:t>0.76</w:t>
            </w:r>
          </w:p>
        </w:tc>
      </w:tr>
      <w:tr w:rsidR="00D01380" w:rsidRPr="008021CD" w14:paraId="2CE35DFF" w14:textId="77777777" w:rsidTr="008021CD">
        <w:trPr>
          <w:trHeight w:val="75"/>
          <w:jc w:val="center"/>
        </w:trPr>
        <w:tc>
          <w:tcPr>
            <w:tcW w:w="3370" w:type="dxa"/>
          </w:tcPr>
          <w:p w14:paraId="126BE5F2" w14:textId="77777777" w:rsidR="009D309A" w:rsidRPr="008021CD" w:rsidRDefault="009D309A" w:rsidP="008021CD">
            <w:pPr>
              <w:spacing w:line="360" w:lineRule="auto"/>
              <w:jc w:val="both"/>
              <w:rPr>
                <w:rFonts w:ascii="Book Antiqua" w:hAnsi="Book Antiqua"/>
              </w:rPr>
            </w:pPr>
            <w:r w:rsidRPr="008021CD">
              <w:rPr>
                <w:rFonts w:ascii="Book Antiqua" w:hAnsi="Book Antiqua"/>
              </w:rPr>
              <w:t>Sex</w:t>
            </w:r>
            <w:r w:rsidR="009A74FA" w:rsidRPr="008021CD">
              <w:rPr>
                <w:rFonts w:ascii="Book Antiqua" w:hAnsi="Book Antiqua"/>
              </w:rPr>
              <w:t xml:space="preserve">, </w:t>
            </w:r>
            <w:r w:rsidR="009A74FA" w:rsidRPr="008021CD">
              <w:rPr>
                <w:rFonts w:ascii="Book Antiqua" w:hAnsi="Book Antiqua"/>
                <w:i/>
                <w:iCs/>
              </w:rPr>
              <w:t>n</w:t>
            </w:r>
            <w:r w:rsidR="008021CD" w:rsidRPr="008021CD">
              <w:rPr>
                <w:rFonts w:ascii="Book Antiqua" w:hAnsi="Book Antiqua"/>
              </w:rPr>
              <w:t xml:space="preserve"> </w:t>
            </w:r>
            <w:r w:rsidR="009A74FA" w:rsidRPr="008021CD">
              <w:rPr>
                <w:rFonts w:ascii="Book Antiqua" w:hAnsi="Book Antiqua"/>
              </w:rPr>
              <w:t>(%)</w:t>
            </w:r>
          </w:p>
        </w:tc>
        <w:tc>
          <w:tcPr>
            <w:tcW w:w="1665" w:type="dxa"/>
          </w:tcPr>
          <w:p w14:paraId="506139C6" w14:textId="77777777" w:rsidR="009D309A" w:rsidRPr="008021CD" w:rsidRDefault="009D309A" w:rsidP="008021CD">
            <w:pPr>
              <w:spacing w:line="360" w:lineRule="auto"/>
              <w:jc w:val="both"/>
              <w:rPr>
                <w:rFonts w:ascii="Book Antiqua" w:hAnsi="Book Antiqua"/>
                <w:lang w:eastAsia="en-IN"/>
              </w:rPr>
            </w:pPr>
          </w:p>
        </w:tc>
        <w:tc>
          <w:tcPr>
            <w:tcW w:w="1725" w:type="dxa"/>
          </w:tcPr>
          <w:p w14:paraId="3CF237FF" w14:textId="77777777" w:rsidR="009D309A" w:rsidRPr="008021CD" w:rsidRDefault="009D309A" w:rsidP="008021CD">
            <w:pPr>
              <w:spacing w:line="360" w:lineRule="auto"/>
              <w:jc w:val="both"/>
              <w:rPr>
                <w:rFonts w:ascii="Book Antiqua" w:hAnsi="Book Antiqua"/>
                <w:lang w:eastAsia="en-IN"/>
              </w:rPr>
            </w:pPr>
          </w:p>
        </w:tc>
        <w:tc>
          <w:tcPr>
            <w:tcW w:w="1017" w:type="dxa"/>
          </w:tcPr>
          <w:p w14:paraId="335B0E06" w14:textId="77777777" w:rsidR="009D309A" w:rsidRPr="008021CD" w:rsidRDefault="009D309A" w:rsidP="008021CD">
            <w:pPr>
              <w:spacing w:line="360" w:lineRule="auto"/>
              <w:jc w:val="both"/>
              <w:rPr>
                <w:rFonts w:ascii="Book Antiqua" w:hAnsi="Book Antiqua"/>
                <w:lang w:eastAsia="en-IN"/>
              </w:rPr>
            </w:pPr>
          </w:p>
        </w:tc>
        <w:tc>
          <w:tcPr>
            <w:tcW w:w="1486" w:type="dxa"/>
          </w:tcPr>
          <w:p w14:paraId="4735D498" w14:textId="77777777" w:rsidR="009D309A" w:rsidRPr="008021CD" w:rsidRDefault="009D309A" w:rsidP="008021CD">
            <w:pPr>
              <w:spacing w:line="360" w:lineRule="auto"/>
              <w:jc w:val="both"/>
              <w:rPr>
                <w:rFonts w:ascii="Book Antiqua" w:hAnsi="Book Antiqua"/>
                <w:lang w:eastAsia="en-IN"/>
              </w:rPr>
            </w:pPr>
          </w:p>
        </w:tc>
        <w:tc>
          <w:tcPr>
            <w:tcW w:w="1404" w:type="dxa"/>
          </w:tcPr>
          <w:p w14:paraId="7729B1F1" w14:textId="77777777" w:rsidR="009D309A" w:rsidRPr="008021CD" w:rsidRDefault="009D309A" w:rsidP="008021CD">
            <w:pPr>
              <w:spacing w:line="360" w:lineRule="auto"/>
              <w:jc w:val="both"/>
              <w:rPr>
                <w:rFonts w:ascii="Book Antiqua" w:hAnsi="Book Antiqua"/>
                <w:lang w:eastAsia="en-IN"/>
              </w:rPr>
            </w:pPr>
          </w:p>
        </w:tc>
        <w:tc>
          <w:tcPr>
            <w:tcW w:w="973" w:type="dxa"/>
          </w:tcPr>
          <w:p w14:paraId="159C6BE1" w14:textId="77777777" w:rsidR="009D309A" w:rsidRPr="008021CD" w:rsidRDefault="009D309A" w:rsidP="008021CD">
            <w:pPr>
              <w:spacing w:line="360" w:lineRule="auto"/>
              <w:jc w:val="both"/>
              <w:rPr>
                <w:rFonts w:ascii="Book Antiqua" w:hAnsi="Book Antiqua"/>
                <w:lang w:eastAsia="en-IN"/>
              </w:rPr>
            </w:pPr>
          </w:p>
        </w:tc>
      </w:tr>
      <w:tr w:rsidR="00D01380" w:rsidRPr="008021CD" w14:paraId="08D323D9" w14:textId="77777777" w:rsidTr="008021CD">
        <w:trPr>
          <w:trHeight w:val="75"/>
          <w:jc w:val="center"/>
        </w:trPr>
        <w:tc>
          <w:tcPr>
            <w:tcW w:w="3370" w:type="dxa"/>
          </w:tcPr>
          <w:p w14:paraId="2999CF83" w14:textId="77777777" w:rsidR="009D309A" w:rsidRPr="008021CD" w:rsidRDefault="009D309A" w:rsidP="008021CD">
            <w:pPr>
              <w:spacing w:line="360" w:lineRule="auto"/>
              <w:jc w:val="both"/>
              <w:rPr>
                <w:rFonts w:ascii="Book Antiqua" w:hAnsi="Book Antiqua"/>
              </w:rPr>
            </w:pPr>
            <w:r w:rsidRPr="008021CD">
              <w:rPr>
                <w:rFonts w:ascii="Book Antiqua" w:hAnsi="Book Antiqua"/>
              </w:rPr>
              <w:t>Female</w:t>
            </w:r>
          </w:p>
        </w:tc>
        <w:tc>
          <w:tcPr>
            <w:tcW w:w="1665" w:type="dxa"/>
          </w:tcPr>
          <w:p w14:paraId="0CBAA032"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267 (71.2)</w:t>
            </w:r>
          </w:p>
        </w:tc>
        <w:tc>
          <w:tcPr>
            <w:tcW w:w="1725" w:type="dxa"/>
          </w:tcPr>
          <w:p w14:paraId="6EA05C34"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6517 (41.2)</w:t>
            </w:r>
          </w:p>
        </w:tc>
        <w:tc>
          <w:tcPr>
            <w:tcW w:w="1017" w:type="dxa"/>
          </w:tcPr>
          <w:p w14:paraId="18FE2005"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681F0D4C"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262 (72.1)</w:t>
            </w:r>
          </w:p>
        </w:tc>
        <w:tc>
          <w:tcPr>
            <w:tcW w:w="1404" w:type="dxa"/>
          </w:tcPr>
          <w:p w14:paraId="0A4E0045"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266 (73.2)</w:t>
            </w:r>
          </w:p>
        </w:tc>
        <w:tc>
          <w:tcPr>
            <w:tcW w:w="973" w:type="dxa"/>
          </w:tcPr>
          <w:p w14:paraId="6D6CFA81"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0.74</w:t>
            </w:r>
          </w:p>
        </w:tc>
      </w:tr>
      <w:tr w:rsidR="00D01380" w:rsidRPr="008021CD" w14:paraId="301B14CF" w14:textId="77777777" w:rsidTr="008021CD">
        <w:trPr>
          <w:trHeight w:val="75"/>
          <w:jc w:val="center"/>
        </w:trPr>
        <w:tc>
          <w:tcPr>
            <w:tcW w:w="3370" w:type="dxa"/>
          </w:tcPr>
          <w:p w14:paraId="2712EE69" w14:textId="77777777" w:rsidR="009D309A" w:rsidRPr="008021CD" w:rsidRDefault="009D309A" w:rsidP="008021CD">
            <w:pPr>
              <w:spacing w:line="360" w:lineRule="auto"/>
              <w:jc w:val="both"/>
              <w:rPr>
                <w:rFonts w:ascii="Book Antiqua" w:hAnsi="Book Antiqua"/>
              </w:rPr>
            </w:pPr>
            <w:r w:rsidRPr="008021CD">
              <w:rPr>
                <w:rFonts w:ascii="Book Antiqua" w:hAnsi="Book Antiqua"/>
              </w:rPr>
              <w:t>Ethnicity</w:t>
            </w:r>
            <w:r w:rsidR="009A74FA" w:rsidRPr="008021CD">
              <w:rPr>
                <w:rFonts w:ascii="Book Antiqua" w:hAnsi="Book Antiqua"/>
              </w:rPr>
              <w:t xml:space="preserve">, </w:t>
            </w:r>
            <w:r w:rsidR="009A74FA" w:rsidRPr="008021CD">
              <w:rPr>
                <w:rFonts w:ascii="Book Antiqua" w:hAnsi="Book Antiqua"/>
                <w:i/>
                <w:iCs/>
              </w:rPr>
              <w:t>n</w:t>
            </w:r>
            <w:r w:rsidR="008021CD" w:rsidRPr="008021CD">
              <w:rPr>
                <w:rFonts w:ascii="Book Antiqua" w:hAnsi="Book Antiqua"/>
              </w:rPr>
              <w:t xml:space="preserve"> </w:t>
            </w:r>
            <w:r w:rsidR="009A74FA" w:rsidRPr="008021CD">
              <w:rPr>
                <w:rFonts w:ascii="Book Antiqua" w:hAnsi="Book Antiqua"/>
              </w:rPr>
              <w:t>(%)</w:t>
            </w:r>
          </w:p>
        </w:tc>
        <w:tc>
          <w:tcPr>
            <w:tcW w:w="1665" w:type="dxa"/>
          </w:tcPr>
          <w:p w14:paraId="1C50FCED" w14:textId="77777777" w:rsidR="009D309A" w:rsidRPr="008021CD" w:rsidRDefault="009D309A" w:rsidP="008021CD">
            <w:pPr>
              <w:spacing w:line="360" w:lineRule="auto"/>
              <w:jc w:val="both"/>
              <w:rPr>
                <w:rFonts w:ascii="Book Antiqua" w:hAnsi="Book Antiqua"/>
                <w:lang w:eastAsia="en-IN"/>
              </w:rPr>
            </w:pPr>
          </w:p>
        </w:tc>
        <w:tc>
          <w:tcPr>
            <w:tcW w:w="1725" w:type="dxa"/>
          </w:tcPr>
          <w:p w14:paraId="6A03CE36" w14:textId="77777777" w:rsidR="009D309A" w:rsidRPr="008021CD" w:rsidRDefault="009D309A" w:rsidP="008021CD">
            <w:pPr>
              <w:spacing w:line="360" w:lineRule="auto"/>
              <w:jc w:val="both"/>
              <w:rPr>
                <w:rFonts w:ascii="Book Antiqua" w:hAnsi="Book Antiqua"/>
                <w:lang w:eastAsia="en-IN"/>
              </w:rPr>
            </w:pPr>
          </w:p>
        </w:tc>
        <w:tc>
          <w:tcPr>
            <w:tcW w:w="1017" w:type="dxa"/>
          </w:tcPr>
          <w:p w14:paraId="2F0ADDB6" w14:textId="77777777" w:rsidR="009D309A" w:rsidRPr="008021CD" w:rsidRDefault="009D309A" w:rsidP="008021CD">
            <w:pPr>
              <w:spacing w:line="360" w:lineRule="auto"/>
              <w:jc w:val="both"/>
              <w:rPr>
                <w:rFonts w:ascii="Book Antiqua" w:hAnsi="Book Antiqua"/>
                <w:lang w:eastAsia="en-IN"/>
              </w:rPr>
            </w:pPr>
          </w:p>
        </w:tc>
        <w:tc>
          <w:tcPr>
            <w:tcW w:w="1486" w:type="dxa"/>
          </w:tcPr>
          <w:p w14:paraId="4EE85EC4" w14:textId="77777777" w:rsidR="009D309A" w:rsidRPr="008021CD" w:rsidRDefault="009D309A" w:rsidP="008021CD">
            <w:pPr>
              <w:spacing w:line="360" w:lineRule="auto"/>
              <w:jc w:val="both"/>
              <w:rPr>
                <w:rFonts w:ascii="Book Antiqua" w:hAnsi="Book Antiqua"/>
                <w:lang w:eastAsia="en-IN"/>
              </w:rPr>
            </w:pPr>
          </w:p>
        </w:tc>
        <w:tc>
          <w:tcPr>
            <w:tcW w:w="1404" w:type="dxa"/>
          </w:tcPr>
          <w:p w14:paraId="43886244" w14:textId="77777777" w:rsidR="009D309A" w:rsidRPr="008021CD" w:rsidRDefault="009D309A" w:rsidP="008021CD">
            <w:pPr>
              <w:spacing w:line="360" w:lineRule="auto"/>
              <w:jc w:val="both"/>
              <w:rPr>
                <w:rFonts w:ascii="Book Antiqua" w:hAnsi="Book Antiqua"/>
                <w:lang w:eastAsia="en-IN"/>
              </w:rPr>
            </w:pPr>
          </w:p>
        </w:tc>
        <w:tc>
          <w:tcPr>
            <w:tcW w:w="973" w:type="dxa"/>
          </w:tcPr>
          <w:p w14:paraId="622E951B" w14:textId="77777777" w:rsidR="009D309A" w:rsidRPr="008021CD" w:rsidRDefault="009D309A" w:rsidP="008021CD">
            <w:pPr>
              <w:spacing w:line="360" w:lineRule="auto"/>
              <w:jc w:val="both"/>
              <w:rPr>
                <w:rFonts w:ascii="Book Antiqua" w:hAnsi="Book Antiqua"/>
                <w:lang w:eastAsia="en-IN"/>
              </w:rPr>
            </w:pPr>
          </w:p>
        </w:tc>
      </w:tr>
      <w:tr w:rsidR="00D01380" w:rsidRPr="008021CD" w14:paraId="62F1AAAF" w14:textId="77777777" w:rsidTr="008021CD">
        <w:trPr>
          <w:trHeight w:val="75"/>
          <w:jc w:val="center"/>
        </w:trPr>
        <w:tc>
          <w:tcPr>
            <w:tcW w:w="3370" w:type="dxa"/>
          </w:tcPr>
          <w:p w14:paraId="19FA2789" w14:textId="77777777" w:rsidR="009D309A" w:rsidRPr="008021CD" w:rsidRDefault="009D309A" w:rsidP="008021CD">
            <w:pPr>
              <w:spacing w:line="360" w:lineRule="auto"/>
              <w:jc w:val="both"/>
              <w:rPr>
                <w:rFonts w:ascii="Book Antiqua" w:hAnsi="Book Antiqua"/>
              </w:rPr>
            </w:pPr>
            <w:r w:rsidRPr="008021CD">
              <w:rPr>
                <w:rFonts w:ascii="Book Antiqua" w:hAnsi="Book Antiqua"/>
              </w:rPr>
              <w:t>Hispanic or Latino</w:t>
            </w:r>
          </w:p>
        </w:tc>
        <w:tc>
          <w:tcPr>
            <w:tcW w:w="1665" w:type="dxa"/>
          </w:tcPr>
          <w:p w14:paraId="2CCB808C"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82 (21.8)</w:t>
            </w:r>
          </w:p>
        </w:tc>
        <w:tc>
          <w:tcPr>
            <w:tcW w:w="1725" w:type="dxa"/>
          </w:tcPr>
          <w:p w14:paraId="160F432B"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1579 (10)</w:t>
            </w:r>
          </w:p>
        </w:tc>
        <w:tc>
          <w:tcPr>
            <w:tcW w:w="1017" w:type="dxa"/>
          </w:tcPr>
          <w:p w14:paraId="629086F6"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5D966A00"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82 (22.5)</w:t>
            </w:r>
          </w:p>
        </w:tc>
        <w:tc>
          <w:tcPr>
            <w:tcW w:w="1404" w:type="dxa"/>
          </w:tcPr>
          <w:p w14:paraId="6E6D6BA5"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67 (18.4)</w:t>
            </w:r>
          </w:p>
        </w:tc>
        <w:tc>
          <w:tcPr>
            <w:tcW w:w="973" w:type="dxa"/>
          </w:tcPr>
          <w:p w14:paraId="76C79D7D"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0.19</w:t>
            </w:r>
          </w:p>
        </w:tc>
      </w:tr>
      <w:tr w:rsidR="00D01380" w:rsidRPr="008021CD" w14:paraId="6111FA1C" w14:textId="77777777" w:rsidTr="008021CD">
        <w:trPr>
          <w:trHeight w:val="75"/>
          <w:jc w:val="center"/>
        </w:trPr>
        <w:tc>
          <w:tcPr>
            <w:tcW w:w="3370" w:type="dxa"/>
          </w:tcPr>
          <w:p w14:paraId="6C2DF987" w14:textId="77777777" w:rsidR="009D309A" w:rsidRPr="008021CD" w:rsidRDefault="009D309A" w:rsidP="008021CD">
            <w:pPr>
              <w:spacing w:line="360" w:lineRule="auto"/>
              <w:jc w:val="both"/>
              <w:rPr>
                <w:rFonts w:ascii="Book Antiqua" w:hAnsi="Book Antiqua"/>
              </w:rPr>
            </w:pPr>
            <w:r w:rsidRPr="008021CD">
              <w:rPr>
                <w:rFonts w:ascii="Book Antiqua" w:hAnsi="Book Antiqua"/>
              </w:rPr>
              <w:t>Race</w:t>
            </w:r>
            <w:r w:rsidR="009A74FA" w:rsidRPr="008021CD">
              <w:rPr>
                <w:rFonts w:ascii="Book Antiqua" w:hAnsi="Book Antiqua"/>
              </w:rPr>
              <w:t xml:space="preserve">, </w:t>
            </w:r>
            <w:r w:rsidR="009A74FA" w:rsidRPr="008021CD">
              <w:rPr>
                <w:rFonts w:ascii="Book Antiqua" w:hAnsi="Book Antiqua"/>
                <w:i/>
                <w:iCs/>
              </w:rPr>
              <w:t>n</w:t>
            </w:r>
            <w:r w:rsidR="008021CD" w:rsidRPr="008021CD">
              <w:rPr>
                <w:rFonts w:ascii="Book Antiqua" w:hAnsi="Book Antiqua"/>
              </w:rPr>
              <w:t xml:space="preserve"> </w:t>
            </w:r>
            <w:r w:rsidR="009A74FA" w:rsidRPr="008021CD">
              <w:rPr>
                <w:rFonts w:ascii="Book Antiqua" w:hAnsi="Book Antiqua"/>
              </w:rPr>
              <w:t>(%)</w:t>
            </w:r>
          </w:p>
        </w:tc>
        <w:tc>
          <w:tcPr>
            <w:tcW w:w="1665" w:type="dxa"/>
          </w:tcPr>
          <w:p w14:paraId="3ACA96D8" w14:textId="77777777" w:rsidR="009D309A" w:rsidRPr="008021CD" w:rsidRDefault="009D309A" w:rsidP="008021CD">
            <w:pPr>
              <w:spacing w:line="360" w:lineRule="auto"/>
              <w:jc w:val="both"/>
              <w:rPr>
                <w:rFonts w:ascii="Book Antiqua" w:hAnsi="Book Antiqua"/>
                <w:lang w:eastAsia="en-IN"/>
              </w:rPr>
            </w:pPr>
          </w:p>
        </w:tc>
        <w:tc>
          <w:tcPr>
            <w:tcW w:w="1725" w:type="dxa"/>
          </w:tcPr>
          <w:p w14:paraId="0909BE67" w14:textId="77777777" w:rsidR="009D309A" w:rsidRPr="008021CD" w:rsidRDefault="009D309A" w:rsidP="008021CD">
            <w:pPr>
              <w:spacing w:line="360" w:lineRule="auto"/>
              <w:jc w:val="both"/>
              <w:rPr>
                <w:rFonts w:ascii="Book Antiqua" w:hAnsi="Book Antiqua"/>
                <w:lang w:eastAsia="en-IN"/>
              </w:rPr>
            </w:pPr>
          </w:p>
        </w:tc>
        <w:tc>
          <w:tcPr>
            <w:tcW w:w="1017" w:type="dxa"/>
          </w:tcPr>
          <w:p w14:paraId="55DA3867" w14:textId="77777777" w:rsidR="009D309A" w:rsidRPr="008021CD" w:rsidRDefault="009D309A" w:rsidP="008021CD">
            <w:pPr>
              <w:spacing w:line="360" w:lineRule="auto"/>
              <w:jc w:val="both"/>
              <w:rPr>
                <w:rFonts w:ascii="Book Antiqua" w:hAnsi="Book Antiqua"/>
                <w:lang w:eastAsia="en-IN"/>
              </w:rPr>
            </w:pPr>
          </w:p>
        </w:tc>
        <w:tc>
          <w:tcPr>
            <w:tcW w:w="1486" w:type="dxa"/>
          </w:tcPr>
          <w:p w14:paraId="2FB2B018" w14:textId="77777777" w:rsidR="009D309A" w:rsidRPr="008021CD" w:rsidRDefault="009D309A" w:rsidP="008021CD">
            <w:pPr>
              <w:spacing w:line="360" w:lineRule="auto"/>
              <w:jc w:val="both"/>
              <w:rPr>
                <w:rFonts w:ascii="Book Antiqua" w:hAnsi="Book Antiqua"/>
                <w:lang w:eastAsia="en-IN"/>
              </w:rPr>
            </w:pPr>
          </w:p>
        </w:tc>
        <w:tc>
          <w:tcPr>
            <w:tcW w:w="1404" w:type="dxa"/>
          </w:tcPr>
          <w:p w14:paraId="751A590A" w14:textId="77777777" w:rsidR="009D309A" w:rsidRPr="008021CD" w:rsidRDefault="009D309A" w:rsidP="008021CD">
            <w:pPr>
              <w:spacing w:line="360" w:lineRule="auto"/>
              <w:jc w:val="both"/>
              <w:rPr>
                <w:rFonts w:ascii="Book Antiqua" w:hAnsi="Book Antiqua"/>
                <w:lang w:eastAsia="en-IN"/>
              </w:rPr>
            </w:pPr>
          </w:p>
        </w:tc>
        <w:tc>
          <w:tcPr>
            <w:tcW w:w="973" w:type="dxa"/>
          </w:tcPr>
          <w:p w14:paraId="0ED6CA0C" w14:textId="77777777" w:rsidR="009D309A" w:rsidRPr="008021CD" w:rsidRDefault="009D309A" w:rsidP="008021CD">
            <w:pPr>
              <w:spacing w:line="360" w:lineRule="auto"/>
              <w:jc w:val="both"/>
              <w:rPr>
                <w:rFonts w:ascii="Book Antiqua" w:hAnsi="Book Antiqua"/>
                <w:lang w:eastAsia="en-IN"/>
              </w:rPr>
            </w:pPr>
          </w:p>
        </w:tc>
      </w:tr>
      <w:tr w:rsidR="00D01380" w:rsidRPr="008021CD" w14:paraId="53CF3281" w14:textId="77777777" w:rsidTr="008021CD">
        <w:trPr>
          <w:trHeight w:val="75"/>
          <w:jc w:val="center"/>
        </w:trPr>
        <w:tc>
          <w:tcPr>
            <w:tcW w:w="3370" w:type="dxa"/>
          </w:tcPr>
          <w:p w14:paraId="09B4F684" w14:textId="77777777" w:rsidR="009D309A" w:rsidRPr="008021CD" w:rsidRDefault="009D309A" w:rsidP="008021CD">
            <w:pPr>
              <w:spacing w:line="360" w:lineRule="auto"/>
              <w:jc w:val="both"/>
              <w:rPr>
                <w:rFonts w:ascii="Book Antiqua" w:hAnsi="Book Antiqua"/>
              </w:rPr>
            </w:pPr>
            <w:r w:rsidRPr="008021CD">
              <w:rPr>
                <w:rFonts w:ascii="Book Antiqua" w:hAnsi="Book Antiqua"/>
              </w:rPr>
              <w:t>White</w:t>
            </w:r>
          </w:p>
        </w:tc>
        <w:tc>
          <w:tcPr>
            <w:tcW w:w="1665" w:type="dxa"/>
          </w:tcPr>
          <w:p w14:paraId="7E61E078"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236 (62.9)</w:t>
            </w:r>
          </w:p>
        </w:tc>
        <w:tc>
          <w:tcPr>
            <w:tcW w:w="1725" w:type="dxa"/>
          </w:tcPr>
          <w:p w14:paraId="0BED567B"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11132 (70.5)</w:t>
            </w:r>
          </w:p>
        </w:tc>
        <w:tc>
          <w:tcPr>
            <w:tcW w:w="1017" w:type="dxa"/>
          </w:tcPr>
          <w:p w14:paraId="2B1B5BF7"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0.02</w:t>
            </w:r>
          </w:p>
        </w:tc>
        <w:tc>
          <w:tcPr>
            <w:tcW w:w="1486" w:type="dxa"/>
          </w:tcPr>
          <w:p w14:paraId="53A3DDCF"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235 (64.7)</w:t>
            </w:r>
          </w:p>
        </w:tc>
        <w:tc>
          <w:tcPr>
            <w:tcW w:w="1404" w:type="dxa"/>
          </w:tcPr>
          <w:p w14:paraId="50812830"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218</w:t>
            </w:r>
            <w:r w:rsidR="004F5616" w:rsidRPr="008021CD">
              <w:rPr>
                <w:rFonts w:ascii="Book Antiqua" w:hAnsi="Book Antiqua"/>
                <w:lang w:eastAsia="en-IN"/>
              </w:rPr>
              <w:t xml:space="preserve"> </w:t>
            </w:r>
            <w:r w:rsidRPr="008021CD">
              <w:rPr>
                <w:rFonts w:ascii="Book Antiqua" w:hAnsi="Book Antiqua"/>
                <w:lang w:eastAsia="en-IN"/>
              </w:rPr>
              <w:t>(60.1)</w:t>
            </w:r>
          </w:p>
        </w:tc>
        <w:tc>
          <w:tcPr>
            <w:tcW w:w="973" w:type="dxa"/>
          </w:tcPr>
          <w:p w14:paraId="05EF990D"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0.19</w:t>
            </w:r>
          </w:p>
        </w:tc>
      </w:tr>
      <w:tr w:rsidR="00280D44" w:rsidRPr="008021CD" w14:paraId="34F4E6F4" w14:textId="77777777" w:rsidTr="008021CD">
        <w:trPr>
          <w:trHeight w:val="190"/>
          <w:jc w:val="center"/>
        </w:trPr>
        <w:tc>
          <w:tcPr>
            <w:tcW w:w="3370" w:type="dxa"/>
            <w:hideMark/>
          </w:tcPr>
          <w:p w14:paraId="4ED17433" w14:textId="77777777" w:rsidR="009D309A" w:rsidRPr="008021CD" w:rsidRDefault="009D309A" w:rsidP="0075112B">
            <w:pPr>
              <w:spacing w:line="360" w:lineRule="auto"/>
              <w:jc w:val="both"/>
              <w:rPr>
                <w:rFonts w:ascii="Book Antiqua" w:hAnsi="Book Antiqua"/>
              </w:rPr>
            </w:pPr>
            <w:r w:rsidRPr="008021CD">
              <w:rPr>
                <w:rFonts w:ascii="Book Antiqua" w:hAnsi="Book Antiqua"/>
              </w:rPr>
              <w:t>Black or African American</w:t>
            </w:r>
          </w:p>
        </w:tc>
        <w:tc>
          <w:tcPr>
            <w:tcW w:w="1665" w:type="dxa"/>
          </w:tcPr>
          <w:p w14:paraId="5463B399"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65 (17.3)</w:t>
            </w:r>
          </w:p>
        </w:tc>
        <w:tc>
          <w:tcPr>
            <w:tcW w:w="1725" w:type="dxa"/>
          </w:tcPr>
          <w:p w14:paraId="0FEDE414"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2462 (15.5)</w:t>
            </w:r>
          </w:p>
        </w:tc>
        <w:tc>
          <w:tcPr>
            <w:tcW w:w="1017" w:type="dxa"/>
          </w:tcPr>
          <w:p w14:paraId="34539188"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0.41</w:t>
            </w:r>
          </w:p>
        </w:tc>
        <w:tc>
          <w:tcPr>
            <w:tcW w:w="1486" w:type="dxa"/>
          </w:tcPr>
          <w:p w14:paraId="0502E614"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58 (15.9)</w:t>
            </w:r>
          </w:p>
        </w:tc>
        <w:tc>
          <w:tcPr>
            <w:tcW w:w="1404" w:type="dxa"/>
          </w:tcPr>
          <w:p w14:paraId="5B412E4F"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72</w:t>
            </w:r>
            <w:r w:rsidR="004F5616" w:rsidRPr="008021CD">
              <w:rPr>
                <w:rFonts w:ascii="Book Antiqua" w:hAnsi="Book Antiqua"/>
                <w:lang w:eastAsia="en-IN"/>
              </w:rPr>
              <w:t xml:space="preserve"> </w:t>
            </w:r>
            <w:r w:rsidRPr="008021CD">
              <w:rPr>
                <w:rFonts w:ascii="Book Antiqua" w:hAnsi="Book Antiqua"/>
                <w:lang w:eastAsia="en-IN"/>
              </w:rPr>
              <w:t>(19.8)</w:t>
            </w:r>
          </w:p>
        </w:tc>
        <w:tc>
          <w:tcPr>
            <w:tcW w:w="973" w:type="dxa"/>
          </w:tcPr>
          <w:p w14:paraId="6E9A6A82"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0.17</w:t>
            </w:r>
          </w:p>
        </w:tc>
      </w:tr>
      <w:tr w:rsidR="00280D44" w:rsidRPr="008021CD" w14:paraId="1D63582E" w14:textId="77777777" w:rsidTr="008021CD">
        <w:trPr>
          <w:trHeight w:val="474"/>
          <w:jc w:val="center"/>
        </w:trPr>
        <w:tc>
          <w:tcPr>
            <w:tcW w:w="3370" w:type="dxa"/>
          </w:tcPr>
          <w:p w14:paraId="324CDD82" w14:textId="77777777" w:rsidR="009D309A" w:rsidRPr="008021CD" w:rsidRDefault="009D309A" w:rsidP="00D265F9">
            <w:pPr>
              <w:spacing w:line="360" w:lineRule="auto"/>
              <w:jc w:val="both"/>
              <w:rPr>
                <w:rFonts w:ascii="Book Antiqua" w:hAnsi="Book Antiqua"/>
              </w:rPr>
            </w:pPr>
            <w:r w:rsidRPr="008021CD">
              <w:rPr>
                <w:rFonts w:ascii="Book Antiqua" w:hAnsi="Book Antiqua"/>
              </w:rPr>
              <w:t>Other</w:t>
            </w:r>
          </w:p>
        </w:tc>
        <w:tc>
          <w:tcPr>
            <w:tcW w:w="1665" w:type="dxa"/>
          </w:tcPr>
          <w:p w14:paraId="49DA86EA"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66 (17.6)</w:t>
            </w:r>
          </w:p>
        </w:tc>
        <w:tc>
          <w:tcPr>
            <w:tcW w:w="1725" w:type="dxa"/>
          </w:tcPr>
          <w:p w14:paraId="5F768BCF"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1824 (11.5)</w:t>
            </w:r>
          </w:p>
        </w:tc>
        <w:tc>
          <w:tcPr>
            <w:tcW w:w="1017" w:type="dxa"/>
          </w:tcPr>
          <w:p w14:paraId="61DE6501"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0.04</w:t>
            </w:r>
          </w:p>
        </w:tc>
        <w:tc>
          <w:tcPr>
            <w:tcW w:w="1486" w:type="dxa"/>
          </w:tcPr>
          <w:p w14:paraId="2BD5CB47"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62 (17.1)</w:t>
            </w:r>
          </w:p>
        </w:tc>
        <w:tc>
          <w:tcPr>
            <w:tcW w:w="1404" w:type="dxa"/>
          </w:tcPr>
          <w:p w14:paraId="43E43C8F"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61</w:t>
            </w:r>
            <w:r w:rsidR="004F5616" w:rsidRPr="008021CD">
              <w:rPr>
                <w:rFonts w:ascii="Book Antiqua" w:hAnsi="Book Antiqua"/>
                <w:lang w:eastAsia="en-IN"/>
              </w:rPr>
              <w:t xml:space="preserve"> </w:t>
            </w:r>
            <w:r w:rsidRPr="008021CD">
              <w:rPr>
                <w:rFonts w:ascii="Book Antiqua" w:hAnsi="Book Antiqua"/>
                <w:lang w:eastAsia="en-IN"/>
              </w:rPr>
              <w:t>(16.8)</w:t>
            </w:r>
          </w:p>
        </w:tc>
        <w:tc>
          <w:tcPr>
            <w:tcW w:w="973" w:type="dxa"/>
          </w:tcPr>
          <w:p w14:paraId="25F404A8" w14:textId="77777777" w:rsidR="009D309A" w:rsidRPr="008021CD" w:rsidRDefault="009D309A" w:rsidP="008021CD">
            <w:pPr>
              <w:spacing w:line="360" w:lineRule="auto"/>
              <w:jc w:val="both"/>
              <w:rPr>
                <w:rFonts w:ascii="Book Antiqua" w:hAnsi="Book Antiqua"/>
                <w:lang w:eastAsia="en-IN"/>
              </w:rPr>
            </w:pPr>
            <w:r w:rsidRPr="008021CD">
              <w:rPr>
                <w:rFonts w:ascii="Book Antiqua" w:hAnsi="Book Antiqua"/>
                <w:lang w:eastAsia="en-IN"/>
              </w:rPr>
              <w:t>0.92</w:t>
            </w:r>
          </w:p>
        </w:tc>
      </w:tr>
      <w:tr w:rsidR="00280D44" w:rsidRPr="008021CD" w14:paraId="086B6DA6" w14:textId="77777777" w:rsidTr="008021CD">
        <w:trPr>
          <w:trHeight w:val="378"/>
          <w:jc w:val="center"/>
        </w:trPr>
        <w:tc>
          <w:tcPr>
            <w:tcW w:w="3370" w:type="dxa"/>
          </w:tcPr>
          <w:p w14:paraId="073AAA91" w14:textId="77777777" w:rsidR="00280D44" w:rsidRPr="008021CD" w:rsidRDefault="00280D44" w:rsidP="008021CD">
            <w:pPr>
              <w:spacing w:line="360" w:lineRule="auto"/>
              <w:jc w:val="both"/>
              <w:rPr>
                <w:rFonts w:ascii="Book Antiqua" w:hAnsi="Book Antiqua"/>
                <w:b/>
                <w:bCs/>
              </w:rPr>
            </w:pPr>
            <w:r w:rsidRPr="008021CD">
              <w:rPr>
                <w:rFonts w:ascii="Book Antiqua" w:hAnsi="Book Antiqua"/>
              </w:rPr>
              <w:t>Nicotine dependence</w:t>
            </w:r>
            <w:r w:rsidR="009A74FA" w:rsidRPr="008021CD">
              <w:rPr>
                <w:rFonts w:ascii="Book Antiqua" w:hAnsi="Book Antiqua"/>
              </w:rPr>
              <w:t xml:space="preserve">, </w:t>
            </w:r>
            <w:r w:rsidR="009A74FA" w:rsidRPr="008021CD">
              <w:rPr>
                <w:rFonts w:ascii="Book Antiqua" w:hAnsi="Book Antiqua"/>
                <w:i/>
                <w:iCs/>
              </w:rPr>
              <w:t>n</w:t>
            </w:r>
            <w:r w:rsidR="008021CD" w:rsidRPr="008021CD">
              <w:rPr>
                <w:rFonts w:ascii="Book Antiqua" w:hAnsi="Book Antiqua"/>
              </w:rPr>
              <w:t xml:space="preserve"> </w:t>
            </w:r>
            <w:r w:rsidR="009A74FA" w:rsidRPr="008021CD">
              <w:rPr>
                <w:rFonts w:ascii="Book Antiqua" w:hAnsi="Book Antiqua"/>
              </w:rPr>
              <w:t>(%)</w:t>
            </w:r>
          </w:p>
        </w:tc>
        <w:tc>
          <w:tcPr>
            <w:tcW w:w="1665" w:type="dxa"/>
          </w:tcPr>
          <w:p w14:paraId="70AE2596"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rPr>
              <w:t>87 (23.2)</w:t>
            </w:r>
          </w:p>
        </w:tc>
        <w:tc>
          <w:tcPr>
            <w:tcW w:w="1725" w:type="dxa"/>
          </w:tcPr>
          <w:p w14:paraId="63E4CC13"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rPr>
              <w:t>1831 (11.5)</w:t>
            </w:r>
          </w:p>
        </w:tc>
        <w:tc>
          <w:tcPr>
            <w:tcW w:w="1017" w:type="dxa"/>
          </w:tcPr>
          <w:p w14:paraId="5B75D3FC"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525257A4" w14:textId="77777777" w:rsidR="00280D44" w:rsidRPr="008021CD" w:rsidRDefault="00280D44" w:rsidP="008021CD">
            <w:pPr>
              <w:spacing w:line="360" w:lineRule="auto"/>
              <w:jc w:val="both"/>
              <w:rPr>
                <w:rFonts w:ascii="Book Antiqua" w:hAnsi="Book Antiqua"/>
                <w:b/>
                <w:lang w:eastAsia="en-IN"/>
              </w:rPr>
            </w:pPr>
            <w:r w:rsidRPr="008021CD">
              <w:rPr>
                <w:rFonts w:ascii="Book Antiqua" w:hAnsi="Book Antiqua"/>
              </w:rPr>
              <w:t>89 (24.5)</w:t>
            </w:r>
          </w:p>
        </w:tc>
        <w:tc>
          <w:tcPr>
            <w:tcW w:w="1404" w:type="dxa"/>
          </w:tcPr>
          <w:p w14:paraId="3BF91A67"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rPr>
              <w:t>87 (23.9)</w:t>
            </w:r>
          </w:p>
        </w:tc>
        <w:tc>
          <w:tcPr>
            <w:tcW w:w="973" w:type="dxa"/>
          </w:tcPr>
          <w:p w14:paraId="5E76A381" w14:textId="77777777" w:rsidR="00280D44" w:rsidRPr="008021CD" w:rsidRDefault="00280D44" w:rsidP="008021CD">
            <w:pPr>
              <w:spacing w:line="360" w:lineRule="auto"/>
              <w:jc w:val="both"/>
              <w:rPr>
                <w:rFonts w:ascii="Book Antiqua" w:hAnsi="Book Antiqua"/>
                <w:b/>
                <w:lang w:eastAsia="en-IN"/>
              </w:rPr>
            </w:pPr>
            <w:r w:rsidRPr="008021CD">
              <w:rPr>
                <w:rFonts w:ascii="Book Antiqua" w:hAnsi="Book Antiqua"/>
              </w:rPr>
              <w:t>0.94</w:t>
            </w:r>
          </w:p>
        </w:tc>
      </w:tr>
      <w:tr w:rsidR="00280D44" w:rsidRPr="008021CD" w14:paraId="1570C15A" w14:textId="77777777" w:rsidTr="008021CD">
        <w:trPr>
          <w:trHeight w:val="474"/>
          <w:jc w:val="center"/>
        </w:trPr>
        <w:tc>
          <w:tcPr>
            <w:tcW w:w="3370" w:type="dxa"/>
          </w:tcPr>
          <w:p w14:paraId="1C5A2E5B" w14:textId="77777777" w:rsidR="00280D44" w:rsidRPr="008021CD" w:rsidRDefault="00280D44" w:rsidP="008021CD">
            <w:pPr>
              <w:spacing w:line="360" w:lineRule="auto"/>
              <w:jc w:val="both"/>
              <w:rPr>
                <w:rFonts w:ascii="Book Antiqua" w:hAnsi="Book Antiqua"/>
                <w:b/>
                <w:bCs/>
              </w:rPr>
            </w:pPr>
            <w:r w:rsidRPr="008021CD">
              <w:rPr>
                <w:rFonts w:ascii="Book Antiqua" w:hAnsi="Book Antiqua"/>
              </w:rPr>
              <w:t>BMI (kg/m</w:t>
            </w:r>
            <w:r w:rsidRPr="008021CD">
              <w:rPr>
                <w:rFonts w:ascii="Book Antiqua" w:hAnsi="Book Antiqua"/>
                <w:vertAlign w:val="superscript"/>
              </w:rPr>
              <w:t>2</w:t>
            </w:r>
            <w:r w:rsidRPr="008021CD">
              <w:rPr>
                <w:rFonts w:ascii="Book Antiqua" w:hAnsi="Book Antiqua"/>
              </w:rPr>
              <w:t xml:space="preserve">), mean </w:t>
            </w:r>
            <w:r w:rsidRPr="008021CD">
              <w:rPr>
                <w:rFonts w:ascii="Book Antiqua" w:hAnsi="Book Antiqua"/>
                <w:lang w:eastAsia="en-IN"/>
              </w:rPr>
              <w:t xml:space="preserve">± </w:t>
            </w:r>
            <w:r w:rsidRPr="008021CD">
              <w:rPr>
                <w:rFonts w:ascii="Book Antiqua" w:hAnsi="Book Antiqua"/>
              </w:rPr>
              <w:t>SD</w:t>
            </w:r>
          </w:p>
        </w:tc>
        <w:tc>
          <w:tcPr>
            <w:tcW w:w="1665" w:type="dxa"/>
          </w:tcPr>
          <w:p w14:paraId="4AB1239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28.9 ± 7.1</w:t>
            </w:r>
          </w:p>
        </w:tc>
        <w:tc>
          <w:tcPr>
            <w:tcW w:w="1725" w:type="dxa"/>
          </w:tcPr>
          <w:p w14:paraId="08B00D9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30.4 ± 7.48</w:t>
            </w:r>
          </w:p>
        </w:tc>
        <w:tc>
          <w:tcPr>
            <w:tcW w:w="1017" w:type="dxa"/>
          </w:tcPr>
          <w:p w14:paraId="6506EFC3"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0.09</w:t>
            </w:r>
          </w:p>
        </w:tc>
        <w:tc>
          <w:tcPr>
            <w:tcW w:w="1486" w:type="dxa"/>
          </w:tcPr>
          <w:p w14:paraId="562900BA"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29 ± 7.11</w:t>
            </w:r>
          </w:p>
        </w:tc>
        <w:tc>
          <w:tcPr>
            <w:tcW w:w="1404" w:type="dxa"/>
          </w:tcPr>
          <w:p w14:paraId="7E0DC731"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28.7 ± 7.79</w:t>
            </w:r>
          </w:p>
        </w:tc>
        <w:tc>
          <w:tcPr>
            <w:tcW w:w="973" w:type="dxa"/>
          </w:tcPr>
          <w:p w14:paraId="719FAB05"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0.72</w:t>
            </w:r>
          </w:p>
        </w:tc>
      </w:tr>
      <w:tr w:rsidR="00280D44" w:rsidRPr="008021CD" w14:paraId="68EC6BF7" w14:textId="77777777" w:rsidTr="008021CD">
        <w:trPr>
          <w:trHeight w:val="242"/>
          <w:jc w:val="center"/>
        </w:trPr>
        <w:tc>
          <w:tcPr>
            <w:tcW w:w="11643" w:type="dxa"/>
            <w:gridSpan w:val="7"/>
          </w:tcPr>
          <w:p w14:paraId="21B647C7" w14:textId="77777777" w:rsidR="00280D44" w:rsidRPr="008021CD" w:rsidRDefault="00280D44" w:rsidP="008021CD">
            <w:pPr>
              <w:spacing w:line="360" w:lineRule="auto"/>
              <w:jc w:val="both"/>
              <w:rPr>
                <w:rFonts w:ascii="Book Antiqua" w:hAnsi="Book Antiqua"/>
              </w:rPr>
            </w:pPr>
            <w:r w:rsidRPr="008021CD">
              <w:rPr>
                <w:rFonts w:ascii="Book Antiqua" w:hAnsi="Book Antiqua"/>
              </w:rPr>
              <w:t>Comorbidities</w:t>
            </w:r>
            <w:r w:rsidR="009A74FA" w:rsidRPr="008021CD">
              <w:rPr>
                <w:rFonts w:ascii="Book Antiqua" w:hAnsi="Book Antiqua"/>
              </w:rPr>
              <w:t xml:space="preserve">, </w:t>
            </w:r>
            <w:r w:rsidR="009A74FA" w:rsidRPr="008021CD">
              <w:rPr>
                <w:rFonts w:ascii="Book Antiqua" w:hAnsi="Book Antiqua"/>
                <w:i/>
                <w:iCs/>
              </w:rPr>
              <w:t>n</w:t>
            </w:r>
            <w:r w:rsidR="008021CD" w:rsidRPr="008021CD">
              <w:rPr>
                <w:rFonts w:ascii="Book Antiqua" w:hAnsi="Book Antiqua"/>
              </w:rPr>
              <w:t xml:space="preserve"> </w:t>
            </w:r>
            <w:r w:rsidR="009A74FA" w:rsidRPr="008021CD">
              <w:rPr>
                <w:rFonts w:ascii="Book Antiqua" w:hAnsi="Book Antiqua"/>
              </w:rPr>
              <w:t>(%)</w:t>
            </w:r>
          </w:p>
        </w:tc>
      </w:tr>
      <w:tr w:rsidR="00280D44" w:rsidRPr="008021CD" w14:paraId="509F4156" w14:textId="77777777" w:rsidTr="008021CD">
        <w:trPr>
          <w:trHeight w:val="236"/>
          <w:jc w:val="center"/>
        </w:trPr>
        <w:tc>
          <w:tcPr>
            <w:tcW w:w="3370" w:type="dxa"/>
            <w:hideMark/>
          </w:tcPr>
          <w:p w14:paraId="50F6D84B" w14:textId="77777777" w:rsidR="00280D44" w:rsidRPr="008021CD" w:rsidRDefault="00280D44" w:rsidP="008021CD">
            <w:pPr>
              <w:spacing w:line="360" w:lineRule="auto"/>
              <w:jc w:val="both"/>
              <w:rPr>
                <w:rFonts w:ascii="Book Antiqua" w:hAnsi="Book Antiqua"/>
              </w:rPr>
            </w:pPr>
            <w:r w:rsidRPr="008021CD">
              <w:rPr>
                <w:rFonts w:ascii="Book Antiqua" w:hAnsi="Book Antiqua"/>
              </w:rPr>
              <w:t>Hypertension</w:t>
            </w:r>
          </w:p>
        </w:tc>
        <w:tc>
          <w:tcPr>
            <w:tcW w:w="1665" w:type="dxa"/>
          </w:tcPr>
          <w:p w14:paraId="28D48ED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165 (44)</w:t>
            </w:r>
          </w:p>
        </w:tc>
        <w:tc>
          <w:tcPr>
            <w:tcW w:w="1725" w:type="dxa"/>
          </w:tcPr>
          <w:p w14:paraId="7D79710C"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11469 (72.6)</w:t>
            </w:r>
          </w:p>
        </w:tc>
        <w:tc>
          <w:tcPr>
            <w:tcW w:w="1017" w:type="dxa"/>
          </w:tcPr>
          <w:p w14:paraId="36F2E57A"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1F5A4693"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161 (44.3)</w:t>
            </w:r>
          </w:p>
        </w:tc>
        <w:tc>
          <w:tcPr>
            <w:tcW w:w="1404" w:type="dxa"/>
          </w:tcPr>
          <w:p w14:paraId="6552334B"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200 (55.1)</w:t>
            </w:r>
          </w:p>
        </w:tc>
        <w:tc>
          <w:tcPr>
            <w:tcW w:w="973" w:type="dxa"/>
          </w:tcPr>
          <w:p w14:paraId="1D869F7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0.03</w:t>
            </w:r>
          </w:p>
        </w:tc>
      </w:tr>
      <w:tr w:rsidR="00280D44" w:rsidRPr="008021CD" w14:paraId="4D9CF5FA" w14:textId="77777777" w:rsidTr="008021CD">
        <w:trPr>
          <w:trHeight w:val="480"/>
          <w:jc w:val="center"/>
        </w:trPr>
        <w:tc>
          <w:tcPr>
            <w:tcW w:w="3370" w:type="dxa"/>
          </w:tcPr>
          <w:p w14:paraId="089A5C2F"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Ischemic heart diseases</w:t>
            </w:r>
          </w:p>
        </w:tc>
        <w:tc>
          <w:tcPr>
            <w:tcW w:w="1665" w:type="dxa"/>
          </w:tcPr>
          <w:p w14:paraId="24CF25AE"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62 (16.5)</w:t>
            </w:r>
          </w:p>
        </w:tc>
        <w:tc>
          <w:tcPr>
            <w:tcW w:w="1725" w:type="dxa"/>
          </w:tcPr>
          <w:p w14:paraId="39E55D4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5472 (34.6)</w:t>
            </w:r>
          </w:p>
        </w:tc>
        <w:tc>
          <w:tcPr>
            <w:tcW w:w="1017" w:type="dxa"/>
          </w:tcPr>
          <w:p w14:paraId="2F392BB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3F4DDB2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59 (16.2)</w:t>
            </w:r>
          </w:p>
        </w:tc>
        <w:tc>
          <w:tcPr>
            <w:tcW w:w="1404" w:type="dxa"/>
          </w:tcPr>
          <w:p w14:paraId="28DE17D4"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56 (15.4)</w:t>
            </w:r>
          </w:p>
        </w:tc>
        <w:tc>
          <w:tcPr>
            <w:tcW w:w="973" w:type="dxa"/>
          </w:tcPr>
          <w:p w14:paraId="6B44E89E"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0.76</w:t>
            </w:r>
          </w:p>
        </w:tc>
      </w:tr>
      <w:tr w:rsidR="00280D44" w:rsidRPr="008021CD" w14:paraId="2F5B6702" w14:textId="77777777" w:rsidTr="008021CD">
        <w:trPr>
          <w:trHeight w:val="474"/>
          <w:jc w:val="center"/>
        </w:trPr>
        <w:tc>
          <w:tcPr>
            <w:tcW w:w="3370" w:type="dxa"/>
          </w:tcPr>
          <w:p w14:paraId="199545F9"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Heart failure</w:t>
            </w:r>
          </w:p>
        </w:tc>
        <w:tc>
          <w:tcPr>
            <w:tcW w:w="1665" w:type="dxa"/>
          </w:tcPr>
          <w:p w14:paraId="0EAA263F"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39 (10.4)</w:t>
            </w:r>
          </w:p>
        </w:tc>
        <w:tc>
          <w:tcPr>
            <w:tcW w:w="1725" w:type="dxa"/>
          </w:tcPr>
          <w:p w14:paraId="3089E8A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4196 (26.5)</w:t>
            </w:r>
          </w:p>
        </w:tc>
        <w:tc>
          <w:tcPr>
            <w:tcW w:w="1017" w:type="dxa"/>
          </w:tcPr>
          <w:p w14:paraId="35ADFC45"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6EB3BB1B"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38 (10.4)</w:t>
            </w:r>
          </w:p>
        </w:tc>
        <w:tc>
          <w:tcPr>
            <w:tcW w:w="1404" w:type="dxa"/>
          </w:tcPr>
          <w:p w14:paraId="001DE51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48 (13.2)</w:t>
            </w:r>
          </w:p>
        </w:tc>
        <w:tc>
          <w:tcPr>
            <w:tcW w:w="973" w:type="dxa"/>
          </w:tcPr>
          <w:p w14:paraId="15E939CF"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0.25</w:t>
            </w:r>
          </w:p>
        </w:tc>
      </w:tr>
      <w:tr w:rsidR="00280D44" w:rsidRPr="008021CD" w14:paraId="4B407BEA" w14:textId="77777777" w:rsidTr="008021CD">
        <w:trPr>
          <w:trHeight w:val="32"/>
          <w:jc w:val="center"/>
        </w:trPr>
        <w:tc>
          <w:tcPr>
            <w:tcW w:w="3370" w:type="dxa"/>
            <w:hideMark/>
          </w:tcPr>
          <w:p w14:paraId="608B9165" w14:textId="77777777" w:rsidR="00280D44" w:rsidRPr="008021CD" w:rsidRDefault="00280D44" w:rsidP="008021CD">
            <w:pPr>
              <w:spacing w:line="360" w:lineRule="auto"/>
              <w:jc w:val="both"/>
              <w:rPr>
                <w:rFonts w:ascii="Book Antiqua" w:hAnsi="Book Antiqua"/>
              </w:rPr>
            </w:pPr>
            <w:r w:rsidRPr="008021CD">
              <w:rPr>
                <w:rFonts w:ascii="Book Antiqua" w:hAnsi="Book Antiqua"/>
              </w:rPr>
              <w:t>Diabetes</w:t>
            </w:r>
          </w:p>
        </w:tc>
        <w:tc>
          <w:tcPr>
            <w:tcW w:w="1665" w:type="dxa"/>
          </w:tcPr>
          <w:p w14:paraId="6555C1A8"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74 (19.7)</w:t>
            </w:r>
          </w:p>
        </w:tc>
        <w:tc>
          <w:tcPr>
            <w:tcW w:w="1725" w:type="dxa"/>
          </w:tcPr>
          <w:p w14:paraId="25F32E7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7882 (49.9)</w:t>
            </w:r>
          </w:p>
        </w:tc>
        <w:tc>
          <w:tcPr>
            <w:tcW w:w="1017" w:type="dxa"/>
          </w:tcPr>
          <w:p w14:paraId="7D494172"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0.01</w:t>
            </w:r>
          </w:p>
        </w:tc>
        <w:tc>
          <w:tcPr>
            <w:tcW w:w="1486" w:type="dxa"/>
          </w:tcPr>
          <w:p w14:paraId="7E60AC8B"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74 (20.4)</w:t>
            </w:r>
          </w:p>
        </w:tc>
        <w:tc>
          <w:tcPr>
            <w:tcW w:w="1404" w:type="dxa"/>
          </w:tcPr>
          <w:p w14:paraId="5DC853B2" w14:textId="77777777" w:rsidR="00280D44" w:rsidRPr="008021CD" w:rsidRDefault="00280D44" w:rsidP="008021CD">
            <w:pPr>
              <w:spacing w:line="360" w:lineRule="auto"/>
              <w:jc w:val="both"/>
              <w:rPr>
                <w:rFonts w:ascii="Book Antiqua" w:hAnsi="Book Antiqua"/>
                <w:b/>
                <w:lang w:eastAsia="en-IN"/>
              </w:rPr>
            </w:pPr>
            <w:r w:rsidRPr="008021CD">
              <w:rPr>
                <w:rFonts w:ascii="Book Antiqua" w:hAnsi="Book Antiqua"/>
                <w:lang w:eastAsia="en-IN"/>
              </w:rPr>
              <w:t>66 (18.1)</w:t>
            </w:r>
          </w:p>
        </w:tc>
        <w:tc>
          <w:tcPr>
            <w:tcW w:w="973" w:type="dxa"/>
          </w:tcPr>
          <w:p w14:paraId="693FAF99"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0.45</w:t>
            </w:r>
          </w:p>
        </w:tc>
      </w:tr>
      <w:tr w:rsidR="00280D44" w:rsidRPr="008021CD" w14:paraId="2228A262" w14:textId="77777777" w:rsidTr="008021CD">
        <w:trPr>
          <w:trHeight w:val="137"/>
          <w:jc w:val="center"/>
        </w:trPr>
        <w:tc>
          <w:tcPr>
            <w:tcW w:w="3370" w:type="dxa"/>
            <w:hideMark/>
          </w:tcPr>
          <w:p w14:paraId="03DE991A"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Chronic lower respiratory diseases</w:t>
            </w:r>
          </w:p>
        </w:tc>
        <w:tc>
          <w:tcPr>
            <w:tcW w:w="1665" w:type="dxa"/>
          </w:tcPr>
          <w:p w14:paraId="0DA42CC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84 (22.4)</w:t>
            </w:r>
          </w:p>
        </w:tc>
        <w:tc>
          <w:tcPr>
            <w:tcW w:w="1725" w:type="dxa"/>
          </w:tcPr>
          <w:p w14:paraId="6E576A58"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5843 (37.0)</w:t>
            </w:r>
          </w:p>
        </w:tc>
        <w:tc>
          <w:tcPr>
            <w:tcW w:w="1017" w:type="dxa"/>
          </w:tcPr>
          <w:p w14:paraId="2A97A2D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164DCE52"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82 (22.5)</w:t>
            </w:r>
          </w:p>
        </w:tc>
        <w:tc>
          <w:tcPr>
            <w:tcW w:w="1404" w:type="dxa"/>
          </w:tcPr>
          <w:p w14:paraId="41F0E194"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79 (21.7)</w:t>
            </w:r>
          </w:p>
        </w:tc>
        <w:tc>
          <w:tcPr>
            <w:tcW w:w="973" w:type="dxa"/>
          </w:tcPr>
          <w:p w14:paraId="510AB0AC"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0.79</w:t>
            </w:r>
          </w:p>
        </w:tc>
      </w:tr>
      <w:tr w:rsidR="00280D44" w:rsidRPr="008021CD" w14:paraId="4CA2E5FA" w14:textId="77777777" w:rsidTr="008021CD">
        <w:trPr>
          <w:trHeight w:val="474"/>
          <w:jc w:val="center"/>
        </w:trPr>
        <w:tc>
          <w:tcPr>
            <w:tcW w:w="3370" w:type="dxa"/>
            <w:hideMark/>
          </w:tcPr>
          <w:p w14:paraId="0BEA52A9"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Cerebrovascular diseases</w:t>
            </w:r>
          </w:p>
        </w:tc>
        <w:tc>
          <w:tcPr>
            <w:tcW w:w="1665" w:type="dxa"/>
          </w:tcPr>
          <w:p w14:paraId="3771D4B1"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37 (9.8)</w:t>
            </w:r>
          </w:p>
        </w:tc>
        <w:tc>
          <w:tcPr>
            <w:tcW w:w="1725" w:type="dxa"/>
          </w:tcPr>
          <w:p w14:paraId="24F96617"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3079 (19.4)</w:t>
            </w:r>
          </w:p>
        </w:tc>
        <w:tc>
          <w:tcPr>
            <w:tcW w:w="1017" w:type="dxa"/>
          </w:tcPr>
          <w:p w14:paraId="0ECE4764"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1A95824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37 (10.1)</w:t>
            </w:r>
          </w:p>
        </w:tc>
        <w:tc>
          <w:tcPr>
            <w:tcW w:w="1404" w:type="dxa"/>
          </w:tcPr>
          <w:p w14:paraId="74B47593" w14:textId="77777777" w:rsidR="00280D44" w:rsidRPr="008021CD" w:rsidRDefault="00280D44" w:rsidP="008021CD">
            <w:pPr>
              <w:spacing w:line="360" w:lineRule="auto"/>
              <w:jc w:val="both"/>
              <w:rPr>
                <w:rFonts w:ascii="Book Antiqua" w:hAnsi="Book Antiqua"/>
                <w:b/>
                <w:lang w:eastAsia="en-IN"/>
              </w:rPr>
            </w:pPr>
            <w:r w:rsidRPr="008021CD">
              <w:rPr>
                <w:rFonts w:ascii="Book Antiqua" w:hAnsi="Book Antiqua"/>
                <w:lang w:eastAsia="en-IN"/>
              </w:rPr>
              <w:t>39 (10.7)</w:t>
            </w:r>
          </w:p>
        </w:tc>
        <w:tc>
          <w:tcPr>
            <w:tcW w:w="973" w:type="dxa"/>
          </w:tcPr>
          <w:p w14:paraId="4A0F6BAF"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0.81</w:t>
            </w:r>
          </w:p>
        </w:tc>
      </w:tr>
      <w:tr w:rsidR="00280D44" w:rsidRPr="008021CD" w14:paraId="6DABA6A5" w14:textId="77777777" w:rsidTr="008021CD">
        <w:trPr>
          <w:trHeight w:val="480"/>
          <w:jc w:val="center"/>
        </w:trPr>
        <w:tc>
          <w:tcPr>
            <w:tcW w:w="3370" w:type="dxa"/>
            <w:hideMark/>
          </w:tcPr>
          <w:p w14:paraId="205D73A6" w14:textId="77777777" w:rsidR="00280D44" w:rsidRPr="008021CD" w:rsidRDefault="00280D44" w:rsidP="008021CD">
            <w:pPr>
              <w:spacing w:line="360" w:lineRule="auto"/>
              <w:jc w:val="both"/>
              <w:rPr>
                <w:rFonts w:ascii="Book Antiqua" w:hAnsi="Book Antiqua"/>
              </w:rPr>
            </w:pPr>
            <w:r w:rsidRPr="008021CD">
              <w:rPr>
                <w:rFonts w:ascii="Book Antiqua" w:hAnsi="Book Antiqua"/>
              </w:rPr>
              <w:t>CKD of any stage</w:t>
            </w:r>
          </w:p>
        </w:tc>
        <w:tc>
          <w:tcPr>
            <w:tcW w:w="1665" w:type="dxa"/>
          </w:tcPr>
          <w:p w14:paraId="3C2A7A40"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49 (13.1)</w:t>
            </w:r>
          </w:p>
        </w:tc>
        <w:tc>
          <w:tcPr>
            <w:tcW w:w="1725" w:type="dxa"/>
          </w:tcPr>
          <w:p w14:paraId="44A0C603"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5102 (32.3)</w:t>
            </w:r>
          </w:p>
        </w:tc>
        <w:tc>
          <w:tcPr>
            <w:tcW w:w="1017" w:type="dxa"/>
          </w:tcPr>
          <w:p w14:paraId="66D935FB"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Pr>
          <w:p w14:paraId="35F8D6AB"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46 (12.6)</w:t>
            </w:r>
          </w:p>
        </w:tc>
        <w:tc>
          <w:tcPr>
            <w:tcW w:w="1404" w:type="dxa"/>
          </w:tcPr>
          <w:p w14:paraId="26503AF6"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55 (15.1)</w:t>
            </w:r>
          </w:p>
        </w:tc>
        <w:tc>
          <w:tcPr>
            <w:tcW w:w="973" w:type="dxa"/>
          </w:tcPr>
          <w:p w14:paraId="6EF2A4D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0.33</w:t>
            </w:r>
          </w:p>
        </w:tc>
      </w:tr>
      <w:tr w:rsidR="00280D44" w:rsidRPr="008021CD" w14:paraId="7B4958F6" w14:textId="77777777" w:rsidTr="008021CD">
        <w:trPr>
          <w:trHeight w:val="474"/>
          <w:jc w:val="center"/>
        </w:trPr>
        <w:tc>
          <w:tcPr>
            <w:tcW w:w="3370" w:type="dxa"/>
            <w:tcBorders>
              <w:bottom w:val="single" w:sz="4" w:space="0" w:color="auto"/>
            </w:tcBorders>
            <w:hideMark/>
          </w:tcPr>
          <w:p w14:paraId="6D250B97"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Neoplasms</w:t>
            </w:r>
          </w:p>
        </w:tc>
        <w:tc>
          <w:tcPr>
            <w:tcW w:w="1665" w:type="dxa"/>
            <w:tcBorders>
              <w:bottom w:val="single" w:sz="4" w:space="0" w:color="auto"/>
            </w:tcBorders>
          </w:tcPr>
          <w:p w14:paraId="413A7F3D"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131 (34.9)</w:t>
            </w:r>
          </w:p>
        </w:tc>
        <w:tc>
          <w:tcPr>
            <w:tcW w:w="1725" w:type="dxa"/>
            <w:tcBorders>
              <w:bottom w:val="single" w:sz="4" w:space="0" w:color="auto"/>
            </w:tcBorders>
          </w:tcPr>
          <w:p w14:paraId="7C3029D6"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8400 (53.1)</w:t>
            </w:r>
          </w:p>
        </w:tc>
        <w:tc>
          <w:tcPr>
            <w:tcW w:w="1017" w:type="dxa"/>
            <w:tcBorders>
              <w:bottom w:val="single" w:sz="4" w:space="0" w:color="auto"/>
            </w:tcBorders>
          </w:tcPr>
          <w:p w14:paraId="5EC1FF69"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&lt; 0.01</w:t>
            </w:r>
          </w:p>
        </w:tc>
        <w:tc>
          <w:tcPr>
            <w:tcW w:w="1486" w:type="dxa"/>
            <w:tcBorders>
              <w:bottom w:val="single" w:sz="4" w:space="0" w:color="auto"/>
            </w:tcBorders>
          </w:tcPr>
          <w:p w14:paraId="537044F9"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124 (34.1)</w:t>
            </w:r>
          </w:p>
        </w:tc>
        <w:tc>
          <w:tcPr>
            <w:tcW w:w="1404" w:type="dxa"/>
            <w:tcBorders>
              <w:bottom w:val="single" w:sz="4" w:space="0" w:color="auto"/>
            </w:tcBorders>
          </w:tcPr>
          <w:p w14:paraId="1512D888"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131 (36.1)</w:t>
            </w:r>
          </w:p>
        </w:tc>
        <w:tc>
          <w:tcPr>
            <w:tcW w:w="973" w:type="dxa"/>
            <w:tcBorders>
              <w:bottom w:val="single" w:sz="4" w:space="0" w:color="auto"/>
            </w:tcBorders>
          </w:tcPr>
          <w:p w14:paraId="0F09853E" w14:textId="77777777" w:rsidR="00280D44" w:rsidRPr="008021CD" w:rsidRDefault="00280D44" w:rsidP="008021CD">
            <w:pPr>
              <w:spacing w:line="360" w:lineRule="auto"/>
              <w:jc w:val="both"/>
              <w:rPr>
                <w:rFonts w:ascii="Book Antiqua" w:hAnsi="Book Antiqua"/>
                <w:lang w:eastAsia="en-IN"/>
              </w:rPr>
            </w:pPr>
            <w:r w:rsidRPr="008021CD">
              <w:rPr>
                <w:rFonts w:ascii="Book Antiqua" w:hAnsi="Book Antiqua"/>
                <w:lang w:eastAsia="en-IN"/>
              </w:rPr>
              <w:t>0.59</w:t>
            </w:r>
          </w:p>
        </w:tc>
      </w:tr>
    </w:tbl>
    <w:p w14:paraId="47E6D379" w14:textId="44DB6F17" w:rsidR="00DA2D43" w:rsidRDefault="009D309A" w:rsidP="008021CD">
      <w:pPr>
        <w:tabs>
          <w:tab w:val="left" w:pos="900"/>
        </w:tabs>
        <w:spacing w:line="360" w:lineRule="auto"/>
        <w:jc w:val="both"/>
        <w:rPr>
          <w:rFonts w:ascii="Book Antiqua" w:hAnsi="Book Antiqua"/>
          <w:bCs/>
          <w:lang w:eastAsia="zh-CN"/>
        </w:rPr>
      </w:pPr>
      <w:r w:rsidRPr="008021CD">
        <w:rPr>
          <w:rFonts w:ascii="Book Antiqua" w:hAnsi="Book Antiqua"/>
        </w:rPr>
        <w:lastRenderedPageBreak/>
        <w:t xml:space="preserve">AIH: </w:t>
      </w:r>
      <w:bookmarkStart w:id="5" w:name="_Hlk118790127"/>
      <w:r w:rsidRPr="008021CD">
        <w:rPr>
          <w:rFonts w:ascii="Book Antiqua" w:hAnsi="Book Antiqua"/>
        </w:rPr>
        <w:t>Autoimmune hepatitis</w:t>
      </w:r>
      <w:bookmarkEnd w:id="5"/>
      <w:r w:rsidRPr="008021CD">
        <w:rPr>
          <w:rFonts w:ascii="Book Antiqua" w:hAnsi="Book Antiqua"/>
        </w:rPr>
        <w:t xml:space="preserve">; </w:t>
      </w:r>
      <w:r w:rsidRPr="008021CD">
        <w:rPr>
          <w:rFonts w:ascii="Book Antiqua" w:hAnsi="Book Antiqua"/>
          <w:lang w:val="es-NI"/>
        </w:rPr>
        <w:t>CLD: Chronic liver diseases; SARS-CoV-2: Severe acute respiratory syndrome coronavirus-2; SD: Standard deviation; BMI: Body mass index; CKD: Chronic kidney disease</w:t>
      </w:r>
      <w:r w:rsidR="00280D44" w:rsidRPr="008021CD">
        <w:rPr>
          <w:rFonts w:ascii="Book Antiqua" w:hAnsi="Book Antiqua"/>
          <w:bCs/>
          <w:lang w:eastAsia="zh-CN"/>
        </w:rPr>
        <w:t>.</w:t>
      </w:r>
    </w:p>
    <w:p w14:paraId="31418E43" w14:textId="35AB99C1" w:rsidR="005F0DB9" w:rsidRDefault="005F0DB9" w:rsidP="008021CD">
      <w:pPr>
        <w:tabs>
          <w:tab w:val="left" w:pos="900"/>
        </w:tabs>
        <w:spacing w:line="360" w:lineRule="auto"/>
        <w:jc w:val="both"/>
        <w:rPr>
          <w:rFonts w:ascii="Book Antiqua" w:hAnsi="Book Antiqua"/>
          <w:b/>
          <w:lang w:eastAsia="zh-CN"/>
        </w:rPr>
      </w:pPr>
    </w:p>
    <w:p w14:paraId="13364321" w14:textId="77777777" w:rsidR="005F0DB9" w:rsidRDefault="005F0DB9">
      <w:pPr>
        <w:rPr>
          <w:rFonts w:ascii="Book Antiqua" w:hAnsi="Book Antiqua"/>
          <w:b/>
          <w:lang w:eastAsia="zh-CN"/>
        </w:rPr>
      </w:pPr>
      <w:r>
        <w:rPr>
          <w:rFonts w:ascii="Book Antiqua" w:hAnsi="Book Antiqua"/>
          <w:b/>
          <w:lang w:eastAsia="zh-CN"/>
        </w:rPr>
        <w:br w:type="page"/>
      </w:r>
    </w:p>
    <w:p w14:paraId="23B9FD71" w14:textId="77777777" w:rsidR="005F0DB9" w:rsidRDefault="005F0DB9" w:rsidP="005F0DB9">
      <w:pPr>
        <w:snapToGrid w:val="0"/>
        <w:ind w:leftChars="100" w:left="240"/>
        <w:jc w:val="center"/>
        <w:rPr>
          <w:rFonts w:ascii="Book Antiqua" w:hAnsi="Book Antiqua"/>
        </w:rPr>
      </w:pPr>
      <w:bookmarkStart w:id="6" w:name="_Hlk124341182"/>
    </w:p>
    <w:p w14:paraId="313C9139" w14:textId="77777777" w:rsidR="005F0DB9" w:rsidRDefault="005F0DB9" w:rsidP="005F0DB9">
      <w:pPr>
        <w:snapToGrid w:val="0"/>
        <w:ind w:leftChars="100" w:left="240"/>
        <w:jc w:val="center"/>
        <w:rPr>
          <w:rFonts w:ascii="Book Antiqua" w:hAnsi="Book Antiqua"/>
        </w:rPr>
      </w:pPr>
    </w:p>
    <w:p w14:paraId="7B9C01E2" w14:textId="77777777" w:rsidR="005F0DB9" w:rsidRDefault="005F0DB9" w:rsidP="005F0DB9">
      <w:pPr>
        <w:snapToGrid w:val="0"/>
        <w:ind w:leftChars="100" w:left="240"/>
        <w:jc w:val="center"/>
        <w:rPr>
          <w:rFonts w:ascii="Book Antiqua" w:hAnsi="Book Antiqua"/>
        </w:rPr>
      </w:pPr>
    </w:p>
    <w:p w14:paraId="2B013490" w14:textId="77777777" w:rsidR="005F0DB9" w:rsidRDefault="005F0DB9" w:rsidP="005F0DB9">
      <w:pPr>
        <w:snapToGrid w:val="0"/>
        <w:ind w:leftChars="100" w:left="240"/>
        <w:jc w:val="center"/>
        <w:rPr>
          <w:rFonts w:ascii="Book Antiqua" w:hAnsi="Book Antiqua"/>
        </w:rPr>
      </w:pPr>
    </w:p>
    <w:p w14:paraId="684A3CB8" w14:textId="77777777" w:rsidR="005F0DB9" w:rsidRDefault="005F0DB9" w:rsidP="005F0DB9">
      <w:pPr>
        <w:snapToGrid w:val="0"/>
        <w:ind w:leftChars="100" w:left="240"/>
        <w:jc w:val="center"/>
        <w:rPr>
          <w:rFonts w:ascii="Book Antiqua" w:hAnsi="Book Antiqua"/>
        </w:rPr>
      </w:pPr>
      <w:r>
        <w:rPr>
          <w:rFonts w:ascii="Book Antiqua" w:hAnsi="Book Antiqua"/>
          <w:noProof/>
        </w:rPr>
        <w:drawing>
          <wp:inline distT="0" distB="0" distL="0" distR="0" wp14:anchorId="5012C3EB" wp14:editId="7AF2EE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0858D5" w14:textId="77777777" w:rsidR="005F0DB9" w:rsidRDefault="005F0DB9" w:rsidP="005F0DB9">
      <w:pPr>
        <w:snapToGrid w:val="0"/>
        <w:ind w:leftChars="100" w:left="240"/>
        <w:jc w:val="center"/>
        <w:rPr>
          <w:rFonts w:ascii="Book Antiqua" w:hAnsi="Book Antiqua"/>
        </w:rPr>
      </w:pPr>
    </w:p>
    <w:p w14:paraId="72448BC3" w14:textId="77777777" w:rsidR="005F0DB9" w:rsidRDefault="005F0DB9" w:rsidP="005F0D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B2B45F" w14:textId="77777777" w:rsidR="005F0DB9" w:rsidRDefault="005F0DB9" w:rsidP="005F0D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BE8D15" w14:textId="77777777" w:rsidR="005F0DB9" w:rsidRDefault="005F0DB9" w:rsidP="005F0D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374009" w14:textId="77777777" w:rsidR="005F0DB9" w:rsidRDefault="005F0DB9" w:rsidP="005F0D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A07835" w14:textId="77777777" w:rsidR="005F0DB9" w:rsidRDefault="005F0DB9" w:rsidP="005F0D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30420D" w14:textId="77777777" w:rsidR="005F0DB9" w:rsidRDefault="005F0DB9" w:rsidP="005F0DB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62BA6C" w14:textId="77777777" w:rsidR="005F0DB9" w:rsidRDefault="005F0DB9" w:rsidP="005F0DB9">
      <w:pPr>
        <w:snapToGrid w:val="0"/>
        <w:ind w:leftChars="100" w:left="240"/>
        <w:jc w:val="center"/>
        <w:rPr>
          <w:rFonts w:ascii="Book Antiqua" w:hAnsi="Book Antiqua"/>
        </w:rPr>
      </w:pPr>
    </w:p>
    <w:p w14:paraId="1A96A8F0" w14:textId="77777777" w:rsidR="005F0DB9" w:rsidRDefault="005F0DB9" w:rsidP="005F0DB9">
      <w:pPr>
        <w:snapToGrid w:val="0"/>
        <w:ind w:leftChars="100" w:left="240"/>
        <w:jc w:val="center"/>
        <w:rPr>
          <w:rFonts w:ascii="Book Antiqua" w:hAnsi="Book Antiqua"/>
        </w:rPr>
      </w:pPr>
    </w:p>
    <w:p w14:paraId="20DBC1A7" w14:textId="77777777" w:rsidR="005F0DB9" w:rsidRDefault="005F0DB9" w:rsidP="005F0DB9">
      <w:pPr>
        <w:snapToGrid w:val="0"/>
        <w:ind w:leftChars="100" w:left="240"/>
        <w:jc w:val="center"/>
        <w:rPr>
          <w:rFonts w:ascii="Book Antiqua" w:hAnsi="Book Antiqua"/>
        </w:rPr>
      </w:pPr>
    </w:p>
    <w:p w14:paraId="29A0DB91" w14:textId="77777777" w:rsidR="005F0DB9" w:rsidRDefault="005F0DB9" w:rsidP="005F0DB9">
      <w:pPr>
        <w:snapToGrid w:val="0"/>
        <w:ind w:leftChars="100" w:left="240"/>
        <w:jc w:val="center"/>
        <w:rPr>
          <w:rFonts w:ascii="Book Antiqua" w:hAnsi="Book Antiqua"/>
        </w:rPr>
      </w:pPr>
      <w:r>
        <w:rPr>
          <w:rFonts w:ascii="Book Antiqua" w:hAnsi="Book Antiqua"/>
          <w:noProof/>
        </w:rPr>
        <w:drawing>
          <wp:inline distT="0" distB="0" distL="0" distR="0" wp14:anchorId="54A64712" wp14:editId="0A016A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14107C" w14:textId="77777777" w:rsidR="005F0DB9" w:rsidRDefault="005F0DB9" w:rsidP="005F0DB9">
      <w:pPr>
        <w:snapToGrid w:val="0"/>
        <w:ind w:leftChars="100" w:left="240"/>
        <w:jc w:val="center"/>
        <w:rPr>
          <w:rFonts w:ascii="Book Antiqua" w:hAnsi="Book Antiqua"/>
        </w:rPr>
      </w:pPr>
    </w:p>
    <w:p w14:paraId="6BC93179" w14:textId="77777777" w:rsidR="005F0DB9" w:rsidRDefault="005F0DB9" w:rsidP="005F0DB9">
      <w:pPr>
        <w:snapToGrid w:val="0"/>
        <w:ind w:leftChars="100" w:left="240"/>
        <w:jc w:val="center"/>
        <w:rPr>
          <w:rFonts w:ascii="Book Antiqua" w:hAnsi="Book Antiqua"/>
        </w:rPr>
      </w:pPr>
    </w:p>
    <w:p w14:paraId="207BD34A" w14:textId="77777777" w:rsidR="005F0DB9" w:rsidRDefault="005F0DB9" w:rsidP="005F0DB9">
      <w:pPr>
        <w:snapToGrid w:val="0"/>
        <w:ind w:leftChars="100" w:left="240"/>
        <w:jc w:val="center"/>
        <w:rPr>
          <w:rFonts w:ascii="Book Antiqua" w:hAnsi="Book Antiqua"/>
        </w:rPr>
      </w:pPr>
    </w:p>
    <w:p w14:paraId="496579C0" w14:textId="77777777" w:rsidR="005F0DB9" w:rsidRDefault="005F0DB9" w:rsidP="005F0DB9">
      <w:pPr>
        <w:snapToGrid w:val="0"/>
        <w:ind w:leftChars="100" w:left="240"/>
        <w:jc w:val="center"/>
        <w:rPr>
          <w:rFonts w:ascii="Book Antiqua" w:hAnsi="Book Antiqua"/>
        </w:rPr>
      </w:pPr>
    </w:p>
    <w:p w14:paraId="54FC999C" w14:textId="77777777" w:rsidR="005F0DB9" w:rsidRDefault="005F0DB9" w:rsidP="005F0DB9">
      <w:pPr>
        <w:snapToGrid w:val="0"/>
        <w:ind w:leftChars="100" w:left="240"/>
        <w:jc w:val="center"/>
        <w:rPr>
          <w:rFonts w:ascii="Book Antiqua" w:hAnsi="Book Antiqua"/>
        </w:rPr>
      </w:pPr>
    </w:p>
    <w:p w14:paraId="799DCDDC" w14:textId="77777777" w:rsidR="005F0DB9" w:rsidRDefault="005F0DB9" w:rsidP="005F0DB9">
      <w:pPr>
        <w:snapToGrid w:val="0"/>
        <w:ind w:leftChars="100" w:left="240"/>
        <w:jc w:val="center"/>
        <w:rPr>
          <w:rFonts w:ascii="Book Antiqua" w:hAnsi="Book Antiqua"/>
        </w:rPr>
      </w:pPr>
    </w:p>
    <w:p w14:paraId="35EF691C" w14:textId="77777777" w:rsidR="005F0DB9" w:rsidRDefault="005F0DB9" w:rsidP="005F0DB9">
      <w:pPr>
        <w:snapToGrid w:val="0"/>
        <w:ind w:leftChars="100" w:left="240"/>
        <w:jc w:val="center"/>
        <w:rPr>
          <w:rFonts w:ascii="Book Antiqua" w:hAnsi="Book Antiqua"/>
        </w:rPr>
      </w:pPr>
    </w:p>
    <w:p w14:paraId="3CA01823" w14:textId="77777777" w:rsidR="005F0DB9" w:rsidRDefault="005F0DB9" w:rsidP="005F0DB9">
      <w:pPr>
        <w:snapToGrid w:val="0"/>
        <w:ind w:leftChars="100" w:left="240"/>
        <w:jc w:val="center"/>
        <w:rPr>
          <w:rFonts w:ascii="Book Antiqua" w:hAnsi="Book Antiqua"/>
        </w:rPr>
      </w:pPr>
    </w:p>
    <w:p w14:paraId="64CABCB2" w14:textId="77777777" w:rsidR="005F0DB9" w:rsidRDefault="005F0DB9" w:rsidP="005F0DB9">
      <w:pPr>
        <w:snapToGrid w:val="0"/>
        <w:ind w:leftChars="100" w:left="240"/>
        <w:jc w:val="center"/>
        <w:rPr>
          <w:rFonts w:ascii="Book Antiqua" w:hAnsi="Book Antiqua"/>
        </w:rPr>
      </w:pPr>
    </w:p>
    <w:p w14:paraId="50B5EB87" w14:textId="77777777" w:rsidR="005F0DB9" w:rsidRDefault="005F0DB9" w:rsidP="005F0DB9">
      <w:pPr>
        <w:snapToGrid w:val="0"/>
        <w:ind w:leftChars="100" w:left="240"/>
        <w:jc w:val="right"/>
        <w:rPr>
          <w:rFonts w:ascii="Book Antiqua" w:hAnsi="Book Antiqua"/>
          <w:color w:val="000000" w:themeColor="text1"/>
        </w:rPr>
      </w:pPr>
    </w:p>
    <w:p w14:paraId="6E198556" w14:textId="77777777" w:rsidR="005F0DB9" w:rsidRDefault="005F0DB9" w:rsidP="005F0DB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641D38A3" w14:textId="77777777" w:rsidR="005F0DB9" w:rsidRDefault="005F0DB9" w:rsidP="005F0DB9">
      <w:pPr>
        <w:rPr>
          <w:rFonts w:ascii="Book Antiqua" w:hAnsi="Book Antiqua" w:cs="Book Antiqua"/>
          <w:b/>
          <w:bCs/>
          <w:color w:val="000000"/>
        </w:rPr>
      </w:pPr>
    </w:p>
    <w:p w14:paraId="5B06F9D7" w14:textId="77777777" w:rsidR="005F0DB9" w:rsidRPr="005F0DB9" w:rsidRDefault="005F0DB9" w:rsidP="008021CD">
      <w:pPr>
        <w:tabs>
          <w:tab w:val="left" w:pos="900"/>
        </w:tabs>
        <w:spacing w:line="360" w:lineRule="auto"/>
        <w:jc w:val="both"/>
        <w:rPr>
          <w:rFonts w:ascii="Book Antiqua" w:hAnsi="Book Antiqua"/>
          <w:b/>
          <w:lang w:eastAsia="zh-CN"/>
        </w:rPr>
      </w:pPr>
    </w:p>
    <w:sectPr w:rsidR="005F0DB9" w:rsidRPr="005F0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D03" w14:textId="77777777" w:rsidR="003A7A67" w:rsidRDefault="003A7A67" w:rsidP="000E61D2">
      <w:r>
        <w:separator/>
      </w:r>
    </w:p>
  </w:endnote>
  <w:endnote w:type="continuationSeparator" w:id="0">
    <w:p w14:paraId="43E658D8" w14:textId="77777777" w:rsidR="003A7A67" w:rsidRDefault="003A7A67" w:rsidP="000E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FF8" w14:textId="77777777" w:rsidR="000E61D2" w:rsidRPr="00C00592" w:rsidRDefault="000E61D2" w:rsidP="000E61D2">
    <w:pPr>
      <w:pStyle w:val="aa"/>
      <w:jc w:val="right"/>
      <w:rPr>
        <w:rFonts w:ascii="Book Antiqua" w:hAnsi="Book Antiqua"/>
        <w:color w:val="000000"/>
        <w:sz w:val="24"/>
        <w:szCs w:val="24"/>
      </w:rPr>
    </w:pPr>
    <w:r w:rsidRPr="00C00592">
      <w:rPr>
        <w:rFonts w:ascii="Book Antiqua" w:hAnsi="Book Antiqua"/>
        <w:color w:val="000000"/>
        <w:sz w:val="24"/>
        <w:szCs w:val="24"/>
        <w:lang w:val="zh-CN" w:eastAsia="zh-CN"/>
      </w:rPr>
      <w:t xml:space="preserve"> </w:t>
    </w:r>
    <w:r w:rsidRPr="00C00592">
      <w:rPr>
        <w:rFonts w:ascii="Book Antiqua" w:hAnsi="Book Antiqua"/>
        <w:color w:val="000000"/>
        <w:sz w:val="24"/>
        <w:szCs w:val="24"/>
      </w:rPr>
      <w:fldChar w:fldCharType="begin"/>
    </w:r>
    <w:r w:rsidRPr="00C00592">
      <w:rPr>
        <w:rFonts w:ascii="Book Antiqua" w:hAnsi="Book Antiqua"/>
        <w:color w:val="000000"/>
        <w:sz w:val="24"/>
        <w:szCs w:val="24"/>
      </w:rPr>
      <w:instrText>PAGE  \* Arabic  \* MERGEFORMAT</w:instrText>
    </w:r>
    <w:r w:rsidRPr="00C00592">
      <w:rPr>
        <w:rFonts w:ascii="Book Antiqua" w:hAnsi="Book Antiqua"/>
        <w:color w:val="000000"/>
        <w:sz w:val="24"/>
        <w:szCs w:val="24"/>
      </w:rPr>
      <w:fldChar w:fldCharType="separate"/>
    </w:r>
    <w:r w:rsidR="00506786" w:rsidRPr="00506786">
      <w:rPr>
        <w:rFonts w:ascii="Book Antiqua" w:hAnsi="Book Antiqua"/>
        <w:noProof/>
        <w:color w:val="000000"/>
        <w:sz w:val="24"/>
        <w:szCs w:val="24"/>
        <w:lang w:val="zh-CN" w:eastAsia="zh-CN"/>
      </w:rPr>
      <w:t>1</w:t>
    </w:r>
    <w:r w:rsidRPr="00C00592">
      <w:rPr>
        <w:rFonts w:ascii="Book Antiqua" w:hAnsi="Book Antiqua"/>
        <w:color w:val="000000"/>
        <w:sz w:val="24"/>
        <w:szCs w:val="24"/>
      </w:rPr>
      <w:fldChar w:fldCharType="end"/>
    </w:r>
    <w:r w:rsidRPr="00C00592">
      <w:rPr>
        <w:rFonts w:ascii="Book Antiqua" w:hAnsi="Book Antiqua"/>
        <w:color w:val="000000"/>
        <w:sz w:val="24"/>
        <w:szCs w:val="24"/>
        <w:lang w:val="zh-CN" w:eastAsia="zh-CN"/>
      </w:rPr>
      <w:t xml:space="preserve"> / </w:t>
    </w:r>
    <w:r w:rsidRPr="00C00592">
      <w:rPr>
        <w:rFonts w:ascii="Book Antiqua" w:hAnsi="Book Antiqua"/>
        <w:color w:val="000000"/>
        <w:sz w:val="24"/>
        <w:szCs w:val="24"/>
      </w:rPr>
      <w:fldChar w:fldCharType="begin"/>
    </w:r>
    <w:r w:rsidRPr="00C00592">
      <w:rPr>
        <w:rFonts w:ascii="Book Antiqua" w:hAnsi="Book Antiqua"/>
        <w:color w:val="000000"/>
        <w:sz w:val="24"/>
        <w:szCs w:val="24"/>
      </w:rPr>
      <w:instrText>NUMPAGES  \* Arabic  \* MERGEFORMAT</w:instrText>
    </w:r>
    <w:r w:rsidRPr="00C00592">
      <w:rPr>
        <w:rFonts w:ascii="Book Antiqua" w:hAnsi="Book Antiqua"/>
        <w:color w:val="000000"/>
        <w:sz w:val="24"/>
        <w:szCs w:val="24"/>
      </w:rPr>
      <w:fldChar w:fldCharType="separate"/>
    </w:r>
    <w:r w:rsidR="00506786" w:rsidRPr="00506786">
      <w:rPr>
        <w:rFonts w:ascii="Book Antiqua" w:hAnsi="Book Antiqua"/>
        <w:noProof/>
        <w:color w:val="000000"/>
        <w:sz w:val="24"/>
        <w:szCs w:val="24"/>
        <w:lang w:val="zh-CN" w:eastAsia="zh-CN"/>
      </w:rPr>
      <w:t>27</w:t>
    </w:r>
    <w:r w:rsidRPr="00C00592">
      <w:rPr>
        <w:rFonts w:ascii="Book Antiqua" w:hAnsi="Book Antiqua"/>
        <w:color w:val="000000"/>
        <w:sz w:val="24"/>
        <w:szCs w:val="24"/>
      </w:rPr>
      <w:fldChar w:fldCharType="end"/>
    </w:r>
  </w:p>
  <w:p w14:paraId="46CA81F4" w14:textId="77777777" w:rsidR="000E61D2" w:rsidRDefault="000E61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C4A1" w14:textId="77777777" w:rsidR="003A7A67" w:rsidRDefault="003A7A67" w:rsidP="000E61D2">
      <w:r>
        <w:separator/>
      </w:r>
    </w:p>
  </w:footnote>
  <w:footnote w:type="continuationSeparator" w:id="0">
    <w:p w14:paraId="1CC35506" w14:textId="77777777" w:rsidR="003A7A67" w:rsidRDefault="003A7A67" w:rsidP="000E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MDU3MLIwMTExNjNR0lEKTi0uzszPAykwrgUA8f6aCywAAAA="/>
  </w:docVars>
  <w:rsids>
    <w:rsidRoot w:val="00A77B3E"/>
    <w:rsid w:val="00032BB4"/>
    <w:rsid w:val="0004087D"/>
    <w:rsid w:val="00043614"/>
    <w:rsid w:val="000458B3"/>
    <w:rsid w:val="00080726"/>
    <w:rsid w:val="000E61D2"/>
    <w:rsid w:val="000F1FAA"/>
    <w:rsid w:val="00154BA0"/>
    <w:rsid w:val="001579EF"/>
    <w:rsid w:val="00167D57"/>
    <w:rsid w:val="0017275A"/>
    <w:rsid w:val="001C2E01"/>
    <w:rsid w:val="001C4C0F"/>
    <w:rsid w:val="00202DA8"/>
    <w:rsid w:val="00204CB8"/>
    <w:rsid w:val="00262A9F"/>
    <w:rsid w:val="00274F01"/>
    <w:rsid w:val="00280D44"/>
    <w:rsid w:val="002B4367"/>
    <w:rsid w:val="002D37FC"/>
    <w:rsid w:val="002E20DD"/>
    <w:rsid w:val="00321972"/>
    <w:rsid w:val="003547DF"/>
    <w:rsid w:val="003A7A67"/>
    <w:rsid w:val="00426E8B"/>
    <w:rsid w:val="004273D4"/>
    <w:rsid w:val="004362AC"/>
    <w:rsid w:val="004528B2"/>
    <w:rsid w:val="00463120"/>
    <w:rsid w:val="00483D8D"/>
    <w:rsid w:val="004C1CA3"/>
    <w:rsid w:val="004E22CD"/>
    <w:rsid w:val="004F5616"/>
    <w:rsid w:val="00506786"/>
    <w:rsid w:val="00517DA3"/>
    <w:rsid w:val="0052183B"/>
    <w:rsid w:val="00523715"/>
    <w:rsid w:val="00574EAF"/>
    <w:rsid w:val="005F0DB9"/>
    <w:rsid w:val="00666CF3"/>
    <w:rsid w:val="00673A96"/>
    <w:rsid w:val="00683F6C"/>
    <w:rsid w:val="006C1319"/>
    <w:rsid w:val="0075112B"/>
    <w:rsid w:val="00763865"/>
    <w:rsid w:val="007C56F3"/>
    <w:rsid w:val="007E79FE"/>
    <w:rsid w:val="008021CD"/>
    <w:rsid w:val="0084132E"/>
    <w:rsid w:val="00863B05"/>
    <w:rsid w:val="00872308"/>
    <w:rsid w:val="008A44A2"/>
    <w:rsid w:val="00966436"/>
    <w:rsid w:val="00990B03"/>
    <w:rsid w:val="00992D17"/>
    <w:rsid w:val="009A74FA"/>
    <w:rsid w:val="009C139B"/>
    <w:rsid w:val="009D309A"/>
    <w:rsid w:val="00A21AA6"/>
    <w:rsid w:val="00A40DFF"/>
    <w:rsid w:val="00A565FE"/>
    <w:rsid w:val="00A77B3E"/>
    <w:rsid w:val="00A9362D"/>
    <w:rsid w:val="00AB317A"/>
    <w:rsid w:val="00AB4C80"/>
    <w:rsid w:val="00AE1862"/>
    <w:rsid w:val="00B840C5"/>
    <w:rsid w:val="00BB2BAA"/>
    <w:rsid w:val="00BC7404"/>
    <w:rsid w:val="00BF3EC5"/>
    <w:rsid w:val="00BF44C3"/>
    <w:rsid w:val="00C00592"/>
    <w:rsid w:val="00C53BF6"/>
    <w:rsid w:val="00CA2A55"/>
    <w:rsid w:val="00D01380"/>
    <w:rsid w:val="00D265F9"/>
    <w:rsid w:val="00D320F7"/>
    <w:rsid w:val="00DA2D43"/>
    <w:rsid w:val="00DB4861"/>
    <w:rsid w:val="00E223E6"/>
    <w:rsid w:val="00E47FEE"/>
    <w:rsid w:val="00E86EF1"/>
    <w:rsid w:val="00EA1CDB"/>
    <w:rsid w:val="00EB4E3A"/>
    <w:rsid w:val="00EF7A2A"/>
    <w:rsid w:val="00F01D73"/>
    <w:rsid w:val="00F032FF"/>
    <w:rsid w:val="00F201A5"/>
    <w:rsid w:val="00F57EE3"/>
    <w:rsid w:val="00F85B4E"/>
    <w:rsid w:val="00FB5907"/>
    <w:rsid w:val="00FE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8217F"/>
  <w15:chartTrackingRefBased/>
  <w15:docId w15:val="{AF2C4796-3940-463F-A1E3-8C5CF101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0E61D2"/>
    <w:rPr>
      <w:sz w:val="21"/>
      <w:szCs w:val="21"/>
    </w:rPr>
  </w:style>
  <w:style w:type="paragraph" w:styleId="a4">
    <w:name w:val="annotation text"/>
    <w:basedOn w:val="a"/>
    <w:link w:val="a5"/>
    <w:semiHidden/>
    <w:unhideWhenUsed/>
    <w:rsid w:val="000E61D2"/>
  </w:style>
  <w:style w:type="character" w:customStyle="1" w:styleId="a5">
    <w:name w:val="批注文字 字符"/>
    <w:link w:val="a4"/>
    <w:semiHidden/>
    <w:rsid w:val="000E61D2"/>
    <w:rPr>
      <w:sz w:val="24"/>
      <w:szCs w:val="24"/>
    </w:rPr>
  </w:style>
  <w:style w:type="paragraph" w:styleId="a6">
    <w:name w:val="annotation subject"/>
    <w:basedOn w:val="a4"/>
    <w:next w:val="a4"/>
    <w:link w:val="a7"/>
    <w:semiHidden/>
    <w:unhideWhenUsed/>
    <w:rsid w:val="000E61D2"/>
    <w:rPr>
      <w:b/>
      <w:bCs/>
    </w:rPr>
  </w:style>
  <w:style w:type="character" w:customStyle="1" w:styleId="a7">
    <w:name w:val="批注主题 字符"/>
    <w:link w:val="a6"/>
    <w:semiHidden/>
    <w:rsid w:val="000E61D2"/>
    <w:rPr>
      <w:b/>
      <w:bCs/>
      <w:sz w:val="24"/>
      <w:szCs w:val="24"/>
    </w:rPr>
  </w:style>
  <w:style w:type="paragraph" w:styleId="a8">
    <w:name w:val="header"/>
    <w:basedOn w:val="a"/>
    <w:link w:val="a9"/>
    <w:unhideWhenUsed/>
    <w:rsid w:val="000E61D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0E61D2"/>
    <w:rPr>
      <w:sz w:val="18"/>
      <w:szCs w:val="18"/>
    </w:rPr>
  </w:style>
  <w:style w:type="paragraph" w:styleId="aa">
    <w:name w:val="footer"/>
    <w:basedOn w:val="a"/>
    <w:link w:val="ab"/>
    <w:uiPriority w:val="99"/>
    <w:unhideWhenUsed/>
    <w:rsid w:val="000E61D2"/>
    <w:pPr>
      <w:tabs>
        <w:tab w:val="center" w:pos="4153"/>
        <w:tab w:val="right" w:pos="8306"/>
      </w:tabs>
      <w:snapToGrid w:val="0"/>
    </w:pPr>
    <w:rPr>
      <w:sz w:val="18"/>
      <w:szCs w:val="18"/>
    </w:rPr>
  </w:style>
  <w:style w:type="character" w:customStyle="1" w:styleId="ab">
    <w:name w:val="页脚 字符"/>
    <w:link w:val="aa"/>
    <w:uiPriority w:val="99"/>
    <w:rsid w:val="000E61D2"/>
    <w:rPr>
      <w:sz w:val="18"/>
      <w:szCs w:val="18"/>
    </w:rPr>
  </w:style>
  <w:style w:type="paragraph" w:styleId="ac">
    <w:name w:val="Revision"/>
    <w:hidden/>
    <w:uiPriority w:val="99"/>
    <w:semiHidden/>
    <w:rsid w:val="00032BB4"/>
    <w:rPr>
      <w:sz w:val="24"/>
      <w:szCs w:val="24"/>
      <w:lang w:eastAsia="en-US"/>
    </w:rPr>
  </w:style>
  <w:style w:type="paragraph" w:styleId="ad">
    <w:name w:val="Balloon Text"/>
    <w:basedOn w:val="a"/>
    <w:link w:val="ae"/>
    <w:rsid w:val="00517DA3"/>
    <w:rPr>
      <w:rFonts w:ascii="Tahoma" w:hAnsi="Tahoma" w:cs="Tahoma"/>
      <w:sz w:val="16"/>
      <w:szCs w:val="16"/>
    </w:rPr>
  </w:style>
  <w:style w:type="character" w:customStyle="1" w:styleId="ae">
    <w:name w:val="批注框文本 字符"/>
    <w:link w:val="ad"/>
    <w:rsid w:val="00517DA3"/>
    <w:rPr>
      <w:rFonts w:ascii="Tahoma" w:hAnsi="Tahoma" w:cs="Tahoma"/>
      <w:sz w:val="16"/>
      <w:szCs w:val="16"/>
      <w:lang w:val="en-US" w:eastAsia="en-US"/>
    </w:rPr>
  </w:style>
  <w:style w:type="character" w:styleId="af">
    <w:name w:val="Hyperlink"/>
    <w:basedOn w:val="a0"/>
    <w:unhideWhenUsed/>
    <w:rsid w:val="005F0DB9"/>
    <w:rPr>
      <w:color w:val="0563C1" w:themeColor="hyperlink"/>
      <w:u w:val="single"/>
    </w:rPr>
  </w:style>
  <w:style w:type="character" w:styleId="af0">
    <w:name w:val="Unresolved Mention"/>
    <w:basedOn w:val="a0"/>
    <w:uiPriority w:val="99"/>
    <w:semiHidden/>
    <w:unhideWhenUsed/>
    <w:rsid w:val="005F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1/6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6691</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Arunkumar</dc:creator>
  <cp:keywords/>
  <cp:lastModifiedBy>CC15613419072@163.com</cp:lastModifiedBy>
  <cp:revision>4</cp:revision>
  <dcterms:created xsi:type="dcterms:W3CDTF">2023-01-11T03:06:00Z</dcterms:created>
  <dcterms:modified xsi:type="dcterms:W3CDTF">2023-01-13T07:26:00Z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96703230557f9cd59870383f3b95a1545c3100ec24bc1075e451ec5bfb69b561</vt:lpwstr>
  </property>
</Properties>
</file>