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F9C03"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5F0E7FE"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80460</w:t>
      </w:r>
    </w:p>
    <w:p w14:paraId="3600F15D"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383A73" w14:textId="77777777" w:rsidR="00A77B3E" w:rsidRDefault="00A77B3E">
      <w:pPr>
        <w:spacing w:line="360" w:lineRule="auto"/>
        <w:jc w:val="both"/>
      </w:pPr>
    </w:p>
    <w:p w14:paraId="51273A6C" w14:textId="77777777" w:rsidR="00A77B3E" w:rsidRDefault="00000000">
      <w:pPr>
        <w:spacing w:line="360" w:lineRule="auto"/>
        <w:jc w:val="both"/>
      </w:pPr>
      <w:r>
        <w:rPr>
          <w:rFonts w:ascii="Book Antiqua" w:eastAsia="Book Antiqua" w:hAnsi="Book Antiqua" w:cs="Book Antiqua"/>
          <w:b/>
          <w:bCs/>
          <w:color w:val="000000"/>
        </w:rPr>
        <w:t>Upper gastrointestinal bleeding as an unusual manifestation of localized Ménétrier’s disease with an underlying lipoma: A case report</w:t>
      </w:r>
    </w:p>
    <w:p w14:paraId="68F9299B" w14:textId="77777777" w:rsidR="00A77B3E" w:rsidRDefault="00A77B3E">
      <w:pPr>
        <w:spacing w:line="360" w:lineRule="auto"/>
        <w:jc w:val="both"/>
      </w:pPr>
    </w:p>
    <w:p w14:paraId="39BE207C" w14:textId="77777777" w:rsidR="00A77B3E" w:rsidRDefault="00000000">
      <w:pPr>
        <w:spacing w:line="360" w:lineRule="auto"/>
        <w:jc w:val="both"/>
      </w:pPr>
      <w:r>
        <w:rPr>
          <w:rFonts w:ascii="Book Antiqua" w:eastAsia="Book Antiqua" w:hAnsi="Book Antiqua" w:cs="Book Antiqua"/>
          <w:color w:val="000000"/>
        </w:rPr>
        <w:t xml:space="preserve">Kmiecik M </w:t>
      </w:r>
      <w:r>
        <w:rPr>
          <w:rFonts w:ascii="Book Antiqua" w:eastAsia="Book Antiqua" w:hAnsi="Book Antiqua" w:cs="Book Antiqua"/>
          <w:i/>
          <w:iCs/>
          <w:color w:val="000000"/>
        </w:rPr>
        <w:t>et al</w:t>
      </w:r>
      <w:r>
        <w:rPr>
          <w:rFonts w:ascii="Book Antiqua" w:eastAsia="Book Antiqua" w:hAnsi="Book Antiqua" w:cs="Book Antiqua"/>
          <w:color w:val="000000"/>
        </w:rPr>
        <w:t>. Ménétrier’s disease with an underlying lipoma</w:t>
      </w:r>
    </w:p>
    <w:p w14:paraId="4DF11494" w14:textId="77777777" w:rsidR="00A77B3E" w:rsidRDefault="00A77B3E">
      <w:pPr>
        <w:spacing w:line="360" w:lineRule="auto"/>
        <w:jc w:val="both"/>
      </w:pPr>
    </w:p>
    <w:p w14:paraId="34AF624F" w14:textId="73B9968C" w:rsidR="00A77B3E" w:rsidRDefault="00000000">
      <w:pPr>
        <w:spacing w:line="360" w:lineRule="auto"/>
        <w:jc w:val="both"/>
      </w:pPr>
      <w:r>
        <w:rPr>
          <w:rFonts w:ascii="Book Antiqua" w:eastAsia="Book Antiqua" w:hAnsi="Book Antiqua" w:cs="Book Antiqua"/>
          <w:color w:val="000000"/>
        </w:rPr>
        <w:t xml:space="preserve">Michal Kmiecik, Aleksandra Walczak, Pawel Samborski, Jacek Paszkowski, Agnieszka Dobrowolska, </w:t>
      </w:r>
      <w:r w:rsidR="00317A7E">
        <w:rPr>
          <w:rFonts w:ascii="Book Antiqua" w:eastAsia="Book Antiqua" w:hAnsi="Book Antiqua" w:cs="Book Antiqua"/>
          <w:color w:val="000000"/>
        </w:rPr>
        <w:t xml:space="preserve">Jacek Karczewski, </w:t>
      </w:r>
      <w:r>
        <w:rPr>
          <w:rFonts w:ascii="Book Antiqua" w:eastAsia="Book Antiqua" w:hAnsi="Book Antiqua" w:cs="Book Antiqua"/>
          <w:color w:val="000000"/>
        </w:rPr>
        <w:t>Ewelina Swora-Cwynar</w:t>
      </w:r>
    </w:p>
    <w:p w14:paraId="475B43CB" w14:textId="77777777" w:rsidR="00A77B3E" w:rsidRDefault="00A77B3E">
      <w:pPr>
        <w:spacing w:line="360" w:lineRule="auto"/>
        <w:jc w:val="both"/>
      </w:pPr>
    </w:p>
    <w:p w14:paraId="1344AD72" w14:textId="5D7946AF" w:rsidR="00A77B3E" w:rsidRDefault="00000000">
      <w:pPr>
        <w:spacing w:line="360" w:lineRule="auto"/>
        <w:jc w:val="both"/>
      </w:pPr>
      <w:r>
        <w:rPr>
          <w:rFonts w:ascii="Book Antiqua" w:eastAsia="Book Antiqua" w:hAnsi="Book Antiqua" w:cs="Book Antiqua"/>
          <w:b/>
          <w:bCs/>
          <w:color w:val="000000"/>
        </w:rPr>
        <w:t xml:space="preserve">Michal Kmiecik, Pawel Samborski, Agnieszka Dobrowolska, </w:t>
      </w:r>
      <w:r w:rsidR="00317A7E">
        <w:rPr>
          <w:rFonts w:ascii="Book Antiqua" w:eastAsia="Book Antiqua" w:hAnsi="Book Antiqua" w:cs="Book Antiqua"/>
          <w:b/>
          <w:bCs/>
          <w:color w:val="000000"/>
        </w:rPr>
        <w:t xml:space="preserve">Jacek Karczewski, </w:t>
      </w:r>
      <w:r>
        <w:rPr>
          <w:rFonts w:ascii="Book Antiqua" w:eastAsia="Book Antiqua" w:hAnsi="Book Antiqua" w:cs="Book Antiqua"/>
          <w:b/>
          <w:bCs/>
          <w:color w:val="000000"/>
        </w:rPr>
        <w:t xml:space="preserve">Ewelina Swora-Cwynar, </w:t>
      </w:r>
      <w:r>
        <w:rPr>
          <w:rFonts w:ascii="Book Antiqua" w:eastAsia="Book Antiqua" w:hAnsi="Book Antiqua" w:cs="Book Antiqua"/>
          <w:color w:val="000000"/>
        </w:rPr>
        <w:t>Department of Gastroenterology, Nutrition and Internal Medicine, Poznan University of Medical Sciences, Poznan 60-355, Poland</w:t>
      </w:r>
    </w:p>
    <w:p w14:paraId="4CBEBB11" w14:textId="77777777" w:rsidR="00A77B3E" w:rsidRDefault="00A77B3E">
      <w:pPr>
        <w:spacing w:line="360" w:lineRule="auto"/>
        <w:jc w:val="both"/>
      </w:pPr>
    </w:p>
    <w:p w14:paraId="4C1B4E0C" w14:textId="4F612473" w:rsidR="00A77B3E" w:rsidRDefault="00000000">
      <w:pPr>
        <w:spacing w:line="360" w:lineRule="auto"/>
        <w:jc w:val="both"/>
      </w:pPr>
      <w:r>
        <w:rPr>
          <w:rFonts w:ascii="Book Antiqua" w:eastAsia="Book Antiqua" w:hAnsi="Book Antiqua" w:cs="Book Antiqua"/>
          <w:b/>
          <w:bCs/>
          <w:color w:val="000000"/>
        </w:rPr>
        <w:t xml:space="preserve">Aleksandra Walczak, </w:t>
      </w:r>
      <w:r>
        <w:rPr>
          <w:rFonts w:ascii="Book Antiqua" w:eastAsia="Book Antiqua" w:hAnsi="Book Antiqua" w:cs="Book Antiqua"/>
          <w:color w:val="000000"/>
        </w:rPr>
        <w:t xml:space="preserve">Department of Clinical Pathology, </w:t>
      </w:r>
      <w:r w:rsidR="001B6B90">
        <w:rPr>
          <w:rFonts w:ascii="Book Antiqua" w:eastAsia="Book Antiqua" w:hAnsi="Book Antiqua" w:cs="Book Antiqua"/>
          <w:color w:val="000000"/>
        </w:rPr>
        <w:t>P</w:t>
      </w:r>
      <w:r>
        <w:rPr>
          <w:rFonts w:ascii="Book Antiqua" w:eastAsia="Book Antiqua" w:hAnsi="Book Antiqua" w:cs="Book Antiqua"/>
          <w:color w:val="000000"/>
        </w:rPr>
        <w:t>oznan University of Medical Sciences, Poznan 60-355, Poland</w:t>
      </w:r>
    </w:p>
    <w:p w14:paraId="4E8DF827" w14:textId="77777777" w:rsidR="00A77B3E" w:rsidRDefault="00A77B3E">
      <w:pPr>
        <w:spacing w:line="360" w:lineRule="auto"/>
        <w:jc w:val="both"/>
      </w:pPr>
    </w:p>
    <w:p w14:paraId="3775C92F" w14:textId="77777777" w:rsidR="00A77B3E" w:rsidRDefault="00000000">
      <w:pPr>
        <w:spacing w:line="360" w:lineRule="auto"/>
        <w:jc w:val="both"/>
      </w:pPr>
      <w:r>
        <w:rPr>
          <w:rFonts w:ascii="Book Antiqua" w:eastAsia="Book Antiqua" w:hAnsi="Book Antiqua" w:cs="Book Antiqua"/>
          <w:b/>
          <w:bCs/>
          <w:color w:val="000000"/>
        </w:rPr>
        <w:t xml:space="preserve">Jacek Paszkowski, </w:t>
      </w:r>
      <w:r>
        <w:rPr>
          <w:rFonts w:ascii="Book Antiqua" w:eastAsia="Book Antiqua" w:hAnsi="Book Antiqua" w:cs="Book Antiqua"/>
          <w:color w:val="000000"/>
        </w:rPr>
        <w:t>Department of General &amp; Endocrine Surgery, and Gastroenterological Oncology, Poznan University of Medical Sciences, Poznan 60-355, Poland</w:t>
      </w:r>
    </w:p>
    <w:p w14:paraId="3CB3E1D2" w14:textId="77777777" w:rsidR="00A77B3E" w:rsidRDefault="00A77B3E">
      <w:pPr>
        <w:spacing w:line="360" w:lineRule="auto"/>
        <w:jc w:val="both"/>
      </w:pPr>
    </w:p>
    <w:p w14:paraId="5BEB15A5" w14:textId="67F5043C"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Kmiecik M and Swora-Cwynar E wrote and edited the manuscript; Walczak A performed pathologic examination of the mass, wrote the paragraph on pathologic diagnosis and prepared microscopic figures; Samborski P and Paszkowski J performed endoscopic submucosal dissection and participated in editing the manuscript; </w:t>
      </w:r>
      <w:r w:rsidR="00317A7E">
        <w:rPr>
          <w:rFonts w:ascii="Book Antiqua" w:eastAsia="Book Antiqua" w:hAnsi="Book Antiqua" w:cs="Book Antiqua"/>
          <w:color w:val="000000"/>
        </w:rPr>
        <w:t xml:space="preserve">Karczewski J and </w:t>
      </w:r>
      <w:r>
        <w:rPr>
          <w:rFonts w:ascii="Book Antiqua" w:eastAsia="Book Antiqua" w:hAnsi="Book Antiqua" w:cs="Book Antiqua"/>
          <w:color w:val="000000"/>
        </w:rPr>
        <w:t>Dobrowolska A reviewed the manuscript.</w:t>
      </w:r>
    </w:p>
    <w:p w14:paraId="64AA4B68" w14:textId="77777777" w:rsidR="00A77B3E" w:rsidRDefault="00A77B3E">
      <w:pPr>
        <w:spacing w:line="360" w:lineRule="auto"/>
        <w:jc w:val="both"/>
      </w:pPr>
    </w:p>
    <w:p w14:paraId="741BC745" w14:textId="580B8838" w:rsidR="00A77B3E" w:rsidRDefault="00000000">
      <w:pPr>
        <w:spacing w:line="360" w:lineRule="auto"/>
        <w:jc w:val="both"/>
      </w:pPr>
      <w:r>
        <w:rPr>
          <w:rFonts w:ascii="Book Antiqua" w:eastAsia="Book Antiqua" w:hAnsi="Book Antiqua" w:cs="Book Antiqua"/>
          <w:b/>
          <w:bCs/>
          <w:color w:val="000000"/>
        </w:rPr>
        <w:lastRenderedPageBreak/>
        <w:t xml:space="preserve">Corresponding author: Michal Kmiecik, </w:t>
      </w:r>
      <w:r w:rsidR="00556476" w:rsidRPr="00556476">
        <w:rPr>
          <w:rFonts w:ascii="Book Antiqua" w:eastAsia="Book Antiqua" w:hAnsi="Book Antiqua" w:cs="Book Antiqua"/>
          <w:b/>
          <w:bCs/>
          <w:color w:val="000000"/>
        </w:rPr>
        <w:t>HSD, Undergraduate Student</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Nutrition and Internal Medicine, Poznan University of Medical Sciences, 49 Przybyszewskiego Street, Poznan 60-355, Poland. 83633@student.ump.edu.pl</w:t>
      </w:r>
    </w:p>
    <w:p w14:paraId="68B890E2" w14:textId="77777777" w:rsidR="00A77B3E" w:rsidRDefault="00A77B3E">
      <w:pPr>
        <w:spacing w:line="360" w:lineRule="auto"/>
        <w:jc w:val="both"/>
      </w:pPr>
    </w:p>
    <w:p w14:paraId="0B9B20D2"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2022</w:t>
      </w:r>
    </w:p>
    <w:p w14:paraId="5946CF49" w14:textId="77777777" w:rsidR="00A77B3E"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16, 2022</w:t>
      </w:r>
    </w:p>
    <w:p w14:paraId="0C8B09CD" w14:textId="6D46A816" w:rsidR="00A77B3E" w:rsidRDefault="00000000">
      <w:pPr>
        <w:spacing w:line="360" w:lineRule="auto"/>
        <w:jc w:val="both"/>
      </w:pPr>
      <w:r>
        <w:rPr>
          <w:rFonts w:ascii="Book Antiqua" w:eastAsia="Book Antiqua" w:hAnsi="Book Antiqua" w:cs="Book Antiqua"/>
          <w:b/>
          <w:bCs/>
          <w:color w:val="000000"/>
        </w:rPr>
        <w:t xml:space="preserve">Accepted: </w:t>
      </w:r>
      <w:r w:rsidR="007E3686" w:rsidRPr="007E3686">
        <w:rPr>
          <w:rFonts w:ascii="Book Antiqua" w:eastAsia="Book Antiqua" w:hAnsi="Book Antiqua" w:cs="Book Antiqua"/>
          <w:color w:val="000000"/>
        </w:rPr>
        <w:t>December 5, 2022</w:t>
      </w:r>
    </w:p>
    <w:p w14:paraId="4D03AEA0" w14:textId="428ABCF2" w:rsidR="00A77B3E" w:rsidRDefault="00000000">
      <w:pPr>
        <w:spacing w:line="360" w:lineRule="auto"/>
        <w:jc w:val="both"/>
      </w:pPr>
      <w:r>
        <w:rPr>
          <w:rFonts w:ascii="Book Antiqua" w:eastAsia="Book Antiqua" w:hAnsi="Book Antiqua" w:cs="Book Antiqua"/>
          <w:b/>
          <w:bCs/>
          <w:color w:val="000000"/>
        </w:rPr>
        <w:t xml:space="preserve">Published online: </w:t>
      </w:r>
      <w:r w:rsidR="00D97567">
        <w:rPr>
          <w:rFonts w:ascii="Book Antiqua" w:hAnsi="Book Antiqua"/>
          <w:color w:val="000000"/>
          <w:shd w:val="clear" w:color="auto" w:fill="FFFFFF"/>
        </w:rPr>
        <w:t>January 16,</w:t>
      </w:r>
      <w:r w:rsidR="00D64A11">
        <w:rPr>
          <w:rFonts w:ascii="Book Antiqua" w:hAnsi="Book Antiqua"/>
          <w:color w:val="000000"/>
          <w:shd w:val="clear" w:color="auto" w:fill="FFFFFF"/>
        </w:rPr>
        <w:t xml:space="preserve"> 202</w:t>
      </w:r>
      <w:r w:rsidR="00D97567">
        <w:rPr>
          <w:rFonts w:ascii="Book Antiqua" w:hAnsi="Book Antiqua"/>
          <w:color w:val="000000"/>
          <w:shd w:val="clear" w:color="auto" w:fill="FFFFFF"/>
        </w:rPr>
        <w:t>3</w:t>
      </w:r>
    </w:p>
    <w:p w14:paraId="48960F9D" w14:textId="77777777" w:rsidR="0048251E" w:rsidRDefault="0048251E">
      <w:pPr>
        <w:spacing w:line="360" w:lineRule="auto"/>
        <w:jc w:val="both"/>
        <w:rPr>
          <w:rFonts w:ascii="Book Antiqua" w:eastAsia="Book Antiqua" w:hAnsi="Book Antiqua" w:cs="Book Antiqua"/>
          <w:b/>
          <w:color w:val="000000"/>
        </w:rPr>
      </w:pPr>
    </w:p>
    <w:p w14:paraId="4808D468" w14:textId="77777777" w:rsidR="0048251E" w:rsidRDefault="0048251E">
      <w:pPr>
        <w:spacing w:line="360" w:lineRule="auto"/>
        <w:jc w:val="both"/>
        <w:rPr>
          <w:rFonts w:ascii="Book Antiqua" w:eastAsia="Book Antiqua" w:hAnsi="Book Antiqua" w:cs="Book Antiqua"/>
          <w:b/>
          <w:color w:val="000000"/>
        </w:rPr>
      </w:pPr>
    </w:p>
    <w:p w14:paraId="7124100E" w14:textId="4C6133B0" w:rsidR="00A77B3E" w:rsidRDefault="00000000">
      <w:pPr>
        <w:spacing w:line="360" w:lineRule="auto"/>
        <w:jc w:val="both"/>
      </w:pPr>
      <w:r>
        <w:rPr>
          <w:rFonts w:ascii="Book Antiqua" w:eastAsia="Book Antiqua" w:hAnsi="Book Antiqua" w:cs="Book Antiqua"/>
          <w:b/>
          <w:color w:val="000000"/>
        </w:rPr>
        <w:t>Abstract</w:t>
      </w:r>
    </w:p>
    <w:p w14:paraId="0F88D210" w14:textId="77777777" w:rsidR="00A77B3E" w:rsidRDefault="00000000">
      <w:pPr>
        <w:spacing w:line="360" w:lineRule="auto"/>
        <w:jc w:val="both"/>
      </w:pPr>
      <w:r>
        <w:rPr>
          <w:rFonts w:ascii="Book Antiqua" w:eastAsia="Book Antiqua" w:hAnsi="Book Antiqua" w:cs="Book Antiqua"/>
          <w:color w:val="000000"/>
        </w:rPr>
        <w:t>BACKGROUND</w:t>
      </w:r>
    </w:p>
    <w:p w14:paraId="0EEF75B9" w14:textId="77777777" w:rsidR="00A77B3E" w:rsidRDefault="00000000">
      <w:pPr>
        <w:spacing w:line="360" w:lineRule="auto"/>
        <w:jc w:val="both"/>
      </w:pPr>
      <w:r>
        <w:rPr>
          <w:rFonts w:ascii="Book Antiqua" w:eastAsia="Book Antiqua" w:hAnsi="Book Antiqua" w:cs="Book Antiqua"/>
          <w:color w:val="000000"/>
        </w:rPr>
        <w:t>Ménétrier’s disease is a rare condition characterized by enlarged gastric folds, usually located in the whole body and fundus of the stomach. This report presents an unusual case of localized Ménétrier’s disease elevated by a submucosal lipoma and thus looking like a polypoid mass and causing an episode of upper gastrointestinal bleeding. The mass was successfully removed with endoscopic submucosal dissection.</w:t>
      </w:r>
    </w:p>
    <w:p w14:paraId="1383FFBE" w14:textId="77777777" w:rsidR="00A77B3E" w:rsidRDefault="00A77B3E">
      <w:pPr>
        <w:spacing w:line="360" w:lineRule="auto"/>
        <w:jc w:val="both"/>
      </w:pPr>
    </w:p>
    <w:p w14:paraId="49F6E514" w14:textId="77777777" w:rsidR="00A77B3E" w:rsidRDefault="00000000">
      <w:pPr>
        <w:spacing w:line="360" w:lineRule="auto"/>
        <w:jc w:val="both"/>
      </w:pPr>
      <w:r>
        <w:rPr>
          <w:rFonts w:ascii="Book Antiqua" w:eastAsia="Book Antiqua" w:hAnsi="Book Antiqua" w:cs="Book Antiqua"/>
          <w:color w:val="000000"/>
        </w:rPr>
        <w:t>CASE SUMMARY</w:t>
      </w:r>
    </w:p>
    <w:p w14:paraId="1FBF0DEE" w14:textId="77777777" w:rsidR="00A77B3E" w:rsidRDefault="00000000">
      <w:pPr>
        <w:spacing w:line="360" w:lineRule="auto"/>
        <w:jc w:val="both"/>
      </w:pPr>
      <w:r>
        <w:rPr>
          <w:rFonts w:ascii="Book Antiqua" w:eastAsia="Book Antiqua" w:hAnsi="Book Antiqua" w:cs="Book Antiqua"/>
          <w:color w:val="000000"/>
        </w:rPr>
        <w:t xml:space="preserve">Esophagogastroduodenoscopy was performed on a 76-year-old male patient after an episode of upper gastrointestinal bleeding, manifesting as fatigue and melena. A large polypoid mass (4 cm × 1 cm) with enlarged mucosal folds was found in the body of the stomach, between the lesser curvature and posterior wall. A small ulcer at the distal end of the mass was identified as the source of the bleeding. Biopsy was negative for neoplasia. Computed tomography showed a submucosal lesion beneath the affected mucosa, most likely a lipoma. The mass was removed </w:t>
      </w:r>
      <w:r w:rsidRPr="00361CB6">
        <w:rPr>
          <w:rFonts w:ascii="Book Antiqua" w:eastAsia="Book Antiqua" w:hAnsi="Book Antiqua" w:cs="Book Antiqua"/>
          <w:i/>
          <w:iCs/>
          <w:color w:val="000000"/>
        </w:rPr>
        <w:t>en bloc</w:t>
      </w:r>
      <w:r>
        <w:rPr>
          <w:rFonts w:ascii="Book Antiqua" w:eastAsia="Book Antiqua" w:hAnsi="Book Antiqua" w:cs="Book Antiqua"/>
          <w:color w:val="000000"/>
        </w:rPr>
        <w:t xml:space="preserve"> with tunneling endoscopic submucosal dissection. Final pathology determined that the mass included Ménétrier’s </w:t>
      </w:r>
      <w:r>
        <w:rPr>
          <w:rFonts w:ascii="Book Antiqua" w:eastAsia="Book Antiqua" w:hAnsi="Book Antiqua" w:cs="Book Antiqua"/>
          <w:color w:val="000000"/>
        </w:rPr>
        <w:lastRenderedPageBreak/>
        <w:t>disease and a submucosal lipoma. The patient was scheduled for follow-up esophagogastroduodenoscopy.</w:t>
      </w:r>
    </w:p>
    <w:p w14:paraId="7F8618E2" w14:textId="77777777" w:rsidR="00A77B3E" w:rsidRDefault="00A77B3E">
      <w:pPr>
        <w:spacing w:line="360" w:lineRule="auto"/>
        <w:jc w:val="both"/>
      </w:pPr>
    </w:p>
    <w:p w14:paraId="5675837F" w14:textId="77777777" w:rsidR="00A77B3E" w:rsidRDefault="00000000">
      <w:pPr>
        <w:spacing w:line="360" w:lineRule="auto"/>
        <w:jc w:val="both"/>
      </w:pPr>
      <w:r>
        <w:rPr>
          <w:rFonts w:ascii="Book Antiqua" w:eastAsia="Book Antiqua" w:hAnsi="Book Antiqua" w:cs="Book Antiqua"/>
          <w:color w:val="000000"/>
        </w:rPr>
        <w:t>CONCLUSION</w:t>
      </w:r>
    </w:p>
    <w:p w14:paraId="75428077" w14:textId="77777777" w:rsidR="00A77B3E" w:rsidRDefault="00000000">
      <w:pPr>
        <w:spacing w:line="360" w:lineRule="auto"/>
        <w:jc w:val="both"/>
      </w:pPr>
      <w:r>
        <w:rPr>
          <w:rFonts w:ascii="Book Antiqua" w:eastAsia="Book Antiqua" w:hAnsi="Book Antiqua" w:cs="Book Antiqua"/>
          <w:color w:val="000000"/>
        </w:rPr>
        <w:t>Localized Ménétrier’s disease can coexist with a submucosal lipoma creating a polypoid mass with risk of bleeding.</w:t>
      </w:r>
    </w:p>
    <w:p w14:paraId="13475390" w14:textId="77777777" w:rsidR="00A77B3E" w:rsidRDefault="00A77B3E">
      <w:pPr>
        <w:spacing w:line="360" w:lineRule="auto"/>
        <w:jc w:val="both"/>
      </w:pPr>
    </w:p>
    <w:p w14:paraId="325D7861" w14:textId="77777777"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Ménétrier’s disease; Submucosal lipoma; Gastrointestinal hemorrhage; Endoscopic submucosal dissection; Submucosal tunneling endoscopic resection; Case report</w:t>
      </w:r>
    </w:p>
    <w:p w14:paraId="46DFFC80" w14:textId="1739C061" w:rsidR="00A77B3E" w:rsidRDefault="00A77B3E">
      <w:pPr>
        <w:spacing w:line="360" w:lineRule="auto"/>
        <w:jc w:val="both"/>
      </w:pPr>
    </w:p>
    <w:p w14:paraId="22231B14" w14:textId="77777777" w:rsidR="008A2BF0" w:rsidRDefault="008A2BF0" w:rsidP="008A2BF0">
      <w:pPr>
        <w:spacing w:line="360" w:lineRule="auto"/>
        <w:rPr>
          <w:rFonts w:ascii="Book Antiqua" w:eastAsia="Book Antiqua" w:hAnsi="Book Antiqua" w:cs="Book Antiqua"/>
          <w:color w:val="000000"/>
        </w:rPr>
      </w:pPr>
      <w:bookmarkStart w:id="0" w:name="_Hlk12381989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1D9617FE" w14:textId="77777777" w:rsidR="008A2BF0" w:rsidRDefault="008A2BF0">
      <w:pPr>
        <w:spacing w:line="360" w:lineRule="auto"/>
        <w:jc w:val="both"/>
      </w:pPr>
    </w:p>
    <w:p w14:paraId="78B71500" w14:textId="2B4DFD01" w:rsidR="008A2BF0" w:rsidRDefault="008A2BF0">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color w:val="000000"/>
        </w:rPr>
        <w:t xml:space="preserve">Kmiecik M, Walczak A, Samborski P, Paszkowski J, Dobrowolska A, </w:t>
      </w:r>
      <w:bookmarkStart w:id="1" w:name="OLE_LINK1"/>
      <w:r w:rsidR="00AC0070" w:rsidRPr="00AC0070">
        <w:rPr>
          <w:rFonts w:ascii="Book Antiqua" w:eastAsia="TimesNewRomanPSMT" w:hAnsi="Book Antiqua" w:cs="TimesNewRomanPSMT"/>
        </w:rPr>
        <w:t>Karczewski J</w:t>
      </w:r>
      <w:bookmarkEnd w:id="1"/>
      <w:r w:rsidR="00AC0070" w:rsidRPr="00AC0070">
        <w:rPr>
          <w:rFonts w:ascii="Book Antiqua" w:eastAsia="TimesNewRomanPSMT" w:hAnsi="Book Antiqua" w:cs="TimesNewRomanPSMT"/>
        </w:rPr>
        <w:t>,</w:t>
      </w:r>
      <w:r w:rsidR="00AC0070">
        <w:rPr>
          <w:rFonts w:ascii="Book Antiqua" w:eastAsia="Book Antiqua" w:hAnsi="Book Antiqua" w:cs="Book Antiqua"/>
          <w:color w:val="000000"/>
        </w:rPr>
        <w:t xml:space="preserve"> </w:t>
      </w:r>
      <w:r>
        <w:rPr>
          <w:rFonts w:ascii="Book Antiqua" w:eastAsia="Book Antiqua" w:hAnsi="Book Antiqua" w:cs="Book Antiqua"/>
          <w:color w:val="000000"/>
        </w:rPr>
        <w:t xml:space="preserve">Swora-Cwynar E. Upper gastrointestinal bleeding as an unusual manifestation of localized Ménétrier’s disease with an underlying lipoma: A case report.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2023; </w:t>
      </w:r>
      <w:r w:rsidR="00D64A11" w:rsidRPr="00D64A11">
        <w:rPr>
          <w:rFonts w:ascii="Book Antiqua" w:eastAsia="Book Antiqua" w:hAnsi="Book Antiqua" w:cs="Book Antiqua"/>
          <w:color w:val="000000"/>
        </w:rPr>
        <w:t>1</w:t>
      </w:r>
      <w:r>
        <w:rPr>
          <w:rFonts w:ascii="Book Antiqua" w:eastAsia="Book Antiqua" w:hAnsi="Book Antiqua" w:cs="Book Antiqua"/>
          <w:color w:val="000000"/>
        </w:rPr>
        <w:t>5</w:t>
      </w:r>
      <w:r w:rsidR="00D64A11" w:rsidRPr="00D64A11">
        <w:rPr>
          <w:rFonts w:ascii="Book Antiqua" w:eastAsia="Book Antiqua" w:hAnsi="Book Antiqua" w:cs="Book Antiqua"/>
          <w:color w:val="000000"/>
        </w:rPr>
        <w:t xml:space="preserve">(1): </w:t>
      </w:r>
      <w:r>
        <w:rPr>
          <w:rFonts w:ascii="Book Antiqua" w:eastAsia="Book Antiqua" w:hAnsi="Book Antiqua" w:cs="Book Antiqua"/>
          <w:color w:val="000000"/>
        </w:rPr>
        <w:t>10</w:t>
      </w:r>
      <w:r w:rsidR="00D64A11" w:rsidRPr="00D64A11">
        <w:rPr>
          <w:rFonts w:ascii="Book Antiqua" w:eastAsia="Book Antiqua" w:hAnsi="Book Antiqua" w:cs="Book Antiqua"/>
          <w:color w:val="000000"/>
        </w:rPr>
        <w:t>-</w:t>
      </w:r>
      <w:r>
        <w:rPr>
          <w:rFonts w:ascii="Book Antiqua" w:eastAsia="Book Antiqua" w:hAnsi="Book Antiqua" w:cs="Book Antiqua"/>
          <w:color w:val="000000"/>
        </w:rPr>
        <w:t>18</w:t>
      </w:r>
      <w:r w:rsidR="00D64A11" w:rsidRPr="00D64A11">
        <w:rPr>
          <w:rFonts w:ascii="Book Antiqua" w:eastAsia="Book Antiqua" w:hAnsi="Book Antiqua" w:cs="Book Antiqua"/>
          <w:color w:val="000000"/>
        </w:rPr>
        <w:t xml:space="preserve"> </w:t>
      </w:r>
    </w:p>
    <w:p w14:paraId="764E04D4" w14:textId="00A2914F" w:rsidR="008A2BF0" w:rsidRDefault="00D64A11">
      <w:pPr>
        <w:spacing w:line="360" w:lineRule="auto"/>
        <w:jc w:val="both"/>
        <w:rPr>
          <w:rFonts w:ascii="Book Antiqua" w:eastAsia="Book Antiqua" w:hAnsi="Book Antiqua" w:cs="Book Antiqua"/>
          <w:color w:val="000000"/>
        </w:rPr>
      </w:pPr>
      <w:r w:rsidRPr="008A2BF0">
        <w:rPr>
          <w:rFonts w:ascii="Book Antiqua" w:eastAsia="Book Antiqua" w:hAnsi="Book Antiqua" w:cs="Book Antiqua"/>
          <w:b/>
          <w:bCs/>
          <w:color w:val="000000"/>
        </w:rPr>
        <w:t>URL:</w:t>
      </w:r>
      <w:r w:rsidRPr="00D64A11">
        <w:rPr>
          <w:rFonts w:ascii="Book Antiqua" w:eastAsia="Book Antiqua" w:hAnsi="Book Antiqua" w:cs="Book Antiqua"/>
          <w:color w:val="000000"/>
        </w:rPr>
        <w:t xml:space="preserve"> </w:t>
      </w:r>
      <w:hyperlink r:id="rId6" w:history="1">
        <w:r w:rsidR="008A2BF0" w:rsidRPr="008A2BF0">
          <w:rPr>
            <w:rStyle w:val="a8"/>
            <w:rFonts w:ascii="Book Antiqua" w:eastAsia="Book Antiqua" w:hAnsi="Book Antiqua" w:cs="Book Antiqua"/>
            <w:color w:val="000000" w:themeColor="text1"/>
            <w:u w:val="none"/>
          </w:rPr>
          <w:t>https://www.wjgnet.com/1948-5190/full/v15/i1/10.htm</w:t>
        </w:r>
      </w:hyperlink>
      <w:r w:rsidRPr="008A2BF0">
        <w:rPr>
          <w:rFonts w:ascii="Book Antiqua" w:eastAsia="Book Antiqua" w:hAnsi="Book Antiqua" w:cs="Book Antiqua"/>
          <w:color w:val="000000"/>
        </w:rPr>
        <w:t xml:space="preserve"> </w:t>
      </w:r>
    </w:p>
    <w:p w14:paraId="19E69D7C" w14:textId="6AD10C61" w:rsidR="00A77B3E" w:rsidRDefault="00D64A11">
      <w:pPr>
        <w:spacing w:line="360" w:lineRule="auto"/>
        <w:jc w:val="both"/>
      </w:pPr>
      <w:r w:rsidRPr="008A2BF0">
        <w:rPr>
          <w:rFonts w:ascii="Book Antiqua" w:eastAsia="Book Antiqua" w:hAnsi="Book Antiqua" w:cs="Book Antiqua"/>
          <w:b/>
          <w:bCs/>
          <w:color w:val="000000"/>
        </w:rPr>
        <w:t xml:space="preserve">DOI: </w:t>
      </w:r>
      <w:r w:rsidRPr="00D64A11">
        <w:rPr>
          <w:rFonts w:ascii="Book Antiqua" w:eastAsia="Book Antiqua" w:hAnsi="Book Antiqua" w:cs="Book Antiqua"/>
          <w:color w:val="000000"/>
        </w:rPr>
        <w:t>https://dx.doi.org/10.4253/wjge.v1</w:t>
      </w:r>
      <w:r w:rsidR="008A2BF0">
        <w:rPr>
          <w:rFonts w:ascii="Book Antiqua" w:eastAsia="Book Antiqua" w:hAnsi="Book Antiqua" w:cs="Book Antiqua"/>
          <w:color w:val="000000"/>
        </w:rPr>
        <w:t>5</w:t>
      </w:r>
      <w:r w:rsidRPr="00D64A11">
        <w:rPr>
          <w:rFonts w:ascii="Book Antiqua" w:eastAsia="Book Antiqua" w:hAnsi="Book Antiqua" w:cs="Book Antiqua"/>
          <w:color w:val="000000"/>
        </w:rPr>
        <w:t>.i1.</w:t>
      </w:r>
      <w:r w:rsidR="008A2BF0">
        <w:rPr>
          <w:rFonts w:ascii="Book Antiqua" w:eastAsia="Book Antiqua" w:hAnsi="Book Antiqua" w:cs="Book Antiqua"/>
          <w:color w:val="000000"/>
        </w:rPr>
        <w:t>10</w:t>
      </w:r>
    </w:p>
    <w:p w14:paraId="3F344F80" w14:textId="77777777" w:rsidR="00A77B3E" w:rsidRDefault="00A77B3E">
      <w:pPr>
        <w:spacing w:line="360" w:lineRule="auto"/>
        <w:jc w:val="both"/>
      </w:pPr>
    </w:p>
    <w:p w14:paraId="54DAB6D8" w14:textId="77777777"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the first case of localized Ménétrier’s disease coexisting with a submucosal lipoma. The elevation of the affected mucosa made it prone to mechanical damage and caused an episode of upper gastrointestinal bleeding. Tunneling endoscopic submucosal dissection proved to be an effective method of resecting such a lesion. Since the remaining mucosa seemed unaffected by the disease, we expect the resection to be curative.</w:t>
      </w:r>
    </w:p>
    <w:p w14:paraId="65A55209" w14:textId="5580CF7F" w:rsidR="00A77B3E" w:rsidRDefault="00A77B3E">
      <w:pPr>
        <w:spacing w:line="360" w:lineRule="auto"/>
        <w:jc w:val="both"/>
      </w:pPr>
    </w:p>
    <w:p w14:paraId="12490DBF" w14:textId="5DC38540" w:rsidR="00A77B3E" w:rsidRDefault="00361CB6">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AFA2177" w14:textId="77777777" w:rsidR="00361CB6" w:rsidRDefault="00000000" w:rsidP="00361CB6">
      <w:pPr>
        <w:spacing w:line="360" w:lineRule="auto"/>
        <w:jc w:val="both"/>
      </w:pPr>
      <w:r>
        <w:rPr>
          <w:rFonts w:ascii="Book Antiqua" w:eastAsia="Book Antiqua" w:hAnsi="Book Antiqua" w:cs="Book Antiqua"/>
          <w:color w:val="000000"/>
        </w:rPr>
        <w:t>Ménétrier’s disease is rare; only a few hundred cases have been reported worldwide. Characteristic features of the disease are gastrointestinal symptoms, enlarged gastric folds (usually in the whole body and fundus of the stomach) and protein-losing gastropathy, which manifests as hypoalbuminemia and peripheral edema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disease is associated with a higher risk of developing gastric adenocarcinoma</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18F4C797" w14:textId="79897FD6" w:rsidR="00A77B3E" w:rsidRDefault="00000000" w:rsidP="00361CB6">
      <w:pPr>
        <w:spacing w:line="360" w:lineRule="auto"/>
        <w:ind w:firstLineChars="100" w:firstLine="240"/>
        <w:jc w:val="both"/>
      </w:pPr>
      <w:r>
        <w:rPr>
          <w:rFonts w:ascii="Book Antiqua" w:eastAsia="Book Antiqua" w:hAnsi="Book Antiqua" w:cs="Book Antiqua"/>
          <w:color w:val="000000"/>
        </w:rPr>
        <w:t>We report an infrequent case of localized Ménétrier’s disease elevated by an underlying submucosal lipoma, making it look like a polypoid mass. The mass was successfully removed with tunneling endoscopic submucosal dissection (ESD).</w:t>
      </w:r>
    </w:p>
    <w:p w14:paraId="01999A2A" w14:textId="77777777" w:rsidR="00A77B3E" w:rsidRDefault="00A77B3E">
      <w:pPr>
        <w:spacing w:line="360" w:lineRule="auto"/>
        <w:ind w:firstLine="720"/>
        <w:jc w:val="both"/>
      </w:pPr>
    </w:p>
    <w:p w14:paraId="7CBBFA79"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5284DD28" w14:textId="77777777" w:rsidR="00A77B3E" w:rsidRDefault="00000000">
      <w:pPr>
        <w:spacing w:line="360" w:lineRule="auto"/>
        <w:jc w:val="both"/>
      </w:pPr>
      <w:r>
        <w:rPr>
          <w:rFonts w:ascii="Book Antiqua" w:eastAsia="Book Antiqua" w:hAnsi="Book Antiqua" w:cs="Book Antiqua"/>
          <w:b/>
          <w:i/>
          <w:color w:val="000000"/>
        </w:rPr>
        <w:t>Chief complaints</w:t>
      </w:r>
    </w:p>
    <w:p w14:paraId="4E252DCF" w14:textId="77777777" w:rsidR="00A77B3E" w:rsidRDefault="00000000">
      <w:pPr>
        <w:spacing w:line="360" w:lineRule="auto"/>
        <w:jc w:val="both"/>
      </w:pPr>
      <w:r>
        <w:rPr>
          <w:rFonts w:ascii="Book Antiqua" w:eastAsia="Book Antiqua" w:hAnsi="Book Antiqua" w:cs="Book Antiqua"/>
          <w:color w:val="000000"/>
        </w:rPr>
        <w:t>A 76-year-old White male was referred for esophagogastroduodenoscopy (EGD) after an episode of upper gastrointestinal bleeding.</w:t>
      </w:r>
    </w:p>
    <w:p w14:paraId="035B35B8" w14:textId="77777777" w:rsidR="00A77B3E" w:rsidRDefault="00A77B3E">
      <w:pPr>
        <w:spacing w:line="360" w:lineRule="auto"/>
        <w:jc w:val="both"/>
      </w:pPr>
    </w:p>
    <w:p w14:paraId="5D288D50"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7C21C1D" w14:textId="77777777" w:rsidR="00A77B3E" w:rsidRDefault="00000000">
      <w:pPr>
        <w:spacing w:line="360" w:lineRule="auto"/>
        <w:jc w:val="both"/>
      </w:pPr>
      <w:r>
        <w:rPr>
          <w:rFonts w:ascii="Book Antiqua" w:eastAsia="Book Antiqua" w:hAnsi="Book Antiqua" w:cs="Book Antiqua"/>
          <w:color w:val="000000"/>
        </w:rPr>
        <w:t>The patient reported recurrent epigastric pain, transient fatigue and melena.</w:t>
      </w:r>
    </w:p>
    <w:p w14:paraId="6CBD6D82" w14:textId="77777777" w:rsidR="00A77B3E" w:rsidRDefault="00A77B3E">
      <w:pPr>
        <w:spacing w:line="360" w:lineRule="auto"/>
        <w:jc w:val="both"/>
      </w:pPr>
    </w:p>
    <w:p w14:paraId="3A1F0080" w14:textId="77777777" w:rsidR="00A77B3E" w:rsidRDefault="00000000">
      <w:pPr>
        <w:spacing w:line="360" w:lineRule="auto"/>
        <w:jc w:val="both"/>
      </w:pPr>
      <w:r>
        <w:rPr>
          <w:rFonts w:ascii="Book Antiqua" w:eastAsia="Book Antiqua" w:hAnsi="Book Antiqua" w:cs="Book Antiqua"/>
          <w:b/>
          <w:i/>
          <w:color w:val="000000"/>
        </w:rPr>
        <w:t>History of past illness</w:t>
      </w:r>
    </w:p>
    <w:p w14:paraId="5262F41C" w14:textId="77777777" w:rsidR="00A77B3E" w:rsidRDefault="00000000">
      <w:pPr>
        <w:spacing w:line="360" w:lineRule="auto"/>
        <w:jc w:val="both"/>
      </w:pPr>
      <w:r>
        <w:rPr>
          <w:rFonts w:ascii="Book Antiqua" w:eastAsia="Book Antiqua" w:hAnsi="Book Antiqua" w:cs="Book Antiqua"/>
          <w:color w:val="000000"/>
        </w:rPr>
        <w:t>The patient’s comorbidities were type 2 diabetes mellitus, arterial hypertension and benign prostatic hyperplasia. Past medical history was relevant for coronavirus disease 2019, ischemic stroke, appendectomy, viscerocranial abscess and surgically-treated cataract.</w:t>
      </w:r>
    </w:p>
    <w:p w14:paraId="393BA632" w14:textId="77777777" w:rsidR="00A77B3E" w:rsidRDefault="00A77B3E">
      <w:pPr>
        <w:spacing w:line="360" w:lineRule="auto"/>
        <w:jc w:val="both"/>
      </w:pPr>
    </w:p>
    <w:p w14:paraId="4063A5B4"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49D8C68D" w14:textId="77777777" w:rsidR="00A77B3E" w:rsidRDefault="00000000">
      <w:pPr>
        <w:spacing w:line="360" w:lineRule="auto"/>
        <w:jc w:val="both"/>
      </w:pPr>
      <w:r>
        <w:rPr>
          <w:rFonts w:ascii="Book Antiqua" w:eastAsia="Book Antiqua" w:hAnsi="Book Antiqua" w:cs="Book Antiqua"/>
          <w:color w:val="000000"/>
        </w:rPr>
        <w:t>The patient had a history of smoking in the past (30 pack-years). However, he had not smoked for 4 years and denied drinking alcohol. There was no relevant family history.</w:t>
      </w:r>
    </w:p>
    <w:p w14:paraId="1C45F919" w14:textId="77777777" w:rsidR="00A77B3E" w:rsidRDefault="00A77B3E">
      <w:pPr>
        <w:spacing w:line="360" w:lineRule="auto"/>
        <w:jc w:val="both"/>
      </w:pPr>
    </w:p>
    <w:p w14:paraId="437200CF" w14:textId="77777777" w:rsidR="00A77B3E" w:rsidRDefault="00000000">
      <w:pPr>
        <w:spacing w:line="360" w:lineRule="auto"/>
        <w:jc w:val="both"/>
      </w:pPr>
      <w:r>
        <w:rPr>
          <w:rFonts w:ascii="Book Antiqua" w:eastAsia="Book Antiqua" w:hAnsi="Book Antiqua" w:cs="Book Antiqua"/>
          <w:b/>
          <w:i/>
          <w:color w:val="000000"/>
        </w:rPr>
        <w:t>Physical examination</w:t>
      </w:r>
    </w:p>
    <w:p w14:paraId="0795DF0B" w14:textId="77777777" w:rsidR="00A77B3E" w:rsidRDefault="00000000">
      <w:pPr>
        <w:spacing w:line="360" w:lineRule="auto"/>
        <w:jc w:val="both"/>
      </w:pPr>
      <w:r>
        <w:rPr>
          <w:rFonts w:ascii="Book Antiqua" w:eastAsia="Book Antiqua" w:hAnsi="Book Antiqua" w:cs="Book Antiqua"/>
          <w:color w:val="000000"/>
        </w:rPr>
        <w:lastRenderedPageBreak/>
        <w:t>The patient’s height was 183 cm, weight was 80 kg, and body mass index was 23.89. Vitals upon admission were: heart rate, 50 beats/min; blood pressure, 118/48 mmHg; respiratory rate, 14/min; and body temperature, 36 °C. There was no abdominal tenderness and no peripheral edema.</w:t>
      </w:r>
    </w:p>
    <w:p w14:paraId="1B9A544F" w14:textId="77777777" w:rsidR="00A77B3E" w:rsidRDefault="00A77B3E">
      <w:pPr>
        <w:spacing w:line="360" w:lineRule="auto"/>
        <w:jc w:val="both"/>
      </w:pPr>
    </w:p>
    <w:p w14:paraId="0AA10DBB" w14:textId="77777777" w:rsidR="00A77B3E" w:rsidRDefault="00000000">
      <w:pPr>
        <w:spacing w:line="360" w:lineRule="auto"/>
        <w:jc w:val="both"/>
      </w:pPr>
      <w:r>
        <w:rPr>
          <w:rFonts w:ascii="Book Antiqua" w:eastAsia="Book Antiqua" w:hAnsi="Book Antiqua" w:cs="Book Antiqua"/>
          <w:b/>
          <w:i/>
          <w:color w:val="000000"/>
        </w:rPr>
        <w:t>Laboratory examinations</w:t>
      </w:r>
    </w:p>
    <w:p w14:paraId="5F9866CB" w14:textId="77777777" w:rsidR="00A77B3E" w:rsidRDefault="00000000">
      <w:pPr>
        <w:spacing w:line="360" w:lineRule="auto"/>
        <w:jc w:val="both"/>
      </w:pPr>
      <w:r>
        <w:rPr>
          <w:rFonts w:ascii="Book Antiqua" w:eastAsia="Book Antiqua" w:hAnsi="Book Antiqua" w:cs="Book Antiqua"/>
          <w:color w:val="000000"/>
        </w:rPr>
        <w:t>Laboratory results were not relevant. Serum protein or albumin levels were not tested because Ménétrier’s disease was not suspected at the time.</w:t>
      </w:r>
    </w:p>
    <w:p w14:paraId="74AC6BDC" w14:textId="77777777" w:rsidR="00A77B3E" w:rsidRDefault="00A77B3E">
      <w:pPr>
        <w:spacing w:line="360" w:lineRule="auto"/>
        <w:jc w:val="both"/>
      </w:pPr>
    </w:p>
    <w:p w14:paraId="518531D6" w14:textId="2370720B" w:rsidR="00716885" w:rsidRPr="00361CB6" w:rsidRDefault="00716885" w:rsidP="00716885">
      <w:pPr>
        <w:spacing w:line="360" w:lineRule="auto"/>
        <w:jc w:val="both"/>
      </w:pPr>
      <w:r w:rsidRPr="00361CB6">
        <w:rPr>
          <w:rFonts w:ascii="Book Antiqua" w:eastAsia="Book Antiqua" w:hAnsi="Book Antiqua" w:cs="Book Antiqua"/>
          <w:b/>
          <w:bCs/>
          <w:i/>
          <w:iCs/>
          <w:color w:val="000000"/>
        </w:rPr>
        <w:t xml:space="preserve">Endoscopic </w:t>
      </w:r>
      <w:r w:rsidR="001128D9" w:rsidRPr="00361CB6">
        <w:rPr>
          <w:rFonts w:ascii="Book Antiqua" w:eastAsia="Book Antiqua" w:hAnsi="Book Antiqua" w:cs="Book Antiqua"/>
          <w:b/>
          <w:bCs/>
          <w:i/>
          <w:iCs/>
          <w:color w:val="000000"/>
        </w:rPr>
        <w:t>examination</w:t>
      </w:r>
    </w:p>
    <w:p w14:paraId="7DD5CC6F" w14:textId="77777777" w:rsidR="00716885" w:rsidRDefault="00716885" w:rsidP="00716885">
      <w:pPr>
        <w:spacing w:line="360" w:lineRule="auto"/>
        <w:jc w:val="both"/>
      </w:pPr>
      <w:r>
        <w:rPr>
          <w:rFonts w:ascii="Book Antiqua" w:eastAsia="Book Antiqua" w:hAnsi="Book Antiqua" w:cs="Book Antiqua"/>
          <w:color w:val="000000"/>
        </w:rPr>
        <w:t>EGD revealed a polypoid mass (4 cm × 1 cm) with enlarged mucosal folds in the body of the stomach between the lesser curvature and posterior wall (Figure 1A). The mass was cohesive and somewhat stiff in contact with the forceps. A small ulcer at the distal end of the mass was identified as the source of the bleeding (Figure 1B). Standard and deep biopsy were taken from the distal end of the mass, and both were negative for neoplasia. Except for the mass, the mucosa was normal, and gastric folds were not enlarged.</w:t>
      </w:r>
    </w:p>
    <w:p w14:paraId="32F717F7" w14:textId="77777777" w:rsidR="00716885" w:rsidRDefault="00716885">
      <w:pPr>
        <w:spacing w:line="360" w:lineRule="auto"/>
        <w:jc w:val="both"/>
        <w:rPr>
          <w:rFonts w:ascii="Book Antiqua" w:eastAsia="Book Antiqua" w:hAnsi="Book Antiqua" w:cs="Book Antiqua"/>
          <w:b/>
          <w:i/>
          <w:color w:val="000000"/>
        </w:rPr>
      </w:pPr>
    </w:p>
    <w:p w14:paraId="15B2C944" w14:textId="0E10BB88" w:rsidR="00A77B3E" w:rsidRDefault="00000000">
      <w:pPr>
        <w:spacing w:line="360" w:lineRule="auto"/>
        <w:jc w:val="both"/>
      </w:pPr>
      <w:r>
        <w:rPr>
          <w:rFonts w:ascii="Book Antiqua" w:eastAsia="Book Antiqua" w:hAnsi="Book Antiqua" w:cs="Book Antiqua"/>
          <w:b/>
          <w:i/>
          <w:color w:val="000000"/>
        </w:rPr>
        <w:t>Imaging examinations</w:t>
      </w:r>
    </w:p>
    <w:p w14:paraId="06DFF060" w14:textId="77777777" w:rsidR="00A77B3E" w:rsidRDefault="00000000">
      <w:pPr>
        <w:spacing w:line="360" w:lineRule="auto"/>
        <w:jc w:val="both"/>
      </w:pPr>
      <w:r>
        <w:rPr>
          <w:rFonts w:ascii="Book Antiqua" w:eastAsia="Book Antiqua" w:hAnsi="Book Antiqua" w:cs="Book Antiqua"/>
          <w:color w:val="000000"/>
        </w:rPr>
        <w:t>Computed tomography of the abdomen with contrast enhancement showed a submucosal lipoma (49 mm × 19 mm) in the body of the stomach, elevating the mucosa (Figure 2). The stomach was otherwise normal. There was no visible infiltration of surrounding tissue and no enlarged lymph nodes.</w:t>
      </w:r>
    </w:p>
    <w:p w14:paraId="420F4A53" w14:textId="77777777" w:rsidR="00EA0EFB" w:rsidRDefault="00EA0EFB" w:rsidP="00EA0EFB">
      <w:pPr>
        <w:spacing w:line="360" w:lineRule="auto"/>
        <w:jc w:val="both"/>
      </w:pPr>
    </w:p>
    <w:p w14:paraId="5FA339C7" w14:textId="77777777" w:rsidR="00EA0EFB" w:rsidRDefault="00EA0EFB" w:rsidP="00EA0EFB">
      <w:pPr>
        <w:spacing w:line="360" w:lineRule="auto"/>
        <w:jc w:val="both"/>
      </w:pPr>
      <w:r>
        <w:rPr>
          <w:rFonts w:ascii="Book Antiqua" w:eastAsia="Book Antiqua" w:hAnsi="Book Antiqua" w:cs="Book Antiqua"/>
          <w:b/>
          <w:caps/>
          <w:color w:val="000000"/>
          <w:u w:val="single"/>
        </w:rPr>
        <w:t>TREATMENT</w:t>
      </w:r>
    </w:p>
    <w:p w14:paraId="13EC6927" w14:textId="7ACB9FAB" w:rsidR="00EA0EFB" w:rsidRDefault="00EA0EFB" w:rsidP="00EA0EFB">
      <w:pPr>
        <w:spacing w:line="360" w:lineRule="auto"/>
        <w:jc w:val="both"/>
      </w:pPr>
      <w:r>
        <w:rPr>
          <w:rFonts w:ascii="Book Antiqua" w:eastAsia="Book Antiqua" w:hAnsi="Book Antiqua" w:cs="Book Antiqua"/>
          <w:color w:val="000000"/>
        </w:rPr>
        <w:t xml:space="preserve">The mass was removed </w:t>
      </w:r>
      <w:r w:rsidRPr="002A2E9D">
        <w:rPr>
          <w:rFonts w:ascii="Book Antiqua" w:eastAsia="Book Antiqua" w:hAnsi="Book Antiqua" w:cs="Book Antiqua"/>
          <w:i/>
          <w:iCs/>
          <w:color w:val="000000"/>
        </w:rPr>
        <w:t>en bloc</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tunneling ESD (Figure </w:t>
      </w:r>
      <w:r w:rsidR="00657CF0">
        <w:rPr>
          <w:rFonts w:ascii="Book Antiqua" w:eastAsia="Book Antiqua" w:hAnsi="Book Antiqua" w:cs="Book Antiqua"/>
          <w:color w:val="000000"/>
        </w:rPr>
        <w:t>3</w:t>
      </w:r>
      <w:r>
        <w:rPr>
          <w:rFonts w:ascii="Book Antiqua" w:eastAsia="Book Antiqua" w:hAnsi="Book Antiqua" w:cs="Book Antiqua"/>
          <w:color w:val="000000"/>
        </w:rPr>
        <w:t>).</w:t>
      </w:r>
    </w:p>
    <w:p w14:paraId="2863CBE0" w14:textId="77777777" w:rsidR="00EA0EFB" w:rsidRDefault="00EA0EFB">
      <w:pPr>
        <w:spacing w:line="360" w:lineRule="auto"/>
        <w:jc w:val="both"/>
        <w:rPr>
          <w:rFonts w:ascii="Book Antiqua" w:eastAsia="Book Antiqua" w:hAnsi="Book Antiqua" w:cs="Book Antiqua"/>
          <w:b/>
          <w:caps/>
          <w:color w:val="000000"/>
          <w:u w:val="single"/>
        </w:rPr>
      </w:pPr>
    </w:p>
    <w:p w14:paraId="7B81B3AE" w14:textId="6EC22073" w:rsidR="00A77B3E" w:rsidRDefault="00000000">
      <w:pPr>
        <w:spacing w:line="360" w:lineRule="auto"/>
        <w:jc w:val="both"/>
      </w:pPr>
      <w:r>
        <w:rPr>
          <w:rFonts w:ascii="Book Antiqua" w:eastAsia="Book Antiqua" w:hAnsi="Book Antiqua" w:cs="Book Antiqua"/>
          <w:b/>
          <w:caps/>
          <w:color w:val="000000"/>
          <w:u w:val="single"/>
        </w:rPr>
        <w:t>FINAL DIAGNOSIS</w:t>
      </w:r>
    </w:p>
    <w:p w14:paraId="39D71C70" w14:textId="46F0D02D" w:rsidR="00A77B3E" w:rsidRDefault="00000000">
      <w:pPr>
        <w:spacing w:line="360" w:lineRule="auto"/>
        <w:jc w:val="both"/>
      </w:pPr>
      <w:r>
        <w:rPr>
          <w:rFonts w:ascii="Book Antiqua" w:eastAsia="Book Antiqua" w:hAnsi="Book Antiqua" w:cs="Book Antiqua"/>
          <w:color w:val="000000"/>
        </w:rPr>
        <w:lastRenderedPageBreak/>
        <w:t xml:space="preserve">The final diagnosis of Ménétrier’s disease and submucosal lipoma was determined by pathological examination of the resected specimen (Figure </w:t>
      </w:r>
      <w:r w:rsidR="00657CF0">
        <w:rPr>
          <w:rFonts w:ascii="Book Antiqua" w:eastAsia="Book Antiqua" w:hAnsi="Book Antiqua" w:cs="Book Antiqua"/>
          <w:color w:val="000000"/>
        </w:rPr>
        <w:t>4</w:t>
      </w:r>
      <w:r>
        <w:rPr>
          <w:rFonts w:ascii="Book Antiqua" w:eastAsia="Book Antiqua" w:hAnsi="Book Antiqua" w:cs="Book Antiqua"/>
          <w:color w:val="000000"/>
        </w:rPr>
        <w:t xml:space="preserve">). Upon macroscopic examination, the gastric mucosa was found to be focally thickened (up to 1.5 cm in width) with tortuous folds and elevation of the surface, which gave the mucosa cobblestone or cerebriform appearance (Figure </w:t>
      </w:r>
      <w:r w:rsidR="00657CF0">
        <w:rPr>
          <w:rFonts w:ascii="Book Antiqua" w:eastAsia="Book Antiqua" w:hAnsi="Book Antiqua" w:cs="Book Antiqua"/>
          <w:color w:val="000000"/>
        </w:rPr>
        <w:t xml:space="preserve">5 </w:t>
      </w:r>
      <w:r>
        <w:rPr>
          <w:rFonts w:ascii="Book Antiqua" w:eastAsia="Book Antiqua" w:hAnsi="Book Antiqua" w:cs="Book Antiqua"/>
          <w:color w:val="000000"/>
        </w:rPr>
        <w:t xml:space="preserve">and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6</w:t>
      </w:r>
      <w:r>
        <w:rPr>
          <w:rFonts w:ascii="Book Antiqua" w:eastAsia="Book Antiqua" w:hAnsi="Book Antiqua" w:cs="Book Antiqua"/>
          <w:color w:val="000000"/>
        </w:rPr>
        <w:t xml:space="preserve">). Histologically, the dominant feature was foveolar hyperplasia of gastric glands (Figure </w:t>
      </w:r>
      <w:r w:rsidR="00657CF0">
        <w:rPr>
          <w:rFonts w:ascii="Book Antiqua" w:eastAsia="Book Antiqua" w:hAnsi="Book Antiqua" w:cs="Book Antiqua"/>
          <w:color w:val="000000"/>
        </w:rPr>
        <w:t>7</w:t>
      </w:r>
      <w:r>
        <w:rPr>
          <w:rFonts w:ascii="Book Antiqua" w:eastAsia="Book Antiqua" w:hAnsi="Book Antiqua" w:cs="Book Antiqua"/>
          <w:color w:val="000000"/>
        </w:rPr>
        <w:t>). The surface and glandular mucous cells were elongated, cystically dilated and tortuous, which can be described as a “corkscrew-like appearance”</w:t>
      </w:r>
      <w:r w:rsidR="00F019CF">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657CF0">
        <w:rPr>
          <w:rFonts w:ascii="Book Antiqua" w:eastAsia="Book Antiqua" w:hAnsi="Book Antiqua" w:cs="Book Antiqua"/>
          <w:color w:val="000000"/>
        </w:rPr>
        <w:t>5B</w:t>
      </w:r>
      <w:r>
        <w:rPr>
          <w:rFonts w:ascii="Book Antiqua" w:eastAsia="Book Antiqua" w:hAnsi="Book Antiqua" w:cs="Book Antiqua"/>
          <w:color w:val="000000"/>
        </w:rPr>
        <w:t xml:space="preserve">,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6A</w:t>
      </w:r>
      <w:r>
        <w:rPr>
          <w:rFonts w:ascii="Book Antiqua" w:eastAsia="Book Antiqua" w:hAnsi="Book Antiqua" w:cs="Book Antiqua"/>
          <w:color w:val="000000"/>
        </w:rPr>
        <w:t xml:space="preserve">, </w:t>
      </w:r>
      <w:r w:rsidR="001128D9">
        <w:rPr>
          <w:rFonts w:ascii="Book Antiqua" w:eastAsia="Book Antiqua" w:hAnsi="Book Antiqua" w:cs="Book Antiqua"/>
          <w:color w:val="000000"/>
        </w:rPr>
        <w:t xml:space="preserve">and Figure </w:t>
      </w:r>
      <w:r w:rsidR="00657CF0">
        <w:rPr>
          <w:rFonts w:ascii="Book Antiqua" w:eastAsia="Book Antiqua" w:hAnsi="Book Antiqua" w:cs="Book Antiqua"/>
          <w:color w:val="000000"/>
        </w:rPr>
        <w:t>8A</w:t>
      </w:r>
      <w:r>
        <w:rPr>
          <w:rFonts w:ascii="Book Antiqua" w:eastAsia="Book Antiqua" w:hAnsi="Book Antiqua" w:cs="Book Antiqua"/>
          <w:color w:val="000000"/>
        </w:rPr>
        <w:t xml:space="preserve">). Additionally, cystic dilation of the deep glands was observed (Figure </w:t>
      </w:r>
      <w:r w:rsidR="00657CF0">
        <w:rPr>
          <w:rFonts w:ascii="Book Antiqua" w:eastAsia="Book Antiqua" w:hAnsi="Book Antiqua" w:cs="Book Antiqua"/>
          <w:color w:val="000000"/>
        </w:rPr>
        <w:t>5A</w:t>
      </w:r>
      <w:r>
        <w:rPr>
          <w:rFonts w:ascii="Book Antiqua" w:eastAsia="Book Antiqua" w:hAnsi="Book Antiqua" w:cs="Book Antiqua"/>
          <w:color w:val="000000"/>
        </w:rPr>
        <w:t xml:space="preserve">). Foveolar hyperplasia was accompanied by oxyntic atrophy with the loss of chief and parietal cells, especially in the area adjacent to cystically dilated deep glands. Muscularis mucosae was focally thickened and branched out to the lamina propria with vertical strands of smooth muscles (Figure </w:t>
      </w:r>
      <w:r w:rsidR="00657CF0">
        <w:rPr>
          <w:rFonts w:ascii="Book Antiqua" w:eastAsia="Book Antiqua" w:hAnsi="Book Antiqua" w:cs="Book Antiqua"/>
          <w:color w:val="000000"/>
        </w:rPr>
        <w:t>6B</w:t>
      </w:r>
      <w:r>
        <w:rPr>
          <w:rFonts w:ascii="Book Antiqua" w:eastAsia="Book Antiqua" w:hAnsi="Book Antiqua" w:cs="Book Antiqua"/>
          <w:color w:val="000000"/>
        </w:rPr>
        <w:t xml:space="preserve">). Among microscopic changes of the mucosa, predominant chronic inflammatory infiltrate of low intensity with some scattered eosinophils was present in the lamina propria (Figure </w:t>
      </w:r>
      <w:r w:rsidR="00657CF0">
        <w:rPr>
          <w:rFonts w:ascii="Book Antiqua" w:eastAsia="Book Antiqua" w:hAnsi="Book Antiqua" w:cs="Book Antiqua"/>
          <w:color w:val="000000"/>
        </w:rPr>
        <w:t>6C</w:t>
      </w:r>
      <w:r>
        <w:rPr>
          <w:rFonts w:ascii="Book Antiqua" w:eastAsia="Book Antiqua" w:hAnsi="Book Antiqua" w:cs="Book Antiqua"/>
          <w:color w:val="000000"/>
        </w:rPr>
        <w:t xml:space="preserve">). Moreover, a lipoma was identified in the submucosal layer (Figure </w:t>
      </w:r>
      <w:r w:rsidR="00657CF0">
        <w:rPr>
          <w:rFonts w:ascii="Book Antiqua" w:eastAsia="Book Antiqua" w:hAnsi="Book Antiqua" w:cs="Book Antiqua"/>
          <w:color w:val="000000"/>
        </w:rPr>
        <w:t xml:space="preserve">6 </w:t>
      </w:r>
      <w:r>
        <w:rPr>
          <w:rFonts w:ascii="Book Antiqua" w:eastAsia="Book Antiqua" w:hAnsi="Book Antiqua" w:cs="Book Antiqua"/>
          <w:color w:val="000000"/>
        </w:rPr>
        <w:t xml:space="preserve">and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8</w:t>
      </w:r>
      <w:r>
        <w:rPr>
          <w:rFonts w:ascii="Book Antiqua" w:eastAsia="Book Antiqua" w:hAnsi="Book Antiqua" w:cs="Book Antiqua"/>
          <w:color w:val="000000"/>
        </w:rPr>
        <w:t xml:space="preserve">). This benign lesion was located within the submucosal border without breaching the muscularis mucosae. It simultaneously lifted the mucosal layer, described as an elevation of the surface during the macroscopic examination. The immunohistochemical tests showed no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infection.</w:t>
      </w:r>
    </w:p>
    <w:p w14:paraId="1060DCAF" w14:textId="77777777" w:rsidR="00A77B3E" w:rsidRDefault="00A77B3E">
      <w:pPr>
        <w:spacing w:line="360" w:lineRule="auto"/>
        <w:jc w:val="both"/>
      </w:pPr>
    </w:p>
    <w:p w14:paraId="6EFEDE4B"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2A2D058" w14:textId="77777777" w:rsidR="00A77B3E" w:rsidRDefault="00000000">
      <w:pPr>
        <w:spacing w:line="360" w:lineRule="auto"/>
        <w:jc w:val="both"/>
      </w:pPr>
      <w:r>
        <w:rPr>
          <w:rFonts w:ascii="Book Antiqua" w:eastAsia="Book Antiqua" w:hAnsi="Book Antiqua" w:cs="Book Antiqua"/>
          <w:color w:val="000000"/>
        </w:rPr>
        <w:t>The patient’s symptoms subsided after the intervention, and he was scheduled for follow-up EGD.</w:t>
      </w:r>
    </w:p>
    <w:p w14:paraId="7B1F856D" w14:textId="77777777" w:rsidR="00A77B3E" w:rsidRDefault="00A77B3E">
      <w:pPr>
        <w:spacing w:line="360" w:lineRule="auto"/>
        <w:jc w:val="both"/>
      </w:pPr>
    </w:p>
    <w:p w14:paraId="034E8F0D"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4E481C2" w14:textId="77777777" w:rsidR="0044733A" w:rsidRDefault="00000000" w:rsidP="0044733A">
      <w:pPr>
        <w:spacing w:line="360" w:lineRule="auto"/>
        <w:jc w:val="both"/>
      </w:pPr>
      <w:r>
        <w:rPr>
          <w:rFonts w:ascii="Book Antiqua" w:eastAsia="Book Antiqua" w:hAnsi="Book Antiqua" w:cs="Book Antiqua"/>
          <w:color w:val="000000"/>
        </w:rPr>
        <w:t>Clinical symptoms of Ménétrier’s disease are nonspecific and include abdominal pain, nausea, vomiting, asthenia, anorexia, weight loss and peripheral edema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Among these, our patient presented only with recurrent abdominal pain. He was older than </w:t>
      </w:r>
      <w:r>
        <w:rPr>
          <w:rFonts w:ascii="Book Antiqua" w:eastAsia="Book Antiqua" w:hAnsi="Book Antiqua" w:cs="Book Antiqua"/>
          <w:color w:val="000000"/>
        </w:rPr>
        <w:lastRenderedPageBreak/>
        <w:t>most patients at the time of diagnosis since the disease is most often diagnosed between the age of 30 and 60 years. It is diagnosed more frequently in males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BA3761F"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The etiology of Ménétrier’s disease in most cases is unknown. It is generally considered to be acquired, but a rare familial form has been reported in siblings. Some cases have been linked to </w:t>
      </w:r>
      <w:r>
        <w:rPr>
          <w:rFonts w:ascii="Book Antiqua" w:eastAsia="Book Antiqua" w:hAnsi="Book Antiqua" w:cs="Book Antiqua"/>
          <w:i/>
          <w:iCs/>
          <w:color w:val="000000"/>
        </w:rPr>
        <w:t>H.</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with regression after treatment of the infection. In our patient, the immunohistochemical test for</w:t>
      </w:r>
      <w:r>
        <w:rPr>
          <w:rFonts w:ascii="Book Antiqua" w:eastAsia="Book Antiqua" w:hAnsi="Book Antiqua" w:cs="Book Antiqua"/>
          <w:i/>
          <w:iCs/>
          <w:color w:val="000000"/>
        </w:rPr>
        <w:t xml:space="preserve"> H.</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was negative. There is also a subtype occurring in children, associated with cytomegalovirus infection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78F5455B" w14:textId="6DF071E0" w:rsidR="0044733A" w:rsidRDefault="00000000" w:rsidP="0044733A">
      <w:pPr>
        <w:spacing w:line="360" w:lineRule="auto"/>
        <w:ind w:firstLineChars="100" w:firstLine="240"/>
        <w:jc w:val="both"/>
      </w:pPr>
      <w:r>
        <w:rPr>
          <w:rFonts w:ascii="Book Antiqua" w:eastAsia="Book Antiqua" w:hAnsi="Book Antiqua" w:cs="Book Antiqua"/>
          <w:color w:val="000000"/>
        </w:rPr>
        <w:t>The definite pathophysiology of Ménétrier’s disease is still being investigated. One of the theories is linked to increased production of transforming growth factor-alpha (TGF-α) and as a consequence increased signaling of the epidermal growth factor receptor (EGFR). One consequence of TGF-α overexpression is cellular proliferation, which may trigger neoplastic transformation. Studies on mice have shown that TGF-α overexpression in the stomach mucosa showed changes characteristic of Ménétrier’s disease</w:t>
      </w:r>
      <w:r>
        <w:rPr>
          <w:rFonts w:ascii="Book Antiqua" w:eastAsia="Book Antiqua" w:hAnsi="Book Antiqua" w:cs="Book Antiqua"/>
          <w:color w:val="000000"/>
          <w:szCs w:val="30"/>
          <w:vertAlign w:val="superscript"/>
        </w:rPr>
        <w:t>[4</w:t>
      </w:r>
      <w:r w:rsidR="0044733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Furthermore, studies on Ménétrier’s disease patients demonstrated a similar mechanism</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Increased overexpression of TGF-α causes increased signaling of EGFR, a transmembrane receptor with tyrosine kinase activity that further triggers an intracellular signaling cascade, expanding the cell’s proliferation. Immunohistochemical reactions using TGF-α and EGFR are not routinely performed during the diagnostic process as they are not a requirement for the diagnosis of Ménétrier’s disease. However, in the future, it will be worth focusing on the study of the TGF-α and EGFR pathways in order to understand its pathophysiology and consequences.</w:t>
      </w:r>
    </w:p>
    <w:p w14:paraId="332F1703"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Initially, Ménétrier’s disease was not suspected in our patient. His symptoms (epigastric pain, fatigue and melena) were not typical for this disease. Gastroscopic and imaging results did not indicate Ménétrier’s disease either. Gastric folds are usually enlarged in the whole body and fundus of the stomach, with antrum spared, although a localized form of the disease has been reported</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In this case, gastric folds were enlarged only on the surface of the mass in the body of the stomach. Biopsy of the affected mucosa usually confirms the diagnosis of Ménétrier’s disease, but in our case it </w:t>
      </w:r>
      <w:r>
        <w:rPr>
          <w:rFonts w:ascii="Book Antiqua" w:eastAsia="Book Antiqua" w:hAnsi="Book Antiqua" w:cs="Book Antiqua"/>
          <w:color w:val="000000"/>
        </w:rPr>
        <w:lastRenderedPageBreak/>
        <w:t>did not show any significant changes in the mucosa. Nevertheless, it helped differentiate the origin of the mass.</w:t>
      </w:r>
    </w:p>
    <w:p w14:paraId="4346B405"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Differential diagnosis of Ménétrier’s disease involves a broad spectrum of conditions and requires analysis of clinical symptoms, gastroscopy, imaging and histological results. Ménétrier’s disease should be differentiated from hypertrophic lymphocytic gastritis, hypertrophic hypersecretory gastropathy, Zollinger-Ellison syndrome, hyperplastic or hamartomatous polyps, gastric carcinoma, lymphoma and amyloidosis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E3C5D26"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Upper gastrointestinal bleeding has been reported as a rare manifestation of Ménétrier’s disease. The bleeding may present as hematemesis or, like in this case, as melena</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One patient developed deep vein thrombosis and received anticoagulation therapy, which led to gastrointestinal bleeding</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Iron deficiency anemia in patients with Ménétrier’s disease could be a sign of occult bleeding, but iron malabsorption should also be considered</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10D2432C"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Hypoalbuminemia is present in the majority of patients with Ménétrier’s disease (85%), and in some cases causes peripheral edema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Ménétrier’s disease should be considered in differential diagnosis of protein-losing gastropathy/enteropathy, and certain interventions may be necessary to normalize albumin level, such as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proton pump inhibitors, H2-blockers, anticholinergic drugs, corticosteroids or octreotide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this case, albumin level was not obtained during the diagnostic process or preoperative laboratory evaluation. It should be tested if Ménétrier’s disease is suspected or the patient presents with peripheral edema.</w:t>
      </w:r>
    </w:p>
    <w:p w14:paraId="07F12F0F"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Treatment of Ménétrier’s disease usually includes a high-protein diet and supportive medication, but severe cases may require total gastrectomy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Partial gastrectomy has also been performed in selected patients</w:t>
      </w:r>
      <w:r>
        <w:rPr>
          <w:rFonts w:ascii="Book Antiqua" w:eastAsia="Book Antiqua" w:hAnsi="Book Antiqua" w:cs="Book Antiqua"/>
          <w:color w:val="000000"/>
          <w:szCs w:val="30"/>
          <w:vertAlign w:val="superscript"/>
        </w:rPr>
        <w:t>[9,16,17]</w:t>
      </w:r>
      <w:r>
        <w:rPr>
          <w:rFonts w:ascii="Book Antiqua" w:eastAsia="Book Antiqua" w:hAnsi="Book Antiqua" w:cs="Book Antiqua"/>
          <w:color w:val="000000"/>
        </w:rPr>
        <w:t>. The discovery of the role of TGF-α and EGFR overexpression in the pathogenesis of Ménétrier’s disease resulted in experimental treatment with monoclonal antibodies, such as cetuximab</w:t>
      </w:r>
      <w:r>
        <w:rPr>
          <w:rFonts w:ascii="Book Antiqua" w:eastAsia="Book Antiqua" w:hAnsi="Book Antiqua" w:cs="Book Antiqua"/>
          <w:color w:val="000000"/>
          <w:szCs w:val="30"/>
          <w:vertAlign w:val="superscript"/>
        </w:rPr>
        <w:t>[18</w:t>
      </w:r>
      <w:r w:rsidR="0044733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To our knowledge, localized Ménétrier’s disease with an underlying submucosal lipoma has </w:t>
      </w:r>
      <w:r>
        <w:rPr>
          <w:rFonts w:ascii="Book Antiqua" w:eastAsia="Book Antiqua" w:hAnsi="Book Antiqua" w:cs="Book Antiqua"/>
          <w:color w:val="000000"/>
        </w:rPr>
        <w:lastRenderedPageBreak/>
        <w:t>never been reported. Tunneling ESD was used for the first time to remove localized Ménétrier’s disease.</w:t>
      </w:r>
    </w:p>
    <w:p w14:paraId="46A3473D" w14:textId="4ACF25FD" w:rsidR="00A77B3E" w:rsidRDefault="00000000" w:rsidP="0044733A">
      <w:pPr>
        <w:spacing w:line="360" w:lineRule="auto"/>
        <w:ind w:firstLineChars="100" w:firstLine="240"/>
        <w:jc w:val="both"/>
      </w:pPr>
      <w:r>
        <w:rPr>
          <w:rFonts w:ascii="Book Antiqua" w:eastAsia="Book Antiqua" w:hAnsi="Book Antiqua" w:cs="Book Antiqua"/>
          <w:color w:val="000000"/>
        </w:rPr>
        <w:t xml:space="preserve">Increased risk of gastric cancer in patients with Ménétrier’s disease contributes to increased mortality in this group. In a case-control study of 76 patients by Almazar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8.9% of patients with Ménétrier’s disease developed gastric cancer 10 years after the diagnosis </w:t>
      </w:r>
      <w:r>
        <w:rPr>
          <w:rFonts w:ascii="Book Antiqua" w:eastAsia="Book Antiqua" w:hAnsi="Book Antiqua" w:cs="Book Antiqua"/>
          <w:i/>
          <w:iCs/>
          <w:color w:val="000000"/>
        </w:rPr>
        <w:t>vs</w:t>
      </w:r>
      <w:r>
        <w:rPr>
          <w:rFonts w:ascii="Book Antiqua" w:eastAsia="Book Antiqua" w:hAnsi="Book Antiqua" w:cs="Book Antiqua"/>
          <w:color w:val="000000"/>
        </w:rPr>
        <w:t xml:space="preserve"> 3.7% in the control group. The 5-year and 10-year survival rates were 72.7% and 65.0%,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100% in the control group). The authors suggest annual screening for cancer with EGD. Gastrectomy remains the primary treatment option for patients who developed gastric cancer. Recently, two curative endoscopic interventions for early-stage gastric cancer in patients with Ménétrier’s disease have been reported: endoscopic mucosal resection and standard ESD</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00F0BA3E" w14:textId="77777777" w:rsidR="00A77B3E" w:rsidRDefault="00A77B3E" w:rsidP="0044733A">
      <w:pPr>
        <w:spacing w:line="360" w:lineRule="auto"/>
        <w:jc w:val="both"/>
      </w:pPr>
    </w:p>
    <w:p w14:paraId="2E25902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217E169" w14:textId="77777777" w:rsidR="00A77B3E" w:rsidRDefault="00000000">
      <w:pPr>
        <w:spacing w:line="360" w:lineRule="auto"/>
        <w:jc w:val="both"/>
      </w:pPr>
      <w:r>
        <w:rPr>
          <w:rFonts w:ascii="Book Antiqua" w:eastAsia="Book Antiqua" w:hAnsi="Book Antiqua" w:cs="Book Antiqua"/>
          <w:color w:val="000000"/>
        </w:rPr>
        <w:t>We report a highly unusual case of localized Ménétrier’s disease coexisting with a submucosal lipoma, which created a polypoid mass in the stomach. Successful resection was achieved with tunneling ESD.</w:t>
      </w:r>
    </w:p>
    <w:p w14:paraId="192F7C29" w14:textId="77777777" w:rsidR="00A77B3E" w:rsidRDefault="00A77B3E">
      <w:pPr>
        <w:spacing w:line="360" w:lineRule="auto"/>
        <w:jc w:val="both"/>
      </w:pPr>
    </w:p>
    <w:p w14:paraId="4DBAE844" w14:textId="77777777" w:rsidR="00A77B3E" w:rsidRDefault="00000000">
      <w:pPr>
        <w:spacing w:line="360" w:lineRule="auto"/>
        <w:jc w:val="both"/>
      </w:pPr>
      <w:r>
        <w:rPr>
          <w:rFonts w:ascii="Book Antiqua" w:eastAsia="Book Antiqua" w:hAnsi="Book Antiqua" w:cs="Book Antiqua"/>
          <w:b/>
          <w:color w:val="000000"/>
        </w:rPr>
        <w:t>REFERENCES</w:t>
      </w:r>
    </w:p>
    <w:p w14:paraId="166D5B76"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Lambrecht NW</w:t>
      </w:r>
      <w:r>
        <w:rPr>
          <w:rFonts w:ascii="Book Antiqua" w:eastAsia="Book Antiqua" w:hAnsi="Book Antiqua" w:cs="Book Antiqua"/>
          <w:color w:val="000000"/>
        </w:rPr>
        <w:t xml:space="preserve">. Ménétrier's disease of the stomach: a clinical challenge. </w:t>
      </w:r>
      <w:r>
        <w:rPr>
          <w:rFonts w:ascii="Book Antiqua" w:eastAsia="Book Antiqua" w:hAnsi="Book Antiqua" w:cs="Book Antiqua"/>
          <w:i/>
          <w:iCs/>
          <w:color w:val="000000"/>
        </w:rPr>
        <w:t>Curr Gastroenterol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513-517 [PMID: 21931998 DOI: 10.1007/s11894-011-0222-8]</w:t>
      </w:r>
    </w:p>
    <w:p w14:paraId="7C5A80C6" w14:textId="77777777" w:rsidR="00A77B3E"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Huh WJ</w:t>
      </w:r>
      <w:r>
        <w:rPr>
          <w:rFonts w:ascii="Book Antiqua" w:eastAsia="Book Antiqua" w:hAnsi="Book Antiqua" w:cs="Book Antiqua"/>
          <w:color w:val="000000"/>
        </w:rPr>
        <w:t xml:space="preserve">, Coffey RJ, Washington MK. Ménétrier's Disease: Its Mimickers and Pathogenesis. </w:t>
      </w:r>
      <w:r>
        <w:rPr>
          <w:rFonts w:ascii="Book Antiqua" w:eastAsia="Book Antiqua" w:hAnsi="Book Antiqua" w:cs="Book Antiqua"/>
          <w:i/>
          <w:iCs/>
          <w:color w:val="000000"/>
        </w:rPr>
        <w:t>J Pathol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10-16 [PMID: 26689786 DOI: 10.4132/jptm.2015.09.15]</w:t>
      </w:r>
    </w:p>
    <w:p w14:paraId="370B3400" w14:textId="77777777" w:rsidR="00A77B3E"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Almazar AE</w:t>
      </w:r>
      <w:r>
        <w:rPr>
          <w:rFonts w:ascii="Book Antiqua" w:eastAsia="Book Antiqua" w:hAnsi="Book Antiqua" w:cs="Book Antiqua"/>
          <w:color w:val="000000"/>
        </w:rPr>
        <w:t xml:space="preserve">, Penfield JD, Saito YA, Talley NJ. Survival Times of Patients With Menetrier's Disease and Risk of Gastric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707-712 [PMID: 32184187 DOI: 10.1016/j.cgh.2020.03.017]</w:t>
      </w:r>
    </w:p>
    <w:p w14:paraId="43D6B872"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Dempsey PJ</w:t>
      </w:r>
      <w:r>
        <w:rPr>
          <w:rFonts w:ascii="Book Antiqua" w:eastAsia="Book Antiqua" w:hAnsi="Book Antiqua" w:cs="Book Antiqua"/>
          <w:color w:val="000000"/>
        </w:rPr>
        <w:t xml:space="preserve">, Goldenring JR, Soroka CJ, Modlin IM, McClure RW, Lind CD, Ahlquist DA, Pittelkow MR, Lee DC, Sandgren EP. Possible role of transforming growth factor alpha in the pathogenesis of Ménétrier's disease: supportive evidence form humans and </w:t>
      </w:r>
      <w:r>
        <w:rPr>
          <w:rFonts w:ascii="Book Antiqua" w:eastAsia="Book Antiqua" w:hAnsi="Book Antiqua" w:cs="Book Antiqua"/>
          <w:color w:val="000000"/>
        </w:rPr>
        <w:lastRenderedPageBreak/>
        <w:t xml:space="preserve">transgenic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103</w:t>
      </w:r>
      <w:r>
        <w:rPr>
          <w:rFonts w:ascii="Book Antiqua" w:eastAsia="Book Antiqua" w:hAnsi="Book Antiqua" w:cs="Book Antiqua"/>
          <w:color w:val="000000"/>
        </w:rPr>
        <w:t>: 1950-1963 [PMID: 1451986 DOI: 10.1016/0016-5085(92)91455-d]</w:t>
      </w:r>
    </w:p>
    <w:p w14:paraId="1F6EBC17"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Takagi H</w:t>
      </w:r>
      <w:r>
        <w:rPr>
          <w:rFonts w:ascii="Book Antiqua" w:eastAsia="Book Antiqua" w:hAnsi="Book Antiqua" w:cs="Book Antiqua"/>
          <w:color w:val="000000"/>
        </w:rPr>
        <w:t xml:space="preserve">, Jhappan C, Sharp R, Merlino G. Hypertrophic gastropathy resembling Ménétrier's disease in transgenic mice overexpressing transforming growth factor alpha in the stomach.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1992; </w:t>
      </w:r>
      <w:r>
        <w:rPr>
          <w:rFonts w:ascii="Book Antiqua" w:eastAsia="Book Antiqua" w:hAnsi="Book Antiqua" w:cs="Book Antiqua"/>
          <w:b/>
          <w:bCs/>
          <w:color w:val="000000"/>
        </w:rPr>
        <w:t>90</w:t>
      </w:r>
      <w:r>
        <w:rPr>
          <w:rFonts w:ascii="Book Antiqua" w:eastAsia="Book Antiqua" w:hAnsi="Book Antiqua" w:cs="Book Antiqua"/>
          <w:color w:val="000000"/>
        </w:rPr>
        <w:t>: 1161-1167 [PMID: 1522224 DOI: 10.1172/JCI115936]</w:t>
      </w:r>
    </w:p>
    <w:p w14:paraId="76328D8D" w14:textId="77777777" w:rsidR="00A77B3E"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Takagi H</w:t>
      </w:r>
      <w:r>
        <w:rPr>
          <w:rFonts w:ascii="Book Antiqua" w:eastAsia="Book Antiqua" w:hAnsi="Book Antiqua" w:cs="Book Antiqua"/>
          <w:color w:val="000000"/>
        </w:rPr>
        <w:t xml:space="preserve">, Fukusato T, Kawaharada U, Kuboyama S, Merlino G, Tsutsumi Y. Histochemical analysis of hyperplastic stomach of TGF-alpha transgenic mice.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91-98 [PMID: 9009121 DOI: 10.1023/a:1018837121947]</w:t>
      </w:r>
    </w:p>
    <w:p w14:paraId="0C6D5A34" w14:textId="77777777"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Bluth RF</w:t>
      </w:r>
      <w:r>
        <w:rPr>
          <w:rFonts w:ascii="Book Antiqua" w:eastAsia="Book Antiqua" w:hAnsi="Book Antiqua" w:cs="Book Antiqua"/>
          <w:color w:val="000000"/>
        </w:rPr>
        <w:t xml:space="preserve">, Carpenter HA, Pittelkow MR, Page DL, Coffey RJ. Immunolocalization of transforming growth factor-alpha in normal and diseased human gastric mucosa.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1333-1340 [PMID: 8522306 DOI: 10.1016/0046-8177(95)90298-8]</w:t>
      </w:r>
    </w:p>
    <w:p w14:paraId="5A2A39A8" w14:textId="77777777"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Romano M</w:t>
      </w:r>
      <w:r>
        <w:rPr>
          <w:rFonts w:ascii="Book Antiqua" w:eastAsia="Book Antiqua" w:hAnsi="Book Antiqua" w:cs="Book Antiqua"/>
          <w:color w:val="000000"/>
        </w:rPr>
        <w:t xml:space="preserve">, Meise KS, Suozzo R, Sessa G, Persico M, Coffey RJ. Regional distribution of transforming growth factor-alpha and epidermal growth factor in normal and portal hypertensive gastric mucosa in humans.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263-267 [PMID: 7851187 DOI: 10.1007/BF02065407]</w:t>
      </w:r>
    </w:p>
    <w:p w14:paraId="20F2C7C9"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Stamm B</w:t>
      </w:r>
      <w:r>
        <w:rPr>
          <w:rFonts w:ascii="Book Antiqua" w:eastAsia="Book Antiqua" w:hAnsi="Book Antiqua" w:cs="Book Antiqua"/>
          <w:color w:val="000000"/>
        </w:rPr>
        <w:t xml:space="preserve">. Localized hyperplastic gastropathy of the mucous cell- and mixed cell-type (localized Ménétrier's disease): a report of 11 patients.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1334-1342 [PMID: 9351571 DOI: 10.1097/00000478-199711000-00008]</w:t>
      </w:r>
    </w:p>
    <w:p w14:paraId="1CE73720"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Dickinson RJ</w:t>
      </w:r>
      <w:r>
        <w:rPr>
          <w:rFonts w:ascii="Book Antiqua" w:eastAsia="Book Antiqua" w:hAnsi="Book Antiqua" w:cs="Book Antiqua"/>
          <w:color w:val="000000"/>
        </w:rPr>
        <w:t xml:space="preserve">, Axon AT. Haematemesis in Ménétrier's disease.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1979; </w:t>
      </w:r>
      <w:r>
        <w:rPr>
          <w:rFonts w:ascii="Book Antiqua" w:eastAsia="Book Antiqua" w:hAnsi="Book Antiqua" w:cs="Book Antiqua"/>
          <w:b/>
          <w:bCs/>
          <w:color w:val="000000"/>
        </w:rPr>
        <w:t>55</w:t>
      </w:r>
      <w:r>
        <w:rPr>
          <w:rFonts w:ascii="Book Antiqua" w:eastAsia="Book Antiqua" w:hAnsi="Book Antiqua" w:cs="Book Antiqua"/>
          <w:color w:val="000000"/>
        </w:rPr>
        <w:t>: 751-752 [PMID: 537966 DOI: 10.1136/pgmj.55.648.751]</w:t>
      </w:r>
    </w:p>
    <w:p w14:paraId="6D3A7694" w14:textId="77777777" w:rsidR="00A77B3E"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Kamal MU</w:t>
      </w:r>
      <w:r>
        <w:rPr>
          <w:rFonts w:ascii="Book Antiqua" w:eastAsia="Book Antiqua" w:hAnsi="Book Antiqua" w:cs="Book Antiqua"/>
          <w:color w:val="000000"/>
        </w:rPr>
        <w:t xml:space="preserve">, Tariq H, Mehak V, Azam S, Kumar K, Niazi M, Dev A. A Rare Etiology of Abnormally Large Gastric Folds: Menetrier's Disease. </w:t>
      </w:r>
      <w:r>
        <w:rPr>
          <w:rFonts w:ascii="Book Antiqua" w:eastAsia="Book Antiqua" w:hAnsi="Book Antiqua" w:cs="Book Antiqua"/>
          <w:i/>
          <w:iCs/>
          <w:color w:val="000000"/>
        </w:rPr>
        <w:t>Case Rep Gastrointest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7927083 [PMID: 31976093 DOI: 10.1155/2019/7927083]</w:t>
      </w:r>
    </w:p>
    <w:p w14:paraId="76E3EF31" w14:textId="77777777" w:rsidR="00A77B3E"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Greenblatt HK</w:t>
      </w:r>
      <w:r>
        <w:rPr>
          <w:rFonts w:ascii="Book Antiqua" w:eastAsia="Book Antiqua" w:hAnsi="Book Antiqua" w:cs="Book Antiqua"/>
          <w:color w:val="000000"/>
        </w:rPr>
        <w:t xml:space="preserve">, Nguyen BK. Ménétrier's disease presenting as recurrent unprovoked venous thrombosis: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 [PMID: 30651128 DOI: 10.1186/s13256-018-1952-0]</w:t>
      </w:r>
    </w:p>
    <w:p w14:paraId="215C2C81" w14:textId="77777777" w:rsidR="00A77B3E"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Pepa P</w:t>
      </w:r>
      <w:r>
        <w:rPr>
          <w:rFonts w:ascii="Book Antiqua" w:eastAsia="Book Antiqua" w:hAnsi="Book Antiqua" w:cs="Book Antiqua"/>
          <w:color w:val="000000"/>
        </w:rPr>
        <w:t xml:space="preserve">, Uehara T, Wonaga A, Redondo A, Avagnina A, Mazzocchi O, Antelo P, Waldbaum C, Sorda J. Menetrier's disease. A diagnostic and therapeutic challenge. </w:t>
      </w:r>
      <w:r>
        <w:rPr>
          <w:rFonts w:ascii="Book Antiqua" w:eastAsia="Book Antiqua" w:hAnsi="Book Antiqua" w:cs="Book Antiqua"/>
          <w:i/>
          <w:iCs/>
          <w:color w:val="000000"/>
        </w:rPr>
        <w:t>Medicina (B Aires)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81</w:t>
      </w:r>
      <w:r>
        <w:rPr>
          <w:rFonts w:ascii="Book Antiqua" w:eastAsia="Book Antiqua" w:hAnsi="Book Antiqua" w:cs="Book Antiqua"/>
          <w:color w:val="000000"/>
        </w:rPr>
        <w:t>: 470-473 [PMID: 34137712]</w:t>
      </w:r>
    </w:p>
    <w:p w14:paraId="68241485" w14:textId="77777777" w:rsidR="00A77B3E" w:rsidRDefault="0000000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Waisberg DR</w:t>
      </w:r>
      <w:r>
        <w:rPr>
          <w:rFonts w:ascii="Book Antiqua" w:eastAsia="Book Antiqua" w:hAnsi="Book Antiqua" w:cs="Book Antiqua"/>
          <w:color w:val="000000"/>
        </w:rPr>
        <w:t xml:space="preserve">, de Mello ES, Tustumi F, Szor DJ, Charruf AZ, Fuhro FE, Waisberg J, Dias AR. A case report of diffuse hyperplastic gastropathy with multiple polypoid formations in a patient with pernicious anemia, Helicobacter pylori infection, hypergastrinemia and hypoalbuminaemia: Do not forget of Ménétrier's disease.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498-502 [PMID: 33395833 DOI: 10.1016/j.ijscr.2020.11.055]</w:t>
      </w:r>
    </w:p>
    <w:p w14:paraId="4B343358"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Landzberg BR</w:t>
      </w:r>
      <w:r>
        <w:rPr>
          <w:rFonts w:ascii="Book Antiqua" w:eastAsia="Book Antiqua" w:hAnsi="Book Antiqua" w:cs="Book Antiqua"/>
          <w:color w:val="000000"/>
        </w:rPr>
        <w:t xml:space="preserve">, Pochapin MB. Protein-Losing Enteropathy and Gastropathy. </w:t>
      </w:r>
      <w:r>
        <w:rPr>
          <w:rFonts w:ascii="Book Antiqua" w:eastAsia="Book Antiqua" w:hAnsi="Book Antiqua" w:cs="Book Antiqua"/>
          <w:i/>
          <w:iCs/>
          <w:color w:val="000000"/>
        </w:rPr>
        <w:t>Curr Treat Options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4</w:t>
      </w:r>
      <w:r>
        <w:rPr>
          <w:rFonts w:ascii="Book Antiqua" w:eastAsia="Book Antiqua" w:hAnsi="Book Antiqua" w:cs="Book Antiqua"/>
          <w:color w:val="000000"/>
        </w:rPr>
        <w:t>: 39-49 [PMID: 11177680 DOI: 10.1007/s11938-001-0045-z]</w:t>
      </w:r>
    </w:p>
    <w:p w14:paraId="2CA28891" w14:textId="77777777" w:rsidR="00A77B3E"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Hsu CT</w:t>
      </w:r>
      <w:r>
        <w:rPr>
          <w:rFonts w:ascii="Book Antiqua" w:eastAsia="Book Antiqua" w:hAnsi="Book Antiqua" w:cs="Book Antiqua"/>
          <w:color w:val="000000"/>
        </w:rPr>
        <w:t xml:space="preserve">, Ito M, Kawase Y, Sekine I, Ohmagari T, Hashimoto S. Early gastric cancer arising from localized Ménétrier's disease. </w:t>
      </w:r>
      <w:r>
        <w:rPr>
          <w:rFonts w:ascii="Book Antiqua" w:eastAsia="Book Antiqua" w:hAnsi="Book Antiqua" w:cs="Book Antiqua"/>
          <w:i/>
          <w:iCs/>
          <w:color w:val="000000"/>
        </w:rPr>
        <w:t>Gastroenterol Jpn</w:t>
      </w:r>
      <w:r>
        <w:rPr>
          <w:rFonts w:ascii="Book Antiqua" w:eastAsia="Book Antiqua" w:hAnsi="Book Antiqua" w:cs="Book Antiqua"/>
          <w:color w:val="000000"/>
        </w:rPr>
        <w:t xml:space="preserve"> 1991; </w:t>
      </w:r>
      <w:r>
        <w:rPr>
          <w:rFonts w:ascii="Book Antiqua" w:eastAsia="Book Antiqua" w:hAnsi="Book Antiqua" w:cs="Book Antiqua"/>
          <w:b/>
          <w:bCs/>
          <w:color w:val="000000"/>
        </w:rPr>
        <w:t>26</w:t>
      </w:r>
      <w:r>
        <w:rPr>
          <w:rFonts w:ascii="Book Antiqua" w:eastAsia="Book Antiqua" w:hAnsi="Book Antiqua" w:cs="Book Antiqua"/>
          <w:color w:val="000000"/>
        </w:rPr>
        <w:t>: 213-217 [PMID: 1645687 DOI: 10.1007/BF02811083]</w:t>
      </w:r>
    </w:p>
    <w:p w14:paraId="725DF518" w14:textId="77777777" w:rsidR="00A77B3E"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Kim J</w:t>
      </w:r>
      <w:r>
        <w:rPr>
          <w:rFonts w:ascii="Book Antiqua" w:eastAsia="Book Antiqua" w:hAnsi="Book Antiqua" w:cs="Book Antiqua"/>
          <w:color w:val="000000"/>
        </w:rPr>
        <w:t xml:space="preserve">, Cheong JH, Chen J, Hyung WJ, Choi SH, Noh SH. Menetrier's disease in korea: report of two cases and review of cases in a gastric cancer prevalent region.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2004; </w:t>
      </w:r>
      <w:r>
        <w:rPr>
          <w:rFonts w:ascii="Book Antiqua" w:eastAsia="Book Antiqua" w:hAnsi="Book Antiqua" w:cs="Book Antiqua"/>
          <w:b/>
          <w:bCs/>
          <w:color w:val="000000"/>
        </w:rPr>
        <w:t>45</w:t>
      </w:r>
      <w:r>
        <w:rPr>
          <w:rFonts w:ascii="Book Antiqua" w:eastAsia="Book Antiqua" w:hAnsi="Book Antiqua" w:cs="Book Antiqua"/>
          <w:color w:val="000000"/>
        </w:rPr>
        <w:t>: 555-560 [PMID: 15227748 DOI: 10.3349/ymj.2004.45.3.555]</w:t>
      </w:r>
    </w:p>
    <w:p w14:paraId="1990926E" w14:textId="77777777" w:rsidR="00A77B3E"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Fiske WH</w:t>
      </w:r>
      <w:r>
        <w:rPr>
          <w:rFonts w:ascii="Book Antiqua" w:eastAsia="Book Antiqua" w:hAnsi="Book Antiqua" w:cs="Book Antiqua"/>
          <w:color w:val="000000"/>
        </w:rPr>
        <w:t xml:space="preserve">, Tanksley J, Nam KT, Goldenring JR, Slebos RJ, Liebler DC, Abtahi AM, La Fleur B, Ayers GD, Lind CD, Washington MK, Coffey RJ. Efficacy of cetuximab in the treatment of Menetrier's disease.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8ra18 [PMID: 20368185 DOI: 10.1126/scitranslmed.3000320]</w:t>
      </w:r>
    </w:p>
    <w:p w14:paraId="5A4E516A" w14:textId="77777777" w:rsidR="00A77B3E"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Parianos C</w:t>
      </w:r>
      <w:r>
        <w:rPr>
          <w:rFonts w:ascii="Book Antiqua" w:eastAsia="Book Antiqua" w:hAnsi="Book Antiqua" w:cs="Book Antiqua"/>
          <w:color w:val="000000"/>
        </w:rPr>
        <w:t xml:space="preserve">, Aggeli C, Sourla A, Zografos GN. Total gastrectomy for the treatment of Menetrier's disease persistent to medical therapy: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95-99 [PMID: 32653837 DOI: 10.1016/j.ijscr.2020.06.033]</w:t>
      </w:r>
    </w:p>
    <w:p w14:paraId="099625FB" w14:textId="77777777" w:rsidR="00A77B3E"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Toubia N</w:t>
      </w:r>
      <w:r>
        <w:rPr>
          <w:rFonts w:ascii="Book Antiqua" w:eastAsia="Book Antiqua" w:hAnsi="Book Antiqua" w:cs="Book Antiqua"/>
          <w:color w:val="000000"/>
        </w:rPr>
        <w:t xml:space="preserve">, Schubert ML. Menetrier's Disease. </w:t>
      </w:r>
      <w:r>
        <w:rPr>
          <w:rFonts w:ascii="Book Antiqua" w:eastAsia="Book Antiqua" w:hAnsi="Book Antiqua" w:cs="Book Antiqua"/>
          <w:i/>
          <w:iCs/>
          <w:color w:val="000000"/>
        </w:rPr>
        <w:t>Curr Treat Options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103-108 [PMID: 18321437 DOI: 10.1007/s11938-008-0022-x]</w:t>
      </w:r>
    </w:p>
    <w:p w14:paraId="603BB2D2" w14:textId="77777777" w:rsidR="00A77B3E"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Raderer M</w:t>
      </w:r>
      <w:r>
        <w:rPr>
          <w:rFonts w:ascii="Book Antiqua" w:eastAsia="Book Antiqua" w:hAnsi="Book Antiqua" w:cs="Book Antiqua"/>
          <w:color w:val="000000"/>
        </w:rPr>
        <w:t xml:space="preserve">, Oberhuber G, Templ E, Wagner L, Pötzi R, Wrba F, Hejna M, Base W. Successful symptomatic management of a patient with Ménétrier's disease with long-term antibiotic treatment.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1999; </w:t>
      </w:r>
      <w:r>
        <w:rPr>
          <w:rFonts w:ascii="Book Antiqua" w:eastAsia="Book Antiqua" w:hAnsi="Book Antiqua" w:cs="Book Antiqua"/>
          <w:b/>
          <w:bCs/>
          <w:color w:val="000000"/>
        </w:rPr>
        <w:t>60</w:t>
      </w:r>
      <w:r>
        <w:rPr>
          <w:rFonts w:ascii="Book Antiqua" w:eastAsia="Book Antiqua" w:hAnsi="Book Antiqua" w:cs="Book Antiqua"/>
          <w:color w:val="000000"/>
        </w:rPr>
        <w:t>: 358-362 [PMID: 10394031 DOI: 10.1159/000007683]</w:t>
      </w:r>
    </w:p>
    <w:p w14:paraId="6D481BAC" w14:textId="77777777" w:rsidR="00A77B3E"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Fukushi K</w:t>
      </w:r>
      <w:r>
        <w:rPr>
          <w:rFonts w:ascii="Book Antiqua" w:eastAsia="Book Antiqua" w:hAnsi="Book Antiqua" w:cs="Book Antiqua"/>
          <w:color w:val="000000"/>
        </w:rPr>
        <w:t xml:space="preserve">, Goda K, Kino H, Kondo M, Kanazawa M, Kashima K, Kanamori A, Abe K, Suzuki T, Tominaga K, Yamagishi H, Irisawa A. Curative resection with endoscopic </w:t>
      </w:r>
      <w:r>
        <w:rPr>
          <w:rFonts w:ascii="Book Antiqua" w:eastAsia="Book Antiqua" w:hAnsi="Book Antiqua" w:cs="Book Antiqua"/>
          <w:color w:val="000000"/>
        </w:rPr>
        <w:lastRenderedPageBreak/>
        <w:t xml:space="preserve">submucosal dissection of early gastric cancer in Helicobacter pylori-negative Ménétrier's disease: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28</w:t>
      </w:r>
      <w:r>
        <w:rPr>
          <w:rFonts w:ascii="Book Antiqua" w:eastAsia="Book Antiqua" w:hAnsi="Book Antiqua" w:cs="Book Antiqua"/>
          <w:color w:val="000000"/>
        </w:rPr>
        <w:t>: 594-601 [PMID: 35316958 DOI: 10.3748/wjg.v28.i5.594]</w:t>
      </w:r>
    </w:p>
    <w:p w14:paraId="0AFB326F" w14:textId="77777777" w:rsidR="00C813E9" w:rsidRDefault="00C813E9">
      <w:pPr>
        <w:spacing w:line="360" w:lineRule="auto"/>
        <w:jc w:val="both"/>
        <w:rPr>
          <w:rFonts w:ascii="Book Antiqua" w:eastAsia="Book Antiqua" w:hAnsi="Book Antiqua" w:cs="Book Antiqua"/>
          <w:b/>
          <w:color w:val="000000"/>
        </w:rPr>
      </w:pPr>
    </w:p>
    <w:p w14:paraId="313C65A5" w14:textId="77777777" w:rsidR="00C813E9" w:rsidRDefault="00C813E9">
      <w:pPr>
        <w:spacing w:line="360" w:lineRule="auto"/>
        <w:jc w:val="both"/>
        <w:rPr>
          <w:rFonts w:ascii="Book Antiqua" w:eastAsia="Book Antiqua" w:hAnsi="Book Antiqua" w:cs="Book Antiqua"/>
          <w:b/>
          <w:color w:val="000000"/>
        </w:rPr>
      </w:pPr>
    </w:p>
    <w:p w14:paraId="63E903D4" w14:textId="61CA8425" w:rsidR="00A77B3E" w:rsidRDefault="00000000">
      <w:pPr>
        <w:spacing w:line="360" w:lineRule="auto"/>
        <w:jc w:val="both"/>
      </w:pPr>
      <w:r>
        <w:rPr>
          <w:rFonts w:ascii="Book Antiqua" w:eastAsia="Book Antiqua" w:hAnsi="Book Antiqua" w:cs="Book Antiqua"/>
          <w:b/>
          <w:color w:val="000000"/>
        </w:rPr>
        <w:t>Footnotes</w:t>
      </w:r>
    </w:p>
    <w:p w14:paraId="7D44B57B" w14:textId="77777777" w:rsidR="00A77B3E"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for ESD was obtained from the patient.</w:t>
      </w:r>
    </w:p>
    <w:p w14:paraId="4FF31BE1" w14:textId="77777777" w:rsidR="00A77B3E" w:rsidRDefault="00A77B3E">
      <w:pPr>
        <w:spacing w:line="360" w:lineRule="auto"/>
        <w:jc w:val="both"/>
      </w:pPr>
    </w:p>
    <w:p w14:paraId="3C816BAB"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C0C4C4C" w14:textId="77777777" w:rsidR="00A77B3E" w:rsidRDefault="00A77B3E">
      <w:pPr>
        <w:spacing w:line="360" w:lineRule="auto"/>
        <w:jc w:val="both"/>
      </w:pPr>
    </w:p>
    <w:p w14:paraId="0ED7DCE6" w14:textId="77777777"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A421C81" w14:textId="77777777" w:rsidR="00A77B3E" w:rsidRDefault="00A77B3E">
      <w:pPr>
        <w:spacing w:line="360" w:lineRule="auto"/>
        <w:jc w:val="both"/>
      </w:pPr>
    </w:p>
    <w:p w14:paraId="254C3624"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C5BC2C" w14:textId="77777777" w:rsidR="00A77B3E" w:rsidRDefault="00A77B3E">
      <w:pPr>
        <w:spacing w:line="360" w:lineRule="auto"/>
        <w:jc w:val="both"/>
      </w:pPr>
    </w:p>
    <w:p w14:paraId="77D0CD8E"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06ABE3E"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A111B87" w14:textId="77777777" w:rsidR="00A77B3E" w:rsidRDefault="00A77B3E">
      <w:pPr>
        <w:spacing w:line="360" w:lineRule="auto"/>
        <w:jc w:val="both"/>
      </w:pPr>
    </w:p>
    <w:p w14:paraId="3D59DD10"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2022</w:t>
      </w:r>
    </w:p>
    <w:p w14:paraId="3B82928B"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2022</w:t>
      </w:r>
    </w:p>
    <w:p w14:paraId="2F17B811" w14:textId="77777777" w:rsidR="00D64A11" w:rsidRDefault="00000000" w:rsidP="00D64A11">
      <w:pPr>
        <w:spacing w:line="360" w:lineRule="auto"/>
        <w:jc w:val="both"/>
      </w:pPr>
      <w:r>
        <w:rPr>
          <w:rFonts w:ascii="Book Antiqua" w:eastAsia="Book Antiqua" w:hAnsi="Book Antiqua" w:cs="Book Antiqua"/>
          <w:b/>
          <w:color w:val="000000"/>
        </w:rPr>
        <w:t xml:space="preserve">Article in press: </w:t>
      </w:r>
      <w:r w:rsidR="00D64A11" w:rsidRPr="007E3686">
        <w:rPr>
          <w:rFonts w:ascii="Book Antiqua" w:eastAsia="Book Antiqua" w:hAnsi="Book Antiqua" w:cs="Book Antiqua"/>
          <w:color w:val="000000"/>
        </w:rPr>
        <w:t>December 5, 2022</w:t>
      </w:r>
    </w:p>
    <w:p w14:paraId="1B3CAF45" w14:textId="3BFD32A0" w:rsidR="00A77B3E" w:rsidRDefault="00A77B3E">
      <w:pPr>
        <w:spacing w:line="360" w:lineRule="auto"/>
        <w:jc w:val="both"/>
      </w:pPr>
    </w:p>
    <w:p w14:paraId="021CBC91" w14:textId="77777777" w:rsidR="00A77B3E" w:rsidRDefault="00A77B3E">
      <w:pPr>
        <w:spacing w:line="360" w:lineRule="auto"/>
        <w:jc w:val="both"/>
      </w:pPr>
    </w:p>
    <w:p w14:paraId="237AB9A1" w14:textId="3A102FEC"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27A41">
        <w:rPr>
          <w:rFonts w:ascii="Book Antiqua" w:eastAsia="Book Antiqua" w:hAnsi="Book Antiqua" w:cs="Book Antiqua"/>
          <w:color w:val="000000"/>
        </w:rPr>
        <w:t>h</w:t>
      </w:r>
      <w:r>
        <w:rPr>
          <w:rFonts w:ascii="Book Antiqua" w:eastAsia="Book Antiqua" w:hAnsi="Book Antiqua" w:cs="Book Antiqua"/>
          <w:color w:val="000000"/>
        </w:rPr>
        <w:t>epatology</w:t>
      </w:r>
    </w:p>
    <w:p w14:paraId="36301CC0"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6ECBB243"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7829D3E" w14:textId="77777777" w:rsidR="00A77B3E" w:rsidRDefault="00000000">
      <w:pPr>
        <w:spacing w:line="360" w:lineRule="auto"/>
        <w:jc w:val="both"/>
      </w:pPr>
      <w:r>
        <w:rPr>
          <w:rFonts w:ascii="Book Antiqua" w:eastAsia="Book Antiqua" w:hAnsi="Book Antiqua" w:cs="Book Antiqua"/>
          <w:color w:val="000000"/>
        </w:rPr>
        <w:t>Grade A (Excellent): 0</w:t>
      </w:r>
    </w:p>
    <w:p w14:paraId="08D71264" w14:textId="77777777" w:rsidR="00A77B3E" w:rsidRDefault="00000000">
      <w:pPr>
        <w:spacing w:line="360" w:lineRule="auto"/>
        <w:jc w:val="both"/>
      </w:pPr>
      <w:r>
        <w:rPr>
          <w:rFonts w:ascii="Book Antiqua" w:eastAsia="Book Antiqua" w:hAnsi="Book Antiqua" w:cs="Book Antiqua"/>
          <w:color w:val="000000"/>
        </w:rPr>
        <w:t>Grade B (Very good): 0</w:t>
      </w:r>
    </w:p>
    <w:p w14:paraId="3DE94904" w14:textId="77777777" w:rsidR="00A77B3E" w:rsidRDefault="00000000">
      <w:pPr>
        <w:spacing w:line="360" w:lineRule="auto"/>
        <w:jc w:val="both"/>
      </w:pPr>
      <w:r>
        <w:rPr>
          <w:rFonts w:ascii="Book Antiqua" w:eastAsia="Book Antiqua" w:hAnsi="Book Antiqua" w:cs="Book Antiqua"/>
          <w:color w:val="000000"/>
        </w:rPr>
        <w:t>Grade C (Good): C, C</w:t>
      </w:r>
    </w:p>
    <w:p w14:paraId="39A2EB41" w14:textId="77777777" w:rsidR="00A77B3E" w:rsidRDefault="00000000">
      <w:pPr>
        <w:spacing w:line="360" w:lineRule="auto"/>
        <w:jc w:val="both"/>
      </w:pPr>
      <w:r>
        <w:rPr>
          <w:rFonts w:ascii="Book Antiqua" w:eastAsia="Book Antiqua" w:hAnsi="Book Antiqua" w:cs="Book Antiqua"/>
          <w:color w:val="000000"/>
        </w:rPr>
        <w:t>Grade D (Fair): 0</w:t>
      </w:r>
    </w:p>
    <w:p w14:paraId="3A27FD6C" w14:textId="77777777" w:rsidR="00A77B3E" w:rsidRDefault="00000000">
      <w:pPr>
        <w:spacing w:line="360" w:lineRule="auto"/>
        <w:jc w:val="both"/>
      </w:pPr>
      <w:r>
        <w:rPr>
          <w:rFonts w:ascii="Book Antiqua" w:eastAsia="Book Antiqua" w:hAnsi="Book Antiqua" w:cs="Book Antiqua"/>
          <w:color w:val="000000"/>
        </w:rPr>
        <w:t>Grade E (Poor): 0</w:t>
      </w:r>
    </w:p>
    <w:p w14:paraId="2B31E5C9" w14:textId="77777777" w:rsidR="00A77B3E" w:rsidRDefault="00A77B3E">
      <w:pPr>
        <w:spacing w:line="360" w:lineRule="auto"/>
        <w:jc w:val="both"/>
      </w:pPr>
    </w:p>
    <w:p w14:paraId="6C894E28" w14:textId="76C4571C"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Cho JY, South Korea; Tangsuwanaruk T, Thailand</w:t>
      </w:r>
      <w:r>
        <w:rPr>
          <w:rFonts w:ascii="Book Antiqua" w:eastAsia="Book Antiqua" w:hAnsi="Book Antiqua" w:cs="Book Antiqua"/>
          <w:b/>
          <w:color w:val="000000"/>
        </w:rPr>
        <w:t xml:space="preserve"> S-Editor: </w:t>
      </w:r>
      <w:r w:rsidR="00074F19" w:rsidRPr="00074F19">
        <w:rPr>
          <w:rFonts w:ascii="Book Antiqua" w:eastAsia="Book Antiqua" w:hAnsi="Book Antiqua" w:cs="Book Antiqua"/>
          <w:bCs/>
          <w:color w:val="000000"/>
        </w:rPr>
        <w:t>Wang JL</w:t>
      </w:r>
      <w:r>
        <w:rPr>
          <w:rFonts w:ascii="Book Antiqua" w:eastAsia="Book Antiqua" w:hAnsi="Book Antiqua" w:cs="Book Antiqua"/>
          <w:b/>
          <w:color w:val="000000"/>
        </w:rPr>
        <w:t xml:space="preserve"> L-Editor: </w:t>
      </w:r>
      <w:r w:rsidR="00074F19" w:rsidRPr="00074F1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74F19" w:rsidRPr="00074F19">
        <w:rPr>
          <w:rFonts w:ascii="Book Antiqua" w:eastAsia="Book Antiqua" w:hAnsi="Book Antiqua" w:cs="Book Antiqua"/>
          <w:bCs/>
          <w:color w:val="000000"/>
        </w:rPr>
        <w:t>Wang JL</w:t>
      </w:r>
    </w:p>
    <w:p w14:paraId="654EB805" w14:textId="17F6728F" w:rsidR="00074F19" w:rsidRDefault="00074F19">
      <w:pPr>
        <w:spacing w:line="360" w:lineRule="auto"/>
        <w:jc w:val="both"/>
        <w:rPr>
          <w:rFonts w:ascii="Book Antiqua" w:eastAsia="Book Antiqua" w:hAnsi="Book Antiqua" w:cs="Book Antiqua"/>
          <w:bCs/>
          <w:color w:val="000000"/>
        </w:rPr>
      </w:pPr>
    </w:p>
    <w:p w14:paraId="64958A26" w14:textId="77777777" w:rsidR="00074F19" w:rsidRDefault="00074F19">
      <w:pPr>
        <w:spacing w:line="360" w:lineRule="auto"/>
        <w:jc w:val="both"/>
        <w:rPr>
          <w:rFonts w:ascii="Book Antiqua" w:eastAsia="Book Antiqua" w:hAnsi="Book Antiqua" w:cs="Book Antiqua"/>
          <w:b/>
          <w:color w:val="000000"/>
        </w:rPr>
      </w:pPr>
    </w:p>
    <w:p w14:paraId="344929C9" w14:textId="50C339B2" w:rsidR="00074F19" w:rsidRPr="00074F19" w:rsidRDefault="00074F19">
      <w:pPr>
        <w:spacing w:line="360" w:lineRule="auto"/>
        <w:jc w:val="both"/>
        <w:rPr>
          <w:b/>
          <w:bCs/>
        </w:rPr>
        <w:sectPr w:rsidR="00074F19" w:rsidRPr="00074F19">
          <w:footerReference w:type="default" r:id="rId7"/>
          <w:pgSz w:w="12240" w:h="15840"/>
          <w:pgMar w:top="1440" w:right="1440" w:bottom="1440" w:left="1440" w:header="720" w:footer="720" w:gutter="0"/>
          <w:cols w:space="720"/>
          <w:docGrid w:linePitch="360"/>
        </w:sectPr>
      </w:pPr>
    </w:p>
    <w:p w14:paraId="75D4CEB8"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3335D699" w14:textId="106A8EC1" w:rsidR="00094544" w:rsidRDefault="00F02B65">
      <w:pPr>
        <w:spacing w:line="360" w:lineRule="auto"/>
        <w:jc w:val="both"/>
        <w:rPr>
          <w:rFonts w:ascii="Book Antiqua" w:eastAsia="Book Antiqua" w:hAnsi="Book Antiqua" w:cs="Book Antiqua"/>
          <w:b/>
          <w:bCs/>
          <w:color w:val="000000"/>
        </w:rPr>
      </w:pPr>
      <w:r>
        <w:rPr>
          <w:noProof/>
        </w:rPr>
        <w:drawing>
          <wp:inline distT="0" distB="0" distL="0" distR="0" wp14:anchorId="684F4C46" wp14:editId="57591AEB">
            <wp:extent cx="5645150" cy="2470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150" cy="2470150"/>
                    </a:xfrm>
                    <a:prstGeom prst="rect">
                      <a:avLst/>
                    </a:prstGeom>
                    <a:noFill/>
                    <a:ln>
                      <a:noFill/>
                    </a:ln>
                  </pic:spPr>
                </pic:pic>
              </a:graphicData>
            </a:graphic>
          </wp:inline>
        </w:drawing>
      </w:r>
    </w:p>
    <w:p w14:paraId="000B6CB9" w14:textId="3C8DBD3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Polypoid mass found in the stomach during esophagogastroduodenoscopy. </w:t>
      </w:r>
      <w:r>
        <w:rPr>
          <w:rFonts w:ascii="Book Antiqua" w:eastAsia="Book Antiqua" w:hAnsi="Book Antiqua" w:cs="Book Antiqua"/>
          <w:color w:val="000000"/>
        </w:rPr>
        <w:t>A: A mass (4 cm × 1 cm) with enlarged mucosal folds in the body of the stomach between the lesser curvature and posterior wall; B: A small ulcer at the distal end of the mass.</w:t>
      </w:r>
    </w:p>
    <w:p w14:paraId="24A0B32F" w14:textId="77777777" w:rsidR="00094544" w:rsidRDefault="00094544">
      <w:pPr>
        <w:spacing w:line="360" w:lineRule="auto"/>
        <w:jc w:val="both"/>
        <w:rPr>
          <w:rFonts w:ascii="Book Antiqua" w:eastAsia="Book Antiqua" w:hAnsi="Book Antiqua" w:cs="Book Antiqua"/>
          <w:color w:val="000000"/>
        </w:rPr>
      </w:pPr>
    </w:p>
    <w:p w14:paraId="3D6E21A7" w14:textId="48AD1C44" w:rsidR="00094544" w:rsidRDefault="00F02B65">
      <w:pPr>
        <w:spacing w:line="360" w:lineRule="auto"/>
        <w:jc w:val="both"/>
      </w:pPr>
      <w:r>
        <w:rPr>
          <w:noProof/>
        </w:rPr>
        <w:drawing>
          <wp:inline distT="0" distB="0" distL="0" distR="0" wp14:anchorId="3A8B5597" wp14:editId="752170FC">
            <wp:extent cx="5943600" cy="1920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14:paraId="51569CB2" w14:textId="5075BDF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Computed tomography of the abdomen with contrast enhancement. </w:t>
      </w:r>
      <w:r>
        <w:rPr>
          <w:rFonts w:ascii="Book Antiqua" w:eastAsia="Book Antiqua" w:hAnsi="Book Antiqua" w:cs="Book Antiqua"/>
          <w:color w:val="000000"/>
        </w:rPr>
        <w:t>A: A submucosal lesion in the stomach. Mean density of -89 HU suggested a submucosal lipoma; B: Length, 4.86 cm; C: Width, 1.96 cm.</w:t>
      </w:r>
    </w:p>
    <w:p w14:paraId="33849846" w14:textId="2EEC6B23" w:rsidR="00645D2D" w:rsidRPr="00865EAF" w:rsidRDefault="00F02B65" w:rsidP="00645D2D">
      <w:pPr>
        <w:spacing w:line="360" w:lineRule="auto"/>
        <w:jc w:val="both"/>
        <w:rPr>
          <w:rFonts w:ascii="Book Antiqua" w:eastAsia="Book Antiqua" w:hAnsi="Book Antiqua" w:cs="Book Antiqua"/>
          <w:color w:val="000000"/>
        </w:rPr>
      </w:pPr>
      <w:r>
        <w:rPr>
          <w:noProof/>
        </w:rPr>
        <w:lastRenderedPageBreak/>
        <w:drawing>
          <wp:inline distT="0" distB="0" distL="0" distR="0" wp14:anchorId="073EEFFE" wp14:editId="3CD27B8E">
            <wp:extent cx="5943600" cy="15487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48765"/>
                    </a:xfrm>
                    <a:prstGeom prst="rect">
                      <a:avLst/>
                    </a:prstGeom>
                    <a:noFill/>
                    <a:ln>
                      <a:noFill/>
                    </a:ln>
                  </pic:spPr>
                </pic:pic>
              </a:graphicData>
            </a:graphic>
          </wp:inline>
        </w:drawing>
      </w:r>
    </w:p>
    <w:p w14:paraId="00D28229" w14:textId="77777777" w:rsidR="00645D2D" w:rsidRDefault="00645D2D" w:rsidP="00645D2D">
      <w:pPr>
        <w:spacing w:line="360" w:lineRule="auto"/>
        <w:jc w:val="both"/>
      </w:pPr>
      <w:r>
        <w:rPr>
          <w:rFonts w:ascii="Book Antiqua" w:eastAsia="Book Antiqua" w:hAnsi="Book Antiqua" w:cs="Book Antiqua"/>
          <w:b/>
          <w:bCs/>
          <w:color w:val="000000"/>
        </w:rPr>
        <w:t xml:space="preserve">Figure 3 Resection of the mass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tunneling endoscopic submucosal dissection. </w:t>
      </w:r>
      <w:r>
        <w:rPr>
          <w:rFonts w:ascii="Book Antiqua" w:eastAsia="Book Antiqua" w:hAnsi="Book Antiqua" w:cs="Book Antiqua"/>
          <w:color w:val="000000"/>
        </w:rPr>
        <w:t>A: A tunnel was created in the submucosal layer beneath the mass; B: Dissection was performed on both sides of the tunnel; C: Muscular defects were closed, and mucosal margins approximated with clips.</w:t>
      </w:r>
    </w:p>
    <w:p w14:paraId="50054E26" w14:textId="77777777" w:rsidR="00645D2D" w:rsidRDefault="00645D2D">
      <w:pPr>
        <w:spacing w:line="360" w:lineRule="auto"/>
        <w:jc w:val="both"/>
        <w:rPr>
          <w:rFonts w:ascii="Book Antiqua" w:eastAsia="Book Antiqua" w:hAnsi="Book Antiqua" w:cs="Book Antiqua"/>
          <w:color w:val="000000"/>
        </w:rPr>
      </w:pPr>
    </w:p>
    <w:p w14:paraId="5705B3A8" w14:textId="06A7192A" w:rsidR="00094544" w:rsidRDefault="00F02B65">
      <w:pPr>
        <w:spacing w:line="360" w:lineRule="auto"/>
        <w:jc w:val="both"/>
      </w:pPr>
      <w:r>
        <w:rPr>
          <w:noProof/>
        </w:rPr>
        <w:drawing>
          <wp:inline distT="0" distB="0" distL="0" distR="0" wp14:anchorId="6E07155A" wp14:editId="5087D945">
            <wp:extent cx="4699000" cy="2292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000" cy="2292350"/>
                    </a:xfrm>
                    <a:prstGeom prst="rect">
                      <a:avLst/>
                    </a:prstGeom>
                    <a:noFill/>
                    <a:ln>
                      <a:noFill/>
                    </a:ln>
                  </pic:spPr>
                </pic:pic>
              </a:graphicData>
            </a:graphic>
          </wp:inline>
        </w:drawing>
      </w:r>
    </w:p>
    <w:p w14:paraId="06F71069" w14:textId="25FC91B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4 </w:t>
      </w:r>
      <w:r>
        <w:rPr>
          <w:rFonts w:ascii="Book Antiqua" w:eastAsia="Book Antiqua" w:hAnsi="Book Antiqua" w:cs="Book Antiqua"/>
          <w:b/>
          <w:bCs/>
          <w:color w:val="000000"/>
        </w:rPr>
        <w:t xml:space="preserve">Resected specimen. </w:t>
      </w:r>
      <w:r>
        <w:rPr>
          <w:rFonts w:ascii="Book Antiqua" w:eastAsia="Book Antiqua" w:hAnsi="Book Antiqua" w:cs="Book Antiqua"/>
          <w:color w:val="000000"/>
        </w:rPr>
        <w:t>A: Immediately after resection, enlarged gastric folds were observed on the surface; B: Intersected specimen in the Pathology Department. Yellow tissue of the submucosal lipoma was observed.</w:t>
      </w:r>
    </w:p>
    <w:p w14:paraId="56495B44" w14:textId="77777777" w:rsidR="00094544" w:rsidRDefault="00094544">
      <w:pPr>
        <w:spacing w:line="360" w:lineRule="auto"/>
        <w:jc w:val="both"/>
        <w:rPr>
          <w:rFonts w:ascii="Book Antiqua" w:eastAsia="Book Antiqua" w:hAnsi="Book Antiqua" w:cs="Book Antiqua"/>
          <w:color w:val="000000"/>
        </w:rPr>
      </w:pPr>
    </w:p>
    <w:p w14:paraId="61219B0C" w14:textId="46A6381C" w:rsidR="00094544" w:rsidRDefault="00F02B65">
      <w:pPr>
        <w:spacing w:line="360" w:lineRule="auto"/>
        <w:jc w:val="both"/>
      </w:pPr>
      <w:r>
        <w:rPr>
          <w:noProof/>
        </w:rPr>
        <w:lastRenderedPageBreak/>
        <w:drawing>
          <wp:inline distT="0" distB="0" distL="0" distR="0" wp14:anchorId="48AC0EBD" wp14:editId="08447E19">
            <wp:extent cx="5937250" cy="3403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3403600"/>
                    </a:xfrm>
                    <a:prstGeom prst="rect">
                      <a:avLst/>
                    </a:prstGeom>
                    <a:noFill/>
                    <a:ln>
                      <a:noFill/>
                    </a:ln>
                  </pic:spPr>
                </pic:pic>
              </a:graphicData>
            </a:graphic>
          </wp:inline>
        </w:drawing>
      </w:r>
    </w:p>
    <w:p w14:paraId="4F3D470A" w14:textId="656E7450" w:rsidR="00A77B3E" w:rsidRDefault="00000000">
      <w:pPr>
        <w:spacing w:line="360" w:lineRule="auto"/>
        <w:jc w:val="both"/>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5 </w:t>
      </w:r>
      <w:r>
        <w:rPr>
          <w:rFonts w:ascii="Book Antiqua" w:eastAsia="Book Antiqua" w:hAnsi="Book Antiqua" w:cs="Book Antiqua"/>
          <w:b/>
          <w:bCs/>
          <w:color w:val="000000"/>
        </w:rPr>
        <w:t>Histological changes in Ménétrier’s disease.</w:t>
      </w:r>
      <w:r>
        <w:rPr>
          <w:rFonts w:ascii="Book Antiqua" w:eastAsia="Book Antiqua" w:hAnsi="Book Antiqua" w:cs="Book Antiqua"/>
          <w:color w:val="000000"/>
        </w:rPr>
        <w:t xml:space="preserve"> A: Low magnification; B: Cystic dilation of deep glands with foveolar hyperplasia; C: Foveolar hyperplasia with tortuous glands; D: Foveolar hyperplasia with dilation of the glands and oxyntic atrophy.</w:t>
      </w:r>
    </w:p>
    <w:p w14:paraId="1CB8C7F0" w14:textId="4BB73D2C" w:rsidR="00094544" w:rsidRDefault="00F02B65">
      <w:pPr>
        <w:spacing w:line="360" w:lineRule="auto"/>
        <w:jc w:val="both"/>
        <w:rPr>
          <w:rFonts w:ascii="Book Antiqua" w:eastAsia="Book Antiqua" w:hAnsi="Book Antiqua" w:cs="Book Antiqua"/>
          <w:b/>
          <w:bCs/>
          <w:color w:val="000000"/>
        </w:rPr>
      </w:pPr>
      <w:r>
        <w:rPr>
          <w:noProof/>
        </w:rPr>
        <w:drawing>
          <wp:inline distT="0" distB="0" distL="0" distR="0" wp14:anchorId="52DD0DB7" wp14:editId="301BAB9E">
            <wp:extent cx="5943600" cy="3403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14:paraId="3BB3DD81" w14:textId="59711DAB" w:rsidR="00D426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w:t>
      </w:r>
      <w:r w:rsidR="006E6904">
        <w:rPr>
          <w:rFonts w:ascii="Book Antiqua" w:eastAsia="Book Antiqua" w:hAnsi="Book Antiqua" w:cs="Book Antiqua"/>
          <w:b/>
          <w:bCs/>
          <w:color w:val="000000"/>
        </w:rPr>
        <w:t>6</w:t>
      </w:r>
      <w:r w:rsidR="00D71D4F">
        <w:rPr>
          <w:rFonts w:ascii="Book Antiqua" w:eastAsia="Book Antiqua" w:hAnsi="Book Antiqua" w:cs="Book Antiqua"/>
          <w:b/>
          <w:bCs/>
          <w:color w:val="000000"/>
        </w:rPr>
        <w:t xml:space="preserve"> </w:t>
      </w:r>
      <w:r>
        <w:rPr>
          <w:rFonts w:ascii="Book Antiqua" w:eastAsia="Book Antiqua" w:hAnsi="Book Antiqua" w:cs="Book Antiqua"/>
          <w:b/>
          <w:bCs/>
          <w:color w:val="000000"/>
        </w:rPr>
        <w:t>Submucosal lipoma and accompanying changes in the course of Ménétrier’s disease.</w:t>
      </w:r>
      <w:r>
        <w:rPr>
          <w:rFonts w:ascii="Book Antiqua" w:eastAsia="Book Antiqua" w:hAnsi="Book Antiqua" w:cs="Book Antiqua"/>
          <w:color w:val="000000"/>
        </w:rPr>
        <w:t xml:space="preserve"> A: Low magnification; B: Foveolar hyperplasia; C: Foveolar hyperplasia with a corkscrew morphology; D: Foveolar hyperplasia with tortuous glands and mild inflammation in lamina propria.</w:t>
      </w:r>
    </w:p>
    <w:p w14:paraId="48DEB909" w14:textId="3B373990" w:rsidR="00094544" w:rsidRDefault="00F02B65">
      <w:pPr>
        <w:spacing w:line="360" w:lineRule="auto"/>
        <w:jc w:val="both"/>
      </w:pPr>
      <w:r>
        <w:rPr>
          <w:noProof/>
        </w:rPr>
        <w:drawing>
          <wp:inline distT="0" distB="0" distL="0" distR="0" wp14:anchorId="53BF3B42" wp14:editId="584070E0">
            <wp:extent cx="3937000" cy="2292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000" cy="2292350"/>
                    </a:xfrm>
                    <a:prstGeom prst="rect">
                      <a:avLst/>
                    </a:prstGeom>
                    <a:noFill/>
                    <a:ln>
                      <a:noFill/>
                    </a:ln>
                  </pic:spPr>
                </pic:pic>
              </a:graphicData>
            </a:graphic>
          </wp:inline>
        </w:drawing>
      </w:r>
    </w:p>
    <w:p w14:paraId="702CF6F7" w14:textId="0114B053" w:rsidR="00D4264A" w:rsidRDefault="00A0035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7 </w:t>
      </w:r>
      <w:r>
        <w:rPr>
          <w:rFonts w:ascii="Book Antiqua" w:eastAsia="Book Antiqua" w:hAnsi="Book Antiqua" w:cs="Book Antiqua"/>
          <w:b/>
          <w:bCs/>
          <w:color w:val="000000"/>
        </w:rPr>
        <w:t xml:space="preserve">Histological changes in the course of Ménétrier’s disease: </w:t>
      </w:r>
      <w:r w:rsidR="00644B72">
        <w:rPr>
          <w:rFonts w:ascii="Book Antiqua" w:eastAsia="Book Antiqua" w:hAnsi="Book Antiqua" w:cs="Book Antiqua"/>
          <w:b/>
          <w:bCs/>
          <w:color w:val="000000"/>
        </w:rPr>
        <w:t>F</w:t>
      </w:r>
      <w:r>
        <w:rPr>
          <w:rFonts w:ascii="Book Antiqua" w:eastAsia="Book Antiqua" w:hAnsi="Book Antiqua" w:cs="Book Antiqua"/>
          <w:b/>
          <w:bCs/>
          <w:color w:val="000000"/>
        </w:rPr>
        <w:t>oveolar hyperplasia, proliferation of muscularis mucosae and mild inflammation of lamina propria.</w:t>
      </w:r>
    </w:p>
    <w:p w14:paraId="1DCE0744" w14:textId="3A24BEA3" w:rsidR="00094544" w:rsidRDefault="00F02B6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7866408" wp14:editId="2BF6E7BB">
            <wp:extent cx="4235450" cy="5035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5450" cy="5035550"/>
                    </a:xfrm>
                    <a:prstGeom prst="rect">
                      <a:avLst/>
                    </a:prstGeom>
                    <a:noFill/>
                    <a:ln>
                      <a:noFill/>
                    </a:ln>
                  </pic:spPr>
                </pic:pic>
              </a:graphicData>
            </a:graphic>
          </wp:inline>
        </w:drawing>
      </w:r>
    </w:p>
    <w:p w14:paraId="785A3317" w14:textId="42E55CF3" w:rsidR="00A0035C" w:rsidRDefault="00000000" w:rsidP="00645D2D">
      <w:pPr>
        <w:spacing w:line="360" w:lineRule="auto"/>
        <w:jc w:val="both"/>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8 </w:t>
      </w:r>
      <w:r>
        <w:rPr>
          <w:rFonts w:ascii="Book Antiqua" w:eastAsia="Book Antiqua" w:hAnsi="Book Antiqua" w:cs="Book Antiqua"/>
          <w:b/>
          <w:bCs/>
          <w:color w:val="000000"/>
        </w:rPr>
        <w:t xml:space="preserve">The mucosa with changes in the course of Ménétrier’s disease and the adjacent submucosal lipoma. </w:t>
      </w:r>
      <w:r>
        <w:rPr>
          <w:rFonts w:ascii="Book Antiqua" w:eastAsia="Book Antiqua" w:hAnsi="Book Antiqua" w:cs="Book Antiqua"/>
          <w:color w:val="000000"/>
        </w:rPr>
        <w:t>The lipoma was adjacent to the mucosa without crossing its borders. A: Low magnification; B, C and D: Representative images taken at high magnification.</w:t>
      </w:r>
    </w:p>
    <w:p w14:paraId="30C7B43C" w14:textId="17E9D4B7" w:rsidR="008A2BF0" w:rsidRDefault="008A2BF0">
      <w:pPr>
        <w:spacing w:line="360" w:lineRule="auto"/>
        <w:jc w:val="both"/>
      </w:pPr>
    </w:p>
    <w:p w14:paraId="009232DF" w14:textId="77777777" w:rsidR="008A2BF0" w:rsidRDefault="008A2BF0" w:rsidP="008A2BF0">
      <w:pPr>
        <w:snapToGrid w:val="0"/>
        <w:ind w:leftChars="100" w:left="240"/>
        <w:jc w:val="center"/>
        <w:rPr>
          <w:rFonts w:ascii="Book Antiqua" w:hAnsi="Book Antiqua"/>
        </w:rPr>
      </w:pPr>
      <w:r>
        <w:br w:type="page"/>
      </w:r>
      <w:bookmarkStart w:id="2" w:name="_Hlk123819920"/>
    </w:p>
    <w:p w14:paraId="03B645F2" w14:textId="77777777" w:rsidR="008A2BF0" w:rsidRDefault="008A2BF0" w:rsidP="008A2BF0">
      <w:pPr>
        <w:snapToGrid w:val="0"/>
        <w:ind w:leftChars="100" w:left="240"/>
        <w:jc w:val="center"/>
        <w:rPr>
          <w:rFonts w:ascii="Book Antiqua" w:hAnsi="Book Antiqua"/>
        </w:rPr>
      </w:pPr>
    </w:p>
    <w:p w14:paraId="02A5F97C" w14:textId="77777777" w:rsidR="008A2BF0" w:rsidRDefault="008A2BF0" w:rsidP="008A2BF0">
      <w:pPr>
        <w:snapToGrid w:val="0"/>
        <w:ind w:leftChars="100" w:left="240"/>
        <w:jc w:val="center"/>
        <w:rPr>
          <w:rFonts w:ascii="Book Antiqua" w:hAnsi="Book Antiqua"/>
        </w:rPr>
      </w:pPr>
    </w:p>
    <w:p w14:paraId="3460BB3C" w14:textId="77777777" w:rsidR="008A2BF0" w:rsidRDefault="008A2BF0" w:rsidP="008A2BF0">
      <w:pPr>
        <w:snapToGrid w:val="0"/>
        <w:ind w:leftChars="100" w:left="240"/>
        <w:jc w:val="center"/>
        <w:rPr>
          <w:rFonts w:ascii="Book Antiqua" w:hAnsi="Book Antiqua"/>
        </w:rPr>
      </w:pPr>
    </w:p>
    <w:p w14:paraId="7DFBB54E" w14:textId="77777777" w:rsidR="008A2BF0" w:rsidRDefault="008A2BF0" w:rsidP="008A2BF0">
      <w:pPr>
        <w:snapToGrid w:val="0"/>
        <w:ind w:leftChars="100" w:left="240"/>
        <w:jc w:val="center"/>
        <w:rPr>
          <w:rFonts w:ascii="Book Antiqua" w:hAnsi="Book Antiqua"/>
        </w:rPr>
      </w:pPr>
      <w:r>
        <w:rPr>
          <w:rFonts w:ascii="Book Antiqua" w:hAnsi="Book Antiqua"/>
          <w:noProof/>
        </w:rPr>
        <w:drawing>
          <wp:inline distT="0" distB="0" distL="0" distR="0" wp14:anchorId="0043265F" wp14:editId="2B23AFAE">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C675BCF" w14:textId="77777777" w:rsidR="008A2BF0" w:rsidRDefault="008A2BF0" w:rsidP="008A2BF0">
      <w:pPr>
        <w:snapToGrid w:val="0"/>
        <w:ind w:leftChars="100" w:left="240"/>
        <w:jc w:val="center"/>
        <w:rPr>
          <w:rFonts w:ascii="Book Antiqua" w:hAnsi="Book Antiqua"/>
        </w:rPr>
      </w:pPr>
    </w:p>
    <w:p w14:paraId="6439F262" w14:textId="77777777" w:rsidR="008A2BF0" w:rsidRDefault="008A2BF0" w:rsidP="008A2BF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147FCE" w14:textId="77777777" w:rsidR="008A2BF0" w:rsidRDefault="008A2BF0" w:rsidP="008A2B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77D263" w14:textId="77777777" w:rsidR="008A2BF0" w:rsidRDefault="008A2BF0" w:rsidP="008A2B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CEDD8E" w14:textId="77777777" w:rsidR="008A2BF0" w:rsidRDefault="008A2BF0" w:rsidP="008A2B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167643" w14:textId="77777777" w:rsidR="008A2BF0" w:rsidRDefault="008A2BF0" w:rsidP="008A2B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C3D4E9" w14:textId="77777777" w:rsidR="008A2BF0" w:rsidRDefault="008A2BF0" w:rsidP="008A2BF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CCBD021" w14:textId="77777777" w:rsidR="008A2BF0" w:rsidRDefault="008A2BF0" w:rsidP="008A2BF0">
      <w:pPr>
        <w:snapToGrid w:val="0"/>
        <w:ind w:leftChars="100" w:left="240"/>
        <w:jc w:val="center"/>
        <w:rPr>
          <w:rFonts w:ascii="Book Antiqua" w:hAnsi="Book Antiqua"/>
        </w:rPr>
      </w:pPr>
    </w:p>
    <w:p w14:paraId="01FC419B" w14:textId="77777777" w:rsidR="008A2BF0" w:rsidRDefault="008A2BF0" w:rsidP="008A2BF0">
      <w:pPr>
        <w:snapToGrid w:val="0"/>
        <w:ind w:leftChars="100" w:left="240"/>
        <w:jc w:val="center"/>
        <w:rPr>
          <w:rFonts w:ascii="Book Antiqua" w:hAnsi="Book Antiqua"/>
        </w:rPr>
      </w:pPr>
    </w:p>
    <w:p w14:paraId="456D92F4" w14:textId="77777777" w:rsidR="008A2BF0" w:rsidRDefault="008A2BF0" w:rsidP="008A2BF0">
      <w:pPr>
        <w:snapToGrid w:val="0"/>
        <w:ind w:leftChars="100" w:left="240"/>
        <w:jc w:val="center"/>
        <w:rPr>
          <w:rFonts w:ascii="Book Antiqua" w:hAnsi="Book Antiqua"/>
        </w:rPr>
      </w:pPr>
    </w:p>
    <w:p w14:paraId="17AB649A" w14:textId="77777777" w:rsidR="008A2BF0" w:rsidRDefault="008A2BF0" w:rsidP="008A2BF0">
      <w:pPr>
        <w:snapToGrid w:val="0"/>
        <w:ind w:leftChars="100" w:left="240"/>
        <w:jc w:val="center"/>
        <w:rPr>
          <w:rFonts w:ascii="Book Antiqua" w:hAnsi="Book Antiqua"/>
        </w:rPr>
      </w:pPr>
      <w:r>
        <w:rPr>
          <w:rFonts w:ascii="Book Antiqua" w:hAnsi="Book Antiqua"/>
          <w:noProof/>
        </w:rPr>
        <w:drawing>
          <wp:inline distT="0" distB="0" distL="0" distR="0" wp14:anchorId="131768C9" wp14:editId="041BA870">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53F16C7" w14:textId="77777777" w:rsidR="008A2BF0" w:rsidRDefault="008A2BF0" w:rsidP="008A2BF0">
      <w:pPr>
        <w:snapToGrid w:val="0"/>
        <w:ind w:leftChars="100" w:left="240"/>
        <w:jc w:val="center"/>
        <w:rPr>
          <w:rFonts w:ascii="Book Antiqua" w:hAnsi="Book Antiqua"/>
        </w:rPr>
      </w:pPr>
    </w:p>
    <w:p w14:paraId="005997EE" w14:textId="77777777" w:rsidR="008A2BF0" w:rsidRDefault="008A2BF0" w:rsidP="008A2BF0">
      <w:pPr>
        <w:snapToGrid w:val="0"/>
        <w:ind w:leftChars="100" w:left="240"/>
        <w:jc w:val="center"/>
        <w:rPr>
          <w:rFonts w:ascii="Book Antiqua" w:hAnsi="Book Antiqua"/>
        </w:rPr>
      </w:pPr>
    </w:p>
    <w:p w14:paraId="08262B74" w14:textId="77777777" w:rsidR="008A2BF0" w:rsidRDefault="008A2BF0" w:rsidP="008A2BF0">
      <w:pPr>
        <w:snapToGrid w:val="0"/>
        <w:ind w:leftChars="100" w:left="240"/>
        <w:jc w:val="center"/>
        <w:rPr>
          <w:rFonts w:ascii="Book Antiqua" w:hAnsi="Book Antiqua"/>
        </w:rPr>
      </w:pPr>
    </w:p>
    <w:p w14:paraId="3B5DB824" w14:textId="77777777" w:rsidR="008A2BF0" w:rsidRDefault="008A2BF0" w:rsidP="008A2BF0">
      <w:pPr>
        <w:snapToGrid w:val="0"/>
        <w:ind w:leftChars="100" w:left="240"/>
        <w:jc w:val="center"/>
        <w:rPr>
          <w:rFonts w:ascii="Book Antiqua" w:hAnsi="Book Antiqua"/>
        </w:rPr>
      </w:pPr>
    </w:p>
    <w:p w14:paraId="156E0B5F" w14:textId="77777777" w:rsidR="008A2BF0" w:rsidRDefault="008A2BF0" w:rsidP="008A2BF0">
      <w:pPr>
        <w:snapToGrid w:val="0"/>
        <w:ind w:leftChars="100" w:left="240"/>
        <w:jc w:val="center"/>
        <w:rPr>
          <w:rFonts w:ascii="Book Antiqua" w:hAnsi="Book Antiqua"/>
        </w:rPr>
      </w:pPr>
    </w:p>
    <w:p w14:paraId="39B6FEF3" w14:textId="77777777" w:rsidR="008A2BF0" w:rsidRDefault="008A2BF0" w:rsidP="008A2BF0">
      <w:pPr>
        <w:snapToGrid w:val="0"/>
        <w:ind w:leftChars="100" w:left="240"/>
        <w:jc w:val="center"/>
        <w:rPr>
          <w:rFonts w:ascii="Book Antiqua" w:hAnsi="Book Antiqua"/>
        </w:rPr>
      </w:pPr>
    </w:p>
    <w:p w14:paraId="3C5F7609" w14:textId="77777777" w:rsidR="008A2BF0" w:rsidRDefault="008A2BF0" w:rsidP="008A2BF0">
      <w:pPr>
        <w:snapToGrid w:val="0"/>
        <w:ind w:leftChars="100" w:left="240"/>
        <w:jc w:val="center"/>
        <w:rPr>
          <w:rFonts w:ascii="Book Antiqua" w:hAnsi="Book Antiqua"/>
        </w:rPr>
      </w:pPr>
    </w:p>
    <w:p w14:paraId="3540153B" w14:textId="77777777" w:rsidR="008A2BF0" w:rsidRDefault="008A2BF0" w:rsidP="008A2BF0">
      <w:pPr>
        <w:snapToGrid w:val="0"/>
        <w:ind w:leftChars="100" w:left="240"/>
        <w:jc w:val="center"/>
        <w:rPr>
          <w:rFonts w:ascii="Book Antiqua" w:hAnsi="Book Antiqua"/>
        </w:rPr>
      </w:pPr>
    </w:p>
    <w:p w14:paraId="767B49BA" w14:textId="77777777" w:rsidR="008A2BF0" w:rsidRDefault="008A2BF0" w:rsidP="008A2BF0">
      <w:pPr>
        <w:snapToGrid w:val="0"/>
        <w:ind w:leftChars="100" w:left="240"/>
        <w:jc w:val="center"/>
        <w:rPr>
          <w:rFonts w:ascii="Book Antiqua" w:hAnsi="Book Antiqua"/>
        </w:rPr>
      </w:pPr>
    </w:p>
    <w:p w14:paraId="72C867D8" w14:textId="77777777" w:rsidR="008A2BF0" w:rsidRDefault="008A2BF0" w:rsidP="008A2BF0">
      <w:pPr>
        <w:snapToGrid w:val="0"/>
        <w:ind w:leftChars="100" w:left="240"/>
        <w:jc w:val="right"/>
        <w:rPr>
          <w:rFonts w:ascii="Book Antiqua" w:hAnsi="Book Antiqua"/>
          <w:color w:val="000000" w:themeColor="text1"/>
        </w:rPr>
      </w:pPr>
    </w:p>
    <w:p w14:paraId="0D44AC4D" w14:textId="77777777" w:rsidR="008A2BF0" w:rsidRDefault="008A2BF0" w:rsidP="008A2BF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1E92CFEE" w14:textId="77777777" w:rsidR="008A2BF0" w:rsidRDefault="008A2BF0" w:rsidP="008A2BF0">
      <w:pPr>
        <w:rPr>
          <w:rFonts w:ascii="Book Antiqua" w:hAnsi="Book Antiqua" w:cs="Book Antiqua"/>
          <w:b/>
          <w:bCs/>
          <w:color w:val="000000"/>
        </w:rPr>
      </w:pPr>
    </w:p>
    <w:p w14:paraId="5D8379F0" w14:textId="013F9BA8" w:rsidR="00A0035C" w:rsidRDefault="00A0035C">
      <w:pPr>
        <w:spacing w:line="360" w:lineRule="auto"/>
        <w:jc w:val="both"/>
      </w:pPr>
    </w:p>
    <w:sectPr w:rsidR="00A00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E059D" w14:textId="77777777" w:rsidR="00105EE6" w:rsidRDefault="00105EE6" w:rsidP="001B6B90">
      <w:r>
        <w:separator/>
      </w:r>
    </w:p>
  </w:endnote>
  <w:endnote w:type="continuationSeparator" w:id="0">
    <w:p w14:paraId="57C166FE" w14:textId="77777777" w:rsidR="00105EE6" w:rsidRDefault="00105EE6" w:rsidP="001B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1" w:usb1="0807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5091"/>
      <w:docPartObj>
        <w:docPartGallery w:val="Page Numbers (Bottom of Page)"/>
        <w:docPartUnique/>
      </w:docPartObj>
    </w:sdtPr>
    <w:sdtContent>
      <w:sdt>
        <w:sdtPr>
          <w:id w:val="-1769616900"/>
          <w:docPartObj>
            <w:docPartGallery w:val="Page Numbers (Top of Page)"/>
            <w:docPartUnique/>
          </w:docPartObj>
        </w:sdtPr>
        <w:sdtContent>
          <w:p w14:paraId="088F8141" w14:textId="30AD281E" w:rsidR="0048251E" w:rsidRDefault="0048251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6926646" w14:textId="77777777" w:rsidR="0048251E" w:rsidRDefault="004825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7A643" w14:textId="77777777" w:rsidR="00105EE6" w:rsidRDefault="00105EE6" w:rsidP="001B6B90">
      <w:r>
        <w:separator/>
      </w:r>
    </w:p>
  </w:footnote>
  <w:footnote w:type="continuationSeparator" w:id="0">
    <w:p w14:paraId="55C9A240" w14:textId="77777777" w:rsidR="00105EE6" w:rsidRDefault="00105EE6" w:rsidP="001B6B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2D97"/>
    <w:rsid w:val="00072995"/>
    <w:rsid w:val="00074F19"/>
    <w:rsid w:val="00094544"/>
    <w:rsid w:val="000F58C1"/>
    <w:rsid w:val="00105EE6"/>
    <w:rsid w:val="00107C28"/>
    <w:rsid w:val="001128D9"/>
    <w:rsid w:val="00153448"/>
    <w:rsid w:val="001B6B90"/>
    <w:rsid w:val="001F1DC0"/>
    <w:rsid w:val="002422B0"/>
    <w:rsid w:val="002A2E9D"/>
    <w:rsid w:val="00317A7E"/>
    <w:rsid w:val="00317BE7"/>
    <w:rsid w:val="00361CB6"/>
    <w:rsid w:val="0044733A"/>
    <w:rsid w:val="0048251E"/>
    <w:rsid w:val="00524EB7"/>
    <w:rsid w:val="00556476"/>
    <w:rsid w:val="00644B72"/>
    <w:rsid w:val="00645D2D"/>
    <w:rsid w:val="00657CF0"/>
    <w:rsid w:val="006632B9"/>
    <w:rsid w:val="006E6904"/>
    <w:rsid w:val="00716885"/>
    <w:rsid w:val="00727A41"/>
    <w:rsid w:val="00734268"/>
    <w:rsid w:val="007E3686"/>
    <w:rsid w:val="00805C6D"/>
    <w:rsid w:val="00865EAF"/>
    <w:rsid w:val="008A2BF0"/>
    <w:rsid w:val="00957D30"/>
    <w:rsid w:val="00A0035C"/>
    <w:rsid w:val="00A40D74"/>
    <w:rsid w:val="00A77B3E"/>
    <w:rsid w:val="00AC0070"/>
    <w:rsid w:val="00AD760A"/>
    <w:rsid w:val="00AE4AB7"/>
    <w:rsid w:val="00B85882"/>
    <w:rsid w:val="00BA125F"/>
    <w:rsid w:val="00C41867"/>
    <w:rsid w:val="00C813E9"/>
    <w:rsid w:val="00CA2A55"/>
    <w:rsid w:val="00D4264A"/>
    <w:rsid w:val="00D64A11"/>
    <w:rsid w:val="00D71D4F"/>
    <w:rsid w:val="00D77E8D"/>
    <w:rsid w:val="00D97567"/>
    <w:rsid w:val="00EA0EFB"/>
    <w:rsid w:val="00EE0D5D"/>
    <w:rsid w:val="00F019CF"/>
    <w:rsid w:val="00F02B65"/>
    <w:rsid w:val="00F40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C7290"/>
  <w15:docId w15:val="{F13A2111-AE07-4F78-94DA-8B3939A1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6B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6B90"/>
    <w:rPr>
      <w:sz w:val="18"/>
      <w:szCs w:val="18"/>
    </w:rPr>
  </w:style>
  <w:style w:type="paragraph" w:styleId="a5">
    <w:name w:val="footer"/>
    <w:basedOn w:val="a"/>
    <w:link w:val="a6"/>
    <w:uiPriority w:val="99"/>
    <w:unhideWhenUsed/>
    <w:rsid w:val="001B6B90"/>
    <w:pPr>
      <w:tabs>
        <w:tab w:val="center" w:pos="4153"/>
        <w:tab w:val="right" w:pos="8306"/>
      </w:tabs>
      <w:snapToGrid w:val="0"/>
    </w:pPr>
    <w:rPr>
      <w:sz w:val="18"/>
      <w:szCs w:val="18"/>
    </w:rPr>
  </w:style>
  <w:style w:type="character" w:customStyle="1" w:styleId="a6">
    <w:name w:val="页脚 字符"/>
    <w:basedOn w:val="a0"/>
    <w:link w:val="a5"/>
    <w:uiPriority w:val="99"/>
    <w:rsid w:val="001B6B90"/>
    <w:rPr>
      <w:sz w:val="18"/>
      <w:szCs w:val="18"/>
    </w:rPr>
  </w:style>
  <w:style w:type="paragraph" w:styleId="a7">
    <w:name w:val="Revision"/>
    <w:hidden/>
    <w:uiPriority w:val="99"/>
    <w:semiHidden/>
    <w:rsid w:val="00D77E8D"/>
    <w:rPr>
      <w:sz w:val="24"/>
      <w:szCs w:val="24"/>
    </w:rPr>
  </w:style>
  <w:style w:type="character" w:styleId="a8">
    <w:name w:val="Hyperlink"/>
    <w:basedOn w:val="a0"/>
    <w:unhideWhenUsed/>
    <w:rsid w:val="008A2BF0"/>
    <w:rPr>
      <w:color w:val="0000FF" w:themeColor="hyperlink"/>
      <w:u w:val="single"/>
    </w:rPr>
  </w:style>
  <w:style w:type="character" w:styleId="a9">
    <w:name w:val="Unresolved Mention"/>
    <w:basedOn w:val="a0"/>
    <w:uiPriority w:val="99"/>
    <w:semiHidden/>
    <w:unhideWhenUsed/>
    <w:rsid w:val="008A2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wjgnet.com/1948-5190/full/v15/i1/10.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19</Pages>
  <Words>3515</Words>
  <Characters>20041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43</cp:revision>
  <dcterms:created xsi:type="dcterms:W3CDTF">2022-11-23T02:21:00Z</dcterms:created>
  <dcterms:modified xsi:type="dcterms:W3CDTF">2023-01-09T03:31:00Z</dcterms:modified>
</cp:coreProperties>
</file>