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904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Name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Journal: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World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Journal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of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Gastrointestinal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Endoscopy</w:t>
      </w:r>
    </w:p>
    <w:p w14:paraId="3A42DBF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Manuscript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NO: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80757</w:t>
      </w:r>
    </w:p>
    <w:p w14:paraId="31FC98D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Manuscript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Type: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</w:p>
    <w:p w14:paraId="427F9C30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497A67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8DB0D6F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Effectiveness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early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colonoscopy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in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patients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with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colonic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diverticular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hemorrhage: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A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single-center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retrospective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cohort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study</w:t>
      </w:r>
    </w:p>
    <w:p w14:paraId="469F371C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65121A91" w14:textId="77777777" w:rsidR="00A77B3E" w:rsidRPr="00032239" w:rsidRDefault="009635F1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et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al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F0020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F0020" w:rsidRPr="00032239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CDH</w:t>
      </w:r>
    </w:p>
    <w:p w14:paraId="02920E03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8303AB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Sayuri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Akiko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Chihiro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Karen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</w:p>
    <w:p w14:paraId="2D487B96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0B9E77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Akiko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Sasaki,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Chihiro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Sumida,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Nishino,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Karen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Kimura,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247-8533,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14:paraId="06F155AA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3700C4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Sayuri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Shimizu,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Health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Science,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Yokohama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University,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Yokohama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236-0027,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14:paraId="2C9428D5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4AEF44D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equally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work;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planning,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gathering,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literature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writing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editing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17641B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epidemiological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advice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B207CE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professional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suggestions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B207CE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F4222"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draft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manuscript.</w:t>
      </w:r>
    </w:p>
    <w:p w14:paraId="58303D80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4DB4321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1370-1,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Okamoto,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247-8533,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ichikamasa@yahoo.co.jp</w:t>
      </w:r>
    </w:p>
    <w:p w14:paraId="14F266FD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265A81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14:paraId="00EE4C5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November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1,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2022</w:t>
      </w:r>
    </w:p>
    <w:p w14:paraId="50F3016A" w14:textId="77777777" w:rsidR="00EC5B9F" w:rsidRPr="00425283" w:rsidRDefault="0068778C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5B9F" w:rsidRPr="00425283">
        <w:rPr>
          <w:rFonts w:ascii="Book Antiqua" w:eastAsia="Book Antiqua" w:hAnsi="Book Antiqua" w:cs="Book Antiqua"/>
          <w:color w:val="000000"/>
        </w:rPr>
        <w:t>November 22, 2022</w:t>
      </w:r>
    </w:p>
    <w:p w14:paraId="158A239E" w14:textId="4F1814CF" w:rsidR="00E63BDD" w:rsidRPr="00032239" w:rsidRDefault="0068778C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25283" w:rsidRPr="00425283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25283">
        <w:rPr>
          <w:rFonts w:ascii="Book Antiqua" w:hAnsi="Book Antiqua"/>
          <w:color w:val="000000"/>
          <w:shd w:val="clear" w:color="auto" w:fill="FFFFFF"/>
        </w:rPr>
        <w:t>December 16, 2022</w:t>
      </w:r>
    </w:p>
    <w:p w14:paraId="6F8516BF" w14:textId="77777777" w:rsidR="00E63BDD" w:rsidRPr="00032239" w:rsidRDefault="00E63BDD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FC69FFC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Abstract</w:t>
      </w:r>
    </w:p>
    <w:p w14:paraId="61F4777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BACKGROUND</w:t>
      </w:r>
    </w:p>
    <w:p w14:paraId="7A97DFC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support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remains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</w:p>
    <w:p w14:paraId="2F71B7EE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8A9F41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AIM</w:t>
      </w:r>
    </w:p>
    <w:p w14:paraId="6B04D20B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</w:p>
    <w:p w14:paraId="32FACDBC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AB361C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METHODS</w:t>
      </w:r>
    </w:p>
    <w:p w14:paraId="2EBA661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primary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(SRH),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14:paraId="3FEB1137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8003FC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RESULTS</w:t>
      </w:r>
    </w:p>
    <w:p w14:paraId="7C9C669F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574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328)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226)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pairs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generated.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346E5" w:rsidRPr="00742F89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834AF5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2.7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0.02).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4.7%;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-4.1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13.5;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0.35),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-7.5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0.82),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0.5%;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-2.2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3.2;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1.00).</w:t>
      </w:r>
    </w:p>
    <w:p w14:paraId="1719E916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80FA64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CONCLUSION</w:t>
      </w:r>
    </w:p>
    <w:p w14:paraId="6B6A5E2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6AAB3477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4508B6E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</w:p>
    <w:p w14:paraId="34C5325F" w14:textId="77777777" w:rsidR="007C2BB6" w:rsidRDefault="007C2BB6" w:rsidP="007C2BB6"/>
    <w:p w14:paraId="0C2A28D4" w14:textId="77777777" w:rsidR="007C2BB6" w:rsidRDefault="007C2BB6" w:rsidP="007C2BB6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00CC32CA" w14:textId="77777777" w:rsidR="007C2BB6" w:rsidRPr="00032239" w:rsidRDefault="007C2BB6" w:rsidP="00032239">
      <w:pPr>
        <w:spacing w:line="360" w:lineRule="auto"/>
        <w:jc w:val="both"/>
        <w:rPr>
          <w:rFonts w:ascii="Book Antiqua" w:hAnsi="Book Antiqua"/>
        </w:rPr>
      </w:pPr>
    </w:p>
    <w:p w14:paraId="6156E5E1" w14:textId="0320EDCD" w:rsidR="007C2BB6" w:rsidRDefault="007C2BB6" w:rsidP="000322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2022;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A85540" w:rsidRPr="00A85540">
        <w:rPr>
          <w:rFonts w:ascii="Book Antiqua" w:eastAsia="Book Antiqua" w:hAnsi="Book Antiqua" w:cs="Book Antiqua"/>
          <w:color w:val="000000"/>
        </w:rPr>
        <w:t xml:space="preserve">14(12): </w:t>
      </w:r>
      <w:r>
        <w:rPr>
          <w:rFonts w:ascii="Book Antiqua" w:eastAsia="Book Antiqua" w:hAnsi="Book Antiqua" w:cs="Book Antiqua"/>
          <w:color w:val="000000"/>
        </w:rPr>
        <w:t>759</w:t>
      </w:r>
      <w:r w:rsidR="00A85540" w:rsidRPr="00A8554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768</w:t>
      </w:r>
      <w:r w:rsidR="00A85540" w:rsidRPr="00A85540">
        <w:rPr>
          <w:rFonts w:ascii="Book Antiqua" w:eastAsia="Book Antiqua" w:hAnsi="Book Antiqua" w:cs="Book Antiqua"/>
          <w:color w:val="000000"/>
        </w:rPr>
        <w:t xml:space="preserve"> </w:t>
      </w:r>
    </w:p>
    <w:p w14:paraId="57EF0A9F" w14:textId="7CF974F8" w:rsidR="007C2BB6" w:rsidRPr="007C2BB6" w:rsidRDefault="00A85540" w:rsidP="00032239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C2BB6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85540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7C2BB6" w:rsidRPr="007C2BB6">
          <w:rPr>
            <w:rStyle w:val="a8"/>
            <w:rFonts w:ascii="Book Antiqua" w:eastAsia="Book Antiqua" w:hAnsi="Book Antiqua" w:cs="Book Antiqua"/>
            <w:color w:val="000000" w:themeColor="text1"/>
            <w:u w:val="none"/>
          </w:rPr>
          <w:t>https://www.wjgnet.com/1948-5190/full/v14/i12/759.htm</w:t>
        </w:r>
      </w:hyperlink>
      <w:r w:rsidRPr="007C2BB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A0C07BE" w14:textId="7AF1D784" w:rsidR="00A77B3E" w:rsidRPr="00032239" w:rsidRDefault="00A85540" w:rsidP="00032239">
      <w:pPr>
        <w:spacing w:line="360" w:lineRule="auto"/>
        <w:jc w:val="both"/>
        <w:rPr>
          <w:rFonts w:ascii="Book Antiqua" w:hAnsi="Book Antiqua"/>
        </w:rPr>
      </w:pPr>
      <w:r w:rsidRPr="007C2BB6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85540">
        <w:rPr>
          <w:rFonts w:ascii="Book Antiqua" w:eastAsia="Book Antiqua" w:hAnsi="Book Antiqua" w:cs="Book Antiqua"/>
          <w:color w:val="000000"/>
        </w:rPr>
        <w:t xml:space="preserve"> https://dx.doi.org/10.4253/wjge.v14.i12.</w:t>
      </w:r>
      <w:r w:rsidR="007C2BB6">
        <w:rPr>
          <w:rFonts w:ascii="Book Antiqua" w:eastAsia="Book Antiqua" w:hAnsi="Book Antiqua" w:cs="Book Antiqua"/>
          <w:color w:val="000000"/>
        </w:rPr>
        <w:t>759</w:t>
      </w:r>
    </w:p>
    <w:p w14:paraId="1A91EBF4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6B15A0A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support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remains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purpose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37C0ABD7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58D1F1C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1EF645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(ALGIB),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accounting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60%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cases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usually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pain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5459FF" w:rsidRPr="005459FF">
        <w:rPr>
          <w:rFonts w:ascii="Book Antiqua" w:eastAsia="Book Antiqua" w:hAnsi="Book Antiqua" w:cs="Book Antiqua"/>
          <w:color w:val="000000"/>
        </w:rPr>
        <w:t>computed tomography (CT)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14:paraId="17EA32E8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trials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(RCTs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)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869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ALGIB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[2,4,5]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established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alone.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spontaneous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60</w:t>
      </w:r>
      <w:r w:rsidR="003869F1" w:rsidRPr="00032239">
        <w:rPr>
          <w:rFonts w:ascii="Book Antiqua" w:eastAsia="Book Antiqua" w:hAnsi="Book Antiqua" w:cs="Book Antiqua"/>
          <w:color w:val="000000"/>
        </w:rPr>
        <w:t>%</w:t>
      </w:r>
      <w:r w:rsidR="003869F1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%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2,10</w:t>
      </w:r>
      <w:r w:rsidR="003869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prevalence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</w:t>
      </w:r>
      <w:r w:rsidR="003869F1" w:rsidRPr="00032239">
        <w:rPr>
          <w:rFonts w:ascii="Book Antiqua" w:eastAsia="Book Antiqua" w:hAnsi="Book Antiqua" w:cs="Book Antiqua"/>
          <w:color w:val="000000"/>
        </w:rPr>
        <w:t>%</w:t>
      </w:r>
      <w:r w:rsidR="003869F1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48%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source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0EAFB012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often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preparation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personnel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purpose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05026873" w14:textId="77777777"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14:paraId="486DC95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6D0CB1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030D1B9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</w:p>
    <w:p w14:paraId="28E718BD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44ACD1B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4F56BA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5-year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January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December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(SRH)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diverticulum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CF6F42">
        <w:rPr>
          <w:rFonts w:ascii="Book Antiqua" w:eastAsia="Book Antiqua" w:hAnsi="Book Antiqua" w:cs="Book Antiqua"/>
          <w:color w:val="000000"/>
        </w:rPr>
        <w:t>(</w:t>
      </w:r>
      <w:r w:rsidRPr="00CF6F42">
        <w:rPr>
          <w:rFonts w:ascii="Book Antiqua" w:eastAsia="Book Antiqua" w:hAnsi="Book Antiqua" w:cs="Book Antiqua"/>
          <w:bCs/>
          <w:color w:val="000000"/>
        </w:rPr>
        <w:t>Figure</w:t>
      </w:r>
      <w:r w:rsidR="00EA1E3A">
        <w:rPr>
          <w:rFonts w:ascii="Book Antiqua" w:eastAsia="Book Antiqua" w:hAnsi="Book Antiqua" w:cs="Book Antiqua"/>
          <w:bCs/>
          <w:color w:val="000000"/>
        </w:rPr>
        <w:t>s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F6F42">
        <w:rPr>
          <w:rFonts w:ascii="Book Antiqua" w:eastAsia="Book Antiqua" w:hAnsi="Book Antiqua" w:cs="Book Antiqua"/>
          <w:bCs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</w:p>
    <w:p w14:paraId="462F1B1D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18300BA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Exposure</w:t>
      </w:r>
    </w:p>
    <w:p w14:paraId="063B5FD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arrival.</w:t>
      </w:r>
    </w:p>
    <w:p w14:paraId="2ED82C45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6272E4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8264FA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(IVR)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developed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follow-up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allocated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allocated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deterioration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condition,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disadvantaged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</w:p>
    <w:p w14:paraId="10C98911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1E9BFFC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1B074BF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Eastern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Cooperative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Oncology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(PS)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comorbidities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(hypertension,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diabetes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mellites,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coronary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chronic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kidney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hemodialysis),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non-steroidal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anti-inflammatory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drugs,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(hemoglobin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g/d</w:t>
      </w:r>
      <w:r w:rsidR="00E92187">
        <w:rPr>
          <w:rFonts w:ascii="Book Antiqua" w:eastAsia="Book Antiqua" w:hAnsi="Book Antiqua" w:cs="Book Antiqua"/>
          <w:color w:val="000000"/>
        </w:rPr>
        <w:t>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platelet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under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521BF2">
        <w:rPr>
          <w:rFonts w:ascii="Book Antiqua" w:eastAsia="Book Antiqua" w:hAnsi="Book Antiqua" w:cs="Book Antiqua"/>
          <w:color w:val="000000"/>
        </w:rPr>
        <w:t>10</w:t>
      </w:r>
      <w:r w:rsidR="00E92187">
        <w:rPr>
          <w:rFonts w:ascii="Book Antiqua" w:eastAsia="Book Antiqua" w:hAnsi="Book Antiqua" w:cs="Book Antiqua"/>
          <w:color w:val="000000"/>
        </w:rPr>
        <w:t>000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E9218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18.5),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normal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(18.5</w:t>
      </w:r>
      <w:r w:rsidR="00E92187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24.9),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(25</w:t>
      </w:r>
      <w:r w:rsidR="00E92187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29.9),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obese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(≥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condition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Comorbidities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ascertained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patient's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creatinine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mg/dL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chronic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kidney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prescription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aspirin,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thienopyridine,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warfarin,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anticoagulants.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classified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</w:t>
      </w:r>
      <w:r w:rsidR="00F02893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</w:t>
      </w:r>
      <w:r w:rsidR="00F02893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3)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medium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delayed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phase.</w:t>
      </w:r>
    </w:p>
    <w:p w14:paraId="497B9C1A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primary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SRH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colonoscopy-related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complications.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hospitalization.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14:paraId="26206DAF" w14:textId="77777777"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14:paraId="451C9D0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5C1EAB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minimize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imbalances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backgrounds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groups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estimated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dependent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independent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one-to-one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utilizing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nearest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neighbor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replacement.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caliper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width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deviation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Balances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examined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values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balanced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14:paraId="2B556284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addition,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First,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changed.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="003151DF" w:rsidRPr="003151DF">
        <w:rPr>
          <w:rFonts w:ascii="Book Antiqua" w:eastAsia="宋体" w:hAnsi="Book Antiqua" w:cs="宋体"/>
          <w:color w:val="000000"/>
        </w:rPr>
        <w:t>≥</w:t>
      </w:r>
      <w:r w:rsidR="003151DF" w:rsidRPr="003151D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approach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linear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14:paraId="05B1301B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Continuous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interquartile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ranges,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numbers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Continuous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Mann-Whitney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chi-square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(CI)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calculated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binary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calculated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odds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ratios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(ORs)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two-sided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level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819D8" w:rsidRPr="007819D8">
        <w:rPr>
          <w:rFonts w:ascii="Book Antiqua" w:eastAsia="Book Antiqua" w:hAnsi="Book Antiqua" w:cs="Book Antiqua"/>
          <w:i/>
          <w:color w:val="000000"/>
        </w:rPr>
        <w:t xml:space="preserve">P </w:t>
      </w:r>
      <w:r w:rsidRPr="00032239">
        <w:rPr>
          <w:rFonts w:ascii="Book Antiqua" w:eastAsia="Book Antiqua" w:hAnsi="Book Antiqua" w:cs="Book Antiqua"/>
          <w:color w:val="000000"/>
        </w:rPr>
        <w:t>&lt;</w:t>
      </w:r>
      <w:r w:rsidR="007819D8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0.05.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EZR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1.55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package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software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(https://www.r-project.org/).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precisely,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modified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commander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designed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functions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frequently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biostatistics.</w:t>
      </w:r>
    </w:p>
    <w:p w14:paraId="798F4097" w14:textId="77777777"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14:paraId="07ADD75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</w:p>
    <w:p w14:paraId="332A1F0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established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1964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Declaration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Helsinki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amendments.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Committee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(IRB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E072B" w:rsidRPr="00032239">
        <w:rPr>
          <w:rFonts w:ascii="Book Antiqua" w:eastAsia="Book Antiqua" w:hAnsi="Book Antiqua" w:cs="Book Antiqua"/>
          <w:color w:val="000000"/>
        </w:rPr>
        <w:t>No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TGE01304-024).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human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participants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through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opt-out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website.</w:t>
      </w:r>
    </w:p>
    <w:p w14:paraId="71F46EBC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4949086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D5074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573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applying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criteria,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557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328)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226)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One-to-one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pairs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335C8A">
        <w:rPr>
          <w:rFonts w:ascii="Book Antiqua" w:eastAsia="Book Antiqua" w:hAnsi="Book Antiqua" w:cs="Book Antiqua"/>
          <w:bCs/>
          <w:color w:val="000000"/>
        </w:rPr>
        <w:t>Figure</w:t>
      </w:r>
      <w:r w:rsidR="00FA39F9" w:rsidRPr="00335C8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35C8A">
        <w:rPr>
          <w:rFonts w:ascii="Book Antiqua" w:eastAsia="Book Antiqua" w:hAnsi="Book Antiqua" w:cs="Book Antiqua"/>
          <w:bCs/>
          <w:color w:val="000000"/>
        </w:rPr>
        <w:t>2</w:t>
      </w:r>
      <w:r w:rsidRPr="00032239">
        <w:rPr>
          <w:rFonts w:ascii="Book Antiqua" w:eastAsia="Book Antiqua" w:hAnsi="Book Antiqua" w:cs="Book Antiqua"/>
          <w:color w:val="000000"/>
        </w:rPr>
        <w:t>).</w:t>
      </w:r>
    </w:p>
    <w:p w14:paraId="3484114B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eligible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 w:rsidRPr="00451FEB">
        <w:rPr>
          <w:rFonts w:ascii="Book Antiqua" w:eastAsia="Book Antiqua" w:hAnsi="Book Antiqua" w:cs="Book Antiqua"/>
          <w:color w:val="000000"/>
        </w:rPr>
        <w:t xml:space="preserve"> </w:t>
      </w:r>
      <w:r w:rsidRPr="00451FEB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451FE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51FEB">
        <w:rPr>
          <w:rFonts w:ascii="Book Antiqua" w:eastAsia="Book Antiqua" w:hAnsi="Book Antiqua" w:cs="Book Antiqua"/>
          <w:bCs/>
          <w:color w:val="000000"/>
        </w:rPr>
        <w:t>1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unbalanced,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especially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unbalanced.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balanced.</w:t>
      </w:r>
    </w:p>
    <w:p w14:paraId="49984B6E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822645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82264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2645">
        <w:rPr>
          <w:rFonts w:ascii="Book Antiqua" w:eastAsia="Book Antiqua" w:hAnsi="Book Antiqua" w:cs="Book Antiqua"/>
          <w:bCs/>
          <w:color w:val="000000"/>
        </w:rPr>
        <w:t>2</w:t>
      </w:r>
      <w:r w:rsidR="00FA39F9" w:rsidRPr="00822645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70C8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(32.5%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2831C5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20.9%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2.7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0.02).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(28.8%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2831C5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24.1%,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4.7%;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-4.1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13.5;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0.35),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(29.3%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27.7%,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-7.5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0.82),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(2.1%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FE284B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0.5%;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-2.2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3.2;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1.00)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superiority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(Table</w:t>
      </w:r>
      <w:r w:rsidR="00FA39F9" w:rsidRPr="00FD1C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3)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(Table</w:t>
      </w:r>
      <w:r w:rsidR="00FA39F9" w:rsidRPr="00FD1C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4)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14:paraId="729284FD" w14:textId="77777777"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14:paraId="7A04C96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4B073FA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advantage,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14:paraId="205E10C5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(RCT)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2020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RCT,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recognize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RCTs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usefulness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recognize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large,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receipt-based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9F034F" w:rsidRPr="009F034F">
        <w:rPr>
          <w:rFonts w:ascii="Book Antiqua" w:eastAsia="Book Antiqua" w:hAnsi="Book Antiqua" w:cs="Book Antiqua"/>
          <w:color w:val="000000"/>
        </w:rPr>
        <w:t>United 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20,100)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2078B" w:rsidRPr="0062078B">
        <w:rPr>
          <w:rFonts w:ascii="Book Antiqua" w:eastAsia="Book Antiqua" w:hAnsi="Book Antiqua" w:cs="Book Antiqua"/>
          <w:color w:val="000000"/>
        </w:rPr>
        <w:t>United 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readmission.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disadvantage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several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reasons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database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D91A2F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imaging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BA0342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D91A2F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accurate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BA0342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A034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3)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hourly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0CA1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confounding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compensated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surrogate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markers,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confounding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adequately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addressed,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040CA1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0CA1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accuracy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itself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likely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validation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incorrect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ICD-10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codes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appropriately.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Database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daily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hourly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admission,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depending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admitted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evaluated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adjusted,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</w:p>
    <w:p w14:paraId="53B60BF7" w14:textId="77777777"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possible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reason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prolonged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despite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source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836D5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F836D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836D5">
        <w:rPr>
          <w:rFonts w:ascii="Book Antiqua" w:eastAsia="Book Antiqua" w:hAnsi="Book Antiqua" w:cs="Book Antiqua"/>
          <w:bCs/>
          <w:color w:val="000000"/>
        </w:rPr>
        <w:t>5</w:t>
      </w:r>
      <w:r w:rsidR="00FA39F9" w:rsidRPr="00F836D5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9F076C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9F076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F076C">
        <w:rPr>
          <w:rFonts w:ascii="Book Antiqua" w:eastAsia="Book Antiqua" w:hAnsi="Book Antiqua" w:cs="Book Antiqua"/>
          <w:bCs/>
          <w:color w:val="000000"/>
        </w:rPr>
        <w:t>6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considerably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techniques.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(EBL)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zippier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9.3%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F1560" w:rsidRPr="007F1560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45.1%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F1560" w:rsidRPr="007F1560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10.3%).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Especially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years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F212F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shorten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number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inadequate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2020.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Further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future.</w:t>
      </w:r>
    </w:p>
    <w:p w14:paraId="09F5D7A1" w14:textId="77777777" w:rsidR="008D5EF0" w:rsidRDefault="008D5EF0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75DE73F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Limits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287D38BA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several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limitations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associated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First,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generalizability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outside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localization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frequency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racial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Asian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applied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races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F212F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Third,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potential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terms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associated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confirming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factor.</w:t>
      </w:r>
    </w:p>
    <w:p w14:paraId="66F5ED11" w14:textId="77777777" w:rsidR="00A77B3E" w:rsidRPr="00032239" w:rsidRDefault="0068778C" w:rsidP="00F237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Finally,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focused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Therefore,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actual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time.</w:t>
      </w:r>
    </w:p>
    <w:p w14:paraId="0394998B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6D3205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8CA85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conclusion,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necessary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</w:p>
    <w:p w14:paraId="5B21BE88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8974D7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F836A7B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F98B68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evidenced.</w:t>
      </w:r>
    </w:p>
    <w:p w14:paraId="709ECAE1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16DA0D4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63C3A3A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motivation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hemorrhage.</w:t>
      </w:r>
    </w:p>
    <w:p w14:paraId="0F92B052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0982E6D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DDDE67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aimed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h).</w:t>
      </w:r>
    </w:p>
    <w:p w14:paraId="44E078AB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2820C9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228E55B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years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</w:p>
    <w:p w14:paraId="75F37D0B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1910F68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ACF4AD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3D76650F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020FB33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5AF26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14:paraId="4F119CA7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1B3979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1CB95C3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Further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needed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14:paraId="4A3D10E9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23BEA7E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43BA93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express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gratitude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involved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care.</w:t>
      </w:r>
    </w:p>
    <w:p w14:paraId="5FD7CFEA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550268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E35081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Kobayashi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Yamauchi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Aoyama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Kishino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Sawada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Murata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Takao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Mizukami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Uotani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Hayasaka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Funabiki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Mizuki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Kiyotoki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Gushima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Fuyuno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Gunji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Toya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Narimatsu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Nagaike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Funakoshi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Kawagishi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Matsuhashi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Komaki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Miki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Watanabe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Fukuzawa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Kawai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Identifying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Etiologies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Affected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10,342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Hematochezia: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BLUE-J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2222-2234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34388140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10.14309/ajg.0000000000001413]</w:t>
      </w:r>
    </w:p>
    <w:p w14:paraId="11942CB9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Pasha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Acosta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Chandrasekhara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Evans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Fisher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Hwang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Muthusamy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Saltzman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Cash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role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79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875-885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24703084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10.1016/j.gie.2013.10.039]</w:t>
      </w:r>
    </w:p>
    <w:p w14:paraId="7C847019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T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Baird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Pearson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Schade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RR.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2009;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80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977-983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19873964]</w:t>
      </w:r>
    </w:p>
    <w:p w14:paraId="7FCD6670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Strate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LL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Guideline: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Management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111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459-474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26925883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10.1038/ajg.2016.41]</w:t>
      </w:r>
    </w:p>
    <w:p w14:paraId="05DFE488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Tomizawa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Urita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Funabiki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Diverticulitis: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Japan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Gastroenterological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Association.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99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1-26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30625484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10.1159/000495282]</w:t>
      </w:r>
    </w:p>
    <w:p w14:paraId="794EE309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Rongen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I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Thomassen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BJW,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Perk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Standard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53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591-598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29734211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10.1097/MCG.0000000000001048]</w:t>
      </w:r>
    </w:p>
    <w:p w14:paraId="6268C1DC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BT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Rockey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Portwood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Tarnasky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Guarisco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Branch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Leung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Jowell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Urgent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evaluation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management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2005;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100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2395-2402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16279891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2005.00306.x</w:t>
      </w:r>
      <w:proofErr w:type="gramEnd"/>
      <w:r w:rsidR="0068778C" w:rsidRPr="00032239">
        <w:rPr>
          <w:rFonts w:ascii="Book Antiqua" w:eastAsia="Book Antiqua" w:hAnsi="Book Antiqua" w:cs="Book Antiqua"/>
          <w:color w:val="000000"/>
        </w:rPr>
        <w:t>]</w:t>
      </w:r>
    </w:p>
    <w:p w14:paraId="67E1FCD8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Laine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Shah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urgent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hospitalized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105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2636-41;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quiz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2642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20648004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10.1038/ajg.2010.277]</w:t>
      </w:r>
    </w:p>
    <w:p w14:paraId="63ADE832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R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Nagata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Honda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Hasatani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Doyama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Nishida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Sumiyoshi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Kiyotoki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Shinozaki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Takata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Mabe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Koike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Efficacy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2020;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158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168-175.e6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31563627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10.1053/j.gastro.2019.09.010]</w:t>
      </w:r>
    </w:p>
    <w:p w14:paraId="21B1BE6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Motomura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Akahoshi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Iwao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Nakama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Osoegawa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Itaba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Kubokawa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Hisano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Nakamura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Takayanagi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Predictive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features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334-338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22844561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10.5009/gnl.2012.6.3.334]</w:t>
      </w:r>
    </w:p>
    <w:p w14:paraId="3AE3238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Aytac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Stocchi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Gorgun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Ozuner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long-term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373-378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24337782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10.1007/s00384-013-1804-8]</w:t>
      </w:r>
    </w:p>
    <w:p w14:paraId="36D6DA4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Poncet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Heluwaert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Voirin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Bonaz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Faucheron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consecutive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466-471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20491745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2010.04362.x</w:t>
      </w:r>
      <w:proofErr w:type="gramEnd"/>
      <w:r w:rsidRPr="00032239">
        <w:rPr>
          <w:rFonts w:ascii="Book Antiqua" w:eastAsia="Book Antiqua" w:hAnsi="Book Antiqua" w:cs="Book Antiqua"/>
          <w:color w:val="000000"/>
        </w:rPr>
        <w:t>]</w:t>
      </w:r>
    </w:p>
    <w:p w14:paraId="6B8055F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1</w:t>
      </w:r>
      <w:r w:rsidR="007141B8"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Segev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Ozuner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Dietol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2017;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152-157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28240003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10.23736/S1121-421X.17.02384-4]</w:t>
      </w:r>
    </w:p>
    <w:p w14:paraId="356DE65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Jensen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Ohning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Kovacs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Jutabha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Dulai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Machicado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Doppler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flow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monitoring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stratification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416-423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26227931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10.1016/j.gie.2015.07.033]</w:t>
      </w:r>
    </w:p>
    <w:p w14:paraId="5429EE0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Oken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Creech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Tormey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Horton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Davis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McFadden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Carbone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Toxicity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response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criteria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Eastern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Cooperative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Oncology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1982;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649-655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7165009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10.1097/00000421-198212000-00014]</w:t>
      </w:r>
    </w:p>
    <w:p w14:paraId="679D16EC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Koch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Lovett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Nghiem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Riggs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Rech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utility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limitations.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179-199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31616192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10.2147/OAEM.S178358]</w:t>
      </w:r>
    </w:p>
    <w:p w14:paraId="1085452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Rosenbaum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8713B3">
        <w:rPr>
          <w:rFonts w:ascii="Book Antiqua" w:eastAsia="Book Antiqua" w:hAnsi="Book Antiqua" w:cs="Book Antiqua"/>
          <w:bCs/>
          <w:color w:val="000000"/>
        </w:rPr>
        <w:t>,</w:t>
      </w:r>
      <w:r w:rsidR="00FA39F9" w:rsidRPr="008713B3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Rubin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DB.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Constructing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incorporate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A265CF">
        <w:rPr>
          <w:rFonts w:ascii="Book Antiqua" w:eastAsia="Book Antiqua" w:hAnsi="Book Antiqua" w:cs="Book Antiqua"/>
          <w:i/>
          <w:color w:val="000000"/>
        </w:rPr>
        <w:t>Am</w:t>
      </w:r>
      <w:r w:rsidR="00FA39F9" w:rsidRPr="00A265C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65CF">
        <w:rPr>
          <w:rFonts w:ascii="Book Antiqua" w:eastAsia="Book Antiqua" w:hAnsi="Book Antiqua" w:cs="Book Antiqua"/>
          <w:i/>
          <w:color w:val="000000"/>
        </w:rPr>
        <w:t>Stat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1985;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735C78">
        <w:rPr>
          <w:rFonts w:ascii="Book Antiqua" w:eastAsia="Book Antiqua" w:hAnsi="Book Antiqua" w:cs="Book Antiqua"/>
          <w:b/>
          <w:color w:val="000000"/>
        </w:rPr>
        <w:t>39: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</w:t>
      </w:r>
      <w:r w:rsidR="00735C78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38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[DOI:</w:t>
      </w:r>
      <w:r w:rsidR="008713B3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10.2307/2683903]</w:t>
      </w:r>
    </w:p>
    <w:p w14:paraId="63BAFF2C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easy-to-use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software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'EZR'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452-458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23208313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10.1038/bmt.2012.244]</w:t>
      </w:r>
    </w:p>
    <w:p w14:paraId="17DC2D8D" w14:textId="77777777"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Nigam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Sengupta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Delayed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Administrative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Database.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2018;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52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721-725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28961575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10.1097/MCG.0000000000000937]</w:t>
      </w:r>
    </w:p>
    <w:p w14:paraId="74CC49A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Kitagawa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Kobayashi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Furumoto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Iwata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Sugimoto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Kawai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Cumulative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Systematic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meta-analysis.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1738-1743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33295071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10.1111/jgh.15370]</w:t>
      </w:r>
    </w:p>
    <w:p w14:paraId="5C322D7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2</w:t>
      </w:r>
      <w:r w:rsidR="007141B8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Ishii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Setoyama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Deshpande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Matsuda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Iizuka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Fukuda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382-387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21944311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10.1016/j.gie.2011.07.030]</w:t>
      </w:r>
    </w:p>
    <w:p w14:paraId="0C06DEB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Okamoto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Nakamura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Yoshimoto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Takasu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Okuyama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Fukuda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Elderly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760-766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33556954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10.1159/000513310]</w:t>
      </w:r>
    </w:p>
    <w:p w14:paraId="7E9AB39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Sakurai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Long-term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therapy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2018;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841-853.e4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30036505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10.1016/j.gie.2018.07.018]</w:t>
      </w:r>
    </w:p>
    <w:p w14:paraId="0FE8D95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Nagata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Furumoto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Yamauchi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Kishino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Sawada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Murata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Mizukami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Uotani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Hayasaka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BLUE-J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collaborators.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adverse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large-scale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735-744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34820792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10.1055/a-1705-0921]</w:t>
      </w:r>
    </w:p>
    <w:p w14:paraId="72E7841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Itoh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Goda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aging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society: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lessons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9-year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28,192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379-385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24317937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10.1007/s00384-013-1808-4]</w:t>
      </w:r>
    </w:p>
    <w:p w14:paraId="36C39F9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Kishida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Tanaka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Watanabe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Itoh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Alcohol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affect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uncomplicated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e81137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24339905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10.1371/journal.pone.0081137]</w:t>
      </w:r>
    </w:p>
    <w:p w14:paraId="09CDCB35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2</w:t>
      </w:r>
      <w:r w:rsidR="007141B8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Wheat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Strate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Trends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Hospitalization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Diverticulitis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2000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2010.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96-103.e1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25862988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10.1016/j.cgh.2015.03.030]</w:t>
      </w:r>
    </w:p>
    <w:p w14:paraId="36F96CF2" w14:textId="77777777" w:rsidR="008F18BF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Peery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Keku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Martin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Eluri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Runge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Galanko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Sandler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Screening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Population.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980-985.e1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26872402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10.1016/j.cgh.2016.01.020]</w:t>
      </w:r>
    </w:p>
    <w:p w14:paraId="19D55EB3" w14:textId="77777777" w:rsidR="008F18BF" w:rsidRDefault="008F18BF" w:rsidP="00032239">
      <w:pPr>
        <w:spacing w:line="360" w:lineRule="auto"/>
        <w:jc w:val="both"/>
        <w:rPr>
          <w:rFonts w:ascii="Book Antiqua" w:hAnsi="Book Antiqua"/>
        </w:rPr>
      </w:pPr>
    </w:p>
    <w:p w14:paraId="299ECA4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Footnotes</w:t>
      </w:r>
    </w:p>
    <w:p w14:paraId="4BC1CF3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Committee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(IRB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903575" w:rsidRPr="00032239">
        <w:rPr>
          <w:rFonts w:ascii="Book Antiqua" w:eastAsia="Book Antiqua" w:hAnsi="Book Antiqua" w:cs="Book Antiqua"/>
          <w:color w:val="000000"/>
        </w:rPr>
        <w:t>No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TGE01304-024).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14:paraId="653671C0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74B6C29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human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participants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through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opt-out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website.</w:t>
      </w:r>
    </w:p>
    <w:p w14:paraId="22550882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334264A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2F3E" w:rsidRPr="00D72F3E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D72F3E" w:rsidRPr="00D72F3E">
        <w:rPr>
          <w:rFonts w:ascii="Book Antiqua" w:eastAsia="Book Antiqua" w:hAnsi="Book Antiqua" w:cs="Book Antiqua"/>
          <w:color w:val="000000"/>
        </w:rPr>
        <w:t>t</w:t>
      </w:r>
      <w:r w:rsidRPr="00032239">
        <w:rPr>
          <w:rFonts w:ascii="Book Antiqua" w:eastAsia="Book Antiqua" w:hAnsi="Book Antiqua" w:cs="Book Antiqua"/>
          <w:color w:val="000000"/>
        </w:rPr>
        <w:t>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conflicts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relevant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article.</w:t>
      </w:r>
    </w:p>
    <w:p w14:paraId="72ADAE29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0BFF4D7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anonymous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request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corresponding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7603B5">
          <w:rPr>
            <w:rFonts w:ascii="Book Antiqua" w:eastAsia="Book Antiqua" w:hAnsi="Book Antiqua" w:cs="Book Antiqua"/>
            <w:color w:val="000000"/>
          </w:rPr>
          <w:t>ichikamasa@yahoo.co.jp</w:t>
        </w:r>
      </w:hyperlink>
      <w:r w:rsidRPr="00032239">
        <w:rPr>
          <w:rFonts w:ascii="Book Antiqua" w:eastAsia="Book Antiqua" w:hAnsi="Book Antiqua" w:cs="Book Antiqua"/>
          <w:color w:val="000000"/>
        </w:rPr>
        <w:t>.</w:t>
      </w:r>
    </w:p>
    <w:p w14:paraId="5C4B775D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62F2046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STROBE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Statement—checklist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items,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manuscript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STROBE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Statement—checklist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items.</w:t>
      </w:r>
    </w:p>
    <w:p w14:paraId="68F5F013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3E07F02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open-access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in-house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editor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peer-reviewed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external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Attribution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BY-NC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4.0)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license,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permits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others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remix,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adapt,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build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upon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non-commercially,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license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derivative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terms,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non-commercial.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194ED8C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969E47B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Provenance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and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peer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review: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Unsolicited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Externally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reviewed.</w:t>
      </w:r>
    </w:p>
    <w:p w14:paraId="4E6F2D9B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model: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blind</w:t>
      </w:r>
    </w:p>
    <w:p w14:paraId="1A3574DE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0FD12F2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started: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14:paraId="670AE87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First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decision: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14:paraId="2884523B" w14:textId="5A5DBF78" w:rsidR="00A77B3E" w:rsidRPr="00425283" w:rsidRDefault="0068778C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Article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in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press: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5283" w:rsidRPr="00425283">
        <w:rPr>
          <w:rFonts w:ascii="Book Antiqua" w:eastAsia="Book Antiqua" w:hAnsi="Book Antiqua" w:cs="Book Antiqua"/>
          <w:color w:val="000000"/>
        </w:rPr>
        <w:t>November 22, 2022</w:t>
      </w:r>
    </w:p>
    <w:p w14:paraId="77535BBA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53F2D48C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Specialty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type: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Hepatology</w:t>
      </w:r>
    </w:p>
    <w:p w14:paraId="25D0E0F1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Country/Territory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origin: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14:paraId="59524E79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report’s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scientific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quality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995864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(Excellent):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14:paraId="26E0C567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(Very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good):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14:paraId="1801C86D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(Good):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</w:p>
    <w:p w14:paraId="1772C66E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(Fair):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14:paraId="293332B8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(Poor):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14:paraId="2C2D7EA2" w14:textId="77777777"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14:paraId="685FD2C2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  <w:sectPr w:rsidR="00A77B3E" w:rsidRPr="0003223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2239">
        <w:rPr>
          <w:rFonts w:ascii="Book Antiqua" w:eastAsia="Book Antiqua" w:hAnsi="Book Antiqua" w:cs="Book Antiqua"/>
          <w:b/>
          <w:color w:val="000000"/>
        </w:rPr>
        <w:t>P-Reviewer: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Fusaroli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Italy;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-Matsubara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Mexico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S-Editor:</w:t>
      </w:r>
      <w:r w:rsidR="00FA39F9" w:rsidRPr="00D55E91">
        <w:rPr>
          <w:rFonts w:ascii="Book Antiqua" w:eastAsia="Book Antiqua" w:hAnsi="Book Antiqua" w:cs="Book Antiqua"/>
          <w:color w:val="000000"/>
        </w:rPr>
        <w:t xml:space="preserve"> </w:t>
      </w:r>
      <w:r w:rsidR="00D55E91" w:rsidRPr="00D55E91">
        <w:rPr>
          <w:rFonts w:ascii="Book Antiqua" w:eastAsia="Book Antiqua" w:hAnsi="Book Antiqua" w:cs="Book Antiqua"/>
          <w:color w:val="000000"/>
        </w:rPr>
        <w:t>Liu JH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L-Editor: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2FA" w:rsidRPr="00AD52FA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P-Editor:</w:t>
      </w:r>
      <w:r w:rsidR="0057281D" w:rsidRPr="00D55E91">
        <w:rPr>
          <w:rFonts w:ascii="Book Antiqua" w:eastAsia="Book Antiqua" w:hAnsi="Book Antiqua" w:cs="Book Antiqua"/>
          <w:color w:val="000000"/>
        </w:rPr>
        <w:t xml:space="preserve"> Liu JH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F254860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Legends</w:t>
      </w:r>
    </w:p>
    <w:p w14:paraId="145653EF" w14:textId="7FF2188F" w:rsidR="007900E7" w:rsidRDefault="00112D8B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4204EFE3" wp14:editId="3D8705B0">
            <wp:extent cx="4852035" cy="22040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AF1F" w14:textId="77777777"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3D3A">
        <w:rPr>
          <w:rFonts w:ascii="Book Antiqua" w:eastAsia="Book Antiqua" w:hAnsi="Book Antiqua" w:cs="Book Antiqua"/>
          <w:b/>
          <w:bCs/>
          <w:color w:val="000000"/>
        </w:rPr>
        <w:t>1</w:t>
      </w:r>
      <w:r w:rsidR="00FA39F9" w:rsidRPr="005F3C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Image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of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Stigmata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of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recent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hemorrhage</w:t>
      </w:r>
      <w:r w:rsidR="00B23D3A" w:rsidRPr="005F3C9F">
        <w:rPr>
          <w:rFonts w:ascii="Book Antiqua" w:hAnsi="Book Antiqua" w:hint="eastAsia"/>
          <w:b/>
          <w:lang w:eastAsia="zh-CN"/>
        </w:rPr>
        <w:t>.</w:t>
      </w:r>
      <w:r w:rsidR="00B23D3A">
        <w:rPr>
          <w:rFonts w:ascii="Book Antiqua" w:hAnsi="Book Antiqua"/>
          <w:lang w:eastAsia="zh-CN"/>
        </w:rPr>
        <w:t xml:space="preserve"> </w:t>
      </w:r>
      <w:r w:rsidR="00B23D3A" w:rsidRPr="00032239">
        <w:rPr>
          <w:rFonts w:ascii="Book Antiqua" w:eastAsia="Book Antiqua" w:hAnsi="Book Antiqua" w:cs="Book Antiqua"/>
          <w:color w:val="000000"/>
        </w:rPr>
        <w:t>A</w:t>
      </w:r>
      <w:r w:rsidR="00B23D3A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B23D3A">
        <w:rPr>
          <w:rFonts w:ascii="Book Antiqua" w:eastAsia="Book Antiqua" w:hAnsi="Book Antiqua" w:cs="Book Antiqua"/>
          <w:color w:val="000000"/>
        </w:rPr>
        <w:t>;</w:t>
      </w:r>
      <w:r w:rsidR="00B23D3A">
        <w:rPr>
          <w:rFonts w:ascii="Book Antiqua" w:hAnsi="Book Antiqua" w:hint="eastAsia"/>
          <w:lang w:eastAsia="zh-CN"/>
        </w:rPr>
        <w:t xml:space="preserve"> </w:t>
      </w:r>
      <w:r w:rsidR="00B23D3A">
        <w:rPr>
          <w:rFonts w:ascii="Book Antiqua" w:eastAsia="Book Antiqua" w:hAnsi="Book Antiqua" w:cs="Book Antiqua"/>
          <w:color w:val="000000"/>
        </w:rPr>
        <w:t xml:space="preserve">B: </w:t>
      </w:r>
      <w:r w:rsidRPr="00032239">
        <w:rPr>
          <w:rFonts w:ascii="Book Antiqua" w:eastAsia="Book Antiqua" w:hAnsi="Book Antiqua" w:cs="Book Antiqua"/>
          <w:color w:val="000000"/>
        </w:rPr>
        <w:t>Non-bleeding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vessel.</w:t>
      </w:r>
    </w:p>
    <w:p w14:paraId="4FF1140C" w14:textId="1E8F10AE" w:rsidR="00522782" w:rsidRPr="00522782" w:rsidRDefault="00112D8B" w:rsidP="00522782">
      <w:pPr>
        <w:rPr>
          <w:rFonts w:ascii="宋体" w:eastAsia="宋体" w:hAnsi="宋体" w:cs="宋体"/>
          <w:lang w:eastAsia="zh-CN"/>
        </w:rPr>
      </w:pPr>
      <w:r>
        <w:rPr>
          <w:noProof/>
        </w:rPr>
        <w:drawing>
          <wp:inline distT="0" distB="0" distL="0" distR="0" wp14:anchorId="7AB4CA6D" wp14:editId="4D49AD6D">
            <wp:extent cx="5866765" cy="430784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AFDC1" w14:textId="77777777" w:rsidR="00A77B3E" w:rsidRPr="0041716E" w:rsidRDefault="0068778C" w:rsidP="00032239">
      <w:pPr>
        <w:spacing w:line="360" w:lineRule="auto"/>
        <w:jc w:val="both"/>
        <w:rPr>
          <w:rFonts w:ascii="Book Antiqua" w:hAnsi="Book Antiqua"/>
          <w:b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716E">
        <w:rPr>
          <w:rFonts w:ascii="Book Antiqua" w:eastAsia="Book Antiqua" w:hAnsi="Book Antiqua" w:cs="Book Antiqua"/>
          <w:b/>
          <w:bCs/>
          <w:color w:val="000000"/>
        </w:rPr>
        <w:t>2</w:t>
      </w:r>
      <w:r w:rsidR="00FA39F9" w:rsidRPr="004171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716E">
        <w:rPr>
          <w:rFonts w:ascii="Book Antiqua" w:eastAsia="Book Antiqua" w:hAnsi="Book Antiqua" w:cs="Book Antiqua"/>
          <w:b/>
          <w:color w:val="000000"/>
        </w:rPr>
        <w:t>Patient</w:t>
      </w:r>
      <w:r w:rsidR="00FA39F9" w:rsidRPr="004171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716E">
        <w:rPr>
          <w:rFonts w:ascii="Book Antiqua" w:eastAsia="Book Antiqua" w:hAnsi="Book Antiqua" w:cs="Book Antiqua"/>
          <w:b/>
          <w:color w:val="000000"/>
        </w:rPr>
        <w:t>flow</w:t>
      </w:r>
      <w:r w:rsidR="0041716E">
        <w:rPr>
          <w:rFonts w:ascii="Book Antiqua" w:eastAsia="Book Antiqua" w:hAnsi="Book Antiqua" w:cs="Book Antiqua"/>
          <w:b/>
          <w:color w:val="000000"/>
        </w:rPr>
        <w:t>.</w:t>
      </w:r>
    </w:p>
    <w:p w14:paraId="4B05B672" w14:textId="77777777" w:rsidR="002C1C62" w:rsidRDefault="002C1C62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5350B75" w14:textId="77777777" w:rsidR="001E796B" w:rsidRPr="00C160C7" w:rsidRDefault="00676553" w:rsidP="001E796B">
      <w:pPr>
        <w:spacing w:line="360" w:lineRule="auto"/>
        <w:rPr>
          <w:rFonts w:ascii="Book Antiqua" w:eastAsia="Yu Mincho" w:hAnsi="Book Antiqua" w:cs="Yu Mincho"/>
          <w:b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1E796B" w:rsidRPr="00A743A3">
        <w:rPr>
          <w:rFonts w:ascii="Book Antiqua" w:eastAsia="Times New Roman" w:hAnsi="Book Antiqua"/>
          <w:b/>
        </w:rPr>
        <w:lastRenderedPageBreak/>
        <w:t>Table 1</w:t>
      </w:r>
      <w:r w:rsidR="001E796B" w:rsidRPr="00C160C7">
        <w:rPr>
          <w:rFonts w:ascii="Book Antiqua" w:eastAsia="Times New Roman" w:hAnsi="Book Antiqua"/>
          <w:b/>
        </w:rPr>
        <w:t xml:space="preserve"> Patient background before and after propensity score matching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7"/>
        <w:gridCol w:w="1171"/>
        <w:gridCol w:w="1309"/>
        <w:gridCol w:w="802"/>
        <w:gridCol w:w="1168"/>
        <w:gridCol w:w="1267"/>
        <w:gridCol w:w="905"/>
      </w:tblGrid>
      <w:tr w:rsidR="00AC72F9" w:rsidRPr="00A743A3" w14:paraId="2A8516E9" w14:textId="77777777" w:rsidTr="00EA75D2">
        <w:trPr>
          <w:trHeight w:val="400"/>
        </w:trPr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054B63" w14:textId="77777777" w:rsidR="00AC72F9" w:rsidRPr="004C4B4B" w:rsidRDefault="00AC72F9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A0489" w14:textId="77777777" w:rsidR="00AC72F9" w:rsidRPr="004C4B4B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4C4B4B">
              <w:rPr>
                <w:rFonts w:ascii="Book Antiqua" w:eastAsia="Times New Roman" w:hAnsi="Book Antiqua"/>
                <w:b/>
                <w:color w:val="000000"/>
              </w:rPr>
              <w:t>Before propensity score matching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CC100" w14:textId="77777777" w:rsidR="00AC72F9" w:rsidRPr="004C4B4B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4C4B4B">
              <w:rPr>
                <w:rFonts w:ascii="Book Antiqua" w:eastAsia="Times New Roman" w:hAnsi="Book Antiqua"/>
                <w:b/>
                <w:color w:val="000000"/>
              </w:rPr>
              <w:t>After propensity score matching</w:t>
            </w:r>
          </w:p>
        </w:tc>
      </w:tr>
      <w:tr w:rsidR="00AC72F9" w:rsidRPr="00A743A3" w14:paraId="3C0E481C" w14:textId="77777777" w:rsidTr="00EA75D2">
        <w:trPr>
          <w:trHeight w:val="400"/>
        </w:trPr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CCB080" w14:textId="77777777" w:rsidR="00AC72F9" w:rsidRPr="00285804" w:rsidRDefault="00AC72F9" w:rsidP="00EA75D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FFC2" w14:textId="77777777" w:rsidR="00AC72F9" w:rsidRPr="00285804" w:rsidRDefault="00AC72F9" w:rsidP="006E68E5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Early group</w:t>
            </w:r>
            <w:r w:rsidR="006E68E5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(&lt;</w:t>
            </w:r>
            <w:r w:rsidR="006E68E5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867A" w14:textId="77777777"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Elective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</w:t>
            </w:r>
            <w:r w:rsidR="001D49F8" w:rsidRPr="00285804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1D49F8" w:rsidRPr="00285804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6B75B" w14:textId="77777777"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SMD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5115F" w14:textId="77777777"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Early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(&lt;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85841" w14:textId="77777777"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Elective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</w:t>
            </w:r>
            <w:r w:rsidR="001D49F8" w:rsidRPr="00285804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1D49F8" w:rsidRPr="00285804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</w:t>
            </w:r>
            <w:r w:rsidR="001D49F8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h)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EA149" w14:textId="77777777"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SMD</w:t>
            </w:r>
          </w:p>
        </w:tc>
      </w:tr>
      <w:tr w:rsidR="00AC72F9" w:rsidRPr="00A743A3" w14:paraId="29248F77" w14:textId="77777777" w:rsidTr="00EA75D2">
        <w:trPr>
          <w:trHeight w:val="400"/>
        </w:trPr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124CE" w14:textId="77777777" w:rsidR="00AC72F9" w:rsidRPr="00285804" w:rsidRDefault="00AC72F9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Variables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DA303" w14:textId="77777777"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328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3A26C" w14:textId="77777777"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226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AFE7F" w14:textId="77777777"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23251" w14:textId="77777777"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191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121A5" w14:textId="77777777"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191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49712" w14:textId="77777777"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</w:p>
        </w:tc>
      </w:tr>
      <w:tr w:rsidR="00AC72F9" w:rsidRPr="00A743A3" w14:paraId="29206914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A0DE" w14:textId="77777777" w:rsidR="00AC72F9" w:rsidRPr="00A743A3" w:rsidRDefault="00BE300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Age, </w:t>
            </w:r>
            <w:proofErr w:type="spellStart"/>
            <w:r>
              <w:rPr>
                <w:rFonts w:ascii="Book Antiqua" w:eastAsia="Times New Roman" w:hAnsi="Book Antiqua"/>
                <w:color w:val="000000"/>
              </w:rPr>
              <w:t>y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r</w:t>
            </w:r>
            <w:proofErr w:type="spellEnd"/>
            <w:r w:rsidR="00AC72F9" w:rsidRPr="00A743A3">
              <w:rPr>
                <w:rFonts w:ascii="Book Antiqua" w:eastAsia="Times New Roman" w:hAnsi="Book Antiqua"/>
                <w:color w:val="000000"/>
              </w:rPr>
              <w:t>, 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604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(71.0–84.0)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78E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(72.3–84.0)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5328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01B2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78.0 (70.0–84.0)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139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(71.5–84.0)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383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0.057</w:t>
            </w:r>
          </w:p>
        </w:tc>
      </w:tr>
      <w:tr w:rsidR="00AC72F9" w:rsidRPr="00A743A3" w14:paraId="67237DB0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BE899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Male, </w:t>
            </w:r>
            <w:r w:rsidRPr="006A1D78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289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220 (67.1)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487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135 (59.7)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5FE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2CD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132 (69.1)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05D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126 (66.0)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5C8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0.067</w:t>
            </w:r>
          </w:p>
        </w:tc>
      </w:tr>
      <w:tr w:rsidR="00AC72F9" w:rsidRPr="00A743A3" w14:paraId="2C6B2C95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BB6D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Body mass index, </w:t>
            </w:r>
            <w:r w:rsidR="006A1D78" w:rsidRPr="006A1D78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336B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5C2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0F43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C9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C773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3907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0.094</w:t>
            </w:r>
          </w:p>
        </w:tc>
      </w:tr>
      <w:tr w:rsidR="00AC72F9" w:rsidRPr="00A743A3" w14:paraId="1A9E10A3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A1ECE" w14:textId="77777777" w:rsidR="00AC72F9" w:rsidRPr="00A743A3" w:rsidRDefault="006A1D78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hAnsi="Book Antiqua" w:cs="Yu Gothic" w:hint="eastAsia"/>
                <w:color w:val="000000"/>
                <w:lang w:eastAsia="zh-CN"/>
              </w:rPr>
              <w:t>&lt;</w:t>
            </w:r>
            <w:r>
              <w:rPr>
                <w:rFonts w:ascii="Book Antiqua" w:hAnsi="Book Antiqua" w:cs="Yu Gothic"/>
                <w:color w:val="000000"/>
                <w:lang w:eastAsia="zh-CN"/>
              </w:rPr>
              <w:t xml:space="preserve"> 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18.5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940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46 (14.0)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F6E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18 (8.0)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1F3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60BC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 (7.9)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F8A7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18 (9.4)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E78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4F6CD17F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0FB6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18.5</w:t>
            </w:r>
            <w:r w:rsidR="00907C70">
              <w:rPr>
                <w:rFonts w:ascii="Book Antiqua" w:eastAsia="Times New Roman" w:hAnsi="Book Antiqua"/>
                <w:color w:val="000000"/>
              </w:rPr>
              <w:t>-</w:t>
            </w:r>
            <w:r w:rsidRPr="00A743A3">
              <w:rPr>
                <w:rFonts w:ascii="Book Antiqua" w:eastAsia="Times New Roman" w:hAnsi="Book Antiqua"/>
                <w:color w:val="000000"/>
              </w:rPr>
              <w:t>24.9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4926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210 (64.0)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2739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153 (67.7)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EB0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C511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124 (64.9)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B7E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128 (67.0)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ED4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72A37A38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DCAC8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25</w:t>
            </w:r>
            <w:r w:rsidR="00907C70">
              <w:rPr>
                <w:rFonts w:ascii="Book Antiqua" w:eastAsia="Times New Roman" w:hAnsi="Book Antiqua"/>
                <w:color w:val="000000"/>
              </w:rPr>
              <w:t>-</w:t>
            </w:r>
            <w:r w:rsidRPr="00A743A3">
              <w:rPr>
                <w:rFonts w:ascii="Book Antiqua" w:eastAsia="Times New Roman" w:hAnsi="Book Antiqua"/>
                <w:color w:val="000000"/>
              </w:rPr>
              <w:t>29.9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925B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76 (23.2)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774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76 (23.2)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0B2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C223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45 (23.6)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87B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39 (20.4)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60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65048757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9AFA" w14:textId="77777777" w:rsidR="00AC72F9" w:rsidRPr="00A743A3" w:rsidRDefault="006A5EC7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6A5EC7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Pr="006A5EC7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1A3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 (3.7)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E4E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4B9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636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6E6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A5F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21C0BAAC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09CA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Smoking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8DE2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E88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A2DB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535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219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C12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0.075</w:t>
            </w:r>
          </w:p>
        </w:tc>
      </w:tr>
      <w:tr w:rsidR="00AC72F9" w:rsidRPr="00A743A3" w14:paraId="33616146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2E59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Current, </w:t>
            </w:r>
            <w:r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D12A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45 (13.7)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6AE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 (11.1)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C545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9CC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23 (12.0)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F60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24 (12.6)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718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06076F47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7F70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Past, </w:t>
            </w:r>
            <w:r w:rsidR="00D60ADB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D0B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104 (31.7)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8EA73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64 (28.3)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F09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48F3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64 (33.5)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792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58 (30.4)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B62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7AE3DA04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4B55B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Never, </w:t>
            </w:r>
            <w:r w:rsidR="00917CDA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E579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169 (51.5)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65D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133 (58.8)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D50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769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101 (52.9)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3AE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105 (55.0)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69E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68352477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FCBCF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No information, </w:t>
            </w:r>
            <w:r w:rsidR="00917CDA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7D8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 (3.0)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2F6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(1.8)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802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829D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1C9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98C3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57CC417B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C8D6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Performance status </w:t>
            </w:r>
            <w:r w:rsidR="00917CDA" w:rsidRPr="006A5EC7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917CDA" w:rsidRPr="006A5EC7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3, </w:t>
            </w:r>
            <w:r w:rsidRPr="00DF6F7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9B14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34 (10.4)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1D99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20 (8.8)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53AB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A558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 (7.9)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0B86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20 (10.5)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E10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0.091</w:t>
            </w:r>
          </w:p>
        </w:tc>
      </w:tr>
      <w:tr w:rsidR="00AC72F9" w:rsidRPr="00A743A3" w14:paraId="6FB73E79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8E765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Comorbidities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F41E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085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3C4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35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62B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163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14:paraId="4A74439D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9EB7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lastRenderedPageBreak/>
              <w:t xml:space="preserve">Hypertension, </w:t>
            </w:r>
            <w:r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9CEE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210 (64.0)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9BB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152 (67.3)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67CB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C66E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124 (64.9)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3A81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122 (63.9)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573B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0.022</w:t>
            </w:r>
          </w:p>
        </w:tc>
      </w:tr>
      <w:tr w:rsidR="00AC72F9" w:rsidRPr="00A743A3" w14:paraId="2E968A2A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B0AE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Diabetes mellitus,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EA7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67 (20.4)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F963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51 (22.6)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3BF8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6C92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41 (21.5)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F985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 (19.4)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4EE4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0.052</w:t>
            </w:r>
          </w:p>
        </w:tc>
      </w:tr>
      <w:tr w:rsidR="00AC72F9" w:rsidRPr="00A743A3" w14:paraId="48E3FB84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3BB5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Coronary artery disease,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6F6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92 (28.0)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F52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67 (29.6)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885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68E5" w14:textId="27E69E3D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63 (33.0)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3D34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57 (29.8)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C826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0.068</w:t>
            </w:r>
          </w:p>
        </w:tc>
      </w:tr>
      <w:tr w:rsidR="00AC72F9" w:rsidRPr="00A743A3" w14:paraId="1FEA4A8F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4DD14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Chronic kidney disease,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383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33 (10.1)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317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 (12.4)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E088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3DE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22 (11.5)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91D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 (13.1)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D7C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0.048</w:t>
            </w:r>
          </w:p>
        </w:tc>
      </w:tr>
      <w:tr w:rsidR="00AC72F9" w:rsidRPr="00A743A3" w14:paraId="54650D82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B122F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Hemodialysis,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84C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(0.6)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32F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 (2.2)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50C8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F1B6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B96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5777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0.084</w:t>
            </w:r>
          </w:p>
        </w:tc>
      </w:tr>
      <w:tr w:rsidR="00AC72F9" w:rsidRPr="00A743A3" w14:paraId="38E7C01E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4290A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Medication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454A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0DD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92E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7E6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8D1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6F8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14:paraId="36EF01DB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21C56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A743A3">
              <w:rPr>
                <w:rFonts w:ascii="Book Antiqua" w:eastAsia="Times New Roman" w:hAnsi="Book Antiqua"/>
                <w:color w:val="000000"/>
              </w:rPr>
              <w:t>Antithrombotics</w:t>
            </w:r>
            <w:proofErr w:type="spellEnd"/>
            <w:r w:rsidRPr="00A743A3">
              <w:rPr>
                <w:rFonts w:ascii="Book Antiqua" w:eastAsia="Times New Roman" w:hAnsi="Book Antiqua"/>
                <w:color w:val="000000"/>
              </w:rPr>
              <w:t xml:space="preserve">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D62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123 (37.5)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5D05" w14:textId="4EA0593C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80 (35.4)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690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EDB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79 (41.4)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337D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68 (35.6)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0A1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0.119</w:t>
            </w:r>
          </w:p>
        </w:tc>
      </w:tr>
      <w:tr w:rsidR="00AC72F9" w:rsidRPr="00A743A3" w14:paraId="37144278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70A0D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NSAIDs,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3FE2" w14:textId="1BE4D66E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14 (4.3)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48C8E" w14:textId="788C37B9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14 (6.2)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0FA0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B61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8 (4.2)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636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(4.7)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C3D9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0.025</w:t>
            </w:r>
          </w:p>
        </w:tc>
      </w:tr>
      <w:tr w:rsidR="00AC72F9" w:rsidRPr="00A743A3" w14:paraId="49F7F357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C34C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Shock vitality at presentation,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FBF2" w14:textId="3502FC93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 (8.5)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45BBD" w14:textId="3642A7BF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 (5.3)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3FF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E76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(4.7)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95D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 (6.3)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314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0.069</w:t>
            </w:r>
          </w:p>
        </w:tc>
      </w:tr>
      <w:tr w:rsidR="00AC72F9" w:rsidRPr="00A743A3" w14:paraId="23BAA1D7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3130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Contrast CT findings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DD72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448A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521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8AFB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7E1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05B4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0.027</w:t>
            </w:r>
          </w:p>
        </w:tc>
      </w:tr>
      <w:tr w:rsidR="00AC72F9" w:rsidRPr="00A743A3" w14:paraId="44A28F93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F6FED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With an extravascular leak,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A12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129 (39.3)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3342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 (7.5)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626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15A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 (8.9)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8F84" w14:textId="5A9FD9D4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 (8.9)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B1B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73036606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C901" w14:textId="77777777"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Without an extravascular leak,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F39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159 (48.5)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EBF4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170 (75.2)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D26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55F8" w14:textId="77777777"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138 (72.3)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8C67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140 (73.3)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8B2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440E9CCC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E9BE" w14:textId="77777777" w:rsidR="00AC72F9" w:rsidRPr="00A743A3" w:rsidRDefault="00A45411" w:rsidP="00A45411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Without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 xml:space="preserve"> contrast CT, </w:t>
            </w:r>
            <w:r w:rsidR="00302318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CF7B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40 (12.2)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EB3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39 (17.3)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7E9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1A97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36 (18.8)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C641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34 (17.8)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9CA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14:paraId="660A828B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212ED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Blood sampling data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FF9E" w14:textId="77777777"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0B1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6DA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AD6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222F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2FE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14:paraId="1A9D3DDB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FA78" w14:textId="77777777" w:rsidR="00AC72F9" w:rsidRPr="00A743A3" w:rsidRDefault="00AC72F9" w:rsidP="00302318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Hemoglobin</w:t>
            </w:r>
            <w:r w:rsidR="00302318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&lt; 10 g/dL, </w:t>
            </w:r>
            <w:r w:rsidR="00302318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9D9E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84 (25.6)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A8FF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61 (27.0)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0C65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62E35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54 (28.3)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773FC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51 (26.7)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3E06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0.035</w:t>
            </w:r>
          </w:p>
        </w:tc>
      </w:tr>
      <w:tr w:rsidR="00AC72F9" w:rsidRPr="00A743A3" w14:paraId="71372D9B" w14:textId="77777777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AD96" w14:textId="77777777" w:rsidR="00AC72F9" w:rsidRPr="00A743A3" w:rsidRDefault="00AC72F9" w:rsidP="00843D8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Platelet</w:t>
            </w:r>
            <w:r w:rsidR="00843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&lt;</w:t>
            </w:r>
            <w:r w:rsidR="00843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10000 /</w:t>
            </w:r>
            <w:proofErr w:type="spellStart"/>
            <w:r w:rsidRPr="00A743A3">
              <w:rPr>
                <w:rFonts w:ascii="Book Antiqua" w:eastAsia="Times New Roman" w:hAnsi="Book Antiqua"/>
                <w:color w:val="000000"/>
              </w:rPr>
              <w:t>μL</w:t>
            </w:r>
            <w:proofErr w:type="spellEnd"/>
            <w:r w:rsidRPr="00A743A3">
              <w:rPr>
                <w:rFonts w:ascii="Book Antiqua" w:eastAsia="Times New Roman" w:hAnsi="Book Antiqua"/>
                <w:color w:val="000000"/>
              </w:rPr>
              <w:t xml:space="preserve">, </w:t>
            </w:r>
            <w:r w:rsidR="00843D8C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21B8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(1.2)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45B99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(1.3)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AC890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CF6D6" w14:textId="77777777"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61DE7" w14:textId="77777777"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5D632" w14:textId="77777777"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&lt;</w:t>
            </w:r>
            <w:r w:rsidR="005743D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0.001</w:t>
            </w:r>
          </w:p>
        </w:tc>
      </w:tr>
    </w:tbl>
    <w:p w14:paraId="6CDD845F" w14:textId="77777777" w:rsidR="00065CCA" w:rsidRDefault="003612DF" w:rsidP="00065CCA">
      <w:pPr>
        <w:spacing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lastRenderedPageBreak/>
        <w:t xml:space="preserve">CT: </w:t>
      </w:r>
      <w:r w:rsidR="00CE3DB9" w:rsidRPr="00CE3DB9">
        <w:rPr>
          <w:rFonts w:ascii="Book Antiqua" w:eastAsia="Times New Roman" w:hAnsi="Book Antiqua"/>
        </w:rPr>
        <w:t>Computed tomography</w:t>
      </w:r>
      <w:r w:rsidR="00CE3DB9">
        <w:rPr>
          <w:rFonts w:ascii="Book Antiqua" w:eastAsia="Times New Roman" w:hAnsi="Book Antiqua"/>
        </w:rPr>
        <w:t xml:space="preserve">; </w:t>
      </w:r>
      <w:r w:rsidR="001E796B" w:rsidRPr="00A743A3">
        <w:rPr>
          <w:rFonts w:ascii="Book Antiqua" w:eastAsia="Times New Roman" w:hAnsi="Book Antiqua"/>
        </w:rPr>
        <w:t>SMD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Standardized mean difference; IQR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interquartile range</w:t>
      </w:r>
      <w:r w:rsidR="001E796B">
        <w:rPr>
          <w:rFonts w:ascii="Book Antiqua" w:eastAsia="Times New Roman" w:hAnsi="Book Antiqua"/>
        </w:rPr>
        <w:t>;</w:t>
      </w:r>
      <w:r w:rsidR="001E796B" w:rsidRPr="00A743A3">
        <w:rPr>
          <w:rFonts w:ascii="Book Antiqua" w:eastAsia="Times New Roman" w:hAnsi="Book Antiqua"/>
        </w:rPr>
        <w:t xml:space="preserve"> NSAIDs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Non-Steroidal Anti-Inflammatory Drugs</w:t>
      </w:r>
      <w:r w:rsidR="00065CCA">
        <w:rPr>
          <w:rFonts w:ascii="Book Antiqua" w:eastAsia="Times New Roman" w:hAnsi="Book Antiqua"/>
        </w:rPr>
        <w:t>.</w:t>
      </w:r>
      <w:r w:rsidR="001E796B" w:rsidRPr="00A743A3">
        <w:rPr>
          <w:rFonts w:ascii="Book Antiqua" w:eastAsia="Times New Roman" w:hAnsi="Book Antiqua"/>
        </w:rPr>
        <w:t xml:space="preserve"> </w:t>
      </w:r>
    </w:p>
    <w:p w14:paraId="092C3477" w14:textId="77777777" w:rsidR="00065CCA" w:rsidRDefault="00065CCA" w:rsidP="00065CCA">
      <w:pPr>
        <w:spacing w:line="360" w:lineRule="auto"/>
        <w:rPr>
          <w:rFonts w:ascii="Book Antiqua" w:eastAsia="Times New Roman" w:hAnsi="Book Antiqua"/>
        </w:rPr>
      </w:pPr>
    </w:p>
    <w:p w14:paraId="7FE567C2" w14:textId="77777777" w:rsidR="001E796B" w:rsidRPr="00134C75" w:rsidRDefault="001E796B" w:rsidP="00065CCA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2</w:t>
      </w:r>
      <w:r w:rsidRPr="00134C75">
        <w:rPr>
          <w:rFonts w:ascii="Book Antiqua" w:eastAsia="Times New Roman" w:hAnsi="Book Antiqua"/>
          <w:b/>
        </w:rPr>
        <w:t xml:space="preserve"> Outcomes of the main analysis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0"/>
        <w:gridCol w:w="1728"/>
        <w:gridCol w:w="1677"/>
        <w:gridCol w:w="1746"/>
        <w:gridCol w:w="919"/>
      </w:tblGrid>
      <w:tr w:rsidR="001E796B" w:rsidRPr="00A743A3" w14:paraId="0C3D2BBB" w14:textId="77777777" w:rsidTr="00176352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75F7" w14:textId="77777777" w:rsidR="001E796B" w:rsidRPr="00AB0DBD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C3B34" w14:textId="77777777"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Early group (&lt; 24 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815C1" w14:textId="77777777"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="003928DA" w:rsidRPr="003928DA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3928DA" w:rsidRPr="003928DA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AB0DBD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75B1E" w14:textId="77777777"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Difference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F44BE" w14:textId="77777777" w:rsidR="001E796B" w:rsidRPr="00AB0DBD" w:rsidRDefault="001E796B" w:rsidP="00AB0DBD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 w:rsidR="00AB0DB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AB0DBD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1E796B" w:rsidRPr="00A743A3" w14:paraId="7474D2CD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35E68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7B78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9392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0DDF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08F0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14:paraId="491DF935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E6CD" w14:textId="77777777"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stay, days, median (IQR)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E28B4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 (7–9)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603F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8 (7– 9.5)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4F71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573F3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0.10</w:t>
            </w:r>
          </w:p>
        </w:tc>
      </w:tr>
      <w:tr w:rsidR="001E796B" w:rsidRPr="00A743A3" w14:paraId="7F011955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4E7B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918F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02B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62FF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D124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14:paraId="496A9E69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5C81D" w14:textId="77777777"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F2A6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32.5 (62/191)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BBCA5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20.9 (40/191)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0E6F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11.6 (2.7 to 20.3)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9C0E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</w:t>
            </w:r>
          </w:p>
        </w:tc>
      </w:tr>
      <w:tr w:rsidR="001E796B" w:rsidRPr="00A743A3" w14:paraId="3DE62173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BEDF9" w14:textId="77777777"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53C66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28.8 (55/191)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B182D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24.1 (46/191)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B71C1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4.7 (-4.1 to 13.5)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7D93E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0.35</w:t>
            </w:r>
          </w:p>
        </w:tc>
      </w:tr>
      <w:tr w:rsidR="001E796B" w:rsidRPr="00A743A3" w14:paraId="045F0AC7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E116B" w14:textId="77777777"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Red blood cell transfusion</w:t>
            </w:r>
            <w:r w:rsidRPr="00C100F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93C6C" w:rsidRPr="00C100FC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Pr="00A743A3">
              <w:rPr>
                <w:rFonts w:ascii="Book Antiqua" w:eastAsia="Cambria Math" w:hAnsi="Book Antiqua" w:cs="Cambria Math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9527C3" w:rsidRPr="00A743A3">
              <w:rPr>
                <w:rFonts w:ascii="Book Antiqua" w:eastAsia="Times New Roman" w:hAnsi="Book Antiqua"/>
                <w:color w:val="000000"/>
              </w:rPr>
              <w:t xml:space="preserve">units </w:t>
            </w:r>
            <w:r w:rsidRPr="00A743A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F0B25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29.3 (56/191)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B32AD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27.7 (53/191)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0572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(-7.5 to 10.6)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9DC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0.82</w:t>
            </w:r>
          </w:p>
        </w:tc>
      </w:tr>
      <w:tr w:rsidR="001E796B" w:rsidRPr="00A743A3" w14:paraId="488E491C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D3734" w14:textId="77777777" w:rsidR="001E796B" w:rsidRPr="00A743A3" w:rsidRDefault="001E796B" w:rsidP="00D30D5F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Interventional radiology and abdominal surgery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BA79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2.1 (4/191)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96D0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(3/191)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8743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0.5 (-2.2 to 3.2)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F578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1.00</w:t>
            </w:r>
          </w:p>
        </w:tc>
      </w:tr>
    </w:tbl>
    <w:p w14:paraId="15979A4E" w14:textId="77777777"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D30D5F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interval; IQR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9A1BA5" w:rsidRPr="00A743A3">
        <w:rPr>
          <w:rFonts w:ascii="Book Antiqua" w:eastAsia="Times New Roman" w:hAnsi="Book Antiqua"/>
        </w:rPr>
        <w:t xml:space="preserve">Interquartile </w:t>
      </w:r>
      <w:r w:rsidRPr="00A743A3">
        <w:rPr>
          <w:rFonts w:ascii="Book Antiqua" w:eastAsia="Times New Roman" w:hAnsi="Book Antiqua"/>
        </w:rPr>
        <w:t>range</w:t>
      </w:r>
      <w:r w:rsidR="0056683A">
        <w:rPr>
          <w:rFonts w:ascii="Book Antiqua" w:eastAsia="Times New Roman" w:hAnsi="Book Antiqua"/>
        </w:rPr>
        <w:t>.</w:t>
      </w:r>
      <w:r w:rsidRPr="00A743A3">
        <w:rPr>
          <w:rFonts w:ascii="Book Antiqua" w:eastAsia="Times New Roman" w:hAnsi="Book Antiqua"/>
        </w:rPr>
        <w:t xml:space="preserve"> </w:t>
      </w:r>
    </w:p>
    <w:p w14:paraId="740761B9" w14:textId="77777777" w:rsidR="001E796B" w:rsidRPr="00F117B8" w:rsidRDefault="001E796B" w:rsidP="001E796B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</w:rPr>
        <w:br w:type="page"/>
      </w:r>
      <w:r w:rsidRPr="00A743A3">
        <w:rPr>
          <w:rFonts w:ascii="Book Antiqua" w:eastAsia="Times New Roman" w:hAnsi="Book Antiqua"/>
          <w:b/>
        </w:rPr>
        <w:lastRenderedPageBreak/>
        <w:t>Table 3</w:t>
      </w:r>
      <w:r w:rsidRPr="00F117B8">
        <w:rPr>
          <w:rFonts w:ascii="Book Antiqua" w:eastAsia="Times New Roman" w:hAnsi="Book Antiqua"/>
          <w:b/>
        </w:rPr>
        <w:t xml:space="preserve"> Results of sensitivity analysis for a colonoscopy exposure time of 12 h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5"/>
        <w:gridCol w:w="1686"/>
        <w:gridCol w:w="1686"/>
        <w:gridCol w:w="1752"/>
        <w:gridCol w:w="921"/>
      </w:tblGrid>
      <w:tr w:rsidR="001E796B" w:rsidRPr="00A743A3" w14:paraId="43D799A3" w14:textId="77777777" w:rsidTr="00176352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CE9AC" w14:textId="77777777" w:rsidR="001E796B" w:rsidRPr="00D31F89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Outcomes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D41E0" w14:textId="77777777"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Early group (&lt;</w:t>
            </w:r>
            <w:r w:rsidR="00E53A73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12 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518C6" w14:textId="77777777"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="00753B81" w:rsidRPr="00753B81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753B81" w:rsidRPr="00753B81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12 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43B11" w14:textId="77777777"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Difference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B04E5" w14:textId="77777777" w:rsidR="001E796B" w:rsidRPr="00D31F89" w:rsidRDefault="001E796B" w:rsidP="00083E48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 w:rsidR="00083E48" w:rsidRPr="00D31F89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1E796B" w:rsidRPr="00A743A3" w14:paraId="5E6A04E8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DD0E4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8A08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082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C9A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3E26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14:paraId="5A030B08" w14:textId="77777777" w:rsidTr="00176352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B0E9A" w14:textId="77777777"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stay, median (IQR)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BE702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 (6–9)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A395B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8 (7– 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14D2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6C867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</w:t>
            </w:r>
          </w:p>
        </w:tc>
      </w:tr>
      <w:tr w:rsidR="001E796B" w:rsidRPr="00A743A3" w14:paraId="75B4AFBA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163C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DDF4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B18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8AB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864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14:paraId="779112BD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67386" w14:textId="77777777"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AA662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40.8 (51/125)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DDB1D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33.6 (42/125)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B563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7.2 (-4.7 to 19.1)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A663E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0.30</w:t>
            </w:r>
          </w:p>
        </w:tc>
      </w:tr>
      <w:tr w:rsidR="001E796B" w:rsidRPr="00A743A3" w14:paraId="3408C226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8E209" w14:textId="77777777"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4330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37.6 (47/125)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A9D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25.6 (32/125)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ED1E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12.0 (0.6 to 23.4)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79696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</w:t>
            </w:r>
          </w:p>
        </w:tc>
      </w:tr>
      <w:tr w:rsidR="001E796B" w:rsidRPr="00A743A3" w14:paraId="143B8156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CF47C" w14:textId="77777777" w:rsidR="001E796B" w:rsidRPr="00B92D53" w:rsidRDefault="001E796B" w:rsidP="00B92D5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B92D53">
              <w:rPr>
                <w:rFonts w:ascii="Book Antiqua" w:eastAsia="Times New Roman" w:hAnsi="Book Antiqua"/>
                <w:color w:val="000000"/>
              </w:rPr>
              <w:t xml:space="preserve">Red blood cell transfusion </w:t>
            </w:r>
            <w:r w:rsidR="00A142EA" w:rsidRPr="00B92D53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A142EA" w:rsidRPr="00B92D53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B92D5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A142EA" w:rsidRPr="00B92D53">
              <w:rPr>
                <w:rFonts w:ascii="Book Antiqua" w:eastAsia="Times New Roman" w:hAnsi="Book Antiqua"/>
                <w:color w:val="000000"/>
              </w:rPr>
              <w:t xml:space="preserve">units </w:t>
            </w:r>
            <w:r w:rsidRPr="00B92D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C1A3B" w14:textId="77777777" w:rsidR="001E796B" w:rsidRPr="00B92D5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92D53">
              <w:rPr>
                <w:rFonts w:ascii="Book Antiqua" w:eastAsia="Times New Roman" w:hAnsi="Book Antiqua"/>
                <w:color w:val="000000"/>
              </w:rPr>
              <w:t xml:space="preserve">30.4 (38/125)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71376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28.8 (36/125)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28163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(-9.7 to 12.9)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A5E7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0.89</w:t>
            </w:r>
          </w:p>
        </w:tc>
      </w:tr>
      <w:tr w:rsidR="001E796B" w:rsidRPr="00A743A3" w14:paraId="6A8458C2" w14:textId="77777777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D81CE" w14:textId="77777777" w:rsidR="001E796B" w:rsidRPr="00A743A3" w:rsidRDefault="001E796B" w:rsidP="002605DF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Interventional radiology and abdominal surgery (%)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99334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2.4 (3/125)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103CA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3.2 (4/125)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B2451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-0.8 (-4.9 to 3.3)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CF94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0.74</w:t>
            </w:r>
          </w:p>
        </w:tc>
      </w:tr>
    </w:tbl>
    <w:p w14:paraId="724DF266" w14:textId="77777777" w:rsidR="00096B13" w:rsidRDefault="001E796B" w:rsidP="00096B13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2605DF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interval; IQR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44461C" w:rsidRPr="00A743A3">
        <w:rPr>
          <w:rFonts w:ascii="Book Antiqua" w:eastAsia="Times New Roman" w:hAnsi="Book Antiqua"/>
        </w:rPr>
        <w:t xml:space="preserve">Interquartile </w:t>
      </w:r>
      <w:r w:rsidRPr="00A743A3">
        <w:rPr>
          <w:rFonts w:ascii="Book Antiqua" w:eastAsia="Times New Roman" w:hAnsi="Book Antiqua"/>
        </w:rPr>
        <w:t>range</w:t>
      </w:r>
      <w:r w:rsidR="00436EAB">
        <w:rPr>
          <w:rFonts w:ascii="Book Antiqua" w:eastAsia="Times New Roman" w:hAnsi="Book Antiqua"/>
        </w:rPr>
        <w:t>.</w:t>
      </w:r>
    </w:p>
    <w:p w14:paraId="335930C9" w14:textId="77777777" w:rsidR="00096B13" w:rsidRDefault="00096B13" w:rsidP="00096B13">
      <w:pPr>
        <w:spacing w:line="360" w:lineRule="auto"/>
        <w:rPr>
          <w:rFonts w:ascii="Book Antiqua" w:eastAsia="Times New Roman" w:hAnsi="Book Antiqua"/>
        </w:rPr>
      </w:pPr>
    </w:p>
    <w:p w14:paraId="7FB16110" w14:textId="77777777" w:rsidR="001E796B" w:rsidRPr="00096B13" w:rsidRDefault="001E796B" w:rsidP="00096B13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4</w:t>
      </w:r>
      <w:r w:rsidRPr="00096B13">
        <w:rPr>
          <w:rFonts w:ascii="Book Antiqua" w:eastAsia="Times New Roman" w:hAnsi="Book Antiqua"/>
          <w:b/>
        </w:rPr>
        <w:t xml:space="preserve"> Results of sensitivity analysis using multivariate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1276"/>
      </w:tblGrid>
      <w:tr w:rsidR="001E796B" w:rsidRPr="00A743A3" w14:paraId="1610C3B7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52E59F0B" w14:textId="77777777" w:rsidR="001E796B" w:rsidRPr="00993047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134921" w14:textId="77777777" w:rsidR="001E796B" w:rsidRPr="00993047" w:rsidRDefault="00CA1A8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color w:val="000000"/>
              </w:rPr>
              <w:t>Coefficient (95%</w:t>
            </w:r>
            <w:r w:rsidR="001E796B" w:rsidRPr="00993047">
              <w:rPr>
                <w:rFonts w:ascii="Book Antiqua" w:eastAsia="Times New Roman" w:hAnsi="Book Antiqua"/>
                <w:color w:val="000000"/>
              </w:rPr>
              <w:t>CI)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9528D" w14:textId="77777777" w:rsidR="001E796B" w:rsidRPr="00993047" w:rsidRDefault="001E796B" w:rsidP="004D35B1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i/>
                <w:color w:val="000000"/>
              </w:rPr>
              <w:t>P</w:t>
            </w:r>
            <w:r w:rsidR="004D35B1" w:rsidRPr="0099304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93047">
              <w:rPr>
                <w:rFonts w:ascii="Book Antiqua" w:eastAsia="Times New Roman" w:hAnsi="Book Antiqua"/>
                <w:color w:val="000000"/>
              </w:rPr>
              <w:t>value</w:t>
            </w:r>
          </w:p>
        </w:tc>
      </w:tr>
      <w:tr w:rsidR="001E796B" w:rsidRPr="00A743A3" w14:paraId="15FF7C1F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1C310AD1" w14:textId="77777777"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8A468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 (-0.71 to 0.87)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7F143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0.84</w:t>
            </w:r>
          </w:p>
        </w:tc>
      </w:tr>
      <w:tr w:rsidR="001E796B" w:rsidRPr="00A743A3" w14:paraId="30E40B47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05497081" w14:textId="77777777"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6DC406" w14:textId="77777777" w:rsidR="001E796B" w:rsidRPr="00A743A3" w:rsidRDefault="000A042E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Odds ratio (95%</w:t>
            </w:r>
            <w:r w:rsidR="001E796B" w:rsidRPr="00A743A3">
              <w:rPr>
                <w:rFonts w:ascii="Book Antiqua" w:eastAsia="Times New Roman" w:hAnsi="Book Antiqua"/>
                <w:color w:val="000000"/>
              </w:rPr>
              <w:t>CI)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61F1B" w14:textId="77777777" w:rsidR="001E796B" w:rsidRPr="00A743A3" w:rsidRDefault="001E796B" w:rsidP="0065668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656682">
              <w:rPr>
                <w:rFonts w:ascii="Book Antiqua" w:eastAsia="Times New Roman" w:hAnsi="Book Antiqua"/>
                <w:i/>
                <w:color w:val="000000"/>
              </w:rPr>
              <w:t>P</w:t>
            </w:r>
            <w:r w:rsidR="0065668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value</w:t>
            </w:r>
          </w:p>
        </w:tc>
      </w:tr>
      <w:tr w:rsidR="001E796B" w:rsidRPr="00A743A3" w14:paraId="286A7F94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37916CAC" w14:textId="77777777"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2E011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1.76 (1.14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2.70)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AE75C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</w:tr>
      <w:tr w:rsidR="001E796B" w:rsidRPr="00A743A3" w14:paraId="1D4A8414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18AD0B5D" w14:textId="77777777"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99A3E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1.21 (0.78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1.86)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1F32B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0.39</w:t>
            </w:r>
          </w:p>
        </w:tc>
      </w:tr>
      <w:tr w:rsidR="001E796B" w:rsidRPr="00A743A3" w14:paraId="2C41D430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4EB9A35E" w14:textId="77777777"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Red blood cell transfusion </w:t>
            </w:r>
            <w:r w:rsidR="003C0EB0" w:rsidRPr="003C0EB0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3C0EB0" w:rsidRPr="003C0EB0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1011A0" w:rsidRPr="00A743A3">
              <w:rPr>
                <w:rFonts w:ascii="Book Antiqua" w:eastAsia="Times New Roman" w:hAnsi="Book Antiqua"/>
                <w:color w:val="000000"/>
              </w:rPr>
              <w:t xml:space="preserve">units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BD3E84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0.91 (0.55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1.50)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420F9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0.71</w:t>
            </w:r>
          </w:p>
        </w:tc>
      </w:tr>
      <w:tr w:rsidR="001E796B" w:rsidRPr="00A743A3" w14:paraId="38302779" w14:textId="77777777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14:paraId="74760648" w14:textId="77777777"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Interventional radiology and abdominal surgery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BF7FB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0.93 (0.23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3.78)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553E5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0.92</w:t>
            </w:r>
          </w:p>
        </w:tc>
      </w:tr>
    </w:tbl>
    <w:p w14:paraId="2A671809" w14:textId="77777777"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7D62DE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</w:t>
      </w:r>
      <w:r w:rsidR="00926F00">
        <w:rPr>
          <w:rFonts w:ascii="Book Antiqua" w:eastAsia="Times New Roman" w:hAnsi="Book Antiqua"/>
        </w:rPr>
        <w:t>.</w:t>
      </w:r>
    </w:p>
    <w:p w14:paraId="5011EB42" w14:textId="77777777"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br w:type="page"/>
      </w:r>
      <w:r w:rsidRPr="00A743A3">
        <w:rPr>
          <w:rFonts w:ascii="Book Antiqua" w:eastAsia="Times New Roman" w:hAnsi="Book Antiqua"/>
          <w:b/>
        </w:rPr>
        <w:lastRenderedPageBreak/>
        <w:t>Table 5</w:t>
      </w:r>
      <w:r w:rsidRPr="00AE1F83">
        <w:rPr>
          <w:rFonts w:ascii="Book Antiqua" w:eastAsia="Times New Roman" w:hAnsi="Book Antiqua"/>
          <w:b/>
        </w:rPr>
        <w:t xml:space="preserve"> Different hemostatic methods in the main analysis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2432"/>
        <w:gridCol w:w="2299"/>
        <w:gridCol w:w="1032"/>
      </w:tblGrid>
      <w:tr w:rsidR="00DF37E1" w:rsidRPr="00A743A3" w14:paraId="206FB3BE" w14:textId="77777777" w:rsidTr="00176352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B2295" w14:textId="77777777" w:rsidR="00DF37E1" w:rsidRPr="009C7B9E" w:rsidRDefault="00DF37E1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Hemostatic method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AA5A4" w14:textId="77777777"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Early group (&lt; 24 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1538E" w14:textId="77777777"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Pr="009C7B9E">
              <w:rPr>
                <w:rFonts w:ascii="Book Antiqua" w:eastAsia="Cambria Math" w:hAnsi="Book Antiqua" w:cs="Cambria Math"/>
                <w:b/>
                <w:color w:val="000000"/>
              </w:rPr>
              <w:t xml:space="preserve">≥ </w:t>
            </w:r>
            <w:r w:rsidRPr="009C7B9E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F334B" w14:textId="77777777"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C7613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9C7B9E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DF37E1" w:rsidRPr="00A743A3" w14:paraId="7DBBD31C" w14:textId="77777777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F3E49" w14:textId="77777777"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Direct clipping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748D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17/60 (28.3)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0CC8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9/40 (22.5)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81A0A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0.794</w:t>
            </w:r>
          </w:p>
        </w:tc>
      </w:tr>
      <w:tr w:rsidR="00DF37E1" w:rsidRPr="00A743A3" w14:paraId="0BA0D87C" w14:textId="77777777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E570" w14:textId="77777777"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Zipper clipping,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4D4BA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30/60 (50.0)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B1A6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21/40 (52.5)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EB1E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DF37E1" w:rsidRPr="00A743A3" w14:paraId="1E1B1118" w14:textId="77777777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DC6D1" w14:textId="77777777"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Endoscopic band ligation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11B7D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13/60 (21.7)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862E7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10/40 (25.0)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6FF40" w14:textId="77777777"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p w14:paraId="0F6B8D34" w14:textId="77777777" w:rsidR="00DF37E1" w:rsidRDefault="00DF37E1" w:rsidP="001E796B">
      <w:pPr>
        <w:spacing w:line="360" w:lineRule="auto"/>
        <w:rPr>
          <w:rFonts w:ascii="Book Antiqua" w:eastAsia="Times New Roman" w:hAnsi="Book Antiqua"/>
        </w:rPr>
      </w:pPr>
    </w:p>
    <w:p w14:paraId="2C14C24F" w14:textId="77777777" w:rsidR="00DF37E1" w:rsidRDefault="00DF37E1" w:rsidP="001E796B">
      <w:pPr>
        <w:spacing w:line="360" w:lineRule="auto"/>
        <w:rPr>
          <w:rFonts w:ascii="Book Antiqua" w:eastAsia="Times New Roman" w:hAnsi="Book Antiqua"/>
        </w:rPr>
      </w:pPr>
    </w:p>
    <w:p w14:paraId="336F0FF1" w14:textId="77777777" w:rsidR="005E394F" w:rsidRDefault="005E394F" w:rsidP="001E796B">
      <w:pPr>
        <w:spacing w:line="360" w:lineRule="auto"/>
        <w:rPr>
          <w:rFonts w:ascii="Book Antiqua" w:eastAsia="Times New Roman" w:hAnsi="Book Antiqua"/>
        </w:rPr>
      </w:pPr>
    </w:p>
    <w:p w14:paraId="46C34FB7" w14:textId="77777777" w:rsidR="001E796B" w:rsidRPr="005E394F" w:rsidRDefault="001E796B" w:rsidP="001E796B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6</w:t>
      </w:r>
      <w:r w:rsidRPr="005E394F">
        <w:rPr>
          <w:rFonts w:ascii="Book Antiqua" w:eastAsia="Times New Roman" w:hAnsi="Book Antiqua"/>
          <w:b/>
        </w:rPr>
        <w:t xml:space="preserve"> Rebleeding rates by hemostatic methods</w:t>
      </w:r>
      <w:r w:rsidR="00E704A5" w:rsidRPr="00E704A5">
        <w:rPr>
          <w:rFonts w:ascii="Book Antiqua" w:eastAsia="Times New Roman" w:hAnsi="Book Antiqua"/>
          <w:b/>
          <w:color w:val="000000"/>
        </w:rPr>
        <w:t xml:space="preserve">, </w:t>
      </w:r>
      <w:r w:rsidR="00E704A5" w:rsidRPr="00E704A5">
        <w:rPr>
          <w:rFonts w:ascii="Book Antiqua" w:eastAsia="Times New Roman" w:hAnsi="Book Antiqua"/>
          <w:b/>
          <w:i/>
          <w:color w:val="000000"/>
        </w:rPr>
        <w:t>n</w:t>
      </w:r>
      <w:r w:rsidR="00E704A5" w:rsidRPr="00E704A5">
        <w:rPr>
          <w:rFonts w:ascii="Book Antiqua" w:eastAsia="Times New Roman" w:hAnsi="Book Antiqua"/>
          <w:b/>
          <w:color w:val="000000"/>
        </w:rPr>
        <w:t xml:space="preserve"> (%)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7"/>
        <w:gridCol w:w="2440"/>
        <w:gridCol w:w="2261"/>
        <w:gridCol w:w="2752"/>
      </w:tblGrid>
      <w:tr w:rsidR="001E796B" w:rsidRPr="00A743A3" w14:paraId="6829D8E3" w14:textId="77777777" w:rsidTr="00176352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5FE0A" w14:textId="77777777" w:rsidR="001E796B" w:rsidRPr="00281E61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Hemostatic method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FA851" w14:textId="77777777"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Direct clipping method (</w:t>
            </w:r>
            <w:r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43)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8E75F" w14:textId="77777777"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Zipper clipping method (</w:t>
            </w:r>
            <w:r w:rsidR="0078618E"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82)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0E6FA" w14:textId="77777777"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Endoscopic band ligation method (</w:t>
            </w:r>
            <w:r w:rsidR="0078618E"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47)</w:t>
            </w:r>
          </w:p>
        </w:tc>
      </w:tr>
      <w:tr w:rsidR="001E796B" w:rsidRPr="00A743A3" w14:paraId="04BF13AB" w14:textId="77777777" w:rsidTr="00176352">
        <w:trPr>
          <w:trHeight w:val="4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27507" w14:textId="77777777" w:rsidR="001E796B" w:rsidRPr="00A743A3" w:rsidRDefault="001E796B" w:rsidP="00E704A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04AFC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 (9.3)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97D4B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 (45.1)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84E43" w14:textId="77777777"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5 (10.6) </w:t>
            </w:r>
          </w:p>
        </w:tc>
      </w:tr>
    </w:tbl>
    <w:p w14:paraId="31624ADC" w14:textId="77777777"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</w:p>
    <w:p w14:paraId="22DE9531" w14:textId="77730047" w:rsidR="00483DDC" w:rsidRDefault="00483DDC" w:rsidP="001E796B">
      <w:pPr>
        <w:tabs>
          <w:tab w:val="left" w:pos="480"/>
        </w:tabs>
        <w:spacing w:after="240" w:line="360" w:lineRule="auto"/>
        <w:ind w:left="480" w:hanging="480"/>
        <w:rPr>
          <w:rFonts w:ascii="Book Antiqua" w:eastAsia="Times New Roman" w:hAnsi="Book Antiqua"/>
        </w:rPr>
      </w:pPr>
    </w:p>
    <w:p w14:paraId="11DEA7E5" w14:textId="77777777" w:rsidR="00483DDC" w:rsidRDefault="00483DDC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br w:type="page"/>
      </w:r>
    </w:p>
    <w:p w14:paraId="25DBB8A9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47F545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995C04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6BDA5A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A45A74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7F24D37" wp14:editId="4588F2E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F0F9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DF82AF" w14:textId="77777777" w:rsidR="00483DDC" w:rsidRDefault="00483DDC" w:rsidP="00483DD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EA541BA" w14:textId="77777777" w:rsidR="00483DDC" w:rsidRDefault="00483DDC" w:rsidP="00483DD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4D7415C" w14:textId="77777777" w:rsidR="00483DDC" w:rsidRDefault="00483DDC" w:rsidP="00483DD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0F31029" w14:textId="77777777" w:rsidR="00483DDC" w:rsidRDefault="00483DDC" w:rsidP="00483DD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BFAF0A" w14:textId="77777777" w:rsidR="00483DDC" w:rsidRDefault="00483DDC" w:rsidP="00483DD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AAEAAC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AF9B2BB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4A9FA7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DB9CD7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1CAF6A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1DC2D90" wp14:editId="66CCC16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17AD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D31B18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C34574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4C55E5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881B78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928603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2BFC81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82AB6A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F6F772" w14:textId="77777777" w:rsidR="00483DDC" w:rsidRDefault="00483DDC" w:rsidP="00483DD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7FA6A9" w14:textId="77777777" w:rsidR="00483DDC" w:rsidRDefault="00483DDC" w:rsidP="00483DD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529577D" w14:textId="77777777" w:rsidR="00483DDC" w:rsidRDefault="00483DDC" w:rsidP="00483DDC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4E0E5C28" w14:textId="77777777" w:rsidR="00483DDC" w:rsidRDefault="00483DDC" w:rsidP="00483DDC">
      <w:pPr>
        <w:rPr>
          <w:rFonts w:ascii="Book Antiqua" w:hAnsi="Book Antiqua" w:cs="Book Antiqua"/>
          <w:b/>
          <w:bCs/>
          <w:color w:val="000000"/>
        </w:rPr>
      </w:pPr>
    </w:p>
    <w:p w14:paraId="500E4647" w14:textId="77777777" w:rsidR="00A77B3E" w:rsidRPr="00032239" w:rsidRDefault="00A77B3E" w:rsidP="001E796B">
      <w:pPr>
        <w:spacing w:line="360" w:lineRule="auto"/>
        <w:jc w:val="both"/>
        <w:rPr>
          <w:rFonts w:ascii="Book Antiqua" w:hAnsi="Book Antiqua"/>
        </w:rPr>
      </w:pPr>
    </w:p>
    <w:sectPr w:rsidR="00A77B3E" w:rsidRPr="0003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6D0" w14:textId="77777777" w:rsidR="002314A0" w:rsidRDefault="002314A0" w:rsidP="00BF0020">
      <w:r>
        <w:separator/>
      </w:r>
    </w:p>
  </w:endnote>
  <w:endnote w:type="continuationSeparator" w:id="0">
    <w:p w14:paraId="2BD6F1C6" w14:textId="77777777" w:rsidR="002314A0" w:rsidRDefault="002314A0" w:rsidP="00BF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040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1A2EA1E" w14:textId="77777777" w:rsidR="00032239" w:rsidRPr="00032239" w:rsidRDefault="0003223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322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76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322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76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23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C4276" w14:textId="77777777" w:rsidR="00032239" w:rsidRDefault="00032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3454" w14:textId="77777777" w:rsidR="002314A0" w:rsidRDefault="002314A0" w:rsidP="00BF0020">
      <w:r>
        <w:separator/>
      </w:r>
    </w:p>
  </w:footnote>
  <w:footnote w:type="continuationSeparator" w:id="0">
    <w:p w14:paraId="5D2BF18B" w14:textId="77777777" w:rsidR="002314A0" w:rsidRDefault="002314A0" w:rsidP="00BF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239"/>
    <w:rsid w:val="00040CA1"/>
    <w:rsid w:val="000470C8"/>
    <w:rsid w:val="00054422"/>
    <w:rsid w:val="00065CCA"/>
    <w:rsid w:val="00083E48"/>
    <w:rsid w:val="00096B13"/>
    <w:rsid w:val="000A042E"/>
    <w:rsid w:val="000A201E"/>
    <w:rsid w:val="000B2670"/>
    <w:rsid w:val="000F4222"/>
    <w:rsid w:val="001011A0"/>
    <w:rsid w:val="001017AB"/>
    <w:rsid w:val="00112D8B"/>
    <w:rsid w:val="00134C75"/>
    <w:rsid w:val="00174F7D"/>
    <w:rsid w:val="0017641B"/>
    <w:rsid w:val="00187A61"/>
    <w:rsid w:val="001A2AE6"/>
    <w:rsid w:val="001C1177"/>
    <w:rsid w:val="001D49F8"/>
    <w:rsid w:val="001E796B"/>
    <w:rsid w:val="002314A0"/>
    <w:rsid w:val="00237115"/>
    <w:rsid w:val="002605DF"/>
    <w:rsid w:val="00281E61"/>
    <w:rsid w:val="002830FF"/>
    <w:rsid w:val="002831C5"/>
    <w:rsid w:val="00285804"/>
    <w:rsid w:val="00293C6C"/>
    <w:rsid w:val="002B3994"/>
    <w:rsid w:val="002C1C62"/>
    <w:rsid w:val="00302318"/>
    <w:rsid w:val="003151DF"/>
    <w:rsid w:val="003209C9"/>
    <w:rsid w:val="00323B3C"/>
    <w:rsid w:val="00335C8A"/>
    <w:rsid w:val="003612DF"/>
    <w:rsid w:val="003869F1"/>
    <w:rsid w:val="003928DA"/>
    <w:rsid w:val="003B0443"/>
    <w:rsid w:val="003B43A0"/>
    <w:rsid w:val="003C0EB0"/>
    <w:rsid w:val="004002C0"/>
    <w:rsid w:val="0041716E"/>
    <w:rsid w:val="00425283"/>
    <w:rsid w:val="00436EAB"/>
    <w:rsid w:val="0044461C"/>
    <w:rsid w:val="00451FEB"/>
    <w:rsid w:val="0046585C"/>
    <w:rsid w:val="00483DDC"/>
    <w:rsid w:val="004B2291"/>
    <w:rsid w:val="004C4B4B"/>
    <w:rsid w:val="004D35B1"/>
    <w:rsid w:val="004F17C2"/>
    <w:rsid w:val="004F670B"/>
    <w:rsid w:val="00521BF2"/>
    <w:rsid w:val="00522782"/>
    <w:rsid w:val="005327E7"/>
    <w:rsid w:val="00541491"/>
    <w:rsid w:val="005459FF"/>
    <w:rsid w:val="0056683A"/>
    <w:rsid w:val="0057281D"/>
    <w:rsid w:val="005743DC"/>
    <w:rsid w:val="00582281"/>
    <w:rsid w:val="0059400C"/>
    <w:rsid w:val="005C3398"/>
    <w:rsid w:val="005D60CC"/>
    <w:rsid w:val="005E394F"/>
    <w:rsid w:val="005F3C9F"/>
    <w:rsid w:val="0062078B"/>
    <w:rsid w:val="00656682"/>
    <w:rsid w:val="00660B99"/>
    <w:rsid w:val="00676553"/>
    <w:rsid w:val="006841D7"/>
    <w:rsid w:val="0068778C"/>
    <w:rsid w:val="006A1D78"/>
    <w:rsid w:val="006A5EC7"/>
    <w:rsid w:val="006C7905"/>
    <w:rsid w:val="006E68E5"/>
    <w:rsid w:val="006F514B"/>
    <w:rsid w:val="0071013B"/>
    <w:rsid w:val="007141B8"/>
    <w:rsid w:val="00735C78"/>
    <w:rsid w:val="00737E01"/>
    <w:rsid w:val="00750D81"/>
    <w:rsid w:val="00753B81"/>
    <w:rsid w:val="007603B5"/>
    <w:rsid w:val="007819D8"/>
    <w:rsid w:val="0078618E"/>
    <w:rsid w:val="007900E7"/>
    <w:rsid w:val="007C2BB6"/>
    <w:rsid w:val="007C39FE"/>
    <w:rsid w:val="007D14DA"/>
    <w:rsid w:val="007D62DE"/>
    <w:rsid w:val="007E072B"/>
    <w:rsid w:val="007F1560"/>
    <w:rsid w:val="00804AE4"/>
    <w:rsid w:val="00822645"/>
    <w:rsid w:val="00834AF5"/>
    <w:rsid w:val="00835A22"/>
    <w:rsid w:val="00843D8C"/>
    <w:rsid w:val="00863396"/>
    <w:rsid w:val="008713B3"/>
    <w:rsid w:val="008B1BFA"/>
    <w:rsid w:val="008D5EF0"/>
    <w:rsid w:val="008E4F85"/>
    <w:rsid w:val="008F18BF"/>
    <w:rsid w:val="00903575"/>
    <w:rsid w:val="00907C70"/>
    <w:rsid w:val="00917CDA"/>
    <w:rsid w:val="00926F00"/>
    <w:rsid w:val="009527C3"/>
    <w:rsid w:val="0095780E"/>
    <w:rsid w:val="009635F1"/>
    <w:rsid w:val="00993047"/>
    <w:rsid w:val="009A1BA5"/>
    <w:rsid w:val="009C72EF"/>
    <w:rsid w:val="009C7B9E"/>
    <w:rsid w:val="009D1C47"/>
    <w:rsid w:val="009F034F"/>
    <w:rsid w:val="009F076C"/>
    <w:rsid w:val="00A073EB"/>
    <w:rsid w:val="00A142EA"/>
    <w:rsid w:val="00A265CF"/>
    <w:rsid w:val="00A45411"/>
    <w:rsid w:val="00A6626C"/>
    <w:rsid w:val="00A77B3E"/>
    <w:rsid w:val="00A85540"/>
    <w:rsid w:val="00AA26CA"/>
    <w:rsid w:val="00AB0DBD"/>
    <w:rsid w:val="00AC72F9"/>
    <w:rsid w:val="00AD52FA"/>
    <w:rsid w:val="00AE1F83"/>
    <w:rsid w:val="00AF3596"/>
    <w:rsid w:val="00B014DC"/>
    <w:rsid w:val="00B059D2"/>
    <w:rsid w:val="00B207CE"/>
    <w:rsid w:val="00B23D3A"/>
    <w:rsid w:val="00B57891"/>
    <w:rsid w:val="00B92D53"/>
    <w:rsid w:val="00BA0342"/>
    <w:rsid w:val="00BC169F"/>
    <w:rsid w:val="00BD1F59"/>
    <w:rsid w:val="00BE3009"/>
    <w:rsid w:val="00BF0020"/>
    <w:rsid w:val="00C06195"/>
    <w:rsid w:val="00C100FC"/>
    <w:rsid w:val="00C160C7"/>
    <w:rsid w:val="00C73BA3"/>
    <w:rsid w:val="00C7613D"/>
    <w:rsid w:val="00C910D6"/>
    <w:rsid w:val="00CA1A80"/>
    <w:rsid w:val="00CA2A55"/>
    <w:rsid w:val="00CE3DB9"/>
    <w:rsid w:val="00CF6F42"/>
    <w:rsid w:val="00D119B6"/>
    <w:rsid w:val="00D1448F"/>
    <w:rsid w:val="00D30D5F"/>
    <w:rsid w:val="00D31F89"/>
    <w:rsid w:val="00D55E91"/>
    <w:rsid w:val="00D60ADB"/>
    <w:rsid w:val="00D72F3E"/>
    <w:rsid w:val="00D76EFB"/>
    <w:rsid w:val="00D91A2F"/>
    <w:rsid w:val="00DE2060"/>
    <w:rsid w:val="00DF37E1"/>
    <w:rsid w:val="00DF6F7B"/>
    <w:rsid w:val="00E346E5"/>
    <w:rsid w:val="00E53A73"/>
    <w:rsid w:val="00E63BDD"/>
    <w:rsid w:val="00E704A5"/>
    <w:rsid w:val="00E92187"/>
    <w:rsid w:val="00EA1E3A"/>
    <w:rsid w:val="00EA440B"/>
    <w:rsid w:val="00EA75D2"/>
    <w:rsid w:val="00EC5B9F"/>
    <w:rsid w:val="00ED6A1F"/>
    <w:rsid w:val="00F02893"/>
    <w:rsid w:val="00F117B8"/>
    <w:rsid w:val="00F212F4"/>
    <w:rsid w:val="00F23783"/>
    <w:rsid w:val="00F36EF1"/>
    <w:rsid w:val="00F50A3A"/>
    <w:rsid w:val="00F5248F"/>
    <w:rsid w:val="00F836D5"/>
    <w:rsid w:val="00F94308"/>
    <w:rsid w:val="00FA39F9"/>
    <w:rsid w:val="00FA7E79"/>
    <w:rsid w:val="00FD1C56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BDA73"/>
  <w15:docId w15:val="{DF1B67FF-10EA-47DE-AEA8-2B5EA824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0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020"/>
    <w:rPr>
      <w:sz w:val="18"/>
      <w:szCs w:val="18"/>
    </w:rPr>
  </w:style>
  <w:style w:type="paragraph" w:styleId="a7">
    <w:name w:val="Revision"/>
    <w:hidden/>
    <w:uiPriority w:val="99"/>
    <w:semiHidden/>
    <w:rsid w:val="004B2291"/>
    <w:rPr>
      <w:sz w:val="24"/>
      <w:szCs w:val="24"/>
    </w:rPr>
  </w:style>
  <w:style w:type="character" w:styleId="a8">
    <w:name w:val="Hyperlink"/>
    <w:basedOn w:val="a0"/>
    <w:unhideWhenUsed/>
    <w:rsid w:val="007C2BB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hikamasa@yahoo.co.jp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90/full/v14/i12/759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12</cp:revision>
  <dcterms:created xsi:type="dcterms:W3CDTF">2022-11-23T06:28:00Z</dcterms:created>
  <dcterms:modified xsi:type="dcterms:W3CDTF">2022-12-14T02:50:00Z</dcterms:modified>
</cp:coreProperties>
</file>