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801E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Name of Journal: </w:t>
      </w:r>
      <w:r w:rsidRPr="00F14E16">
        <w:rPr>
          <w:rFonts w:ascii="Book Antiqua" w:eastAsia="Book Antiqua" w:hAnsi="Book Antiqua" w:cs="Book Antiqua"/>
          <w:i/>
          <w:color w:val="000000"/>
          <w:kern w:val="0"/>
          <w:sz w:val="24"/>
          <w:lang w:eastAsia="en-US"/>
          <w14:ligatures w14:val="none"/>
        </w:rPr>
        <w:t>World Journal of Gastrointestinal Oncology</w:t>
      </w:r>
    </w:p>
    <w:p w14:paraId="6B5DF16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Manuscript NO: </w:t>
      </w:r>
      <w:r w:rsidRPr="00F14E16">
        <w:rPr>
          <w:rFonts w:ascii="Book Antiqua" w:eastAsia="Book Antiqua" w:hAnsi="Book Antiqua" w:cs="Book Antiqua"/>
          <w:color w:val="000000"/>
          <w:kern w:val="0"/>
          <w:sz w:val="24"/>
          <w:lang w:eastAsia="en-US"/>
          <w14:ligatures w14:val="none"/>
        </w:rPr>
        <w:t>81757</w:t>
      </w:r>
    </w:p>
    <w:p w14:paraId="0E01F6D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Manuscript Type: </w:t>
      </w:r>
      <w:r w:rsidRPr="00F14E16">
        <w:rPr>
          <w:rFonts w:ascii="Book Antiqua" w:eastAsia="Book Antiqua" w:hAnsi="Book Antiqua" w:cs="Book Antiqua"/>
          <w:color w:val="000000"/>
          <w:kern w:val="0"/>
          <w:sz w:val="24"/>
          <w:lang w:eastAsia="en-US"/>
          <w14:ligatures w14:val="none"/>
        </w:rPr>
        <w:t>REVIEW</w:t>
      </w:r>
    </w:p>
    <w:p w14:paraId="7C66B55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0B48EA9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Intratumour microbiome of pancreatic cancer</w:t>
      </w:r>
    </w:p>
    <w:p w14:paraId="075D282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1BD9627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Guan </w:t>
      </w:r>
      <w:r w:rsidRPr="00F14E16">
        <w:rPr>
          <w:rFonts w:ascii="Book Antiqua" w:eastAsia="宋体" w:hAnsi="Book Antiqua" w:cs="Book Antiqua" w:hint="eastAsia"/>
          <w:color w:val="000000"/>
          <w:kern w:val="0"/>
          <w:sz w:val="24"/>
          <w14:ligatures w14:val="none"/>
        </w:rPr>
        <w:t xml:space="preserve">SW </w:t>
      </w:r>
      <w:r w:rsidRPr="00F14E16">
        <w:rPr>
          <w:rFonts w:ascii="Book Antiqua" w:eastAsia="宋体" w:hAnsi="Book Antiqua" w:cs="Book Antiqua" w:hint="eastAsia"/>
          <w:i/>
          <w:color w:val="000000"/>
          <w:kern w:val="0"/>
          <w:sz w:val="24"/>
          <w14:ligatures w14:val="none"/>
        </w:rPr>
        <w:t>et al</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Intratumour microbiome of pancreatic cancer</w:t>
      </w:r>
    </w:p>
    <w:p w14:paraId="7DA2447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55298B0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Shi-Wei Guan, Quan Lin, Hai-Bo Yu</w:t>
      </w:r>
    </w:p>
    <w:p w14:paraId="35C6964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1E8017B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Shi-Wei Guan, Quan Lin, Hai-Bo Yu, </w:t>
      </w:r>
      <w:r w:rsidRPr="00F14E16">
        <w:rPr>
          <w:rFonts w:ascii="Book Antiqua" w:eastAsia="Book Antiqua" w:hAnsi="Book Antiqua" w:cs="Book Antiqua"/>
          <w:color w:val="000000"/>
          <w:kern w:val="0"/>
          <w:sz w:val="24"/>
          <w:lang w:eastAsia="en-US"/>
          <w14:ligatures w14:val="none"/>
        </w:rPr>
        <w:t>Department of Surgery, Wenzhou Central Hospital, The Dingli Clinical Institute of Wenzhou Medical University, Wenzhou 325000, Zhejiang Province, China</w:t>
      </w:r>
    </w:p>
    <w:p w14:paraId="331B370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361AD61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Author contributions: </w:t>
      </w:r>
      <w:r w:rsidRPr="00F14E16">
        <w:rPr>
          <w:rFonts w:ascii="Book Antiqua" w:eastAsia="Book Antiqua" w:hAnsi="Book Antiqua" w:cs="Book Antiqua"/>
          <w:color w:val="000000"/>
          <w:kern w:val="0"/>
          <w:sz w:val="24"/>
          <w:lang w:eastAsia="en-US"/>
          <w14:ligatures w14:val="none"/>
        </w:rPr>
        <w:t>All authors contributed to the original ideas and writing of this paper</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Guan SW wrote the paper; Lin Q draw figures; Yu HB made critical revisions of this paper; all authors have read and approve the final manuscript.</w:t>
      </w:r>
    </w:p>
    <w:p w14:paraId="3E9331C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2FEA675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Corresponding author: Hai-Bo Yu, MD, Chief Doctor, </w:t>
      </w:r>
      <w:r w:rsidRPr="00F14E16">
        <w:rPr>
          <w:rFonts w:ascii="Book Antiqua" w:eastAsia="Book Antiqua" w:hAnsi="Book Antiqua" w:cs="Book Antiqua"/>
          <w:color w:val="000000"/>
          <w:kern w:val="0"/>
          <w:sz w:val="24"/>
          <w:lang w:eastAsia="en-US"/>
          <w14:ligatures w14:val="none"/>
        </w:rPr>
        <w:t xml:space="preserve">Department of Surgery, Wenzhou Central Hospital, The Dingli Clinical Institute of Wenzhou Medical University, </w:t>
      </w:r>
      <w:r w:rsidRPr="00F14E16">
        <w:rPr>
          <w:rFonts w:ascii="Book Antiqua" w:eastAsia="宋体" w:hAnsi="Book Antiqua" w:cs="Book Antiqua" w:hint="eastAsia"/>
          <w:color w:val="000000"/>
          <w:kern w:val="0"/>
          <w:sz w:val="24"/>
          <w14:ligatures w14:val="none"/>
        </w:rPr>
        <w:t xml:space="preserve">No. </w:t>
      </w:r>
      <w:r w:rsidRPr="00F14E16">
        <w:rPr>
          <w:rFonts w:ascii="Book Antiqua" w:eastAsia="Book Antiqua" w:hAnsi="Book Antiqua" w:cs="Book Antiqua"/>
          <w:color w:val="000000"/>
          <w:kern w:val="0"/>
          <w:sz w:val="24"/>
          <w:lang w:eastAsia="en-US"/>
          <w14:ligatures w14:val="none"/>
        </w:rPr>
        <w:t>252 Baili East Road</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Wenzhou 325000, Zhejiang Province, China. yuhaibozjwz@163.com</w:t>
      </w:r>
    </w:p>
    <w:p w14:paraId="4E8AE3E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4155B4F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Received: </w:t>
      </w:r>
      <w:r w:rsidRPr="00F14E16">
        <w:rPr>
          <w:rFonts w:ascii="Book Antiqua" w:eastAsia="Book Antiqua" w:hAnsi="Book Antiqua" w:cs="Book Antiqua"/>
          <w:color w:val="000000"/>
          <w:kern w:val="0"/>
          <w:sz w:val="24"/>
          <w:lang w:eastAsia="en-US"/>
          <w14:ligatures w14:val="none"/>
        </w:rPr>
        <w:t>December 2, 2022</w:t>
      </w:r>
    </w:p>
    <w:p w14:paraId="100D1DD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Revised: </w:t>
      </w:r>
      <w:r w:rsidRPr="00F14E16">
        <w:rPr>
          <w:rFonts w:ascii="Book Antiqua" w:eastAsia="宋体" w:hAnsi="Book Antiqua" w:cs="Times New Roman"/>
          <w:kern w:val="0"/>
          <w:sz w:val="24"/>
          <w:lang w:eastAsia="en-US"/>
          <w14:ligatures w14:val="none"/>
        </w:rPr>
        <w:t>January 26, 2023</w:t>
      </w:r>
    </w:p>
    <w:p w14:paraId="623F537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Accepted: </w:t>
      </w:r>
      <w:r w:rsidRPr="00F14E16">
        <w:rPr>
          <w:rFonts w:ascii="Book Antiqua" w:eastAsia="Book Antiqua" w:hAnsi="Book Antiqua" w:cs="Book Antiqua"/>
          <w:color w:val="000000"/>
          <w:kern w:val="0"/>
          <w:sz w:val="24"/>
          <w:lang w:eastAsia="en-US"/>
          <w14:ligatures w14:val="none"/>
        </w:rPr>
        <w:t>April 4, 2023</w:t>
      </w:r>
    </w:p>
    <w:p w14:paraId="3272E90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Published online: </w:t>
      </w:r>
      <w:r w:rsidRPr="00F14E16">
        <w:rPr>
          <w:rFonts w:ascii="Book Antiqua" w:eastAsia="宋体" w:hAnsi="Book Antiqua" w:cs="Times New Roman"/>
          <w:color w:val="000000"/>
          <w:kern w:val="0"/>
          <w:sz w:val="24"/>
          <w:shd w:val="clear" w:color="auto" w:fill="FFFFFF"/>
          <w:lang w:eastAsia="en-US"/>
          <w14:ligatures w14:val="none"/>
        </w:rPr>
        <w:t>May 15, 2023</w:t>
      </w:r>
    </w:p>
    <w:p w14:paraId="7D63A79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sectPr w:rsidR="00F14E16" w:rsidRPr="00F14E16">
          <w:footerReference w:type="default" r:id="rId6"/>
          <w:pgSz w:w="12240" w:h="15840"/>
          <w:pgMar w:top="1440" w:right="1440" w:bottom="1440" w:left="1440" w:header="720" w:footer="720" w:gutter="0"/>
          <w:cols w:space="720"/>
          <w:docGrid w:linePitch="360"/>
        </w:sectPr>
      </w:pPr>
    </w:p>
    <w:p w14:paraId="7320F5B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lastRenderedPageBreak/>
        <w:t>Abstract</w:t>
      </w:r>
    </w:p>
    <w:p w14:paraId="5280422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Pancreatic cancer is a high mortality malignancy with almost equal mortality and morbidity rates. Both normal and tumour tissues of the pancreas were previously considered sterile. In recent years, with the development of technologies for high-throughput sequencing, a variety of studies have revealed that pancreatic cancer tissues contain small amounts of bacteria and fungi. The intratumour microbiome is being revealed as an influential contributor to carcinogenesis. The intratumour microbiome has been identified as a crucial factor for pancreatic cancer progression, diagnosis, and treatment, chemotherapy resistance, and immune response. A better understanding of the biology of the intratumour microbiome of pancreatic cancer contributes to the establishment of better early cancer screening and treatment strategies. This review focuses on the possible origins of the intratumour microbiome in pancreatic cancer, the intratumour localization, the interaction with the tumour microenvironment, and strategies for improving the outcome of pancreatic cancer treatment. Thus, this review offers new perspectives for improving the prognosis of pancreatic cancer.</w:t>
      </w:r>
    </w:p>
    <w:p w14:paraId="1D77B58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147CD01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Key Words: </w:t>
      </w:r>
      <w:r w:rsidRPr="00F14E16">
        <w:rPr>
          <w:rFonts w:ascii="Book Antiqua" w:eastAsia="Book Antiqua" w:hAnsi="Book Antiqua" w:cs="Book Antiqua"/>
          <w:color w:val="000000"/>
          <w:kern w:val="0"/>
          <w:sz w:val="24"/>
          <w:lang w:eastAsia="en-US"/>
          <w14:ligatures w14:val="none"/>
        </w:rPr>
        <w:t>Intratumour microbiome; Pancreatic cancer; Tumour microenvironment; Chemoresistance; Diagnosis; Prognosis</w:t>
      </w:r>
    </w:p>
    <w:p w14:paraId="134700F5" w14:textId="77777777" w:rsidR="00F14E16" w:rsidRDefault="00F14E16" w:rsidP="00F14E16">
      <w:pPr>
        <w:widowControl/>
        <w:spacing w:line="360" w:lineRule="auto"/>
        <w:rPr>
          <w:rFonts w:ascii="Book Antiqua" w:eastAsia="宋体" w:hAnsi="Book Antiqua" w:cs="Times New Roman"/>
          <w:kern w:val="0"/>
          <w:sz w:val="24"/>
          <w:lang w:eastAsia="en-US"/>
          <w14:ligatures w14:val="none"/>
        </w:rPr>
      </w:pPr>
    </w:p>
    <w:p w14:paraId="14554419" w14:textId="77777777" w:rsidR="00BC1A3D" w:rsidRDefault="00BC1A3D" w:rsidP="00BC1A3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619BC30" w14:textId="77777777" w:rsidR="00BC1A3D" w:rsidRPr="00F14E16" w:rsidRDefault="00BC1A3D" w:rsidP="00F14E16">
      <w:pPr>
        <w:widowControl/>
        <w:spacing w:line="360" w:lineRule="auto"/>
        <w:rPr>
          <w:rFonts w:ascii="Book Antiqua" w:eastAsia="宋体" w:hAnsi="Book Antiqua" w:cs="Times New Roman"/>
          <w:kern w:val="0"/>
          <w:sz w:val="24"/>
          <w:lang w:eastAsia="en-US"/>
          <w14:ligatures w14:val="none"/>
        </w:rPr>
      </w:pPr>
    </w:p>
    <w:p w14:paraId="25FC763F" w14:textId="65E2B5FC" w:rsidR="00F14E16" w:rsidRPr="00F14E16" w:rsidRDefault="00BC1A3D" w:rsidP="00F14E16">
      <w:pPr>
        <w:widowControl/>
        <w:spacing w:line="360" w:lineRule="auto"/>
        <w:rPr>
          <w:rFonts w:ascii="Book Antiqua" w:eastAsia="Book Antiqua" w:hAnsi="Book Antiqua" w:cs="Book Antiqua"/>
          <w:color w:val="000000"/>
          <w:kern w:val="0"/>
          <w:sz w:val="24"/>
          <w:lang w:eastAsia="en-US"/>
          <w14:ligatures w14:val="none"/>
        </w:rPr>
      </w:pPr>
      <w:r w:rsidRPr="009A68BC">
        <w:rPr>
          <w:rFonts w:ascii="Book Antiqua" w:eastAsia="Book Antiqua" w:hAnsi="Book Antiqua" w:cs="Book Antiqua"/>
          <w:b/>
          <w:bCs/>
          <w:color w:val="000000"/>
          <w:sz w:val="24"/>
        </w:rPr>
        <w:t>C</w:t>
      </w:r>
      <w:r w:rsidRPr="009A68BC">
        <w:rPr>
          <w:rFonts w:ascii="Book Antiqua" w:eastAsia="Book Antiqua" w:hAnsi="Book Antiqua" w:cs="Book Antiqua" w:hint="eastAsia"/>
          <w:b/>
          <w:bCs/>
          <w:color w:val="000000"/>
          <w:sz w:val="24"/>
        </w:rPr>
        <w:t>itation</w:t>
      </w:r>
      <w:r w:rsidRPr="009A68BC">
        <w:rPr>
          <w:rFonts w:ascii="Book Antiqua" w:eastAsia="Book Antiqua" w:hAnsi="Book Antiqua" w:cs="Book Antiqua"/>
          <w:color w:val="000000"/>
          <w:sz w:val="24"/>
        </w:rPr>
        <w:t xml:space="preserve">: </w:t>
      </w:r>
      <w:r w:rsidR="00F14E16" w:rsidRPr="00F14E16">
        <w:rPr>
          <w:rFonts w:ascii="Book Antiqua" w:eastAsia="Book Antiqua" w:hAnsi="Book Antiqua" w:cs="Book Antiqua"/>
          <w:color w:val="000000"/>
          <w:kern w:val="0"/>
          <w:sz w:val="24"/>
          <w:lang w:eastAsia="en-US"/>
          <w14:ligatures w14:val="none"/>
        </w:rPr>
        <w:t xml:space="preserve">Guan SW, Lin Q, Yu HB. Intratumour microbiome of pancreatic cancer. </w:t>
      </w:r>
      <w:r w:rsidR="00F14E16" w:rsidRPr="00F14E16">
        <w:rPr>
          <w:rFonts w:ascii="Book Antiqua" w:eastAsia="Book Antiqua" w:hAnsi="Book Antiqua" w:cs="Book Antiqua"/>
          <w:i/>
          <w:iCs/>
          <w:color w:val="000000"/>
          <w:kern w:val="0"/>
          <w:sz w:val="24"/>
          <w:lang w:eastAsia="en-US"/>
          <w14:ligatures w14:val="none"/>
        </w:rPr>
        <w:t>World J Gastrointest Oncol</w:t>
      </w:r>
      <w:r w:rsidR="00F14E16" w:rsidRPr="00F14E16">
        <w:rPr>
          <w:rFonts w:ascii="Book Antiqua" w:eastAsia="Book Antiqua" w:hAnsi="Book Antiqua" w:cs="Book Antiqua"/>
          <w:color w:val="000000"/>
          <w:kern w:val="0"/>
          <w:sz w:val="24"/>
          <w:lang w:eastAsia="en-US"/>
          <w14:ligatures w14:val="none"/>
        </w:rPr>
        <w:t xml:space="preserve"> 2023; 15(5): </w:t>
      </w:r>
      <w:r w:rsidRPr="00B1122D">
        <w:rPr>
          <w:rFonts w:ascii="Book Antiqua" w:eastAsia="等线" w:hAnsi="Book Antiqua" w:cs="宋体"/>
          <w:color w:val="000000"/>
          <w:kern w:val="0"/>
          <w:sz w:val="24"/>
        </w:rPr>
        <w:t>713-730</w:t>
      </w:r>
    </w:p>
    <w:p w14:paraId="61510E0D" w14:textId="02930095" w:rsidR="00F14E16" w:rsidRPr="00F14E16" w:rsidRDefault="00F14E16" w:rsidP="00F14E16">
      <w:pPr>
        <w:widowControl/>
        <w:spacing w:line="360" w:lineRule="auto"/>
        <w:rPr>
          <w:rFonts w:ascii="Book Antiqua" w:eastAsia="Book Antiqua" w:hAnsi="Book Antiqua" w:cs="Book Antiqua"/>
          <w:color w:val="000000"/>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URL</w:t>
      </w:r>
      <w:r w:rsidRPr="00F14E16">
        <w:rPr>
          <w:rFonts w:ascii="Book Antiqua" w:eastAsia="Book Antiqua" w:hAnsi="Book Antiqua" w:cs="Book Antiqua"/>
          <w:color w:val="000000"/>
          <w:kern w:val="0"/>
          <w:sz w:val="24"/>
          <w:lang w:eastAsia="en-US"/>
          <w14:ligatures w14:val="none"/>
        </w:rPr>
        <w:t>: https://www.wjgnet.com/1948-5204/full/v15/i5/</w:t>
      </w:r>
      <w:r w:rsidR="00BC1A3D" w:rsidRPr="00B1122D">
        <w:rPr>
          <w:rFonts w:ascii="Book Antiqua" w:eastAsia="等线" w:hAnsi="Book Antiqua" w:cs="宋体"/>
          <w:color w:val="000000"/>
          <w:kern w:val="0"/>
          <w:sz w:val="24"/>
        </w:rPr>
        <w:t>713</w:t>
      </w:r>
      <w:r w:rsidRPr="00F14E16">
        <w:rPr>
          <w:rFonts w:ascii="Book Antiqua" w:eastAsia="Book Antiqua" w:hAnsi="Book Antiqua" w:cs="Book Antiqua"/>
          <w:color w:val="000000"/>
          <w:kern w:val="0"/>
          <w:sz w:val="24"/>
          <w:lang w:eastAsia="en-US"/>
          <w14:ligatures w14:val="none"/>
        </w:rPr>
        <w:t>.htm</w:t>
      </w:r>
    </w:p>
    <w:p w14:paraId="7D94E747" w14:textId="33C4AC49"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DOI</w:t>
      </w:r>
      <w:r w:rsidRPr="00F14E16">
        <w:rPr>
          <w:rFonts w:ascii="Book Antiqua" w:eastAsia="Book Antiqua" w:hAnsi="Book Antiqua" w:cs="Book Antiqua"/>
          <w:color w:val="000000"/>
          <w:kern w:val="0"/>
          <w:sz w:val="24"/>
          <w:lang w:eastAsia="en-US"/>
          <w14:ligatures w14:val="none"/>
        </w:rPr>
        <w:t>: https://dx.doi.org/10.4251/wjgo.v15.i5.</w:t>
      </w:r>
      <w:r w:rsidR="00BC1A3D" w:rsidRPr="00B1122D">
        <w:rPr>
          <w:rFonts w:ascii="Book Antiqua" w:eastAsia="等线" w:hAnsi="Book Antiqua" w:cs="宋体"/>
          <w:color w:val="000000"/>
          <w:kern w:val="0"/>
          <w:sz w:val="24"/>
        </w:rPr>
        <w:t>713</w:t>
      </w:r>
    </w:p>
    <w:p w14:paraId="547997D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57C2CF1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Core Tip: </w:t>
      </w:r>
      <w:r w:rsidRPr="00F14E16">
        <w:rPr>
          <w:rFonts w:ascii="Book Antiqua" w:eastAsia="Book Antiqua" w:hAnsi="Book Antiqua" w:cs="Book Antiqua"/>
          <w:color w:val="000000"/>
          <w:kern w:val="0"/>
          <w:sz w:val="24"/>
          <w:lang w:eastAsia="en-US"/>
          <w14:ligatures w14:val="none"/>
        </w:rPr>
        <w:t xml:space="preserve">Recently, with the development of high-throughput sequencing, tumour tissues, which were previously believed to be sterile, have been shown to harbor a low microbiome biomass. The intratumour microbiome is crucial for pancreatic ductal adenocarcinoma (PDAC) diagnosis, treatment, chemotherapy resistance, and immune </w:t>
      </w:r>
      <w:r w:rsidRPr="00F14E16">
        <w:rPr>
          <w:rFonts w:ascii="Book Antiqua" w:eastAsia="Book Antiqua" w:hAnsi="Book Antiqua" w:cs="Book Antiqua"/>
          <w:color w:val="000000"/>
          <w:kern w:val="0"/>
          <w:sz w:val="24"/>
          <w:lang w:eastAsia="en-US"/>
          <w14:ligatures w14:val="none"/>
        </w:rPr>
        <w:lastRenderedPageBreak/>
        <w:t>response. Establishing an awareness of the biology of the tumour microbiome in PDAC supports the establishment of better strategies for PDAC. This review focuses on the possible origins of the microbiome, the localization, the interaction with the tumour microenvironment and the strategies for improving the outcomes of treatment. This review offers new perspectives for improving the prognosis of PDAC.</w:t>
      </w:r>
    </w:p>
    <w:p w14:paraId="6790C50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37E4A06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aps/>
          <w:color w:val="000000"/>
          <w:kern w:val="0"/>
          <w:sz w:val="24"/>
          <w:u w:val="single"/>
          <w:lang w:eastAsia="en-US"/>
          <w14:ligatures w14:val="none"/>
        </w:rPr>
        <w:t>INTRODUCTION</w:t>
      </w:r>
    </w:p>
    <w:p w14:paraId="58EA3BA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Pancreatic ductal adenocarcinoma (PDAC) is a malignant tumour that originates from pancreatic ductal cells. Although medical technology has improved the mortality of PDAC patients, the five-year survival remains less than 10%</w:t>
      </w:r>
      <w:r w:rsidRPr="00F14E16">
        <w:rPr>
          <w:rFonts w:ascii="Book Antiqua" w:eastAsia="Book Antiqua" w:hAnsi="Book Antiqua" w:cs="Book Antiqua"/>
          <w:color w:val="000000"/>
          <w:kern w:val="0"/>
          <w:sz w:val="24"/>
          <w:vertAlign w:val="superscript"/>
          <w:lang w:eastAsia="en-US"/>
          <w14:ligatures w14:val="none"/>
        </w:rPr>
        <w:t>[1]</w:t>
      </w:r>
      <w:r w:rsidRPr="00F14E16">
        <w:rPr>
          <w:rFonts w:ascii="Book Antiqua" w:eastAsia="Book Antiqua" w:hAnsi="Book Antiqua" w:cs="Book Antiqua"/>
          <w:color w:val="000000"/>
          <w:kern w:val="0"/>
          <w:sz w:val="24"/>
          <w:lang w:eastAsia="en-US"/>
          <w14:ligatures w14:val="none"/>
        </w:rPr>
        <w:t>. Since early PDAC patients lack specific clinical manifestations, the detection of PDAC usually occurs in the middle or late stages. Furthermore, advanced-stage PDAC usually cannot be eradicated by surgery, and these patients fail to respond to immunotherapy, chemotherapy or radiotherapy</w:t>
      </w:r>
      <w:r w:rsidRPr="00F14E16">
        <w:rPr>
          <w:rFonts w:ascii="Book Antiqua" w:eastAsia="Book Antiqua" w:hAnsi="Book Antiqua" w:cs="Book Antiqua"/>
          <w:color w:val="000000"/>
          <w:kern w:val="0"/>
          <w:sz w:val="24"/>
          <w:vertAlign w:val="superscript"/>
          <w:lang w:eastAsia="en-US"/>
          <w14:ligatures w14:val="none"/>
        </w:rPr>
        <w:t>[2]</w:t>
      </w:r>
      <w:r w:rsidRPr="00F14E16">
        <w:rPr>
          <w:rFonts w:ascii="Book Antiqua" w:eastAsia="Book Antiqua" w:hAnsi="Book Antiqua" w:cs="Book Antiqua"/>
          <w:color w:val="000000"/>
          <w:kern w:val="0"/>
          <w:sz w:val="24"/>
          <w:lang w:eastAsia="en-US"/>
          <w14:ligatures w14:val="none"/>
        </w:rPr>
        <w:t xml:space="preserve">. Therefore, it remains a huge challenge to improve the outlook for individuals with PDAC. </w:t>
      </w:r>
    </w:p>
    <w:p w14:paraId="2CFE496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traditional approaches for PDAC research are centred on the factors of PDAC only while ignoring the role of the microbiome in the tumour microenvironment (TME). Investigation revealed that the host microbiome, particularly the gut microbiome, interacts to influence cellular biological activity and regulate inflammation, immunity and cancer progression</w:t>
      </w:r>
      <w:r w:rsidRPr="00F14E16">
        <w:rPr>
          <w:rFonts w:ascii="Book Antiqua" w:eastAsia="Book Antiqua" w:hAnsi="Book Antiqua" w:cs="Book Antiqua"/>
          <w:color w:val="000000"/>
          <w:kern w:val="0"/>
          <w:sz w:val="24"/>
          <w:vertAlign w:val="superscript"/>
          <w:lang w:eastAsia="en-US"/>
          <w14:ligatures w14:val="none"/>
        </w:rPr>
        <w:t>[3-6]</w:t>
      </w:r>
      <w:r w:rsidRPr="00F14E16">
        <w:rPr>
          <w:rFonts w:ascii="Book Antiqua" w:eastAsia="Book Antiqua" w:hAnsi="Book Antiqua" w:cs="Book Antiqua"/>
          <w:color w:val="000000"/>
          <w:kern w:val="0"/>
          <w:sz w:val="24"/>
          <w:lang w:eastAsia="en-US"/>
          <w14:ligatures w14:val="none"/>
        </w:rPr>
        <w:t>. Of the 1012 different microbial species known today, only 11 are labeled human carcinogens by the International Association for Cancer Registries</w:t>
      </w:r>
      <w:r w:rsidRPr="00F14E16">
        <w:rPr>
          <w:rFonts w:ascii="Book Antiqua" w:eastAsia="Book Antiqua" w:hAnsi="Book Antiqua" w:cs="Book Antiqua"/>
          <w:color w:val="000000"/>
          <w:kern w:val="0"/>
          <w:sz w:val="24"/>
          <w:vertAlign w:val="superscript"/>
          <w:lang w:eastAsia="en-US"/>
          <w14:ligatures w14:val="none"/>
        </w:rPr>
        <w:t>[7,8]</w:t>
      </w:r>
      <w:r w:rsidRPr="00F14E16">
        <w:rPr>
          <w:rFonts w:ascii="Book Antiqua" w:eastAsia="Book Antiqua" w:hAnsi="Book Antiqua" w:cs="Book Antiqua"/>
          <w:color w:val="000000"/>
          <w:kern w:val="0"/>
          <w:sz w:val="24"/>
          <w:lang w:eastAsia="en-US"/>
          <w14:ligatures w14:val="none"/>
        </w:rPr>
        <w:t>. A broader range of microbiomes may contribute to carcinogenesis as an important class of 'coconspirators' but is not enough to cause cancer</w:t>
      </w:r>
      <w:r w:rsidRPr="00F14E16">
        <w:rPr>
          <w:rFonts w:ascii="Book Antiqua" w:eastAsia="Book Antiqua" w:hAnsi="Book Antiqua" w:cs="Book Antiqua"/>
          <w:color w:val="000000"/>
          <w:kern w:val="0"/>
          <w:sz w:val="24"/>
          <w:vertAlign w:val="superscript"/>
          <w:lang w:eastAsia="en-US"/>
          <w14:ligatures w14:val="none"/>
        </w:rPr>
        <w:t>[9-11]</w:t>
      </w:r>
      <w:r w:rsidRPr="00F14E16">
        <w:rPr>
          <w:rFonts w:ascii="Book Antiqua" w:eastAsia="Book Antiqua" w:hAnsi="Book Antiqua" w:cs="Book Antiqua"/>
          <w:color w:val="000000"/>
          <w:kern w:val="0"/>
          <w:sz w:val="24"/>
          <w:lang w:eastAsia="en-US"/>
          <w14:ligatures w14:val="none"/>
        </w:rPr>
        <w:t>. Recently, with increasing research on PDAC, tumour tissues, previously believed to be sterile, have been found to harbour a low microbiome biomass. The tumour microbiome was first proposed in the 19th century, but little progress in this field was made for a considerable period of time</w:t>
      </w:r>
      <w:r w:rsidRPr="00F14E16">
        <w:rPr>
          <w:rFonts w:ascii="Book Antiqua" w:eastAsia="Book Antiqua" w:hAnsi="Book Antiqua" w:cs="Book Antiqua"/>
          <w:color w:val="000000"/>
          <w:kern w:val="0"/>
          <w:sz w:val="24"/>
          <w:vertAlign w:val="superscript"/>
          <w:lang w:eastAsia="en-US"/>
          <w14:ligatures w14:val="none"/>
        </w:rPr>
        <w:t>[12]</w:t>
      </w:r>
      <w:r w:rsidRPr="00F14E16">
        <w:rPr>
          <w:rFonts w:ascii="Book Antiqua" w:eastAsia="Book Antiqua" w:hAnsi="Book Antiqua" w:cs="Book Antiqua"/>
          <w:color w:val="000000"/>
          <w:kern w:val="0"/>
          <w:sz w:val="24"/>
          <w:lang w:eastAsia="en-US"/>
          <w14:ligatures w14:val="none"/>
        </w:rPr>
        <w:t>. With advances in sequencing technology and a better understanding of the TME, it has been revealed that the intratumour microbiome plays an influential role in tumour progression</w:t>
      </w:r>
      <w:r w:rsidRPr="00F14E16">
        <w:rPr>
          <w:rFonts w:ascii="Book Antiqua" w:eastAsia="Book Antiqua" w:hAnsi="Book Antiqua" w:cs="Book Antiqua"/>
          <w:color w:val="000000"/>
          <w:kern w:val="0"/>
          <w:sz w:val="24"/>
          <w:vertAlign w:val="superscript"/>
          <w:lang w:eastAsia="en-US"/>
          <w14:ligatures w14:val="none"/>
        </w:rPr>
        <w:t>[8]</w:t>
      </w:r>
      <w:r w:rsidRPr="00F14E16">
        <w:rPr>
          <w:rFonts w:ascii="Book Antiqua" w:eastAsia="Book Antiqua" w:hAnsi="Book Antiqua" w:cs="Book Antiqua"/>
          <w:color w:val="000000"/>
          <w:kern w:val="0"/>
          <w:sz w:val="24"/>
          <w:lang w:eastAsia="en-US"/>
          <w14:ligatures w14:val="none"/>
        </w:rPr>
        <w:t xml:space="preserve">. However, the abundance of the intratumour microbiome is substantially lower than that of tumour cells. The bacterial portion of the tumour tissue was calculated </w:t>
      </w:r>
      <w:r w:rsidRPr="00F14E16">
        <w:rPr>
          <w:rFonts w:ascii="Book Antiqua" w:eastAsia="Book Antiqua" w:hAnsi="Book Antiqua" w:cs="Book Antiqua"/>
          <w:color w:val="000000"/>
          <w:kern w:val="0"/>
          <w:sz w:val="24"/>
          <w:lang w:eastAsia="en-US"/>
          <w14:ligatures w14:val="none"/>
        </w:rPr>
        <w:lastRenderedPageBreak/>
        <w:t>to be approximately 0.68%. In the case of a three-dimensional or flat tumour environment, this equates to approximately 10</w:t>
      </w:r>
      <w:r w:rsidRPr="00F14E16">
        <w:rPr>
          <w:rFonts w:ascii="Book Antiqua" w:eastAsia="Book Antiqua" w:hAnsi="Book Antiqua" w:cs="Book Antiqua"/>
          <w:color w:val="000000"/>
          <w:kern w:val="0"/>
          <w:sz w:val="24"/>
          <w:vertAlign w:val="superscript"/>
          <w:lang w:eastAsia="en-US"/>
          <w14:ligatures w14:val="none"/>
        </w:rPr>
        <w:t>5</w:t>
      </w:r>
      <w:r w:rsidRPr="00F14E16">
        <w:rPr>
          <w:rFonts w:ascii="Book Antiqua" w:eastAsia="Book Antiqua" w:hAnsi="Book Antiqua" w:cs="Book Antiqua"/>
          <w:color w:val="000000"/>
          <w:kern w:val="0"/>
          <w:sz w:val="24"/>
          <w:lang w:eastAsia="en-US"/>
          <w14:ligatures w14:val="none"/>
        </w:rPr>
        <w:t xml:space="preserve"> to 10</w:t>
      </w:r>
      <w:r w:rsidRPr="00F14E16">
        <w:rPr>
          <w:rFonts w:ascii="Book Antiqua" w:eastAsia="Book Antiqua" w:hAnsi="Book Antiqua" w:cs="Book Antiqua"/>
          <w:color w:val="000000"/>
          <w:kern w:val="0"/>
          <w:sz w:val="24"/>
          <w:vertAlign w:val="superscript"/>
          <w:lang w:eastAsia="en-US"/>
          <w14:ligatures w14:val="none"/>
        </w:rPr>
        <w:t>6</w:t>
      </w:r>
      <w:r w:rsidRPr="00F14E16">
        <w:rPr>
          <w:rFonts w:ascii="Book Antiqua" w:eastAsia="Book Antiqua" w:hAnsi="Book Antiqua" w:cs="Book Antiqua"/>
          <w:color w:val="000000"/>
          <w:kern w:val="0"/>
          <w:sz w:val="24"/>
          <w:lang w:eastAsia="en-US"/>
          <w14:ligatures w14:val="none"/>
        </w:rPr>
        <w:t xml:space="preserve"> bacteria per 1 cm</w:t>
      </w:r>
      <w:r w:rsidRPr="00F14E16">
        <w:rPr>
          <w:rFonts w:ascii="Book Antiqua" w:eastAsia="Book Antiqua" w:hAnsi="Book Antiqua" w:cs="Book Antiqua"/>
          <w:color w:val="000000"/>
          <w:kern w:val="0"/>
          <w:sz w:val="24"/>
          <w:vertAlign w:val="superscript"/>
          <w:lang w:eastAsia="en-US"/>
          <w14:ligatures w14:val="none"/>
        </w:rPr>
        <w:t>3</w:t>
      </w:r>
      <w:r w:rsidRPr="00F14E16">
        <w:rPr>
          <w:rFonts w:ascii="Book Antiqua" w:eastAsia="Book Antiqua" w:hAnsi="Book Antiqua" w:cs="Book Antiqua"/>
          <w:color w:val="000000"/>
          <w:kern w:val="0"/>
          <w:sz w:val="24"/>
          <w:lang w:eastAsia="en-US"/>
          <w14:ligatures w14:val="none"/>
        </w:rPr>
        <w:t xml:space="preserve"> or approximately 34 bacteria per 1 mm</w:t>
      </w:r>
      <w:r w:rsidRPr="00F14E16">
        <w:rPr>
          <w:rFonts w:ascii="Book Antiqua" w:eastAsia="Book Antiqua" w:hAnsi="Book Antiqua" w:cs="Book Antiqua"/>
          <w:color w:val="000000"/>
          <w:kern w:val="0"/>
          <w:sz w:val="24"/>
          <w:vertAlign w:val="superscript"/>
          <w:lang w:eastAsia="en-US"/>
          <w14:ligatures w14:val="none"/>
        </w:rPr>
        <w:t>2[8,13]</w:t>
      </w:r>
      <w:r w:rsidRPr="00F14E16">
        <w:rPr>
          <w:rFonts w:ascii="Book Antiqua" w:eastAsia="Book Antiqua" w:hAnsi="Book Antiqua" w:cs="Book Antiqua"/>
          <w:color w:val="000000"/>
          <w:kern w:val="0"/>
          <w:sz w:val="24"/>
          <w:lang w:eastAsia="en-US"/>
          <w14:ligatures w14:val="none"/>
        </w:rPr>
        <w:t>. However, research has revealed that the intratumour microbiome exerts influential impacts on the progression, diagnosis, treatment, chemotherapy resistance, and modulation of immune tone in PDAC</w:t>
      </w:r>
      <w:r w:rsidRPr="00F14E16">
        <w:rPr>
          <w:rFonts w:ascii="Book Antiqua" w:eastAsia="Book Antiqua" w:hAnsi="Book Antiqua" w:cs="Book Antiqua"/>
          <w:color w:val="000000"/>
          <w:kern w:val="0"/>
          <w:sz w:val="24"/>
          <w:vertAlign w:val="superscript"/>
          <w:lang w:eastAsia="en-US"/>
          <w14:ligatures w14:val="none"/>
        </w:rPr>
        <w:t>[14-17]</w:t>
      </w:r>
      <w:r w:rsidRPr="00F14E16">
        <w:rPr>
          <w:rFonts w:ascii="Book Antiqua" w:eastAsia="Book Antiqua" w:hAnsi="Book Antiqua" w:cs="Book Antiqua"/>
          <w:color w:val="000000"/>
          <w:kern w:val="0"/>
          <w:sz w:val="24"/>
          <w:lang w:eastAsia="en-US"/>
          <w14:ligatures w14:val="none"/>
        </w:rPr>
        <w:t xml:space="preserve">. </w:t>
      </w:r>
    </w:p>
    <w:p w14:paraId="3253044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Despite the progress made in the study of the intratumour microbiome, there are still many unanswered questions in this emerging field. Furthermore, the understanding of the PDAC intratumour microbiome is far from complete, partly due to the limitations of research techniques</w:t>
      </w:r>
      <w:r w:rsidRPr="00F14E16">
        <w:rPr>
          <w:rFonts w:ascii="Book Antiqua" w:eastAsia="Book Antiqua" w:hAnsi="Book Antiqua" w:cs="Book Antiqua"/>
          <w:color w:val="000000"/>
          <w:kern w:val="0"/>
          <w:sz w:val="24"/>
          <w:vertAlign w:val="superscript"/>
          <w:lang w:eastAsia="en-US"/>
          <w14:ligatures w14:val="none"/>
        </w:rPr>
        <w:t>[18]</w:t>
      </w:r>
      <w:r w:rsidRPr="00F14E16">
        <w:rPr>
          <w:rFonts w:ascii="Book Antiqua" w:eastAsia="Book Antiqua" w:hAnsi="Book Antiqua" w:cs="Book Antiqua"/>
          <w:color w:val="000000"/>
          <w:kern w:val="0"/>
          <w:sz w:val="24"/>
          <w:lang w:eastAsia="en-US"/>
          <w14:ligatures w14:val="none"/>
        </w:rPr>
        <w:t>. Establishing an awareness of the biology of the tumour microbiome in PDAC supports the establishment of better strategies for early cancer screening and treatment. This review focuses on the possible origins of the intratumour microbiome in PDAC, the intratumour localization, the interaction with the TME, and the roles or strategies in improving the outcomes of PDAC treatment, offering new perspectives for improving the prognosis of PDAC.</w:t>
      </w:r>
    </w:p>
    <w:p w14:paraId="35D80E6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3CAD73D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The origin of the PDAC intratumour microbiome</w:t>
      </w:r>
    </w:p>
    <w:p w14:paraId="6542B51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mainstream view holds that the microbiome in PDAC may originate from the gut and the oral cavity, but this remains controversial</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F</w:t>
      </w:r>
      <w:r w:rsidRPr="00F14E16">
        <w:rPr>
          <w:rFonts w:ascii="Book Antiqua" w:eastAsia="Book Antiqua" w:hAnsi="Book Antiqua" w:cs="Book Antiqua"/>
          <w:color w:val="000000"/>
          <w:kern w:val="0"/>
          <w:sz w:val="24"/>
          <w:lang w:eastAsia="en-US"/>
          <w14:ligatures w14:val="none"/>
        </w:rPr>
        <w:t xml:space="preserve">igure 1). The pancreatic duct and common bile duct open together at the duodenal papilla. The innate anatomy allows microorganisms from the gut to enter the pancreatic tissue retrogradely through the pancreatic duct. Additionally, Okuda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[19]</w:t>
      </w:r>
      <w:r w:rsidRPr="00F14E16">
        <w:rPr>
          <w:rFonts w:ascii="Book Antiqua" w:eastAsia="Book Antiqua" w:hAnsi="Book Antiqua" w:cs="Book Antiqua"/>
          <w:color w:val="000000"/>
          <w:kern w:val="0"/>
          <w:sz w:val="24"/>
          <w:lang w:eastAsia="en-US"/>
          <w14:ligatures w14:val="none"/>
        </w:rPr>
        <w:t xml:space="preserve"> showed that representative bacteria in pancreatic juice strongly colocalized in PDAC tissue</w:t>
      </w:r>
      <w:r w:rsidRPr="00F14E16">
        <w:rPr>
          <w:rFonts w:ascii="Book Antiqua" w:eastAsia="Book Antiqua" w:hAnsi="Book Antiqua" w:cs="Book Antiqua"/>
          <w:color w:val="000000"/>
          <w:kern w:val="0"/>
          <w:sz w:val="24"/>
          <w:vertAlign w:val="superscript"/>
          <w:lang w:eastAsia="en-US"/>
          <w14:ligatures w14:val="none"/>
        </w:rPr>
        <w:t>[19]</w:t>
      </w:r>
      <w:r w:rsidRPr="00F14E16">
        <w:rPr>
          <w:rFonts w:ascii="Book Antiqua" w:eastAsia="Book Antiqua" w:hAnsi="Book Antiqua" w:cs="Book Antiqua"/>
          <w:color w:val="000000"/>
          <w:kern w:val="0"/>
          <w:sz w:val="24"/>
          <w:lang w:eastAsia="en-US"/>
          <w14:ligatures w14:val="none"/>
        </w:rPr>
        <w:t xml:space="preserve">. Bacterial signals were detected in pancreatic tissue of wild-type (WT) mice by gavaging fluorescently labelled </w:t>
      </w:r>
      <w:r w:rsidRPr="00F14E16">
        <w:rPr>
          <w:rFonts w:ascii="Book Antiqua" w:eastAsia="Book Antiqua" w:hAnsi="Book Antiqua" w:cs="Book Antiqua"/>
          <w:i/>
          <w:iCs/>
          <w:color w:val="000000"/>
          <w:kern w:val="0"/>
          <w:sz w:val="24"/>
          <w:lang w:eastAsia="en-US"/>
          <w14:ligatures w14:val="none"/>
        </w:rPr>
        <w:t>Enterococcus faecalis</w:t>
      </w:r>
      <w:r w:rsidRPr="00F14E16">
        <w:rPr>
          <w:rFonts w:ascii="Book Antiqua" w:eastAsia="Book Antiqua" w:hAnsi="Book Antiqua" w:cs="Book Antiqua"/>
          <w:color w:val="000000"/>
          <w:kern w:val="0"/>
          <w:sz w:val="24"/>
          <w:lang w:eastAsia="en-US"/>
          <w14:ligatures w14:val="none"/>
        </w:rPr>
        <w:t xml:space="preserve"> and GFP-labelled </w:t>
      </w:r>
      <w:r w:rsidRPr="00F14E16">
        <w:rPr>
          <w:rFonts w:ascii="Book Antiqua" w:eastAsia="Book Antiqua" w:hAnsi="Book Antiqua" w:cs="Book Antiqua"/>
          <w:i/>
          <w:iCs/>
          <w:color w:val="000000"/>
          <w:kern w:val="0"/>
          <w:sz w:val="24"/>
          <w:lang w:eastAsia="en-US"/>
          <w14:ligatures w14:val="none"/>
        </w:rPr>
        <w:t xml:space="preserve">Escherichia coli </w:t>
      </w:r>
      <w:r w:rsidRPr="00F14E16">
        <w:rPr>
          <w:rFonts w:ascii="Book Antiqua" w:eastAsia="Book Antiqua" w:hAnsi="Book Antiqua" w:cs="Book Antiqua"/>
          <w:color w:val="000000"/>
          <w:kern w:val="0"/>
          <w:sz w:val="24"/>
          <w:lang w:eastAsia="en-US"/>
          <w14:ligatures w14:val="none"/>
        </w:rPr>
        <w:t>(</w:t>
      </w:r>
      <w:r w:rsidRPr="00F14E16">
        <w:rPr>
          <w:rFonts w:ascii="Book Antiqua" w:eastAsia="Book Antiqua" w:hAnsi="Book Antiqua" w:cs="Book Antiqua"/>
          <w:i/>
          <w:color w:val="000000"/>
          <w:kern w:val="0"/>
          <w:sz w:val="24"/>
          <w:lang w:eastAsia="en-US"/>
          <w14:ligatures w14:val="none"/>
        </w:rPr>
        <w:t>E. coli</w:t>
      </w:r>
      <w:r w:rsidRPr="00F14E16">
        <w:rPr>
          <w:rFonts w:ascii="Book Antiqua" w:eastAsia="Book Antiqua" w:hAnsi="Book Antiqua" w:cs="Book Antiqua"/>
          <w:color w:val="000000"/>
          <w:kern w:val="0"/>
          <w:sz w:val="24"/>
          <w:lang w:eastAsia="en-US"/>
          <w14:ligatures w14:val="none"/>
        </w:rPr>
        <w:t>)</w:t>
      </w:r>
      <w:r w:rsidRPr="00F14E16">
        <w:rPr>
          <w:rFonts w:ascii="Book Antiqua" w:eastAsia="Book Antiqua" w:hAnsi="Book Antiqua" w:cs="Book Antiqua"/>
          <w:color w:val="000000"/>
          <w:kern w:val="0"/>
          <w:sz w:val="24"/>
          <w:vertAlign w:val="superscript"/>
          <w:lang w:eastAsia="en-US"/>
          <w14:ligatures w14:val="none"/>
        </w:rPr>
        <w:t>[20]</w:t>
      </w:r>
      <w:r w:rsidRPr="00F14E16">
        <w:rPr>
          <w:rFonts w:ascii="Book Antiqua" w:eastAsia="Book Antiqua" w:hAnsi="Book Antiqua" w:cs="Book Antiqua"/>
          <w:color w:val="000000"/>
          <w:kern w:val="0"/>
          <w:sz w:val="24"/>
          <w:lang w:eastAsia="en-US"/>
          <w14:ligatures w14:val="none"/>
        </w:rPr>
        <w:t>. Similarly, when PDAC mice were gavaged with fungi, the presence of fungi in the tumour tissue was confirmed by staining or fluorescence</w:t>
      </w:r>
      <w:r w:rsidRPr="00F14E16">
        <w:rPr>
          <w:rFonts w:ascii="Book Antiqua" w:eastAsia="Book Antiqua" w:hAnsi="Book Antiqua" w:cs="Book Antiqua"/>
          <w:color w:val="000000"/>
          <w:kern w:val="0"/>
          <w:sz w:val="24"/>
          <w:vertAlign w:val="superscript"/>
          <w:lang w:eastAsia="en-US"/>
          <w14:ligatures w14:val="none"/>
        </w:rPr>
        <w:t>[17,21]</w:t>
      </w:r>
      <w:r w:rsidRPr="00F14E16">
        <w:rPr>
          <w:rFonts w:ascii="Book Antiqua" w:eastAsia="Book Antiqua" w:hAnsi="Book Antiqua" w:cs="Book Antiqua"/>
          <w:color w:val="000000"/>
          <w:kern w:val="0"/>
          <w:sz w:val="24"/>
          <w:lang w:eastAsia="en-US"/>
          <w14:ligatures w14:val="none"/>
        </w:rPr>
        <w:t>. However, in another design, the presence of bacteria in normal pancreatic tissue was not detected in germ-free GF 129SvEv mice after gavage with relatively low doses and frequencies of specific pathogen-free bacteria</w:t>
      </w:r>
      <w:r w:rsidRPr="00F14E16">
        <w:rPr>
          <w:rFonts w:ascii="Book Antiqua" w:eastAsia="Book Antiqua" w:hAnsi="Book Antiqua" w:cs="Book Antiqua"/>
          <w:color w:val="000000"/>
          <w:kern w:val="0"/>
          <w:sz w:val="24"/>
          <w:vertAlign w:val="superscript"/>
          <w:lang w:eastAsia="en-US"/>
          <w14:ligatures w14:val="none"/>
        </w:rPr>
        <w:t>[22]</w:t>
      </w:r>
      <w:r w:rsidRPr="00F14E16">
        <w:rPr>
          <w:rFonts w:ascii="Book Antiqua" w:eastAsia="Book Antiqua" w:hAnsi="Book Antiqua" w:cs="Book Antiqua"/>
          <w:color w:val="000000"/>
          <w:kern w:val="0"/>
          <w:sz w:val="24"/>
          <w:lang w:eastAsia="en-US"/>
          <w14:ligatures w14:val="none"/>
        </w:rPr>
        <w:t xml:space="preserve">. This reflects the problem that although animal experiments have indicated that gastrointestinal flora can enter the pancreatic tissue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the gastrointestinal route, gavage by specific microbiota at </w:t>
      </w:r>
      <w:r w:rsidRPr="00F14E16">
        <w:rPr>
          <w:rFonts w:ascii="Book Antiqua" w:eastAsia="Book Antiqua" w:hAnsi="Book Antiqua" w:cs="Book Antiqua"/>
          <w:color w:val="000000"/>
          <w:kern w:val="0"/>
          <w:sz w:val="24"/>
          <w:lang w:eastAsia="en-US"/>
          <w14:ligatures w14:val="none"/>
        </w:rPr>
        <w:lastRenderedPageBreak/>
        <w:t>high concentrations and frequencies does not seem to be proportionate to the normal human physiological situation</w:t>
      </w:r>
      <w:r w:rsidRPr="00F14E16">
        <w:rPr>
          <w:rFonts w:ascii="Book Antiqua" w:eastAsia="Book Antiqua" w:hAnsi="Book Antiqua" w:cs="Book Antiqua"/>
          <w:color w:val="000000"/>
          <w:kern w:val="0"/>
          <w:sz w:val="24"/>
          <w:vertAlign w:val="superscript"/>
          <w:lang w:eastAsia="en-US"/>
          <w14:ligatures w14:val="none"/>
        </w:rPr>
        <w:t>[23]</w:t>
      </w:r>
      <w:r w:rsidRPr="00F14E16">
        <w:rPr>
          <w:rFonts w:ascii="Book Antiqua" w:eastAsia="Book Antiqua" w:hAnsi="Book Antiqua" w:cs="Book Antiqua"/>
          <w:color w:val="000000"/>
          <w:kern w:val="0"/>
          <w:sz w:val="24"/>
          <w:lang w:eastAsia="en-US"/>
          <w14:ligatures w14:val="none"/>
        </w:rPr>
        <w:t xml:space="preserve">. In 16S rRNA sequencing of intratumour bacteria from PDAC in humans and mice, the bacterial compositions of PDAC and duodenal tissue were quite similar. The highest abundance of bacteria in human PDAC at the phylum level was </w:t>
      </w:r>
      <w:r w:rsidRPr="00F14E16">
        <w:rPr>
          <w:rFonts w:ascii="Book Antiqua" w:eastAsia="Book Antiqua" w:hAnsi="Book Antiqua" w:cs="Book Antiqua"/>
          <w:i/>
          <w:iCs/>
          <w:color w:val="000000"/>
          <w:kern w:val="0"/>
          <w:sz w:val="24"/>
          <w:lang w:eastAsia="en-US"/>
          <w14:ligatures w14:val="none"/>
        </w:rPr>
        <w:t>Proteobacteria</w:t>
      </w:r>
      <w:r w:rsidRPr="00F14E16">
        <w:rPr>
          <w:rFonts w:ascii="Book Antiqua" w:eastAsia="Book Antiqua" w:hAnsi="Book Antiqua" w:cs="Book Antiqua"/>
          <w:color w:val="000000"/>
          <w:kern w:val="0"/>
          <w:sz w:val="24"/>
          <w:lang w:eastAsia="en-US"/>
          <w14:ligatures w14:val="none"/>
        </w:rPr>
        <w:t>, which was the same as the highest abundance of bacteria in the duodenum, and patients who received invasive endoscopic procedures (IEP) had a higher abundance of intratumour bacteria than those who did not</w:t>
      </w:r>
      <w:r w:rsidRPr="00F14E16">
        <w:rPr>
          <w:rFonts w:ascii="Book Antiqua" w:eastAsia="Book Antiqua" w:hAnsi="Book Antiqua" w:cs="Book Antiqua"/>
          <w:color w:val="000000"/>
          <w:kern w:val="0"/>
          <w:sz w:val="24"/>
          <w:vertAlign w:val="superscript"/>
          <w:lang w:eastAsia="en-US"/>
          <w14:ligatures w14:val="none"/>
        </w:rPr>
        <w:t>[15,24-26]</w:t>
      </w:r>
      <w:r w:rsidRPr="00F14E16">
        <w:rPr>
          <w:rFonts w:ascii="Book Antiqua" w:eastAsia="Book Antiqua" w:hAnsi="Book Antiqua" w:cs="Book Antiqua"/>
          <w:color w:val="000000"/>
          <w:kern w:val="0"/>
          <w:sz w:val="24"/>
          <w:lang w:eastAsia="en-US"/>
          <w14:ligatures w14:val="none"/>
        </w:rPr>
        <w:t>. Significantly more abundant 16S rDNA copies were also observed in the pancreatic cyst fluid of intraductal papillary mucinous neoplasm (IPMN) and PDAC in patients with a preoperative history of IEP</w:t>
      </w:r>
      <w:r w:rsidRPr="00F14E16">
        <w:rPr>
          <w:rFonts w:ascii="Book Antiqua" w:eastAsia="Book Antiqua" w:hAnsi="Book Antiqua" w:cs="Book Antiqua"/>
          <w:color w:val="000000"/>
          <w:kern w:val="0"/>
          <w:sz w:val="24"/>
          <w:vertAlign w:val="superscript"/>
          <w:lang w:eastAsia="en-US"/>
          <w14:ligatures w14:val="none"/>
        </w:rPr>
        <w:t>[27]</w:t>
      </w:r>
      <w:r w:rsidRPr="00F14E16">
        <w:rPr>
          <w:rFonts w:ascii="Book Antiqua" w:eastAsia="Book Antiqua" w:hAnsi="Book Antiqua" w:cs="Book Antiqua"/>
          <w:color w:val="000000"/>
          <w:kern w:val="0"/>
          <w:sz w:val="24"/>
          <w:lang w:eastAsia="en-US"/>
          <w14:ligatures w14:val="none"/>
        </w:rPr>
        <w:t>. When comparing the microbiomes of PDAC tissue, duodenal fluid, and duodenal tissue from postoperative pancreatic patients, extensive similarities between duodenal and PDAC microbiomes were shown, but some of the microbiome of PDAC was not present in the duodenum</w:t>
      </w:r>
      <w:r w:rsidRPr="00F14E16">
        <w:rPr>
          <w:rFonts w:ascii="Book Antiqua" w:eastAsia="Book Antiqua" w:hAnsi="Book Antiqua" w:cs="Book Antiqua"/>
          <w:color w:val="000000"/>
          <w:kern w:val="0"/>
          <w:sz w:val="24"/>
          <w:vertAlign w:val="superscript"/>
          <w:lang w:eastAsia="en-US"/>
          <w14:ligatures w14:val="none"/>
        </w:rPr>
        <w:t>[28,29]</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宋体" w:hAnsi="Book Antiqua" w:cs="Times New Roman"/>
          <w:bCs/>
          <w:kern w:val="0"/>
          <w:sz w:val="24"/>
          <w:lang w:eastAsia="en-US"/>
          <w14:ligatures w14:val="none"/>
        </w:rPr>
        <w:t>Riquelme</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i/>
          <w:iCs/>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t>also demonstrated that approximately 50% of the intratumour bacteria of PDAC could not be explained by gastrointestinal or adjacent tissue</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Even though human-derived bacteria were detected in PDAC in mice that had been gavaged with faeces from PDAC patients, more than half of the intratumour bacteria in mouse PDAC remained unexplained</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This suggests that the microbiome in PDAC may have other sources.</w:t>
      </w:r>
    </w:p>
    <w:p w14:paraId="4B29D1A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Part of the oral microbiome of PDAC patients is also present in PDAC. Normally, the oral microbiome continues to spread to the distal gastrointestinal tract through oral intake alone and exceeds the expected abundance</w:t>
      </w:r>
      <w:r w:rsidRPr="00F14E16">
        <w:rPr>
          <w:rFonts w:ascii="Book Antiqua" w:eastAsia="Book Antiqua" w:hAnsi="Book Antiqua" w:cs="Book Antiqua"/>
          <w:color w:val="000000"/>
          <w:kern w:val="0"/>
          <w:sz w:val="24"/>
          <w:vertAlign w:val="superscript"/>
          <w:lang w:eastAsia="en-US"/>
          <w14:ligatures w14:val="none"/>
        </w:rPr>
        <w:t>[30]</w:t>
      </w:r>
      <w:r w:rsidRPr="00F14E16">
        <w:rPr>
          <w:rFonts w:ascii="Book Antiqua" w:eastAsia="Book Antiqua" w:hAnsi="Book Antiqua" w:cs="Book Antiqua"/>
          <w:color w:val="000000"/>
          <w:kern w:val="0"/>
          <w:sz w:val="24"/>
          <w:lang w:eastAsia="en-US"/>
          <w14:ligatures w14:val="none"/>
        </w:rPr>
        <w:t>. Coabundance of oral pathogens was found in the pancreatic cyst fluid of IPMN and PDAC</w:t>
      </w:r>
      <w:r w:rsidRPr="00F14E16">
        <w:rPr>
          <w:rFonts w:ascii="Book Antiqua" w:eastAsia="Book Antiqua" w:hAnsi="Book Antiqua" w:cs="Book Antiqua"/>
          <w:color w:val="000000"/>
          <w:kern w:val="0"/>
          <w:sz w:val="24"/>
          <w:vertAlign w:val="superscript"/>
          <w:lang w:eastAsia="en-US"/>
          <w14:ligatures w14:val="none"/>
        </w:rPr>
        <w:t>[27]</w:t>
      </w:r>
      <w:r w:rsidRPr="00F14E16">
        <w:rPr>
          <w:rFonts w:ascii="Book Antiqua" w:eastAsia="Book Antiqua" w:hAnsi="Book Antiqua" w:cs="Book Antiqua"/>
          <w:color w:val="000000"/>
          <w:kern w:val="0"/>
          <w:sz w:val="24"/>
          <w:lang w:eastAsia="en-US"/>
          <w14:ligatures w14:val="none"/>
        </w:rPr>
        <w:t xml:space="preserve">. At the phylum level, the intratumour and oral microbiomes of PDAC patients are dominated by </w:t>
      </w:r>
      <w:r w:rsidRPr="00F14E16">
        <w:rPr>
          <w:rFonts w:ascii="Book Antiqua" w:eastAsia="Book Antiqua" w:hAnsi="Book Antiqua" w:cs="Book Antiqua"/>
          <w:i/>
          <w:iCs/>
          <w:color w:val="000000"/>
          <w:kern w:val="0"/>
          <w:sz w:val="24"/>
          <w:lang w:eastAsia="en-US"/>
          <w14:ligatures w14:val="none"/>
        </w:rPr>
        <w:t>Firmicutes</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Protebacteria</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Bacteroidota</w:t>
      </w:r>
      <w:r w:rsidRPr="00F14E16">
        <w:rPr>
          <w:rFonts w:ascii="Book Antiqua" w:eastAsia="Book Antiqua" w:hAnsi="Book Antiqua" w:cs="Book Antiqua"/>
          <w:color w:val="000000"/>
          <w:kern w:val="0"/>
          <w:sz w:val="24"/>
          <w:lang w:eastAsia="en-US"/>
          <w14:ligatures w14:val="none"/>
        </w:rPr>
        <w:t xml:space="preserve">. However, </w:t>
      </w:r>
      <w:r w:rsidRPr="00F14E16">
        <w:rPr>
          <w:rFonts w:ascii="Book Antiqua" w:eastAsia="Book Antiqua" w:hAnsi="Book Antiqua" w:cs="Book Antiqua"/>
          <w:i/>
          <w:iCs/>
          <w:color w:val="000000"/>
          <w:kern w:val="0"/>
          <w:sz w:val="24"/>
          <w:lang w:eastAsia="en-US"/>
          <w14:ligatures w14:val="none"/>
        </w:rPr>
        <w:t>Protebacteria</w:t>
      </w:r>
      <w:r w:rsidRPr="00F14E16">
        <w:rPr>
          <w:rFonts w:ascii="Book Antiqua" w:eastAsia="Book Antiqua" w:hAnsi="Book Antiqua" w:cs="Book Antiqua"/>
          <w:color w:val="000000"/>
          <w:kern w:val="0"/>
          <w:sz w:val="24"/>
          <w:lang w:eastAsia="en-US"/>
          <w14:ligatures w14:val="none"/>
        </w:rPr>
        <w:t>, highly abundant in PDAC tissues, are not highly enriched in the oral cavity</w:t>
      </w:r>
      <w:r w:rsidRPr="00F14E16">
        <w:rPr>
          <w:rFonts w:ascii="Book Antiqua" w:eastAsia="Book Antiqua" w:hAnsi="Book Antiqua" w:cs="Book Antiqua"/>
          <w:color w:val="000000"/>
          <w:kern w:val="0"/>
          <w:sz w:val="24"/>
          <w:vertAlign w:val="superscript"/>
          <w:lang w:eastAsia="en-US"/>
          <w14:ligatures w14:val="none"/>
        </w:rPr>
        <w:t>[25]</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Porphyromonas gingivalis</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an oral disease bacterium strongly associated with periodontitis and other oral diseases, has been most studied in relation to PDAC. Multiple findings indicate that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is also available in the PDAC microenvironment</w:t>
      </w:r>
      <w:r w:rsidRPr="00F14E16">
        <w:rPr>
          <w:rFonts w:ascii="Book Antiqua" w:eastAsia="Book Antiqua" w:hAnsi="Book Antiqua" w:cs="Book Antiqua"/>
          <w:color w:val="000000"/>
          <w:kern w:val="0"/>
          <w:sz w:val="24"/>
          <w:vertAlign w:val="superscript"/>
          <w:lang w:eastAsia="en-US"/>
          <w14:ligatures w14:val="none"/>
        </w:rPr>
        <w:t>[25,29]</w:t>
      </w:r>
      <w:r w:rsidRPr="00F14E16">
        <w:rPr>
          <w:rFonts w:ascii="Book Antiqua" w:eastAsia="Book Antiqua" w:hAnsi="Book Antiqua" w:cs="Book Antiqua"/>
          <w:color w:val="000000"/>
          <w:kern w:val="0"/>
          <w:sz w:val="24"/>
          <w:lang w:eastAsia="en-US"/>
          <w14:ligatures w14:val="none"/>
        </w:rPr>
        <w:t xml:space="preserve">. By gavaging calcein AM-labelled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for 2 </w:t>
      </w:r>
      <w:r w:rsidRPr="00F14E16">
        <w:rPr>
          <w:rFonts w:ascii="Book Antiqua" w:eastAsia="Book Antiqua" w:hAnsi="Book Antiqua" w:cs="Book Antiqua" w:hint="eastAsia"/>
          <w:color w:val="000000"/>
          <w:kern w:val="0"/>
          <w:sz w:val="24"/>
          <w14:ligatures w14:val="none"/>
        </w:rPr>
        <w:t>weeks</w:t>
      </w:r>
      <w:r w:rsidRPr="00F14E16">
        <w:rPr>
          <w:rFonts w:ascii="Book Antiqua" w:eastAsia="Book Antiqua" w:hAnsi="Book Antiqua" w:cs="Book Antiqua"/>
          <w:color w:val="000000"/>
          <w:kern w:val="0"/>
          <w:sz w:val="24"/>
          <w:lang w:eastAsia="en-US"/>
          <w14:ligatures w14:val="none"/>
        </w:rPr>
        <w:t xml:space="preserve"> in C57BL/6 mice, the presence of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in the pancreas and faeces was confirmed by flow cytometry and fluorescence in situ hybridization (FISH)</w:t>
      </w:r>
      <w:r w:rsidRPr="00F14E16">
        <w:rPr>
          <w:rFonts w:ascii="Book Antiqua" w:eastAsia="Book Antiqua" w:hAnsi="Book Antiqua" w:cs="Book Antiqua"/>
          <w:color w:val="000000"/>
          <w:kern w:val="0"/>
          <w:sz w:val="24"/>
          <w:vertAlign w:val="superscript"/>
          <w:lang w:eastAsia="en-US"/>
          <w14:ligatures w14:val="none"/>
        </w:rPr>
        <w:t>[25]</w:t>
      </w:r>
      <w:r w:rsidRPr="00F14E16">
        <w:rPr>
          <w:rFonts w:ascii="Book Antiqua" w:eastAsia="Book Antiqua" w:hAnsi="Book Antiqua" w:cs="Book Antiqua"/>
          <w:color w:val="000000"/>
          <w:kern w:val="0"/>
          <w:sz w:val="24"/>
          <w:lang w:eastAsia="en-US"/>
          <w14:ligatures w14:val="none"/>
        </w:rPr>
        <w:t xml:space="preserve">. Thus, it is </w:t>
      </w:r>
      <w:r w:rsidRPr="00F14E16">
        <w:rPr>
          <w:rFonts w:ascii="Book Antiqua" w:eastAsia="Book Antiqua" w:hAnsi="Book Antiqua" w:cs="Book Antiqua"/>
          <w:color w:val="000000"/>
          <w:kern w:val="0"/>
          <w:sz w:val="24"/>
          <w:lang w:eastAsia="en-US"/>
          <w14:ligatures w14:val="none"/>
        </w:rPr>
        <w:lastRenderedPageBreak/>
        <w:t xml:space="preserve">also possible for the microbiome from the oral cavity to reach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the gastrointestinal route passing through the pancreatic duct.</w:t>
      </w:r>
    </w:p>
    <w:p w14:paraId="1E5BCFA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Existing studies have indicated that the intratumour microbiome in PDAC has the potential to enter the pancreas through the gastrointestinal anatomy, but the possibility that the microbiome from the oral cavity or gastrointestinal cavity could enter the pancreas through blood and lymphatic drainage is not excluded</w:t>
      </w:r>
      <w:r w:rsidRPr="00F14E16">
        <w:rPr>
          <w:rFonts w:ascii="Book Antiqua" w:eastAsia="Book Antiqua" w:hAnsi="Book Antiqua" w:cs="Book Antiqua"/>
          <w:color w:val="000000"/>
          <w:kern w:val="0"/>
          <w:sz w:val="24"/>
          <w:vertAlign w:val="superscript"/>
          <w:lang w:eastAsia="en-US"/>
          <w14:ligatures w14:val="none"/>
        </w:rPr>
        <w:t>[23]</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Fusobacterium nucleatum</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F. nucleatum</w:t>
      </w:r>
      <w:r w:rsidRPr="00F14E16">
        <w:rPr>
          <w:rFonts w:ascii="Book Antiqua" w:eastAsia="Book Antiqua" w:hAnsi="Book Antiqua" w:cs="Book Antiqua"/>
          <w:color w:val="000000"/>
          <w:kern w:val="0"/>
          <w:sz w:val="24"/>
          <w:lang w:eastAsia="en-US"/>
          <w14:ligatures w14:val="none"/>
        </w:rPr>
        <w:t xml:space="preserve">), an oral colonizing anaerobic bacterium found in the same PDAC microenvironment as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was injected into the tail vein of mice with rectal cancer and showed an enrichment of </w:t>
      </w:r>
      <w:r w:rsidRPr="00F14E16">
        <w:rPr>
          <w:rFonts w:ascii="Book Antiqua" w:eastAsia="Book Antiqua" w:hAnsi="Book Antiqua" w:cs="Book Antiqua"/>
          <w:i/>
          <w:iCs/>
          <w:color w:val="000000"/>
          <w:kern w:val="0"/>
          <w:sz w:val="24"/>
          <w:lang w:eastAsia="en-US"/>
          <w14:ligatures w14:val="none"/>
        </w:rPr>
        <w:t>F. nucleatum</w:t>
      </w:r>
      <w:r w:rsidRPr="00F14E16">
        <w:rPr>
          <w:rFonts w:ascii="Book Antiqua" w:eastAsia="Book Antiqua" w:hAnsi="Book Antiqua" w:cs="Book Antiqua"/>
          <w:color w:val="000000"/>
          <w:kern w:val="0"/>
          <w:sz w:val="24"/>
          <w:lang w:eastAsia="en-US"/>
          <w14:ligatures w14:val="none"/>
        </w:rPr>
        <w:t xml:space="preserve"> in rectal cancer tumour tissue by plate culture or </w:t>
      </w:r>
      <w:r w:rsidRPr="00F14E16">
        <w:rPr>
          <w:rFonts w:ascii="Book Antiqua" w:eastAsia="Book Antiqua" w:hAnsi="Book Antiqua" w:cs="Book Antiqua" w:hint="eastAsia"/>
          <w:color w:val="000000"/>
          <w:kern w:val="0"/>
          <w:sz w:val="24"/>
          <w:lang w:eastAsia="en-US"/>
          <w14:ligatures w14:val="none"/>
        </w:rPr>
        <w:t>q</w:t>
      </w:r>
      <w:r w:rsidRPr="00F14E16">
        <w:rPr>
          <w:rFonts w:ascii="Book Antiqua" w:eastAsia="Book Antiqua" w:hAnsi="Book Antiqua" w:cs="Book Antiqua"/>
          <w:color w:val="000000"/>
          <w:kern w:val="0"/>
          <w:sz w:val="24"/>
          <w:lang w:eastAsia="en-US"/>
          <w14:ligatures w14:val="none"/>
        </w:rPr>
        <w:t>uantitative real-time polymerase chain reaction (qPCR)</w:t>
      </w:r>
      <w:r w:rsidRPr="00F14E16">
        <w:rPr>
          <w:rFonts w:ascii="Book Antiqua" w:eastAsia="Book Antiqua" w:hAnsi="Book Antiqua" w:cs="Book Antiqua"/>
          <w:color w:val="000000"/>
          <w:kern w:val="0"/>
          <w:sz w:val="24"/>
          <w:vertAlign w:val="superscript"/>
          <w:lang w:eastAsia="en-US"/>
          <w14:ligatures w14:val="none"/>
        </w:rPr>
        <w:t>[31,32]</w:t>
      </w:r>
      <w:r w:rsidRPr="00F14E16">
        <w:rPr>
          <w:rFonts w:ascii="Book Antiqua" w:eastAsia="Book Antiqua" w:hAnsi="Book Antiqua" w:cs="Book Antiqua"/>
          <w:color w:val="000000"/>
          <w:kern w:val="0"/>
          <w:sz w:val="24"/>
          <w:lang w:eastAsia="en-US"/>
          <w14:ligatures w14:val="none"/>
        </w:rPr>
        <w:t xml:space="preserve">. Tumours of nondigestive tract origin, such as breast cancer, are more likely to have an intratumour microbiome originating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blood or lymphatic drainage than tumours of digestive tract origin</w:t>
      </w:r>
      <w:r w:rsidRPr="00F14E16">
        <w:rPr>
          <w:rFonts w:ascii="Book Antiqua" w:eastAsia="Book Antiqua" w:hAnsi="Book Antiqua" w:cs="Book Antiqua"/>
          <w:color w:val="000000"/>
          <w:kern w:val="0"/>
          <w:sz w:val="24"/>
          <w:vertAlign w:val="superscript"/>
          <w:lang w:eastAsia="en-US"/>
          <w14:ligatures w14:val="none"/>
        </w:rPr>
        <w:t>[33,34]</w:t>
      </w:r>
      <w:r w:rsidRPr="00F14E16">
        <w:rPr>
          <w:rFonts w:ascii="Book Antiqua" w:eastAsia="Book Antiqua" w:hAnsi="Book Antiqua" w:cs="Book Antiqua"/>
          <w:color w:val="000000"/>
          <w:kern w:val="0"/>
          <w:sz w:val="24"/>
          <w:lang w:eastAsia="en-US"/>
          <w14:ligatures w14:val="none"/>
        </w:rPr>
        <w:t>. Although there is no experimental evidence at present that the microbiome can reach PDAC from microbial-rich sites such as the oral cavity or gastrointestinal tract by blood or lymph, much indirect evidence has shown the feasibility of such a transport route. Under healthy conditions, portal blood may contain small amounts of potential pathogens</w:t>
      </w:r>
      <w:r w:rsidRPr="00F14E16">
        <w:rPr>
          <w:rFonts w:ascii="Book Antiqua" w:eastAsia="Book Antiqua" w:hAnsi="Book Antiqua" w:cs="Book Antiqua"/>
          <w:color w:val="000000"/>
          <w:kern w:val="0"/>
          <w:sz w:val="24"/>
          <w:vertAlign w:val="superscript"/>
          <w:lang w:eastAsia="en-US"/>
          <w14:ligatures w14:val="none"/>
        </w:rPr>
        <w:t>[35]</w:t>
      </w:r>
      <w:r w:rsidRPr="00F14E16">
        <w:rPr>
          <w:rFonts w:ascii="Book Antiqua" w:eastAsia="Book Antiqua" w:hAnsi="Book Antiqua" w:cs="Book Antiqua"/>
          <w:color w:val="000000"/>
          <w:kern w:val="0"/>
          <w:sz w:val="24"/>
          <w:lang w:eastAsia="en-US"/>
          <w14:ligatures w14:val="none"/>
        </w:rPr>
        <w:t xml:space="preserve">. In cats, </w:t>
      </w:r>
      <w:r w:rsidRPr="00F14E16">
        <w:rPr>
          <w:rFonts w:ascii="Book Antiqua" w:eastAsia="Book Antiqua" w:hAnsi="Book Antiqua" w:cs="Book Antiqua"/>
          <w:i/>
          <w:iCs/>
          <w:color w:val="000000"/>
          <w:kern w:val="0"/>
          <w:sz w:val="24"/>
          <w:lang w:eastAsia="en-US"/>
          <w14:ligatures w14:val="none"/>
        </w:rPr>
        <w:t>E. coli</w:t>
      </w:r>
      <w:r w:rsidRPr="00F14E16">
        <w:rPr>
          <w:rFonts w:ascii="Book Antiqua" w:eastAsia="Book Antiqua" w:hAnsi="Book Antiqua" w:cs="Book Antiqua"/>
          <w:color w:val="000000"/>
          <w:kern w:val="0"/>
          <w:sz w:val="24"/>
          <w:lang w:eastAsia="en-US"/>
          <w14:ligatures w14:val="none"/>
        </w:rPr>
        <w:t xml:space="preserve"> enter from the transmural wall of the colon and spread through the bloodstream to the pancreas, especially in cats with acute pancreatitis</w:t>
      </w:r>
      <w:r w:rsidRPr="00F14E16">
        <w:rPr>
          <w:rFonts w:ascii="Book Antiqua" w:eastAsia="Book Antiqua" w:hAnsi="Book Antiqua" w:cs="Book Antiqua"/>
          <w:color w:val="000000"/>
          <w:kern w:val="0"/>
          <w:sz w:val="24"/>
          <w:vertAlign w:val="superscript"/>
          <w:lang w:eastAsia="en-US"/>
          <w14:ligatures w14:val="none"/>
        </w:rPr>
        <w:t>[36]</w:t>
      </w:r>
      <w:r w:rsidRPr="00F14E16">
        <w:rPr>
          <w:rFonts w:ascii="Book Antiqua" w:eastAsia="Book Antiqua" w:hAnsi="Book Antiqua" w:cs="Book Antiqua"/>
          <w:color w:val="000000"/>
          <w:kern w:val="0"/>
          <w:sz w:val="24"/>
          <w:lang w:eastAsia="en-US"/>
          <w14:ligatures w14:val="none"/>
        </w:rPr>
        <w:t>. Bacterial translocation was detectable in blood from patients with acute pancreatitis by 16S rDNA sequencing</w:t>
      </w:r>
      <w:r w:rsidRPr="00F14E16">
        <w:rPr>
          <w:rFonts w:ascii="Book Antiqua" w:eastAsia="Book Antiqua" w:hAnsi="Book Antiqua" w:cs="Book Antiqua"/>
          <w:color w:val="000000"/>
          <w:kern w:val="0"/>
          <w:sz w:val="24"/>
          <w:vertAlign w:val="superscript"/>
          <w:lang w:eastAsia="en-US"/>
          <w14:ligatures w14:val="none"/>
        </w:rPr>
        <w:t>[37]</w:t>
      </w:r>
      <w:r w:rsidRPr="00F14E16">
        <w:rPr>
          <w:rFonts w:ascii="Book Antiqua" w:eastAsia="Book Antiqua" w:hAnsi="Book Antiqua" w:cs="Book Antiqua"/>
          <w:color w:val="000000"/>
          <w:kern w:val="0"/>
          <w:sz w:val="24"/>
          <w:lang w:eastAsia="en-US"/>
          <w14:ligatures w14:val="none"/>
        </w:rPr>
        <w:t xml:space="preserve">. However, this blood drainage seems to be difficult to achieve in disease-free conditions. In germ-free Il10-/- mice with no pancreatic lesions, a mouse with defects in intestinal permeability, oral infection with </w:t>
      </w:r>
      <w:r w:rsidRPr="00F14E16">
        <w:rPr>
          <w:rFonts w:ascii="Book Antiqua" w:eastAsia="Book Antiqua" w:hAnsi="Book Antiqua" w:cs="Book Antiqua"/>
          <w:i/>
          <w:iCs/>
          <w:color w:val="000000"/>
          <w:kern w:val="0"/>
          <w:sz w:val="24"/>
          <w:lang w:eastAsia="en-US"/>
          <w14:ligatures w14:val="none"/>
        </w:rPr>
        <w:t>Campylobacter jejuni</w:t>
      </w:r>
      <w:r w:rsidRPr="00F14E16">
        <w:rPr>
          <w:rFonts w:ascii="Book Antiqua" w:eastAsia="Book Antiqua" w:hAnsi="Book Antiqua" w:cs="Book Antiqua"/>
          <w:color w:val="000000"/>
          <w:kern w:val="0"/>
          <w:sz w:val="24"/>
          <w:lang w:eastAsia="en-US"/>
          <w14:ligatures w14:val="none"/>
        </w:rPr>
        <w:t xml:space="preserve"> to accelerate such permeability defects caused them to develop severe colitis, but there appears to be no evidence of bacterial presence in the corresponding mouse pancreas by qPCR or culture</w:t>
      </w:r>
      <w:r w:rsidRPr="00F14E16">
        <w:rPr>
          <w:rFonts w:ascii="Book Antiqua" w:eastAsia="Book Antiqua" w:hAnsi="Book Antiqua" w:cs="Book Antiqua"/>
          <w:color w:val="000000"/>
          <w:kern w:val="0"/>
          <w:sz w:val="24"/>
          <w:vertAlign w:val="superscript"/>
          <w:lang w:eastAsia="en-US"/>
          <w14:ligatures w14:val="none"/>
        </w:rPr>
        <w:t>[22]</w:t>
      </w:r>
      <w:r w:rsidRPr="00F14E16">
        <w:rPr>
          <w:rFonts w:ascii="Book Antiqua" w:eastAsia="Book Antiqua" w:hAnsi="Book Antiqua" w:cs="Book Antiqua"/>
          <w:color w:val="000000"/>
          <w:kern w:val="0"/>
          <w:sz w:val="24"/>
          <w:lang w:eastAsia="en-US"/>
          <w14:ligatures w14:val="none"/>
        </w:rPr>
        <w:t xml:space="preserve">. </w:t>
      </w:r>
    </w:p>
    <w:p w14:paraId="4339FC0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In terms of lymphatic drainage, there is evidence of transfer of the gastrointestinal microbiome to mesenteric lymph nodes and transport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immune cells</w:t>
      </w:r>
      <w:r w:rsidRPr="00F14E16">
        <w:rPr>
          <w:rFonts w:ascii="Book Antiqua" w:eastAsia="Book Antiqua" w:hAnsi="Book Antiqua" w:cs="Book Antiqua"/>
          <w:color w:val="000000"/>
          <w:kern w:val="0"/>
          <w:sz w:val="24"/>
          <w:vertAlign w:val="superscript"/>
          <w:lang w:eastAsia="en-US"/>
          <w14:ligatures w14:val="none"/>
        </w:rPr>
        <w:t>[38-40]</w:t>
      </w:r>
      <w:r w:rsidRPr="00F14E16">
        <w:rPr>
          <w:rFonts w:ascii="Book Antiqua" w:eastAsia="Book Antiqua" w:hAnsi="Book Antiqua" w:cs="Book Antiqua"/>
          <w:color w:val="000000"/>
          <w:kern w:val="0"/>
          <w:sz w:val="24"/>
          <w:lang w:eastAsia="en-US"/>
          <w14:ligatures w14:val="none"/>
        </w:rPr>
        <w:t>. Commensal bacteria modulate intestinal immune surveillance by transporting CX3CR1</w:t>
      </w:r>
      <w:r w:rsidRPr="00F14E16">
        <w:rPr>
          <w:rFonts w:ascii="Book Antiqua" w:eastAsia="Book Antiqua" w:hAnsi="Book Antiqua" w:cs="Book Antiqua"/>
          <w:color w:val="000000"/>
          <w:kern w:val="0"/>
          <w:sz w:val="24"/>
          <w:vertAlign w:val="superscript"/>
          <w:lang w:eastAsia="en-US"/>
          <w14:ligatures w14:val="none"/>
        </w:rPr>
        <w:t>hi</w:t>
      </w:r>
      <w:r w:rsidRPr="00F14E16">
        <w:rPr>
          <w:rFonts w:ascii="Book Antiqua" w:eastAsia="Book Antiqua" w:hAnsi="Book Antiqua" w:cs="Book Antiqua"/>
          <w:color w:val="000000"/>
          <w:kern w:val="0"/>
          <w:sz w:val="24"/>
          <w:lang w:eastAsia="en-US"/>
          <w14:ligatures w14:val="none"/>
        </w:rPr>
        <w:t xml:space="preserve"> mononuclear phagocytes to mesenteric lymph nodes along with bacteria captured in the intestinal lumen</w:t>
      </w:r>
      <w:r w:rsidRPr="00F14E16">
        <w:rPr>
          <w:rFonts w:ascii="Book Antiqua" w:eastAsia="Book Antiqua" w:hAnsi="Book Antiqua" w:cs="Book Antiqua"/>
          <w:color w:val="000000"/>
          <w:kern w:val="0"/>
          <w:sz w:val="24"/>
          <w:vertAlign w:val="superscript"/>
          <w:lang w:eastAsia="en-US"/>
          <w14:ligatures w14:val="none"/>
        </w:rPr>
        <w:t>[38]</w:t>
      </w:r>
      <w:r w:rsidRPr="00F14E16">
        <w:rPr>
          <w:rFonts w:ascii="Book Antiqua" w:eastAsia="Book Antiqua" w:hAnsi="Book Antiqua" w:cs="Book Antiqua"/>
          <w:color w:val="000000"/>
          <w:kern w:val="0"/>
          <w:sz w:val="24"/>
          <w:lang w:eastAsia="en-US"/>
          <w14:ligatures w14:val="none"/>
        </w:rPr>
        <w:t xml:space="preserve">. During this process, bacteria are screened and transported from the </w:t>
      </w:r>
      <w:r w:rsidRPr="00F14E16">
        <w:rPr>
          <w:rFonts w:ascii="Book Antiqua" w:eastAsia="Book Antiqua" w:hAnsi="Book Antiqua" w:cs="Book Antiqua"/>
          <w:color w:val="000000"/>
          <w:kern w:val="0"/>
          <w:sz w:val="24"/>
          <w:lang w:eastAsia="en-US"/>
          <w14:ligatures w14:val="none"/>
        </w:rPr>
        <w:lastRenderedPageBreak/>
        <w:t xml:space="preserve">intestine to the mesenteric lymph nodes, which may provide an opportunity for bacteria to enter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anatomical lymphatic drainage. Although the mechanism is unclear, microbial staining of a variety of tumours in different ways revealed that the intracellular microbiome was found in macrophages</w:t>
      </w:r>
      <w:r w:rsidRPr="00F14E16">
        <w:rPr>
          <w:rFonts w:ascii="Book Antiqua" w:eastAsia="Book Antiqua" w:hAnsi="Book Antiqua" w:cs="Book Antiqua"/>
          <w:color w:val="000000"/>
          <w:kern w:val="0"/>
          <w:sz w:val="24"/>
          <w:vertAlign w:val="superscript"/>
          <w:lang w:eastAsia="en-US"/>
          <w14:ligatures w14:val="none"/>
        </w:rPr>
        <w:t>[16,24]</w:t>
      </w:r>
      <w:r w:rsidRPr="00F14E16">
        <w:rPr>
          <w:rFonts w:ascii="Book Antiqua" w:eastAsia="Book Antiqua" w:hAnsi="Book Antiqua" w:cs="Book Antiqua"/>
          <w:color w:val="000000"/>
          <w:kern w:val="0"/>
          <w:sz w:val="24"/>
          <w:lang w:eastAsia="en-US"/>
          <w14:ligatures w14:val="none"/>
        </w:rPr>
        <w:t xml:space="preserve">. Consequently, it is possible that the microbiome within the tumour is transferred to the pancreas by lymphatic drainage through such a mechanism of macrophage transport. Unfortunately, Nejman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did not perform lipopolysaccharide (LPS) staining of PDAC. Furthermore, the immunohistochemistry (IHC) staining of LPS within macrophages may also be due to phagocytosis of local microbiota by macrophages. Macrophages exhibiting positive IHC in LPS rarely exhibit positive 16S rRNA FISH. Thus, the possibility is not excluded that the bacterial LPS staining present in macrophages originates from bacterial components that are not fully processed</w:t>
      </w:r>
      <w:r w:rsidRPr="00F14E16">
        <w:rPr>
          <w:rFonts w:ascii="Book Antiqua" w:eastAsia="Book Antiqua" w:hAnsi="Book Antiqua" w:cs="Book Antiqua"/>
          <w:color w:val="000000"/>
          <w:kern w:val="0"/>
          <w:sz w:val="24"/>
          <w:vertAlign w:val="superscript"/>
          <w:lang w:eastAsia="en-US"/>
          <w14:ligatures w14:val="none"/>
        </w:rPr>
        <w:t>[16,41]</w:t>
      </w:r>
      <w:r w:rsidRPr="00F14E16">
        <w:rPr>
          <w:rFonts w:ascii="Book Antiqua" w:eastAsia="Book Antiqua" w:hAnsi="Book Antiqua" w:cs="Book Antiqua"/>
          <w:color w:val="000000"/>
          <w:kern w:val="0"/>
          <w:sz w:val="24"/>
          <w:lang w:eastAsia="en-US"/>
          <w14:ligatures w14:val="none"/>
        </w:rPr>
        <w:t xml:space="preserve">. Bacteria present in the oral cavity, such as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may be captured by lymphatic vasculature during the flow from the oral cavity to the bloodstream and then enter the systemic bloodstream</w:t>
      </w:r>
      <w:r w:rsidRPr="00F14E16">
        <w:rPr>
          <w:rFonts w:ascii="Book Antiqua" w:eastAsia="Book Antiqua" w:hAnsi="Book Antiqua" w:cs="Book Antiqua"/>
          <w:color w:val="000000"/>
          <w:kern w:val="0"/>
          <w:sz w:val="24"/>
          <w:vertAlign w:val="superscript"/>
          <w:lang w:eastAsia="en-US"/>
          <w14:ligatures w14:val="none"/>
        </w:rPr>
        <w:t>[42]</w:t>
      </w:r>
      <w:r w:rsidRPr="00F14E16">
        <w:rPr>
          <w:rFonts w:ascii="Book Antiqua" w:eastAsia="Book Antiqua" w:hAnsi="Book Antiqua" w:cs="Book Antiqua"/>
          <w:color w:val="000000"/>
          <w:kern w:val="0"/>
          <w:sz w:val="24"/>
          <w:lang w:eastAsia="en-US"/>
          <w14:ligatures w14:val="none"/>
        </w:rPr>
        <w:t>. Sakamoto</w:t>
      </w:r>
      <w:r w:rsidRPr="00F14E16">
        <w:rPr>
          <w:rFonts w:ascii="Book Antiqua" w:eastAsia="Book Antiqua" w:hAnsi="Book Antiqua" w:cs="Book Antiqua"/>
          <w:i/>
          <w:iCs/>
          <w:color w:val="000000"/>
          <w:kern w:val="0"/>
          <w:sz w:val="24"/>
          <w:lang w:eastAsia="en-US"/>
          <w14:ligatures w14:val="none"/>
        </w:rPr>
        <w:t xml:space="preserve"> et al</w:t>
      </w:r>
      <w:r w:rsidRPr="00F14E16">
        <w:rPr>
          <w:rFonts w:ascii="Book Antiqua" w:eastAsia="Book Antiqua" w:hAnsi="Book Antiqua" w:cs="Book Antiqua"/>
          <w:color w:val="000000"/>
          <w:kern w:val="0"/>
          <w:sz w:val="24"/>
          <w:vertAlign w:val="superscript"/>
          <w:lang w:eastAsia="en-US"/>
          <w14:ligatures w14:val="none"/>
        </w:rPr>
        <w:t>[43]</w:t>
      </w:r>
      <w:r w:rsidRPr="00F14E16">
        <w:rPr>
          <w:rFonts w:ascii="Book Antiqua" w:eastAsia="Book Antiqua" w:hAnsi="Book Antiqua" w:cs="Book Antiqua"/>
          <w:color w:val="000000"/>
          <w:kern w:val="0"/>
          <w:sz w:val="24"/>
          <w:lang w:eastAsia="en-US"/>
          <w14:ligatures w14:val="none"/>
        </w:rPr>
        <w:t xml:space="preserve"> analysed microbiota in 153 </w:t>
      </w:r>
      <w:r w:rsidRPr="00F14E16">
        <w:rPr>
          <w:rFonts w:ascii="Book Antiqua" w:eastAsia="宋体" w:hAnsi="Book Antiqua" w:cs="Book Antiqua" w:hint="eastAsia"/>
          <w:color w:val="000000"/>
          <w:kern w:val="0"/>
          <w:sz w:val="24"/>
          <w14:ligatures w14:val="none"/>
        </w:rPr>
        <w:t>l</w:t>
      </w:r>
      <w:r w:rsidRPr="00F14E16">
        <w:rPr>
          <w:rFonts w:ascii="Book Antiqua" w:eastAsia="Book Antiqua" w:hAnsi="Book Antiqua" w:cs="Book Antiqua"/>
          <w:color w:val="000000"/>
          <w:kern w:val="0"/>
          <w:sz w:val="24"/>
          <w:lang w:eastAsia="en-US"/>
          <w14:ligatures w14:val="none"/>
        </w:rPr>
        <w:t>ymph nodes collected from oral cancer patients and found viable bacteria in 45% of the lymph nodes from 83% of the patients</w:t>
      </w:r>
      <w:r w:rsidRPr="00F14E16">
        <w:rPr>
          <w:rFonts w:ascii="Book Antiqua" w:eastAsia="Book Antiqua" w:hAnsi="Book Antiqua" w:cs="Book Antiqua"/>
          <w:color w:val="000000"/>
          <w:kern w:val="0"/>
          <w:sz w:val="24"/>
          <w:vertAlign w:val="superscript"/>
          <w:lang w:eastAsia="en-US"/>
          <w14:ligatures w14:val="none"/>
        </w:rPr>
        <w:t>[43]</w:t>
      </w:r>
      <w:r w:rsidRPr="00F14E16">
        <w:rPr>
          <w:rFonts w:ascii="Book Antiqua" w:eastAsia="Book Antiqua" w:hAnsi="Book Antiqua" w:cs="Book Antiqua"/>
          <w:color w:val="000000"/>
          <w:kern w:val="0"/>
          <w:sz w:val="24"/>
          <w:lang w:eastAsia="en-US"/>
          <w14:ligatures w14:val="none"/>
        </w:rPr>
        <w:t>. Overall, the origin of the PDAC intratumour microbiome is still not entirely clear, but the possibility of multiple sources exists. Probing the origin of such a microbiome will facilitate the utilization of diverse approaches to target the intratumour microbiome for the treatment of PDAC patients in the future.</w:t>
      </w:r>
    </w:p>
    <w:p w14:paraId="22877C6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42BB602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The location in PDAC</w:t>
      </w:r>
    </w:p>
    <w:p w14:paraId="29651DA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intratumoural microbiome is a novel member of the PDAC tumour ecosystem, and its localization, especially its subcellular localization, remains unclear</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F</w:t>
      </w:r>
      <w:r w:rsidRPr="00F14E16">
        <w:rPr>
          <w:rFonts w:ascii="Book Antiqua" w:eastAsia="Book Antiqua" w:hAnsi="Book Antiqua" w:cs="Book Antiqua"/>
          <w:color w:val="000000"/>
          <w:kern w:val="0"/>
          <w:sz w:val="24"/>
          <w:lang w:eastAsia="en-US"/>
          <w14:ligatures w14:val="none"/>
        </w:rPr>
        <w:t xml:space="preserve">igure 1). Nejman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performed IHC for LPS and lipoteichoic acid of bacteria in five cancers, including breast, bone, lung, glioblastoma and ovarian cancers, and found that bacteria were predominantly present in tumour cells and immune cells and localized in the cytoplasm and nucleus of cancer cells. FISH was performed on bacterial 16S rRNA; however, bacterial 16S rRNA was mainly localized in the cytoplasm</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In multimethod staining of pancreatic, melanoma, ovarian, breast, and lung cancers, </w:t>
      </w:r>
      <w:r w:rsidRPr="00F14E16">
        <w:rPr>
          <w:rFonts w:ascii="Book Antiqua" w:eastAsia="宋体" w:hAnsi="Book Antiqua" w:cs="Times New Roman"/>
          <w:bCs/>
          <w:kern w:val="0"/>
          <w:sz w:val="24"/>
          <w:lang w:eastAsia="en-US"/>
          <w14:ligatures w14:val="none"/>
        </w:rPr>
        <w:t>Narunsky-Haziza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lastRenderedPageBreak/>
        <w:t>reported that the fungi were predominantly present in cancer cells of pancreatic, breast, and ovarian cancers, as well as in macrophages of melanoma and lung cancers, and that very few fungi were extracellularly localized</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Although Nejman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did not report the dominant localization of bacteria within pancreatic cancer tumours, the results would be expected to be similar. An </w:t>
      </w:r>
      <w:r w:rsidRPr="00F14E16">
        <w:rPr>
          <w:rFonts w:ascii="Book Antiqua" w:eastAsia="Book Antiqua" w:hAnsi="Book Antiqua" w:cs="Book Antiqua"/>
          <w:i/>
          <w:iCs/>
          <w:color w:val="000000"/>
          <w:kern w:val="0"/>
          <w:sz w:val="24"/>
          <w:lang w:eastAsia="en-US"/>
          <w14:ligatures w14:val="none"/>
        </w:rPr>
        <w:t>in vitro</w:t>
      </w:r>
      <w:r w:rsidRPr="00F14E16">
        <w:rPr>
          <w:rFonts w:ascii="Book Antiqua" w:eastAsia="Book Antiqua" w:hAnsi="Book Antiqua" w:cs="Book Antiqua"/>
          <w:color w:val="000000"/>
          <w:kern w:val="0"/>
          <w:sz w:val="24"/>
          <w:lang w:eastAsia="en-US"/>
          <w14:ligatures w14:val="none"/>
        </w:rPr>
        <w:t xml:space="preserve"> experiment revealed that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could exert tumour-promoting effects in PANC1 cells after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infection</w:t>
      </w:r>
      <w:r w:rsidRPr="00F14E16">
        <w:rPr>
          <w:rFonts w:ascii="Book Antiqua" w:eastAsia="Book Antiqua" w:hAnsi="Book Antiqua" w:cs="Book Antiqua"/>
          <w:color w:val="000000"/>
          <w:kern w:val="0"/>
          <w:sz w:val="24"/>
          <w:vertAlign w:val="superscript"/>
          <w:lang w:eastAsia="en-US"/>
          <w14:ligatures w14:val="none"/>
        </w:rPr>
        <w:t>[44]</w:t>
      </w:r>
      <w:r w:rsidRPr="00F14E16">
        <w:rPr>
          <w:rFonts w:ascii="Book Antiqua" w:eastAsia="Book Antiqua" w:hAnsi="Book Antiqua" w:cs="Book Antiqua"/>
          <w:color w:val="000000"/>
          <w:kern w:val="0"/>
          <w:sz w:val="24"/>
          <w:lang w:eastAsia="en-US"/>
          <w14:ligatures w14:val="none"/>
        </w:rPr>
        <w:t xml:space="preserve">. Another </w:t>
      </w:r>
      <w:r w:rsidRPr="00F14E16">
        <w:rPr>
          <w:rFonts w:ascii="Book Antiqua" w:eastAsia="Book Antiqua" w:hAnsi="Book Antiqua" w:cs="Book Antiqua"/>
          <w:i/>
          <w:iCs/>
          <w:color w:val="000000"/>
          <w:kern w:val="0"/>
          <w:sz w:val="24"/>
          <w:lang w:eastAsia="en-US"/>
          <w14:ligatures w14:val="none"/>
        </w:rPr>
        <w:t>in vitro</w:t>
      </w:r>
      <w:r w:rsidRPr="00F14E16">
        <w:rPr>
          <w:rFonts w:ascii="Book Antiqua" w:eastAsia="Book Antiqua" w:hAnsi="Book Antiqua" w:cs="Book Antiqua"/>
          <w:color w:val="000000"/>
          <w:kern w:val="0"/>
          <w:sz w:val="24"/>
          <w:lang w:eastAsia="en-US"/>
          <w14:ligatures w14:val="none"/>
        </w:rPr>
        <w:t xml:space="preserve"> experiment reported that after coculture of bacteria from IPMN cyst fluid with pancreatic normal cells or pancreatic cancer cell lines for 2 h, most bacterial isolates were discovered to enter and survive in human pancreatic cells</w:t>
      </w:r>
      <w:r w:rsidRPr="00F14E16">
        <w:rPr>
          <w:rFonts w:ascii="Book Antiqua" w:eastAsia="Book Antiqua" w:hAnsi="Book Antiqua" w:cs="Book Antiqua"/>
          <w:color w:val="000000"/>
          <w:kern w:val="0"/>
          <w:sz w:val="24"/>
          <w:vertAlign w:val="superscript"/>
          <w:lang w:eastAsia="en-US"/>
          <w14:ligatures w14:val="none"/>
        </w:rPr>
        <w:t>[45]</w:t>
      </w:r>
      <w:r w:rsidRPr="00F14E16">
        <w:rPr>
          <w:rFonts w:ascii="Book Antiqua" w:eastAsia="Book Antiqua" w:hAnsi="Book Antiqua" w:cs="Book Antiqua"/>
          <w:color w:val="000000"/>
          <w:kern w:val="0"/>
          <w:sz w:val="24"/>
          <w:lang w:eastAsia="en-US"/>
          <w14:ligatures w14:val="none"/>
        </w:rPr>
        <w:t>. Another line of indirect evidence of the intracellular localization of bacteria was the discovery of bacteria in PDAC tissue-derived extracellular vesicles</w:t>
      </w:r>
      <w:r w:rsidRPr="00F14E16">
        <w:rPr>
          <w:rFonts w:ascii="Book Antiqua" w:eastAsia="Book Antiqua" w:hAnsi="Book Antiqua" w:cs="Book Antiqua"/>
          <w:color w:val="000000"/>
          <w:kern w:val="0"/>
          <w:sz w:val="24"/>
          <w:vertAlign w:val="superscript"/>
          <w:lang w:eastAsia="en-US"/>
          <w14:ligatures w14:val="none"/>
        </w:rPr>
        <w:t>[46]</w:t>
      </w:r>
      <w:r w:rsidRPr="00F14E16">
        <w:rPr>
          <w:rFonts w:ascii="Book Antiqua" w:eastAsia="Book Antiqua" w:hAnsi="Book Antiqua" w:cs="Book Antiqua"/>
          <w:color w:val="000000"/>
          <w:kern w:val="0"/>
          <w:sz w:val="24"/>
          <w:lang w:eastAsia="en-US"/>
          <w14:ligatures w14:val="none"/>
        </w:rPr>
        <w:t>. However, it is possible that some of these vesicles may also originate in the blood or lymph of the circulation.</w:t>
      </w:r>
    </w:p>
    <w:p w14:paraId="2730375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Insights into microbial localization inside and outside cells suggest that the microbiome inside cancer cells can alter the transcriptional state, proteome, and metabolic reserve of cancer cells and that the microbiome outside cancer cells can cause metabolic alterations, immune editing, clonal expansion and metastasis, and mutagenesis in cancer cells</w:t>
      </w:r>
      <w:r w:rsidRPr="00F14E16">
        <w:rPr>
          <w:rFonts w:ascii="Book Antiqua" w:eastAsia="Book Antiqua" w:hAnsi="Book Antiqua" w:cs="Book Antiqua"/>
          <w:color w:val="000000"/>
          <w:kern w:val="0"/>
          <w:sz w:val="24"/>
          <w:vertAlign w:val="superscript"/>
          <w:lang w:eastAsia="en-US"/>
          <w14:ligatures w14:val="none"/>
        </w:rPr>
        <w:t>[13]</w:t>
      </w:r>
      <w:r w:rsidRPr="00F14E16">
        <w:rPr>
          <w:rFonts w:ascii="Book Antiqua" w:eastAsia="Book Antiqua" w:hAnsi="Book Antiqua" w:cs="Book Antiqua"/>
          <w:color w:val="000000"/>
          <w:kern w:val="0"/>
          <w:sz w:val="24"/>
          <w:lang w:eastAsia="en-US"/>
          <w14:ligatures w14:val="none"/>
        </w:rPr>
        <w:t>. Intracellular and extracellular microbial localization studies may also have clinical implications for the selection of antibiotics with different bactericidal mechanisms. In breast cancer, intracellular bacteria can survive cell-impermeable antibiotic treatment (ampicillin and gentamicin) but not cell-penetrating doxycycline treatment</w:t>
      </w:r>
      <w:r w:rsidRPr="00F14E16">
        <w:rPr>
          <w:rFonts w:ascii="Book Antiqua" w:eastAsia="Book Antiqua" w:hAnsi="Book Antiqua" w:cs="Book Antiqua"/>
          <w:color w:val="000000"/>
          <w:kern w:val="0"/>
          <w:sz w:val="24"/>
          <w:vertAlign w:val="superscript"/>
          <w:lang w:eastAsia="en-US"/>
          <w14:ligatures w14:val="none"/>
        </w:rPr>
        <w:t>[34]</w:t>
      </w:r>
      <w:r w:rsidRPr="00F14E16">
        <w:rPr>
          <w:rFonts w:ascii="Book Antiqua" w:eastAsia="Book Antiqua" w:hAnsi="Book Antiqua" w:cs="Book Antiqua"/>
          <w:color w:val="000000"/>
          <w:kern w:val="0"/>
          <w:sz w:val="24"/>
          <w:lang w:eastAsia="en-US"/>
          <w14:ligatures w14:val="none"/>
        </w:rPr>
        <w:t>. However, it seems to be crucial to elucidate the subcellular localization of the microbiome in tumours. For example, the biological characteristics of microbiomes with different subcellular localizations may differ. Bacteria present in the cytosol can obtain nutrients directly from the interior of the host cell, while the source of nutrients for bacteria present in intracellular vesicles requires input through the membrane</w:t>
      </w:r>
      <w:r w:rsidRPr="00F14E16">
        <w:rPr>
          <w:rFonts w:ascii="Book Antiqua" w:eastAsia="Book Antiqua" w:hAnsi="Book Antiqua" w:cs="Book Antiqua"/>
          <w:color w:val="000000"/>
          <w:kern w:val="0"/>
          <w:sz w:val="24"/>
          <w:vertAlign w:val="superscript"/>
          <w:lang w:eastAsia="en-US"/>
          <w14:ligatures w14:val="none"/>
        </w:rPr>
        <w:t>[47]</w:t>
      </w:r>
      <w:r w:rsidRPr="00F14E16">
        <w:rPr>
          <w:rFonts w:ascii="Book Antiqua" w:eastAsia="Book Antiqua" w:hAnsi="Book Antiqua" w:cs="Book Antiqua"/>
          <w:color w:val="000000"/>
          <w:kern w:val="0"/>
          <w:sz w:val="24"/>
          <w:lang w:eastAsia="en-US"/>
          <w14:ligatures w14:val="none"/>
        </w:rPr>
        <w:t>. In addition, bacteria in the cytosol spread directly between cells by forming membrane protrusions that eventually enter adjacent cells, thus avoiding the harm of humoural immunity, while vacuolar bacteria can remain free from cytosolic sensors and autophagy</w:t>
      </w:r>
      <w:r w:rsidRPr="00F14E16">
        <w:rPr>
          <w:rFonts w:ascii="Book Antiqua" w:eastAsia="Book Antiqua" w:hAnsi="Book Antiqua" w:cs="Book Antiqua"/>
          <w:color w:val="000000"/>
          <w:kern w:val="0"/>
          <w:sz w:val="24"/>
          <w:vertAlign w:val="superscript"/>
          <w:lang w:eastAsia="en-US"/>
          <w14:ligatures w14:val="none"/>
        </w:rPr>
        <w:t>[47]</w:t>
      </w:r>
      <w:r w:rsidRPr="00F14E16">
        <w:rPr>
          <w:rFonts w:ascii="Book Antiqua" w:eastAsia="Book Antiqua" w:hAnsi="Book Antiqua" w:cs="Book Antiqua"/>
          <w:color w:val="000000"/>
          <w:kern w:val="0"/>
          <w:sz w:val="24"/>
          <w:lang w:eastAsia="en-US"/>
          <w14:ligatures w14:val="none"/>
        </w:rPr>
        <w:t xml:space="preserve">. However, the intensity of bacterial effects on target cells depends on the cell type and bacterial strain. The microbiome in PDAC cells is not fully characterized by studies involving normal cells </w:t>
      </w:r>
      <w:r w:rsidRPr="00F14E16">
        <w:rPr>
          <w:rFonts w:ascii="Book Antiqua" w:eastAsia="Book Antiqua" w:hAnsi="Book Antiqua" w:cs="Book Antiqua"/>
          <w:color w:val="000000"/>
          <w:kern w:val="0"/>
          <w:sz w:val="24"/>
          <w:lang w:eastAsia="en-US"/>
          <w14:ligatures w14:val="none"/>
        </w:rPr>
        <w:lastRenderedPageBreak/>
        <w:t>or specific microbiomes</w:t>
      </w:r>
      <w:r w:rsidRPr="00F14E16">
        <w:rPr>
          <w:rFonts w:ascii="Book Antiqua" w:eastAsia="Book Antiqua" w:hAnsi="Book Antiqua" w:cs="Book Antiqua"/>
          <w:color w:val="000000"/>
          <w:kern w:val="0"/>
          <w:sz w:val="24"/>
          <w:vertAlign w:val="superscript"/>
          <w:lang w:eastAsia="en-US"/>
          <w14:ligatures w14:val="none"/>
        </w:rPr>
        <w:t>[48]</w:t>
      </w:r>
      <w:r w:rsidRPr="00F14E16">
        <w:rPr>
          <w:rFonts w:ascii="Book Antiqua" w:eastAsia="Book Antiqua" w:hAnsi="Book Antiqua" w:cs="Book Antiqua"/>
          <w:color w:val="000000"/>
          <w:kern w:val="0"/>
          <w:sz w:val="24"/>
          <w:lang w:eastAsia="en-US"/>
          <w14:ligatures w14:val="none"/>
        </w:rPr>
        <w:t>. In conclusion, the localization of the intratumoural microbiome within PDAC tumours requires further revelation, and such revelation is of great importance.</w:t>
      </w:r>
    </w:p>
    <w:p w14:paraId="7FC7AEA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2A839F9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PDAC-specific intratumour microbiome</w:t>
      </w:r>
    </w:p>
    <w:p w14:paraId="168E782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"genomics era" has accelerated various fields of biological research, and the impact is particularly noticeable with respect to the human microbiome. As a 'second genome' for cancer, each tumour type was detected to have its own specific intratumour microbiota in approximately 7.2% of sequenced reads in The Cancer Genome Atlas (TCGA) that were not attributed to human origin</w:t>
      </w:r>
      <w:r w:rsidRPr="00F14E16">
        <w:rPr>
          <w:rFonts w:ascii="Book Antiqua" w:eastAsia="Book Antiqua" w:hAnsi="Book Antiqua" w:cs="Book Antiqua"/>
          <w:color w:val="000000"/>
          <w:kern w:val="0"/>
          <w:sz w:val="24"/>
          <w:vertAlign w:val="superscript"/>
          <w:lang w:eastAsia="en-US"/>
          <w14:ligatures w14:val="none"/>
        </w:rPr>
        <w:t>[16,49-52]</w:t>
      </w:r>
      <w:r w:rsidRPr="00F14E16">
        <w:rPr>
          <w:rFonts w:ascii="Book Antiqua" w:eastAsia="Book Antiqua" w:hAnsi="Book Antiqua" w:cs="Book Antiqua"/>
          <w:color w:val="000000"/>
          <w:kern w:val="0"/>
          <w:sz w:val="24"/>
          <w:lang w:eastAsia="en-US"/>
          <w14:ligatures w14:val="none"/>
        </w:rPr>
        <w:t>. Despite the unavoidable contamination of TCGA-sourced data, the in silico decontamination method and a machine learning (ML) approach to build diagnostic models could effectively distinguish the cancers of TCGA, regardless of the stringency of decontamination</w:t>
      </w:r>
      <w:r w:rsidRPr="00F14E16">
        <w:rPr>
          <w:rFonts w:ascii="Book Antiqua" w:eastAsia="Book Antiqua" w:hAnsi="Book Antiqua" w:cs="Book Antiqua"/>
          <w:color w:val="000000"/>
          <w:kern w:val="0"/>
          <w:sz w:val="24"/>
          <w:vertAlign w:val="superscript"/>
          <w:lang w:eastAsia="en-US"/>
          <w14:ligatures w14:val="none"/>
        </w:rPr>
        <w:t>[16,49]</w:t>
      </w:r>
      <w:r w:rsidRPr="00F14E16">
        <w:rPr>
          <w:rFonts w:ascii="Book Antiqua" w:eastAsia="Book Antiqua" w:hAnsi="Book Antiqua" w:cs="Book Antiqua"/>
          <w:color w:val="000000"/>
          <w:kern w:val="0"/>
          <w:sz w:val="24"/>
          <w:lang w:eastAsia="en-US"/>
          <w14:ligatures w14:val="none"/>
        </w:rPr>
        <w:t xml:space="preserve">. Nejman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sequenced 1010 tumour samples with a critical decontamination process and similarly concluded that different tumour types have different microbial compositions</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Analogous to the specific microbial community characteristics of ecological differences in nature, in the tumour ecosystem, the specificity of the PDAC intratumour microbiome is reflected not only in the pancancer aspect but also between PDAC patients and normal individuals and between PDAC and the gut.</w:t>
      </w:r>
    </w:p>
    <w:p w14:paraId="72A3C27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intratumour bacterial 16S rDNA of PDAC is abundant, with great differences with respect to glioblastoma and bone cancer, while the Shannon diversity of intratumour bacteria is moderate, between that of ovarian cancer and melanoma</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Similar to bacteria, PDAC fungi have higher contents intermediate between breast and ovarian cancers</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At the phylum level, </w:t>
      </w:r>
      <w:r w:rsidRPr="00F14E16">
        <w:rPr>
          <w:rFonts w:ascii="Book Antiqua" w:eastAsia="Book Antiqua" w:hAnsi="Book Antiqua" w:cs="Book Antiqua"/>
          <w:i/>
          <w:iCs/>
          <w:color w:val="000000"/>
          <w:kern w:val="0"/>
          <w:sz w:val="24"/>
          <w:lang w:eastAsia="en-US"/>
          <w14:ligatures w14:val="none"/>
        </w:rPr>
        <w:t>Proteobacteria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Bacteroidetes</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Firmicutes</w:t>
      </w:r>
      <w:r w:rsidRPr="00F14E16">
        <w:rPr>
          <w:rFonts w:ascii="Book Antiqua" w:eastAsia="Book Antiqua" w:hAnsi="Book Antiqua" w:cs="Book Antiqua"/>
          <w:color w:val="000000"/>
          <w:kern w:val="0"/>
          <w:sz w:val="24"/>
          <w:lang w:eastAsia="en-US"/>
          <w14:ligatures w14:val="none"/>
        </w:rPr>
        <w:t xml:space="preserve"> are prevalent in the bacterial composition of PDAC</w:t>
      </w:r>
      <w:r w:rsidRPr="00F14E16">
        <w:rPr>
          <w:rFonts w:ascii="Book Antiqua" w:eastAsia="Book Antiqua" w:hAnsi="Book Antiqua" w:cs="Book Antiqua"/>
          <w:color w:val="000000"/>
          <w:kern w:val="0"/>
          <w:sz w:val="24"/>
          <w:vertAlign w:val="superscript"/>
          <w:lang w:eastAsia="en-US"/>
          <w14:ligatures w14:val="none"/>
        </w:rPr>
        <w:t>[15,20,28,29,53]</w:t>
      </w:r>
      <w:r w:rsidRPr="00F14E16">
        <w:rPr>
          <w:rFonts w:ascii="Book Antiqua" w:eastAsia="Book Antiqua" w:hAnsi="Book Antiqua" w:cs="Book Antiqua"/>
          <w:color w:val="000000"/>
          <w:kern w:val="0"/>
          <w:sz w:val="24"/>
          <w:lang w:eastAsia="en-US"/>
          <w14:ligatures w14:val="none"/>
        </w:rPr>
        <w:t>. Moreover, the abundance of Proteobacteria is also higher in PDAC than in breast cancer, glioblastoma, lung cancer, colorectal cancer and melanoma</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A similar specificity was also observed in PDAC intratumour fungi, with </w:t>
      </w:r>
      <w:r w:rsidRPr="00F14E16">
        <w:rPr>
          <w:rFonts w:ascii="Book Antiqua" w:eastAsia="Book Antiqua" w:hAnsi="Book Antiqua" w:cs="Book Antiqua"/>
          <w:i/>
          <w:iCs/>
          <w:color w:val="000000"/>
          <w:kern w:val="0"/>
          <w:sz w:val="24"/>
          <w:lang w:eastAsia="en-US"/>
          <w14:ligatures w14:val="none"/>
        </w:rPr>
        <w:t>Ascomycota</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Basidiomycota</w:t>
      </w:r>
      <w:r w:rsidRPr="00F14E16">
        <w:rPr>
          <w:rFonts w:ascii="Book Antiqua" w:eastAsia="Book Antiqua" w:hAnsi="Book Antiqua" w:cs="Book Antiqua"/>
          <w:color w:val="000000"/>
          <w:kern w:val="0"/>
          <w:sz w:val="24"/>
          <w:lang w:eastAsia="en-US"/>
          <w14:ligatures w14:val="none"/>
        </w:rPr>
        <w:t xml:space="preserve"> dominating the panintratumour fungal community at the phylum level. </w:t>
      </w:r>
      <w:r w:rsidRPr="00F14E16">
        <w:rPr>
          <w:rFonts w:ascii="Book Antiqua" w:eastAsia="Book Antiqua" w:hAnsi="Book Antiqua" w:cs="Book Antiqua"/>
          <w:i/>
          <w:iCs/>
          <w:color w:val="000000"/>
          <w:kern w:val="0"/>
          <w:sz w:val="24"/>
          <w:lang w:eastAsia="en-US"/>
          <w14:ligatures w14:val="none"/>
        </w:rPr>
        <w:t>Ascomycota</w:t>
      </w:r>
      <w:r w:rsidRPr="00F14E16">
        <w:rPr>
          <w:rFonts w:ascii="Book Antiqua" w:eastAsia="Book Antiqua" w:hAnsi="Book Antiqua" w:cs="Book Antiqua"/>
          <w:color w:val="000000"/>
          <w:kern w:val="0"/>
          <w:sz w:val="24"/>
          <w:lang w:eastAsia="en-US"/>
          <w14:ligatures w14:val="none"/>
        </w:rPr>
        <w:t xml:space="preserve"> is slightly more abundant than </w:t>
      </w:r>
      <w:r w:rsidRPr="00F14E16">
        <w:rPr>
          <w:rFonts w:ascii="Book Antiqua" w:eastAsia="Book Antiqua" w:hAnsi="Book Antiqua" w:cs="Book Antiqua"/>
          <w:i/>
          <w:iCs/>
          <w:color w:val="000000"/>
          <w:kern w:val="0"/>
          <w:sz w:val="24"/>
          <w:lang w:eastAsia="en-US"/>
          <w14:ligatures w14:val="none"/>
        </w:rPr>
        <w:t>Basidiomycota</w:t>
      </w:r>
      <w:r w:rsidRPr="00F14E16">
        <w:rPr>
          <w:rFonts w:ascii="Book Antiqua" w:eastAsia="Book Antiqua" w:hAnsi="Book Antiqua" w:cs="Book Antiqua"/>
          <w:color w:val="000000"/>
          <w:kern w:val="0"/>
          <w:sz w:val="24"/>
          <w:lang w:eastAsia="en-US"/>
          <w14:ligatures w14:val="none"/>
        </w:rPr>
        <w:t xml:space="preserve"> in PDAC, and </w:t>
      </w:r>
      <w:r w:rsidRPr="00F14E16">
        <w:rPr>
          <w:rFonts w:ascii="Book Antiqua" w:eastAsia="Book Antiqua" w:hAnsi="Book Antiqua" w:cs="Book Antiqua"/>
          <w:i/>
          <w:iCs/>
          <w:color w:val="000000"/>
          <w:kern w:val="0"/>
          <w:sz w:val="24"/>
          <w:lang w:eastAsia="en-US"/>
          <w14:ligatures w14:val="none"/>
        </w:rPr>
        <w:t>Yarrowia bubula</w:t>
      </w:r>
      <w:r w:rsidRPr="00F14E16">
        <w:rPr>
          <w:rFonts w:ascii="Book Antiqua" w:eastAsia="Book Antiqua" w:hAnsi="Book Antiqua" w:cs="Book Antiqua"/>
          <w:color w:val="000000"/>
          <w:kern w:val="0"/>
          <w:sz w:val="24"/>
          <w:lang w:eastAsia="en-US"/>
          <w14:ligatures w14:val="none"/>
        </w:rPr>
        <w:t xml:space="preserve">, a type of fungus belonging to </w:t>
      </w:r>
      <w:r w:rsidRPr="00F14E16">
        <w:rPr>
          <w:rFonts w:ascii="Book Antiqua" w:eastAsia="Book Antiqua" w:hAnsi="Book Antiqua" w:cs="Book Antiqua"/>
          <w:i/>
          <w:iCs/>
          <w:color w:val="000000"/>
          <w:kern w:val="0"/>
          <w:sz w:val="24"/>
          <w:lang w:eastAsia="en-US"/>
          <w14:ligatures w14:val="none"/>
        </w:rPr>
        <w:t>Ascomycota</w:t>
      </w:r>
      <w:r w:rsidRPr="00F14E16">
        <w:rPr>
          <w:rFonts w:ascii="Book Antiqua" w:eastAsia="Book Antiqua" w:hAnsi="Book Antiqua" w:cs="Book Antiqua"/>
          <w:color w:val="000000"/>
          <w:kern w:val="0"/>
          <w:sz w:val="24"/>
          <w:lang w:eastAsia="en-US"/>
          <w14:ligatures w14:val="none"/>
        </w:rPr>
        <w:t xml:space="preserve">, is the most differentiated </w:t>
      </w:r>
      <w:r w:rsidRPr="00F14E16">
        <w:rPr>
          <w:rFonts w:ascii="Book Antiqua" w:eastAsia="Book Antiqua" w:hAnsi="Book Antiqua" w:cs="Book Antiqua"/>
          <w:color w:val="000000"/>
          <w:kern w:val="0"/>
          <w:sz w:val="24"/>
          <w:lang w:eastAsia="en-US"/>
          <w14:ligatures w14:val="none"/>
        </w:rPr>
        <w:lastRenderedPageBreak/>
        <w:t>fungus between PDAC and other tumours</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There was no considerable difference in the abundance of </w:t>
      </w:r>
      <w:r w:rsidRPr="00F14E16">
        <w:rPr>
          <w:rFonts w:ascii="Book Antiqua" w:eastAsia="Book Antiqua" w:hAnsi="Book Antiqua" w:cs="Book Antiqua"/>
          <w:i/>
          <w:iCs/>
          <w:color w:val="000000"/>
          <w:kern w:val="0"/>
          <w:sz w:val="24"/>
          <w:lang w:eastAsia="en-US"/>
          <w14:ligatures w14:val="none"/>
        </w:rPr>
        <w:t>Malassezia</w:t>
      </w:r>
      <w:r w:rsidRPr="00F14E16">
        <w:rPr>
          <w:rFonts w:ascii="Book Antiqua" w:eastAsia="Book Antiqua" w:hAnsi="Book Antiqua" w:cs="Book Antiqua"/>
          <w:color w:val="000000"/>
          <w:kern w:val="0"/>
          <w:sz w:val="24"/>
          <w:lang w:eastAsia="en-US"/>
          <w14:ligatures w14:val="none"/>
        </w:rPr>
        <w:t xml:space="preserve"> across cancers, but important differences were shown in the human or mouse intestine </w:t>
      </w:r>
      <w:r w:rsidRPr="00F14E16">
        <w:rPr>
          <w:rFonts w:ascii="Book Antiqua" w:eastAsia="Book Antiqua" w:hAnsi="Book Antiqua" w:cs="Book Antiqua"/>
          <w:i/>
          <w:iCs/>
          <w:color w:val="000000"/>
          <w:kern w:val="0"/>
          <w:sz w:val="24"/>
          <w:lang w:eastAsia="en-US"/>
          <w14:ligatures w14:val="none"/>
        </w:rPr>
        <w:t>vs</w:t>
      </w:r>
      <w:r w:rsidRPr="00F14E16">
        <w:rPr>
          <w:rFonts w:ascii="Book Antiqua" w:eastAsia="Book Antiqua" w:hAnsi="Book Antiqua" w:cs="Book Antiqua"/>
          <w:color w:val="000000"/>
          <w:kern w:val="0"/>
          <w:sz w:val="24"/>
          <w:lang w:eastAsia="en-US"/>
          <w14:ligatures w14:val="none"/>
        </w:rPr>
        <w:t xml:space="preserve"> PDAC</w:t>
      </w:r>
      <w:r w:rsidRPr="00F14E16">
        <w:rPr>
          <w:rFonts w:ascii="Book Antiqua" w:eastAsia="Book Antiqua" w:hAnsi="Book Antiqua" w:cs="Book Antiqua"/>
          <w:color w:val="000000"/>
          <w:kern w:val="0"/>
          <w:sz w:val="24"/>
          <w:vertAlign w:val="superscript"/>
          <w:lang w:eastAsia="en-US"/>
          <w14:ligatures w14:val="none"/>
        </w:rPr>
        <w:t>[17,21]</w:t>
      </w:r>
      <w:r w:rsidRPr="00F14E16">
        <w:rPr>
          <w:rFonts w:ascii="Book Antiqua" w:eastAsia="Book Antiqua" w:hAnsi="Book Antiqua" w:cs="Book Antiqua"/>
          <w:color w:val="000000"/>
          <w:kern w:val="0"/>
          <w:sz w:val="24"/>
          <w:lang w:eastAsia="en-US"/>
          <w14:ligatures w14:val="none"/>
        </w:rPr>
        <w:t xml:space="preserve">. </w:t>
      </w:r>
    </w:p>
    <w:p w14:paraId="0F680A5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Comparing PDAC with normal pancreas, the results seem to vary depending on the definition of "normal". When the pancreatic tissue in normal individuals is considered "normal", there are differences in the composition of the intratumour microbiome and a high alpha diversity of the microbiome in PDAC</w:t>
      </w:r>
      <w:r w:rsidRPr="00F14E16">
        <w:rPr>
          <w:rFonts w:ascii="Book Antiqua" w:eastAsia="Book Antiqua" w:hAnsi="Book Antiqua" w:cs="Book Antiqua"/>
          <w:color w:val="000000"/>
          <w:kern w:val="0"/>
          <w:sz w:val="24"/>
          <w:vertAlign w:val="superscript"/>
          <w:lang w:eastAsia="en-US"/>
          <w14:ligatures w14:val="none"/>
        </w:rPr>
        <w:t>[17,20,21,54]</w:t>
      </w:r>
      <w:r w:rsidRPr="00F14E16">
        <w:rPr>
          <w:rFonts w:ascii="Book Antiqua" w:eastAsia="Book Antiqua" w:hAnsi="Book Antiqua" w:cs="Book Antiqua"/>
          <w:color w:val="000000"/>
          <w:kern w:val="0"/>
          <w:sz w:val="24"/>
          <w:lang w:eastAsia="en-US"/>
          <w14:ligatures w14:val="none"/>
        </w:rPr>
        <w:t>. The increase in intratumour bacteria in PDAC is 1000-fold compared to the normal pancreas, while the expansion of intratumour fungi is even more remarkable, with a 3000-fold increase compared to the normal pancreas</w:t>
      </w:r>
      <w:r w:rsidRPr="00F14E16">
        <w:rPr>
          <w:rFonts w:ascii="Book Antiqua" w:eastAsia="Book Antiqua" w:hAnsi="Book Antiqua" w:cs="Book Antiqua"/>
          <w:color w:val="000000"/>
          <w:kern w:val="0"/>
          <w:sz w:val="24"/>
          <w:vertAlign w:val="superscript"/>
          <w:lang w:eastAsia="en-US"/>
          <w14:ligatures w14:val="none"/>
        </w:rPr>
        <w:t>[20,21]</w:t>
      </w:r>
      <w:r w:rsidRPr="00F14E16">
        <w:rPr>
          <w:rFonts w:ascii="Book Antiqua" w:eastAsia="Book Antiqua" w:hAnsi="Book Antiqua" w:cs="Book Antiqua"/>
          <w:color w:val="000000"/>
          <w:kern w:val="0"/>
          <w:sz w:val="24"/>
          <w:lang w:eastAsia="en-US"/>
          <w14:ligatures w14:val="none"/>
        </w:rPr>
        <w:t>. Interestingly, the amount of bacteria in PDAC is considerably higher than the amount of fungi</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The gut microbiome from </w:t>
      </w:r>
      <w:r w:rsidRPr="00F14E16">
        <w:rPr>
          <w:rFonts w:ascii="Book Antiqua" w:eastAsia="Book Antiqua" w:hAnsi="Book Antiqua" w:cs="Book Antiqua"/>
          <w:i/>
          <w:iCs/>
          <w:color w:val="000000"/>
          <w:kern w:val="0"/>
          <w:sz w:val="24"/>
          <w:lang w:eastAsia="en-US"/>
          <w14:ligatures w14:val="none"/>
        </w:rPr>
        <w:t>Pdx1</w:t>
      </w:r>
      <w:r w:rsidRPr="00F14E16">
        <w:rPr>
          <w:rFonts w:ascii="Book Antiqua" w:eastAsia="Book Antiqua" w:hAnsi="Book Antiqua" w:cs="Book Antiqua"/>
          <w:i/>
          <w:iCs/>
          <w:color w:val="000000"/>
          <w:kern w:val="0"/>
          <w:sz w:val="24"/>
          <w:vertAlign w:val="superscript"/>
          <w:lang w:eastAsia="en-US"/>
          <w14:ligatures w14:val="none"/>
        </w:rPr>
        <w:t>Cre</w:t>
      </w:r>
      <w:r w:rsidRPr="00F14E16">
        <w:rPr>
          <w:rFonts w:ascii="Book Antiqua" w:eastAsia="Book Antiqua" w:hAnsi="Book Antiqua" w:cs="Book Antiqua"/>
          <w:i/>
          <w:iCs/>
          <w:color w:val="000000"/>
          <w:kern w:val="0"/>
          <w:sz w:val="24"/>
          <w:lang w:eastAsia="en-US"/>
          <w14:ligatures w14:val="none"/>
        </w:rPr>
        <w:t>; LSL-Kras</w:t>
      </w:r>
      <w:r w:rsidRPr="00F14E16">
        <w:rPr>
          <w:rFonts w:ascii="Book Antiqua" w:eastAsia="Book Antiqua" w:hAnsi="Book Antiqua" w:cs="Book Antiqua"/>
          <w:i/>
          <w:iCs/>
          <w:color w:val="000000"/>
          <w:kern w:val="0"/>
          <w:sz w:val="24"/>
          <w:vertAlign w:val="superscript"/>
          <w:lang w:eastAsia="en-US"/>
          <w14:ligatures w14:val="none"/>
        </w:rPr>
        <w:t>G12D</w:t>
      </w:r>
      <w:r w:rsidRPr="00F14E16">
        <w:rPr>
          <w:rFonts w:ascii="Book Antiqua" w:eastAsia="Book Antiqua" w:hAnsi="Book Antiqua" w:cs="Book Antiqua"/>
          <w:i/>
          <w:iCs/>
          <w:color w:val="000000"/>
          <w:kern w:val="0"/>
          <w:sz w:val="24"/>
          <w:lang w:eastAsia="en-US"/>
          <w14:ligatures w14:val="none"/>
        </w:rPr>
        <w:t>; Trp53</w:t>
      </w:r>
      <w:r w:rsidRPr="00F14E16">
        <w:rPr>
          <w:rFonts w:ascii="Book Antiqua" w:eastAsia="Book Antiqua" w:hAnsi="Book Antiqua" w:cs="Book Antiqua"/>
          <w:i/>
          <w:iCs/>
          <w:color w:val="000000"/>
          <w:kern w:val="0"/>
          <w:sz w:val="24"/>
          <w:vertAlign w:val="superscript"/>
          <w:lang w:eastAsia="en-US"/>
          <w14:ligatures w14:val="none"/>
        </w:rPr>
        <w:t>R172H</w:t>
      </w:r>
      <w:r w:rsidRPr="00F14E16">
        <w:rPr>
          <w:rFonts w:ascii="Book Antiqua" w:eastAsia="Book Antiqua" w:hAnsi="Book Antiqua" w:cs="Book Antiqua"/>
          <w:color w:val="000000"/>
          <w:kern w:val="0"/>
          <w:sz w:val="24"/>
          <w:lang w:eastAsia="en-US"/>
          <w14:ligatures w14:val="none"/>
        </w:rPr>
        <w:t xml:space="preserve"> (KPC) mice, which have a higher degree of PDAC malignancy, has a higher capacity to translocate to the pancreas than that of WT mice</w:t>
      </w:r>
      <w:r w:rsidRPr="00F14E16">
        <w:rPr>
          <w:rFonts w:ascii="Book Antiqua" w:eastAsia="Book Antiqua" w:hAnsi="Book Antiqua" w:cs="Book Antiqua"/>
          <w:color w:val="000000"/>
          <w:kern w:val="0"/>
          <w:sz w:val="24"/>
          <w:vertAlign w:val="superscript"/>
          <w:lang w:eastAsia="en-US"/>
          <w14:ligatures w14:val="none"/>
        </w:rPr>
        <w:t>[20]</w:t>
      </w:r>
      <w:r w:rsidRPr="00F14E16">
        <w:rPr>
          <w:rFonts w:ascii="Book Antiqua" w:eastAsia="Book Antiqua" w:hAnsi="Book Antiqua" w:cs="Book Antiqua"/>
          <w:color w:val="000000"/>
          <w:kern w:val="0"/>
          <w:sz w:val="24"/>
          <w:lang w:eastAsia="en-US"/>
          <w14:ligatures w14:val="none"/>
        </w:rPr>
        <w:t>. Furthermore, the ability of the intratumour microbiome to enter the pancreas seems to be correlated with the level of pathological alterations of the pancreas. The percentage of bacterial DNA positivity in pancreatic cysts increases from 33.0% in non-IPMN to 59.6% in IPMN and 81.5% in cancer</w:t>
      </w:r>
      <w:r w:rsidRPr="00F14E16">
        <w:rPr>
          <w:rFonts w:ascii="Book Antiqua" w:eastAsia="Book Antiqua" w:hAnsi="Book Antiqua" w:cs="Book Antiqua"/>
          <w:color w:val="000000"/>
          <w:kern w:val="0"/>
          <w:sz w:val="24"/>
          <w:vertAlign w:val="superscript"/>
          <w:lang w:eastAsia="en-US"/>
          <w14:ligatures w14:val="none"/>
        </w:rPr>
        <w:t>[27]</w:t>
      </w:r>
      <w:r w:rsidRPr="00F14E16">
        <w:rPr>
          <w:rFonts w:ascii="Book Antiqua" w:eastAsia="Book Antiqua" w:hAnsi="Book Antiqua" w:cs="Book Antiqua"/>
          <w:color w:val="000000"/>
          <w:kern w:val="0"/>
          <w:sz w:val="24"/>
          <w:lang w:eastAsia="en-US"/>
          <w14:ligatures w14:val="none"/>
        </w:rPr>
        <w:t xml:space="preserve">. The mechanism of microbial enrichment within the tumour may be attributed to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1) a hypoxic TME favouring the growth of anaerobic and parthenogenetic</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bacteria</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2) chemotactic effects of bacterial nutrients present in the necrotic region of the tumour and chemoattractive compounds present in the necrotic region of the resting cancer cells</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3) entry of circulating bacteria into the tumour tissue through an abnormally proliferating leaky tumour vascular system</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4) an immunosuppressive TME providing a refuge for microbial immune evasion</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 xml:space="preserve">and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5) the impaired pancreatic barrier function, which facilitates microbial colonization</w:t>
      </w:r>
      <w:r w:rsidRPr="00F14E16">
        <w:rPr>
          <w:rFonts w:ascii="Book Antiqua" w:eastAsia="Book Antiqua" w:hAnsi="Book Antiqua" w:cs="Book Antiqua"/>
          <w:color w:val="000000"/>
          <w:kern w:val="0"/>
          <w:sz w:val="24"/>
          <w:vertAlign w:val="superscript"/>
          <w:lang w:eastAsia="en-US"/>
          <w14:ligatures w14:val="none"/>
        </w:rPr>
        <w:t>[23,54,55]</w:t>
      </w:r>
      <w:r w:rsidRPr="00F14E16">
        <w:rPr>
          <w:rFonts w:ascii="Book Antiqua" w:eastAsia="Book Antiqua" w:hAnsi="Book Antiqua" w:cs="Book Antiqua"/>
          <w:color w:val="000000"/>
          <w:kern w:val="0"/>
          <w:sz w:val="24"/>
          <w:lang w:eastAsia="en-US"/>
          <w14:ligatures w14:val="none"/>
        </w:rPr>
        <w:t>. Broad similarity in microbiome composition exists between PDAC and NAT when "normal" pancreas is defined as NAT, but differences also exist</w:t>
      </w:r>
      <w:r w:rsidRPr="00F14E16">
        <w:rPr>
          <w:rFonts w:ascii="Book Antiqua" w:eastAsia="Book Antiqua" w:hAnsi="Book Antiqua" w:cs="Book Antiqua"/>
          <w:color w:val="000000"/>
          <w:kern w:val="0"/>
          <w:sz w:val="24"/>
          <w:vertAlign w:val="superscript"/>
          <w:lang w:eastAsia="en-US"/>
          <w14:ligatures w14:val="none"/>
        </w:rPr>
        <w:t>[19,25,26,28]</w:t>
      </w:r>
      <w:r w:rsidRPr="00F14E16">
        <w:rPr>
          <w:rFonts w:ascii="Book Antiqua" w:eastAsia="Book Antiqua" w:hAnsi="Book Antiqua" w:cs="Book Antiqua"/>
          <w:color w:val="000000"/>
          <w:kern w:val="0"/>
          <w:sz w:val="24"/>
          <w:lang w:eastAsia="en-US"/>
          <w14:ligatures w14:val="none"/>
        </w:rPr>
        <w:t>. Interestingly, when comparing the microbial compositions of ductal adenocarcinomas in different parts of the pancreas, no differences in the composition or diversity of the microbial community were shown</w:t>
      </w:r>
      <w:r w:rsidRPr="00F14E16">
        <w:rPr>
          <w:rFonts w:ascii="Book Antiqua" w:eastAsia="Book Antiqua" w:hAnsi="Book Antiqua" w:cs="Book Antiqua"/>
          <w:color w:val="000000"/>
          <w:kern w:val="0"/>
          <w:sz w:val="24"/>
          <w:vertAlign w:val="superscript"/>
          <w:lang w:eastAsia="en-US"/>
          <w14:ligatures w14:val="none"/>
        </w:rPr>
        <w:t>[25,45,56]</w:t>
      </w:r>
      <w:r w:rsidRPr="00F14E16">
        <w:rPr>
          <w:rFonts w:ascii="Book Antiqua" w:eastAsia="Book Antiqua" w:hAnsi="Book Antiqua" w:cs="Book Antiqua"/>
          <w:color w:val="000000"/>
          <w:kern w:val="0"/>
          <w:sz w:val="24"/>
          <w:lang w:eastAsia="en-US"/>
          <w14:ligatures w14:val="none"/>
        </w:rPr>
        <w:t xml:space="preserve">. Upon comparing different subtypes of PDAC, the 'basal-like' subtype had higher microbial </w:t>
      </w:r>
      <w:r w:rsidRPr="00F14E16">
        <w:rPr>
          <w:rFonts w:ascii="Book Antiqua" w:eastAsia="Book Antiqua" w:hAnsi="Book Antiqua" w:cs="Book Antiqua"/>
          <w:color w:val="000000"/>
          <w:kern w:val="0"/>
          <w:sz w:val="24"/>
          <w:lang w:eastAsia="en-US"/>
          <w14:ligatures w14:val="none"/>
        </w:rPr>
        <w:lastRenderedPageBreak/>
        <w:t>abundance than the 'classical' or 'hybrid' subtypes but was dominated by a few very-high-abundance species</w:t>
      </w:r>
      <w:r w:rsidRPr="00F14E16">
        <w:rPr>
          <w:rFonts w:ascii="Book Antiqua" w:eastAsia="Book Antiqua" w:hAnsi="Book Antiqua" w:cs="Book Antiqua"/>
          <w:color w:val="000000"/>
          <w:kern w:val="0"/>
          <w:sz w:val="24"/>
          <w:vertAlign w:val="superscript"/>
          <w:lang w:eastAsia="en-US"/>
          <w14:ligatures w14:val="none"/>
        </w:rPr>
        <w:t>[57]</w:t>
      </w:r>
      <w:r w:rsidRPr="00F14E16">
        <w:rPr>
          <w:rFonts w:ascii="Book Antiqua" w:eastAsia="Book Antiqua" w:hAnsi="Book Antiqua" w:cs="Book Antiqua"/>
          <w:color w:val="000000"/>
          <w:kern w:val="0"/>
          <w:sz w:val="24"/>
          <w:lang w:eastAsia="en-US"/>
          <w14:ligatures w14:val="none"/>
        </w:rPr>
        <w:t xml:space="preserve">. </w:t>
      </w:r>
    </w:p>
    <w:p w14:paraId="2561DE5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As a possible source of the PDAC intratumour microbiome, several reports have demonstrated significantly higher gut fungal and bacterial alpha diversity than tumours</w:t>
      </w:r>
      <w:r w:rsidRPr="00F14E16">
        <w:rPr>
          <w:rFonts w:ascii="Book Antiqua" w:eastAsia="Book Antiqua" w:hAnsi="Book Antiqua" w:cs="Book Antiqua"/>
          <w:color w:val="000000"/>
          <w:kern w:val="0"/>
          <w:sz w:val="24"/>
          <w:vertAlign w:val="superscript"/>
          <w:lang w:eastAsia="en-US"/>
          <w14:ligatures w14:val="none"/>
        </w:rPr>
        <w:t>[21,29]</w:t>
      </w:r>
      <w:r w:rsidRPr="00F14E16">
        <w:rPr>
          <w:rFonts w:ascii="Book Antiqua" w:eastAsia="Book Antiqua" w:hAnsi="Book Antiqua" w:cs="Book Antiqua"/>
          <w:color w:val="000000"/>
          <w:kern w:val="0"/>
          <w:sz w:val="24"/>
          <w:lang w:eastAsia="en-US"/>
          <w14:ligatures w14:val="none"/>
        </w:rPr>
        <w:t xml:space="preserve">. For bacteria, </w:t>
      </w:r>
      <w:r w:rsidRPr="00F14E16">
        <w:rPr>
          <w:rFonts w:ascii="Book Antiqua" w:eastAsia="Book Antiqua" w:hAnsi="Book Antiqua" w:cs="Book Antiqua"/>
          <w:i/>
          <w:iCs/>
          <w:color w:val="000000"/>
          <w:kern w:val="0"/>
          <w:sz w:val="24"/>
          <w:lang w:eastAsia="en-US"/>
          <w14:ligatures w14:val="none"/>
        </w:rPr>
        <w:t>Proteobacteria</w:t>
      </w:r>
      <w:r w:rsidRPr="00F14E16">
        <w:rPr>
          <w:rFonts w:ascii="Book Antiqua" w:eastAsia="Book Antiqua" w:hAnsi="Book Antiqua" w:cs="Book Antiqua"/>
          <w:color w:val="000000"/>
          <w:kern w:val="0"/>
          <w:sz w:val="24"/>
          <w:lang w:eastAsia="en-US"/>
          <w14:ligatures w14:val="none"/>
        </w:rPr>
        <w:t>, which account for only 8% of the gut bacteria in PDAC patients, account for nearly 50% in PDAC</w:t>
      </w:r>
      <w:r w:rsidRPr="00F14E16">
        <w:rPr>
          <w:rFonts w:ascii="Book Antiqua" w:eastAsia="Book Antiqua" w:hAnsi="Book Antiqua" w:cs="Book Antiqua"/>
          <w:color w:val="000000"/>
          <w:kern w:val="0"/>
          <w:sz w:val="24"/>
          <w:vertAlign w:val="superscript"/>
          <w:lang w:eastAsia="en-US"/>
          <w14:ligatures w14:val="none"/>
        </w:rPr>
        <w:t>[20]</w:t>
      </w:r>
      <w:r w:rsidRPr="00F14E16">
        <w:rPr>
          <w:rFonts w:ascii="Book Antiqua" w:eastAsia="Book Antiqua" w:hAnsi="Book Antiqua" w:cs="Book Antiqua"/>
          <w:color w:val="000000"/>
          <w:kern w:val="0"/>
          <w:sz w:val="24"/>
          <w:lang w:eastAsia="en-US"/>
          <w14:ligatures w14:val="none"/>
        </w:rPr>
        <w:t xml:space="preserve">. Regarding fungi, at the genus level, </w:t>
      </w:r>
      <w:r w:rsidRPr="00F14E16">
        <w:rPr>
          <w:rFonts w:ascii="Book Antiqua" w:eastAsia="Book Antiqua" w:hAnsi="Book Antiqua" w:cs="Book Antiqua"/>
          <w:i/>
          <w:iCs/>
          <w:color w:val="000000"/>
          <w:kern w:val="0"/>
          <w:sz w:val="24"/>
          <w:lang w:eastAsia="en-US"/>
          <w14:ligatures w14:val="none"/>
        </w:rPr>
        <w:t>Malassezia</w:t>
      </w:r>
      <w:r w:rsidRPr="00F14E16">
        <w:rPr>
          <w:rFonts w:ascii="Book Antiqua" w:eastAsia="Book Antiqua" w:hAnsi="Book Antiqua" w:cs="Book Antiqua"/>
          <w:color w:val="000000"/>
          <w:kern w:val="0"/>
          <w:sz w:val="24"/>
          <w:lang w:eastAsia="en-US"/>
          <w14:ligatures w14:val="none"/>
        </w:rPr>
        <w:t xml:space="preserve"> was more prevalent in PDAC than in the gut</w:t>
      </w:r>
      <w:r w:rsidRPr="00F14E16">
        <w:rPr>
          <w:rFonts w:ascii="Book Antiqua" w:eastAsia="Book Antiqua" w:hAnsi="Book Antiqua" w:cs="Book Antiqua"/>
          <w:color w:val="000000"/>
          <w:kern w:val="0"/>
          <w:sz w:val="24"/>
          <w:vertAlign w:val="superscript"/>
          <w:lang w:eastAsia="en-US"/>
          <w14:ligatures w14:val="none"/>
        </w:rPr>
        <w:t>[17,21]</w:t>
      </w:r>
      <w:r w:rsidRPr="00F14E16">
        <w:rPr>
          <w:rFonts w:ascii="Book Antiqua" w:eastAsia="Book Antiqua" w:hAnsi="Book Antiqua" w:cs="Book Antiqua"/>
          <w:color w:val="000000"/>
          <w:kern w:val="0"/>
          <w:sz w:val="24"/>
          <w:lang w:eastAsia="en-US"/>
          <w14:ligatures w14:val="none"/>
        </w:rPr>
        <w:t xml:space="preserve">. The faeces seem to be incapable of referring to the microbial composition of the gut in different locations. However, comparing bacterial differences between duodenal and PDAC using endoscopic ultrasound-guided fine-needle aspiration (EUS-FNA) also confirmed the higher abundance of </w:t>
      </w:r>
      <w:r w:rsidRPr="00F14E16">
        <w:rPr>
          <w:rFonts w:ascii="Book Antiqua" w:eastAsia="Book Antiqua" w:hAnsi="Book Antiqua" w:cs="Book Antiqua"/>
          <w:i/>
          <w:iCs/>
          <w:color w:val="000000"/>
          <w:kern w:val="0"/>
          <w:sz w:val="24"/>
          <w:lang w:eastAsia="en-US"/>
          <w14:ligatures w14:val="none"/>
        </w:rPr>
        <w:t>Proteobacteria</w:t>
      </w:r>
      <w:r w:rsidRPr="00F14E16">
        <w:rPr>
          <w:rFonts w:ascii="Book Antiqua" w:eastAsia="Book Antiqua" w:hAnsi="Book Antiqua" w:cs="Book Antiqua"/>
          <w:color w:val="000000"/>
          <w:kern w:val="0"/>
          <w:sz w:val="24"/>
          <w:lang w:eastAsia="en-US"/>
          <w14:ligatures w14:val="none"/>
        </w:rPr>
        <w:t xml:space="preserve"> in PDAC than in the duodenum</w:t>
      </w:r>
      <w:r w:rsidRPr="00F14E16">
        <w:rPr>
          <w:rFonts w:ascii="Book Antiqua" w:eastAsia="Book Antiqua" w:hAnsi="Book Antiqua" w:cs="Book Antiqua"/>
          <w:color w:val="000000"/>
          <w:kern w:val="0"/>
          <w:sz w:val="24"/>
          <w:vertAlign w:val="superscript"/>
          <w:lang w:eastAsia="en-US"/>
          <w14:ligatures w14:val="none"/>
        </w:rPr>
        <w:t>[53]</w:t>
      </w:r>
      <w:r w:rsidRPr="00F14E16">
        <w:rPr>
          <w:rFonts w:ascii="Book Antiqua" w:eastAsia="Book Antiqua" w:hAnsi="Book Antiqua" w:cs="Book Antiqua"/>
          <w:color w:val="000000"/>
          <w:kern w:val="0"/>
          <w:sz w:val="24"/>
          <w:lang w:eastAsia="en-US"/>
          <w14:ligatures w14:val="none"/>
        </w:rPr>
        <w:t>. In other words, the enrichment of the gut microbiome in PDAC may be specific as well.</w:t>
      </w:r>
    </w:p>
    <w:p w14:paraId="369A5EB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5B300FB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The intratumour microbiome and the diagnosis and prognosis of PDAC</w:t>
      </w:r>
    </w:p>
    <w:p w14:paraId="5DD7774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Due to the paucity and nonspecificity of symptoms in patients with early PDAC, early detection of PDAC in clinical practice involves many challenges</w:t>
      </w:r>
      <w:r w:rsidRPr="00F14E16">
        <w:rPr>
          <w:rFonts w:ascii="Book Antiqua" w:eastAsia="Book Antiqua" w:hAnsi="Book Antiqua" w:cs="Book Antiqua"/>
          <w:color w:val="000000"/>
          <w:kern w:val="0"/>
          <w:sz w:val="24"/>
          <w:vertAlign w:val="superscript"/>
          <w:lang w:eastAsia="en-US"/>
          <w14:ligatures w14:val="none"/>
        </w:rPr>
        <w:t>[58]</w:t>
      </w:r>
      <w:r w:rsidRPr="00F14E16">
        <w:rPr>
          <w:rFonts w:ascii="Book Antiqua" w:eastAsia="Book Antiqua" w:hAnsi="Book Antiqua" w:cs="Book Antiqua"/>
          <w:color w:val="000000"/>
          <w:kern w:val="0"/>
          <w:sz w:val="24"/>
          <w:lang w:eastAsia="en-US"/>
          <w14:ligatures w14:val="none"/>
        </w:rPr>
        <w:t xml:space="preserve">. Poore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[49]</w:t>
      </w:r>
      <w:r w:rsidRPr="00F14E16">
        <w:rPr>
          <w:rFonts w:ascii="Book Antiqua" w:eastAsia="Book Antiqua" w:hAnsi="Book Antiqua" w:cs="Book Antiqua"/>
          <w:color w:val="000000"/>
          <w:kern w:val="0"/>
          <w:sz w:val="24"/>
          <w:lang w:eastAsia="en-US"/>
          <w14:ligatures w14:val="none"/>
        </w:rPr>
        <w:t xml:space="preserve">, Nejman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[24]</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宋体" w:hAnsi="Book Antiqua" w:cs="Times New Roman"/>
          <w:bCs/>
          <w:kern w:val="0"/>
          <w:sz w:val="24"/>
          <w:lang w:eastAsia="en-US"/>
          <w14:ligatures w14:val="none"/>
        </w:rPr>
        <w:t>Narunsky-Haziza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provide the most comprehensive analysis of the blood microbiome and solid tumour diagnosis thus far</w:t>
      </w:r>
      <w:r w:rsidRPr="00F14E16">
        <w:rPr>
          <w:rFonts w:ascii="Book Antiqua" w:eastAsia="Book Antiqua" w:hAnsi="Book Antiqua" w:cs="Book Antiqua"/>
          <w:color w:val="000000"/>
          <w:kern w:val="0"/>
          <w:sz w:val="24"/>
          <w:vertAlign w:val="superscript"/>
          <w:lang w:eastAsia="en-US"/>
          <w14:ligatures w14:val="none"/>
        </w:rPr>
        <w:t>[16,24,49]</w:t>
      </w:r>
      <w:r w:rsidRPr="00F14E16">
        <w:rPr>
          <w:rFonts w:ascii="Book Antiqua" w:eastAsia="Book Antiqua" w:hAnsi="Book Antiqua" w:cs="Book Antiqua"/>
          <w:color w:val="000000"/>
          <w:kern w:val="0"/>
          <w:sz w:val="24"/>
          <w:lang w:eastAsia="en-US"/>
          <w14:ligatures w14:val="none"/>
        </w:rPr>
        <w:t>. Liquid biopsy in cancer allows the detection of miniature amounts of analytes (</w:t>
      </w:r>
      <w:r w:rsidRPr="00F14E16">
        <w:rPr>
          <w:rFonts w:ascii="Book Antiqua" w:eastAsia="Book Antiqua" w:hAnsi="Book Antiqua" w:cs="Book Antiqua"/>
          <w:i/>
          <w:color w:val="000000"/>
          <w:kern w:val="0"/>
          <w:sz w:val="24"/>
          <w:lang w:eastAsia="en-US"/>
          <w14:ligatures w14:val="none"/>
        </w:rPr>
        <w:t>e.g.</w:t>
      </w:r>
      <w:r w:rsidRPr="00F14E16">
        <w:rPr>
          <w:rFonts w:ascii="Book Antiqua" w:eastAsia="Book Antiqua" w:hAnsi="Book Antiqua" w:cs="Book Antiqua"/>
          <w:color w:val="000000"/>
          <w:kern w:val="0"/>
          <w:sz w:val="24"/>
          <w:lang w:eastAsia="en-US"/>
          <w14:ligatures w14:val="none"/>
        </w:rPr>
        <w:t>, DNA, RNA, proteins) shed from the tumour, which enables diagnostic and prognostic analysis of cancer</w:t>
      </w:r>
      <w:r w:rsidRPr="00F14E16">
        <w:rPr>
          <w:rFonts w:ascii="Book Antiqua" w:eastAsia="Book Antiqua" w:hAnsi="Book Antiqua" w:cs="Book Antiqua"/>
          <w:color w:val="000000"/>
          <w:kern w:val="0"/>
          <w:sz w:val="24"/>
          <w:vertAlign w:val="superscript"/>
          <w:lang w:eastAsia="en-US"/>
          <w14:ligatures w14:val="none"/>
        </w:rPr>
        <w:t>[59]</w:t>
      </w:r>
      <w:r w:rsidRPr="00F14E16">
        <w:rPr>
          <w:rFonts w:ascii="Book Antiqua" w:eastAsia="Book Antiqua" w:hAnsi="Book Antiqua" w:cs="Book Antiqua"/>
          <w:color w:val="000000"/>
          <w:kern w:val="0"/>
          <w:sz w:val="24"/>
          <w:lang w:eastAsia="en-US"/>
          <w14:ligatures w14:val="none"/>
        </w:rPr>
        <w:t xml:space="preserve"> and earlier and more sensitive detection of PDAC by liquid biopsy compared to traditional PDAC examination techniques</w:t>
      </w:r>
      <w:r w:rsidRPr="00F14E16">
        <w:rPr>
          <w:rFonts w:ascii="Book Antiqua" w:eastAsia="Book Antiqua" w:hAnsi="Book Antiqua" w:cs="Book Antiqua"/>
          <w:color w:val="000000"/>
          <w:kern w:val="0"/>
          <w:sz w:val="24"/>
          <w:vertAlign w:val="superscript"/>
          <w:lang w:eastAsia="en-US"/>
          <w14:ligatures w14:val="none"/>
        </w:rPr>
        <w:t>[60,61]</w:t>
      </w:r>
      <w:r w:rsidRPr="00F14E16">
        <w:rPr>
          <w:rFonts w:ascii="Book Antiqua" w:eastAsia="Book Antiqua" w:hAnsi="Book Antiqua" w:cs="Book Antiqua"/>
          <w:color w:val="000000"/>
          <w:kern w:val="0"/>
          <w:sz w:val="24"/>
          <w:lang w:eastAsia="en-US"/>
          <w14:ligatures w14:val="none"/>
        </w:rPr>
        <w:t xml:space="preserve">. Traditional liquid biopsy-based diagnostic models have failed to address the presence of the intratumour microbiome. Poore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[49]</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宋体" w:hAnsi="Book Antiqua" w:cs="Times New Roman"/>
          <w:bCs/>
          <w:kern w:val="0"/>
          <w:sz w:val="24"/>
          <w:lang w:eastAsia="en-US"/>
          <w14:ligatures w14:val="none"/>
        </w:rPr>
        <w:t>Narunsky-Haziza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analysed blood-derived microorganisms from the TCGA and Hopkins cohorts and concluded that ML models based on the blood-derived microbiome can widely distinguish between multiple cancer types</w:t>
      </w:r>
      <w:r w:rsidRPr="00F14E16">
        <w:rPr>
          <w:rFonts w:ascii="Book Antiqua" w:eastAsia="Book Antiqua" w:hAnsi="Book Antiqua" w:cs="Book Antiqua"/>
          <w:color w:val="000000"/>
          <w:kern w:val="0"/>
          <w:sz w:val="24"/>
          <w:vertAlign w:val="superscript"/>
          <w:lang w:eastAsia="en-US"/>
          <w14:ligatures w14:val="none"/>
        </w:rPr>
        <w:t>[16,49]</w:t>
      </w:r>
      <w:r w:rsidRPr="00F14E16">
        <w:rPr>
          <w:rFonts w:ascii="Book Antiqua" w:eastAsia="Book Antiqua" w:hAnsi="Book Antiqua" w:cs="Book Antiqua"/>
          <w:color w:val="000000"/>
          <w:kern w:val="0"/>
          <w:sz w:val="24"/>
          <w:lang w:eastAsia="en-US"/>
          <w14:ligatures w14:val="none"/>
        </w:rPr>
        <w:t xml:space="preserve">. In the Hopkins cohort, the ML classification of untreated PDAC in phase I </w:t>
      </w:r>
      <w:r w:rsidRPr="00F14E16">
        <w:rPr>
          <w:rFonts w:ascii="Book Antiqua" w:eastAsia="Book Antiqua" w:hAnsi="Book Antiqua" w:cs="Book Antiqua"/>
          <w:i/>
          <w:iCs/>
          <w:color w:val="000000"/>
          <w:kern w:val="0"/>
          <w:sz w:val="24"/>
          <w:lang w:eastAsia="en-US"/>
          <w14:ligatures w14:val="none"/>
        </w:rPr>
        <w:t>vs</w:t>
      </w:r>
      <w:r w:rsidRPr="00F14E16">
        <w:rPr>
          <w:rFonts w:ascii="Book Antiqua" w:eastAsia="Book Antiqua" w:hAnsi="Book Antiqua" w:cs="Book Antiqua"/>
          <w:color w:val="000000"/>
          <w:kern w:val="0"/>
          <w:sz w:val="24"/>
          <w:lang w:eastAsia="en-US"/>
          <w14:ligatures w14:val="none"/>
        </w:rPr>
        <w:t xml:space="preserve"> healthy controls revealed that decontaminated fungal species provided significant performance. This provides a new landscape for cell-free microbial DNA (cf.-mb DNA) models based on multispecies (</w:t>
      </w:r>
      <w:r w:rsidRPr="00F14E16">
        <w:rPr>
          <w:rFonts w:ascii="Book Antiqua" w:eastAsia="Book Antiqua" w:hAnsi="Book Antiqua" w:cs="Book Antiqua"/>
          <w:i/>
          <w:color w:val="000000"/>
          <w:kern w:val="0"/>
          <w:sz w:val="24"/>
          <w:lang w:eastAsia="en-US"/>
          <w14:ligatures w14:val="none"/>
        </w:rPr>
        <w:t>e.g.</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lastRenderedPageBreak/>
        <w:t>tumour, bacterial, fungal) sources in the early clinical diagnosis of PDAC. Despite rigorous computerized decontamination, further examination of decontaminated samples in a rigorous laboratory is required. It is also questionable whether the origin of cf.-mb DNA remains uncertain, although possible sources include oral, gut, and intratumour microbiomes</w:t>
      </w:r>
      <w:r w:rsidRPr="00F14E16">
        <w:rPr>
          <w:rFonts w:ascii="Book Antiqua" w:eastAsia="Book Antiqua" w:hAnsi="Book Antiqua" w:cs="Book Antiqua"/>
          <w:color w:val="000000"/>
          <w:kern w:val="0"/>
          <w:sz w:val="24"/>
          <w:vertAlign w:val="superscript"/>
          <w:lang w:eastAsia="en-US"/>
          <w14:ligatures w14:val="none"/>
        </w:rPr>
        <w:t>[8]</w:t>
      </w:r>
      <w:r w:rsidRPr="00F14E16">
        <w:rPr>
          <w:rFonts w:ascii="Book Antiqua" w:eastAsia="Book Antiqua" w:hAnsi="Book Antiqua" w:cs="Book Antiqua"/>
          <w:color w:val="000000"/>
          <w:kern w:val="0"/>
          <w:sz w:val="24"/>
          <w:lang w:eastAsia="en-US"/>
          <w14:ligatures w14:val="none"/>
        </w:rPr>
        <w:t xml:space="preserve">. </w:t>
      </w:r>
    </w:p>
    <w:p w14:paraId="2E08E26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TCGA microbiome data of solid tumours allow excellent differentiation of tumours by ML</w:t>
      </w:r>
      <w:r w:rsidRPr="00F14E16">
        <w:rPr>
          <w:rFonts w:ascii="Book Antiqua" w:eastAsia="Book Antiqua" w:hAnsi="Book Antiqua" w:cs="Book Antiqua"/>
          <w:color w:val="000000"/>
          <w:kern w:val="0"/>
          <w:sz w:val="24"/>
          <w:vertAlign w:val="superscript"/>
          <w:lang w:eastAsia="en-US"/>
          <w14:ligatures w14:val="none"/>
        </w:rPr>
        <w:t>[16,49]</w:t>
      </w:r>
      <w:r w:rsidRPr="00F14E16">
        <w:rPr>
          <w:rFonts w:ascii="Book Antiqua" w:eastAsia="Book Antiqua" w:hAnsi="Book Antiqua" w:cs="Book Antiqua"/>
          <w:color w:val="000000"/>
          <w:kern w:val="0"/>
          <w:sz w:val="24"/>
          <w:lang w:eastAsia="en-US"/>
          <w14:ligatures w14:val="none"/>
        </w:rPr>
        <w:t>. Regardless of the low abundance of the intratumour microbiome when compared to the tumour genome, species presence, whether involved in tumour pathogenesis or as opportunistic occupants, potentially contributes to the diagnosis of PDAC. EUS-FNA is a safe histological procedure for the diagnosis of patients with suspected PDAC</w:t>
      </w:r>
      <w:r w:rsidRPr="00F14E16">
        <w:rPr>
          <w:rFonts w:ascii="Book Antiqua" w:eastAsia="Book Antiqua" w:hAnsi="Book Antiqua" w:cs="Book Antiqua"/>
          <w:color w:val="000000"/>
          <w:kern w:val="0"/>
          <w:sz w:val="24"/>
          <w:vertAlign w:val="superscript"/>
          <w:lang w:eastAsia="en-US"/>
          <w14:ligatures w14:val="none"/>
        </w:rPr>
        <w:t>[62]</w:t>
      </w:r>
      <w:r w:rsidRPr="00F14E16">
        <w:rPr>
          <w:rFonts w:ascii="Book Antiqua" w:eastAsia="Book Antiqua" w:hAnsi="Book Antiqua" w:cs="Book Antiqua"/>
          <w:color w:val="000000"/>
          <w:kern w:val="0"/>
          <w:sz w:val="24"/>
          <w:lang w:eastAsia="en-US"/>
          <w14:ligatures w14:val="none"/>
        </w:rPr>
        <w:t>. Fast frozen EUS-FNA biopsy significantly enhances the diagnostic accuracy of current standard procedures by providing comprehensive genomic and transcriptomic analysis of PDAC patients at all stages</w:t>
      </w:r>
      <w:r w:rsidRPr="00F14E16">
        <w:rPr>
          <w:rFonts w:ascii="Book Antiqua" w:eastAsia="Book Antiqua" w:hAnsi="Book Antiqua" w:cs="Book Antiqua"/>
          <w:color w:val="000000"/>
          <w:kern w:val="0"/>
          <w:sz w:val="24"/>
          <w:vertAlign w:val="superscript"/>
          <w:lang w:eastAsia="en-US"/>
          <w14:ligatures w14:val="none"/>
        </w:rPr>
        <w:t>[63]</w:t>
      </w:r>
      <w:r w:rsidRPr="00F14E16">
        <w:rPr>
          <w:rFonts w:ascii="Book Antiqua" w:eastAsia="Book Antiqua" w:hAnsi="Book Antiqua" w:cs="Book Antiqua"/>
          <w:color w:val="000000"/>
          <w:kern w:val="0"/>
          <w:sz w:val="24"/>
          <w:lang w:eastAsia="en-US"/>
          <w14:ligatures w14:val="none"/>
        </w:rPr>
        <w:t>. Likewise, this technique is valuable for the evaluation of the intratumour microbiome of PDAC</w:t>
      </w:r>
      <w:r w:rsidRPr="00F14E16">
        <w:rPr>
          <w:rFonts w:ascii="Book Antiqua" w:eastAsia="Book Antiqua" w:hAnsi="Book Antiqua" w:cs="Book Antiqua"/>
          <w:color w:val="000000"/>
          <w:kern w:val="0"/>
          <w:sz w:val="24"/>
          <w:vertAlign w:val="superscript"/>
          <w:lang w:eastAsia="en-US"/>
          <w14:ligatures w14:val="none"/>
        </w:rPr>
        <w:t>[53,56,64]</w:t>
      </w:r>
      <w:r w:rsidRPr="00F14E16">
        <w:rPr>
          <w:rFonts w:ascii="Book Antiqua" w:eastAsia="Book Antiqua" w:hAnsi="Book Antiqua" w:cs="Book Antiqua"/>
          <w:color w:val="000000"/>
          <w:kern w:val="0"/>
          <w:sz w:val="24"/>
          <w:lang w:eastAsia="en-US"/>
          <w14:ligatures w14:val="none"/>
        </w:rPr>
        <w:t>. The strength of EUS-FNA is the ability to capture microbiome information in inoperable patients with no significant differences in alpha diversity, beta diversity, or taxonomic characteristics between EUS-FNA and surgically resected samples</w:t>
      </w:r>
      <w:r w:rsidRPr="00F14E16">
        <w:rPr>
          <w:rFonts w:ascii="Book Antiqua" w:eastAsia="Book Antiqua" w:hAnsi="Book Antiqua" w:cs="Book Antiqua"/>
          <w:color w:val="000000"/>
          <w:kern w:val="0"/>
          <w:sz w:val="24"/>
          <w:vertAlign w:val="superscript"/>
          <w:lang w:eastAsia="en-US"/>
          <w14:ligatures w14:val="none"/>
        </w:rPr>
        <w:t>[64]</w:t>
      </w:r>
      <w:r w:rsidRPr="00F14E16">
        <w:rPr>
          <w:rFonts w:ascii="Book Antiqua" w:eastAsia="Book Antiqua" w:hAnsi="Book Antiqua" w:cs="Book Antiqua"/>
          <w:color w:val="000000"/>
          <w:kern w:val="0"/>
          <w:sz w:val="24"/>
          <w:lang w:eastAsia="en-US"/>
          <w14:ligatures w14:val="none"/>
        </w:rPr>
        <w:t xml:space="preserve">. Since the early phase of intratumour microbiome research, there has been no more application of EUS-FNA for PDAC intratumour microbiology-related diagnosis. The diagnostic idea may be similar to genomic and transcriptional analysis: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1) by using the PDAC-specific microbiome for differentiation</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2) building a strongly robust diagnostic model of multiple microbiomes, </w:t>
      </w:r>
      <w:r w:rsidRPr="00F14E16">
        <w:rPr>
          <w:rFonts w:ascii="Book Antiqua" w:eastAsia="宋体" w:hAnsi="Book Antiqua" w:cs="Times New Roman"/>
          <w:bCs/>
          <w:kern w:val="0"/>
          <w:sz w:val="24"/>
          <w:lang w:eastAsia="en-US"/>
          <w14:ligatures w14:val="none"/>
        </w:rPr>
        <w:t>Narunsky-Haziza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concluded that the TME may be a noncompetitive space for multidomain microbial colonization based on the strong positive correlation observed between fungal and bacterial diversity, abundance and cooccurrence in multiple cancer types</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Consequently, utilizing multifeature-based ML seems to be a better choice for diagnosis.</w:t>
      </w:r>
    </w:p>
    <w:p w14:paraId="25E22E9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The essential role of the intratumoural microbiome in regulating the immune tone of the tumour TME makes it a favourable predictor of prognosis in PDAC patients. When comparing the alpha diversity of the intratumour microbiome in long-term survival (LTS) PDAC patients </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overall survival</w:t>
      </w:r>
      <w:r w:rsidRPr="00F14E16">
        <w:rPr>
          <w:rFonts w:ascii="Book Antiqua" w:eastAsia="宋体" w:hAnsi="Book Antiqua" w:cs="Book Antiqua" w:hint="eastAsia"/>
          <w:color w:val="000000"/>
          <w:kern w:val="0"/>
          <w:sz w:val="24"/>
          <w14:ligatures w14:val="none"/>
        </w:rPr>
        <w:t xml:space="preserve"> (OS)</w:t>
      </w:r>
      <w:r w:rsidRPr="00F14E16">
        <w:rPr>
          <w:rFonts w:ascii="Book Antiqua" w:eastAsia="Book Antiqua" w:hAnsi="Book Antiqua" w:cs="Book Antiqua"/>
          <w:color w:val="000000"/>
          <w:kern w:val="0"/>
          <w:sz w:val="24"/>
          <w:lang w:eastAsia="en-US"/>
          <w14:ligatures w14:val="none"/>
        </w:rPr>
        <w:t xml:space="preserve"> &gt;</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5 years</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vs</w:t>
      </w:r>
      <w:r w:rsidRPr="00F14E16">
        <w:rPr>
          <w:rFonts w:ascii="Book Antiqua" w:eastAsia="Book Antiqua" w:hAnsi="Book Antiqua" w:cs="Book Antiqua"/>
          <w:color w:val="000000"/>
          <w:kern w:val="0"/>
          <w:sz w:val="24"/>
          <w:lang w:eastAsia="en-US"/>
          <w14:ligatures w14:val="none"/>
        </w:rPr>
        <w:t xml:space="preserve"> short-term survival (STS) PDAC </w:t>
      </w:r>
      <w:r w:rsidRPr="00F14E16">
        <w:rPr>
          <w:rFonts w:ascii="Book Antiqua" w:eastAsia="Book Antiqua" w:hAnsi="Book Antiqua" w:cs="Book Antiqua"/>
          <w:color w:val="000000"/>
          <w:kern w:val="0"/>
          <w:sz w:val="24"/>
          <w:lang w:eastAsia="en-US"/>
          <w14:ligatures w14:val="none"/>
        </w:rPr>
        <w:lastRenderedPageBreak/>
        <w:t>patients (</w:t>
      </w:r>
      <w:r w:rsidRPr="00F14E16">
        <w:rPr>
          <w:rFonts w:ascii="Book Antiqua" w:eastAsia="宋体" w:hAnsi="Book Antiqua" w:cs="Book Antiqua" w:hint="eastAsia"/>
          <w:color w:val="000000"/>
          <w:kern w:val="0"/>
          <w:sz w:val="24"/>
          <w14:ligatures w14:val="none"/>
        </w:rPr>
        <w:t>OS</w:t>
      </w:r>
      <w:r w:rsidRPr="00F14E16">
        <w:rPr>
          <w:rFonts w:ascii="Book Antiqua" w:eastAsia="Book Antiqua" w:hAnsi="Book Antiqua" w:cs="Book Antiqua"/>
          <w:color w:val="000000"/>
          <w:kern w:val="0"/>
          <w:sz w:val="24"/>
          <w:lang w:eastAsia="en-US"/>
          <w14:ligatures w14:val="none"/>
        </w:rPr>
        <w:t xml:space="preserve"> &lt;</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5 years), patients with LTS had higher diversity than those with STS</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xml:space="preserve">. LTS patients showed a predominance of </w:t>
      </w:r>
      <w:r w:rsidRPr="00F14E16">
        <w:rPr>
          <w:rFonts w:ascii="Book Antiqua" w:eastAsia="Book Antiqua" w:hAnsi="Book Antiqua" w:cs="Book Antiqua"/>
          <w:i/>
          <w:iCs/>
          <w:color w:val="000000"/>
          <w:kern w:val="0"/>
          <w:sz w:val="24"/>
          <w:lang w:eastAsia="en-US"/>
          <w14:ligatures w14:val="none"/>
        </w:rPr>
        <w:t>Alphaproteobacteria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Sphingobacteria</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Flavobacteria</w:t>
      </w:r>
      <w:r w:rsidRPr="00F14E16">
        <w:rPr>
          <w:rFonts w:ascii="Book Antiqua" w:eastAsia="Book Antiqua" w:hAnsi="Book Antiqua" w:cs="Book Antiqua"/>
          <w:color w:val="000000"/>
          <w:kern w:val="0"/>
          <w:sz w:val="24"/>
          <w:lang w:eastAsia="en-US"/>
          <w14:ligatures w14:val="none"/>
        </w:rPr>
        <w:t xml:space="preserve"> at the class level, while STS patients presented with </w:t>
      </w:r>
      <w:r w:rsidRPr="00F14E16">
        <w:rPr>
          <w:rFonts w:ascii="Book Antiqua" w:eastAsia="Book Antiqua" w:hAnsi="Book Antiqua" w:cs="Book Antiqua"/>
          <w:i/>
          <w:iCs/>
          <w:color w:val="000000"/>
          <w:kern w:val="0"/>
          <w:sz w:val="24"/>
          <w:lang w:eastAsia="en-US"/>
          <w14:ligatures w14:val="none"/>
        </w:rPr>
        <w:t>Clostridia</w:t>
      </w:r>
      <w:r w:rsidRPr="00F14E16">
        <w:rPr>
          <w:rFonts w:ascii="Book Antiqua" w:eastAsia="Book Antiqua" w:hAnsi="Book Antiqua" w:cs="Book Antiqua"/>
          <w:color w:val="000000"/>
          <w:kern w:val="0"/>
          <w:sz w:val="24"/>
          <w:lang w:eastAsia="en-US"/>
          <w14:ligatures w14:val="none"/>
        </w:rPr>
        <w:t xml:space="preserve"> and</w:t>
      </w:r>
      <w:r w:rsidRPr="00F14E16">
        <w:rPr>
          <w:rFonts w:ascii="Book Antiqua" w:eastAsia="Book Antiqua" w:hAnsi="Book Antiqua" w:cs="Book Antiqua"/>
          <w:i/>
          <w:iCs/>
          <w:color w:val="000000"/>
          <w:kern w:val="0"/>
          <w:sz w:val="24"/>
          <w:lang w:eastAsia="en-US"/>
          <w14:ligatures w14:val="none"/>
        </w:rPr>
        <w:t xml:space="preserve"> Bacteroidea. </w:t>
      </w:r>
      <w:r w:rsidRPr="00F14E16">
        <w:rPr>
          <w:rFonts w:ascii="Book Antiqua" w:eastAsia="Book Antiqua" w:hAnsi="Book Antiqua" w:cs="Book Antiqua"/>
          <w:color w:val="000000"/>
          <w:kern w:val="0"/>
          <w:sz w:val="24"/>
          <w:lang w:eastAsia="en-US"/>
          <w14:ligatures w14:val="none"/>
        </w:rPr>
        <w:t xml:space="preserve">Similarly, another study on the prognosis-related intratumoural microbiome of Chinese PDAC patients reported higher alpha diversity in LTS patients than in STS patients, although the two studies did not have the same threshold for </w:t>
      </w:r>
      <w:r w:rsidRPr="00F14E16">
        <w:rPr>
          <w:rFonts w:ascii="Book Antiqua" w:eastAsia="宋体" w:hAnsi="Book Antiqua" w:cs="Book Antiqua" w:hint="eastAsia"/>
          <w:color w:val="000000"/>
          <w:kern w:val="0"/>
          <w:sz w:val="24"/>
          <w14:ligatures w14:val="none"/>
        </w:rPr>
        <w:t>OS</w:t>
      </w:r>
      <w:r w:rsidRPr="00F14E16">
        <w:rPr>
          <w:rFonts w:ascii="Book Antiqua" w:eastAsia="Book Antiqua" w:hAnsi="Book Antiqua" w:cs="Book Antiqua"/>
          <w:color w:val="000000"/>
          <w:kern w:val="0"/>
          <w:sz w:val="24"/>
          <w:lang w:eastAsia="en-US"/>
          <w14:ligatures w14:val="none"/>
        </w:rPr>
        <w:t xml:space="preserve"> time</w:t>
      </w:r>
      <w:r w:rsidRPr="00F14E16">
        <w:rPr>
          <w:rFonts w:ascii="Book Antiqua" w:eastAsia="Book Antiqua" w:hAnsi="Book Antiqua" w:cs="Book Antiqua"/>
          <w:color w:val="000000"/>
          <w:kern w:val="0"/>
          <w:sz w:val="24"/>
          <w:vertAlign w:val="superscript"/>
          <w:lang w:eastAsia="en-US"/>
          <w14:ligatures w14:val="none"/>
        </w:rPr>
        <w:t>[65]</w:t>
      </w:r>
      <w:r w:rsidRPr="00F14E16">
        <w:rPr>
          <w:rFonts w:ascii="Book Antiqua" w:eastAsia="Book Antiqua" w:hAnsi="Book Antiqua" w:cs="Book Antiqua"/>
          <w:color w:val="000000"/>
          <w:kern w:val="0"/>
          <w:sz w:val="24"/>
          <w:lang w:eastAsia="en-US"/>
          <w14:ligatures w14:val="none"/>
        </w:rPr>
        <w:t>. It seems, however, that the role of high microbiome diversity in predicting the prognosis of PDAC tumours is not common to all tumours. For instance, high microbial diversity in gastric adenocarcinoma tumours is associated with poor survival</w:t>
      </w:r>
      <w:r w:rsidRPr="00F14E16">
        <w:rPr>
          <w:rFonts w:ascii="Book Antiqua" w:eastAsia="Book Antiqua" w:hAnsi="Book Antiqua" w:cs="Book Antiqua"/>
          <w:color w:val="000000"/>
          <w:kern w:val="0"/>
          <w:sz w:val="24"/>
          <w:vertAlign w:val="superscript"/>
          <w:lang w:eastAsia="en-US"/>
          <w14:ligatures w14:val="none"/>
        </w:rPr>
        <w:t>[66]</w:t>
      </w:r>
      <w:r w:rsidRPr="00F14E16">
        <w:rPr>
          <w:rFonts w:ascii="Book Antiqua" w:eastAsia="Book Antiqua" w:hAnsi="Book Antiqua" w:cs="Book Antiqua"/>
          <w:color w:val="000000"/>
          <w:kern w:val="0"/>
          <w:sz w:val="24"/>
          <w:lang w:eastAsia="en-US"/>
          <w14:ligatures w14:val="none"/>
        </w:rPr>
        <w:t>. Most likely due to genetic, ethnic, dietary, and geographical variability, the dominant species between LTS and STS obtained from these two cohorts were not identical</w:t>
      </w:r>
      <w:r w:rsidRPr="00F14E16">
        <w:rPr>
          <w:rFonts w:ascii="Book Antiqua" w:eastAsia="Book Antiqua" w:hAnsi="Book Antiqua" w:cs="Book Antiqua"/>
          <w:color w:val="000000"/>
          <w:kern w:val="0"/>
          <w:sz w:val="24"/>
          <w:vertAlign w:val="superscript"/>
          <w:lang w:eastAsia="en-US"/>
          <w14:ligatures w14:val="none"/>
        </w:rPr>
        <w:t>[65,67]</w:t>
      </w:r>
      <w:r w:rsidRPr="00F14E16">
        <w:rPr>
          <w:rFonts w:ascii="Book Antiqua" w:eastAsia="Book Antiqua" w:hAnsi="Book Antiqua" w:cs="Book Antiqua"/>
          <w:color w:val="000000"/>
          <w:kern w:val="0"/>
          <w:sz w:val="24"/>
          <w:lang w:eastAsia="en-US"/>
          <w14:ligatures w14:val="none"/>
        </w:rPr>
        <w:t>. Similar to the aforementioned diagnostic approach using the intratumour microbiome, microbiome data from TCGA were found to be a better prognostic predictor than clinical covariates alone in adrenocortical carcinoma, cervical squamous cell carcinoma, low-grade glioma and subcutaneous melanoma by the ML approach</w:t>
      </w:r>
      <w:r w:rsidRPr="00F14E16">
        <w:rPr>
          <w:rFonts w:ascii="Book Antiqua" w:eastAsia="Book Antiqua" w:hAnsi="Book Antiqua" w:cs="Book Antiqua"/>
          <w:color w:val="000000"/>
          <w:kern w:val="0"/>
          <w:sz w:val="24"/>
          <w:vertAlign w:val="superscript"/>
          <w:lang w:eastAsia="en-US"/>
          <w14:ligatures w14:val="none"/>
        </w:rPr>
        <w:t>[68]</w:t>
      </w:r>
      <w:r w:rsidRPr="00F14E16">
        <w:rPr>
          <w:rFonts w:ascii="Book Antiqua" w:eastAsia="Book Antiqua" w:hAnsi="Book Antiqua" w:cs="Book Antiqua"/>
          <w:color w:val="000000"/>
          <w:kern w:val="0"/>
          <w:sz w:val="24"/>
          <w:lang w:eastAsia="en-US"/>
          <w14:ligatures w14:val="none"/>
        </w:rPr>
        <w:t xml:space="preserve">. The combination of tumour microbiome abundance data and gene expression data allowed for modest improvements in predictive performance. In PDAC, Riquelme </w:t>
      </w:r>
      <w:r w:rsidRPr="00F14E16">
        <w:rPr>
          <w:rFonts w:ascii="Book Antiqua" w:eastAsia="Book Antiqua" w:hAnsi="Book Antiqua" w:cs="Book Antiqua"/>
          <w:i/>
          <w:iCs/>
          <w:color w:val="000000"/>
          <w:kern w:val="0"/>
          <w:sz w:val="24"/>
          <w:lang w:eastAsia="en-US"/>
          <w14:ligatures w14:val="none"/>
        </w:rPr>
        <w:t>el al</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xml:space="preserve"> constructed a prognostic signature employing </w:t>
      </w:r>
      <w:r w:rsidRPr="00F14E16">
        <w:rPr>
          <w:rFonts w:ascii="Book Antiqua" w:eastAsia="Book Antiqua" w:hAnsi="Book Antiqua" w:cs="Book Antiqua"/>
          <w:i/>
          <w:iCs/>
          <w:color w:val="000000"/>
          <w:kern w:val="0"/>
          <w:sz w:val="24"/>
          <w:lang w:eastAsia="en-US"/>
          <w14:ligatures w14:val="none"/>
        </w:rPr>
        <w:t>Pseudoxanthomonas</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Saccharopolyspora</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Streptomyces</w:t>
      </w:r>
      <w:r w:rsidRPr="00F14E16">
        <w:rPr>
          <w:rFonts w:ascii="Book Antiqua" w:eastAsia="Book Antiqua" w:hAnsi="Book Antiqua" w:cs="Book Antiqua"/>
          <w:color w:val="000000"/>
          <w:kern w:val="0"/>
          <w:sz w:val="24"/>
          <w:lang w:eastAsia="en-US"/>
          <w14:ligatures w14:val="none"/>
        </w:rPr>
        <w:t xml:space="preserve">, together with </w:t>
      </w:r>
      <w:r w:rsidRPr="00F14E16">
        <w:rPr>
          <w:rFonts w:ascii="Book Antiqua" w:eastAsia="Book Antiqua" w:hAnsi="Book Antiqua" w:cs="Book Antiqua"/>
          <w:i/>
          <w:iCs/>
          <w:color w:val="000000"/>
          <w:kern w:val="0"/>
          <w:sz w:val="24"/>
          <w:lang w:eastAsia="en-US"/>
          <w14:ligatures w14:val="none"/>
        </w:rPr>
        <w:t>Bacillus clausii</w:t>
      </w:r>
      <w:r w:rsidRPr="00F14E16">
        <w:rPr>
          <w:rFonts w:ascii="Book Antiqua" w:eastAsia="Book Antiqua" w:hAnsi="Book Antiqua" w:cs="Book Antiqua"/>
          <w:color w:val="000000"/>
          <w:kern w:val="0"/>
          <w:sz w:val="24"/>
          <w:lang w:eastAsia="en-US"/>
          <w14:ligatures w14:val="none"/>
        </w:rPr>
        <w:t>, that effectively predicted the prognosis of patients in the MD Anderson Cancer Center cohort (AUC</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97.51) and Johns Hopkins Hospital cohort (AUC</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99.17)</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xml:space="preserve">. </w:t>
      </w:r>
    </w:p>
    <w:p w14:paraId="7121E79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Overall, the PDAC microbiome has shown incipient clinical relevance in diagnosis and prognosis, but the low biomass of the tumour microbiome makes decontamination particularly critical</w:t>
      </w:r>
      <w:r w:rsidRPr="00F14E16">
        <w:rPr>
          <w:rFonts w:ascii="Book Antiqua" w:eastAsia="Book Antiqua" w:hAnsi="Book Antiqua" w:cs="Book Antiqua"/>
          <w:color w:val="000000"/>
          <w:kern w:val="0"/>
          <w:sz w:val="24"/>
          <w:vertAlign w:val="superscript"/>
          <w:lang w:eastAsia="en-US"/>
          <w14:ligatures w14:val="none"/>
        </w:rPr>
        <w:t>[69]</w:t>
      </w:r>
      <w:r w:rsidRPr="00F14E16">
        <w:rPr>
          <w:rFonts w:ascii="Book Antiqua" w:eastAsia="Book Antiqua" w:hAnsi="Book Antiqua" w:cs="Book Antiqua"/>
          <w:color w:val="000000"/>
          <w:kern w:val="0"/>
          <w:sz w:val="24"/>
          <w:lang w:eastAsia="en-US"/>
          <w14:ligatures w14:val="none"/>
        </w:rPr>
        <w:t>. Laboratory means and computerized decontamination to achieve more reliable and reproducible results make the use of intratumour microbiome information for PDAC cancer diagnosis and prognosis more reliable. However, few studies have applied strict contamination controls to the cancer genome, although the efficiency of the application can be increased by adding samples or performing computerized decontamination</w:t>
      </w:r>
      <w:r w:rsidRPr="00F14E16">
        <w:rPr>
          <w:rFonts w:ascii="Book Antiqua" w:eastAsia="Book Antiqua" w:hAnsi="Book Antiqua" w:cs="Book Antiqua"/>
          <w:color w:val="000000"/>
          <w:kern w:val="0"/>
          <w:sz w:val="24"/>
          <w:vertAlign w:val="superscript"/>
          <w:lang w:eastAsia="en-US"/>
          <w14:ligatures w14:val="none"/>
        </w:rPr>
        <w:t>[13]</w:t>
      </w:r>
      <w:r w:rsidRPr="00F14E16">
        <w:rPr>
          <w:rFonts w:ascii="Book Antiqua" w:eastAsia="Book Antiqua" w:hAnsi="Book Antiqua" w:cs="Book Antiqua"/>
          <w:color w:val="000000"/>
          <w:kern w:val="0"/>
          <w:sz w:val="24"/>
          <w:lang w:eastAsia="en-US"/>
          <w14:ligatures w14:val="none"/>
        </w:rPr>
        <w:t xml:space="preserve">. Furthermore, genetic, ethnic, and geographical differences create heterogeneity in the </w:t>
      </w:r>
      <w:r w:rsidRPr="00F14E16">
        <w:rPr>
          <w:rFonts w:ascii="Book Antiqua" w:eastAsia="Book Antiqua" w:hAnsi="Book Antiqua" w:cs="Book Antiqua" w:hint="eastAsia"/>
          <w:color w:val="000000"/>
          <w:kern w:val="0"/>
          <w:sz w:val="24"/>
          <w14:ligatures w14:val="none"/>
        </w:rPr>
        <w:t>microbiome</w:t>
      </w:r>
      <w:r w:rsidRPr="00F14E16">
        <w:rPr>
          <w:rFonts w:ascii="Book Antiqua" w:eastAsia="Book Antiqua" w:hAnsi="Book Antiqua" w:cs="Book Antiqua"/>
          <w:color w:val="000000"/>
          <w:kern w:val="0"/>
          <w:sz w:val="24"/>
          <w:lang w:eastAsia="en-US"/>
          <w14:ligatures w14:val="none"/>
        </w:rPr>
        <w:t xml:space="preserve"> composition of populations in different regions, which adds limitations in the use of microbial information for </w:t>
      </w:r>
      <w:r w:rsidRPr="00F14E16">
        <w:rPr>
          <w:rFonts w:ascii="Book Antiqua" w:eastAsia="Book Antiqua" w:hAnsi="Book Antiqua" w:cs="Book Antiqua"/>
          <w:color w:val="000000"/>
          <w:kern w:val="0"/>
          <w:sz w:val="24"/>
          <w:lang w:eastAsia="en-US"/>
          <w14:ligatures w14:val="none"/>
        </w:rPr>
        <w:lastRenderedPageBreak/>
        <w:t>diagnostic and prognostic judgements. However, recently, one of the methods using transfer learning to overcome regional effects has yielded better robustness in cross-regional disease diagnosis using gut microbial features</w:t>
      </w:r>
      <w:r w:rsidRPr="00F14E16">
        <w:rPr>
          <w:rFonts w:ascii="Book Antiqua" w:eastAsia="Book Antiqua" w:hAnsi="Book Antiqua" w:cs="Book Antiqua"/>
          <w:color w:val="000000"/>
          <w:kern w:val="0"/>
          <w:sz w:val="24"/>
          <w:vertAlign w:val="superscript"/>
          <w:lang w:eastAsia="en-US"/>
          <w14:ligatures w14:val="none"/>
        </w:rPr>
        <w:t>[70]</w:t>
      </w:r>
      <w:r w:rsidRPr="00F14E16">
        <w:rPr>
          <w:rFonts w:ascii="Book Antiqua" w:eastAsia="Book Antiqua" w:hAnsi="Book Antiqua" w:cs="Book Antiqua"/>
          <w:color w:val="000000"/>
          <w:kern w:val="0"/>
          <w:sz w:val="24"/>
          <w:lang w:eastAsia="en-US"/>
          <w14:ligatures w14:val="none"/>
        </w:rPr>
        <w:t xml:space="preserve">. In other words, the microbial information within the tumour seems not to lose its meaning due to the presence of various restrictions. Further investigation of the meaning of the intratumour microbiome of PDAC in diagnosis and prognosis is desirable. </w:t>
      </w:r>
    </w:p>
    <w:p w14:paraId="3CBD6C8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49FA7D7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The intratumour microbiome-immune-pancreatic cancer axis</w:t>
      </w:r>
    </w:p>
    <w:p w14:paraId="29AD38E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Innate and adaptive immunity comprise the body's powerful immune system, and they serve in the surveillance, recognition and elimination of tumours. The innate immune system reacts rapidly and nonspecifically when the body encounters pathogens, while adaptive immune responses develop more slowly but specifically and lead to classical immune memory</w:t>
      </w:r>
      <w:r w:rsidRPr="00F14E16">
        <w:rPr>
          <w:rFonts w:ascii="Book Antiqua" w:eastAsia="Book Antiqua" w:hAnsi="Book Antiqua" w:cs="Book Antiqua"/>
          <w:color w:val="000000"/>
          <w:kern w:val="0"/>
          <w:sz w:val="24"/>
          <w:vertAlign w:val="superscript"/>
          <w:lang w:eastAsia="en-US"/>
          <w14:ligatures w14:val="none"/>
        </w:rPr>
        <w:t>[71]</w:t>
      </w:r>
      <w:r w:rsidRPr="00F14E16">
        <w:rPr>
          <w:rFonts w:ascii="Book Antiqua" w:eastAsia="Book Antiqua" w:hAnsi="Book Antiqua" w:cs="Book Antiqua"/>
          <w:color w:val="000000"/>
          <w:kern w:val="0"/>
          <w:sz w:val="24"/>
          <w:lang w:eastAsia="en-US"/>
          <w14:ligatures w14:val="none"/>
        </w:rPr>
        <w:t>. Research over the years has focused on the adaptive immune system; however, studies of the adaptive immune system have led researchers to reassess the role of innate immunity as an essential hub for adaptive immune activation</w:t>
      </w:r>
      <w:r w:rsidRPr="00F14E16">
        <w:rPr>
          <w:rFonts w:ascii="Book Antiqua" w:eastAsia="Book Antiqua" w:hAnsi="Book Antiqua" w:cs="Book Antiqua"/>
          <w:color w:val="000000"/>
          <w:kern w:val="0"/>
          <w:sz w:val="24"/>
          <w:vertAlign w:val="superscript"/>
          <w:lang w:eastAsia="en-US"/>
          <w14:ligatures w14:val="none"/>
        </w:rPr>
        <w:t>[71-73]</w:t>
      </w:r>
      <w:r w:rsidRPr="00F14E16">
        <w:rPr>
          <w:rFonts w:ascii="Book Antiqua" w:eastAsia="Book Antiqua" w:hAnsi="Book Antiqua" w:cs="Book Antiqua"/>
          <w:color w:val="000000"/>
          <w:kern w:val="0"/>
          <w:sz w:val="24"/>
          <w:lang w:eastAsia="en-US"/>
          <w14:ligatures w14:val="none"/>
        </w:rPr>
        <w:t>. The human gut microbiome, as the largest microbial reservoir in the body, coevolved with the immune system and interacts directly through metabolic crosstalk</w:t>
      </w:r>
      <w:r w:rsidRPr="00F14E16">
        <w:rPr>
          <w:rFonts w:ascii="Book Antiqua" w:eastAsia="Book Antiqua" w:hAnsi="Book Antiqua" w:cs="Book Antiqua"/>
          <w:color w:val="000000"/>
          <w:kern w:val="0"/>
          <w:sz w:val="24"/>
          <w:vertAlign w:val="superscript"/>
          <w:lang w:eastAsia="en-US"/>
          <w14:ligatures w14:val="none"/>
        </w:rPr>
        <w:t>[74]</w:t>
      </w:r>
      <w:r w:rsidRPr="00F14E16">
        <w:rPr>
          <w:rFonts w:ascii="Book Antiqua" w:eastAsia="Book Antiqua" w:hAnsi="Book Antiqua" w:cs="Book Antiqua"/>
          <w:color w:val="000000"/>
          <w:kern w:val="0"/>
          <w:sz w:val="24"/>
          <w:lang w:eastAsia="en-US"/>
          <w14:ligatures w14:val="none"/>
        </w:rPr>
        <w:t>. The gut microbiome regulates host innate and adaptive immunity and influences disease development through its metabolic and microbial intrinsic components</w:t>
      </w:r>
      <w:r w:rsidRPr="00F14E16">
        <w:rPr>
          <w:rFonts w:ascii="Book Antiqua" w:eastAsia="Book Antiqua" w:hAnsi="Book Antiqua" w:cs="Book Antiqua"/>
          <w:color w:val="000000"/>
          <w:kern w:val="0"/>
          <w:sz w:val="24"/>
          <w:vertAlign w:val="superscript"/>
          <w:lang w:eastAsia="en-US"/>
          <w14:ligatures w14:val="none"/>
        </w:rPr>
        <w:t>[75]</w:t>
      </w:r>
      <w:r w:rsidRPr="00F14E16">
        <w:rPr>
          <w:rFonts w:ascii="Book Antiqua" w:eastAsia="Book Antiqua" w:hAnsi="Book Antiqua" w:cs="Book Antiqua"/>
          <w:color w:val="000000"/>
          <w:kern w:val="0"/>
          <w:sz w:val="24"/>
          <w:lang w:eastAsia="en-US"/>
          <w14:ligatures w14:val="none"/>
        </w:rPr>
        <w:t>. Similarly, in tumours, microbial mechanisms exist that are known to manipulate components of the intestinal epithelial barrier, regulate the activity of lymphoid organs, and modulate the immune tone of the TME</w:t>
      </w:r>
      <w:r w:rsidRPr="00F14E16">
        <w:rPr>
          <w:rFonts w:ascii="Book Antiqua" w:eastAsia="Book Antiqua" w:hAnsi="Book Antiqua" w:cs="Book Antiqua"/>
          <w:color w:val="000000"/>
          <w:kern w:val="0"/>
          <w:sz w:val="24"/>
          <w:vertAlign w:val="superscript"/>
          <w:lang w:eastAsia="en-US"/>
          <w14:ligatures w14:val="none"/>
        </w:rPr>
        <w:t>[76]</w:t>
      </w:r>
      <w:r w:rsidRPr="00F14E16">
        <w:rPr>
          <w:rFonts w:ascii="Book Antiqua" w:eastAsia="Book Antiqua" w:hAnsi="Book Antiqua" w:cs="Book Antiqua"/>
          <w:color w:val="000000"/>
          <w:kern w:val="0"/>
          <w:sz w:val="24"/>
          <w:lang w:eastAsia="en-US"/>
          <w14:ligatures w14:val="none"/>
        </w:rPr>
        <w:t>. For PDAC, immune cells, as an important component of the PDAC microenvironment, serve influential roles in regulating the growth, metastasis and treatment of PDAC</w:t>
      </w:r>
      <w:r w:rsidRPr="00F14E16">
        <w:rPr>
          <w:rFonts w:ascii="Book Antiqua" w:eastAsia="Book Antiqua" w:hAnsi="Book Antiqua" w:cs="Book Antiqua"/>
          <w:color w:val="000000"/>
          <w:kern w:val="0"/>
          <w:sz w:val="24"/>
          <w:vertAlign w:val="superscript"/>
          <w:lang w:eastAsia="en-US"/>
          <w14:ligatures w14:val="none"/>
        </w:rPr>
        <w:t>[77-79]</w:t>
      </w:r>
      <w:r w:rsidRPr="00F14E16">
        <w:rPr>
          <w:rFonts w:ascii="Book Antiqua" w:eastAsia="Book Antiqua" w:hAnsi="Book Antiqua" w:cs="Book Antiqua"/>
          <w:color w:val="000000"/>
          <w:kern w:val="0"/>
          <w:sz w:val="24"/>
          <w:lang w:eastAsia="en-US"/>
          <w14:ligatures w14:val="none"/>
        </w:rPr>
        <w:t>. Current findings demonstrated that the PDAC intratumour microbiome, by regulating immune tone in the TME, impacts PDAC progression and the immunotherapeutic response</w:t>
      </w:r>
      <w:r w:rsidRPr="00F14E16">
        <w:rPr>
          <w:rFonts w:ascii="Book Antiqua" w:eastAsia="Book Antiqua" w:hAnsi="Book Antiqua" w:cs="Book Antiqua"/>
          <w:color w:val="000000"/>
          <w:kern w:val="0"/>
          <w:sz w:val="24"/>
          <w:vertAlign w:val="superscript"/>
          <w:lang w:eastAsia="en-US"/>
          <w14:ligatures w14:val="none"/>
        </w:rPr>
        <w:t>[14,20-22]</w:t>
      </w:r>
      <w:r w:rsidRPr="00F14E16">
        <w:rPr>
          <w:rFonts w:ascii="Book Antiqua" w:eastAsia="Book Antiqua" w:hAnsi="Book Antiqua" w:cs="Book Antiqua"/>
          <w:color w:val="000000"/>
          <w:kern w:val="0"/>
          <w:sz w:val="24"/>
          <w:lang w:eastAsia="en-US"/>
          <w14:ligatures w14:val="none"/>
        </w:rPr>
        <w:t>. This mechanism of intratumour microbiome regulation of PDAC by influencing TME immune tone can be described as the intratumour microbial-immune-pancreatic cancer axis</w:t>
      </w:r>
      <w:r w:rsidRPr="00F14E16">
        <w:rPr>
          <w:rFonts w:ascii="Book Antiqua" w:eastAsia="Book Antiqua" w:hAnsi="Book Antiqua" w:cs="Book Antiqua"/>
          <w:color w:val="000000"/>
          <w:kern w:val="0"/>
          <w:sz w:val="24"/>
          <w:vertAlign w:val="superscript"/>
          <w:lang w:eastAsia="en-US"/>
          <w14:ligatures w14:val="none"/>
        </w:rPr>
        <w:t>[8]</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F</w:t>
      </w:r>
      <w:r w:rsidRPr="00F14E16">
        <w:rPr>
          <w:rFonts w:ascii="Book Antiqua" w:eastAsia="Book Antiqua" w:hAnsi="Book Antiqua" w:cs="Book Antiqua"/>
          <w:color w:val="000000"/>
          <w:kern w:val="0"/>
          <w:sz w:val="24"/>
          <w:lang w:eastAsia="en-US"/>
          <w14:ligatures w14:val="none"/>
        </w:rPr>
        <w:t>igure 2). The intratumour microbiome similarly influences PDAC by modulating adaptive and innate immunity in the TME.</w:t>
      </w:r>
    </w:p>
    <w:p w14:paraId="756D69A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lastRenderedPageBreak/>
        <w:t>The complement system is a member of innate immunity and consists of approximately 20 different serine proteases. Similar to the coagulation pathway, complement activation entails several steps that are tightly regulated</w:t>
      </w:r>
      <w:r w:rsidRPr="00F14E16">
        <w:rPr>
          <w:rFonts w:ascii="Book Antiqua" w:eastAsia="Book Antiqua" w:hAnsi="Book Antiqua" w:cs="Book Antiqua"/>
          <w:color w:val="000000"/>
          <w:kern w:val="0"/>
          <w:sz w:val="24"/>
          <w:vertAlign w:val="superscript"/>
          <w:lang w:eastAsia="en-US"/>
          <w14:ligatures w14:val="none"/>
        </w:rPr>
        <w:t>[80,81]</w:t>
      </w:r>
      <w:r w:rsidRPr="00F14E16">
        <w:rPr>
          <w:rFonts w:ascii="Book Antiqua" w:eastAsia="Book Antiqua" w:hAnsi="Book Antiqua" w:cs="Book Antiqua"/>
          <w:color w:val="000000"/>
          <w:kern w:val="0"/>
          <w:sz w:val="24"/>
          <w:lang w:eastAsia="en-US"/>
          <w14:ligatures w14:val="none"/>
        </w:rPr>
        <w:t xml:space="preserve">. The complement system is activated in three major ways: </w:t>
      </w:r>
      <w:r w:rsidRPr="00F14E16">
        <w:rPr>
          <w:rFonts w:ascii="Book Antiqua" w:eastAsia="宋体" w:hAnsi="Book Antiqua" w:cs="Book Antiqua" w:hint="eastAsia"/>
          <w:color w:val="000000"/>
          <w:kern w:val="0"/>
          <w:sz w:val="24"/>
          <w14:ligatures w14:val="none"/>
        </w:rPr>
        <w:t>T</w:t>
      </w:r>
      <w:r w:rsidRPr="00F14E16">
        <w:rPr>
          <w:rFonts w:ascii="Book Antiqua" w:eastAsia="Book Antiqua" w:hAnsi="Book Antiqua" w:cs="Book Antiqua"/>
          <w:color w:val="000000"/>
          <w:kern w:val="0"/>
          <w:sz w:val="24"/>
          <w:lang w:eastAsia="en-US"/>
          <w14:ligatures w14:val="none"/>
        </w:rPr>
        <w:t>he "classical activation pathway", the "bypass activation pathway" and the "lectin activation pathway"</w:t>
      </w:r>
      <w:r w:rsidRPr="00F14E16">
        <w:rPr>
          <w:rFonts w:ascii="Book Antiqua" w:eastAsia="Book Antiqua" w:hAnsi="Book Antiqua" w:cs="Book Antiqua"/>
          <w:color w:val="000000"/>
          <w:kern w:val="0"/>
          <w:sz w:val="24"/>
          <w:vertAlign w:val="superscript"/>
          <w:lang w:eastAsia="en-US"/>
          <w14:ligatures w14:val="none"/>
        </w:rPr>
        <w:t>[80,82]</w:t>
      </w:r>
      <w:r w:rsidRPr="00F14E16">
        <w:rPr>
          <w:rFonts w:ascii="Book Antiqua" w:eastAsia="Book Antiqua" w:hAnsi="Book Antiqua" w:cs="Book Antiqua"/>
          <w:color w:val="000000"/>
          <w:kern w:val="0"/>
          <w:sz w:val="24"/>
          <w:lang w:eastAsia="en-US"/>
          <w14:ligatures w14:val="none"/>
        </w:rPr>
        <w:t>. The convergence point for all complement activation pathways is the formation of C3 convertase complexes on the surface of target cells, and upon formation of C3 convertase, the complement system is able to perform its duties. C3 is primarily synthesized by hepatocytes, but increasing evidence suggests that C3 is also locally secreted by a variety of cell types, including monocytes/macrophages, fibroblasts, endothelial cells, epithelial cells, and cancer cells, including PDAC</w:t>
      </w:r>
      <w:r w:rsidRPr="00F14E16">
        <w:rPr>
          <w:rFonts w:ascii="Book Antiqua" w:eastAsia="Book Antiqua" w:hAnsi="Book Antiqua" w:cs="Book Antiqua"/>
          <w:color w:val="000000"/>
          <w:kern w:val="0"/>
          <w:sz w:val="24"/>
          <w:vertAlign w:val="superscript"/>
          <w:lang w:eastAsia="en-US"/>
          <w14:ligatures w14:val="none"/>
        </w:rPr>
        <w:t>[83-85]</w:t>
      </w:r>
      <w:r w:rsidRPr="00F14E16">
        <w:rPr>
          <w:rFonts w:ascii="Book Antiqua" w:eastAsia="Book Antiqua" w:hAnsi="Book Antiqua" w:cs="Book Antiqua"/>
          <w:color w:val="000000"/>
          <w:kern w:val="0"/>
          <w:sz w:val="24"/>
          <w:lang w:eastAsia="en-US"/>
          <w14:ligatures w14:val="none"/>
        </w:rPr>
        <w:t>. The positive role of the complement system in fighting heterologous pathogens has been extensively studied, but it appears to serve as a promoter of tumour growth in a variety of tumours</w:t>
      </w:r>
      <w:r w:rsidRPr="00F14E16">
        <w:rPr>
          <w:rFonts w:ascii="Book Antiqua" w:eastAsia="Book Antiqua" w:hAnsi="Book Antiqua" w:cs="Book Antiqua"/>
          <w:color w:val="000000"/>
          <w:kern w:val="0"/>
          <w:sz w:val="24"/>
          <w:vertAlign w:val="superscript"/>
          <w:lang w:eastAsia="en-US"/>
          <w14:ligatures w14:val="none"/>
        </w:rPr>
        <w:t>[82,83]</w:t>
      </w:r>
      <w:r w:rsidRPr="00F14E16">
        <w:rPr>
          <w:rFonts w:ascii="Book Antiqua" w:eastAsia="Book Antiqua" w:hAnsi="Book Antiqua" w:cs="Book Antiqua"/>
          <w:color w:val="000000"/>
          <w:kern w:val="0"/>
          <w:sz w:val="24"/>
          <w:lang w:eastAsia="en-US"/>
          <w14:ligatures w14:val="none"/>
        </w:rPr>
        <w:t>. On the one hand, tumour-associated macrophages (TAMs) in the PDAC microenvironment can protect pancreatic cancer cells from complement-dependent cytotoxicity by regulating CD59, and on the other hand, intratumour fungi can promote fungal-tumour cohabitations using complement cascade reactions</w:t>
      </w:r>
      <w:r w:rsidRPr="00F14E16">
        <w:rPr>
          <w:rFonts w:ascii="Book Antiqua" w:eastAsia="Book Antiqua" w:hAnsi="Book Antiqua" w:cs="Book Antiqua"/>
          <w:color w:val="000000"/>
          <w:kern w:val="0"/>
          <w:sz w:val="24"/>
          <w:vertAlign w:val="superscript"/>
          <w:lang w:eastAsia="en-US"/>
          <w14:ligatures w14:val="none"/>
        </w:rPr>
        <w:t>[21,86]</w:t>
      </w:r>
      <w:r w:rsidRPr="00F14E16">
        <w:rPr>
          <w:rFonts w:ascii="Book Antiqua" w:eastAsia="Book Antiqua" w:hAnsi="Book Antiqua" w:cs="Book Antiqua"/>
          <w:color w:val="000000"/>
          <w:kern w:val="0"/>
          <w:sz w:val="24"/>
          <w:lang w:eastAsia="en-US"/>
          <w14:ligatures w14:val="none"/>
        </w:rPr>
        <w:t xml:space="preserve">. In preclinical experiments, the intratumour fungi of KPC mice, especially </w:t>
      </w:r>
      <w:r w:rsidRPr="00F14E16">
        <w:rPr>
          <w:rFonts w:ascii="Book Antiqua" w:eastAsia="Book Antiqua" w:hAnsi="Book Antiqua" w:cs="Book Antiqua"/>
          <w:i/>
          <w:iCs/>
          <w:color w:val="000000"/>
          <w:kern w:val="0"/>
          <w:sz w:val="24"/>
          <w:lang w:eastAsia="en-US"/>
          <w14:ligatures w14:val="none"/>
        </w:rPr>
        <w:t>Malassezia</w:t>
      </w:r>
      <w:r w:rsidRPr="00F14E16">
        <w:rPr>
          <w:rFonts w:ascii="Book Antiqua" w:eastAsia="Book Antiqua" w:hAnsi="Book Antiqua" w:cs="Book Antiqua"/>
          <w:color w:val="000000"/>
          <w:kern w:val="0"/>
          <w:sz w:val="24"/>
          <w:lang w:eastAsia="en-US"/>
          <w14:ligatures w14:val="none"/>
        </w:rPr>
        <w:t>, can activate the C3 complement cascade through the "lectin activation pathway"</w:t>
      </w:r>
      <w:r w:rsidRPr="00F14E16">
        <w:rPr>
          <w:rFonts w:ascii="Book Antiqua" w:eastAsia="Book Antiqua" w:hAnsi="Book Antiqua" w:cs="Book Antiqua"/>
          <w:color w:val="000000"/>
          <w:kern w:val="0"/>
          <w:sz w:val="24"/>
          <w:vertAlign w:val="superscript"/>
          <w:lang w:eastAsia="en-US"/>
          <w14:ligatures w14:val="none"/>
        </w:rPr>
        <w:t>[21]</w:t>
      </w:r>
      <w:r w:rsidRPr="00F14E16">
        <w:rPr>
          <w:rFonts w:ascii="Book Antiqua" w:eastAsia="Book Antiqua" w:hAnsi="Book Antiqua" w:cs="Book Antiqua"/>
          <w:color w:val="000000"/>
          <w:kern w:val="0"/>
          <w:sz w:val="24"/>
          <w:lang w:eastAsia="en-US"/>
          <w14:ligatures w14:val="none"/>
        </w:rPr>
        <w:t>. C3a, as a fragment produced after the C3 complement cascade reaction, promotes PDAC cell proliferation by binding to C3a receptors on the surface of cancer cells</w:t>
      </w:r>
      <w:r w:rsidRPr="00F14E16">
        <w:rPr>
          <w:rFonts w:ascii="Book Antiqua" w:eastAsia="Book Antiqua" w:hAnsi="Book Antiqua" w:cs="Book Antiqua"/>
          <w:color w:val="000000"/>
          <w:kern w:val="0"/>
          <w:sz w:val="24"/>
          <w:vertAlign w:val="superscript"/>
          <w:lang w:eastAsia="en-US"/>
          <w14:ligatures w14:val="none"/>
        </w:rPr>
        <w:t>[21]</w:t>
      </w:r>
      <w:r w:rsidRPr="00F14E16">
        <w:rPr>
          <w:rFonts w:ascii="Book Antiqua" w:eastAsia="Book Antiqua" w:hAnsi="Book Antiqua" w:cs="Book Antiqua"/>
          <w:color w:val="000000"/>
          <w:kern w:val="0"/>
          <w:sz w:val="24"/>
          <w:lang w:eastAsia="en-US"/>
          <w14:ligatures w14:val="none"/>
        </w:rPr>
        <w:t>. However, the role of the MBL-C3 mechanism of intratumoural fungi may be more significant than that</w:t>
      </w:r>
      <w:r w:rsidRPr="00F14E16">
        <w:rPr>
          <w:rFonts w:ascii="Book Antiqua" w:eastAsia="Book Antiqua" w:hAnsi="Book Antiqua" w:cs="Book Antiqua"/>
          <w:color w:val="000000"/>
          <w:kern w:val="0"/>
          <w:sz w:val="24"/>
          <w:vertAlign w:val="superscript"/>
          <w:lang w:eastAsia="en-US"/>
          <w14:ligatures w14:val="none"/>
        </w:rPr>
        <w:t>[87]</w:t>
      </w:r>
      <w:r w:rsidRPr="00F14E16">
        <w:rPr>
          <w:rFonts w:ascii="Book Antiqua" w:eastAsia="Book Antiqua" w:hAnsi="Book Antiqua" w:cs="Book Antiqua"/>
          <w:color w:val="000000"/>
          <w:kern w:val="0"/>
          <w:sz w:val="24"/>
          <w:lang w:eastAsia="en-US"/>
          <w14:ligatures w14:val="none"/>
        </w:rPr>
        <w:t xml:space="preserve">. An </w:t>
      </w:r>
      <w:r w:rsidRPr="00F14E16">
        <w:rPr>
          <w:rFonts w:ascii="Book Antiqua" w:eastAsia="Book Antiqua" w:hAnsi="Book Antiqua" w:cs="Book Antiqua"/>
          <w:i/>
          <w:iCs/>
          <w:color w:val="000000"/>
          <w:kern w:val="0"/>
          <w:sz w:val="24"/>
          <w:lang w:eastAsia="en-US"/>
          <w14:ligatures w14:val="none"/>
        </w:rPr>
        <w:t>in vitro</w:t>
      </w:r>
      <w:r w:rsidRPr="00F14E16">
        <w:rPr>
          <w:rFonts w:ascii="Book Antiqua" w:eastAsia="Book Antiqua" w:hAnsi="Book Antiqua" w:cs="Book Antiqua"/>
          <w:color w:val="000000"/>
          <w:kern w:val="0"/>
          <w:sz w:val="24"/>
          <w:lang w:eastAsia="en-US"/>
          <w14:ligatures w14:val="none"/>
        </w:rPr>
        <w:t xml:space="preserve"> experiment showed that C3a-C3a receptor binding could promote the epithelial-to-mesenchymal transition (EMT) by activating the ERK pathway in PDAC cells</w:t>
      </w:r>
      <w:r w:rsidRPr="00F14E16">
        <w:rPr>
          <w:rFonts w:ascii="Book Antiqua" w:eastAsia="Book Antiqua" w:hAnsi="Book Antiqua" w:cs="Book Antiqua"/>
          <w:color w:val="000000"/>
          <w:kern w:val="0"/>
          <w:sz w:val="24"/>
          <w:vertAlign w:val="superscript"/>
          <w:lang w:eastAsia="en-US"/>
          <w14:ligatures w14:val="none"/>
        </w:rPr>
        <w:t>[88]</w:t>
      </w:r>
      <w:r w:rsidRPr="00F14E16">
        <w:rPr>
          <w:rFonts w:ascii="Book Antiqua" w:eastAsia="Book Antiqua" w:hAnsi="Book Antiqua" w:cs="Book Antiqua"/>
          <w:color w:val="000000"/>
          <w:kern w:val="0"/>
          <w:sz w:val="24"/>
          <w:lang w:eastAsia="en-US"/>
          <w14:ligatures w14:val="none"/>
        </w:rPr>
        <w:t>. Additionally, C3a receptors are expressed not only in tumour cells, but also on myeloid cells and CD4+ T lymphocytes</w:t>
      </w:r>
      <w:r w:rsidRPr="00F14E16">
        <w:rPr>
          <w:rFonts w:ascii="Book Antiqua" w:eastAsia="Book Antiqua" w:hAnsi="Book Antiqua" w:cs="Book Antiqua"/>
          <w:color w:val="000000"/>
          <w:kern w:val="0"/>
          <w:sz w:val="24"/>
          <w:vertAlign w:val="superscript"/>
          <w:lang w:eastAsia="en-US"/>
          <w14:ligatures w14:val="none"/>
        </w:rPr>
        <w:t>[89-93]</w:t>
      </w:r>
      <w:r w:rsidRPr="00F14E16">
        <w:rPr>
          <w:rFonts w:ascii="Book Antiqua" w:eastAsia="Book Antiqua" w:hAnsi="Book Antiqua" w:cs="Book Antiqua"/>
          <w:color w:val="000000"/>
          <w:kern w:val="0"/>
          <w:sz w:val="24"/>
          <w:lang w:eastAsia="en-US"/>
          <w14:ligatures w14:val="none"/>
        </w:rPr>
        <w:t>. This suggests that the intratumour fungal MBL-C3 mechanism in PDAC may have a broader role in the TME and necessitates further investigation.</w:t>
      </w:r>
    </w:p>
    <w:p w14:paraId="017B4D8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Neutrophils, as the predominant specialized phagocytes in the body, play an important role in the body's resistance to pathogens such as bacteria, fungi, viruses and parasites</w:t>
      </w:r>
      <w:r w:rsidRPr="00F14E16">
        <w:rPr>
          <w:rFonts w:ascii="Book Antiqua" w:eastAsia="Book Antiqua" w:hAnsi="Book Antiqua" w:cs="Book Antiqua"/>
          <w:color w:val="000000"/>
          <w:kern w:val="0"/>
          <w:sz w:val="24"/>
          <w:vertAlign w:val="superscript"/>
          <w:lang w:eastAsia="en-US"/>
          <w14:ligatures w14:val="none"/>
        </w:rPr>
        <w:t>[87,94-96]</w:t>
      </w:r>
      <w:r w:rsidRPr="00F14E16">
        <w:rPr>
          <w:rFonts w:ascii="Book Antiqua" w:eastAsia="Book Antiqua" w:hAnsi="Book Antiqua" w:cs="Book Antiqua"/>
          <w:color w:val="000000"/>
          <w:kern w:val="0"/>
          <w:sz w:val="24"/>
          <w:lang w:eastAsia="en-US"/>
          <w14:ligatures w14:val="none"/>
        </w:rPr>
        <w:t xml:space="preserve">. Neutrophils function primarily through three major strategies: </w:t>
      </w:r>
      <w:r w:rsidRPr="00F14E16">
        <w:rPr>
          <w:rFonts w:ascii="Book Antiqua" w:eastAsia="宋体" w:hAnsi="Book Antiqua" w:cs="Book Antiqua" w:hint="eastAsia"/>
          <w:color w:val="000000"/>
          <w:kern w:val="0"/>
          <w:sz w:val="24"/>
          <w14:ligatures w14:val="none"/>
        </w:rPr>
        <w:lastRenderedPageBreak/>
        <w:t>P</w:t>
      </w:r>
      <w:r w:rsidRPr="00F14E16">
        <w:rPr>
          <w:rFonts w:ascii="Book Antiqua" w:eastAsia="Book Antiqua" w:hAnsi="Book Antiqua" w:cs="Book Antiqua"/>
          <w:color w:val="000000"/>
          <w:kern w:val="0"/>
          <w:sz w:val="24"/>
          <w:lang w:eastAsia="en-US"/>
          <w14:ligatures w14:val="none"/>
        </w:rPr>
        <w:t>hagocytosis, degranulation and the release of neutrophil extracellular traps (NETs)</w:t>
      </w:r>
      <w:r w:rsidRPr="00F14E16">
        <w:rPr>
          <w:rFonts w:ascii="Book Antiqua" w:eastAsia="Book Antiqua" w:hAnsi="Book Antiqua" w:cs="Book Antiqua"/>
          <w:color w:val="000000"/>
          <w:kern w:val="0"/>
          <w:sz w:val="24"/>
          <w:vertAlign w:val="superscript"/>
          <w:lang w:eastAsia="en-US"/>
          <w14:ligatures w14:val="none"/>
        </w:rPr>
        <w:t>[97]</w:t>
      </w:r>
      <w:r w:rsidRPr="00F14E16">
        <w:rPr>
          <w:rFonts w:ascii="Book Antiqua" w:eastAsia="Book Antiqua" w:hAnsi="Book Antiqua" w:cs="Book Antiqua"/>
          <w:color w:val="000000"/>
          <w:kern w:val="0"/>
          <w:sz w:val="24"/>
          <w:lang w:eastAsia="en-US"/>
          <w14:ligatures w14:val="none"/>
        </w:rPr>
        <w:t>. NETs are reticular structures composed of nuclear or mitochondrial DNA fibres decorated with antimicrobial enzymes and histones that are released to trap and kill pathogens</w:t>
      </w:r>
      <w:r w:rsidRPr="00F14E16">
        <w:rPr>
          <w:rFonts w:ascii="Book Antiqua" w:eastAsia="Book Antiqua" w:hAnsi="Book Antiqua" w:cs="Book Antiqua"/>
          <w:color w:val="000000"/>
          <w:kern w:val="0"/>
          <w:sz w:val="24"/>
          <w:vertAlign w:val="superscript"/>
          <w:lang w:eastAsia="en-US"/>
          <w14:ligatures w14:val="none"/>
        </w:rPr>
        <w:t>[87,98]</w:t>
      </w:r>
      <w:r w:rsidRPr="00F14E16">
        <w:rPr>
          <w:rFonts w:ascii="Book Antiqua" w:eastAsia="Book Antiqua" w:hAnsi="Book Antiqua" w:cs="Book Antiqua"/>
          <w:color w:val="000000"/>
          <w:kern w:val="0"/>
          <w:sz w:val="24"/>
          <w:lang w:eastAsia="en-US"/>
          <w14:ligatures w14:val="none"/>
        </w:rPr>
        <w:t>. NETs in tumours induce tumour recurrence, enhance tumour migration and invasiveness, and promote tumour cell proliferation</w:t>
      </w:r>
      <w:r w:rsidRPr="00F14E16">
        <w:rPr>
          <w:rFonts w:ascii="Book Antiqua" w:eastAsia="Book Antiqua" w:hAnsi="Book Antiqua" w:cs="Book Antiqua"/>
          <w:color w:val="000000"/>
          <w:kern w:val="0"/>
          <w:sz w:val="24"/>
          <w:vertAlign w:val="superscript"/>
          <w:lang w:eastAsia="en-US"/>
          <w14:ligatures w14:val="none"/>
        </w:rPr>
        <w:t>[99]</w:t>
      </w:r>
      <w:r w:rsidRPr="00F14E16">
        <w:rPr>
          <w:rFonts w:ascii="Book Antiqua" w:eastAsia="Book Antiqua" w:hAnsi="Book Antiqua" w:cs="Book Antiqua"/>
          <w:color w:val="000000"/>
          <w:kern w:val="0"/>
          <w:sz w:val="24"/>
          <w:lang w:eastAsia="en-US"/>
          <w14:ligatures w14:val="none"/>
        </w:rPr>
        <w:t xml:space="preserve">. The interaction between neutrophils and the microbiome is also reflected in PDAC. It was recently reported that </w:t>
      </w:r>
      <w:r w:rsidRPr="00F14E16">
        <w:rPr>
          <w:rFonts w:ascii="Book Antiqua" w:eastAsia="Book Antiqua" w:hAnsi="Book Antiqua" w:cs="Book Antiqua"/>
          <w:i/>
          <w:iCs/>
          <w:color w:val="000000"/>
          <w:kern w:val="0"/>
          <w:sz w:val="24"/>
          <w:lang w:eastAsia="en-US"/>
          <w14:ligatures w14:val="none"/>
        </w:rPr>
        <w:t xml:space="preserve">P. gingivalis </w:t>
      </w:r>
      <w:r w:rsidRPr="00F14E16">
        <w:rPr>
          <w:rFonts w:ascii="Book Antiqua" w:eastAsia="Book Antiqua" w:hAnsi="Book Antiqua" w:cs="Book Antiqua"/>
          <w:color w:val="000000"/>
          <w:kern w:val="0"/>
          <w:sz w:val="24"/>
          <w:lang w:eastAsia="en-US"/>
          <w14:ligatures w14:val="none"/>
        </w:rPr>
        <w:t>promotes the secretion of neutrophil chemokines (CXCL1 and CXCL2) in the TME of PDAC, thereby promoting tumour-associated neutrophil 2 (TAN2) enrichment in the TME</w:t>
      </w:r>
      <w:r w:rsidRPr="00F14E16">
        <w:rPr>
          <w:rFonts w:ascii="Book Antiqua" w:eastAsia="Book Antiqua" w:hAnsi="Book Antiqua" w:cs="Book Antiqua"/>
          <w:color w:val="000000"/>
          <w:kern w:val="0"/>
          <w:sz w:val="24"/>
          <w:vertAlign w:val="superscript"/>
          <w:lang w:eastAsia="en-US"/>
          <w14:ligatures w14:val="none"/>
        </w:rPr>
        <w:t>[25]</w:t>
      </w:r>
      <w:r w:rsidRPr="00F14E16">
        <w:rPr>
          <w:rFonts w:ascii="Book Antiqua" w:eastAsia="Book Antiqua" w:hAnsi="Book Antiqua" w:cs="Book Antiqua"/>
          <w:color w:val="000000"/>
          <w:kern w:val="0"/>
          <w:sz w:val="24"/>
          <w:lang w:eastAsia="en-US"/>
          <w14:ligatures w14:val="none"/>
        </w:rPr>
        <w:t>. In addition, the enrichment of TAN2 and the progression of PDAC can be blocked by CXCR2 inhibitors. In addition, neutrophil elastase (NE) in the TME was observed to be coexpressed with myeloperoxidase, a component of NETs</w:t>
      </w:r>
      <w:r w:rsidRPr="00F14E16">
        <w:rPr>
          <w:rFonts w:ascii="Book Antiqua" w:eastAsia="Book Antiqua" w:hAnsi="Book Antiqua" w:cs="Book Antiqua"/>
          <w:color w:val="000000"/>
          <w:kern w:val="0"/>
          <w:sz w:val="24"/>
          <w:vertAlign w:val="superscript"/>
          <w:lang w:eastAsia="en-US"/>
          <w14:ligatures w14:val="none"/>
        </w:rPr>
        <w:t>[25]</w:t>
      </w:r>
      <w:r w:rsidRPr="00F14E16">
        <w:rPr>
          <w:rFonts w:ascii="Book Antiqua" w:eastAsia="Book Antiqua" w:hAnsi="Book Antiqua" w:cs="Book Antiqua"/>
          <w:color w:val="000000"/>
          <w:kern w:val="0"/>
          <w:sz w:val="24"/>
          <w:lang w:eastAsia="en-US"/>
          <w14:ligatures w14:val="none"/>
        </w:rPr>
        <w:t xml:space="preserve">. However, the mechanism of increased neutrophil-associated chemokines and NE in the PDAC microenvironment caused by intratumour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xml:space="preserve"> is unclear</w:t>
      </w:r>
      <w:r w:rsidRPr="00F14E16">
        <w:rPr>
          <w:rFonts w:ascii="Book Antiqua" w:eastAsia="Book Antiqua" w:hAnsi="Book Antiqua" w:cs="Book Antiqua"/>
          <w:i/>
          <w:iCs/>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t xml:space="preserve">However, the toxicity factors of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lang w:eastAsia="en-US"/>
          <w14:ligatures w14:val="none"/>
        </w:rPr>
        <w:t>, such as gingipains, serine proteases, lipid phosphatases or fimbriae, have been reported to manipulate the immune response of neutrophils in periodontitis</w:t>
      </w:r>
      <w:r w:rsidRPr="00F14E16">
        <w:rPr>
          <w:rFonts w:ascii="Book Antiqua" w:eastAsia="Book Antiqua" w:hAnsi="Book Antiqua" w:cs="Book Antiqua"/>
          <w:color w:val="000000"/>
          <w:kern w:val="0"/>
          <w:sz w:val="24"/>
          <w:vertAlign w:val="superscript"/>
          <w:lang w:eastAsia="en-US"/>
          <w14:ligatures w14:val="none"/>
        </w:rPr>
        <w:t>[100]</w:t>
      </w:r>
      <w:r w:rsidRPr="00F14E16">
        <w:rPr>
          <w:rFonts w:ascii="Book Antiqua" w:eastAsia="Book Antiqua" w:hAnsi="Book Antiqua" w:cs="Book Antiqua"/>
          <w:color w:val="000000"/>
          <w:kern w:val="0"/>
          <w:sz w:val="24"/>
          <w:lang w:eastAsia="en-US"/>
          <w14:ligatures w14:val="none"/>
        </w:rPr>
        <w:t xml:space="preserve">. </w:t>
      </w:r>
    </w:p>
    <w:p w14:paraId="7259819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Group 2 innate lymphoid cells (ILC2s), initially identified as important cells that protect the host from worm infection, also appear to play roles in asthma, inflammation and cancer. It was revealed that ILC2s seem to serve as ”bipartisan politicians” in different tumours, and this feature was also likely exhibited in different immunogenic pancreatic cancers</w:t>
      </w:r>
      <w:r w:rsidRPr="00F14E16">
        <w:rPr>
          <w:rFonts w:ascii="Book Antiqua" w:eastAsia="Book Antiqua" w:hAnsi="Book Antiqua" w:cs="Book Antiqua"/>
          <w:color w:val="000000"/>
          <w:kern w:val="0"/>
          <w:sz w:val="24"/>
          <w:vertAlign w:val="superscript"/>
          <w:lang w:eastAsia="en-US"/>
          <w14:ligatures w14:val="none"/>
        </w:rPr>
        <w:t>[17,101,102]</w:t>
      </w:r>
      <w:r w:rsidRPr="00F14E16">
        <w:rPr>
          <w:rFonts w:ascii="Book Antiqua" w:eastAsia="Book Antiqua" w:hAnsi="Book Antiqua" w:cs="Book Antiqua"/>
          <w:color w:val="000000"/>
          <w:kern w:val="0"/>
          <w:sz w:val="24"/>
          <w:lang w:eastAsia="en-US"/>
          <w14:ligatures w14:val="none"/>
        </w:rPr>
        <w:t>. Kras-mutated PDAC promotes the infiltration of Th2 cells, ILC2 cells and Tregs in the TME through interleukin (IL)-33 secretion mediated by the Kras-MEK-ERK pathway. Meanwhile, intratumour fungi (</w:t>
      </w:r>
      <w:r w:rsidRPr="00F14E16">
        <w:rPr>
          <w:rFonts w:ascii="Book Antiqua" w:eastAsia="Book Antiqua" w:hAnsi="Book Antiqua" w:cs="Book Antiqua"/>
          <w:i/>
          <w:iCs/>
          <w:color w:val="000000"/>
          <w:kern w:val="0"/>
          <w:sz w:val="24"/>
          <w:lang w:eastAsia="en-US"/>
          <w14:ligatures w14:val="none"/>
        </w:rPr>
        <w:t>Malassezia globosa</w:t>
      </w:r>
      <w:r w:rsidRPr="00F14E16">
        <w:rPr>
          <w:rFonts w:ascii="Book Antiqua" w:eastAsia="Book Antiqua" w:hAnsi="Book Antiqua" w:cs="Book Antiqua"/>
          <w:color w:val="000000"/>
          <w:kern w:val="0"/>
          <w:sz w:val="24"/>
          <w:lang w:eastAsia="en-US"/>
          <w14:ligatures w14:val="none"/>
        </w:rPr>
        <w:t xml:space="preserve"> or </w:t>
      </w:r>
      <w:r w:rsidRPr="00F14E16">
        <w:rPr>
          <w:rFonts w:ascii="Book Antiqua" w:eastAsia="Book Antiqua" w:hAnsi="Book Antiqua" w:cs="Book Antiqua"/>
          <w:i/>
          <w:iCs/>
          <w:color w:val="000000"/>
          <w:kern w:val="0"/>
          <w:sz w:val="24"/>
          <w:lang w:eastAsia="en-US"/>
          <w14:ligatures w14:val="none"/>
        </w:rPr>
        <w:t>Alternaria alternata</w:t>
      </w:r>
      <w:r w:rsidRPr="00F14E16">
        <w:rPr>
          <w:rFonts w:ascii="Book Antiqua" w:eastAsia="Book Antiqua" w:hAnsi="Book Antiqua" w:cs="Book Antiqua"/>
          <w:color w:val="000000"/>
          <w:kern w:val="0"/>
          <w:sz w:val="24"/>
          <w:lang w:eastAsia="en-US"/>
          <w14:ligatures w14:val="none"/>
        </w:rPr>
        <w:t>) and their cell-free extracts facilitate IL-33 secretion through activation of the dectin-1 receptor-mediated Src-Syk-CARD9 pathway</w:t>
      </w:r>
      <w:r w:rsidRPr="00F14E16">
        <w:rPr>
          <w:rFonts w:ascii="Book Antiqua" w:eastAsia="Book Antiqua" w:hAnsi="Book Antiqua" w:cs="Book Antiqua"/>
          <w:color w:val="000000"/>
          <w:kern w:val="0"/>
          <w:sz w:val="24"/>
          <w:vertAlign w:val="superscript"/>
          <w:lang w:eastAsia="en-US"/>
          <w14:ligatures w14:val="none"/>
        </w:rPr>
        <w:t>[17]</w:t>
      </w:r>
      <w:r w:rsidRPr="00F14E16">
        <w:rPr>
          <w:rFonts w:ascii="Book Antiqua" w:eastAsia="Book Antiqua" w:hAnsi="Book Antiqua" w:cs="Book Antiqua"/>
          <w:color w:val="000000"/>
          <w:kern w:val="0"/>
          <w:sz w:val="24"/>
          <w:lang w:eastAsia="en-US"/>
          <w14:ligatures w14:val="none"/>
        </w:rPr>
        <w:t>. PDAC infiltrates into tumour-promoting immune cells, including Th2 and ILC2 cells, to contribute to the protumourigenic program through their cytokine networks, leading to PDAC progression</w:t>
      </w:r>
      <w:r w:rsidRPr="00F14E16">
        <w:rPr>
          <w:rFonts w:ascii="Book Antiqua" w:eastAsia="Book Antiqua" w:hAnsi="Book Antiqua" w:cs="Book Antiqua"/>
          <w:color w:val="000000"/>
          <w:kern w:val="0"/>
          <w:sz w:val="24"/>
          <w:vertAlign w:val="superscript"/>
          <w:lang w:eastAsia="en-US"/>
          <w14:ligatures w14:val="none"/>
        </w:rPr>
        <w:t>[103-105]</w:t>
      </w:r>
      <w:r w:rsidRPr="00F14E16">
        <w:rPr>
          <w:rFonts w:ascii="Book Antiqua" w:eastAsia="Book Antiqua" w:hAnsi="Book Antiqua" w:cs="Book Antiqua"/>
          <w:color w:val="000000"/>
          <w:kern w:val="0"/>
          <w:sz w:val="24"/>
          <w:lang w:eastAsia="en-US"/>
          <w14:ligatures w14:val="none"/>
        </w:rPr>
        <w:t>. However, ILC2 cells in PDAC may have opposite effects. From another study, ILC2 was reported to inhibit PDAC tumour progression through the ILC2-CD103</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DC-CD8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T axis</w:t>
      </w:r>
      <w:r w:rsidRPr="00F14E16">
        <w:rPr>
          <w:rFonts w:ascii="Book Antiqua" w:eastAsia="Book Antiqua" w:hAnsi="Book Antiqua" w:cs="Book Antiqua"/>
          <w:color w:val="000000"/>
          <w:kern w:val="0"/>
          <w:sz w:val="24"/>
          <w:vertAlign w:val="superscript"/>
          <w:lang w:eastAsia="en-US"/>
          <w14:ligatures w14:val="none"/>
        </w:rPr>
        <w:t>[102]</w:t>
      </w:r>
      <w:r w:rsidRPr="00F14E16">
        <w:rPr>
          <w:rFonts w:ascii="Book Antiqua" w:eastAsia="Book Antiqua" w:hAnsi="Book Antiqua" w:cs="Book Antiqua"/>
          <w:color w:val="000000"/>
          <w:kern w:val="0"/>
          <w:sz w:val="24"/>
          <w:lang w:eastAsia="en-US"/>
          <w14:ligatures w14:val="none"/>
        </w:rPr>
        <w:t xml:space="preserve">. High/Low TME immunogenicity apparently leads to distinct effects of ILC2 cells in </w:t>
      </w:r>
      <w:r w:rsidRPr="00F14E16">
        <w:rPr>
          <w:rFonts w:ascii="Book Antiqua" w:eastAsia="Book Antiqua" w:hAnsi="Book Antiqua" w:cs="Book Antiqua"/>
          <w:color w:val="000000"/>
          <w:kern w:val="0"/>
          <w:sz w:val="24"/>
          <w:lang w:eastAsia="en-US"/>
          <w14:ligatures w14:val="none"/>
        </w:rPr>
        <w:lastRenderedPageBreak/>
        <w:t>PDAC. In other words, although there are no reports on the inhibition of PDAC by intratumour fungi, the bifacial impact of ILC2 cells in PDAC provides a clue to the antitumour effects of intratumour fungi in PDAC with respect to the pro/inhibitory effects of the intratumour microbiome under different immunogenicities.</w:t>
      </w:r>
    </w:p>
    <w:p w14:paraId="6ECE5AD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spectrum of macrophage activation states in tumour tissues is complicated, and TAMs are typically classified into two categories: M1 classically activated macrophages (TAM1) or M2 alternatively activated macrophages (TAM2)</w:t>
      </w:r>
      <w:r w:rsidRPr="00F14E16">
        <w:rPr>
          <w:rFonts w:ascii="Book Antiqua" w:eastAsia="Book Antiqua" w:hAnsi="Book Antiqua" w:cs="Book Antiqua"/>
          <w:color w:val="000000"/>
          <w:kern w:val="0"/>
          <w:sz w:val="24"/>
          <w:vertAlign w:val="superscript"/>
          <w:lang w:eastAsia="en-US"/>
          <w14:ligatures w14:val="none"/>
        </w:rPr>
        <w:t>[106]</w:t>
      </w:r>
      <w:r w:rsidRPr="00F14E16">
        <w:rPr>
          <w:rFonts w:ascii="Book Antiqua" w:eastAsia="Book Antiqua" w:hAnsi="Book Antiqua" w:cs="Book Antiqua"/>
          <w:color w:val="000000"/>
          <w:kern w:val="0"/>
          <w:sz w:val="24"/>
          <w:lang w:eastAsia="en-US"/>
          <w14:ligatures w14:val="none"/>
        </w:rPr>
        <w:t>. TAM1 promotes tumour remission and the Th1 response by secreting tumour necrosis factor-α</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and IL-12, while TAM2 exhibits an immunosuppressive phenotype and releases cytokines such as IL-4, IL-13, and IL-10 to promote the Th2 response</w:t>
      </w:r>
      <w:r w:rsidRPr="00F14E16">
        <w:rPr>
          <w:rFonts w:ascii="Book Antiqua" w:eastAsia="Book Antiqua" w:hAnsi="Book Antiqua" w:cs="Book Antiqua"/>
          <w:color w:val="000000"/>
          <w:kern w:val="0"/>
          <w:sz w:val="24"/>
          <w:vertAlign w:val="superscript"/>
          <w:lang w:eastAsia="en-US"/>
          <w14:ligatures w14:val="none"/>
        </w:rPr>
        <w:t>[107]</w:t>
      </w:r>
      <w:r w:rsidRPr="00F14E16">
        <w:rPr>
          <w:rFonts w:ascii="Book Antiqua" w:eastAsia="Book Antiqua" w:hAnsi="Book Antiqua" w:cs="Book Antiqua"/>
          <w:color w:val="000000"/>
          <w:kern w:val="0"/>
          <w:sz w:val="24"/>
          <w:lang w:eastAsia="en-US"/>
          <w14:ligatures w14:val="none"/>
        </w:rPr>
        <w:t xml:space="preserve">. A complex mechanism exists for the interaction between the intratumour microbiome and TAMs. Ablation of the microbiota with antibiotics leads to a decrease in TAM2 in KPC mice in situ and a concomitant increase in TAM1. Moreover, cell-free extracts from </w:t>
      </w:r>
      <w:r w:rsidRPr="00F14E16">
        <w:rPr>
          <w:rFonts w:ascii="Book Antiqua" w:eastAsia="Book Antiqua" w:hAnsi="Book Antiqua" w:cs="Book Antiqua"/>
          <w:i/>
          <w:iCs/>
          <w:color w:val="000000"/>
          <w:kern w:val="0"/>
          <w:sz w:val="24"/>
          <w:lang w:eastAsia="en-US"/>
          <w14:ligatures w14:val="none"/>
        </w:rPr>
        <w:t>Bifidobacterium pseudolongum</w:t>
      </w:r>
      <w:r w:rsidRPr="00F14E16">
        <w:rPr>
          <w:rFonts w:ascii="Book Antiqua" w:eastAsia="Book Antiqua" w:hAnsi="Book Antiqua" w:cs="Book Antiqua"/>
          <w:color w:val="000000"/>
          <w:kern w:val="0"/>
          <w:sz w:val="24"/>
          <w:lang w:eastAsia="en-US"/>
          <w14:ligatures w14:val="none"/>
        </w:rPr>
        <w:t>, a member of the PDAC intratumour microbiota, reduced TAM1 polarization and decreased the antigen-presenting ability of TAM1</w:t>
      </w:r>
      <w:r w:rsidRPr="00F14E16">
        <w:rPr>
          <w:rFonts w:ascii="Book Antiqua" w:eastAsia="Book Antiqua" w:hAnsi="Book Antiqua" w:cs="Book Antiqua"/>
          <w:color w:val="000000"/>
          <w:kern w:val="0"/>
          <w:sz w:val="24"/>
          <w:vertAlign w:val="superscript"/>
          <w:lang w:eastAsia="en-US"/>
          <w14:ligatures w14:val="none"/>
        </w:rPr>
        <w:t>[20]</w:t>
      </w:r>
      <w:r w:rsidRPr="00F14E16">
        <w:rPr>
          <w:rFonts w:ascii="Book Antiqua" w:eastAsia="Book Antiqua" w:hAnsi="Book Antiqua" w:cs="Book Antiqua"/>
          <w:color w:val="000000"/>
          <w:kern w:val="0"/>
          <w:sz w:val="24"/>
          <w:lang w:eastAsia="en-US"/>
          <w14:ligatures w14:val="none"/>
        </w:rPr>
        <w:t xml:space="preserve">. TAM2 tumour-promoting efficacy weakens when Toll-like receptor (TLR) signalling is eliminated </w:t>
      </w:r>
      <w:r w:rsidRPr="00F14E16">
        <w:rPr>
          <w:rFonts w:ascii="Book Antiqua" w:eastAsia="Book Antiqua" w:hAnsi="Book Antiqua" w:cs="Book Antiqua"/>
          <w:i/>
          <w:iCs/>
          <w:color w:val="000000"/>
          <w:kern w:val="0"/>
          <w:sz w:val="24"/>
          <w:lang w:eastAsia="en-US"/>
          <w14:ligatures w14:val="none"/>
        </w:rPr>
        <w:t>in vivo</w:t>
      </w:r>
      <w:r w:rsidRPr="00F14E16">
        <w:rPr>
          <w:rFonts w:ascii="Book Antiqua" w:eastAsia="Book Antiqua" w:hAnsi="Book Antiqua" w:cs="Book Antiqua"/>
          <w:color w:val="000000"/>
          <w:kern w:val="0"/>
          <w:sz w:val="24"/>
          <w:lang w:eastAsia="en-US"/>
          <w14:ligatures w14:val="none"/>
        </w:rPr>
        <w:t>. However, the TLR signalling-mediated effects do not seem to be limited to TAMs. According to a separate study, the pro-oncogenic effect of the intratumour microbiome in PDAC probably results partly from TLR4-mediated IL</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1β production in PDAC cells</w:t>
      </w:r>
      <w:r w:rsidRPr="00F14E16">
        <w:rPr>
          <w:rFonts w:ascii="Book Antiqua" w:eastAsia="Book Antiqua" w:hAnsi="Book Antiqua" w:cs="Book Antiqua"/>
          <w:color w:val="000000"/>
          <w:kern w:val="0"/>
          <w:sz w:val="24"/>
          <w:vertAlign w:val="superscript"/>
          <w:lang w:eastAsia="en-US"/>
          <w14:ligatures w14:val="none"/>
        </w:rPr>
        <w:t>[108]</w:t>
      </w:r>
      <w:r w:rsidRPr="00F14E16">
        <w:rPr>
          <w:rFonts w:ascii="Book Antiqua" w:eastAsia="Book Antiqua" w:hAnsi="Book Antiqua" w:cs="Book Antiqua"/>
          <w:color w:val="000000"/>
          <w:kern w:val="0"/>
          <w:sz w:val="24"/>
          <w:lang w:eastAsia="en-US"/>
          <w14:ligatures w14:val="none"/>
        </w:rPr>
        <w:t>. Tumour-derived IL</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1β partially contributes to the upregulation of TAM2 by regulating the activation and secretory phenotype of pancreatic stellate cells. In addition, the concentration of IL</w:t>
      </w:r>
      <w:r w:rsidRPr="00F14E16">
        <w:rPr>
          <w:rFonts w:ascii="Book Antiqua" w:eastAsia="宋体" w:hAnsi="Book Antiqua" w:cs="Book Antiqua" w:hint="eastAsi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1β seems to be positively correlated with the number of bacterial 16S rDNA copies in PDAC and IPMN cyst fluid</w:t>
      </w:r>
      <w:r w:rsidRPr="00F14E16">
        <w:rPr>
          <w:rFonts w:ascii="Book Antiqua" w:eastAsia="Book Antiqua" w:hAnsi="Book Antiqua" w:cs="Book Antiqua"/>
          <w:color w:val="000000"/>
          <w:kern w:val="0"/>
          <w:sz w:val="24"/>
          <w:vertAlign w:val="superscript"/>
          <w:lang w:eastAsia="en-US"/>
          <w14:ligatures w14:val="none"/>
        </w:rPr>
        <w:t>[27]</w:t>
      </w:r>
      <w:r w:rsidRPr="00F14E16">
        <w:rPr>
          <w:rFonts w:ascii="Book Antiqua" w:eastAsia="Book Antiqua" w:hAnsi="Book Antiqua" w:cs="Book Antiqua"/>
          <w:color w:val="000000"/>
          <w:kern w:val="0"/>
          <w:sz w:val="24"/>
          <w:lang w:eastAsia="en-US"/>
          <w14:ligatures w14:val="none"/>
        </w:rPr>
        <w:t xml:space="preserve">. </w:t>
      </w:r>
    </w:p>
    <w:p w14:paraId="7D81058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In regard to adaptive immunity,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 are an essential component. CD8+ T cells are recruited to infiltrate the TME and specifically kill target cells through recognition of antigens presented by MHC class I molecules</w:t>
      </w:r>
      <w:r w:rsidRPr="00F14E16">
        <w:rPr>
          <w:rFonts w:ascii="Book Antiqua" w:eastAsia="Book Antiqua" w:hAnsi="Book Antiqua" w:cs="Book Antiqua"/>
          <w:color w:val="000000"/>
          <w:kern w:val="0"/>
          <w:sz w:val="24"/>
          <w:vertAlign w:val="superscript"/>
          <w:lang w:eastAsia="en-US"/>
          <w14:ligatures w14:val="none"/>
        </w:rPr>
        <w:t>[109]</w:t>
      </w:r>
      <w:r w:rsidRPr="00F14E16">
        <w:rPr>
          <w:rFonts w:ascii="Book Antiqua" w:eastAsia="Book Antiqua" w:hAnsi="Book Antiqua" w:cs="Book Antiqua"/>
          <w:color w:val="000000"/>
          <w:kern w:val="0"/>
          <w:sz w:val="24"/>
          <w:lang w:eastAsia="en-US"/>
          <w14:ligatures w14:val="none"/>
        </w:rPr>
        <w:t>. Antibiotic ablation of the microbiota significantly increased the proportion of intratumour T cells in KPC mice. In parallel, the decrease in the microbiome increased the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:CD4</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T-cell ratio and the number of cytotoxic phenotypic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w:t>
      </w:r>
      <w:r w:rsidRPr="00F14E16">
        <w:rPr>
          <w:rFonts w:ascii="Book Antiqua" w:eastAsia="Book Antiqua" w:hAnsi="Book Antiqua" w:cs="Book Antiqua"/>
          <w:color w:val="000000"/>
          <w:kern w:val="0"/>
          <w:sz w:val="24"/>
          <w:vertAlign w:val="superscript"/>
          <w:lang w:eastAsia="en-US"/>
          <w14:ligatures w14:val="none"/>
        </w:rPr>
        <w:t>[20]</w:t>
      </w:r>
      <w:r w:rsidRPr="00F14E16">
        <w:rPr>
          <w:rFonts w:ascii="Book Antiqua" w:eastAsia="Book Antiqua" w:hAnsi="Book Antiqua" w:cs="Book Antiqua"/>
          <w:color w:val="000000"/>
          <w:kern w:val="0"/>
          <w:sz w:val="24"/>
          <w:lang w:eastAsia="en-US"/>
          <w14:ligatures w14:val="none"/>
        </w:rPr>
        <w:t>. A significant reduction in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 in the TME was observed in PDAC mice gavaged with </w:t>
      </w:r>
      <w:r w:rsidRPr="00F14E16">
        <w:rPr>
          <w:rFonts w:ascii="Book Antiqua" w:eastAsia="Book Antiqua" w:hAnsi="Book Antiqua" w:cs="Book Antiqua"/>
          <w:i/>
          <w:iCs/>
          <w:color w:val="000000"/>
          <w:kern w:val="0"/>
          <w:sz w:val="24"/>
          <w:lang w:eastAsia="en-US"/>
          <w14:ligatures w14:val="none"/>
        </w:rPr>
        <w:t>Alternaria alternata</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P. gingivalis</w:t>
      </w:r>
      <w:r w:rsidRPr="00F14E16">
        <w:rPr>
          <w:rFonts w:ascii="Book Antiqua" w:eastAsia="Book Antiqua" w:hAnsi="Book Antiqua" w:cs="Book Antiqua"/>
          <w:color w:val="000000"/>
          <w:kern w:val="0"/>
          <w:sz w:val="24"/>
          <w:vertAlign w:val="superscript"/>
          <w:lang w:eastAsia="en-US"/>
          <w14:ligatures w14:val="none"/>
        </w:rPr>
        <w:t>[17,25]</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lastRenderedPageBreak/>
        <w:t>However, the effects of the intratumoural microbiome on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 in the TME may be associated with the heterogeneity of the PDAC microbial community. The LTS patients had higher alpha diversity and a higher density of CD3+ and CD8+ T cells than STS patients. Furthermore, the enrichment of </w:t>
      </w:r>
      <w:r w:rsidRPr="00F14E16">
        <w:rPr>
          <w:rFonts w:ascii="Book Antiqua" w:eastAsia="Book Antiqua" w:hAnsi="Book Antiqua" w:cs="Book Antiqua"/>
          <w:i/>
          <w:iCs/>
          <w:color w:val="000000"/>
          <w:kern w:val="0"/>
          <w:sz w:val="24"/>
          <w:lang w:eastAsia="en-US"/>
          <w14:ligatures w14:val="none"/>
        </w:rPr>
        <w:t>Saccharopolyspora</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Pseudoxanthomonas</w:t>
      </w:r>
      <w:r w:rsidRPr="00F14E16">
        <w:rPr>
          <w:rFonts w:ascii="Book Antiqua" w:eastAsia="Book Antiqua" w:hAnsi="Book Antiqua" w:cs="Book Antiqua"/>
          <w:color w:val="000000"/>
          <w:kern w:val="0"/>
          <w:sz w:val="24"/>
          <w:lang w:eastAsia="en-US"/>
          <w14:ligatures w14:val="none"/>
        </w:rPr>
        <w:t xml:space="preserve"> and </w:t>
      </w:r>
      <w:r w:rsidRPr="00F14E16">
        <w:rPr>
          <w:rFonts w:ascii="Book Antiqua" w:eastAsia="Book Antiqua" w:hAnsi="Book Antiqua" w:cs="Book Antiqua"/>
          <w:i/>
          <w:iCs/>
          <w:color w:val="000000"/>
          <w:kern w:val="0"/>
          <w:sz w:val="24"/>
          <w:lang w:eastAsia="en-US"/>
          <w14:ligatures w14:val="none"/>
        </w:rPr>
        <w:t>Streptomyces</w:t>
      </w:r>
      <w:r w:rsidRPr="00F14E16">
        <w:rPr>
          <w:rFonts w:ascii="Book Antiqua" w:eastAsia="Book Antiqua" w:hAnsi="Book Antiqua" w:cs="Book Antiqua"/>
          <w:color w:val="000000"/>
          <w:kern w:val="0"/>
          <w:sz w:val="24"/>
          <w:lang w:eastAsia="en-US"/>
          <w14:ligatures w14:val="none"/>
        </w:rPr>
        <w:t xml:space="preserve"> in LTS patients was positively correlated with CD8</w:t>
      </w:r>
      <w:r w:rsidRPr="00F14E16">
        <w:rPr>
          <w:rFonts w:ascii="Book Antiqua" w:eastAsia="Book Antiqua" w:hAnsi="Book Antiqua" w:cs="Book Antiqua"/>
          <w:color w:val="000000"/>
          <w:kern w:val="0"/>
          <w:sz w:val="24"/>
          <w:vertAlign w:val="superscript"/>
          <w:lang w:eastAsia="en-US"/>
          <w14:ligatures w14:val="none"/>
        </w:rPr>
        <w:t xml:space="preserve">+ </w:t>
      </w:r>
      <w:r w:rsidRPr="00F14E16">
        <w:rPr>
          <w:rFonts w:ascii="Book Antiqua" w:eastAsia="Book Antiqua" w:hAnsi="Book Antiqua" w:cs="Book Antiqua"/>
          <w:color w:val="000000"/>
          <w:kern w:val="0"/>
          <w:sz w:val="24"/>
          <w:lang w:eastAsia="en-US"/>
          <w14:ligatures w14:val="none"/>
        </w:rPr>
        <w:t>T-cell density</w:t>
      </w:r>
      <w:r w:rsidRPr="00F14E16">
        <w:rPr>
          <w:rFonts w:ascii="Book Antiqua" w:eastAsia="Book Antiqua" w:hAnsi="Book Antiqua" w:cs="Book Antiqua"/>
          <w:color w:val="000000"/>
          <w:kern w:val="0"/>
          <w:sz w:val="24"/>
          <w:vertAlign w:val="superscript"/>
          <w:lang w:eastAsia="en-US"/>
          <w14:ligatures w14:val="none"/>
        </w:rPr>
        <w:t>[14]</w:t>
      </w:r>
      <w:r w:rsidRPr="00F14E16">
        <w:rPr>
          <w:rFonts w:ascii="Book Antiqua" w:eastAsia="Book Antiqua" w:hAnsi="Book Antiqua" w:cs="Book Antiqua"/>
          <w:color w:val="000000"/>
          <w:kern w:val="0"/>
          <w:sz w:val="24"/>
          <w:lang w:eastAsia="en-US"/>
          <w14:ligatures w14:val="none"/>
        </w:rPr>
        <w:t>. This may imply that the intratumour microbiome is not just tumour-promoting. The recruitment mechanism of the PDAC intratumour microbiome is still unclear, but it seems that the PDAC ecosystem allows "co-occurrence" of microbiomes that are beneficial to PDAC</w:t>
      </w:r>
      <w:r w:rsidRPr="00F14E16">
        <w:rPr>
          <w:rFonts w:ascii="Book Antiqua" w:eastAsia="Book Antiqua" w:hAnsi="Book Antiqua" w:cs="Book Antiqua"/>
          <w:color w:val="000000"/>
          <w:kern w:val="0"/>
          <w:sz w:val="24"/>
          <w:vertAlign w:val="superscript"/>
          <w:lang w:eastAsia="en-US"/>
          <w14:ligatures w14:val="none"/>
        </w:rPr>
        <w:t>[16]</w:t>
      </w:r>
      <w:r w:rsidRPr="00F14E16">
        <w:rPr>
          <w:rFonts w:ascii="Book Antiqua" w:eastAsia="Book Antiqua" w:hAnsi="Book Antiqua" w:cs="Book Antiqua"/>
          <w:color w:val="000000"/>
          <w:kern w:val="0"/>
          <w:sz w:val="24"/>
          <w:lang w:eastAsia="en-US"/>
          <w14:ligatures w14:val="none"/>
        </w:rPr>
        <w:t xml:space="preserve">. The evidence derived from pancreatic cancer mice with Col1 gene knockout showed reduced </w:t>
      </w:r>
      <w:r w:rsidRPr="00F14E16">
        <w:rPr>
          <w:rFonts w:ascii="Book Antiqua" w:eastAsia="Book Antiqua" w:hAnsi="Book Antiqua" w:cs="Book Antiqua"/>
          <w:i/>
          <w:iCs/>
          <w:color w:val="000000"/>
          <w:kern w:val="0"/>
          <w:sz w:val="24"/>
          <w:lang w:eastAsia="en-US"/>
          <w14:ligatures w14:val="none"/>
        </w:rPr>
        <w:t>Bacteroidales</w:t>
      </w:r>
      <w:r w:rsidRPr="00F14E16">
        <w:rPr>
          <w:rFonts w:ascii="Book Antiqua" w:eastAsia="Book Antiqua" w:hAnsi="Book Antiqua" w:cs="Book Antiqua"/>
          <w:color w:val="000000"/>
          <w:kern w:val="0"/>
          <w:sz w:val="24"/>
          <w:lang w:eastAsia="en-US"/>
          <w14:ligatures w14:val="none"/>
        </w:rPr>
        <w:t xml:space="preserve">, increased </w:t>
      </w:r>
      <w:r w:rsidRPr="00F14E16">
        <w:rPr>
          <w:rFonts w:ascii="Book Antiqua" w:eastAsia="Book Antiqua" w:hAnsi="Book Antiqua" w:cs="Book Antiqua"/>
          <w:i/>
          <w:iCs/>
          <w:color w:val="000000"/>
          <w:kern w:val="0"/>
          <w:sz w:val="24"/>
          <w:lang w:eastAsia="en-US"/>
          <w14:ligatures w14:val="none"/>
        </w:rPr>
        <w:t>Campylobacterales</w:t>
      </w:r>
      <w:r w:rsidRPr="00F14E16">
        <w:rPr>
          <w:rFonts w:ascii="Book Antiqua" w:eastAsia="Book Antiqua" w:hAnsi="Book Antiqua" w:cs="Book Antiqua"/>
          <w:color w:val="000000"/>
          <w:kern w:val="0"/>
          <w:sz w:val="24"/>
          <w:lang w:eastAsia="en-US"/>
          <w14:ligatures w14:val="none"/>
        </w:rPr>
        <w:t xml:space="preserve"> and high infiltration of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 compared to the tumour ecosystem of control mice</w:t>
      </w:r>
      <w:r w:rsidRPr="00F14E16">
        <w:rPr>
          <w:rFonts w:ascii="Book Antiqua" w:eastAsia="Book Antiqua" w:hAnsi="Book Antiqua" w:cs="Book Antiqua"/>
          <w:color w:val="000000"/>
          <w:kern w:val="0"/>
          <w:sz w:val="24"/>
          <w:vertAlign w:val="superscript"/>
          <w:lang w:eastAsia="en-US"/>
          <w14:ligatures w14:val="none"/>
        </w:rPr>
        <w:t>[54]</w:t>
      </w:r>
      <w:r w:rsidRPr="00F14E16">
        <w:rPr>
          <w:rFonts w:ascii="Book Antiqua" w:eastAsia="Book Antiqua" w:hAnsi="Book Antiqua" w:cs="Book Antiqua"/>
          <w:color w:val="000000"/>
          <w:kern w:val="0"/>
          <w:sz w:val="24"/>
          <w:lang w:eastAsia="en-US"/>
          <w14:ligatures w14:val="none"/>
        </w:rPr>
        <w:t>. Knockdown of the Col1 gene resulted in reduced malignancy of PDAC and altered intratumour microbial composition. Meanwhile, the ablation of the microbiome at this time resulted in shorter survival time and reduced infiltration of CD8+ T cells in the TME of the knockout Col1 mice.</w:t>
      </w:r>
    </w:p>
    <w:p w14:paraId="59BE419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In conclusion, complex interactions exist in the intratumour microbiome-immune-pancreatic cancer axis, which may more predominantly act as contributors to PDAC progression by modulating immune tone and thus influencing PDAC progression. However, the impact of the PDAC intratumour microbiome exceeds that of promoting the production of an immunosuppressive TME; depending on the PDAC ecosystem, it may also help to form an immune-promoting TME. At present, problems remain in the study of the PDAC intratumour microbiome: </w:t>
      </w:r>
      <w:r w:rsidRPr="00F14E16">
        <w:rPr>
          <w:rFonts w:ascii="Book Antiqua" w:eastAsia="宋体" w:hAnsi="Book Antiqua" w:cs="Book Antiqua" w:hint="eastAsia"/>
          <w:color w:val="000000"/>
          <w:kern w:val="0"/>
          <w:sz w:val="24"/>
          <w14:ligatures w14:val="none"/>
        </w:rPr>
        <w:t>F</w:t>
      </w:r>
      <w:r w:rsidRPr="00F14E16">
        <w:rPr>
          <w:rFonts w:ascii="Book Antiqua" w:eastAsia="Book Antiqua" w:hAnsi="Book Antiqua" w:cs="Book Antiqua"/>
          <w:color w:val="000000"/>
          <w:kern w:val="0"/>
          <w:sz w:val="24"/>
          <w:lang w:eastAsia="en-US"/>
          <w14:ligatures w14:val="none"/>
        </w:rPr>
        <w:t>or example, the gavage of the microbiome or the oral administration of antibiotics cannot rule out the effects of the gut microbiome in mice</w:t>
      </w:r>
      <w:r w:rsidRPr="00F14E16">
        <w:rPr>
          <w:rFonts w:ascii="Book Antiqua" w:eastAsia="Book Antiqua" w:hAnsi="Book Antiqua" w:cs="Book Antiqua"/>
          <w:color w:val="000000"/>
          <w:kern w:val="0"/>
          <w:sz w:val="24"/>
          <w:vertAlign w:val="superscript"/>
          <w:lang w:eastAsia="en-US"/>
          <w14:ligatures w14:val="none"/>
        </w:rPr>
        <w:t>[22]</w:t>
      </w:r>
      <w:r w:rsidRPr="00F14E16">
        <w:rPr>
          <w:rFonts w:ascii="Book Antiqua" w:eastAsia="Book Antiqua" w:hAnsi="Book Antiqua" w:cs="Book Antiqua"/>
          <w:color w:val="000000"/>
          <w:kern w:val="0"/>
          <w:sz w:val="24"/>
          <w:lang w:eastAsia="en-US"/>
          <w14:ligatures w14:val="none"/>
        </w:rPr>
        <w:t>. Therefore, the mechanisms related to bacteria and fungi in PDAC still need to be further investigated.</w:t>
      </w:r>
    </w:p>
    <w:p w14:paraId="72E7428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2CF10F5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aps/>
          <w:color w:val="000000"/>
          <w:kern w:val="0"/>
          <w:sz w:val="24"/>
          <w:u w:val="single"/>
          <w:lang w:eastAsia="en-US"/>
          <w14:ligatures w14:val="none"/>
        </w:rPr>
        <w:t>The intratumour microbiome and cancer therapy</w:t>
      </w:r>
    </w:p>
    <w:p w14:paraId="36E72B3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i/>
          <w:iCs/>
          <w:color w:val="000000"/>
          <w:kern w:val="0"/>
          <w:sz w:val="24"/>
          <w:lang w:eastAsia="en-US"/>
          <w14:ligatures w14:val="none"/>
        </w:rPr>
        <w:t>Chemotherapy resistance</w:t>
      </w:r>
    </w:p>
    <w:p w14:paraId="5D72B5C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Gemcitabine, the classic chemotherapy regimen for PDAC, is also used in other solid tumours, such as ovarian cancer, bladder cancer and non-small cell lung cancer</w:t>
      </w:r>
      <w:r w:rsidRPr="00F14E16">
        <w:rPr>
          <w:rFonts w:ascii="Book Antiqua" w:eastAsia="Book Antiqua" w:hAnsi="Book Antiqua" w:cs="Book Antiqua"/>
          <w:color w:val="000000"/>
          <w:kern w:val="0"/>
          <w:sz w:val="24"/>
          <w:vertAlign w:val="superscript"/>
          <w:lang w:eastAsia="en-US"/>
          <w14:ligatures w14:val="none"/>
        </w:rPr>
        <w:t>[110-113]</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color w:val="000000"/>
          <w:kern w:val="0"/>
          <w:sz w:val="24"/>
          <w:lang w:eastAsia="en-US"/>
          <w14:ligatures w14:val="none"/>
        </w:rPr>
        <w:lastRenderedPageBreak/>
        <w:t>Gemcitabine is a cytidine analogue for which clearance is mainly due to the rapid and extensive inactivation of its main metabolite, 2',2'-difluorodeoxyuridine, by cytidine deaminase (CDD)</w:t>
      </w:r>
      <w:r w:rsidRPr="00F14E16">
        <w:rPr>
          <w:rFonts w:ascii="Book Antiqua" w:eastAsia="Book Antiqua" w:hAnsi="Book Antiqua" w:cs="Book Antiqua"/>
          <w:color w:val="000000"/>
          <w:kern w:val="0"/>
          <w:sz w:val="24"/>
          <w:vertAlign w:val="superscript"/>
          <w:lang w:eastAsia="en-US"/>
          <w14:ligatures w14:val="none"/>
        </w:rPr>
        <w:t>[110]</w:t>
      </w:r>
      <w:r w:rsidRPr="00F14E16">
        <w:rPr>
          <w:rFonts w:ascii="Book Antiqua" w:eastAsia="Book Antiqua" w:hAnsi="Book Antiqua" w:cs="Book Antiqua"/>
          <w:color w:val="000000"/>
          <w:kern w:val="0"/>
          <w:sz w:val="24"/>
          <w:lang w:eastAsia="en-US"/>
          <w14:ligatures w14:val="none"/>
        </w:rPr>
        <w:t xml:space="preserve">. CDD was recently identified by Geller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[15]</w:t>
      </w:r>
      <w:r w:rsidRPr="00F14E16">
        <w:rPr>
          <w:rFonts w:ascii="Book Antiqua" w:eastAsia="Book Antiqua" w:hAnsi="Book Antiqua" w:cs="Book Antiqua"/>
          <w:color w:val="000000"/>
          <w:kern w:val="0"/>
          <w:sz w:val="24"/>
          <w:lang w:eastAsia="en-US"/>
          <w14:ligatures w14:val="none"/>
        </w:rPr>
        <w:t xml:space="preserve"> as a potential contributor to microbial-induced chemoresistance</w:t>
      </w:r>
      <w:r w:rsidRPr="00F14E16">
        <w:rPr>
          <w:rFonts w:ascii="Book Antiqua" w:eastAsia="Book Antiqua" w:hAnsi="Book Antiqua" w:cs="Book Antiqua"/>
          <w:color w:val="000000"/>
          <w:kern w:val="0"/>
          <w:sz w:val="24"/>
          <w:vertAlign w:val="superscript"/>
          <w:lang w:eastAsia="en-US"/>
          <w14:ligatures w14:val="none"/>
        </w:rPr>
        <w:t>[15]</w:t>
      </w:r>
      <w:r w:rsidRPr="00F14E16">
        <w:rPr>
          <w:rFonts w:ascii="Book Antiqua" w:eastAsia="Book Antiqua" w:hAnsi="Book Antiqua" w:cs="Book Antiqua"/>
          <w:color w:val="000000"/>
          <w:kern w:val="0"/>
          <w:sz w:val="24"/>
          <w:lang w:eastAsia="en-US"/>
          <w14:ligatures w14:val="none"/>
        </w:rPr>
        <w:t>. They classified bacteria according to the length of the bacterial CDD gene into 880-nucleotide-long CDD (CDD</w:t>
      </w:r>
      <w:r w:rsidRPr="00F14E16">
        <w:rPr>
          <w:rFonts w:ascii="Book Antiqua" w:eastAsia="Book Antiqua" w:hAnsi="Book Antiqua" w:cs="Book Antiqua"/>
          <w:color w:val="000000"/>
          <w:kern w:val="0"/>
          <w:sz w:val="24"/>
          <w:vertAlign w:val="subscript"/>
          <w:lang w:eastAsia="en-US"/>
          <w14:ligatures w14:val="none"/>
        </w:rPr>
        <w:t>L</w:t>
      </w:r>
      <w:r w:rsidRPr="00F14E16">
        <w:rPr>
          <w:rFonts w:ascii="Book Antiqua" w:eastAsia="Book Antiqua" w:hAnsi="Book Antiqua" w:cs="Book Antiqua"/>
          <w:color w:val="000000"/>
          <w:kern w:val="0"/>
          <w:sz w:val="24"/>
          <w:lang w:eastAsia="en-US"/>
          <w14:ligatures w14:val="none"/>
        </w:rPr>
        <w:t>), 400-nucleotide-long short form CDD (CDD</w:t>
      </w:r>
      <w:r w:rsidRPr="00F14E16">
        <w:rPr>
          <w:rFonts w:ascii="Book Antiqua" w:eastAsia="Book Antiqua" w:hAnsi="Book Antiqua" w:cs="Book Antiqua"/>
          <w:color w:val="000000"/>
          <w:kern w:val="0"/>
          <w:sz w:val="24"/>
          <w:vertAlign w:val="subscript"/>
          <w:lang w:eastAsia="en-US"/>
          <w14:ligatures w14:val="none"/>
        </w:rPr>
        <w:t>S</w:t>
      </w:r>
      <w:r w:rsidRPr="00F14E16">
        <w:rPr>
          <w:rFonts w:ascii="Book Antiqua" w:eastAsia="Book Antiqua" w:hAnsi="Book Antiqua" w:cs="Book Antiqua"/>
          <w:color w:val="000000"/>
          <w:kern w:val="0"/>
          <w:sz w:val="24"/>
          <w:lang w:eastAsia="en-US"/>
          <w14:ligatures w14:val="none"/>
        </w:rPr>
        <w:t>) and CDD-deficient bacteria. All species expressing CDD</w:t>
      </w:r>
      <w:r w:rsidRPr="00F14E16">
        <w:rPr>
          <w:rFonts w:ascii="Book Antiqua" w:eastAsia="Book Antiqua" w:hAnsi="Book Antiqua" w:cs="Book Antiqua"/>
          <w:color w:val="000000"/>
          <w:kern w:val="0"/>
          <w:sz w:val="24"/>
          <w:vertAlign w:val="subscript"/>
          <w:lang w:eastAsia="en-US"/>
          <w14:ligatures w14:val="none"/>
        </w:rPr>
        <w:t>L</w:t>
      </w:r>
      <w:r w:rsidRPr="00F14E16">
        <w:rPr>
          <w:rFonts w:ascii="Book Antiqua" w:eastAsia="Book Antiqua" w:hAnsi="Book Antiqua" w:cs="Book Antiqua"/>
          <w:color w:val="000000"/>
          <w:kern w:val="0"/>
          <w:sz w:val="24"/>
          <w:lang w:eastAsia="en-US"/>
          <w14:ligatures w14:val="none"/>
        </w:rPr>
        <w:t xml:space="preserve"> were resistant to gemcitabine, whereas only a minority of CDD</w:t>
      </w:r>
      <w:r w:rsidRPr="00F14E16">
        <w:rPr>
          <w:rFonts w:ascii="Book Antiqua" w:eastAsia="Book Antiqua" w:hAnsi="Book Antiqua" w:cs="Book Antiqua"/>
          <w:color w:val="000000"/>
          <w:kern w:val="0"/>
          <w:sz w:val="24"/>
          <w:vertAlign w:val="subscript"/>
          <w:lang w:eastAsia="en-US"/>
          <w14:ligatures w14:val="none"/>
        </w:rPr>
        <w:t>S</w:t>
      </w:r>
      <w:r w:rsidRPr="00F14E16">
        <w:rPr>
          <w:rFonts w:ascii="Book Antiqua" w:eastAsia="Book Antiqua" w:hAnsi="Book Antiqua" w:cs="Book Antiqua"/>
          <w:color w:val="000000"/>
          <w:kern w:val="0"/>
          <w:sz w:val="24"/>
          <w:lang w:eastAsia="en-US"/>
          <w14:ligatures w14:val="none"/>
        </w:rPr>
        <w:t xml:space="preserve"> and CDD-deficient bacteria mediated this effect. </w:t>
      </w:r>
      <w:r w:rsidRPr="00F14E16">
        <w:rPr>
          <w:rFonts w:ascii="Book Antiqua" w:eastAsia="Book Antiqua" w:hAnsi="Book Antiqua" w:cs="Book Antiqua"/>
          <w:i/>
          <w:iCs/>
          <w:color w:val="000000"/>
          <w:kern w:val="0"/>
          <w:sz w:val="24"/>
          <w:lang w:eastAsia="en-US"/>
          <w14:ligatures w14:val="none"/>
        </w:rPr>
        <w:t>In vivo</w:t>
      </w:r>
      <w:r w:rsidRPr="00F14E16">
        <w:rPr>
          <w:rFonts w:ascii="Book Antiqua" w:eastAsia="Book Antiqua" w:hAnsi="Book Antiqua" w:cs="Book Antiqua"/>
          <w:color w:val="000000"/>
          <w:kern w:val="0"/>
          <w:sz w:val="24"/>
          <w:lang w:eastAsia="en-US"/>
          <w14:ligatures w14:val="none"/>
        </w:rPr>
        <w:t xml:space="preserve"> experiments confirmed that CDD</w:t>
      </w:r>
      <w:r w:rsidRPr="00F14E16">
        <w:rPr>
          <w:rFonts w:ascii="Book Antiqua" w:eastAsia="Book Antiqua" w:hAnsi="Book Antiqua" w:cs="Book Antiqua"/>
          <w:color w:val="000000"/>
          <w:kern w:val="0"/>
          <w:sz w:val="24"/>
          <w:vertAlign w:val="subscript"/>
          <w:lang w:eastAsia="en-US"/>
          <w14:ligatures w14:val="none"/>
        </w:rPr>
        <w:t>L</w:t>
      </w:r>
      <w:r w:rsidRPr="00F14E16">
        <w:rPr>
          <w:rFonts w:ascii="Book Antiqua" w:eastAsia="Book Antiqua" w:hAnsi="Book Antiqua" w:cs="Book Antiqua"/>
          <w:color w:val="000000"/>
          <w:kern w:val="0"/>
          <w:sz w:val="24"/>
          <w:lang w:eastAsia="en-US"/>
          <w14:ligatures w14:val="none"/>
        </w:rPr>
        <w:t xml:space="preserve">-expressing </w:t>
      </w:r>
      <w:r w:rsidRPr="00F14E16">
        <w:rPr>
          <w:rFonts w:ascii="Book Antiqua" w:eastAsia="Book Antiqua" w:hAnsi="Book Antiqua" w:cs="Book Antiqua"/>
          <w:i/>
          <w:color w:val="000000"/>
          <w:kern w:val="0"/>
          <w:sz w:val="24"/>
          <w:lang w:eastAsia="en-US"/>
          <w14:ligatures w14:val="none"/>
        </w:rPr>
        <w:t>E. coli</w:t>
      </w:r>
      <w:r w:rsidRPr="00F14E16">
        <w:rPr>
          <w:rFonts w:ascii="Book Antiqua" w:eastAsia="Book Antiqua" w:hAnsi="Book Antiqua" w:cs="Book Antiqua"/>
          <w:color w:val="000000"/>
          <w:kern w:val="0"/>
          <w:sz w:val="24"/>
          <w:lang w:eastAsia="en-US"/>
          <w14:ligatures w14:val="none"/>
        </w:rPr>
        <w:t xml:space="preserve"> increased tumour resistance to gemcitabine. Instead, the combination of gemcitabine and the antibiotic ciprofloxacin impeded resistance to this anticancer drug. Finally, by culturing bacteria from 15 fresh human PDAC tumours, they observed that bacteria from 14 PDAC samples enabled human colon cancer cell lines to become fully resistant to gemcitabine. This bacterial-driven gemcitabine deamination could be restored by exogenous delivery of the CDD inhibitor tetrahydrouridine</w:t>
      </w:r>
      <w:r w:rsidRPr="00F14E16">
        <w:rPr>
          <w:rFonts w:ascii="Book Antiqua" w:eastAsia="Book Antiqua" w:hAnsi="Book Antiqua" w:cs="Book Antiqua"/>
          <w:color w:val="000000"/>
          <w:kern w:val="0"/>
          <w:sz w:val="24"/>
          <w:vertAlign w:val="superscript"/>
          <w:lang w:eastAsia="en-US"/>
          <w14:ligatures w14:val="none"/>
        </w:rPr>
        <w:t>[114]</w:t>
      </w:r>
      <w:r w:rsidRPr="00F14E16">
        <w:rPr>
          <w:rFonts w:ascii="Book Antiqua" w:eastAsia="Book Antiqua" w:hAnsi="Book Antiqua" w:cs="Book Antiqua"/>
          <w:color w:val="000000"/>
          <w:kern w:val="0"/>
          <w:sz w:val="24"/>
          <w:lang w:eastAsia="en-US"/>
          <w14:ligatures w14:val="none"/>
        </w:rPr>
        <w:t xml:space="preserve">. Geller </w:t>
      </w:r>
      <w:r w:rsidRPr="00F14E16">
        <w:rPr>
          <w:rFonts w:ascii="Book Antiqua" w:eastAsia="Book Antiqua" w:hAnsi="Book Antiqua" w:cs="Book Antiqua"/>
          <w:i/>
          <w:iCs/>
          <w:color w:val="000000"/>
          <w:kern w:val="0"/>
          <w:sz w:val="24"/>
          <w:lang w:eastAsia="en-US"/>
          <w14:ligatures w14:val="none"/>
        </w:rPr>
        <w:t>et al</w:t>
      </w:r>
      <w:r w:rsidRPr="00F14E16">
        <w:rPr>
          <w:rFonts w:ascii="Book Antiqua" w:eastAsia="Book Antiqua" w:hAnsi="Book Antiqua" w:cs="Book Antiqua"/>
          <w:color w:val="000000"/>
          <w:kern w:val="0"/>
          <w:sz w:val="24"/>
          <w:vertAlign w:val="superscript"/>
          <w:lang w:eastAsia="en-US"/>
          <w14:ligatures w14:val="none"/>
        </w:rPr>
        <w:t>[15]</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also reported that bacterial suspensions also reduced the efficacy of oxaliplatin; however, this effect was not mediated by CDD. Although the enzyme or bacterial product that mediates oxaliplatin catabolism remains elusive, it is clear that bacteria can confer oxaliplatin resistance to cancer cells in a similar manner</w:t>
      </w:r>
      <w:r w:rsidRPr="00F14E16">
        <w:rPr>
          <w:rFonts w:ascii="Book Antiqua" w:eastAsia="Book Antiqua" w:hAnsi="Book Antiqua" w:cs="Book Antiqua"/>
          <w:color w:val="000000"/>
          <w:kern w:val="0"/>
          <w:sz w:val="24"/>
          <w:vertAlign w:val="superscript"/>
          <w:lang w:eastAsia="en-US"/>
          <w14:ligatures w14:val="none"/>
        </w:rPr>
        <w:t>[15]</w:t>
      </w:r>
      <w:r w:rsidRPr="00F14E16">
        <w:rPr>
          <w:rFonts w:ascii="Book Antiqua" w:eastAsia="Book Antiqua" w:hAnsi="Book Antiqua" w:cs="Book Antiqua"/>
          <w:color w:val="000000"/>
          <w:kern w:val="0"/>
          <w:sz w:val="24"/>
          <w:lang w:eastAsia="en-US"/>
          <w14:ligatures w14:val="none"/>
        </w:rPr>
        <w:t xml:space="preserve">. Nevertheless, </w:t>
      </w:r>
      <w:r w:rsidRPr="00F14E16">
        <w:rPr>
          <w:rFonts w:ascii="Book Antiqua" w:eastAsia="Book Antiqua" w:hAnsi="Book Antiqua" w:cs="Book Antiqua"/>
          <w:i/>
          <w:iCs/>
          <w:color w:val="000000"/>
          <w:kern w:val="0"/>
          <w:sz w:val="24"/>
          <w:lang w:eastAsia="en-US"/>
          <w14:ligatures w14:val="none"/>
        </w:rPr>
        <w:t>Clostridium nucleatum</w:t>
      </w:r>
      <w:r w:rsidRPr="00F14E16">
        <w:rPr>
          <w:rFonts w:ascii="Book Antiqua" w:eastAsia="Book Antiqua" w:hAnsi="Book Antiqua" w:cs="Book Antiqua"/>
          <w:color w:val="000000"/>
          <w:kern w:val="0"/>
          <w:sz w:val="24"/>
          <w:lang w:eastAsia="en-US"/>
          <w14:ligatures w14:val="none"/>
        </w:rPr>
        <w:t xml:space="preserve"> was also revealed to induce resistance to oxaliplatin in colorectal cancer indirectly through the TLR4/MYD88 pathway</w:t>
      </w:r>
      <w:r w:rsidRPr="00F14E16">
        <w:rPr>
          <w:rFonts w:ascii="Book Antiqua" w:eastAsia="Book Antiqua" w:hAnsi="Book Antiqua" w:cs="Book Antiqua"/>
          <w:color w:val="000000"/>
          <w:kern w:val="0"/>
          <w:sz w:val="24"/>
          <w:vertAlign w:val="superscript"/>
          <w:lang w:eastAsia="en-US"/>
          <w14:ligatures w14:val="none"/>
        </w:rPr>
        <w:t>[115]</w:t>
      </w:r>
      <w:r w:rsidRPr="00F14E16">
        <w:rPr>
          <w:rFonts w:ascii="Book Antiqua" w:eastAsia="Book Antiqua" w:hAnsi="Book Antiqua" w:cs="Book Antiqua"/>
          <w:color w:val="000000"/>
          <w:kern w:val="0"/>
          <w:sz w:val="24"/>
          <w:lang w:eastAsia="en-US"/>
          <w14:ligatures w14:val="none"/>
        </w:rPr>
        <w:t xml:space="preserve">. It seems that the application of chemotherapeutic agents also altered the intratumour microbial composition of PDAC patients and affected the efficacy of chemotherapeutic agents. Significantly higher relative abundance of </w:t>
      </w:r>
      <w:r w:rsidRPr="00F14E16">
        <w:rPr>
          <w:rFonts w:ascii="Book Antiqua" w:eastAsia="Book Antiqua" w:hAnsi="Book Antiqua" w:cs="Book Antiqua"/>
          <w:i/>
          <w:iCs/>
          <w:color w:val="000000"/>
          <w:kern w:val="0"/>
          <w:sz w:val="24"/>
          <w:lang w:eastAsia="en-US"/>
          <w14:ligatures w14:val="none"/>
        </w:rPr>
        <w:t>Enterobacteriaceae</w:t>
      </w:r>
      <w:r w:rsidRPr="00F14E16">
        <w:rPr>
          <w:rFonts w:ascii="Book Antiqua" w:eastAsia="Book Antiqua" w:hAnsi="Book Antiqua" w:cs="Book Antiqua"/>
          <w:color w:val="000000"/>
          <w:kern w:val="0"/>
          <w:sz w:val="24"/>
          <w:lang w:eastAsia="en-US"/>
          <w14:ligatures w14:val="none"/>
        </w:rPr>
        <w:t xml:space="preserve"> was observed in samples from patients treated with the combination of gemcitabine and paclitaxel compared to those treated with gemcitabine only and those not receiving neoadjuvant chemotherapy at all</w:t>
      </w:r>
      <w:r w:rsidRPr="00F14E16">
        <w:rPr>
          <w:rFonts w:ascii="Book Antiqua" w:eastAsia="Book Antiqua" w:hAnsi="Book Antiqua" w:cs="Book Antiqua"/>
          <w:color w:val="000000"/>
          <w:kern w:val="0"/>
          <w:sz w:val="24"/>
          <w:vertAlign w:val="superscript"/>
          <w:lang w:eastAsia="en-US"/>
          <w14:ligatures w14:val="none"/>
        </w:rPr>
        <w:t>[26]</w:t>
      </w:r>
      <w:r w:rsidRPr="00F14E16">
        <w:rPr>
          <w:rFonts w:ascii="Book Antiqua" w:eastAsia="Book Antiqua" w:hAnsi="Book Antiqua" w:cs="Book Antiqua"/>
          <w:color w:val="000000"/>
          <w:kern w:val="0"/>
          <w:sz w:val="24"/>
          <w:lang w:eastAsia="en-US"/>
          <w14:ligatures w14:val="none"/>
        </w:rPr>
        <w:t xml:space="preserve">. These </w:t>
      </w:r>
      <w:r w:rsidRPr="00F14E16">
        <w:rPr>
          <w:rFonts w:ascii="Book Antiqua" w:eastAsia="Book Antiqua" w:hAnsi="Book Antiqua" w:cs="Book Antiqua"/>
          <w:i/>
          <w:iCs/>
          <w:color w:val="000000"/>
          <w:kern w:val="0"/>
          <w:sz w:val="24"/>
          <w:lang w:eastAsia="en-US"/>
          <w14:ligatures w14:val="none"/>
        </w:rPr>
        <w:t>Enterobacteriaceae</w:t>
      </w:r>
      <w:r w:rsidRPr="00F14E16">
        <w:rPr>
          <w:rFonts w:ascii="Book Antiqua" w:eastAsia="Book Antiqua" w:hAnsi="Book Antiqua" w:cs="Book Antiqua"/>
          <w:color w:val="000000"/>
          <w:kern w:val="0"/>
          <w:sz w:val="24"/>
          <w:lang w:eastAsia="en-US"/>
          <w14:ligatures w14:val="none"/>
        </w:rPr>
        <w:t xml:space="preserve"> are believed to be associated with chemotherapy resistance. Consequently, there may be various mechanisms involved in the chemotherapy resistance of PDAC with respect to the intratumour microbiome, showing the potential to improve tumour treatment outcomes by influencing the microbiome.</w:t>
      </w:r>
    </w:p>
    <w:p w14:paraId="14B54FD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0AC5BBB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i/>
          <w:iCs/>
          <w:color w:val="000000"/>
          <w:kern w:val="0"/>
          <w:sz w:val="24"/>
          <w:lang w:eastAsia="en-US"/>
          <w14:ligatures w14:val="none"/>
        </w:rPr>
        <w:lastRenderedPageBreak/>
        <w:t>The strategy of applying antibiotics</w:t>
      </w:r>
    </w:p>
    <w:p w14:paraId="5EBDFFB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In preclinical studies, the administration of antibiotics to PDAC mice to ablate the gut and intratumour microbiota of mice achieved inhibition or promotion of tumour progression</w:t>
      </w:r>
      <w:r w:rsidRPr="00F14E16">
        <w:rPr>
          <w:rFonts w:ascii="Book Antiqua" w:eastAsia="Book Antiqua" w:hAnsi="Book Antiqua" w:cs="Book Antiqua"/>
          <w:color w:val="000000"/>
          <w:kern w:val="0"/>
          <w:sz w:val="24"/>
          <w:vertAlign w:val="superscript"/>
          <w:lang w:eastAsia="en-US"/>
          <w14:ligatures w14:val="none"/>
        </w:rPr>
        <w:t>[20,21]</w:t>
      </w:r>
      <w:r w:rsidRPr="00F14E16">
        <w:rPr>
          <w:rFonts w:ascii="Book Antiqua" w:eastAsia="Book Antiqua" w:hAnsi="Book Antiqua" w:cs="Book Antiqua"/>
          <w:color w:val="000000"/>
          <w:kern w:val="0"/>
          <w:sz w:val="24"/>
          <w:lang w:eastAsia="en-US"/>
          <w14:ligatures w14:val="none"/>
        </w:rPr>
        <w:t>. In clinical trials, antibiotic monotherapy seems to improve the prognosis of patients with PDAC. In a retrospective clinical study enrolling 580 patients, patients with metastatic PDAC with a history of antibiotic use beyond 48 h had longer OS and progression-free survival (PFS) than patients with metastatic PDAC who did not use antibiotics but were not dependent on the use of preoperative antibiotics</w:t>
      </w:r>
      <w:r w:rsidRPr="00F14E16">
        <w:rPr>
          <w:rFonts w:ascii="Book Antiqua" w:eastAsia="Book Antiqua" w:hAnsi="Book Antiqua" w:cs="Book Antiqua"/>
          <w:color w:val="000000"/>
          <w:kern w:val="0"/>
          <w:sz w:val="24"/>
          <w:vertAlign w:val="superscript"/>
          <w:lang w:eastAsia="en-US"/>
          <w14:ligatures w14:val="none"/>
        </w:rPr>
        <w:t>[116]</w:t>
      </w:r>
      <w:r w:rsidRPr="00F14E16">
        <w:rPr>
          <w:rFonts w:ascii="Book Antiqua" w:eastAsia="Book Antiqua" w:hAnsi="Book Antiqua" w:cs="Book Antiqua"/>
          <w:color w:val="000000"/>
          <w:kern w:val="0"/>
          <w:sz w:val="24"/>
          <w:lang w:eastAsia="en-US"/>
          <w14:ligatures w14:val="none"/>
        </w:rPr>
        <w:t xml:space="preserve">. However, such an effect may be limited to specific patients. Another study noted that postoperative quinolones improved postoperative survival for patients with positive </w:t>
      </w:r>
      <w:r w:rsidRPr="00F14E16">
        <w:rPr>
          <w:rFonts w:ascii="Book Antiqua" w:eastAsia="Book Antiqua" w:hAnsi="Book Antiqua" w:cs="Book Antiqua"/>
          <w:i/>
          <w:iCs/>
          <w:color w:val="000000"/>
          <w:kern w:val="0"/>
          <w:sz w:val="24"/>
          <w:lang w:eastAsia="en-US"/>
          <w14:ligatures w14:val="none"/>
        </w:rPr>
        <w:t>Klebsiella pneumoniae</w:t>
      </w:r>
      <w:r w:rsidRPr="00F14E16">
        <w:rPr>
          <w:rFonts w:ascii="Book Antiqua" w:eastAsia="Book Antiqua" w:hAnsi="Book Antiqua" w:cs="Book Antiqua"/>
          <w:color w:val="000000"/>
          <w:kern w:val="0"/>
          <w:sz w:val="24"/>
          <w:lang w:eastAsia="en-US"/>
          <w14:ligatures w14:val="none"/>
        </w:rPr>
        <w:t xml:space="preserve"> cultures in the bile but failed to show statistically significant improvement in postoperative survival for patients with negative </w:t>
      </w:r>
      <w:r w:rsidRPr="00F14E16">
        <w:rPr>
          <w:rFonts w:ascii="Book Antiqua" w:eastAsia="Book Antiqua" w:hAnsi="Book Antiqua" w:cs="Book Antiqua"/>
          <w:i/>
          <w:iCs/>
          <w:color w:val="000000"/>
          <w:kern w:val="0"/>
          <w:sz w:val="24"/>
          <w:lang w:eastAsia="en-US"/>
          <w14:ligatures w14:val="none"/>
        </w:rPr>
        <w:t>Klebsiella pneumoniae</w:t>
      </w:r>
      <w:r w:rsidRPr="00F14E16">
        <w:rPr>
          <w:rFonts w:ascii="Book Antiqua" w:eastAsia="Book Antiqua" w:hAnsi="Book Antiqua" w:cs="Book Antiqua"/>
          <w:color w:val="000000"/>
          <w:kern w:val="0"/>
          <w:sz w:val="24"/>
          <w:lang w:eastAsia="en-US"/>
          <w14:ligatures w14:val="none"/>
        </w:rPr>
        <w:t xml:space="preserve"> cultures</w:t>
      </w:r>
      <w:r w:rsidRPr="00F14E16">
        <w:rPr>
          <w:rFonts w:ascii="Book Antiqua" w:eastAsia="Book Antiqua" w:hAnsi="Book Antiqua" w:cs="Book Antiqua"/>
          <w:color w:val="000000"/>
          <w:kern w:val="0"/>
          <w:sz w:val="24"/>
          <w:vertAlign w:val="superscript"/>
          <w:lang w:eastAsia="en-US"/>
          <w14:ligatures w14:val="none"/>
        </w:rPr>
        <w:t>[117]</w:t>
      </w:r>
      <w:r w:rsidRPr="00F14E16">
        <w:rPr>
          <w:rFonts w:ascii="Book Antiqua" w:eastAsia="Book Antiqua" w:hAnsi="Book Antiqua" w:cs="Book Antiqua"/>
          <w:color w:val="000000"/>
          <w:kern w:val="0"/>
          <w:sz w:val="24"/>
          <w:lang w:eastAsia="en-US"/>
          <w14:ligatures w14:val="none"/>
        </w:rPr>
        <w:t xml:space="preserve">. </w:t>
      </w:r>
    </w:p>
    <w:p w14:paraId="3A07F2D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The combination of antibiotics with gemcitabine to reduce microbial-induced chemoresistance seems to be an effective strategy for the treatment of PDAC patients. The combination of antibiotics with gemcitabine improved OS and PFS in patients with metastatic PDAC, and improvement in PFS was observed in patients using FOLFIRINOX in combination with antibiotics</w:t>
      </w:r>
      <w:r w:rsidRPr="00F14E16">
        <w:rPr>
          <w:rFonts w:ascii="Book Antiqua" w:eastAsia="Book Antiqua" w:hAnsi="Book Antiqua" w:cs="Book Antiqua"/>
          <w:color w:val="000000"/>
          <w:kern w:val="0"/>
          <w:sz w:val="24"/>
          <w:vertAlign w:val="superscript"/>
          <w:lang w:eastAsia="en-US"/>
          <w14:ligatures w14:val="none"/>
        </w:rPr>
        <w:t>[116]</w:t>
      </w:r>
      <w:r w:rsidRPr="00F14E16">
        <w:rPr>
          <w:rFonts w:ascii="Book Antiqua" w:eastAsia="Book Antiqua" w:hAnsi="Book Antiqua" w:cs="Book Antiqua"/>
          <w:color w:val="000000"/>
          <w:kern w:val="0"/>
          <w:sz w:val="24"/>
          <w:lang w:eastAsia="en-US"/>
          <w14:ligatures w14:val="none"/>
        </w:rPr>
        <w:t>. Similarly, a retrospective study of 430 patients with PDAC reported that patient treatment with the combination of gemcitabine and antibiotics was more effective than monotherapy with gemcitabine</w:t>
      </w:r>
      <w:r w:rsidRPr="00F14E16">
        <w:rPr>
          <w:rFonts w:ascii="Book Antiqua" w:eastAsia="Book Antiqua" w:hAnsi="Book Antiqua" w:cs="Book Antiqua"/>
          <w:color w:val="000000"/>
          <w:kern w:val="0"/>
          <w:sz w:val="24"/>
          <w:vertAlign w:val="superscript"/>
          <w:lang w:eastAsia="en-US"/>
          <w14:ligatures w14:val="none"/>
        </w:rPr>
        <w:t>[118]</w:t>
      </w:r>
      <w:r w:rsidRPr="00F14E16">
        <w:rPr>
          <w:rFonts w:ascii="Book Antiqua" w:eastAsia="Book Antiqua" w:hAnsi="Book Antiqua" w:cs="Book Antiqua"/>
          <w:color w:val="000000"/>
          <w:kern w:val="0"/>
          <w:sz w:val="24"/>
          <w:lang w:eastAsia="en-US"/>
          <w14:ligatures w14:val="none"/>
        </w:rPr>
        <w:t>. In other words, the combination of antimicrobials with gemcitabine may increase the efficacy of gemcitabine while probably also increasing gastrointestinal and haematological adverse effects. Furthermore, the combination of quinolones with gemcitabine increased the incidence of haematological, gastrointestinal, obesity, and transaminase elevations, while the combination of β-lactam antibiotics with gemcitabine increased the incidence of haematological adverse events</w:t>
      </w:r>
      <w:r w:rsidRPr="00F14E16">
        <w:rPr>
          <w:rFonts w:ascii="Book Antiqua" w:eastAsia="Book Antiqua" w:hAnsi="Book Antiqua" w:cs="Book Antiqua"/>
          <w:color w:val="000000"/>
          <w:kern w:val="0"/>
          <w:sz w:val="24"/>
          <w:vertAlign w:val="superscript"/>
          <w:lang w:eastAsia="en-US"/>
          <w14:ligatures w14:val="none"/>
        </w:rPr>
        <w:t>[118]</w:t>
      </w:r>
      <w:r w:rsidRPr="00F14E16">
        <w:rPr>
          <w:rFonts w:ascii="Book Antiqua" w:eastAsia="Book Antiqua" w:hAnsi="Book Antiqua" w:cs="Book Antiqua"/>
          <w:color w:val="000000"/>
          <w:kern w:val="0"/>
          <w:sz w:val="24"/>
          <w:lang w:eastAsia="en-US"/>
          <w14:ligatures w14:val="none"/>
        </w:rPr>
        <w:t xml:space="preserve">. However, the combination of quinolones with gemcitabine improved PFS in patients with negative </w:t>
      </w:r>
      <w:r w:rsidRPr="00F14E16">
        <w:rPr>
          <w:rFonts w:ascii="Book Antiqua" w:eastAsia="Book Antiqua" w:hAnsi="Book Antiqua" w:cs="Book Antiqua"/>
          <w:i/>
          <w:iCs/>
          <w:color w:val="000000"/>
          <w:kern w:val="0"/>
          <w:sz w:val="24"/>
          <w:lang w:eastAsia="en-US"/>
          <w14:ligatures w14:val="none"/>
        </w:rPr>
        <w:t>Klebsiella pneumoniae</w:t>
      </w:r>
      <w:r w:rsidRPr="00F14E16">
        <w:rPr>
          <w:rFonts w:ascii="Book Antiqua" w:eastAsia="Book Antiqua" w:hAnsi="Book Antiqua" w:cs="Book Antiqua"/>
          <w:color w:val="000000"/>
          <w:kern w:val="0"/>
          <w:sz w:val="24"/>
          <w:lang w:eastAsia="en-US"/>
          <w14:ligatures w14:val="none"/>
        </w:rPr>
        <w:t xml:space="preserve"> bile cultures</w:t>
      </w:r>
      <w:r w:rsidRPr="00F14E16">
        <w:rPr>
          <w:rFonts w:ascii="Book Antiqua" w:eastAsia="Book Antiqua" w:hAnsi="Book Antiqua" w:cs="Book Antiqua"/>
          <w:color w:val="000000"/>
          <w:kern w:val="0"/>
          <w:sz w:val="24"/>
          <w:vertAlign w:val="superscript"/>
          <w:lang w:eastAsia="en-US"/>
          <w14:ligatures w14:val="none"/>
        </w:rPr>
        <w:t>[117]</w:t>
      </w:r>
      <w:r w:rsidRPr="00F14E16">
        <w:rPr>
          <w:rFonts w:ascii="Book Antiqua" w:eastAsia="Book Antiqua" w:hAnsi="Book Antiqua" w:cs="Book Antiqua"/>
          <w:color w:val="000000"/>
          <w:kern w:val="0"/>
          <w:sz w:val="24"/>
          <w:lang w:eastAsia="en-US"/>
          <w14:ligatures w14:val="none"/>
        </w:rPr>
        <w:t xml:space="preserve">. Apart from aggravating the adverse effects of chemotherapeutic drugs, the combination of antibiotics and chemotherapeutic drugs may lead to the development of drug-resistant bacteria and disrupt the commensal relationships of microbiota in the long-term use of </w:t>
      </w:r>
      <w:r w:rsidRPr="00F14E16">
        <w:rPr>
          <w:rFonts w:ascii="Book Antiqua" w:eastAsia="Book Antiqua" w:hAnsi="Book Antiqua" w:cs="Book Antiqua"/>
          <w:color w:val="000000"/>
          <w:kern w:val="0"/>
          <w:sz w:val="24"/>
          <w:lang w:eastAsia="en-US"/>
          <w14:ligatures w14:val="none"/>
        </w:rPr>
        <w:lastRenderedPageBreak/>
        <w:t>antibiotics</w:t>
      </w:r>
      <w:r w:rsidRPr="00F14E16">
        <w:rPr>
          <w:rFonts w:ascii="Book Antiqua" w:eastAsia="Book Antiqua" w:hAnsi="Book Antiqua" w:cs="Book Antiqua"/>
          <w:color w:val="000000"/>
          <w:kern w:val="0"/>
          <w:sz w:val="24"/>
          <w:vertAlign w:val="superscript"/>
          <w:lang w:eastAsia="en-US"/>
          <w14:ligatures w14:val="none"/>
        </w:rPr>
        <w:t>[119]</w:t>
      </w:r>
      <w:r w:rsidRPr="00F14E16">
        <w:rPr>
          <w:rFonts w:ascii="Book Antiqua" w:eastAsia="Book Antiqua" w:hAnsi="Book Antiqua" w:cs="Book Antiqua"/>
          <w:color w:val="000000"/>
          <w:kern w:val="0"/>
          <w:sz w:val="24"/>
          <w:lang w:eastAsia="en-US"/>
          <w14:ligatures w14:val="none"/>
        </w:rPr>
        <w:t>. Research has shown that 7 d of continuous antibiotic use in healthy individuals will perturb gut microbes and require at least 1 year to return to normal</w:t>
      </w:r>
      <w:r w:rsidRPr="00F14E16">
        <w:rPr>
          <w:rFonts w:ascii="Book Antiqua" w:eastAsia="Book Antiqua" w:hAnsi="Book Antiqua" w:cs="Book Antiqua"/>
          <w:color w:val="000000"/>
          <w:kern w:val="0"/>
          <w:sz w:val="24"/>
          <w:vertAlign w:val="superscript"/>
          <w:lang w:eastAsia="en-US"/>
          <w14:ligatures w14:val="none"/>
        </w:rPr>
        <w:t>[120]</w:t>
      </w:r>
      <w:r w:rsidRPr="00F14E16">
        <w:rPr>
          <w:rFonts w:ascii="Book Antiqua" w:eastAsia="Book Antiqua" w:hAnsi="Book Antiqua" w:cs="Book Antiqua"/>
          <w:color w:val="000000"/>
          <w:kern w:val="0"/>
          <w:sz w:val="24"/>
          <w:lang w:eastAsia="en-US"/>
          <w14:ligatures w14:val="none"/>
        </w:rPr>
        <w:t>. Therefore, it is imperative to investigate antibiotic strategies that target microbiota to improve the prognosis of PDAC patients and preserve the beneficial microbiota.</w:t>
      </w:r>
    </w:p>
    <w:p w14:paraId="5DFBD00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Despite the limited efficacy of immunotherapy in PDAC, the significance of the intratumour microbiota in altering the immune tone of PDAC offers new therapeutic options</w:t>
      </w:r>
      <w:r w:rsidRPr="00F14E16">
        <w:rPr>
          <w:rFonts w:ascii="Book Antiqua" w:eastAsia="Book Antiqua" w:hAnsi="Book Antiqua" w:cs="Book Antiqua"/>
          <w:color w:val="000000"/>
          <w:kern w:val="0"/>
          <w:sz w:val="24"/>
          <w:vertAlign w:val="superscript"/>
          <w:lang w:eastAsia="en-US"/>
          <w14:ligatures w14:val="none"/>
        </w:rPr>
        <w:t>[121,122]</w:t>
      </w:r>
      <w:r w:rsidRPr="00F14E16">
        <w:rPr>
          <w:rFonts w:ascii="Book Antiqua" w:eastAsia="Book Antiqua" w:hAnsi="Book Antiqua" w:cs="Book Antiqua"/>
          <w:color w:val="000000"/>
          <w:kern w:val="0"/>
          <w:sz w:val="24"/>
          <w:lang w:eastAsia="en-US"/>
          <w14:ligatures w14:val="none"/>
        </w:rPr>
        <w:t>. The complex relationship between the microbiota and immune regulation within PDAC tumours makes the outcome of antibiotic combination immunotherapy unclear. In a meta-analysis enrolling 2740 cancer patients, antibiotic use was associated with significantly lower OS and PFS in patients treated with immune checkpoint inhibitors</w:t>
      </w:r>
      <w:r w:rsidRPr="00F14E16">
        <w:rPr>
          <w:rFonts w:ascii="Book Antiqua" w:eastAsia="Book Antiqua" w:hAnsi="Book Antiqua" w:cs="Book Antiqua"/>
          <w:color w:val="000000"/>
          <w:kern w:val="0"/>
          <w:sz w:val="24"/>
          <w:vertAlign w:val="superscript"/>
          <w:lang w:eastAsia="en-US"/>
          <w14:ligatures w14:val="none"/>
        </w:rPr>
        <w:t>[123]</w:t>
      </w:r>
      <w:r w:rsidRPr="00F14E16">
        <w:rPr>
          <w:rFonts w:ascii="Book Antiqua" w:eastAsia="Book Antiqua" w:hAnsi="Book Antiqua" w:cs="Book Antiqua"/>
          <w:color w:val="000000"/>
          <w:kern w:val="0"/>
          <w:sz w:val="24"/>
          <w:lang w:eastAsia="en-US"/>
          <w14:ligatures w14:val="none"/>
        </w:rPr>
        <w:t>. Moreover, the modulatory mechanism of the intratumour microbiome on the TME in PDAC may not be dependent on the surviving microbiome. The application of cell-free extracts of microbiota in preclinical studies also achieved the modulation of TME immune tone</w:t>
      </w:r>
      <w:r w:rsidRPr="00F14E16">
        <w:rPr>
          <w:rFonts w:ascii="Book Antiqua" w:eastAsia="Book Antiqua" w:hAnsi="Book Antiqua" w:cs="Book Antiqua"/>
          <w:color w:val="000000"/>
          <w:kern w:val="0"/>
          <w:sz w:val="24"/>
          <w:vertAlign w:val="superscript"/>
          <w:lang w:eastAsia="en-US"/>
          <w14:ligatures w14:val="none"/>
        </w:rPr>
        <w:t>[17,65]</w:t>
      </w:r>
      <w:r w:rsidRPr="00F14E16">
        <w:rPr>
          <w:rFonts w:ascii="Book Antiqua" w:eastAsia="Book Antiqua" w:hAnsi="Book Antiqua" w:cs="Book Antiqua"/>
          <w:color w:val="000000"/>
          <w:kern w:val="0"/>
          <w:sz w:val="24"/>
          <w:lang w:eastAsia="en-US"/>
          <w14:ligatures w14:val="none"/>
        </w:rPr>
        <w:t>. Therefore, the strategy of applying antibiotics in combination with immune checkpoint inhibitors in PDAC also faces some urgent challenges to be solved.</w:t>
      </w:r>
    </w:p>
    <w:p w14:paraId="2068D06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700EA3F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i/>
          <w:iCs/>
          <w:color w:val="000000"/>
          <w:kern w:val="0"/>
          <w:sz w:val="24"/>
          <w:lang w:eastAsia="en-US"/>
          <w14:ligatures w14:val="none"/>
        </w:rPr>
        <w:t>The application of probiotics</w:t>
      </w:r>
    </w:p>
    <w:p w14:paraId="7CB4A08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In view of the access of the PDAC microbiome to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the pancreatic duct, oral administration of probiotics offers a potentially effective strategy. While this strategy needs to be confirmed by clinical trials, the role of the gut/pancreatic microbiome and its metabolites in PDAC has been demonstrated in many preclinical studies. For example, </w:t>
      </w:r>
      <w:r w:rsidRPr="00F14E16">
        <w:rPr>
          <w:rFonts w:ascii="Book Antiqua" w:eastAsia="Book Antiqua" w:hAnsi="Book Antiqua" w:cs="Book Antiqua"/>
          <w:i/>
          <w:iCs/>
          <w:color w:val="000000"/>
          <w:kern w:val="0"/>
          <w:sz w:val="24"/>
          <w:lang w:eastAsia="en-US"/>
          <w14:ligatures w14:val="none"/>
        </w:rPr>
        <w:t>Lactobacillus</w:t>
      </w:r>
      <w:r w:rsidRPr="00F14E16">
        <w:rPr>
          <w:rFonts w:ascii="Book Antiqua" w:eastAsia="Book Antiqua" w:hAnsi="Book Antiqua" w:cs="Book Antiqua"/>
          <w:color w:val="000000"/>
          <w:kern w:val="0"/>
          <w:sz w:val="24"/>
          <w:lang w:eastAsia="en-US"/>
          <w14:ligatures w14:val="none"/>
        </w:rPr>
        <w:t xml:space="preserve"> can decrease the number and grade of pancreatic precancerous lesions, retard the growth of pancreatic cancer cells in Kras mutant mice, and inhibit the EMT process in cancer cells</w:t>
      </w:r>
      <w:r w:rsidRPr="00F14E16">
        <w:rPr>
          <w:rFonts w:ascii="Book Antiqua" w:eastAsia="Book Antiqua" w:hAnsi="Book Antiqua" w:cs="Book Antiqua"/>
          <w:color w:val="000000"/>
          <w:kern w:val="0"/>
          <w:sz w:val="24"/>
          <w:vertAlign w:val="superscript"/>
          <w:lang w:eastAsia="en-US"/>
          <w14:ligatures w14:val="none"/>
        </w:rPr>
        <w:t>[124]</w:t>
      </w:r>
      <w:r w:rsidRPr="00F14E16">
        <w:rPr>
          <w:rFonts w:ascii="Book Antiqua" w:eastAsia="Book Antiqua" w:hAnsi="Book Antiqua" w:cs="Book Antiqua"/>
          <w:color w:val="000000"/>
          <w:kern w:val="0"/>
          <w:sz w:val="24"/>
          <w:lang w:eastAsia="en-US"/>
          <w14:ligatures w14:val="none"/>
        </w:rPr>
        <w:t xml:space="preserve">. Heptelidic acid, a metabolite of the probiotic </w:t>
      </w:r>
      <w:r w:rsidRPr="00F14E16">
        <w:rPr>
          <w:rFonts w:ascii="Book Antiqua" w:eastAsia="Book Antiqua" w:hAnsi="Book Antiqua" w:cs="Book Antiqua"/>
          <w:i/>
          <w:iCs/>
          <w:color w:val="000000"/>
          <w:kern w:val="0"/>
          <w:sz w:val="24"/>
          <w:lang w:eastAsia="en-US"/>
          <w14:ligatures w14:val="none"/>
        </w:rPr>
        <w:t>Aspergillus oryzae</w:t>
      </w:r>
      <w:r w:rsidRPr="00F14E16">
        <w:rPr>
          <w:rFonts w:ascii="Book Antiqua" w:eastAsia="Book Antiqua" w:hAnsi="Book Antiqua" w:cs="Book Antiqua"/>
          <w:color w:val="000000"/>
          <w:kern w:val="0"/>
          <w:sz w:val="24"/>
          <w:lang w:eastAsia="en-US"/>
          <w14:ligatures w14:val="none"/>
        </w:rPr>
        <w:t>, activates the p38 MAPK signalling pathway and induces apoptosis in pancreatic cancer cells</w:t>
      </w:r>
      <w:r w:rsidRPr="00F14E16">
        <w:rPr>
          <w:rFonts w:ascii="Book Antiqua" w:eastAsia="Book Antiqua" w:hAnsi="Book Antiqua" w:cs="Book Antiqua"/>
          <w:color w:val="000000"/>
          <w:kern w:val="0"/>
          <w:sz w:val="24"/>
          <w:vertAlign w:val="superscript"/>
          <w:lang w:eastAsia="en-US"/>
          <w14:ligatures w14:val="none"/>
        </w:rPr>
        <w:t>[125]</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Book Antiqua" w:hAnsi="Book Antiqua" w:cs="Book Antiqua"/>
          <w:i/>
          <w:iCs/>
          <w:color w:val="000000"/>
          <w:kern w:val="0"/>
          <w:sz w:val="24"/>
          <w:lang w:eastAsia="en-US"/>
          <w14:ligatures w14:val="none"/>
        </w:rPr>
        <w:t>Megasphaera</w:t>
      </w:r>
      <w:r w:rsidRPr="00F14E16">
        <w:rPr>
          <w:rFonts w:ascii="Book Antiqua" w:eastAsia="Book Antiqua" w:hAnsi="Book Antiqua" w:cs="Book Antiqua"/>
          <w:color w:val="000000"/>
          <w:kern w:val="0"/>
          <w:sz w:val="24"/>
          <w:lang w:eastAsia="en-US"/>
          <w14:ligatures w14:val="none"/>
        </w:rPr>
        <w:t xml:space="preserve"> and the short-chain fatty acids derived from its metabolism enriched in LTS PDAC patients stimulated macrophage activation </w:t>
      </w:r>
      <w:r w:rsidRPr="00F14E16">
        <w:rPr>
          <w:rFonts w:ascii="Book Antiqua" w:eastAsia="Book Antiqua" w:hAnsi="Book Antiqua" w:cs="Book Antiqua"/>
          <w:i/>
          <w:iCs/>
          <w:color w:val="000000"/>
          <w:kern w:val="0"/>
          <w:sz w:val="24"/>
          <w:lang w:eastAsia="en-US"/>
          <w14:ligatures w14:val="none"/>
        </w:rPr>
        <w:t xml:space="preserve">in vitro </w:t>
      </w:r>
      <w:r w:rsidRPr="00F14E16">
        <w:rPr>
          <w:rFonts w:ascii="Book Antiqua" w:eastAsia="Book Antiqua" w:hAnsi="Book Antiqua" w:cs="Book Antiqua"/>
          <w:color w:val="000000"/>
          <w:kern w:val="0"/>
          <w:sz w:val="24"/>
          <w:lang w:eastAsia="en-US"/>
          <w14:ligatures w14:val="none"/>
        </w:rPr>
        <w:t xml:space="preserve">and improved the efficacy of </w:t>
      </w:r>
      <w:r w:rsidRPr="00F14E16">
        <w:rPr>
          <w:rFonts w:ascii="Book Antiqua" w:eastAsia="Book Antiqua" w:hAnsi="Book Antiqua" w:cs="Book Antiqua" w:hint="eastAsia"/>
          <w:color w:val="000000"/>
          <w:kern w:val="0"/>
          <w:sz w:val="24"/>
          <w:lang w:eastAsia="en-US"/>
          <w14:ligatures w14:val="none"/>
        </w:rPr>
        <w:t>p</w:t>
      </w:r>
      <w:r w:rsidRPr="00F14E16">
        <w:rPr>
          <w:rFonts w:ascii="Book Antiqua" w:eastAsia="Book Antiqua" w:hAnsi="Book Antiqua" w:cs="Book Antiqua"/>
          <w:color w:val="000000"/>
          <w:kern w:val="0"/>
          <w:sz w:val="24"/>
          <w:lang w:eastAsia="en-US"/>
          <w14:ligatures w14:val="none"/>
        </w:rPr>
        <w:t xml:space="preserve">rogrammed cell death protein 1 inhibitors </w:t>
      </w:r>
      <w:r w:rsidRPr="00F14E16">
        <w:rPr>
          <w:rFonts w:ascii="Book Antiqua" w:eastAsia="Book Antiqua" w:hAnsi="Book Antiqua" w:cs="Book Antiqua"/>
          <w:i/>
          <w:iCs/>
          <w:color w:val="000000"/>
          <w:kern w:val="0"/>
          <w:sz w:val="24"/>
          <w:lang w:eastAsia="en-US"/>
          <w14:ligatures w14:val="none"/>
        </w:rPr>
        <w:t>in vivo</w:t>
      </w:r>
      <w:r w:rsidRPr="00F14E16">
        <w:rPr>
          <w:rFonts w:ascii="Book Antiqua" w:eastAsia="Book Antiqua" w:hAnsi="Book Antiqua" w:cs="Book Antiqua"/>
          <w:color w:val="000000"/>
          <w:kern w:val="0"/>
          <w:sz w:val="24"/>
          <w:vertAlign w:val="superscript"/>
          <w:lang w:eastAsia="en-US"/>
          <w14:ligatures w14:val="none"/>
        </w:rPr>
        <w:t>[65]</w:t>
      </w:r>
      <w:r w:rsidRPr="00F14E16">
        <w:rPr>
          <w:rFonts w:ascii="Book Antiqua" w:eastAsia="Book Antiqua" w:hAnsi="Book Antiqua" w:cs="Book Antiqua"/>
          <w:color w:val="000000"/>
          <w:kern w:val="0"/>
          <w:sz w:val="24"/>
          <w:lang w:eastAsia="en-US"/>
          <w14:ligatures w14:val="none"/>
        </w:rPr>
        <w:t xml:space="preserve">. However, the use of probiotics in PDAC is also problematic. Probiotics may not only destroy the ecosystem of </w:t>
      </w:r>
      <w:r w:rsidRPr="00F14E16">
        <w:rPr>
          <w:rFonts w:ascii="Book Antiqua" w:eastAsia="Book Antiqua" w:hAnsi="Book Antiqua" w:cs="Book Antiqua"/>
          <w:color w:val="000000"/>
          <w:kern w:val="0"/>
          <w:sz w:val="24"/>
          <w:lang w:eastAsia="en-US"/>
          <w14:ligatures w14:val="none"/>
        </w:rPr>
        <w:lastRenderedPageBreak/>
        <w:t>innately colonized microbiota but could also hinder the re-establishment of the microbial ecosystem after antibiotic treatment</w:t>
      </w:r>
      <w:r w:rsidRPr="00F14E16">
        <w:rPr>
          <w:rFonts w:ascii="Book Antiqua" w:eastAsia="Book Antiqua" w:hAnsi="Book Antiqua" w:cs="Book Antiqua"/>
          <w:color w:val="000000"/>
          <w:kern w:val="0"/>
          <w:sz w:val="24"/>
          <w:vertAlign w:val="superscript"/>
          <w:lang w:eastAsia="en-US"/>
          <w14:ligatures w14:val="none"/>
        </w:rPr>
        <w:t>[126]</w:t>
      </w:r>
      <w:r w:rsidRPr="00F14E16">
        <w:rPr>
          <w:rFonts w:ascii="Book Antiqua" w:eastAsia="Book Antiqua" w:hAnsi="Book Antiqua" w:cs="Book Antiqua"/>
          <w:color w:val="000000"/>
          <w:kern w:val="0"/>
          <w:sz w:val="24"/>
          <w:lang w:eastAsia="en-US"/>
          <w14:ligatures w14:val="none"/>
        </w:rPr>
        <w:t>. It is also noted that probiotics may induce infections in patients, especially those who suffer from immune deficiency</w:t>
      </w:r>
      <w:r w:rsidRPr="00F14E16">
        <w:rPr>
          <w:rFonts w:ascii="Book Antiqua" w:eastAsia="Book Antiqua" w:hAnsi="Book Antiqua" w:cs="Book Antiqua"/>
          <w:color w:val="000000"/>
          <w:kern w:val="0"/>
          <w:sz w:val="24"/>
          <w:vertAlign w:val="superscript"/>
          <w:lang w:eastAsia="en-US"/>
          <w14:ligatures w14:val="none"/>
        </w:rPr>
        <w:t>[122,127]</w:t>
      </w:r>
      <w:r w:rsidRPr="00F14E16">
        <w:rPr>
          <w:rFonts w:ascii="Book Antiqua" w:eastAsia="Book Antiqua" w:hAnsi="Book Antiqua" w:cs="Book Antiqua"/>
          <w:color w:val="000000"/>
          <w:kern w:val="0"/>
          <w:sz w:val="24"/>
          <w:lang w:eastAsia="en-US"/>
          <w14:ligatures w14:val="none"/>
        </w:rPr>
        <w:t>. Incorporating the once-unappreciated intratumour microbiome into research would provide a good direction to improve the prognosis of pancreatic cancer patients.</w:t>
      </w:r>
    </w:p>
    <w:p w14:paraId="387E5F3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631684A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aps/>
          <w:color w:val="000000"/>
          <w:kern w:val="0"/>
          <w:sz w:val="24"/>
          <w:u w:val="single"/>
          <w:lang w:eastAsia="en-US"/>
          <w14:ligatures w14:val="none"/>
        </w:rPr>
        <w:t>CONCLUSION</w:t>
      </w:r>
    </w:p>
    <w:p w14:paraId="71ED1C0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 xml:space="preserve">In recent years, the field of the intratumour microbiome has provided new insights into the field of oncology. PDAC is a highly malignant tumour, and some of the biological processes in PDAC are tied to the intratumour microbiome. Investigating the causal relationship and molecular interactions between PDAC and the commensal microbes in the TME is expected to provide new ideas for mankind in the conquest of PDAC. In this review, we reveal that the microorganisms within PDAC tissues may originate from the gut and oral cavity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circulation, the lymphatic system, and the gastrointestinal system. The microbial enrichment within PDAC tissues is specific. The PDAC intratumour microbiome is capable of regulating immune tone through immune cells, such as TAMs, TANs and lymphocytes, and the complement system. In addition, targeting the microbiota associated with PDAC has potential clinical applications in the diagnosis and treatment of tumours. Overall, the study of the intratumour microbiome is still at an early stage, and many issues remain to be addressed. For example, the origin and pathways of the intratumour microbiome in PDAC have not been fully explained. The details about the specific intratissue localization of the microbiome and its subcellular localization are unclear. The complex interactions between specific microbiomes and the TME have not been fully revealed. Alternatively, the majority of microbiota appears not to be culturable from tumours in a straightforward manner, limiting the ability to directly utilize intratumour microbiota for studies</w:t>
      </w:r>
      <w:r w:rsidRPr="00F14E16">
        <w:rPr>
          <w:rFonts w:ascii="Book Antiqua" w:eastAsia="Book Antiqua" w:hAnsi="Book Antiqua" w:cs="Book Antiqua"/>
          <w:color w:val="000000"/>
          <w:kern w:val="0"/>
          <w:sz w:val="24"/>
          <w:vertAlign w:val="superscript"/>
          <w:lang w:eastAsia="en-US"/>
          <w14:ligatures w14:val="none"/>
        </w:rPr>
        <w:t>[128]</w:t>
      </w:r>
      <w:r w:rsidRPr="00F14E16">
        <w:rPr>
          <w:rFonts w:ascii="Book Antiqua" w:eastAsia="Book Antiqua" w:hAnsi="Book Antiqua" w:cs="Book Antiqua"/>
          <w:color w:val="000000"/>
          <w:kern w:val="0"/>
          <w:sz w:val="24"/>
          <w:lang w:eastAsia="en-US"/>
          <w14:ligatures w14:val="none"/>
        </w:rPr>
        <w:t xml:space="preserve">. Furthermore, fundamental and clinical research on the association between the intratumour microbiome and genomic mutations in PDAC is still inadequate. However, based on the previously described mechanism by which intratumoural fungi enhance KRAS mutations mediating IL-33 secretion by PDAC, the existence of interactions between genomic alterations in PDAC and intratumoural </w:t>
      </w:r>
      <w:r w:rsidRPr="00F14E16">
        <w:rPr>
          <w:rFonts w:ascii="Book Antiqua" w:eastAsia="Book Antiqua" w:hAnsi="Book Antiqua" w:cs="Book Antiqua"/>
          <w:color w:val="000000"/>
          <w:kern w:val="0"/>
          <w:sz w:val="24"/>
          <w:lang w:eastAsia="en-US"/>
          <w14:ligatures w14:val="none"/>
        </w:rPr>
        <w:lastRenderedPageBreak/>
        <w:t>microbes has been shown</w:t>
      </w:r>
      <w:r w:rsidRPr="00F14E16">
        <w:rPr>
          <w:rFonts w:ascii="Book Antiqua" w:eastAsia="Book Antiqua" w:hAnsi="Book Antiqua" w:cs="Book Antiqua"/>
          <w:color w:val="000000"/>
          <w:kern w:val="0"/>
          <w:sz w:val="24"/>
          <w:vertAlign w:val="superscript"/>
          <w:lang w:eastAsia="en-US"/>
          <w14:ligatures w14:val="none"/>
        </w:rPr>
        <w:t>[17]</w:t>
      </w:r>
      <w:r w:rsidRPr="00F14E16">
        <w:rPr>
          <w:rFonts w:ascii="Book Antiqua" w:eastAsia="Book Antiqua" w:hAnsi="Book Antiqua" w:cs="Book Antiqua"/>
          <w:color w:val="000000"/>
          <w:kern w:val="0"/>
          <w:sz w:val="24"/>
          <w:lang w:eastAsia="en-US"/>
          <w14:ligatures w14:val="none"/>
        </w:rPr>
        <w:t xml:space="preserve">. In addition, current research mainly focuses on intratumoural bacteria and fungi, and there is less research on the interactions between viruses and tumours. An association between </w:t>
      </w:r>
      <w:r w:rsidRPr="00F14E16">
        <w:rPr>
          <w:rFonts w:ascii="Book Antiqua" w:eastAsia="宋体" w:hAnsi="Book Antiqua" w:cs="Book Antiqua" w:hint="eastAsia"/>
          <w:color w:val="000000"/>
          <w:kern w:val="0"/>
          <w:sz w:val="24"/>
          <w14:ligatures w14:val="none"/>
        </w:rPr>
        <w:t>h</w:t>
      </w:r>
      <w:r w:rsidRPr="00F14E16">
        <w:rPr>
          <w:rFonts w:ascii="Book Antiqua" w:eastAsia="Book Antiqua" w:hAnsi="Book Antiqua" w:cs="Book Antiqua"/>
          <w:color w:val="000000"/>
          <w:kern w:val="0"/>
          <w:sz w:val="24"/>
          <w:lang w:eastAsia="en-US"/>
          <w14:ligatures w14:val="none"/>
        </w:rPr>
        <w:t xml:space="preserve">epatitis B </w:t>
      </w:r>
      <w:r w:rsidRPr="00F14E16">
        <w:rPr>
          <w:rFonts w:ascii="Book Antiqua" w:eastAsia="宋体" w:hAnsi="Book Antiqua" w:cs="Book Antiqua" w:hint="eastAsia"/>
          <w:color w:val="000000"/>
          <w:kern w:val="0"/>
          <w:sz w:val="24"/>
          <w14:ligatures w14:val="none"/>
        </w:rPr>
        <w:t>v</w:t>
      </w:r>
      <w:r w:rsidRPr="00F14E16">
        <w:rPr>
          <w:rFonts w:ascii="Book Antiqua" w:eastAsia="Book Antiqua" w:hAnsi="Book Antiqua" w:cs="Book Antiqua"/>
          <w:color w:val="000000"/>
          <w:kern w:val="0"/>
          <w:sz w:val="24"/>
          <w:lang w:eastAsia="en-US"/>
          <w14:ligatures w14:val="none"/>
        </w:rPr>
        <w:t xml:space="preserve">irus (HBV) and </w:t>
      </w:r>
      <w:r w:rsidRPr="00F14E16">
        <w:rPr>
          <w:rFonts w:ascii="Book Antiqua" w:eastAsia="宋体" w:hAnsi="Book Antiqua" w:cs="Book Antiqua" w:hint="eastAsia"/>
          <w:color w:val="000000"/>
          <w:kern w:val="0"/>
          <w:sz w:val="24"/>
          <w14:ligatures w14:val="none"/>
        </w:rPr>
        <w:t>h</w:t>
      </w:r>
      <w:r w:rsidRPr="00F14E16">
        <w:rPr>
          <w:rFonts w:ascii="Book Antiqua" w:eastAsia="Book Antiqua" w:hAnsi="Book Antiqua" w:cs="Book Antiqua"/>
          <w:color w:val="000000"/>
          <w:kern w:val="0"/>
          <w:sz w:val="24"/>
          <w:lang w:eastAsia="en-US"/>
          <w14:ligatures w14:val="none"/>
        </w:rPr>
        <w:t xml:space="preserve">epatitis </w:t>
      </w:r>
      <w:r w:rsidRPr="00F14E16">
        <w:rPr>
          <w:rFonts w:ascii="Book Antiqua" w:eastAsia="宋体" w:hAnsi="Book Antiqua" w:cs="Book Antiqua" w:hint="eastAsia"/>
          <w:color w:val="000000"/>
          <w:kern w:val="0"/>
          <w:sz w:val="24"/>
          <w14:ligatures w14:val="none"/>
        </w:rPr>
        <w:t>C</w:t>
      </w:r>
      <w:r w:rsidRPr="00F14E16">
        <w:rPr>
          <w:rFonts w:ascii="Book Antiqua" w:eastAsia="Book Antiqua" w:hAnsi="Book Antiqua" w:cs="Book Antiqua"/>
          <w:color w:val="000000"/>
          <w:kern w:val="0"/>
          <w:sz w:val="24"/>
          <w:lang w:eastAsia="en-US"/>
          <w14:ligatures w14:val="none"/>
        </w:rPr>
        <w:t xml:space="preserve"> </w:t>
      </w:r>
      <w:r w:rsidRPr="00F14E16">
        <w:rPr>
          <w:rFonts w:ascii="Book Antiqua" w:eastAsia="宋体" w:hAnsi="Book Antiqua" w:cs="Book Antiqua" w:hint="eastAsia"/>
          <w:color w:val="000000"/>
          <w:kern w:val="0"/>
          <w:sz w:val="24"/>
          <w14:ligatures w14:val="none"/>
        </w:rPr>
        <w:t>v</w:t>
      </w:r>
      <w:r w:rsidRPr="00F14E16">
        <w:rPr>
          <w:rFonts w:ascii="Book Antiqua" w:eastAsia="Book Antiqua" w:hAnsi="Book Antiqua" w:cs="Book Antiqua"/>
          <w:color w:val="000000"/>
          <w:kern w:val="0"/>
          <w:sz w:val="24"/>
          <w:lang w:eastAsia="en-US"/>
          <w14:ligatures w14:val="none"/>
        </w:rPr>
        <w:t>irus and PDAC risk has been shown, and HBV expression can be found in PDAC tissue</w:t>
      </w:r>
      <w:r w:rsidRPr="00F14E16">
        <w:rPr>
          <w:rFonts w:ascii="Book Antiqua" w:eastAsia="Book Antiqua" w:hAnsi="Book Antiqua" w:cs="Book Antiqua"/>
          <w:color w:val="000000"/>
          <w:kern w:val="0"/>
          <w:sz w:val="24"/>
          <w:vertAlign w:val="superscript"/>
          <w:lang w:eastAsia="en-US"/>
          <w14:ligatures w14:val="none"/>
        </w:rPr>
        <w:t>[129,130]</w:t>
      </w:r>
      <w:r w:rsidRPr="00F14E16">
        <w:rPr>
          <w:rFonts w:ascii="Book Antiqua" w:eastAsia="Book Antiqua" w:hAnsi="Book Antiqua" w:cs="Book Antiqua"/>
          <w:color w:val="000000"/>
          <w:kern w:val="0"/>
          <w:sz w:val="24"/>
          <w:lang w:eastAsia="en-US"/>
          <w14:ligatures w14:val="none"/>
        </w:rPr>
        <w:t xml:space="preserve">. </w:t>
      </w:r>
    </w:p>
    <w:p w14:paraId="3058BB9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In the future, it is essential to investigate the causal relationship between PDAC and intratumoural microbial interactions and to use more advanced technologies, such as single-cell sequencing, for related research. Furthermore, KRAS mutations are a major burden in the conversion of pancreatic precancerous lesions to PDAC; thus, the relevance of KRAS mutations in the intratumour microbiome of PDAC needs further investigation</w:t>
      </w:r>
      <w:r w:rsidRPr="00F14E16">
        <w:rPr>
          <w:rFonts w:ascii="Book Antiqua" w:eastAsia="Book Antiqua" w:hAnsi="Book Antiqua" w:cs="Book Antiqua"/>
          <w:color w:val="000000"/>
          <w:kern w:val="0"/>
          <w:sz w:val="24"/>
          <w:vertAlign w:val="superscript"/>
          <w:lang w:eastAsia="en-US"/>
          <w14:ligatures w14:val="none"/>
        </w:rPr>
        <w:t>[131]</w:t>
      </w:r>
      <w:r w:rsidRPr="00F14E16">
        <w:rPr>
          <w:rFonts w:ascii="Book Antiqua" w:eastAsia="Book Antiqua" w:hAnsi="Book Antiqua" w:cs="Book Antiqua"/>
          <w:color w:val="000000"/>
          <w:kern w:val="0"/>
          <w:sz w:val="24"/>
          <w:lang w:eastAsia="en-US"/>
          <w14:ligatures w14:val="none"/>
        </w:rPr>
        <w:t>.</w:t>
      </w:r>
      <w:r w:rsidRPr="00F14E16">
        <w:rPr>
          <w:rFonts w:ascii="Book Antiqua" w:eastAsia="宋体" w:hAnsi="Book Antiqua" w:cs="Book Antiqua" w:hint="eastAsi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Additionally, the mechanisms of virus</w:t>
      </w:r>
      <w:r w:rsidRPr="00F14E16">
        <w:rPr>
          <w:rFonts w:ascii="Book Antiqua" w:eastAsia="宋体" w:hAnsi="Book Antiqua" w:cs="Times New Roman"/>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host interactions are still not available, and it is essential to investigate the mechanisms associated with viruses in tumours to improve the theoretical system of tumour microbiology. Finally, a more precise and personalized application of antibiotics or probiotics to improve chemoresistance and immunotherapy in PDAC patients is a huge challenge. Thus, more sophisticated and effective clinical trials are required in the future to identify such potentially beneficial patients and improve their prognosis. </w:t>
      </w:r>
    </w:p>
    <w:p w14:paraId="5722611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5CF4384D" w14:textId="77777777" w:rsidR="00F14E16" w:rsidRPr="00F14E16" w:rsidRDefault="00F14E16" w:rsidP="00F14E16">
      <w:pPr>
        <w:widowControl/>
        <w:spacing w:line="360" w:lineRule="auto"/>
        <w:rPr>
          <w:rFonts w:ascii="Book Antiqua" w:eastAsia="宋体" w:hAnsi="Book Antiqua" w:cs="Book Antiqua"/>
          <w:b/>
          <w:color w:val="000000"/>
          <w:kern w:val="0"/>
          <w:sz w:val="24"/>
          <w14:ligatures w14:val="none"/>
        </w:rPr>
      </w:pPr>
      <w:r w:rsidRPr="00F14E16">
        <w:rPr>
          <w:rFonts w:ascii="Book Antiqua" w:eastAsia="Book Antiqua" w:hAnsi="Book Antiqua" w:cs="Book Antiqua"/>
          <w:b/>
          <w:color w:val="000000"/>
          <w:kern w:val="0"/>
          <w:sz w:val="24"/>
          <w:lang w:eastAsia="en-US"/>
          <w14:ligatures w14:val="none"/>
        </w:rPr>
        <w:t>REFERENCES</w:t>
      </w:r>
    </w:p>
    <w:p w14:paraId="2020C69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 </w:t>
      </w:r>
      <w:r w:rsidRPr="00F14E16">
        <w:rPr>
          <w:rFonts w:ascii="Book Antiqua" w:eastAsia="宋体" w:hAnsi="Book Antiqua" w:cs="Times New Roman"/>
          <w:b/>
          <w:bCs/>
          <w:kern w:val="0"/>
          <w:sz w:val="24"/>
          <w:lang w:eastAsia="en-US"/>
          <w14:ligatures w14:val="none"/>
        </w:rPr>
        <w:t>Park W</w:t>
      </w:r>
      <w:r w:rsidRPr="00F14E16">
        <w:rPr>
          <w:rFonts w:ascii="Book Antiqua" w:eastAsia="宋体" w:hAnsi="Book Antiqua" w:cs="Times New Roman"/>
          <w:kern w:val="0"/>
          <w:sz w:val="24"/>
          <w:lang w:eastAsia="en-US"/>
          <w14:ligatures w14:val="none"/>
        </w:rPr>
        <w:t xml:space="preserve">, Chawla A, O'Reilly EM. Pancreatic Cancer: A Review. </w:t>
      </w:r>
      <w:r w:rsidRPr="00F14E16">
        <w:rPr>
          <w:rFonts w:ascii="Book Antiqua" w:eastAsia="宋体" w:hAnsi="Book Antiqua" w:cs="Times New Roman"/>
          <w:i/>
          <w:iCs/>
          <w:kern w:val="0"/>
          <w:sz w:val="24"/>
          <w:lang w:eastAsia="en-US"/>
          <w14:ligatures w14:val="none"/>
        </w:rPr>
        <w:t>JAMA</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326</w:t>
      </w:r>
      <w:r w:rsidRPr="00F14E16">
        <w:rPr>
          <w:rFonts w:ascii="Book Antiqua" w:eastAsia="宋体" w:hAnsi="Book Antiqua" w:cs="Times New Roman"/>
          <w:kern w:val="0"/>
          <w:sz w:val="24"/>
          <w:lang w:eastAsia="en-US"/>
          <w14:ligatures w14:val="none"/>
        </w:rPr>
        <w:t>: 851-862 [PMID: 34547082 DOI: 10.1001/jama.2021.13027]</w:t>
      </w:r>
    </w:p>
    <w:p w14:paraId="246FD99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 </w:t>
      </w:r>
      <w:r w:rsidRPr="00F14E16">
        <w:rPr>
          <w:rFonts w:ascii="Book Antiqua" w:eastAsia="宋体" w:hAnsi="Book Antiqua" w:cs="Times New Roman"/>
          <w:b/>
          <w:bCs/>
          <w:kern w:val="0"/>
          <w:sz w:val="24"/>
          <w:lang w:eastAsia="en-US"/>
          <w14:ligatures w14:val="none"/>
        </w:rPr>
        <w:t>Mizrahi JD</w:t>
      </w:r>
      <w:r w:rsidRPr="00F14E16">
        <w:rPr>
          <w:rFonts w:ascii="Book Antiqua" w:eastAsia="宋体" w:hAnsi="Book Antiqua" w:cs="Times New Roman"/>
          <w:kern w:val="0"/>
          <w:sz w:val="24"/>
          <w:lang w:eastAsia="en-US"/>
          <w14:ligatures w14:val="none"/>
        </w:rPr>
        <w:t xml:space="preserve">, Surana R, Valle JW, Shroff RT. Pancreatic cancer. </w:t>
      </w:r>
      <w:r w:rsidRPr="00F14E16">
        <w:rPr>
          <w:rFonts w:ascii="Book Antiqua" w:eastAsia="宋体" w:hAnsi="Book Antiqua" w:cs="Times New Roman"/>
          <w:i/>
          <w:iCs/>
          <w:kern w:val="0"/>
          <w:sz w:val="24"/>
          <w:lang w:eastAsia="en-US"/>
          <w14:ligatures w14:val="none"/>
        </w:rPr>
        <w:t>Lancet</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395</w:t>
      </w:r>
      <w:r w:rsidRPr="00F14E16">
        <w:rPr>
          <w:rFonts w:ascii="Book Antiqua" w:eastAsia="宋体" w:hAnsi="Book Antiqua" w:cs="Times New Roman"/>
          <w:kern w:val="0"/>
          <w:sz w:val="24"/>
          <w:lang w:eastAsia="en-US"/>
          <w14:ligatures w14:val="none"/>
        </w:rPr>
        <w:t>: 2008-2020 [PMID: 32593337 DOI: 10.1016/S0140-6736(20)30974-0]</w:t>
      </w:r>
    </w:p>
    <w:p w14:paraId="71FC237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 </w:t>
      </w:r>
      <w:r w:rsidRPr="00F14E16">
        <w:rPr>
          <w:rFonts w:ascii="Book Antiqua" w:eastAsia="宋体" w:hAnsi="Book Antiqua" w:cs="Times New Roman"/>
          <w:b/>
          <w:bCs/>
          <w:kern w:val="0"/>
          <w:sz w:val="24"/>
          <w:lang w:eastAsia="en-US"/>
          <w14:ligatures w14:val="none"/>
        </w:rPr>
        <w:t>Koh A</w:t>
      </w:r>
      <w:r w:rsidRPr="00F14E16">
        <w:rPr>
          <w:rFonts w:ascii="Book Antiqua" w:eastAsia="宋体" w:hAnsi="Book Antiqua" w:cs="Times New Roman"/>
          <w:kern w:val="0"/>
          <w:sz w:val="24"/>
          <w:lang w:eastAsia="en-US"/>
          <w14:ligatures w14:val="none"/>
        </w:rPr>
        <w:t xml:space="preserve">, De Vadder F, Kovatcheva-Datchary P, Bäckhed F. From Dietary Fiber to Host Physiology: Short-Chain Fatty Acids as Key Bacterial Metabolites.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165</w:t>
      </w:r>
      <w:r w:rsidRPr="00F14E16">
        <w:rPr>
          <w:rFonts w:ascii="Book Antiqua" w:eastAsia="宋体" w:hAnsi="Book Antiqua" w:cs="Times New Roman"/>
          <w:kern w:val="0"/>
          <w:sz w:val="24"/>
          <w:lang w:eastAsia="en-US"/>
          <w14:ligatures w14:val="none"/>
        </w:rPr>
        <w:t>: 1332-1345 [PMID: 27259147 DOI: 10.1016/j.cell.2016.05.041]</w:t>
      </w:r>
    </w:p>
    <w:p w14:paraId="70E883D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 </w:t>
      </w:r>
      <w:r w:rsidRPr="00F14E16">
        <w:rPr>
          <w:rFonts w:ascii="Book Antiqua" w:eastAsia="宋体" w:hAnsi="Book Antiqua" w:cs="Times New Roman"/>
          <w:b/>
          <w:bCs/>
          <w:kern w:val="0"/>
          <w:sz w:val="24"/>
          <w:lang w:eastAsia="en-US"/>
          <w14:ligatures w14:val="none"/>
        </w:rPr>
        <w:t>Wang Y</w:t>
      </w:r>
      <w:r w:rsidRPr="00F14E16">
        <w:rPr>
          <w:rFonts w:ascii="Book Antiqua" w:eastAsia="宋体" w:hAnsi="Book Antiqua" w:cs="Times New Roman"/>
          <w:kern w:val="0"/>
          <w:sz w:val="24"/>
          <w:lang w:eastAsia="en-US"/>
          <w14:ligatures w14:val="none"/>
        </w:rPr>
        <w:t xml:space="preserve">, Du J, Wu X, Abdelrehem A, Ren Y, Liu C, Zhou X, Wang S. Crosstalk between autophagy and microbiota in cancer progression. </w:t>
      </w:r>
      <w:r w:rsidRPr="00F14E16">
        <w:rPr>
          <w:rFonts w:ascii="Book Antiqua" w:eastAsia="宋体" w:hAnsi="Book Antiqua" w:cs="Times New Roman"/>
          <w:i/>
          <w:iCs/>
          <w:kern w:val="0"/>
          <w:sz w:val="24"/>
          <w:lang w:eastAsia="en-US"/>
          <w14:ligatures w14:val="none"/>
        </w:rPr>
        <w:t>Mol Cancer</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20</w:t>
      </w:r>
      <w:r w:rsidRPr="00F14E16">
        <w:rPr>
          <w:rFonts w:ascii="Book Antiqua" w:eastAsia="宋体" w:hAnsi="Book Antiqua" w:cs="Times New Roman"/>
          <w:kern w:val="0"/>
          <w:sz w:val="24"/>
          <w:lang w:eastAsia="en-US"/>
          <w14:ligatures w14:val="none"/>
        </w:rPr>
        <w:t>: 163 [PMID: 34895252 DOI: 10.1186/s12943-021-01461-0]</w:t>
      </w:r>
    </w:p>
    <w:p w14:paraId="231778A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5 </w:t>
      </w:r>
      <w:r w:rsidRPr="00F14E16">
        <w:rPr>
          <w:rFonts w:ascii="Book Antiqua" w:eastAsia="宋体" w:hAnsi="Book Antiqua" w:cs="Times New Roman"/>
          <w:b/>
          <w:bCs/>
          <w:kern w:val="0"/>
          <w:sz w:val="24"/>
          <w:lang w:eastAsia="en-US"/>
          <w14:ligatures w14:val="none"/>
        </w:rPr>
        <w:t>Tilg H</w:t>
      </w:r>
      <w:r w:rsidRPr="00F14E16">
        <w:rPr>
          <w:rFonts w:ascii="Book Antiqua" w:eastAsia="宋体" w:hAnsi="Book Antiqua" w:cs="Times New Roman"/>
          <w:kern w:val="0"/>
          <w:sz w:val="24"/>
          <w:lang w:eastAsia="en-US"/>
          <w14:ligatures w14:val="none"/>
        </w:rPr>
        <w:t xml:space="preserve">, Zmora N, Adolph TE, Elinav E. The intestinal microbiota fuelling metabolic inflammation. </w:t>
      </w:r>
      <w:r w:rsidRPr="00F14E16">
        <w:rPr>
          <w:rFonts w:ascii="Book Antiqua" w:eastAsia="宋体" w:hAnsi="Book Antiqua" w:cs="Times New Roman"/>
          <w:i/>
          <w:iCs/>
          <w:kern w:val="0"/>
          <w:sz w:val="24"/>
          <w:lang w:eastAsia="en-US"/>
          <w14:ligatures w14:val="none"/>
        </w:rPr>
        <w:t>Nat Rev Immunol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20</w:t>
      </w:r>
      <w:r w:rsidRPr="00F14E16">
        <w:rPr>
          <w:rFonts w:ascii="Book Antiqua" w:eastAsia="宋体" w:hAnsi="Book Antiqua" w:cs="Times New Roman"/>
          <w:kern w:val="0"/>
          <w:sz w:val="24"/>
          <w:lang w:eastAsia="en-US"/>
          <w14:ligatures w14:val="none"/>
        </w:rPr>
        <w:t>: 40-54 [PMID: 31388093 DOI: 10.1038/s41577-019-0198-4]</w:t>
      </w:r>
    </w:p>
    <w:p w14:paraId="567C372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 </w:t>
      </w:r>
      <w:r w:rsidRPr="00F14E16">
        <w:rPr>
          <w:rFonts w:ascii="Book Antiqua" w:eastAsia="宋体" w:hAnsi="Book Antiqua" w:cs="Times New Roman"/>
          <w:b/>
          <w:bCs/>
          <w:kern w:val="0"/>
          <w:sz w:val="24"/>
          <w:lang w:eastAsia="en-US"/>
          <w14:ligatures w14:val="none"/>
        </w:rPr>
        <w:t>Shi N</w:t>
      </w:r>
      <w:r w:rsidRPr="00F14E16">
        <w:rPr>
          <w:rFonts w:ascii="Book Antiqua" w:eastAsia="宋体" w:hAnsi="Book Antiqua" w:cs="Times New Roman"/>
          <w:kern w:val="0"/>
          <w:sz w:val="24"/>
          <w:lang w:eastAsia="en-US"/>
          <w14:ligatures w14:val="none"/>
        </w:rPr>
        <w:t xml:space="preserve">, Li N, Duan X, Niu H. Interaction between the gut microbiome and mucosal immune system. </w:t>
      </w:r>
      <w:r w:rsidRPr="00F14E16">
        <w:rPr>
          <w:rFonts w:ascii="Book Antiqua" w:eastAsia="宋体" w:hAnsi="Book Antiqua" w:cs="Times New Roman"/>
          <w:i/>
          <w:iCs/>
          <w:kern w:val="0"/>
          <w:sz w:val="24"/>
          <w:lang w:eastAsia="en-US"/>
          <w14:ligatures w14:val="none"/>
        </w:rPr>
        <w:t>Mil Med Res</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4</w:t>
      </w:r>
      <w:r w:rsidRPr="00F14E16">
        <w:rPr>
          <w:rFonts w:ascii="Book Antiqua" w:eastAsia="宋体" w:hAnsi="Book Antiqua" w:cs="Times New Roman"/>
          <w:kern w:val="0"/>
          <w:sz w:val="24"/>
          <w:lang w:eastAsia="en-US"/>
          <w14:ligatures w14:val="none"/>
        </w:rPr>
        <w:t>: 14 [PMID: 28465831 DOI: 10.1186/s40779-017-0122-9]</w:t>
      </w:r>
    </w:p>
    <w:p w14:paraId="765D55A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 </w:t>
      </w:r>
      <w:r w:rsidRPr="00F14E16">
        <w:rPr>
          <w:rFonts w:ascii="Book Antiqua" w:eastAsia="宋体" w:hAnsi="Book Antiqua" w:cs="Times New Roman"/>
          <w:b/>
          <w:bCs/>
          <w:kern w:val="0"/>
          <w:sz w:val="24"/>
          <w:lang w:eastAsia="en-US"/>
          <w14:ligatures w14:val="none"/>
        </w:rPr>
        <w:t>Locey KJ</w:t>
      </w:r>
      <w:r w:rsidRPr="00F14E16">
        <w:rPr>
          <w:rFonts w:ascii="Book Antiqua" w:eastAsia="宋体" w:hAnsi="Book Antiqua" w:cs="Times New Roman"/>
          <w:kern w:val="0"/>
          <w:sz w:val="24"/>
          <w:lang w:eastAsia="en-US"/>
          <w14:ligatures w14:val="none"/>
        </w:rPr>
        <w:t xml:space="preserve">, Lennon JT. Scaling laws predict global microbial diversity. </w:t>
      </w:r>
      <w:r w:rsidRPr="00F14E16">
        <w:rPr>
          <w:rFonts w:ascii="Book Antiqua" w:eastAsia="宋体" w:hAnsi="Book Antiqua" w:cs="Times New Roman"/>
          <w:i/>
          <w:iCs/>
          <w:kern w:val="0"/>
          <w:sz w:val="24"/>
          <w:lang w:eastAsia="en-US"/>
          <w14:ligatures w14:val="none"/>
        </w:rPr>
        <w:t>Proc Natl Acad Sci U S A</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113</w:t>
      </w:r>
      <w:r w:rsidRPr="00F14E16">
        <w:rPr>
          <w:rFonts w:ascii="Book Antiqua" w:eastAsia="宋体" w:hAnsi="Book Antiqua" w:cs="Times New Roman"/>
          <w:kern w:val="0"/>
          <w:sz w:val="24"/>
          <w:lang w:eastAsia="en-US"/>
          <w14:ligatures w14:val="none"/>
        </w:rPr>
        <w:t>: 5970-5975 [PMID: 27140646 DOI: 10.1073/pnas.1521291113]</w:t>
      </w:r>
    </w:p>
    <w:p w14:paraId="75AC744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 </w:t>
      </w:r>
      <w:r w:rsidRPr="00F14E16">
        <w:rPr>
          <w:rFonts w:ascii="Book Antiqua" w:eastAsia="宋体" w:hAnsi="Book Antiqua" w:cs="Times New Roman"/>
          <w:b/>
          <w:bCs/>
          <w:kern w:val="0"/>
          <w:sz w:val="24"/>
          <w:lang w:eastAsia="en-US"/>
          <w14:ligatures w14:val="none"/>
        </w:rPr>
        <w:t>Sepich-Poore GD</w:t>
      </w:r>
      <w:r w:rsidRPr="00F14E16">
        <w:rPr>
          <w:rFonts w:ascii="Book Antiqua" w:eastAsia="宋体" w:hAnsi="Book Antiqua" w:cs="Times New Roman"/>
          <w:kern w:val="0"/>
          <w:sz w:val="24"/>
          <w:lang w:eastAsia="en-US"/>
          <w14:ligatures w14:val="none"/>
        </w:rPr>
        <w:t xml:space="preserve">, Zitvogel L, Straussman R, Hasty J, Wargo JA, Knight R. The microbiome and human cancer.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371</w:t>
      </w:r>
      <w:r w:rsidRPr="00F14E16">
        <w:rPr>
          <w:rFonts w:ascii="Book Antiqua" w:eastAsia="宋体" w:hAnsi="Book Antiqua" w:cs="Times New Roman"/>
          <w:kern w:val="0"/>
          <w:sz w:val="24"/>
          <w:lang w:eastAsia="en-US"/>
          <w14:ligatures w14:val="none"/>
        </w:rPr>
        <w:t xml:space="preserve"> [PMID: 33766858 DOI: 10.1126/science.abc4552]</w:t>
      </w:r>
    </w:p>
    <w:p w14:paraId="73F5F56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 </w:t>
      </w:r>
      <w:r w:rsidRPr="00F14E16">
        <w:rPr>
          <w:rFonts w:ascii="Book Antiqua" w:eastAsia="宋体" w:hAnsi="Book Antiqua" w:cs="Times New Roman"/>
          <w:b/>
          <w:bCs/>
          <w:kern w:val="0"/>
          <w:sz w:val="24"/>
          <w:lang w:eastAsia="en-US"/>
          <w14:ligatures w14:val="none"/>
        </w:rPr>
        <w:t>Jin C</w:t>
      </w:r>
      <w:r w:rsidRPr="00F14E16">
        <w:rPr>
          <w:rFonts w:ascii="Book Antiqua" w:eastAsia="宋体" w:hAnsi="Book Antiqua" w:cs="Times New Roman"/>
          <w:kern w:val="0"/>
          <w:sz w:val="24"/>
          <w:lang w:eastAsia="en-US"/>
          <w14:ligatures w14:val="none"/>
        </w:rPr>
        <w:t xml:space="preserve">, Lagoudas GK, Zhao C, Bullman S, Bhutkar A, Hu B, Ameh S, Sandel D, Liang XS, Mazzilli S, Whary MT, Meyerson M, Germain R, Blainey PC, Fox JG, Jacks T. Commensal Microbiota Promote Lung Cancer Development via γδ T Cells.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176</w:t>
      </w:r>
      <w:r w:rsidRPr="00F14E16">
        <w:rPr>
          <w:rFonts w:ascii="Book Antiqua" w:eastAsia="宋体" w:hAnsi="Book Antiqua" w:cs="Times New Roman"/>
          <w:kern w:val="0"/>
          <w:sz w:val="24"/>
          <w:lang w:eastAsia="en-US"/>
          <w14:ligatures w14:val="none"/>
        </w:rPr>
        <w:t>: 998-1013.e16 [PMID: 30712876 DOI: 10.1016/j.cell.2018.12.040]</w:t>
      </w:r>
    </w:p>
    <w:p w14:paraId="3DD4450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 </w:t>
      </w:r>
      <w:r w:rsidRPr="00F14E16">
        <w:rPr>
          <w:rFonts w:ascii="Book Antiqua" w:eastAsia="宋体" w:hAnsi="Book Antiqua" w:cs="Times New Roman"/>
          <w:b/>
          <w:bCs/>
          <w:kern w:val="0"/>
          <w:sz w:val="24"/>
          <w:lang w:eastAsia="en-US"/>
          <w14:ligatures w14:val="none"/>
        </w:rPr>
        <w:t>Tsay JJ</w:t>
      </w:r>
      <w:r w:rsidRPr="00F14E16">
        <w:rPr>
          <w:rFonts w:ascii="Book Antiqua" w:eastAsia="宋体" w:hAnsi="Book Antiqua" w:cs="Times New Roman"/>
          <w:kern w:val="0"/>
          <w:sz w:val="24"/>
          <w:lang w:eastAsia="en-US"/>
          <w14:ligatures w14:val="none"/>
        </w:rPr>
        <w:t xml:space="preserve">, Wu BG, Sulaiman I, Gershner K, Schluger R, Li Y, Yie TA, Meyn P, Olsen E, Perez L, Franca B, Carpenito J, Iizumi T, El-Ashmawy M, Badri M, Morton JT, Shen N, He L, Michaud G, Rafeq S, Bessich JL, Smith RL, Sauthoff H, Felner K, Pillai R, Zavitsanou AM, Koralov SB, Mezzano V, Loomis CA, Moreira AL, Moore W, Tsirigos A, Heguy A, Rom WN, Sterman DH, Pass HI, Clemente JC, Li H, Bonneau R, Wong KK, Papagiannakopoulos T, Segal LN. Lower Airway Dysbiosis Affects Lung Cancer Progression. </w:t>
      </w:r>
      <w:r w:rsidRPr="00F14E16">
        <w:rPr>
          <w:rFonts w:ascii="Book Antiqua" w:eastAsia="宋体" w:hAnsi="Book Antiqua" w:cs="Times New Roman"/>
          <w:i/>
          <w:iCs/>
          <w:kern w:val="0"/>
          <w:sz w:val="24"/>
          <w:lang w:eastAsia="en-US"/>
          <w14:ligatures w14:val="none"/>
        </w:rPr>
        <w:t>Cancer Discov</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11</w:t>
      </w:r>
      <w:r w:rsidRPr="00F14E16">
        <w:rPr>
          <w:rFonts w:ascii="Book Antiqua" w:eastAsia="宋体" w:hAnsi="Book Antiqua" w:cs="Times New Roman"/>
          <w:kern w:val="0"/>
          <w:sz w:val="24"/>
          <w:lang w:eastAsia="en-US"/>
          <w14:ligatures w14:val="none"/>
        </w:rPr>
        <w:t>: 293-307 [PMID: 33177060 DOI: 10.1158/2159-8290.CD-20-0263]</w:t>
      </w:r>
    </w:p>
    <w:p w14:paraId="136860C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 </w:t>
      </w:r>
      <w:r w:rsidRPr="00F14E16">
        <w:rPr>
          <w:rFonts w:ascii="Book Antiqua" w:eastAsia="宋体" w:hAnsi="Book Antiqua" w:cs="Times New Roman"/>
          <w:b/>
          <w:bCs/>
          <w:kern w:val="0"/>
          <w:sz w:val="24"/>
          <w:lang w:eastAsia="en-US"/>
          <w14:ligatures w14:val="none"/>
        </w:rPr>
        <w:t>Dejea CM</w:t>
      </w:r>
      <w:r w:rsidRPr="00F14E16">
        <w:rPr>
          <w:rFonts w:ascii="Book Antiqua" w:eastAsia="宋体" w:hAnsi="Book Antiqua" w:cs="Times New Roman"/>
          <w:kern w:val="0"/>
          <w:sz w:val="24"/>
          <w:lang w:eastAsia="en-US"/>
          <w14:ligatures w14:val="none"/>
        </w:rPr>
        <w:t xml:space="preserve">, Fathi P, Craig JM, Boleij A, Taddese R, Geis AL, Wu X, DeStefano Shields CE, Hechenbleikner EM, Huso DL, Anders RA, Giardiello FM, Wick EC, Wang H, Wu S, Pardoll DM, Housseau F, Sears CL. Patients with familial adenomatous polyposis harbor colonic biofilms containing tumorigenic bacteria.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359</w:t>
      </w:r>
      <w:r w:rsidRPr="00F14E16">
        <w:rPr>
          <w:rFonts w:ascii="Book Antiqua" w:eastAsia="宋体" w:hAnsi="Book Antiqua" w:cs="Times New Roman"/>
          <w:kern w:val="0"/>
          <w:sz w:val="24"/>
          <w:lang w:eastAsia="en-US"/>
          <w14:ligatures w14:val="none"/>
        </w:rPr>
        <w:t>: 592-597 [PMID: 29420293 DOI: 10.1126/science.aah3648]</w:t>
      </w:r>
    </w:p>
    <w:p w14:paraId="2655803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 </w:t>
      </w:r>
      <w:r w:rsidRPr="00F14E16">
        <w:rPr>
          <w:rFonts w:ascii="Book Antiqua" w:eastAsia="宋体" w:hAnsi="Book Antiqua" w:cs="Times New Roman"/>
          <w:b/>
          <w:bCs/>
          <w:kern w:val="0"/>
          <w:sz w:val="24"/>
          <w:lang w:eastAsia="en-US"/>
          <w14:ligatures w14:val="none"/>
        </w:rPr>
        <w:t>Gagliani N</w:t>
      </w:r>
      <w:r w:rsidRPr="00F14E16">
        <w:rPr>
          <w:rFonts w:ascii="Book Antiqua" w:eastAsia="宋体" w:hAnsi="Book Antiqua" w:cs="Times New Roman"/>
          <w:kern w:val="0"/>
          <w:sz w:val="24"/>
          <w:lang w:eastAsia="en-US"/>
          <w14:ligatures w14:val="none"/>
        </w:rPr>
        <w:t xml:space="preserve">, Hu B, Huber S, Elinav E, Flavell RA. The fire within: microbes inflame tumors.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2014; </w:t>
      </w:r>
      <w:r w:rsidRPr="00F14E16">
        <w:rPr>
          <w:rFonts w:ascii="Book Antiqua" w:eastAsia="宋体" w:hAnsi="Book Antiqua" w:cs="Times New Roman"/>
          <w:b/>
          <w:bCs/>
          <w:kern w:val="0"/>
          <w:sz w:val="24"/>
          <w:lang w:eastAsia="en-US"/>
          <w14:ligatures w14:val="none"/>
        </w:rPr>
        <w:t>157</w:t>
      </w:r>
      <w:r w:rsidRPr="00F14E16">
        <w:rPr>
          <w:rFonts w:ascii="Book Antiqua" w:eastAsia="宋体" w:hAnsi="Book Antiqua" w:cs="Times New Roman"/>
          <w:kern w:val="0"/>
          <w:sz w:val="24"/>
          <w:lang w:eastAsia="en-US"/>
          <w14:ligatures w14:val="none"/>
        </w:rPr>
        <w:t>: 776-783 [PMID: 24813605 DOI: 10.1016/j.cell.2014.03.006]</w:t>
      </w:r>
    </w:p>
    <w:p w14:paraId="3924BA9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13 </w:t>
      </w:r>
      <w:r w:rsidRPr="00F14E16">
        <w:rPr>
          <w:rFonts w:ascii="Book Antiqua" w:eastAsia="宋体" w:hAnsi="Book Antiqua" w:cs="Times New Roman"/>
          <w:b/>
          <w:bCs/>
          <w:kern w:val="0"/>
          <w:sz w:val="24"/>
          <w:lang w:eastAsia="en-US"/>
          <w14:ligatures w14:val="none"/>
        </w:rPr>
        <w:t>Sepich-Poore GD</w:t>
      </w:r>
      <w:r w:rsidRPr="00F14E16">
        <w:rPr>
          <w:rFonts w:ascii="Book Antiqua" w:eastAsia="宋体" w:hAnsi="Book Antiqua" w:cs="Times New Roman"/>
          <w:kern w:val="0"/>
          <w:sz w:val="24"/>
          <w:lang w:eastAsia="en-US"/>
          <w14:ligatures w14:val="none"/>
        </w:rPr>
        <w:t xml:space="preserve">, Guccione C, Laplane L, Pradeu T, Curtius K, Knight R. Cancer's second genome: Microbial cancer diagnostics and redefining clonal evolution as a multispecies process: Humans and their tumors are not aseptic, and the multispecies nature of cancer modulates clinical care and clonal evolution: Humans and their tumors are not aseptic, and the multispecies nature of cancer modulates clinical care and clonal evolution. </w:t>
      </w:r>
      <w:r w:rsidRPr="00F14E16">
        <w:rPr>
          <w:rFonts w:ascii="Book Antiqua" w:eastAsia="宋体" w:hAnsi="Book Antiqua" w:cs="Times New Roman"/>
          <w:i/>
          <w:iCs/>
          <w:kern w:val="0"/>
          <w:sz w:val="24"/>
          <w:lang w:eastAsia="en-US"/>
          <w14:ligatures w14:val="none"/>
        </w:rPr>
        <w:t>Bioessays</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44</w:t>
      </w:r>
      <w:r w:rsidRPr="00F14E16">
        <w:rPr>
          <w:rFonts w:ascii="Book Antiqua" w:eastAsia="宋体" w:hAnsi="Book Antiqua" w:cs="Times New Roman"/>
          <w:kern w:val="0"/>
          <w:sz w:val="24"/>
          <w:lang w:eastAsia="en-US"/>
          <w14:ligatures w14:val="none"/>
        </w:rPr>
        <w:t>: e2100252 [PMID: 35253252 DOI: 10.1002/bies.202100252]</w:t>
      </w:r>
    </w:p>
    <w:p w14:paraId="5116E8F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14 </w:t>
      </w:r>
      <w:r w:rsidRPr="00F14E16">
        <w:rPr>
          <w:rFonts w:ascii="Book Antiqua" w:eastAsia="宋体" w:hAnsi="Book Antiqua" w:cs="Times New Roman"/>
          <w:b/>
          <w:bCs/>
          <w:kern w:val="0"/>
          <w:sz w:val="24"/>
          <w:lang w:eastAsia="en-US"/>
          <w14:ligatures w14:val="none"/>
        </w:rPr>
        <w:t>Riquelme E</w:t>
      </w:r>
      <w:r w:rsidRPr="00F14E16">
        <w:rPr>
          <w:rFonts w:ascii="Book Antiqua" w:eastAsia="宋体" w:hAnsi="Book Antiqua" w:cs="Times New Roman"/>
          <w:kern w:val="0"/>
          <w:sz w:val="24"/>
          <w:lang w:eastAsia="en-US"/>
          <w14:ligatures w14:val="none"/>
        </w:rPr>
        <w:t xml:space="preserve">, Zhang Y, Zhang L, Montiel M, Zoltan M, Dong W, Quesada P, Sahin I, Chandra V, San Lucas A, Scheet P, Xu H, Hanash SM, Feng L, Burks JK, Do KA, Peterson CB, Nejman D, Tzeng CD, Kim MP, Sears CL, Ajami N, Petrosino J, Wood LD, Maitra A, Straussman R, Katz M, White JR, Jenq R, Wargo J, McAllister F. Tumor Microbiome Diversity and Composition Influence Pancreatic Cancer Outcomes.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178</w:t>
      </w:r>
      <w:r w:rsidRPr="00F14E16">
        <w:rPr>
          <w:rFonts w:ascii="Book Antiqua" w:eastAsia="宋体" w:hAnsi="Book Antiqua" w:cs="Times New Roman"/>
          <w:kern w:val="0"/>
          <w:sz w:val="24"/>
          <w:lang w:eastAsia="en-US"/>
          <w14:ligatures w14:val="none"/>
        </w:rPr>
        <w:t>: 795-806.e12 [PMID: 31398337 DOI: 10.1016/j.cell.2019.07.008]</w:t>
      </w:r>
    </w:p>
    <w:p w14:paraId="76F3B80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15 </w:t>
      </w:r>
      <w:r w:rsidRPr="00F14E16">
        <w:rPr>
          <w:rFonts w:ascii="Book Antiqua" w:eastAsia="宋体" w:hAnsi="Book Antiqua" w:cs="Times New Roman"/>
          <w:b/>
          <w:bCs/>
          <w:kern w:val="0"/>
          <w:sz w:val="24"/>
          <w:lang w:eastAsia="en-US"/>
          <w14:ligatures w14:val="none"/>
        </w:rPr>
        <w:t>Geller LT</w:t>
      </w:r>
      <w:r w:rsidRPr="00F14E16">
        <w:rPr>
          <w:rFonts w:ascii="Book Antiqua" w:eastAsia="宋体" w:hAnsi="Book Antiqua" w:cs="Times New Roman"/>
          <w:kern w:val="0"/>
          <w:sz w:val="24"/>
          <w:lang w:eastAsia="en-US"/>
          <w14:ligatures w14:val="none"/>
        </w:rPr>
        <w:t xml:space="preserve">, Barzily-Rokni M, Danino T, Jonas OH, Shental N, Nejman D, Gavert N, Zwang Y, Cooper ZA, Shee K, Thaiss CA, Reuben A, Livny J, Avraham R, Frederick DT, Ligorio M, Chatman K, Johnston SE, Mosher CM, Brandis A, Fuks G, Gurbatri C, Gopalakrishnan V, Kim M, Hurd MW, Katz M, Fleming J, Maitra A, Smith DA, Skalak M, Bu J, Michaud M, Trauger SA, Barshack I, Golan T, Sandbank J, Flaherty KT, Mandinova A, Garrett WS, Thayer SP, Ferrone CR, Huttenhower C, Bhatia SN, Gevers D, Wargo JA, Golub TR, Straussman R. Potential role of intratumor bacteria in mediating tumor resistance to the chemotherapeutic drug gemcitabine.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357</w:t>
      </w:r>
      <w:r w:rsidRPr="00F14E16">
        <w:rPr>
          <w:rFonts w:ascii="Book Antiqua" w:eastAsia="宋体" w:hAnsi="Book Antiqua" w:cs="Times New Roman"/>
          <w:kern w:val="0"/>
          <w:sz w:val="24"/>
          <w:lang w:eastAsia="en-US"/>
          <w14:ligatures w14:val="none"/>
        </w:rPr>
        <w:t>: 1156-1160 [PMID: 28912244 DOI: 10.1126/science.aah5043]</w:t>
      </w:r>
    </w:p>
    <w:p w14:paraId="7EE7A0C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16 </w:t>
      </w:r>
      <w:r w:rsidRPr="00F14E16">
        <w:rPr>
          <w:rFonts w:ascii="Book Antiqua" w:eastAsia="宋体" w:hAnsi="Book Antiqua" w:cs="Times New Roman"/>
          <w:b/>
          <w:bCs/>
          <w:kern w:val="0"/>
          <w:sz w:val="24"/>
          <w:lang w:eastAsia="en-US"/>
          <w14:ligatures w14:val="none"/>
        </w:rPr>
        <w:t>Narunsky-Haziza L</w:t>
      </w:r>
      <w:r w:rsidRPr="00F14E16">
        <w:rPr>
          <w:rFonts w:ascii="Book Antiqua" w:eastAsia="宋体" w:hAnsi="Book Antiqua" w:cs="Times New Roman"/>
          <w:kern w:val="0"/>
          <w:sz w:val="24"/>
          <w:lang w:eastAsia="en-US"/>
          <w14:ligatures w14:val="none"/>
        </w:rPr>
        <w:t xml:space="preserve">, Sepich-Poore GD, Livyatan I, Asraf O, Martino C, Nejman D, Gavert N, Stajich JE, Amit G, González A, Wandro S, Perry G, Ariel R, Meltser A, Shaffer JP, Zhu Q, Balint-Lahat N, Barshack I, Dadiani M, Gal-Yam EN, Patel SP, Bashan A, Swafford AD, Pilpel Y, Knight R, Straussman R. Pan-cancer analyses reveal cancer-type-specific fungal ecologies and bacteriome interactions.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185</w:t>
      </w:r>
      <w:r w:rsidRPr="00F14E16">
        <w:rPr>
          <w:rFonts w:ascii="Book Antiqua" w:eastAsia="宋体" w:hAnsi="Book Antiqua" w:cs="Times New Roman"/>
          <w:kern w:val="0"/>
          <w:sz w:val="24"/>
          <w:lang w:eastAsia="en-US"/>
          <w14:ligatures w14:val="none"/>
        </w:rPr>
        <w:t>: 3789-3806.e17 [PMID: 36179670 DOI: 10.1016/j.cell.2022.09.005]</w:t>
      </w:r>
    </w:p>
    <w:p w14:paraId="17101A5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17 </w:t>
      </w:r>
      <w:r w:rsidRPr="00F14E16">
        <w:rPr>
          <w:rFonts w:ascii="Book Antiqua" w:eastAsia="宋体" w:hAnsi="Book Antiqua" w:cs="Times New Roman"/>
          <w:b/>
          <w:bCs/>
          <w:kern w:val="0"/>
          <w:sz w:val="24"/>
          <w:lang w:eastAsia="en-US"/>
          <w14:ligatures w14:val="none"/>
        </w:rPr>
        <w:t>Alam A</w:t>
      </w:r>
      <w:r w:rsidRPr="00F14E16">
        <w:rPr>
          <w:rFonts w:ascii="Book Antiqua" w:eastAsia="宋体" w:hAnsi="Book Antiqua" w:cs="Times New Roman"/>
          <w:kern w:val="0"/>
          <w:sz w:val="24"/>
          <w:lang w:eastAsia="en-US"/>
          <w14:ligatures w14:val="none"/>
        </w:rPr>
        <w:t xml:space="preserve">, Levanduski E, Denz P, Villavicencio HS, Bhatta M, Alhorebi L, Zhang Y, Gomez EC, Morreale B, Senchanthisai S, Li J, Turowski SG, Sexton S, Sait SJ, Singh PK, Wang J, Maitra A, Kalinski P, DePinho RA, Wang H, Liao W, Abrams SI, Segal BH, Dey </w:t>
      </w:r>
      <w:r w:rsidRPr="00F14E16">
        <w:rPr>
          <w:rFonts w:ascii="Book Antiqua" w:eastAsia="宋体" w:hAnsi="Book Antiqua" w:cs="Times New Roman"/>
          <w:kern w:val="0"/>
          <w:sz w:val="24"/>
          <w:lang w:eastAsia="en-US"/>
          <w14:ligatures w14:val="none"/>
        </w:rPr>
        <w:lastRenderedPageBreak/>
        <w:t xml:space="preserve">P. Fungal mycobiome drives IL-33 secretion and type 2 immunity in pancreatic cancer. </w:t>
      </w:r>
      <w:r w:rsidRPr="00F14E16">
        <w:rPr>
          <w:rFonts w:ascii="Book Antiqua" w:eastAsia="宋体" w:hAnsi="Book Antiqua" w:cs="Times New Roman"/>
          <w:i/>
          <w:iCs/>
          <w:kern w:val="0"/>
          <w:sz w:val="24"/>
          <w:lang w:eastAsia="en-US"/>
          <w14:ligatures w14:val="none"/>
        </w:rPr>
        <w:t>Cancer 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40</w:t>
      </w:r>
      <w:r w:rsidRPr="00F14E16">
        <w:rPr>
          <w:rFonts w:ascii="Book Antiqua" w:eastAsia="宋体" w:hAnsi="Book Antiqua" w:cs="Times New Roman"/>
          <w:kern w:val="0"/>
          <w:sz w:val="24"/>
          <w:lang w:eastAsia="en-US"/>
          <w14:ligatures w14:val="none"/>
        </w:rPr>
        <w:t>: 153-167.e11 [PMID: 35120601 DOI: 10.1016/j.ccell.2022.01.003]</w:t>
      </w:r>
    </w:p>
    <w:p w14:paraId="5FCFFF1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18 </w:t>
      </w:r>
      <w:r w:rsidRPr="00F14E16">
        <w:rPr>
          <w:rFonts w:ascii="Book Antiqua" w:eastAsia="宋体" w:hAnsi="Book Antiqua" w:cs="Times New Roman"/>
          <w:b/>
          <w:bCs/>
          <w:kern w:val="0"/>
          <w:sz w:val="24"/>
          <w:lang w:eastAsia="en-US"/>
          <w14:ligatures w14:val="none"/>
        </w:rPr>
        <w:t>Lloréns-Rico V</w:t>
      </w:r>
      <w:r w:rsidRPr="00F14E16">
        <w:rPr>
          <w:rFonts w:ascii="Book Antiqua" w:eastAsia="宋体" w:hAnsi="Book Antiqua" w:cs="Times New Roman"/>
          <w:kern w:val="0"/>
          <w:sz w:val="24"/>
          <w:lang w:eastAsia="en-US"/>
          <w14:ligatures w14:val="none"/>
        </w:rPr>
        <w:t xml:space="preserve">, Simcock JA, Huys GRB, Raes J. Single-cell approaches in human microbiome research.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185</w:t>
      </w:r>
      <w:r w:rsidRPr="00F14E16">
        <w:rPr>
          <w:rFonts w:ascii="Book Antiqua" w:eastAsia="宋体" w:hAnsi="Book Antiqua" w:cs="Times New Roman"/>
          <w:kern w:val="0"/>
          <w:sz w:val="24"/>
          <w:lang w:eastAsia="en-US"/>
          <w14:ligatures w14:val="none"/>
        </w:rPr>
        <w:t>: 2725-2738 [PMID: 35868276 DOI: 10.1016/j.cell.2022.06.040]</w:t>
      </w:r>
    </w:p>
    <w:p w14:paraId="4979A34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19 </w:t>
      </w:r>
      <w:r w:rsidRPr="00F14E16">
        <w:rPr>
          <w:rFonts w:ascii="Book Antiqua" w:eastAsia="宋体" w:hAnsi="Book Antiqua" w:cs="Times New Roman"/>
          <w:b/>
          <w:bCs/>
          <w:kern w:val="0"/>
          <w:sz w:val="24"/>
          <w:lang w:eastAsia="en-US"/>
          <w14:ligatures w14:val="none"/>
        </w:rPr>
        <w:t>Okuda S</w:t>
      </w:r>
      <w:r w:rsidRPr="00F14E16">
        <w:rPr>
          <w:rFonts w:ascii="Book Antiqua" w:eastAsia="宋体" w:hAnsi="Book Antiqua" w:cs="Times New Roman"/>
          <w:kern w:val="0"/>
          <w:sz w:val="24"/>
          <w:lang w:eastAsia="en-US"/>
          <w14:ligatures w14:val="none"/>
        </w:rPr>
        <w:t xml:space="preserve">, Hirose Y, Takihara H, Okuda A, Ling Y, Tajima Y, Shimada Y, Ichikawa H, Takizawa K, Sakata J, Wakai T. Unveiling microbiome profiles in human inner body fluids and tumor tissues with pancreatic or biliary tract cancer. </w:t>
      </w:r>
      <w:r w:rsidRPr="00F14E16">
        <w:rPr>
          <w:rFonts w:ascii="Book Antiqua" w:eastAsia="宋体" w:hAnsi="Book Antiqua" w:cs="Times New Roman"/>
          <w:i/>
          <w:iCs/>
          <w:kern w:val="0"/>
          <w:sz w:val="24"/>
          <w:lang w:eastAsia="en-US"/>
          <w14:ligatures w14:val="none"/>
        </w:rPr>
        <w:t>Sci Rep</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12</w:t>
      </w:r>
      <w:r w:rsidRPr="00F14E16">
        <w:rPr>
          <w:rFonts w:ascii="Book Antiqua" w:eastAsia="宋体" w:hAnsi="Book Antiqua" w:cs="Times New Roman"/>
          <w:kern w:val="0"/>
          <w:sz w:val="24"/>
          <w:lang w:eastAsia="en-US"/>
          <w14:ligatures w14:val="none"/>
        </w:rPr>
        <w:t>: 8766 [PMID: 35610303 DOI: 10.1038/s41598-022-12658-8]</w:t>
      </w:r>
    </w:p>
    <w:p w14:paraId="5A7A45D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20 </w:t>
      </w:r>
      <w:r w:rsidRPr="00F14E16">
        <w:rPr>
          <w:rFonts w:ascii="Book Antiqua" w:eastAsia="宋体" w:hAnsi="Book Antiqua" w:cs="Times New Roman"/>
          <w:b/>
          <w:bCs/>
          <w:kern w:val="0"/>
          <w:sz w:val="24"/>
          <w:lang w:eastAsia="en-US"/>
          <w14:ligatures w14:val="none"/>
        </w:rPr>
        <w:t>Pushalkar S</w:t>
      </w:r>
      <w:r w:rsidRPr="00F14E16">
        <w:rPr>
          <w:rFonts w:ascii="Book Antiqua" w:eastAsia="宋体" w:hAnsi="Book Antiqua" w:cs="Times New Roman"/>
          <w:kern w:val="0"/>
          <w:sz w:val="24"/>
          <w:lang w:eastAsia="en-US"/>
          <w14:ligatures w14:val="none"/>
        </w:rPr>
        <w:t xml:space="preserve">, Hundeyin M, Daley D, Zambirinis CP, Kurz E, Mishra A, Mohan N, Aykut B, Usyk M, Torres LE, Werba G, Zhang K, Guo Y, Li Q, Akkad N, Lall S, Wadowski B, Gutierrez J, Kochen Rossi JA, Herzog JW, Diskin B, Torres-Hernandez A, Leinwand J, Wang W, Taunk PS, Savadkar S, Janal M, Saxena A, Li X, Cohen D, Sartor RB, Saxena D, Miller G. The Pancreatic Cancer Microbiome Promotes Oncogenesis by Induction of Innate and Adaptive Immune Suppression. </w:t>
      </w:r>
      <w:r w:rsidRPr="00F14E16">
        <w:rPr>
          <w:rFonts w:ascii="Book Antiqua" w:eastAsia="宋体" w:hAnsi="Book Antiqua" w:cs="Times New Roman"/>
          <w:i/>
          <w:iCs/>
          <w:kern w:val="0"/>
          <w:sz w:val="24"/>
          <w:lang w:eastAsia="en-US"/>
          <w14:ligatures w14:val="none"/>
        </w:rPr>
        <w:t>Cancer Discov</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403-416 [PMID: 29567829 DOI: 10.1158/2159-8290.CD-17-1134]</w:t>
      </w:r>
    </w:p>
    <w:p w14:paraId="1FD641E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21 </w:t>
      </w:r>
      <w:r w:rsidRPr="00F14E16">
        <w:rPr>
          <w:rFonts w:ascii="Book Antiqua" w:eastAsia="宋体" w:hAnsi="Book Antiqua" w:cs="Times New Roman"/>
          <w:b/>
          <w:bCs/>
          <w:kern w:val="0"/>
          <w:sz w:val="24"/>
          <w:lang w:eastAsia="en-US"/>
          <w14:ligatures w14:val="none"/>
        </w:rPr>
        <w:t>Aykut B</w:t>
      </w:r>
      <w:r w:rsidRPr="00F14E16">
        <w:rPr>
          <w:rFonts w:ascii="Book Antiqua" w:eastAsia="宋体" w:hAnsi="Book Antiqua" w:cs="Times New Roman"/>
          <w:kern w:val="0"/>
          <w:sz w:val="24"/>
          <w:lang w:eastAsia="en-US"/>
          <w14:ligatures w14:val="none"/>
        </w:rPr>
        <w:t xml:space="preserve">, Pushalkar S, Chen R, Li Q, Abengozar R, Kim JI, Shadaloey SA, Wu D, Preiss P, Verma N, Guo Y, Saxena A, Vardhan M, Diskin B, Wang W, Leinwand J, Kurz E, Kochen Rossi JA, Hundeyin M, Zambrinis C, Li X, Saxena D, Miller G. The fungal mycobiome promotes pancreatic oncogenesis via activation of MBL. </w:t>
      </w:r>
      <w:r w:rsidRPr="00F14E16">
        <w:rPr>
          <w:rFonts w:ascii="Book Antiqua" w:eastAsia="宋体" w:hAnsi="Book Antiqua" w:cs="Times New Roman"/>
          <w:i/>
          <w:iCs/>
          <w:kern w:val="0"/>
          <w:sz w:val="24"/>
          <w:lang w:eastAsia="en-US"/>
          <w14:ligatures w14:val="none"/>
        </w:rPr>
        <w:t>Nature</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574</w:t>
      </w:r>
      <w:r w:rsidRPr="00F14E16">
        <w:rPr>
          <w:rFonts w:ascii="Book Antiqua" w:eastAsia="宋体" w:hAnsi="Book Antiqua" w:cs="Times New Roman"/>
          <w:kern w:val="0"/>
          <w:sz w:val="24"/>
          <w:lang w:eastAsia="en-US"/>
          <w14:ligatures w14:val="none"/>
        </w:rPr>
        <w:t>: 264-267 [PMID: 31578522 DOI: 10.1038/s41586-019-1608-2]</w:t>
      </w:r>
    </w:p>
    <w:p w14:paraId="79AA9A2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22 </w:t>
      </w:r>
      <w:r w:rsidRPr="00F14E16">
        <w:rPr>
          <w:rFonts w:ascii="Book Antiqua" w:eastAsia="宋体" w:hAnsi="Book Antiqua" w:cs="Times New Roman"/>
          <w:b/>
          <w:bCs/>
          <w:kern w:val="0"/>
          <w:sz w:val="24"/>
          <w:lang w:eastAsia="en-US"/>
          <w14:ligatures w14:val="none"/>
        </w:rPr>
        <w:t>Thomas RM</w:t>
      </w:r>
      <w:r w:rsidRPr="00F14E16">
        <w:rPr>
          <w:rFonts w:ascii="Book Antiqua" w:eastAsia="宋体" w:hAnsi="Book Antiqua" w:cs="Times New Roman"/>
          <w:kern w:val="0"/>
          <w:sz w:val="24"/>
          <w:lang w:eastAsia="en-US"/>
          <w14:ligatures w14:val="none"/>
        </w:rPr>
        <w:t xml:space="preserve">, Gharaibeh RZ, Gauthier J, Beveridge M, Pope JL, Guijarro MV, Yu Q, He Z, Ohland C, Newsome R, Trevino J, Hughes SJ, Reinhard M, Winglee K, Fodor AA, Zajac-Kaye M, Jobin C. Intestinal microbiota enhances pancreatic carcinogenesis in preclinical models. </w:t>
      </w:r>
      <w:r w:rsidRPr="00F14E16">
        <w:rPr>
          <w:rFonts w:ascii="Book Antiqua" w:eastAsia="宋体" w:hAnsi="Book Antiqua" w:cs="Times New Roman"/>
          <w:i/>
          <w:iCs/>
          <w:kern w:val="0"/>
          <w:sz w:val="24"/>
          <w:lang w:eastAsia="en-US"/>
          <w14:ligatures w14:val="none"/>
        </w:rPr>
        <w:t>Carcinogenesis</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39</w:t>
      </w:r>
      <w:r w:rsidRPr="00F14E16">
        <w:rPr>
          <w:rFonts w:ascii="Book Antiqua" w:eastAsia="宋体" w:hAnsi="Book Antiqua" w:cs="Times New Roman"/>
          <w:kern w:val="0"/>
          <w:sz w:val="24"/>
          <w:lang w:eastAsia="en-US"/>
          <w14:ligatures w14:val="none"/>
        </w:rPr>
        <w:t>: 1068-1078 [PMID: 29846515 DOI: 10.1093/carcin/bgy073]</w:t>
      </w:r>
    </w:p>
    <w:p w14:paraId="20E97BB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23 </w:t>
      </w:r>
      <w:r w:rsidRPr="00F14E16">
        <w:rPr>
          <w:rFonts w:ascii="Book Antiqua" w:eastAsia="宋体" w:hAnsi="Book Antiqua" w:cs="Times New Roman"/>
          <w:b/>
          <w:bCs/>
          <w:kern w:val="0"/>
          <w:sz w:val="24"/>
          <w:lang w:eastAsia="en-US"/>
          <w14:ligatures w14:val="none"/>
        </w:rPr>
        <w:t>Thomas RM</w:t>
      </w:r>
      <w:r w:rsidRPr="00F14E16">
        <w:rPr>
          <w:rFonts w:ascii="Book Antiqua" w:eastAsia="宋体" w:hAnsi="Book Antiqua" w:cs="Times New Roman"/>
          <w:kern w:val="0"/>
          <w:sz w:val="24"/>
          <w:lang w:eastAsia="en-US"/>
          <w14:ligatures w14:val="none"/>
        </w:rPr>
        <w:t xml:space="preserve">, Jobin C. Microbiota in pancreatic health and disease: the next frontier in microbiome research. </w:t>
      </w:r>
      <w:r w:rsidRPr="00F14E16">
        <w:rPr>
          <w:rFonts w:ascii="Book Antiqua" w:eastAsia="宋体" w:hAnsi="Book Antiqua" w:cs="Times New Roman"/>
          <w:i/>
          <w:iCs/>
          <w:kern w:val="0"/>
          <w:sz w:val="24"/>
          <w:lang w:eastAsia="en-US"/>
          <w14:ligatures w14:val="none"/>
        </w:rPr>
        <w:t>Nat Rev Gastroenterol Hepatol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17</w:t>
      </w:r>
      <w:r w:rsidRPr="00F14E16">
        <w:rPr>
          <w:rFonts w:ascii="Book Antiqua" w:eastAsia="宋体" w:hAnsi="Book Antiqua" w:cs="Times New Roman"/>
          <w:kern w:val="0"/>
          <w:sz w:val="24"/>
          <w:lang w:eastAsia="en-US"/>
          <w14:ligatures w14:val="none"/>
        </w:rPr>
        <w:t>: 53-64 [PMID: 31811279 DOI: 10.1038/s41575-019-0242-7]</w:t>
      </w:r>
    </w:p>
    <w:p w14:paraId="383C5E3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24 </w:t>
      </w:r>
      <w:r w:rsidRPr="00F14E16">
        <w:rPr>
          <w:rFonts w:ascii="Book Antiqua" w:eastAsia="宋体" w:hAnsi="Book Antiqua" w:cs="Times New Roman"/>
          <w:b/>
          <w:bCs/>
          <w:kern w:val="0"/>
          <w:sz w:val="24"/>
          <w:lang w:eastAsia="en-US"/>
          <w14:ligatures w14:val="none"/>
        </w:rPr>
        <w:t>Nejman D</w:t>
      </w:r>
      <w:r w:rsidRPr="00F14E16">
        <w:rPr>
          <w:rFonts w:ascii="Book Antiqua" w:eastAsia="宋体" w:hAnsi="Book Antiqua" w:cs="Times New Roman"/>
          <w:kern w:val="0"/>
          <w:sz w:val="24"/>
          <w:lang w:eastAsia="en-US"/>
          <w14:ligatures w14:val="none"/>
        </w:rPr>
        <w:t xml:space="preserve">, Livyatan I, Fuks G, Gavert N, Zwang Y, Geller LT, Rotter-Maskowitz A, Weiser R, Mallel G, Gigi E, Meltser A, Douglas GM, Kamer I, Gopalakrishnan V, Dadosh T, Levin-Zaidman S, Avnet S, Atlan T, Cooper ZA, Arora R, Cogdill AP, Khan MAW, Ologun G, Bussi Y, Weinberger A, Lotan-Pompan M, Golani O, Perry G, Rokah M, Bahar-Shany K, Rozeman EA, Blank CU, Ronai A, Shaoul R, Amit A, Dorfman T, Kremer R, Cohen ZR, Harnof S, Siegal T, Yehuda-Shnaidman E, Gal-Yam EN, Shapira H, Baldini N, Langille MGI, Ben-Nun A, Kaufman B, Nissan A, Golan T, Dadiani M, Levanon K, Bar J, Yust-Katz S, Barshack I, Peeper DS, Raz DJ, Segal E, Wargo JA, Sandbank J, Shental N, Straussman R. The human tumor microbiome is composed of tumor type-specific intracellular bacteria.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368</w:t>
      </w:r>
      <w:r w:rsidRPr="00F14E16">
        <w:rPr>
          <w:rFonts w:ascii="Book Antiqua" w:eastAsia="宋体" w:hAnsi="Book Antiqua" w:cs="Times New Roman"/>
          <w:kern w:val="0"/>
          <w:sz w:val="24"/>
          <w:lang w:eastAsia="en-US"/>
          <w14:ligatures w14:val="none"/>
        </w:rPr>
        <w:t>: 973-980 [PMID: 32467386 DOI: 10.1126/science.aay9189]</w:t>
      </w:r>
    </w:p>
    <w:p w14:paraId="7EF7676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25 </w:t>
      </w:r>
      <w:r w:rsidRPr="00F14E16">
        <w:rPr>
          <w:rFonts w:ascii="Book Antiqua" w:eastAsia="宋体" w:hAnsi="Book Antiqua" w:cs="Times New Roman"/>
          <w:b/>
          <w:bCs/>
          <w:kern w:val="0"/>
          <w:sz w:val="24"/>
          <w:lang w:eastAsia="en-US"/>
          <w14:ligatures w14:val="none"/>
        </w:rPr>
        <w:t>Tan Q</w:t>
      </w:r>
      <w:r w:rsidRPr="00F14E16">
        <w:rPr>
          <w:rFonts w:ascii="Book Antiqua" w:eastAsia="宋体" w:hAnsi="Book Antiqua" w:cs="Times New Roman"/>
          <w:kern w:val="0"/>
          <w:sz w:val="24"/>
          <w:lang w:eastAsia="en-US"/>
          <w14:ligatures w14:val="none"/>
        </w:rPr>
        <w:t xml:space="preserve">, Ma X, Yang B, Liu Y, Xie Y, Wang X, Yuan W, Ma J. Periodontitis pathogen Porphyromonas gingivalis promotes pancreatic tumorigenesis via neutrophil elastase from tumor-associated neutrophils. </w:t>
      </w:r>
      <w:r w:rsidRPr="00F14E16">
        <w:rPr>
          <w:rFonts w:ascii="Book Antiqua" w:eastAsia="宋体" w:hAnsi="Book Antiqua" w:cs="Times New Roman"/>
          <w:i/>
          <w:iCs/>
          <w:kern w:val="0"/>
          <w:sz w:val="24"/>
          <w:lang w:eastAsia="en-US"/>
          <w14:ligatures w14:val="none"/>
        </w:rPr>
        <w:t>Gut Microbes</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14</w:t>
      </w:r>
      <w:r w:rsidRPr="00F14E16">
        <w:rPr>
          <w:rFonts w:ascii="Book Antiqua" w:eastAsia="宋体" w:hAnsi="Book Antiqua" w:cs="Times New Roman"/>
          <w:kern w:val="0"/>
          <w:sz w:val="24"/>
          <w:lang w:eastAsia="en-US"/>
          <w14:ligatures w14:val="none"/>
        </w:rPr>
        <w:t>: 2073785 [PMID: 35549648 DOI: 10.1080/19490976.2022.2073785]</w:t>
      </w:r>
    </w:p>
    <w:p w14:paraId="7446CB2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26 </w:t>
      </w:r>
      <w:r w:rsidRPr="00F14E16">
        <w:rPr>
          <w:rFonts w:ascii="Book Antiqua" w:eastAsia="宋体" w:hAnsi="Book Antiqua" w:cs="Times New Roman"/>
          <w:b/>
          <w:bCs/>
          <w:kern w:val="0"/>
          <w:sz w:val="24"/>
          <w:lang w:eastAsia="en-US"/>
          <w14:ligatures w14:val="none"/>
        </w:rPr>
        <w:t>Nalluri H</w:t>
      </w:r>
      <w:r w:rsidRPr="00F14E16">
        <w:rPr>
          <w:rFonts w:ascii="Book Antiqua" w:eastAsia="宋体" w:hAnsi="Book Antiqua" w:cs="Times New Roman"/>
          <w:kern w:val="0"/>
          <w:sz w:val="24"/>
          <w:lang w:eastAsia="en-US"/>
          <w14:ligatures w14:val="none"/>
        </w:rPr>
        <w:t xml:space="preserve">, Jensen E, Staley C. Role of biliary stent and neoadjuvant chemotherapy in the pancreatic tumor microbiome. </w:t>
      </w:r>
      <w:r w:rsidRPr="00F14E16">
        <w:rPr>
          <w:rFonts w:ascii="Book Antiqua" w:eastAsia="宋体" w:hAnsi="Book Antiqua" w:cs="Times New Roman"/>
          <w:i/>
          <w:iCs/>
          <w:kern w:val="0"/>
          <w:sz w:val="24"/>
          <w:lang w:eastAsia="en-US"/>
          <w14:ligatures w14:val="none"/>
        </w:rPr>
        <w:t>BMC Microbiol</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21</w:t>
      </w:r>
      <w:r w:rsidRPr="00F14E16">
        <w:rPr>
          <w:rFonts w:ascii="Book Antiqua" w:eastAsia="宋体" w:hAnsi="Book Antiqua" w:cs="Times New Roman"/>
          <w:kern w:val="0"/>
          <w:sz w:val="24"/>
          <w:lang w:eastAsia="en-US"/>
          <w14:ligatures w14:val="none"/>
        </w:rPr>
        <w:t>: 280 [PMID: 34656097 DOI: 10.1186/s12866-021-02339-3]</w:t>
      </w:r>
    </w:p>
    <w:p w14:paraId="5AEDB22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27 </w:t>
      </w:r>
      <w:r w:rsidRPr="00F14E16">
        <w:rPr>
          <w:rFonts w:ascii="Book Antiqua" w:eastAsia="宋体" w:hAnsi="Book Antiqua" w:cs="Times New Roman"/>
          <w:b/>
          <w:bCs/>
          <w:kern w:val="0"/>
          <w:sz w:val="24"/>
          <w:lang w:eastAsia="en-US"/>
          <w14:ligatures w14:val="none"/>
        </w:rPr>
        <w:t>Gaiser RA</w:t>
      </w:r>
      <w:r w:rsidRPr="00F14E16">
        <w:rPr>
          <w:rFonts w:ascii="Book Antiqua" w:eastAsia="宋体" w:hAnsi="Book Antiqua" w:cs="Times New Roman"/>
          <w:kern w:val="0"/>
          <w:sz w:val="24"/>
          <w:lang w:eastAsia="en-US"/>
          <w14:ligatures w14:val="none"/>
        </w:rPr>
        <w:t xml:space="preserve">, Halimi A, Alkharaan H, Lu L, Davanian H, Healy K, Hugerth LW, Ateeb Z, Valente R, Fernández Moro C, Del Chiaro M, Sällberg Chen M. Enrichment of oral microbiota in early cystic precursors to invasive pancreatic cancer. </w:t>
      </w:r>
      <w:r w:rsidRPr="00F14E16">
        <w:rPr>
          <w:rFonts w:ascii="Book Antiqua" w:eastAsia="宋体" w:hAnsi="Book Antiqua" w:cs="Times New Roman"/>
          <w:i/>
          <w:iCs/>
          <w:kern w:val="0"/>
          <w:sz w:val="24"/>
          <w:lang w:eastAsia="en-US"/>
          <w14:ligatures w14:val="none"/>
        </w:rPr>
        <w:t>Gut</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68</w:t>
      </w:r>
      <w:r w:rsidRPr="00F14E16">
        <w:rPr>
          <w:rFonts w:ascii="Book Antiqua" w:eastAsia="宋体" w:hAnsi="Book Antiqua" w:cs="Times New Roman"/>
          <w:kern w:val="0"/>
          <w:sz w:val="24"/>
          <w:lang w:eastAsia="en-US"/>
          <w14:ligatures w14:val="none"/>
        </w:rPr>
        <w:t>: 2186-2194 [PMID: 30872392 DOI: 10.1136/gutjnl-2018-317458]</w:t>
      </w:r>
    </w:p>
    <w:p w14:paraId="6BD8412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28 </w:t>
      </w:r>
      <w:r w:rsidRPr="00F14E16">
        <w:rPr>
          <w:rFonts w:ascii="Book Antiqua" w:eastAsia="宋体" w:hAnsi="Book Antiqua" w:cs="Times New Roman"/>
          <w:b/>
          <w:bCs/>
          <w:kern w:val="0"/>
          <w:sz w:val="24"/>
          <w:lang w:eastAsia="en-US"/>
          <w14:ligatures w14:val="none"/>
        </w:rPr>
        <w:t>Kohi S</w:t>
      </w:r>
      <w:r w:rsidRPr="00F14E16">
        <w:rPr>
          <w:rFonts w:ascii="Book Antiqua" w:eastAsia="宋体" w:hAnsi="Book Antiqua" w:cs="Times New Roman"/>
          <w:kern w:val="0"/>
          <w:sz w:val="24"/>
          <w:lang w:eastAsia="en-US"/>
          <w14:ligatures w14:val="none"/>
        </w:rPr>
        <w:t xml:space="preserve">, Macgregor-Das A, Dbouk M, Yoshida T, Chuidian M, Abe T, Borges M, Lennon AM, Shin EJ, Canto MI, Goggins M. Alterations in the Duodenal Fluid Microbiome of Patients With Pancreatic Cancer. </w:t>
      </w:r>
      <w:r w:rsidRPr="00F14E16">
        <w:rPr>
          <w:rFonts w:ascii="Book Antiqua" w:eastAsia="宋体" w:hAnsi="Book Antiqua" w:cs="Times New Roman"/>
          <w:i/>
          <w:iCs/>
          <w:kern w:val="0"/>
          <w:sz w:val="24"/>
          <w:lang w:eastAsia="en-US"/>
          <w14:ligatures w14:val="none"/>
        </w:rPr>
        <w:t>Clin Gastroenterol Hepatol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20</w:t>
      </w:r>
      <w:r w:rsidRPr="00F14E16">
        <w:rPr>
          <w:rFonts w:ascii="Book Antiqua" w:eastAsia="宋体" w:hAnsi="Book Antiqua" w:cs="Times New Roman"/>
          <w:kern w:val="0"/>
          <w:sz w:val="24"/>
          <w:lang w:eastAsia="en-US"/>
          <w14:ligatures w14:val="none"/>
        </w:rPr>
        <w:t>: e196-e227 [PMID: 33161160 DOI: 10.1016/j.cgh.2020.11.006]</w:t>
      </w:r>
    </w:p>
    <w:p w14:paraId="624978B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29 </w:t>
      </w:r>
      <w:r w:rsidRPr="00F14E16">
        <w:rPr>
          <w:rFonts w:ascii="Book Antiqua" w:eastAsia="宋体" w:hAnsi="Book Antiqua" w:cs="Times New Roman"/>
          <w:b/>
          <w:bCs/>
          <w:kern w:val="0"/>
          <w:sz w:val="24"/>
          <w:lang w:eastAsia="en-US"/>
          <w14:ligatures w14:val="none"/>
        </w:rPr>
        <w:t>Del Castillo E</w:t>
      </w:r>
      <w:r w:rsidRPr="00F14E16">
        <w:rPr>
          <w:rFonts w:ascii="Book Antiqua" w:eastAsia="宋体" w:hAnsi="Book Antiqua" w:cs="Times New Roman"/>
          <w:kern w:val="0"/>
          <w:sz w:val="24"/>
          <w:lang w:eastAsia="en-US"/>
          <w14:ligatures w14:val="none"/>
        </w:rPr>
        <w:t xml:space="preserve">, Meier R, Chung M, Koestler DC, Chen T, Paster BJ, Charpentier KP, Kelsey KT, Izard J, Michaud DS. The Microbiomes of Pancreatic and Duodenum Tissue Overlap and Are Highly Subject Specific but Differ between Pancreatic Cancer and </w:t>
      </w:r>
      <w:r w:rsidRPr="00F14E16">
        <w:rPr>
          <w:rFonts w:ascii="Book Antiqua" w:eastAsia="宋体" w:hAnsi="Book Antiqua" w:cs="Times New Roman"/>
          <w:kern w:val="0"/>
          <w:sz w:val="24"/>
          <w:lang w:eastAsia="en-US"/>
          <w14:ligatures w14:val="none"/>
        </w:rPr>
        <w:lastRenderedPageBreak/>
        <w:t xml:space="preserve">Noncancer Subjects. </w:t>
      </w:r>
      <w:r w:rsidRPr="00F14E16">
        <w:rPr>
          <w:rFonts w:ascii="Book Antiqua" w:eastAsia="宋体" w:hAnsi="Book Antiqua" w:cs="Times New Roman"/>
          <w:i/>
          <w:iCs/>
          <w:kern w:val="0"/>
          <w:sz w:val="24"/>
          <w:lang w:eastAsia="en-US"/>
          <w14:ligatures w14:val="none"/>
        </w:rPr>
        <w:t>Cancer Epidemiol Biomarkers Prev</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28</w:t>
      </w:r>
      <w:r w:rsidRPr="00F14E16">
        <w:rPr>
          <w:rFonts w:ascii="Book Antiqua" w:eastAsia="宋体" w:hAnsi="Book Antiqua" w:cs="Times New Roman"/>
          <w:kern w:val="0"/>
          <w:sz w:val="24"/>
          <w:lang w:eastAsia="en-US"/>
          <w14:ligatures w14:val="none"/>
        </w:rPr>
        <w:t>: 370-383 [PMID: 30373903 DOI: 10.1158/1055-9965.EPI-18-0542]</w:t>
      </w:r>
    </w:p>
    <w:p w14:paraId="37A82F9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30 </w:t>
      </w:r>
      <w:r w:rsidRPr="00F14E16">
        <w:rPr>
          <w:rFonts w:ascii="Book Antiqua" w:eastAsia="宋体" w:hAnsi="Book Antiqua" w:cs="Times New Roman"/>
          <w:b/>
          <w:bCs/>
          <w:kern w:val="0"/>
          <w:sz w:val="24"/>
          <w:lang w:eastAsia="en-US"/>
          <w14:ligatures w14:val="none"/>
        </w:rPr>
        <w:t>Schmidt TS</w:t>
      </w:r>
      <w:r w:rsidRPr="00F14E16">
        <w:rPr>
          <w:rFonts w:ascii="Book Antiqua" w:eastAsia="宋体" w:hAnsi="Book Antiqua" w:cs="Times New Roman"/>
          <w:kern w:val="0"/>
          <w:sz w:val="24"/>
          <w:lang w:eastAsia="en-US"/>
          <w14:ligatures w14:val="none"/>
        </w:rPr>
        <w:t xml:space="preserve">, Hayward MR, Coelho LP, Li SS, Costea PI, Voigt AY, Wirbel J, Maistrenko OM, Alves RJ, Bergsten E, de Beaufort C, Sobhani I, Heintz-Buschart A, Sunagawa S, Zeller G, Wilmes P, Bork P. Extensive transmission of microbes along the gastrointestinal tract. </w:t>
      </w:r>
      <w:r w:rsidRPr="00F14E16">
        <w:rPr>
          <w:rFonts w:ascii="Book Antiqua" w:eastAsia="宋体" w:hAnsi="Book Antiqua" w:cs="Times New Roman"/>
          <w:i/>
          <w:iCs/>
          <w:kern w:val="0"/>
          <w:sz w:val="24"/>
          <w:lang w:eastAsia="en-US"/>
          <w14:ligatures w14:val="none"/>
        </w:rPr>
        <w:t>Elife</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xml:space="preserve"> [PMID: 30747106 DOI: 10.7554/eLife.42693]</w:t>
      </w:r>
    </w:p>
    <w:p w14:paraId="4A366F0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31 </w:t>
      </w:r>
      <w:r w:rsidRPr="00F14E16">
        <w:rPr>
          <w:rFonts w:ascii="Book Antiqua" w:eastAsia="宋体" w:hAnsi="Book Antiqua" w:cs="Times New Roman"/>
          <w:b/>
          <w:bCs/>
          <w:kern w:val="0"/>
          <w:sz w:val="24"/>
          <w:lang w:eastAsia="en-US"/>
          <w14:ligatures w14:val="none"/>
        </w:rPr>
        <w:t>Mitsuhashi K</w:t>
      </w:r>
      <w:r w:rsidRPr="00F14E16">
        <w:rPr>
          <w:rFonts w:ascii="Book Antiqua" w:eastAsia="宋体" w:hAnsi="Book Antiqua" w:cs="Times New Roman"/>
          <w:kern w:val="0"/>
          <w:sz w:val="24"/>
          <w:lang w:eastAsia="en-US"/>
          <w14:ligatures w14:val="none"/>
        </w:rPr>
        <w:t xml:space="preserve">, Nosho K, Sukawa Y, Matsunaga Y, Ito M, Kurihara H, Kanno S, Igarashi H, Naito T, Adachi Y, Tachibana M, Tanuma T, Maguchi H, Shinohara T, Hasegawa T, Imamura M, Kimura Y, Hirata K, Maruyama R, Suzuki H, Imai K, Yamamoto H, Shinomura Y. Association of Fusobacterium species in pancreatic cancer tissues with molecular features and prognosis. </w:t>
      </w:r>
      <w:r w:rsidRPr="00F14E16">
        <w:rPr>
          <w:rFonts w:ascii="Book Antiqua" w:eastAsia="宋体" w:hAnsi="Book Antiqua" w:cs="Times New Roman"/>
          <w:i/>
          <w:iCs/>
          <w:kern w:val="0"/>
          <w:sz w:val="24"/>
          <w:lang w:eastAsia="en-US"/>
          <w14:ligatures w14:val="none"/>
        </w:rPr>
        <w:t>Oncotarget</w:t>
      </w:r>
      <w:r w:rsidRPr="00F14E16">
        <w:rPr>
          <w:rFonts w:ascii="Book Antiqua" w:eastAsia="宋体" w:hAnsi="Book Antiqua" w:cs="Times New Roman"/>
          <w:kern w:val="0"/>
          <w:sz w:val="24"/>
          <w:lang w:eastAsia="en-US"/>
          <w14:ligatures w14:val="none"/>
        </w:rPr>
        <w:t xml:space="preserve"> 2015;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7209-7220 [PMID: 25797243 DOI: 10.18632/oncotarget.3109]</w:t>
      </w:r>
    </w:p>
    <w:p w14:paraId="254F0C3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32 </w:t>
      </w:r>
      <w:r w:rsidRPr="00F14E16">
        <w:rPr>
          <w:rFonts w:ascii="Book Antiqua" w:eastAsia="宋体" w:hAnsi="Book Antiqua" w:cs="Times New Roman"/>
          <w:b/>
          <w:bCs/>
          <w:kern w:val="0"/>
          <w:sz w:val="24"/>
          <w:lang w:eastAsia="en-US"/>
          <w14:ligatures w14:val="none"/>
        </w:rPr>
        <w:t>Abed J</w:t>
      </w:r>
      <w:r w:rsidRPr="00F14E16">
        <w:rPr>
          <w:rFonts w:ascii="Book Antiqua" w:eastAsia="宋体" w:hAnsi="Book Antiqua" w:cs="Times New Roman"/>
          <w:kern w:val="0"/>
          <w:sz w:val="24"/>
          <w:lang w:eastAsia="en-US"/>
          <w14:ligatures w14:val="none"/>
        </w:rPr>
        <w:t xml:space="preserve">, Emgård JE, Zamir G, Faroja M, Almogy G, Grenov A, Sol A, Naor R, Pikarsky E, Atlan KA, Mellul A, Chaushu S, Manson AL, Earl AM, Ou N, Brennan CA, Garrett WS, Bachrach G. Fap2 Mediates Fusobacterium nucleatum Colorectal Adenocarcinoma Enrichment by Binding to Tumor-Expressed Gal-GalNAc. </w:t>
      </w:r>
      <w:r w:rsidRPr="00F14E16">
        <w:rPr>
          <w:rFonts w:ascii="Book Antiqua" w:eastAsia="宋体" w:hAnsi="Book Antiqua" w:cs="Times New Roman"/>
          <w:i/>
          <w:iCs/>
          <w:kern w:val="0"/>
          <w:sz w:val="24"/>
          <w:lang w:eastAsia="en-US"/>
          <w14:ligatures w14:val="none"/>
        </w:rPr>
        <w:t>Cell Host Microbe</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20</w:t>
      </w:r>
      <w:r w:rsidRPr="00F14E16">
        <w:rPr>
          <w:rFonts w:ascii="Book Antiqua" w:eastAsia="宋体" w:hAnsi="Book Antiqua" w:cs="Times New Roman"/>
          <w:kern w:val="0"/>
          <w:sz w:val="24"/>
          <w:lang w:eastAsia="en-US"/>
          <w14:ligatures w14:val="none"/>
        </w:rPr>
        <w:t>: 215-225 [PMID: 27512904 DOI: 10.1016/j.chom.2016.07.006]</w:t>
      </w:r>
    </w:p>
    <w:p w14:paraId="64950A5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33 </w:t>
      </w:r>
      <w:r w:rsidRPr="00F14E16">
        <w:rPr>
          <w:rFonts w:ascii="Book Antiqua" w:eastAsia="宋体" w:hAnsi="Book Antiqua" w:cs="Times New Roman"/>
          <w:b/>
          <w:bCs/>
          <w:kern w:val="0"/>
          <w:sz w:val="24"/>
          <w:lang w:eastAsia="en-US"/>
          <w14:ligatures w14:val="none"/>
        </w:rPr>
        <w:t>Parhi L</w:t>
      </w:r>
      <w:r w:rsidRPr="00F14E16">
        <w:rPr>
          <w:rFonts w:ascii="Book Antiqua" w:eastAsia="宋体" w:hAnsi="Book Antiqua" w:cs="Times New Roman"/>
          <w:kern w:val="0"/>
          <w:sz w:val="24"/>
          <w:lang w:eastAsia="en-US"/>
          <w14:ligatures w14:val="none"/>
        </w:rPr>
        <w:t xml:space="preserve">, Alon-Maimon T, Sol A, Nejman D, Shhadeh A, Fainsod-Levi T, Yajuk O, Isaacson B, Abed J, Maalouf N, Nissan A, Sandbank J, Yehuda-Shnaidman E, Ponath F, Vogel J, Mandelboim O, Granot Z, Straussman R, Bachrach G. Breast cancer colonization by Fusobacterium nucleatum accelerates tumor growth and metastatic progression. </w:t>
      </w:r>
      <w:r w:rsidRPr="00F14E16">
        <w:rPr>
          <w:rFonts w:ascii="Book Antiqua" w:eastAsia="宋体" w:hAnsi="Book Antiqua" w:cs="Times New Roman"/>
          <w:i/>
          <w:iCs/>
          <w:kern w:val="0"/>
          <w:sz w:val="24"/>
          <w:lang w:eastAsia="en-US"/>
          <w14:ligatures w14:val="none"/>
        </w:rPr>
        <w:t>Nat Commun</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11</w:t>
      </w:r>
      <w:r w:rsidRPr="00F14E16">
        <w:rPr>
          <w:rFonts w:ascii="Book Antiqua" w:eastAsia="宋体" w:hAnsi="Book Antiqua" w:cs="Times New Roman"/>
          <w:kern w:val="0"/>
          <w:sz w:val="24"/>
          <w:lang w:eastAsia="en-US"/>
          <w14:ligatures w14:val="none"/>
        </w:rPr>
        <w:t>: 3259 [PMID: 32591509 DOI: 10.1038/s41467-020-16967-2]</w:t>
      </w:r>
    </w:p>
    <w:p w14:paraId="44BAED2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34 </w:t>
      </w:r>
      <w:r w:rsidRPr="00F14E16">
        <w:rPr>
          <w:rFonts w:ascii="Book Antiqua" w:eastAsia="宋体" w:hAnsi="Book Antiqua" w:cs="Times New Roman"/>
          <w:b/>
          <w:bCs/>
          <w:kern w:val="0"/>
          <w:sz w:val="24"/>
          <w:lang w:eastAsia="en-US"/>
          <w14:ligatures w14:val="none"/>
        </w:rPr>
        <w:t>Fu A</w:t>
      </w:r>
      <w:r w:rsidRPr="00F14E16">
        <w:rPr>
          <w:rFonts w:ascii="Book Antiqua" w:eastAsia="宋体" w:hAnsi="Book Antiqua" w:cs="Times New Roman"/>
          <w:kern w:val="0"/>
          <w:sz w:val="24"/>
          <w:lang w:eastAsia="en-US"/>
          <w14:ligatures w14:val="none"/>
        </w:rPr>
        <w:t xml:space="preserve">, Yao B, Dong T, Chen Y, Yao J, Liu Y, Li H, Bai H, Liu X, Zhang Y, Wang C, Guo Y, Li N, Cai S. Tumor-resident intracellular microbiota promotes metastatic colonization in breast cancer.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185</w:t>
      </w:r>
      <w:r w:rsidRPr="00F14E16">
        <w:rPr>
          <w:rFonts w:ascii="Book Antiqua" w:eastAsia="宋体" w:hAnsi="Book Antiqua" w:cs="Times New Roman"/>
          <w:kern w:val="0"/>
          <w:sz w:val="24"/>
          <w:lang w:eastAsia="en-US"/>
          <w14:ligatures w14:val="none"/>
        </w:rPr>
        <w:t>: 1356-1372.e26 [PMID: 35395179 DOI: 10.1016/j.cell.2022.02.027]</w:t>
      </w:r>
    </w:p>
    <w:p w14:paraId="5228851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35 </w:t>
      </w:r>
      <w:r w:rsidRPr="00F14E16">
        <w:rPr>
          <w:rFonts w:ascii="Book Antiqua" w:eastAsia="宋体" w:hAnsi="Book Antiqua" w:cs="Times New Roman"/>
          <w:b/>
          <w:bCs/>
          <w:kern w:val="0"/>
          <w:sz w:val="24"/>
          <w:lang w:eastAsia="en-US"/>
          <w14:ligatures w14:val="none"/>
        </w:rPr>
        <w:t>Tilg H</w:t>
      </w:r>
      <w:r w:rsidRPr="00F14E16">
        <w:rPr>
          <w:rFonts w:ascii="Book Antiqua" w:eastAsia="宋体" w:hAnsi="Book Antiqua" w:cs="Times New Roman"/>
          <w:kern w:val="0"/>
          <w:sz w:val="24"/>
          <w:lang w:eastAsia="en-US"/>
          <w14:ligatures w14:val="none"/>
        </w:rPr>
        <w:t xml:space="preserve">, Adolph TE, Trauner M. Gut-liver axis: Pathophysiological concepts and clinical implications. </w:t>
      </w:r>
      <w:r w:rsidRPr="00F14E16">
        <w:rPr>
          <w:rFonts w:ascii="Book Antiqua" w:eastAsia="宋体" w:hAnsi="Book Antiqua" w:cs="Times New Roman"/>
          <w:i/>
          <w:iCs/>
          <w:kern w:val="0"/>
          <w:sz w:val="24"/>
          <w:lang w:eastAsia="en-US"/>
          <w14:ligatures w14:val="none"/>
        </w:rPr>
        <w:t>Cell Metab</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34</w:t>
      </w:r>
      <w:r w:rsidRPr="00F14E16">
        <w:rPr>
          <w:rFonts w:ascii="Book Antiqua" w:eastAsia="宋体" w:hAnsi="Book Antiqua" w:cs="Times New Roman"/>
          <w:kern w:val="0"/>
          <w:sz w:val="24"/>
          <w:lang w:eastAsia="en-US"/>
          <w14:ligatures w14:val="none"/>
        </w:rPr>
        <w:t>: 1700-1718 [PMID: 36208625 DOI: 10.1016/j.cmet.2022.09.017]</w:t>
      </w:r>
    </w:p>
    <w:p w14:paraId="7786F60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36 </w:t>
      </w:r>
      <w:r w:rsidRPr="00F14E16">
        <w:rPr>
          <w:rFonts w:ascii="Book Antiqua" w:eastAsia="宋体" w:hAnsi="Book Antiqua" w:cs="Times New Roman"/>
          <w:b/>
          <w:bCs/>
          <w:kern w:val="0"/>
          <w:sz w:val="24"/>
          <w:lang w:eastAsia="en-US"/>
          <w14:ligatures w14:val="none"/>
        </w:rPr>
        <w:t>Widdison AL</w:t>
      </w:r>
      <w:r w:rsidRPr="00F14E16">
        <w:rPr>
          <w:rFonts w:ascii="Book Antiqua" w:eastAsia="宋体" w:hAnsi="Book Antiqua" w:cs="Times New Roman"/>
          <w:kern w:val="0"/>
          <w:sz w:val="24"/>
          <w:lang w:eastAsia="en-US"/>
          <w14:ligatures w14:val="none"/>
        </w:rPr>
        <w:t xml:space="preserve">, Karanjia ND, Reber HA. Routes of spread of pathogens into the pancreas in a feline model of acute pancreatitis. </w:t>
      </w:r>
      <w:r w:rsidRPr="00F14E16">
        <w:rPr>
          <w:rFonts w:ascii="Book Antiqua" w:eastAsia="宋体" w:hAnsi="Book Antiqua" w:cs="Times New Roman"/>
          <w:i/>
          <w:iCs/>
          <w:kern w:val="0"/>
          <w:sz w:val="24"/>
          <w:lang w:eastAsia="en-US"/>
          <w14:ligatures w14:val="none"/>
        </w:rPr>
        <w:t>Gut</w:t>
      </w:r>
      <w:r w:rsidRPr="00F14E16">
        <w:rPr>
          <w:rFonts w:ascii="Book Antiqua" w:eastAsia="宋体" w:hAnsi="Book Antiqua" w:cs="Times New Roman"/>
          <w:kern w:val="0"/>
          <w:sz w:val="24"/>
          <w:lang w:eastAsia="en-US"/>
          <w14:ligatures w14:val="none"/>
        </w:rPr>
        <w:t xml:space="preserve"> 1994; </w:t>
      </w:r>
      <w:r w:rsidRPr="00F14E16">
        <w:rPr>
          <w:rFonts w:ascii="Book Antiqua" w:eastAsia="宋体" w:hAnsi="Book Antiqua" w:cs="Times New Roman"/>
          <w:b/>
          <w:bCs/>
          <w:kern w:val="0"/>
          <w:sz w:val="24"/>
          <w:lang w:eastAsia="en-US"/>
          <w14:ligatures w14:val="none"/>
        </w:rPr>
        <w:t>35</w:t>
      </w:r>
      <w:r w:rsidRPr="00F14E16">
        <w:rPr>
          <w:rFonts w:ascii="Book Antiqua" w:eastAsia="宋体" w:hAnsi="Book Antiqua" w:cs="Times New Roman"/>
          <w:kern w:val="0"/>
          <w:sz w:val="24"/>
          <w:lang w:eastAsia="en-US"/>
          <w14:ligatures w14:val="none"/>
        </w:rPr>
        <w:t>: 1306-1310 [PMID: 7959243 DOI: 10.1136/gut.35.9.1306]</w:t>
      </w:r>
    </w:p>
    <w:p w14:paraId="0F9A7F7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37 </w:t>
      </w:r>
      <w:r w:rsidRPr="00F14E16">
        <w:rPr>
          <w:rFonts w:ascii="Book Antiqua" w:eastAsia="宋体" w:hAnsi="Book Antiqua" w:cs="Times New Roman"/>
          <w:b/>
          <w:bCs/>
          <w:kern w:val="0"/>
          <w:sz w:val="24"/>
          <w:lang w:eastAsia="en-US"/>
          <w14:ligatures w14:val="none"/>
        </w:rPr>
        <w:t>Liu J</w:t>
      </w:r>
      <w:r w:rsidRPr="00F14E16">
        <w:rPr>
          <w:rFonts w:ascii="Book Antiqua" w:eastAsia="宋体" w:hAnsi="Book Antiqua" w:cs="Times New Roman"/>
          <w:kern w:val="0"/>
          <w:sz w:val="24"/>
          <w:lang w:eastAsia="en-US"/>
          <w14:ligatures w14:val="none"/>
        </w:rPr>
        <w:t xml:space="preserve">, Huang L, Luo M, Xia X. Bacterial translocation in acute pancreatitis. </w:t>
      </w:r>
      <w:r w:rsidRPr="00F14E16">
        <w:rPr>
          <w:rFonts w:ascii="Book Antiqua" w:eastAsia="宋体" w:hAnsi="Book Antiqua" w:cs="Times New Roman"/>
          <w:i/>
          <w:iCs/>
          <w:kern w:val="0"/>
          <w:sz w:val="24"/>
          <w:lang w:eastAsia="en-US"/>
          <w14:ligatures w14:val="none"/>
        </w:rPr>
        <w:t>Crit Rev Microbiol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45</w:t>
      </w:r>
      <w:r w:rsidRPr="00F14E16">
        <w:rPr>
          <w:rFonts w:ascii="Book Antiqua" w:eastAsia="宋体" w:hAnsi="Book Antiqua" w:cs="Times New Roman"/>
          <w:kern w:val="0"/>
          <w:sz w:val="24"/>
          <w:lang w:eastAsia="en-US"/>
          <w14:ligatures w14:val="none"/>
        </w:rPr>
        <w:t>: 539-547 [PMID: 31851854 DOI: 10.1080/1040841X.2019.1621795]</w:t>
      </w:r>
    </w:p>
    <w:p w14:paraId="3518757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38 </w:t>
      </w:r>
      <w:r w:rsidRPr="00F14E16">
        <w:rPr>
          <w:rFonts w:ascii="Book Antiqua" w:eastAsia="宋体" w:hAnsi="Book Antiqua" w:cs="Times New Roman"/>
          <w:b/>
          <w:bCs/>
          <w:kern w:val="0"/>
          <w:sz w:val="24"/>
          <w:lang w:eastAsia="en-US"/>
          <w14:ligatures w14:val="none"/>
        </w:rPr>
        <w:t>Diehl GE</w:t>
      </w:r>
      <w:r w:rsidRPr="00F14E16">
        <w:rPr>
          <w:rFonts w:ascii="Book Antiqua" w:eastAsia="宋体" w:hAnsi="Book Antiqua" w:cs="Times New Roman"/>
          <w:kern w:val="0"/>
          <w:sz w:val="24"/>
          <w:lang w:eastAsia="en-US"/>
          <w14:ligatures w14:val="none"/>
        </w:rPr>
        <w:t xml:space="preserve">, Longman RS, Zhang JX, Breart B, Galan C, Cuesta A, Schwab SR, Littman DR. Microbiota restricts trafficking of bacteria to mesenteric lymph nodes by CX(3)CR1(hi) cells. </w:t>
      </w:r>
      <w:r w:rsidRPr="00F14E16">
        <w:rPr>
          <w:rFonts w:ascii="Book Antiqua" w:eastAsia="宋体" w:hAnsi="Book Antiqua" w:cs="Times New Roman"/>
          <w:i/>
          <w:iCs/>
          <w:kern w:val="0"/>
          <w:sz w:val="24"/>
          <w:lang w:eastAsia="en-US"/>
          <w14:ligatures w14:val="none"/>
        </w:rPr>
        <w:t>Nature</w:t>
      </w:r>
      <w:r w:rsidRPr="00F14E16">
        <w:rPr>
          <w:rFonts w:ascii="Book Antiqua" w:eastAsia="宋体" w:hAnsi="Book Antiqua" w:cs="Times New Roman"/>
          <w:kern w:val="0"/>
          <w:sz w:val="24"/>
          <w:lang w:eastAsia="en-US"/>
          <w14:ligatures w14:val="none"/>
        </w:rPr>
        <w:t xml:space="preserve"> 2013; </w:t>
      </w:r>
      <w:r w:rsidRPr="00F14E16">
        <w:rPr>
          <w:rFonts w:ascii="Book Antiqua" w:eastAsia="宋体" w:hAnsi="Book Antiqua" w:cs="Times New Roman"/>
          <w:b/>
          <w:bCs/>
          <w:kern w:val="0"/>
          <w:sz w:val="24"/>
          <w:lang w:eastAsia="en-US"/>
          <w14:ligatures w14:val="none"/>
        </w:rPr>
        <w:t>494</w:t>
      </w:r>
      <w:r w:rsidRPr="00F14E16">
        <w:rPr>
          <w:rFonts w:ascii="Book Antiqua" w:eastAsia="宋体" w:hAnsi="Book Antiqua" w:cs="Times New Roman"/>
          <w:kern w:val="0"/>
          <w:sz w:val="24"/>
          <w:lang w:eastAsia="en-US"/>
          <w14:ligatures w14:val="none"/>
        </w:rPr>
        <w:t>: 116-120 [PMID: 23334413 DOI: 10.1038/nature11809]</w:t>
      </w:r>
    </w:p>
    <w:p w14:paraId="065EEE1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39 </w:t>
      </w:r>
      <w:r w:rsidRPr="00F14E16">
        <w:rPr>
          <w:rFonts w:ascii="Book Antiqua" w:eastAsia="宋体" w:hAnsi="Book Antiqua" w:cs="Times New Roman"/>
          <w:b/>
          <w:bCs/>
          <w:kern w:val="0"/>
          <w:sz w:val="24"/>
          <w:lang w:eastAsia="en-US"/>
          <w14:ligatures w14:val="none"/>
        </w:rPr>
        <w:t>Bravo-Blas A</w:t>
      </w:r>
      <w:r w:rsidRPr="00F14E16">
        <w:rPr>
          <w:rFonts w:ascii="Book Antiqua" w:eastAsia="宋体" w:hAnsi="Book Antiqua" w:cs="Times New Roman"/>
          <w:kern w:val="0"/>
          <w:sz w:val="24"/>
          <w:lang w:eastAsia="en-US"/>
          <w14:ligatures w14:val="none"/>
        </w:rPr>
        <w:t xml:space="preserve">, Utriainen L, Clay SL, Kästele V, Cerovic V, Cunningham AF, Henderson IR, Wall DM, Milling SWF. Salmonella enterica Serovar Typhimurium Travels to Mesenteric Lymph Nodes Both with Host Cells and Autonomously. </w:t>
      </w:r>
      <w:r w:rsidRPr="00F14E16">
        <w:rPr>
          <w:rFonts w:ascii="Book Antiqua" w:eastAsia="宋体" w:hAnsi="Book Antiqua" w:cs="Times New Roman"/>
          <w:i/>
          <w:iCs/>
          <w:kern w:val="0"/>
          <w:sz w:val="24"/>
          <w:lang w:eastAsia="en-US"/>
          <w14:ligatures w14:val="none"/>
        </w:rPr>
        <w:t>J Immunol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202</w:t>
      </w:r>
      <w:r w:rsidRPr="00F14E16">
        <w:rPr>
          <w:rFonts w:ascii="Book Antiqua" w:eastAsia="宋体" w:hAnsi="Book Antiqua" w:cs="Times New Roman"/>
          <w:kern w:val="0"/>
          <w:sz w:val="24"/>
          <w:lang w:eastAsia="en-US"/>
          <w14:ligatures w14:val="none"/>
        </w:rPr>
        <w:t>: 260-267 [PMID: 30487173 DOI: 10.4049/jimmunol.1701254]</w:t>
      </w:r>
    </w:p>
    <w:p w14:paraId="02DF862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40 </w:t>
      </w:r>
      <w:r w:rsidRPr="00F14E16">
        <w:rPr>
          <w:rFonts w:ascii="Book Antiqua" w:eastAsia="宋体" w:hAnsi="Book Antiqua" w:cs="Times New Roman"/>
          <w:b/>
          <w:bCs/>
          <w:kern w:val="0"/>
          <w:sz w:val="24"/>
          <w:lang w:eastAsia="en-US"/>
          <w14:ligatures w14:val="none"/>
        </w:rPr>
        <w:t>Fritz S</w:t>
      </w:r>
      <w:r w:rsidRPr="00F14E16">
        <w:rPr>
          <w:rFonts w:ascii="Book Antiqua" w:eastAsia="宋体" w:hAnsi="Book Antiqua" w:cs="Times New Roman"/>
          <w:kern w:val="0"/>
          <w:sz w:val="24"/>
          <w:lang w:eastAsia="en-US"/>
          <w14:ligatures w14:val="none"/>
        </w:rPr>
        <w:t xml:space="preserve">, Hackert T, Hartwig W, Rossmanith F, Strobel O, Schneider L, Will-Schweiger K, Kommerell M, Büchler MW, Werner J. Bacterial translocation and infected pancreatic necrosis in acute necrotizing pancreatitis derives from small bowel rather than from colon. </w:t>
      </w:r>
      <w:r w:rsidRPr="00F14E16">
        <w:rPr>
          <w:rFonts w:ascii="Book Antiqua" w:eastAsia="宋体" w:hAnsi="Book Antiqua" w:cs="Times New Roman"/>
          <w:i/>
          <w:iCs/>
          <w:kern w:val="0"/>
          <w:sz w:val="24"/>
          <w:lang w:eastAsia="en-US"/>
          <w14:ligatures w14:val="none"/>
        </w:rPr>
        <w:t>Am J Surg</w:t>
      </w:r>
      <w:r w:rsidRPr="00F14E16">
        <w:rPr>
          <w:rFonts w:ascii="Book Antiqua" w:eastAsia="宋体" w:hAnsi="Book Antiqua" w:cs="Times New Roman"/>
          <w:kern w:val="0"/>
          <w:sz w:val="24"/>
          <w:lang w:eastAsia="en-US"/>
          <w14:ligatures w14:val="none"/>
        </w:rPr>
        <w:t xml:space="preserve"> 2010; </w:t>
      </w:r>
      <w:r w:rsidRPr="00F14E16">
        <w:rPr>
          <w:rFonts w:ascii="Book Antiqua" w:eastAsia="宋体" w:hAnsi="Book Antiqua" w:cs="Times New Roman"/>
          <w:b/>
          <w:bCs/>
          <w:kern w:val="0"/>
          <w:sz w:val="24"/>
          <w:lang w:eastAsia="en-US"/>
          <w14:ligatures w14:val="none"/>
        </w:rPr>
        <w:t>200</w:t>
      </w:r>
      <w:r w:rsidRPr="00F14E16">
        <w:rPr>
          <w:rFonts w:ascii="Book Antiqua" w:eastAsia="宋体" w:hAnsi="Book Antiqua" w:cs="Times New Roman"/>
          <w:kern w:val="0"/>
          <w:sz w:val="24"/>
          <w:lang w:eastAsia="en-US"/>
          <w14:ligatures w14:val="none"/>
        </w:rPr>
        <w:t>: 111-117 [PMID: 20637344 DOI: 10.1016/j.amjsurg.2009.08.019]</w:t>
      </w:r>
    </w:p>
    <w:p w14:paraId="542A2B5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41 </w:t>
      </w:r>
      <w:r w:rsidRPr="00F14E16">
        <w:rPr>
          <w:rFonts w:ascii="Book Antiqua" w:eastAsia="宋体" w:hAnsi="Book Antiqua" w:cs="Times New Roman"/>
          <w:b/>
          <w:bCs/>
          <w:kern w:val="0"/>
          <w:sz w:val="24"/>
          <w:lang w:eastAsia="en-US"/>
          <w14:ligatures w14:val="none"/>
        </w:rPr>
        <w:t>Forestier C</w:t>
      </w:r>
      <w:r w:rsidRPr="00F14E16">
        <w:rPr>
          <w:rFonts w:ascii="Book Antiqua" w:eastAsia="宋体" w:hAnsi="Book Antiqua" w:cs="Times New Roman"/>
          <w:kern w:val="0"/>
          <w:sz w:val="24"/>
          <w:lang w:eastAsia="en-US"/>
          <w14:ligatures w14:val="none"/>
        </w:rPr>
        <w:t xml:space="preserve">, Moreno E, Pizarro-Cerda J, Gorvel JP. Lysosomal accumulation and recycling of lipopolysaccharide to the cell surface of murine macrophages, an in vitro and in vivo study. </w:t>
      </w:r>
      <w:r w:rsidRPr="00F14E16">
        <w:rPr>
          <w:rFonts w:ascii="Book Antiqua" w:eastAsia="宋体" w:hAnsi="Book Antiqua" w:cs="Times New Roman"/>
          <w:i/>
          <w:iCs/>
          <w:kern w:val="0"/>
          <w:sz w:val="24"/>
          <w:lang w:eastAsia="en-US"/>
          <w14:ligatures w14:val="none"/>
        </w:rPr>
        <w:t>J Immunol</w:t>
      </w:r>
      <w:r w:rsidRPr="00F14E16">
        <w:rPr>
          <w:rFonts w:ascii="Book Antiqua" w:eastAsia="宋体" w:hAnsi="Book Antiqua" w:cs="Times New Roman"/>
          <w:kern w:val="0"/>
          <w:sz w:val="24"/>
          <w:lang w:eastAsia="en-US"/>
          <w14:ligatures w14:val="none"/>
        </w:rPr>
        <w:t xml:space="preserve"> 1999; </w:t>
      </w:r>
      <w:r w:rsidRPr="00F14E16">
        <w:rPr>
          <w:rFonts w:ascii="Book Antiqua" w:eastAsia="宋体" w:hAnsi="Book Antiqua" w:cs="Times New Roman"/>
          <w:b/>
          <w:bCs/>
          <w:kern w:val="0"/>
          <w:sz w:val="24"/>
          <w:lang w:eastAsia="en-US"/>
          <w14:ligatures w14:val="none"/>
        </w:rPr>
        <w:t>162</w:t>
      </w:r>
      <w:r w:rsidRPr="00F14E16">
        <w:rPr>
          <w:rFonts w:ascii="Book Antiqua" w:eastAsia="宋体" w:hAnsi="Book Antiqua" w:cs="Times New Roman"/>
          <w:kern w:val="0"/>
          <w:sz w:val="24"/>
          <w:lang w:eastAsia="en-US"/>
          <w14:ligatures w14:val="none"/>
        </w:rPr>
        <w:t>: 6784-6791 [PMID: 10352299]</w:t>
      </w:r>
    </w:p>
    <w:p w14:paraId="70CD395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42 </w:t>
      </w:r>
      <w:r w:rsidRPr="00F14E16">
        <w:rPr>
          <w:rFonts w:ascii="Book Antiqua" w:eastAsia="宋体" w:hAnsi="Book Antiqua" w:cs="Times New Roman"/>
          <w:b/>
          <w:bCs/>
          <w:kern w:val="0"/>
          <w:sz w:val="24"/>
          <w:lang w:eastAsia="en-US"/>
          <w14:ligatures w14:val="none"/>
        </w:rPr>
        <w:t>Iwai T</w:t>
      </w:r>
      <w:r w:rsidRPr="00F14E16">
        <w:rPr>
          <w:rFonts w:ascii="Book Antiqua" w:eastAsia="宋体" w:hAnsi="Book Antiqua" w:cs="Times New Roman"/>
          <w:kern w:val="0"/>
          <w:sz w:val="24"/>
          <w:lang w:eastAsia="en-US"/>
          <w14:ligatures w14:val="none"/>
        </w:rPr>
        <w:t xml:space="preserve">. Periodontal bacteremia and various vascular diseases. </w:t>
      </w:r>
      <w:r w:rsidRPr="00F14E16">
        <w:rPr>
          <w:rFonts w:ascii="Book Antiqua" w:eastAsia="宋体" w:hAnsi="Book Antiqua" w:cs="Times New Roman"/>
          <w:i/>
          <w:iCs/>
          <w:kern w:val="0"/>
          <w:sz w:val="24"/>
          <w:lang w:eastAsia="en-US"/>
          <w14:ligatures w14:val="none"/>
        </w:rPr>
        <w:t>J Periodontal Res</w:t>
      </w:r>
      <w:r w:rsidRPr="00F14E16">
        <w:rPr>
          <w:rFonts w:ascii="Book Antiqua" w:eastAsia="宋体" w:hAnsi="Book Antiqua" w:cs="Times New Roman"/>
          <w:kern w:val="0"/>
          <w:sz w:val="24"/>
          <w:lang w:eastAsia="en-US"/>
          <w14:ligatures w14:val="none"/>
        </w:rPr>
        <w:t xml:space="preserve"> 2009; </w:t>
      </w:r>
      <w:r w:rsidRPr="00F14E16">
        <w:rPr>
          <w:rFonts w:ascii="Book Antiqua" w:eastAsia="宋体" w:hAnsi="Book Antiqua" w:cs="Times New Roman"/>
          <w:b/>
          <w:bCs/>
          <w:kern w:val="0"/>
          <w:sz w:val="24"/>
          <w:lang w:eastAsia="en-US"/>
          <w14:ligatures w14:val="none"/>
        </w:rPr>
        <w:t>44</w:t>
      </w:r>
      <w:r w:rsidRPr="00F14E16">
        <w:rPr>
          <w:rFonts w:ascii="Book Antiqua" w:eastAsia="宋体" w:hAnsi="Book Antiqua" w:cs="Times New Roman"/>
          <w:kern w:val="0"/>
          <w:sz w:val="24"/>
          <w:lang w:eastAsia="en-US"/>
          <w14:ligatures w14:val="none"/>
        </w:rPr>
        <w:t>: 689-694 [PMID: 19874452 DOI: 10.1111/j.1600-0765.2008.01165.x]</w:t>
      </w:r>
    </w:p>
    <w:p w14:paraId="0C1CB65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43 </w:t>
      </w:r>
      <w:r w:rsidRPr="00F14E16">
        <w:rPr>
          <w:rFonts w:ascii="Book Antiqua" w:eastAsia="宋体" w:hAnsi="Book Antiqua" w:cs="Times New Roman"/>
          <w:b/>
          <w:bCs/>
          <w:kern w:val="0"/>
          <w:sz w:val="24"/>
          <w:lang w:eastAsia="en-US"/>
          <w14:ligatures w14:val="none"/>
        </w:rPr>
        <w:t>Sakamoto H</w:t>
      </w:r>
      <w:r w:rsidRPr="00F14E16">
        <w:rPr>
          <w:rFonts w:ascii="Book Antiqua" w:eastAsia="宋体" w:hAnsi="Book Antiqua" w:cs="Times New Roman"/>
          <w:kern w:val="0"/>
          <w:sz w:val="24"/>
          <w:lang w:eastAsia="en-US"/>
          <w14:ligatures w14:val="none"/>
        </w:rPr>
        <w:t xml:space="preserve">, Naito H, Ohta Y, Tanakna R, Maeda N, Sasaki J, Nord CE. Isolation of bacteria from cervical lymph nodes in patients with oral cancer. </w:t>
      </w:r>
      <w:r w:rsidRPr="00F14E16">
        <w:rPr>
          <w:rFonts w:ascii="Book Antiqua" w:eastAsia="宋体" w:hAnsi="Book Antiqua" w:cs="Times New Roman"/>
          <w:i/>
          <w:iCs/>
          <w:kern w:val="0"/>
          <w:sz w:val="24"/>
          <w:lang w:eastAsia="en-US"/>
          <w14:ligatures w14:val="none"/>
        </w:rPr>
        <w:t>Arch Oral Biol</w:t>
      </w:r>
      <w:r w:rsidRPr="00F14E16">
        <w:rPr>
          <w:rFonts w:ascii="Book Antiqua" w:eastAsia="宋体" w:hAnsi="Book Antiqua" w:cs="Times New Roman"/>
          <w:kern w:val="0"/>
          <w:sz w:val="24"/>
          <w:lang w:eastAsia="en-US"/>
          <w14:ligatures w14:val="none"/>
        </w:rPr>
        <w:t xml:space="preserve"> 1999; </w:t>
      </w:r>
      <w:r w:rsidRPr="00F14E16">
        <w:rPr>
          <w:rFonts w:ascii="Book Antiqua" w:eastAsia="宋体" w:hAnsi="Book Antiqua" w:cs="Times New Roman"/>
          <w:b/>
          <w:bCs/>
          <w:kern w:val="0"/>
          <w:sz w:val="24"/>
          <w:lang w:eastAsia="en-US"/>
          <w14:ligatures w14:val="none"/>
        </w:rPr>
        <w:t>44</w:t>
      </w:r>
      <w:r w:rsidRPr="00F14E16">
        <w:rPr>
          <w:rFonts w:ascii="Book Antiqua" w:eastAsia="宋体" w:hAnsi="Book Antiqua" w:cs="Times New Roman"/>
          <w:kern w:val="0"/>
          <w:sz w:val="24"/>
          <w:lang w:eastAsia="en-US"/>
          <w14:ligatures w14:val="none"/>
        </w:rPr>
        <w:t>: 789-793 [PMID: 10530911 DOI: 10.1016/s0003-9969(99)00079-5]</w:t>
      </w:r>
    </w:p>
    <w:p w14:paraId="448AE57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44 </w:t>
      </w:r>
      <w:r w:rsidRPr="00F14E16">
        <w:rPr>
          <w:rFonts w:ascii="Book Antiqua" w:eastAsia="宋体" w:hAnsi="Book Antiqua" w:cs="Times New Roman"/>
          <w:b/>
          <w:bCs/>
          <w:kern w:val="0"/>
          <w:sz w:val="24"/>
          <w:lang w:eastAsia="en-US"/>
          <w14:ligatures w14:val="none"/>
        </w:rPr>
        <w:t>Gnanasekaran J</w:t>
      </w:r>
      <w:r w:rsidRPr="00F14E16">
        <w:rPr>
          <w:rFonts w:ascii="Book Antiqua" w:eastAsia="宋体" w:hAnsi="Book Antiqua" w:cs="Times New Roman"/>
          <w:kern w:val="0"/>
          <w:sz w:val="24"/>
          <w:lang w:eastAsia="en-US"/>
          <w14:ligatures w14:val="none"/>
        </w:rPr>
        <w:t xml:space="preserve">, Binder Gallimidi A, Saba E, Pandi K, Eli Berchoer L, Hermano E, Angabo S, Makkawi HA, Khashan A, Daoud A, Elkin M, Nussbaum G. Intracellular Porphyromonas gingivalis Promotes the Tumorigenic Behavior of Pancreatic Carcinoma Cells. </w:t>
      </w:r>
      <w:r w:rsidRPr="00F14E16">
        <w:rPr>
          <w:rFonts w:ascii="Book Antiqua" w:eastAsia="宋体" w:hAnsi="Book Antiqua" w:cs="Times New Roman"/>
          <w:i/>
          <w:iCs/>
          <w:kern w:val="0"/>
          <w:sz w:val="24"/>
          <w:lang w:eastAsia="en-US"/>
          <w14:ligatures w14:val="none"/>
        </w:rPr>
        <w:t>Cancers (Basel)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12</w:t>
      </w:r>
      <w:r w:rsidRPr="00F14E16">
        <w:rPr>
          <w:rFonts w:ascii="Book Antiqua" w:eastAsia="宋体" w:hAnsi="Book Antiqua" w:cs="Times New Roman"/>
          <w:kern w:val="0"/>
          <w:sz w:val="24"/>
          <w:lang w:eastAsia="en-US"/>
          <w14:ligatures w14:val="none"/>
        </w:rPr>
        <w:t xml:space="preserve"> [PMID: 32824786 DOI: 10.3390/cancers12082331]</w:t>
      </w:r>
    </w:p>
    <w:p w14:paraId="1F91EE3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45 </w:t>
      </w:r>
      <w:r w:rsidRPr="00F14E16">
        <w:rPr>
          <w:rFonts w:ascii="Book Antiqua" w:eastAsia="宋体" w:hAnsi="Book Antiqua" w:cs="Times New Roman"/>
          <w:b/>
          <w:bCs/>
          <w:kern w:val="0"/>
          <w:sz w:val="24"/>
          <w:lang w:eastAsia="en-US"/>
          <w14:ligatures w14:val="none"/>
        </w:rPr>
        <w:t>Halimi A</w:t>
      </w:r>
      <w:r w:rsidRPr="00F14E16">
        <w:rPr>
          <w:rFonts w:ascii="Book Antiqua" w:eastAsia="宋体" w:hAnsi="Book Antiqua" w:cs="Times New Roman"/>
          <w:kern w:val="0"/>
          <w:sz w:val="24"/>
          <w:lang w:eastAsia="en-US"/>
          <w14:ligatures w14:val="none"/>
        </w:rPr>
        <w:t xml:space="preserve">, Gabarrini G, Sobkowiak MJ, Ateeb Z, Davanian H, Gaiser RA, Arnelo U, Valente R, Wong AYW, Moro CF, Del Chiaro M, Özenci V, Chen MS. Isolation of </w:t>
      </w:r>
      <w:r w:rsidRPr="00F14E16">
        <w:rPr>
          <w:rFonts w:ascii="Book Antiqua" w:eastAsia="宋体" w:hAnsi="Book Antiqua" w:cs="Times New Roman"/>
          <w:kern w:val="0"/>
          <w:sz w:val="24"/>
          <w:lang w:eastAsia="en-US"/>
          <w14:ligatures w14:val="none"/>
        </w:rPr>
        <w:lastRenderedPageBreak/>
        <w:t xml:space="preserve">pancreatic microbiota from cystic precursors of pancreatic cancer with intracellular growth and DNA damaging properties. </w:t>
      </w:r>
      <w:r w:rsidRPr="00F14E16">
        <w:rPr>
          <w:rFonts w:ascii="Book Antiqua" w:eastAsia="宋体" w:hAnsi="Book Antiqua" w:cs="Times New Roman"/>
          <w:i/>
          <w:iCs/>
          <w:kern w:val="0"/>
          <w:sz w:val="24"/>
          <w:lang w:eastAsia="en-US"/>
          <w14:ligatures w14:val="none"/>
        </w:rPr>
        <w:t>Gut Microbes</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13</w:t>
      </w:r>
      <w:r w:rsidRPr="00F14E16">
        <w:rPr>
          <w:rFonts w:ascii="Book Antiqua" w:eastAsia="宋体" w:hAnsi="Book Antiqua" w:cs="Times New Roman"/>
          <w:kern w:val="0"/>
          <w:sz w:val="24"/>
          <w:lang w:eastAsia="en-US"/>
          <w14:ligatures w14:val="none"/>
        </w:rPr>
        <w:t>: 1983101 [PMID: 34816784 DOI: 10.1080/19490976.2021.1983101]</w:t>
      </w:r>
    </w:p>
    <w:p w14:paraId="3C6D2BC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46 </w:t>
      </w:r>
      <w:r w:rsidRPr="00F14E16">
        <w:rPr>
          <w:rFonts w:ascii="Book Antiqua" w:eastAsia="宋体" w:hAnsi="Book Antiqua" w:cs="Times New Roman"/>
          <w:b/>
          <w:bCs/>
          <w:kern w:val="0"/>
          <w:sz w:val="24"/>
          <w:lang w:eastAsia="en-US"/>
          <w14:ligatures w14:val="none"/>
        </w:rPr>
        <w:t>Jeong JY</w:t>
      </w:r>
      <w:r w:rsidRPr="00F14E16">
        <w:rPr>
          <w:rFonts w:ascii="Book Antiqua" w:eastAsia="宋体" w:hAnsi="Book Antiqua" w:cs="Times New Roman"/>
          <w:kern w:val="0"/>
          <w:sz w:val="24"/>
          <w:lang w:eastAsia="en-US"/>
          <w14:ligatures w14:val="none"/>
        </w:rPr>
        <w:t xml:space="preserve">, Kim TB, Kim J, Choi HW, Kim EJ, Yoo HJ, Lee S, Jun HR, Yoo W, Kim S, Kim SC, Jun E. Diversity in the Extracellular Vesicle-Derived Microbiome of Tissues According to Tumor Progression in Pancreatic Cancer. </w:t>
      </w:r>
      <w:r w:rsidRPr="00F14E16">
        <w:rPr>
          <w:rFonts w:ascii="Book Antiqua" w:eastAsia="宋体" w:hAnsi="Book Antiqua" w:cs="Times New Roman"/>
          <w:i/>
          <w:iCs/>
          <w:kern w:val="0"/>
          <w:sz w:val="24"/>
          <w:lang w:eastAsia="en-US"/>
          <w14:ligatures w14:val="none"/>
        </w:rPr>
        <w:t>Cancers (Basel)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12</w:t>
      </w:r>
      <w:r w:rsidRPr="00F14E16">
        <w:rPr>
          <w:rFonts w:ascii="Book Antiqua" w:eastAsia="宋体" w:hAnsi="Book Antiqua" w:cs="Times New Roman"/>
          <w:kern w:val="0"/>
          <w:sz w:val="24"/>
          <w:lang w:eastAsia="en-US"/>
          <w14:ligatures w14:val="none"/>
        </w:rPr>
        <w:t xml:space="preserve"> [PMID: 32825137 DOI: 10.3390/cancers12092346]</w:t>
      </w:r>
    </w:p>
    <w:p w14:paraId="4334F25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47 </w:t>
      </w:r>
      <w:r w:rsidRPr="00F14E16">
        <w:rPr>
          <w:rFonts w:ascii="Book Antiqua" w:eastAsia="宋体" w:hAnsi="Book Antiqua" w:cs="Times New Roman"/>
          <w:b/>
          <w:bCs/>
          <w:kern w:val="0"/>
          <w:sz w:val="24"/>
          <w:lang w:eastAsia="en-US"/>
          <w14:ligatures w14:val="none"/>
        </w:rPr>
        <w:t>Petit TJP</w:t>
      </w:r>
      <w:r w:rsidRPr="00F14E16">
        <w:rPr>
          <w:rFonts w:ascii="Book Antiqua" w:eastAsia="宋体" w:hAnsi="Book Antiqua" w:cs="Times New Roman"/>
          <w:kern w:val="0"/>
          <w:sz w:val="24"/>
          <w:lang w:eastAsia="en-US"/>
          <w14:ligatures w14:val="none"/>
        </w:rPr>
        <w:t xml:space="preserve">, Lebreton A. Adaptations of intracellular bacteria to vacuolar or cytosolic niches. </w:t>
      </w:r>
      <w:r w:rsidRPr="00F14E16">
        <w:rPr>
          <w:rFonts w:ascii="Book Antiqua" w:eastAsia="宋体" w:hAnsi="Book Antiqua" w:cs="Times New Roman"/>
          <w:i/>
          <w:iCs/>
          <w:kern w:val="0"/>
          <w:sz w:val="24"/>
          <w:lang w:eastAsia="en-US"/>
          <w14:ligatures w14:val="none"/>
        </w:rPr>
        <w:t>Trends Microbiol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30</w:t>
      </w:r>
      <w:r w:rsidRPr="00F14E16">
        <w:rPr>
          <w:rFonts w:ascii="Book Antiqua" w:eastAsia="宋体" w:hAnsi="Book Antiqua" w:cs="Times New Roman"/>
          <w:kern w:val="0"/>
          <w:sz w:val="24"/>
          <w:lang w:eastAsia="en-US"/>
          <w14:ligatures w14:val="none"/>
        </w:rPr>
        <w:t>: 736-748 [PMID: 35168833 DOI: 10.1016/j.tim.2022.01.015]</w:t>
      </w:r>
    </w:p>
    <w:p w14:paraId="6141E24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48 </w:t>
      </w:r>
      <w:r w:rsidRPr="00F14E16">
        <w:rPr>
          <w:rFonts w:ascii="Book Antiqua" w:eastAsia="宋体" w:hAnsi="Book Antiqua" w:cs="Times New Roman"/>
          <w:b/>
          <w:bCs/>
          <w:kern w:val="0"/>
          <w:sz w:val="24"/>
          <w:lang w:eastAsia="en-US"/>
          <w14:ligatures w14:val="none"/>
        </w:rPr>
        <w:t>Strobel M</w:t>
      </w:r>
      <w:r w:rsidRPr="00F14E16">
        <w:rPr>
          <w:rFonts w:ascii="Book Antiqua" w:eastAsia="宋体" w:hAnsi="Book Antiqua" w:cs="Times New Roman"/>
          <w:kern w:val="0"/>
          <w:sz w:val="24"/>
          <w:lang w:eastAsia="en-US"/>
          <w14:ligatures w14:val="none"/>
        </w:rPr>
        <w:t xml:space="preserve">, Pförtner H, Tuchscherr L, Völker U, Schmidt F, Kramko N, Schnittler HJ, Fraunholz MJ, Löffler B, Peters G, Niemann S. Post-invasion events after infection with Staphylococcus aureus are strongly dependent on both the host cell type and the infecting S. aureus strain. </w:t>
      </w:r>
      <w:r w:rsidRPr="00F14E16">
        <w:rPr>
          <w:rFonts w:ascii="Book Antiqua" w:eastAsia="宋体" w:hAnsi="Book Antiqua" w:cs="Times New Roman"/>
          <w:i/>
          <w:iCs/>
          <w:kern w:val="0"/>
          <w:sz w:val="24"/>
          <w:lang w:eastAsia="en-US"/>
          <w14:ligatures w14:val="none"/>
        </w:rPr>
        <w:t>Clin Microbiol Infect</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22</w:t>
      </w:r>
      <w:r w:rsidRPr="00F14E16">
        <w:rPr>
          <w:rFonts w:ascii="Book Antiqua" w:eastAsia="宋体" w:hAnsi="Book Antiqua" w:cs="Times New Roman"/>
          <w:kern w:val="0"/>
          <w:sz w:val="24"/>
          <w:lang w:eastAsia="en-US"/>
          <w14:ligatures w14:val="none"/>
        </w:rPr>
        <w:t>: 799-809 [PMID: 27393124 DOI: 10.1016/j.cmi.2016.06.020]</w:t>
      </w:r>
    </w:p>
    <w:p w14:paraId="37927C2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49 </w:t>
      </w:r>
      <w:r w:rsidRPr="00F14E16">
        <w:rPr>
          <w:rFonts w:ascii="Book Antiqua" w:eastAsia="宋体" w:hAnsi="Book Antiqua" w:cs="Times New Roman"/>
          <w:b/>
          <w:bCs/>
          <w:kern w:val="0"/>
          <w:sz w:val="24"/>
          <w:lang w:eastAsia="en-US"/>
          <w14:ligatures w14:val="none"/>
        </w:rPr>
        <w:t>Poore GD</w:t>
      </w:r>
      <w:r w:rsidRPr="00F14E16">
        <w:rPr>
          <w:rFonts w:ascii="Book Antiqua" w:eastAsia="宋体" w:hAnsi="Book Antiqua" w:cs="Times New Roman"/>
          <w:kern w:val="0"/>
          <w:sz w:val="24"/>
          <w:lang w:eastAsia="en-US"/>
          <w14:ligatures w14:val="none"/>
        </w:rPr>
        <w:t xml:space="preserve">, Kopylova E, Zhu Q, Carpenter C, Fraraccio S, Wandro S, Kosciolek T, Janssen S, Metcalf J, Song SJ, Kanbar J, Miller-Montgomery S, Heaton R, Mckay R, Patel SP, Swafford AD, Knight R. Microbiome analyses of blood and tissues suggest cancer diagnostic approach. </w:t>
      </w:r>
      <w:r w:rsidRPr="00F14E16">
        <w:rPr>
          <w:rFonts w:ascii="Book Antiqua" w:eastAsia="宋体" w:hAnsi="Book Antiqua" w:cs="Times New Roman"/>
          <w:i/>
          <w:iCs/>
          <w:kern w:val="0"/>
          <w:sz w:val="24"/>
          <w:lang w:eastAsia="en-US"/>
          <w14:ligatures w14:val="none"/>
        </w:rPr>
        <w:t>Nature</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579</w:t>
      </w:r>
      <w:r w:rsidRPr="00F14E16">
        <w:rPr>
          <w:rFonts w:ascii="Book Antiqua" w:eastAsia="宋体" w:hAnsi="Book Antiqua" w:cs="Times New Roman"/>
          <w:kern w:val="0"/>
          <w:sz w:val="24"/>
          <w:lang w:eastAsia="en-US"/>
          <w14:ligatures w14:val="none"/>
        </w:rPr>
        <w:t>: 567-574 [PMID: 32214244 DOI: 10.1038/s41586-020-2095-1]</w:t>
      </w:r>
    </w:p>
    <w:p w14:paraId="09B102F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50 </w:t>
      </w:r>
      <w:r w:rsidRPr="00F14E16">
        <w:rPr>
          <w:rFonts w:ascii="Book Antiqua" w:eastAsia="宋体" w:hAnsi="Book Antiqua" w:cs="Times New Roman"/>
          <w:b/>
          <w:bCs/>
          <w:kern w:val="0"/>
          <w:sz w:val="24"/>
          <w:lang w:eastAsia="en-US"/>
          <w14:ligatures w14:val="none"/>
        </w:rPr>
        <w:t>Robinson KM</w:t>
      </w:r>
      <w:r w:rsidRPr="00F14E16">
        <w:rPr>
          <w:rFonts w:ascii="Book Antiqua" w:eastAsia="宋体" w:hAnsi="Book Antiqua" w:cs="Times New Roman"/>
          <w:kern w:val="0"/>
          <w:sz w:val="24"/>
          <w:lang w:eastAsia="en-US"/>
          <w14:ligatures w14:val="none"/>
        </w:rPr>
        <w:t xml:space="preserve">, Crabtree J, Mattick JS, Anderson KE, Dunning Hotopp JC. Distinguishing potential bacteria-tumor associations from contamination in a secondary data analysis of public cancer genome sequence data. </w:t>
      </w:r>
      <w:r w:rsidRPr="00F14E16">
        <w:rPr>
          <w:rFonts w:ascii="Book Antiqua" w:eastAsia="宋体" w:hAnsi="Book Antiqua" w:cs="Times New Roman"/>
          <w:i/>
          <w:iCs/>
          <w:kern w:val="0"/>
          <w:sz w:val="24"/>
          <w:lang w:eastAsia="en-US"/>
          <w14:ligatures w14:val="none"/>
        </w:rPr>
        <w:t>Microbiome</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5</w:t>
      </w:r>
      <w:r w:rsidRPr="00F14E16">
        <w:rPr>
          <w:rFonts w:ascii="Book Antiqua" w:eastAsia="宋体" w:hAnsi="Book Antiqua" w:cs="Times New Roman"/>
          <w:kern w:val="0"/>
          <w:sz w:val="24"/>
          <w:lang w:eastAsia="en-US"/>
          <w14:ligatures w14:val="none"/>
        </w:rPr>
        <w:t>: 9 [PMID: 28118849 DOI: 10.1186/s40168-016-0224-8]</w:t>
      </w:r>
    </w:p>
    <w:p w14:paraId="66CC673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51 </w:t>
      </w:r>
      <w:r w:rsidRPr="00F14E16">
        <w:rPr>
          <w:rFonts w:ascii="Book Antiqua" w:eastAsia="宋体" w:hAnsi="Book Antiqua" w:cs="Times New Roman"/>
          <w:b/>
          <w:bCs/>
          <w:kern w:val="0"/>
          <w:sz w:val="24"/>
          <w:lang w:eastAsia="en-US"/>
          <w14:ligatures w14:val="none"/>
        </w:rPr>
        <w:t>Dohlman AB</w:t>
      </w:r>
      <w:r w:rsidRPr="00F14E16">
        <w:rPr>
          <w:rFonts w:ascii="Book Antiqua" w:eastAsia="宋体" w:hAnsi="Book Antiqua" w:cs="Times New Roman"/>
          <w:kern w:val="0"/>
          <w:sz w:val="24"/>
          <w:lang w:eastAsia="en-US"/>
          <w14:ligatures w14:val="none"/>
        </w:rPr>
        <w:t xml:space="preserve">, Arguijo Mendoza D, Ding S, Gao M, Dressman H, Iliev ID, Lipkin SM, Shen X. The cancer microbiome atlas: a pan-cancer comparative analysis to distinguish tissue-resident microbiota from contaminants. </w:t>
      </w:r>
      <w:r w:rsidRPr="00F14E16">
        <w:rPr>
          <w:rFonts w:ascii="Book Antiqua" w:eastAsia="宋体" w:hAnsi="Book Antiqua" w:cs="Times New Roman"/>
          <w:i/>
          <w:iCs/>
          <w:kern w:val="0"/>
          <w:sz w:val="24"/>
          <w:lang w:eastAsia="en-US"/>
          <w14:ligatures w14:val="none"/>
        </w:rPr>
        <w:t>Cell Host Microbe</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29</w:t>
      </w:r>
      <w:r w:rsidRPr="00F14E16">
        <w:rPr>
          <w:rFonts w:ascii="Book Antiqua" w:eastAsia="宋体" w:hAnsi="Book Antiqua" w:cs="Times New Roman"/>
          <w:kern w:val="0"/>
          <w:sz w:val="24"/>
          <w:lang w:eastAsia="en-US"/>
          <w14:ligatures w14:val="none"/>
        </w:rPr>
        <w:t>: 281-298.e5 [PMID: 33382980 DOI: 10.1016/j.chom.2020.12.001]</w:t>
      </w:r>
    </w:p>
    <w:p w14:paraId="4A9FC75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52 </w:t>
      </w:r>
      <w:r w:rsidRPr="00F14E16">
        <w:rPr>
          <w:rFonts w:ascii="Book Antiqua" w:eastAsia="宋体" w:hAnsi="Book Antiqua" w:cs="Times New Roman"/>
          <w:b/>
          <w:bCs/>
          <w:kern w:val="0"/>
          <w:sz w:val="24"/>
          <w:lang w:eastAsia="en-US"/>
          <w14:ligatures w14:val="none"/>
        </w:rPr>
        <w:t>Dohlman AB</w:t>
      </w:r>
      <w:r w:rsidRPr="00F14E16">
        <w:rPr>
          <w:rFonts w:ascii="Book Antiqua" w:eastAsia="宋体" w:hAnsi="Book Antiqua" w:cs="Times New Roman"/>
          <w:kern w:val="0"/>
          <w:sz w:val="24"/>
          <w:lang w:eastAsia="en-US"/>
          <w14:ligatures w14:val="none"/>
        </w:rPr>
        <w:t xml:space="preserve">, Klug J, Mesko M, Gao IH, Lipkin SM, Shen X, Iliev ID. A pan-cancer mycobiome analysis reveals fungal involvement in gastrointestinal and lung tumors.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185</w:t>
      </w:r>
      <w:r w:rsidRPr="00F14E16">
        <w:rPr>
          <w:rFonts w:ascii="Book Antiqua" w:eastAsia="宋体" w:hAnsi="Book Antiqua" w:cs="Times New Roman"/>
          <w:kern w:val="0"/>
          <w:sz w:val="24"/>
          <w:lang w:eastAsia="en-US"/>
          <w14:ligatures w14:val="none"/>
        </w:rPr>
        <w:t>: 3807-3822.e12 [PMID: 36179671 DOI: 10.1016/j.cell.2022.09.015]</w:t>
      </w:r>
    </w:p>
    <w:p w14:paraId="6EAF878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53 </w:t>
      </w:r>
      <w:r w:rsidRPr="00F14E16">
        <w:rPr>
          <w:rFonts w:ascii="Book Antiqua" w:eastAsia="宋体" w:hAnsi="Book Antiqua" w:cs="Times New Roman"/>
          <w:b/>
          <w:bCs/>
          <w:kern w:val="0"/>
          <w:sz w:val="24"/>
          <w:lang w:eastAsia="en-US"/>
          <w14:ligatures w14:val="none"/>
        </w:rPr>
        <w:t>Nakano S</w:t>
      </w:r>
      <w:r w:rsidRPr="00F14E16">
        <w:rPr>
          <w:rFonts w:ascii="Book Antiqua" w:eastAsia="宋体" w:hAnsi="Book Antiqua" w:cs="Times New Roman"/>
          <w:kern w:val="0"/>
          <w:sz w:val="24"/>
          <w:lang w:eastAsia="en-US"/>
          <w14:ligatures w14:val="none"/>
        </w:rPr>
        <w:t xml:space="preserve">, Kawamoto Y, Komatsu Y, Saito R, Ito K, Yamamura T, Harada K, Yuki S, Kawakubo K, Sugiura R, Kato S, Hirata K, Hirata H, Nakajima M, Furukawa R, Takishin Y, Nagai K, Yokota I, Ota KH, Nakaoka S, Kuwatani M, Sakamoto N. Analysis of the Pancreatic Cancer Microbiome Using Endoscopic Ultrasound-Guided Fine-Needle Aspiration-Derived Samples. </w:t>
      </w:r>
      <w:r w:rsidRPr="00F14E16">
        <w:rPr>
          <w:rFonts w:ascii="Book Antiqua" w:eastAsia="宋体" w:hAnsi="Book Antiqua" w:cs="Times New Roman"/>
          <w:i/>
          <w:iCs/>
          <w:kern w:val="0"/>
          <w:sz w:val="24"/>
          <w:lang w:eastAsia="en-US"/>
          <w14:ligatures w14:val="none"/>
        </w:rPr>
        <w:t>Pancreas</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51</w:t>
      </w:r>
      <w:r w:rsidRPr="00F14E16">
        <w:rPr>
          <w:rFonts w:ascii="Book Antiqua" w:eastAsia="宋体" w:hAnsi="Book Antiqua" w:cs="Times New Roman"/>
          <w:kern w:val="0"/>
          <w:sz w:val="24"/>
          <w:lang w:eastAsia="en-US"/>
          <w14:ligatures w14:val="none"/>
        </w:rPr>
        <w:t>: 351-357 [PMID: 35695806 DOI: 10.1097/MPA.0000000000002028]</w:t>
      </w:r>
    </w:p>
    <w:p w14:paraId="5EEF635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54 </w:t>
      </w:r>
      <w:r w:rsidRPr="00F14E16">
        <w:rPr>
          <w:rFonts w:ascii="Book Antiqua" w:eastAsia="宋体" w:hAnsi="Book Antiqua" w:cs="Times New Roman"/>
          <w:b/>
          <w:bCs/>
          <w:kern w:val="0"/>
          <w:sz w:val="24"/>
          <w:lang w:eastAsia="en-US"/>
          <w14:ligatures w14:val="none"/>
        </w:rPr>
        <w:t>Chen Y</w:t>
      </w:r>
      <w:r w:rsidRPr="00F14E16">
        <w:rPr>
          <w:rFonts w:ascii="Book Antiqua" w:eastAsia="宋体" w:hAnsi="Book Antiqua" w:cs="Times New Roman"/>
          <w:kern w:val="0"/>
          <w:sz w:val="24"/>
          <w:lang w:eastAsia="en-US"/>
          <w14:ligatures w14:val="none"/>
        </w:rPr>
        <w:t xml:space="preserve">, Yang S, Tavormina J, Tampe D, Zeisberg M, Wang H, Mahadevan KK, Wu CJ, Sugimoto H, Chang CC, Jenq RR, McAndrews KM, Kalluri R. Oncogenic collagen I homotrimers from cancer cells bind to α3β1 integrin and impact tumor microbiome and immunity to promote pancreatic cancer. </w:t>
      </w:r>
      <w:r w:rsidRPr="00F14E16">
        <w:rPr>
          <w:rFonts w:ascii="Book Antiqua" w:eastAsia="宋体" w:hAnsi="Book Antiqua" w:cs="Times New Roman"/>
          <w:i/>
          <w:iCs/>
          <w:kern w:val="0"/>
          <w:sz w:val="24"/>
          <w:lang w:eastAsia="en-US"/>
          <w14:ligatures w14:val="none"/>
        </w:rPr>
        <w:t>Cancer 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40</w:t>
      </w:r>
      <w:r w:rsidRPr="00F14E16">
        <w:rPr>
          <w:rFonts w:ascii="Book Antiqua" w:eastAsia="宋体" w:hAnsi="Book Antiqua" w:cs="Times New Roman"/>
          <w:kern w:val="0"/>
          <w:sz w:val="24"/>
          <w:lang w:eastAsia="en-US"/>
          <w14:ligatures w14:val="none"/>
        </w:rPr>
        <w:t>: 818-834.e9 [PMID: 35868307 DOI: 10.1016/j.ccell.2022.06.011]</w:t>
      </w:r>
    </w:p>
    <w:p w14:paraId="20C1FE7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55 </w:t>
      </w:r>
      <w:r w:rsidRPr="00F14E16">
        <w:rPr>
          <w:rFonts w:ascii="Book Antiqua" w:eastAsia="宋体" w:hAnsi="Book Antiqua" w:cs="Times New Roman"/>
          <w:b/>
          <w:bCs/>
          <w:kern w:val="0"/>
          <w:sz w:val="24"/>
          <w:lang w:eastAsia="en-US"/>
          <w14:ligatures w14:val="none"/>
        </w:rPr>
        <w:t>Cummins J</w:t>
      </w:r>
      <w:r w:rsidRPr="00F14E16">
        <w:rPr>
          <w:rFonts w:ascii="Book Antiqua" w:eastAsia="宋体" w:hAnsi="Book Antiqua" w:cs="Times New Roman"/>
          <w:kern w:val="0"/>
          <w:sz w:val="24"/>
          <w:lang w:eastAsia="en-US"/>
          <w14:ligatures w14:val="none"/>
        </w:rPr>
        <w:t xml:space="preserve">, Tangney M. Bacteria and tumours: causative agents or opportunistic inhabitants? </w:t>
      </w:r>
      <w:r w:rsidRPr="00F14E16">
        <w:rPr>
          <w:rFonts w:ascii="Book Antiqua" w:eastAsia="宋体" w:hAnsi="Book Antiqua" w:cs="Times New Roman"/>
          <w:i/>
          <w:iCs/>
          <w:kern w:val="0"/>
          <w:sz w:val="24"/>
          <w:lang w:eastAsia="en-US"/>
          <w14:ligatures w14:val="none"/>
        </w:rPr>
        <w:t>Infect Agent Cancer</w:t>
      </w:r>
      <w:r w:rsidRPr="00F14E16">
        <w:rPr>
          <w:rFonts w:ascii="Book Antiqua" w:eastAsia="宋体" w:hAnsi="Book Antiqua" w:cs="Times New Roman"/>
          <w:kern w:val="0"/>
          <w:sz w:val="24"/>
          <w:lang w:eastAsia="en-US"/>
          <w14:ligatures w14:val="none"/>
        </w:rPr>
        <w:t xml:space="preserve"> 2013;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11 [PMID: 23537317 DOI: 10.1186/1750-9378-8-11]</w:t>
      </w:r>
    </w:p>
    <w:p w14:paraId="4D4B94C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56 </w:t>
      </w:r>
      <w:r w:rsidRPr="00F14E16">
        <w:rPr>
          <w:rFonts w:ascii="Book Antiqua" w:eastAsia="宋体" w:hAnsi="Book Antiqua" w:cs="Times New Roman"/>
          <w:b/>
          <w:bCs/>
          <w:kern w:val="0"/>
          <w:sz w:val="24"/>
          <w:lang w:eastAsia="en-US"/>
          <w14:ligatures w14:val="none"/>
        </w:rPr>
        <w:t>Gleeson FC</w:t>
      </w:r>
      <w:r w:rsidRPr="00F14E16">
        <w:rPr>
          <w:rFonts w:ascii="Book Antiqua" w:eastAsia="宋体" w:hAnsi="Book Antiqua" w:cs="Times New Roman"/>
          <w:kern w:val="0"/>
          <w:sz w:val="24"/>
          <w:lang w:eastAsia="en-US"/>
          <w14:ligatures w14:val="none"/>
        </w:rPr>
        <w:t xml:space="preserve">, Jeraldo P, Levy MJ, Murphy SJ, Mendes-Soares H, Karagouga G, Mccune AF, Garcia Garcia Deparedes A, Kipp BR, Song SD, Khanna S, Pardi DS, Chia N. Composition, diversity and potential utility of intervention-naïve pancreatic cancer intratumoral microbiome signature profiling via endoscopic ultrasound. </w:t>
      </w:r>
      <w:r w:rsidRPr="00F14E16">
        <w:rPr>
          <w:rFonts w:ascii="Book Antiqua" w:eastAsia="宋体" w:hAnsi="Book Antiqua" w:cs="Times New Roman"/>
          <w:i/>
          <w:iCs/>
          <w:kern w:val="0"/>
          <w:sz w:val="24"/>
          <w:lang w:eastAsia="en-US"/>
          <w14:ligatures w14:val="none"/>
        </w:rPr>
        <w:t>Gut</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71</w:t>
      </w:r>
      <w:r w:rsidRPr="00F14E16">
        <w:rPr>
          <w:rFonts w:ascii="Book Antiqua" w:eastAsia="宋体" w:hAnsi="Book Antiqua" w:cs="Times New Roman"/>
          <w:kern w:val="0"/>
          <w:sz w:val="24"/>
          <w:lang w:eastAsia="en-US"/>
          <w14:ligatures w14:val="none"/>
        </w:rPr>
        <w:t>: 441-443 [PMID: 33753418 DOI: 10.1136/gutjnl-2021-324031]</w:t>
      </w:r>
    </w:p>
    <w:p w14:paraId="6797CB6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57 </w:t>
      </w:r>
      <w:r w:rsidRPr="00F14E16">
        <w:rPr>
          <w:rFonts w:ascii="Book Antiqua" w:eastAsia="宋体" w:hAnsi="Book Antiqua" w:cs="Times New Roman"/>
          <w:b/>
          <w:bCs/>
          <w:kern w:val="0"/>
          <w:sz w:val="24"/>
          <w:lang w:eastAsia="en-US"/>
          <w14:ligatures w14:val="none"/>
        </w:rPr>
        <w:t>Guo W</w:t>
      </w:r>
      <w:r w:rsidRPr="00F14E16">
        <w:rPr>
          <w:rFonts w:ascii="Book Antiqua" w:eastAsia="宋体" w:hAnsi="Book Antiqua" w:cs="Times New Roman"/>
          <w:kern w:val="0"/>
          <w:sz w:val="24"/>
          <w:lang w:eastAsia="en-US"/>
          <w14:ligatures w14:val="none"/>
        </w:rPr>
        <w:t xml:space="preserve">, Zhang Y, Guo S, Mei Z, Liao H, Dong H, Wu K, Ye H, Zhang Y, Zhu Y, Lang J, Hu L, Jin G, Kong X. Tumor microbiome contributes to an aggressive phenotype in the basal-like subtype of pancreatic cancer. </w:t>
      </w:r>
      <w:r w:rsidRPr="00F14E16">
        <w:rPr>
          <w:rFonts w:ascii="Book Antiqua" w:eastAsia="宋体" w:hAnsi="Book Antiqua" w:cs="Times New Roman"/>
          <w:i/>
          <w:iCs/>
          <w:kern w:val="0"/>
          <w:sz w:val="24"/>
          <w:lang w:eastAsia="en-US"/>
          <w14:ligatures w14:val="none"/>
        </w:rPr>
        <w:t>Commun Biol</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4</w:t>
      </w:r>
      <w:r w:rsidRPr="00F14E16">
        <w:rPr>
          <w:rFonts w:ascii="Book Antiqua" w:eastAsia="宋体" w:hAnsi="Book Antiqua" w:cs="Times New Roman"/>
          <w:kern w:val="0"/>
          <w:sz w:val="24"/>
          <w:lang w:eastAsia="en-US"/>
          <w14:ligatures w14:val="none"/>
        </w:rPr>
        <w:t>: 1019 [PMID: 34465850 DOI: 10.1038/s42003-021-02557-5]</w:t>
      </w:r>
    </w:p>
    <w:p w14:paraId="4562BC8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58 </w:t>
      </w:r>
      <w:r w:rsidRPr="00F14E16">
        <w:rPr>
          <w:rFonts w:ascii="Book Antiqua" w:eastAsia="宋体" w:hAnsi="Book Antiqua" w:cs="Times New Roman"/>
          <w:b/>
          <w:bCs/>
          <w:kern w:val="0"/>
          <w:sz w:val="24"/>
          <w:lang w:eastAsia="en-US"/>
          <w14:ligatures w14:val="none"/>
        </w:rPr>
        <w:t>Zhou B</w:t>
      </w:r>
      <w:r w:rsidRPr="00F14E16">
        <w:rPr>
          <w:rFonts w:ascii="Book Antiqua" w:eastAsia="宋体" w:hAnsi="Book Antiqua" w:cs="Times New Roman"/>
          <w:kern w:val="0"/>
          <w:sz w:val="24"/>
          <w:lang w:eastAsia="en-US"/>
          <w14:ligatures w14:val="none"/>
        </w:rPr>
        <w:t xml:space="preserve">, Xu JW, Cheng YG, Gao JY, Hu SY, Wang L, Zhan HX. Early detection of pancreatic cancer: Where are we now and where are we going? </w:t>
      </w:r>
      <w:r w:rsidRPr="00F14E16">
        <w:rPr>
          <w:rFonts w:ascii="Book Antiqua" w:eastAsia="宋体" w:hAnsi="Book Antiqua" w:cs="Times New Roman"/>
          <w:i/>
          <w:iCs/>
          <w:kern w:val="0"/>
          <w:sz w:val="24"/>
          <w:lang w:eastAsia="en-US"/>
          <w14:ligatures w14:val="none"/>
        </w:rPr>
        <w:t>Int J Cancer</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141</w:t>
      </w:r>
      <w:r w:rsidRPr="00F14E16">
        <w:rPr>
          <w:rFonts w:ascii="Book Antiqua" w:eastAsia="宋体" w:hAnsi="Book Antiqua" w:cs="Times New Roman"/>
          <w:kern w:val="0"/>
          <w:sz w:val="24"/>
          <w:lang w:eastAsia="en-US"/>
          <w14:ligatures w14:val="none"/>
        </w:rPr>
        <w:t>: 231-241 [PMID: 28240774 DOI: 10.1002/ijc.30670]</w:t>
      </w:r>
    </w:p>
    <w:p w14:paraId="77E6806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59 </w:t>
      </w:r>
      <w:r w:rsidRPr="00F14E16">
        <w:rPr>
          <w:rFonts w:ascii="Book Antiqua" w:eastAsia="宋体" w:hAnsi="Book Antiqua" w:cs="Times New Roman"/>
          <w:b/>
          <w:bCs/>
          <w:kern w:val="0"/>
          <w:sz w:val="24"/>
          <w:lang w:eastAsia="en-US"/>
          <w14:ligatures w14:val="none"/>
        </w:rPr>
        <w:t>Avanzini S</w:t>
      </w:r>
      <w:r w:rsidRPr="00F14E16">
        <w:rPr>
          <w:rFonts w:ascii="Book Antiqua" w:eastAsia="宋体" w:hAnsi="Book Antiqua" w:cs="Times New Roman"/>
          <w:kern w:val="0"/>
          <w:sz w:val="24"/>
          <w:lang w:eastAsia="en-US"/>
          <w14:ligatures w14:val="none"/>
        </w:rPr>
        <w:t xml:space="preserve">, Kurtz DM, Chabon JJ, Moding EJ, Hori SS, Gambhir SS, Alizadeh AA, Diehn M, Reiter JG. A mathematical model of ctDNA shedding predicts tumor detection size. </w:t>
      </w:r>
      <w:r w:rsidRPr="00F14E16">
        <w:rPr>
          <w:rFonts w:ascii="Book Antiqua" w:eastAsia="宋体" w:hAnsi="Book Antiqua" w:cs="Times New Roman"/>
          <w:i/>
          <w:iCs/>
          <w:kern w:val="0"/>
          <w:sz w:val="24"/>
          <w:lang w:eastAsia="en-US"/>
          <w14:ligatures w14:val="none"/>
        </w:rPr>
        <w:t>Sci Adv</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xml:space="preserve"> [PMID: 33310847 DOI: 10.1126/sciadv.abc4308]</w:t>
      </w:r>
    </w:p>
    <w:p w14:paraId="60D8933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60 </w:t>
      </w:r>
      <w:r w:rsidRPr="00F14E16">
        <w:rPr>
          <w:rFonts w:ascii="Book Antiqua" w:eastAsia="宋体" w:hAnsi="Book Antiqua" w:cs="Times New Roman"/>
          <w:b/>
          <w:bCs/>
          <w:kern w:val="0"/>
          <w:sz w:val="24"/>
          <w:lang w:eastAsia="en-US"/>
          <w14:ligatures w14:val="none"/>
        </w:rPr>
        <w:t>Mellby LD</w:t>
      </w:r>
      <w:r w:rsidRPr="00F14E16">
        <w:rPr>
          <w:rFonts w:ascii="Book Antiqua" w:eastAsia="宋体" w:hAnsi="Book Antiqua" w:cs="Times New Roman"/>
          <w:kern w:val="0"/>
          <w:sz w:val="24"/>
          <w:lang w:eastAsia="en-US"/>
          <w14:ligatures w14:val="none"/>
        </w:rPr>
        <w:t xml:space="preserve">, Nyberg AP, Johansen JS, Wingren C, Nordestgaard BG, Bojesen SE, Mitchell BL, Sheppard BC, Sears RC, Borrebaeck CAK. Serum Biomarker Signature-Based Liquid Biopsy for Diagnosis of Early-Stage Pancreatic Cancer. </w:t>
      </w:r>
      <w:r w:rsidRPr="00F14E16">
        <w:rPr>
          <w:rFonts w:ascii="Book Antiqua" w:eastAsia="宋体" w:hAnsi="Book Antiqua" w:cs="Times New Roman"/>
          <w:i/>
          <w:iCs/>
          <w:kern w:val="0"/>
          <w:sz w:val="24"/>
          <w:lang w:eastAsia="en-US"/>
          <w14:ligatures w14:val="none"/>
        </w:rPr>
        <w:t>J Clin Oncol</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36</w:t>
      </w:r>
      <w:r w:rsidRPr="00F14E16">
        <w:rPr>
          <w:rFonts w:ascii="Book Antiqua" w:eastAsia="宋体" w:hAnsi="Book Antiqua" w:cs="Times New Roman"/>
          <w:kern w:val="0"/>
          <w:sz w:val="24"/>
          <w:lang w:eastAsia="en-US"/>
          <w14:ligatures w14:val="none"/>
        </w:rPr>
        <w:t>: 2887-2894 [PMID: 30106639 DOI: 10.1200/JCO.2017.77.6658]</w:t>
      </w:r>
    </w:p>
    <w:p w14:paraId="6F95380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61 </w:t>
      </w:r>
      <w:r w:rsidRPr="00F14E16">
        <w:rPr>
          <w:rFonts w:ascii="Book Antiqua" w:eastAsia="宋体" w:hAnsi="Book Antiqua" w:cs="Times New Roman"/>
          <w:b/>
          <w:bCs/>
          <w:kern w:val="0"/>
          <w:sz w:val="24"/>
          <w:lang w:eastAsia="en-US"/>
          <w14:ligatures w14:val="none"/>
        </w:rPr>
        <w:t>Sausen M</w:t>
      </w:r>
      <w:r w:rsidRPr="00F14E16">
        <w:rPr>
          <w:rFonts w:ascii="Book Antiqua" w:eastAsia="宋体" w:hAnsi="Book Antiqua" w:cs="Times New Roman"/>
          <w:kern w:val="0"/>
          <w:sz w:val="24"/>
          <w:lang w:eastAsia="en-US"/>
          <w14:ligatures w14:val="none"/>
        </w:rPr>
        <w:t xml:space="preserve">, Phallen J, Adleff V, Jones S, Leary RJ, Barrett MT, Anagnostou V, Parpart-Li S, Murphy D, Kay Li Q, Hruban CA, Scharpf R, White JR, O'Dwyer PJ, Allen PJ, Eshleman JR, Thompson CB, Klimstra DS, Linehan DC, Maitra A, Hruban RH, Diaz LA Jr, Von Hoff DD, Johansen JS, Drebin JA, Velculescu VE. Clinical implications of genomic alterations in the tumour and circulation of pancreatic cancer patients. </w:t>
      </w:r>
      <w:r w:rsidRPr="00F14E16">
        <w:rPr>
          <w:rFonts w:ascii="Book Antiqua" w:eastAsia="宋体" w:hAnsi="Book Antiqua" w:cs="Times New Roman"/>
          <w:i/>
          <w:iCs/>
          <w:kern w:val="0"/>
          <w:sz w:val="24"/>
          <w:lang w:eastAsia="en-US"/>
          <w14:ligatures w14:val="none"/>
        </w:rPr>
        <w:t>Nat Commun</w:t>
      </w:r>
      <w:r w:rsidRPr="00F14E16">
        <w:rPr>
          <w:rFonts w:ascii="Book Antiqua" w:eastAsia="宋体" w:hAnsi="Book Antiqua" w:cs="Times New Roman"/>
          <w:kern w:val="0"/>
          <w:sz w:val="24"/>
          <w:lang w:eastAsia="en-US"/>
          <w14:ligatures w14:val="none"/>
        </w:rPr>
        <w:t xml:space="preserve"> 2015;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7686 [PMID: 26154128 DOI: 10.1038/ncomms8686]</w:t>
      </w:r>
    </w:p>
    <w:p w14:paraId="4A93D04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62 </w:t>
      </w:r>
      <w:r w:rsidRPr="00F14E16">
        <w:rPr>
          <w:rFonts w:ascii="Book Antiqua" w:eastAsia="宋体" w:hAnsi="Book Antiqua" w:cs="Times New Roman"/>
          <w:b/>
          <w:bCs/>
          <w:kern w:val="0"/>
          <w:sz w:val="24"/>
          <w:lang w:eastAsia="en-US"/>
          <w14:ligatures w14:val="none"/>
        </w:rPr>
        <w:t>Hamada T</w:t>
      </w:r>
      <w:r w:rsidRPr="00F14E16">
        <w:rPr>
          <w:rFonts w:ascii="Book Antiqua" w:eastAsia="宋体" w:hAnsi="Book Antiqua" w:cs="Times New Roman"/>
          <w:kern w:val="0"/>
          <w:sz w:val="24"/>
          <w:lang w:eastAsia="en-US"/>
          <w14:ligatures w14:val="none"/>
        </w:rPr>
        <w:t xml:space="preserve">, Yasunaga H, Nakai Y, Isayama H, Horiguchi H, Matsuda S, Fushimi K, Koike K. Severe bleeding and perforation are rare complications of endoscopic ultrasound-guided fine needle aspiration for pancreatic masses: an analysis of 3,090 patients from 212 hospitals. </w:t>
      </w:r>
      <w:r w:rsidRPr="00F14E16">
        <w:rPr>
          <w:rFonts w:ascii="Book Antiqua" w:eastAsia="宋体" w:hAnsi="Book Antiqua" w:cs="Times New Roman"/>
          <w:i/>
          <w:iCs/>
          <w:kern w:val="0"/>
          <w:sz w:val="24"/>
          <w:lang w:eastAsia="en-US"/>
          <w14:ligatures w14:val="none"/>
        </w:rPr>
        <w:t>Gut Liver</w:t>
      </w:r>
      <w:r w:rsidRPr="00F14E16">
        <w:rPr>
          <w:rFonts w:ascii="Book Antiqua" w:eastAsia="宋体" w:hAnsi="Book Antiqua" w:cs="Times New Roman"/>
          <w:kern w:val="0"/>
          <w:sz w:val="24"/>
          <w:lang w:eastAsia="en-US"/>
          <w14:ligatures w14:val="none"/>
        </w:rPr>
        <w:t xml:space="preserve"> 2014;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215-218 [PMID: 24672664 DOI: 10.5009/gnl.2014.8.2.215]</w:t>
      </w:r>
    </w:p>
    <w:p w14:paraId="23A9ABA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63 </w:t>
      </w:r>
      <w:r w:rsidRPr="00F14E16">
        <w:rPr>
          <w:rFonts w:ascii="Book Antiqua" w:eastAsia="宋体" w:hAnsi="Book Antiqua" w:cs="Times New Roman"/>
          <w:b/>
          <w:bCs/>
          <w:kern w:val="0"/>
          <w:sz w:val="24"/>
          <w:lang w:eastAsia="en-US"/>
          <w14:ligatures w14:val="none"/>
        </w:rPr>
        <w:t>Lundy J</w:t>
      </w:r>
      <w:r w:rsidRPr="00F14E16">
        <w:rPr>
          <w:rFonts w:ascii="Book Antiqua" w:eastAsia="宋体" w:hAnsi="Book Antiqua" w:cs="Times New Roman"/>
          <w:kern w:val="0"/>
          <w:sz w:val="24"/>
          <w:lang w:eastAsia="en-US"/>
          <w14:ligatures w14:val="none"/>
        </w:rPr>
        <w:t xml:space="preserve">, Gao H, Berry W, Masoumi-Moghoddam S, Jenkins BJ, Croagh D. Targeted Transcriptome and KRAS Mutation Analysis Improve the Diagnostic Performance of EUS-FNA Biopsies in Pancreatic Cancer. </w:t>
      </w:r>
      <w:r w:rsidRPr="00F14E16">
        <w:rPr>
          <w:rFonts w:ascii="Book Antiqua" w:eastAsia="宋体" w:hAnsi="Book Antiqua" w:cs="Times New Roman"/>
          <w:i/>
          <w:iCs/>
          <w:kern w:val="0"/>
          <w:sz w:val="24"/>
          <w:lang w:eastAsia="en-US"/>
          <w14:ligatures w14:val="none"/>
        </w:rPr>
        <w:t>Clin Cancer Res</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27</w:t>
      </w:r>
      <w:r w:rsidRPr="00F14E16">
        <w:rPr>
          <w:rFonts w:ascii="Book Antiqua" w:eastAsia="宋体" w:hAnsi="Book Antiqua" w:cs="Times New Roman"/>
          <w:kern w:val="0"/>
          <w:sz w:val="24"/>
          <w:lang w:eastAsia="en-US"/>
          <w14:ligatures w14:val="none"/>
        </w:rPr>
        <w:t>: 5900-5911 [PMID: 34400416 DOI: 10.1158/1078-0432.CCR-21-1107]</w:t>
      </w:r>
    </w:p>
    <w:p w14:paraId="3F29FAA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64 </w:t>
      </w:r>
      <w:r w:rsidRPr="00F14E16">
        <w:rPr>
          <w:rFonts w:ascii="Book Antiqua" w:eastAsia="宋体" w:hAnsi="Book Antiqua" w:cs="Times New Roman"/>
          <w:b/>
          <w:bCs/>
          <w:kern w:val="0"/>
          <w:sz w:val="24"/>
          <w:lang w:eastAsia="en-US"/>
          <w14:ligatures w14:val="none"/>
        </w:rPr>
        <w:t>Masi AC</w:t>
      </w:r>
      <w:r w:rsidRPr="00F14E16">
        <w:rPr>
          <w:rFonts w:ascii="Book Antiqua" w:eastAsia="宋体" w:hAnsi="Book Antiqua" w:cs="Times New Roman"/>
          <w:kern w:val="0"/>
          <w:sz w:val="24"/>
          <w:lang w:eastAsia="en-US"/>
          <w14:ligatures w14:val="none"/>
        </w:rPr>
        <w:t xml:space="preserve">, Oppong YEA, Haugk B, Lamb CA, Sharp L, Shaw JM, Stewart CJ, Oppong KW. Endoscopic ultrasound (EUS)-guided fine needle biopsy (FNB) formalin fixed paraffin-embedded (FFPE) pancreatic tissue samples are a potential resource for microbiota analysis. </w:t>
      </w:r>
      <w:r w:rsidRPr="00F14E16">
        <w:rPr>
          <w:rFonts w:ascii="Book Antiqua" w:eastAsia="宋体" w:hAnsi="Book Antiqua" w:cs="Times New Roman"/>
          <w:i/>
          <w:iCs/>
          <w:kern w:val="0"/>
          <w:sz w:val="24"/>
          <w:lang w:eastAsia="en-US"/>
          <w14:ligatures w14:val="none"/>
        </w:rPr>
        <w:t>Gut</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70</w:t>
      </w:r>
      <w:r w:rsidRPr="00F14E16">
        <w:rPr>
          <w:rFonts w:ascii="Book Antiqua" w:eastAsia="宋体" w:hAnsi="Book Antiqua" w:cs="Times New Roman"/>
          <w:kern w:val="0"/>
          <w:sz w:val="24"/>
          <w:lang w:eastAsia="en-US"/>
          <w14:ligatures w14:val="none"/>
        </w:rPr>
        <w:t>: 999-1001 [PMID: 32816963 DOI: 10.1136/gutjnl-2020-322457]</w:t>
      </w:r>
    </w:p>
    <w:p w14:paraId="4882D21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65 </w:t>
      </w:r>
      <w:r w:rsidRPr="00F14E16">
        <w:rPr>
          <w:rFonts w:ascii="Book Antiqua" w:eastAsia="宋体" w:hAnsi="Book Antiqua" w:cs="Times New Roman"/>
          <w:b/>
          <w:bCs/>
          <w:kern w:val="0"/>
          <w:sz w:val="24"/>
          <w:lang w:eastAsia="en-US"/>
          <w14:ligatures w14:val="none"/>
        </w:rPr>
        <w:t>Huang Y</w:t>
      </w:r>
      <w:r w:rsidRPr="00F14E16">
        <w:rPr>
          <w:rFonts w:ascii="Book Antiqua" w:eastAsia="宋体" w:hAnsi="Book Antiqua" w:cs="Times New Roman"/>
          <w:kern w:val="0"/>
          <w:sz w:val="24"/>
          <w:lang w:eastAsia="en-US"/>
          <w14:ligatures w14:val="none"/>
        </w:rPr>
        <w:t xml:space="preserve">, Zhu N, Zheng X, Liu Y, Lu H, Yin X, Hao H, Tan Y, Wang D, Hu H, Liang Y, Li X, Hu Z, Yin Y. Intratumor Microbiome Analysis Identifies Positive Association Between Megasphaera and Survival of Chinese Patients With Pancreatic Ductal Adenocarcinomas. </w:t>
      </w:r>
      <w:r w:rsidRPr="00F14E16">
        <w:rPr>
          <w:rFonts w:ascii="Book Antiqua" w:eastAsia="宋体" w:hAnsi="Book Antiqua" w:cs="Times New Roman"/>
          <w:i/>
          <w:iCs/>
          <w:kern w:val="0"/>
          <w:sz w:val="24"/>
          <w:lang w:eastAsia="en-US"/>
          <w14:ligatures w14:val="none"/>
        </w:rPr>
        <w:t>Front Immunol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13</w:t>
      </w:r>
      <w:r w:rsidRPr="00F14E16">
        <w:rPr>
          <w:rFonts w:ascii="Book Antiqua" w:eastAsia="宋体" w:hAnsi="Book Antiqua" w:cs="Times New Roman"/>
          <w:kern w:val="0"/>
          <w:sz w:val="24"/>
          <w:lang w:eastAsia="en-US"/>
          <w14:ligatures w14:val="none"/>
        </w:rPr>
        <w:t>: 785422 [PMID: 35145519 DOI: 10.3389/fimmu.2022.785422]</w:t>
      </w:r>
    </w:p>
    <w:p w14:paraId="5DC2468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66 </w:t>
      </w:r>
      <w:r w:rsidRPr="00F14E16">
        <w:rPr>
          <w:rFonts w:ascii="Book Antiqua" w:eastAsia="宋体" w:hAnsi="Book Antiqua" w:cs="Times New Roman"/>
          <w:b/>
          <w:bCs/>
          <w:kern w:val="0"/>
          <w:sz w:val="24"/>
          <w:lang w:eastAsia="en-US"/>
          <w14:ligatures w14:val="none"/>
        </w:rPr>
        <w:t>Rodriguez RM</w:t>
      </w:r>
      <w:r w:rsidRPr="00F14E16">
        <w:rPr>
          <w:rFonts w:ascii="Book Antiqua" w:eastAsia="宋体" w:hAnsi="Book Antiqua" w:cs="Times New Roman"/>
          <w:kern w:val="0"/>
          <w:sz w:val="24"/>
          <w:lang w:eastAsia="en-US"/>
          <w14:ligatures w14:val="none"/>
        </w:rPr>
        <w:t xml:space="preserve">, Menor M, Hernandez BY, Deng Y, Khadka VS. Bacterial Diversity Correlates with Overall Survival in Cancers of the Head and Neck, Liver, and Stomach. </w:t>
      </w:r>
      <w:r w:rsidRPr="00F14E16">
        <w:rPr>
          <w:rFonts w:ascii="Book Antiqua" w:eastAsia="宋体" w:hAnsi="Book Antiqua" w:cs="Times New Roman"/>
          <w:i/>
          <w:iCs/>
          <w:kern w:val="0"/>
          <w:sz w:val="24"/>
          <w:lang w:eastAsia="en-US"/>
          <w14:ligatures w14:val="none"/>
        </w:rPr>
        <w:t>Molecules</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26</w:t>
      </w:r>
      <w:r w:rsidRPr="00F14E16">
        <w:rPr>
          <w:rFonts w:ascii="Book Antiqua" w:eastAsia="宋体" w:hAnsi="Book Antiqua" w:cs="Times New Roman"/>
          <w:kern w:val="0"/>
          <w:sz w:val="24"/>
          <w:lang w:eastAsia="en-US"/>
          <w14:ligatures w14:val="none"/>
        </w:rPr>
        <w:t xml:space="preserve"> [PMID: 34577130 DOI: 10.3390/molecules26185659]</w:t>
      </w:r>
    </w:p>
    <w:p w14:paraId="0119375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67 </w:t>
      </w:r>
      <w:r w:rsidRPr="00F14E16">
        <w:rPr>
          <w:rFonts w:ascii="Book Antiqua" w:eastAsia="宋体" w:hAnsi="Book Antiqua" w:cs="Times New Roman"/>
          <w:b/>
          <w:bCs/>
          <w:kern w:val="0"/>
          <w:sz w:val="24"/>
          <w:lang w:eastAsia="en-US"/>
          <w14:ligatures w14:val="none"/>
        </w:rPr>
        <w:t>Luo M</w:t>
      </w:r>
      <w:r w:rsidRPr="00F14E16">
        <w:rPr>
          <w:rFonts w:ascii="Book Antiqua" w:eastAsia="宋体" w:hAnsi="Book Antiqua" w:cs="Times New Roman"/>
          <w:kern w:val="0"/>
          <w:sz w:val="24"/>
          <w:lang w:eastAsia="en-US"/>
          <w14:ligatures w14:val="none"/>
        </w:rPr>
        <w:t xml:space="preserve">, Liu Y, Hermida LC, Gertz EM, Zhang Z, Li Q, Diao L, Ruppin E, Han L. Race is a key determinant of the human intratumor microbiome. </w:t>
      </w:r>
      <w:r w:rsidRPr="00F14E16">
        <w:rPr>
          <w:rFonts w:ascii="Book Antiqua" w:eastAsia="宋体" w:hAnsi="Book Antiqua" w:cs="Times New Roman"/>
          <w:i/>
          <w:iCs/>
          <w:kern w:val="0"/>
          <w:sz w:val="24"/>
          <w:lang w:eastAsia="en-US"/>
          <w14:ligatures w14:val="none"/>
        </w:rPr>
        <w:t>Cancer Cell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40</w:t>
      </w:r>
      <w:r w:rsidRPr="00F14E16">
        <w:rPr>
          <w:rFonts w:ascii="Book Antiqua" w:eastAsia="宋体" w:hAnsi="Book Antiqua" w:cs="Times New Roman"/>
          <w:kern w:val="0"/>
          <w:sz w:val="24"/>
          <w:lang w:eastAsia="en-US"/>
          <w14:ligatures w14:val="none"/>
        </w:rPr>
        <w:t>: 901-902 [PMID: 36099885 DOI: 10.1016/j.ccell.2022.08.007]</w:t>
      </w:r>
    </w:p>
    <w:p w14:paraId="3F6BB25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68 </w:t>
      </w:r>
      <w:r w:rsidRPr="00F14E16">
        <w:rPr>
          <w:rFonts w:ascii="Book Antiqua" w:eastAsia="宋体" w:hAnsi="Book Antiqua" w:cs="Times New Roman"/>
          <w:b/>
          <w:bCs/>
          <w:kern w:val="0"/>
          <w:sz w:val="24"/>
          <w:lang w:eastAsia="en-US"/>
          <w14:ligatures w14:val="none"/>
        </w:rPr>
        <w:t>Hermida LC</w:t>
      </w:r>
      <w:r w:rsidRPr="00F14E16">
        <w:rPr>
          <w:rFonts w:ascii="Book Antiqua" w:eastAsia="宋体" w:hAnsi="Book Antiqua" w:cs="Times New Roman"/>
          <w:kern w:val="0"/>
          <w:sz w:val="24"/>
          <w:lang w:eastAsia="en-US"/>
          <w14:ligatures w14:val="none"/>
        </w:rPr>
        <w:t xml:space="preserve">, Gertz EM, Ruppin E. Predicting cancer prognosis and drug response from the tumor microbiome. </w:t>
      </w:r>
      <w:r w:rsidRPr="00F14E16">
        <w:rPr>
          <w:rFonts w:ascii="Book Antiqua" w:eastAsia="宋体" w:hAnsi="Book Antiqua" w:cs="Times New Roman"/>
          <w:i/>
          <w:iCs/>
          <w:kern w:val="0"/>
          <w:sz w:val="24"/>
          <w:lang w:eastAsia="en-US"/>
          <w14:ligatures w14:val="none"/>
        </w:rPr>
        <w:t>Nat Commun</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13</w:t>
      </w:r>
      <w:r w:rsidRPr="00F14E16">
        <w:rPr>
          <w:rFonts w:ascii="Book Antiqua" w:eastAsia="宋体" w:hAnsi="Book Antiqua" w:cs="Times New Roman"/>
          <w:kern w:val="0"/>
          <w:sz w:val="24"/>
          <w:lang w:eastAsia="en-US"/>
          <w14:ligatures w14:val="none"/>
        </w:rPr>
        <w:t>: 2896 [PMID: 35610202 DOI: 10.1038/s41467-022-30512-3]</w:t>
      </w:r>
    </w:p>
    <w:p w14:paraId="21A6330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69 </w:t>
      </w:r>
      <w:r w:rsidRPr="00F14E16">
        <w:rPr>
          <w:rFonts w:ascii="Book Antiqua" w:eastAsia="宋体" w:hAnsi="Book Antiqua" w:cs="Times New Roman"/>
          <w:b/>
          <w:bCs/>
          <w:kern w:val="0"/>
          <w:sz w:val="24"/>
          <w:lang w:eastAsia="en-US"/>
          <w14:ligatures w14:val="none"/>
        </w:rPr>
        <w:t>Eisenhofer R</w:t>
      </w:r>
      <w:r w:rsidRPr="00F14E16">
        <w:rPr>
          <w:rFonts w:ascii="Book Antiqua" w:eastAsia="宋体" w:hAnsi="Book Antiqua" w:cs="Times New Roman"/>
          <w:kern w:val="0"/>
          <w:sz w:val="24"/>
          <w:lang w:eastAsia="en-US"/>
          <w14:ligatures w14:val="none"/>
        </w:rPr>
        <w:t xml:space="preserve">, Minich JJ, Marotz C, Cooper A, Knight R, Weyrich LS. Contamination in Low Microbial Biomass Microbiome Studies: Issues and Recommendations. </w:t>
      </w:r>
      <w:r w:rsidRPr="00F14E16">
        <w:rPr>
          <w:rFonts w:ascii="Book Antiqua" w:eastAsia="宋体" w:hAnsi="Book Antiqua" w:cs="Times New Roman"/>
          <w:i/>
          <w:iCs/>
          <w:kern w:val="0"/>
          <w:sz w:val="24"/>
          <w:lang w:eastAsia="en-US"/>
          <w14:ligatures w14:val="none"/>
        </w:rPr>
        <w:t>Trends Microbiol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27</w:t>
      </w:r>
      <w:r w:rsidRPr="00F14E16">
        <w:rPr>
          <w:rFonts w:ascii="Book Antiqua" w:eastAsia="宋体" w:hAnsi="Book Antiqua" w:cs="Times New Roman"/>
          <w:kern w:val="0"/>
          <w:sz w:val="24"/>
          <w:lang w:eastAsia="en-US"/>
          <w14:ligatures w14:val="none"/>
        </w:rPr>
        <w:t>: 105-117 [PMID: 30497919 DOI: 10.1016/j.tim.2018.11.003]</w:t>
      </w:r>
    </w:p>
    <w:p w14:paraId="0000CDB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70 </w:t>
      </w:r>
      <w:r w:rsidRPr="00F14E16">
        <w:rPr>
          <w:rFonts w:ascii="Book Antiqua" w:eastAsia="宋体" w:hAnsi="Book Antiqua" w:cs="Times New Roman"/>
          <w:b/>
          <w:bCs/>
          <w:kern w:val="0"/>
          <w:sz w:val="24"/>
          <w:lang w:eastAsia="en-US"/>
          <w14:ligatures w14:val="none"/>
        </w:rPr>
        <w:t>Wang N</w:t>
      </w:r>
      <w:r w:rsidRPr="00F14E16">
        <w:rPr>
          <w:rFonts w:ascii="Book Antiqua" w:eastAsia="宋体" w:hAnsi="Book Antiqua" w:cs="Times New Roman"/>
          <w:kern w:val="0"/>
          <w:sz w:val="24"/>
          <w:lang w:eastAsia="en-US"/>
          <w14:ligatures w14:val="none"/>
        </w:rPr>
        <w:t xml:space="preserve">, Cheng M, Ning K. Overcoming regional limitations: transfer learning for cross-regional microbial-based diagnosis of diseases. </w:t>
      </w:r>
      <w:r w:rsidRPr="00F14E16">
        <w:rPr>
          <w:rFonts w:ascii="Book Antiqua" w:eastAsia="宋体" w:hAnsi="Book Antiqua" w:cs="Times New Roman"/>
          <w:i/>
          <w:iCs/>
          <w:kern w:val="0"/>
          <w:sz w:val="24"/>
          <w:lang w:eastAsia="en-US"/>
          <w14:ligatures w14:val="none"/>
        </w:rPr>
        <w:t>Gut</w:t>
      </w:r>
      <w:r w:rsidRPr="00F14E16">
        <w:rPr>
          <w:rFonts w:ascii="Book Antiqua" w:eastAsia="宋体" w:hAnsi="Book Antiqua" w:cs="Times New Roman"/>
          <w:kern w:val="0"/>
          <w:sz w:val="24"/>
          <w:lang w:eastAsia="en-US"/>
          <w14:ligatures w14:val="none"/>
        </w:rPr>
        <w:t xml:space="preserve"> 2022 [PMID: 36307182 DOI: 10.1136/gutjnl-2022-328216]</w:t>
      </w:r>
    </w:p>
    <w:p w14:paraId="39E1B3F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71 </w:t>
      </w:r>
      <w:r w:rsidRPr="00F14E16">
        <w:rPr>
          <w:rFonts w:ascii="Book Antiqua" w:eastAsia="宋体" w:hAnsi="Book Antiqua" w:cs="Times New Roman"/>
          <w:b/>
          <w:bCs/>
          <w:kern w:val="0"/>
          <w:sz w:val="24"/>
          <w:lang w:eastAsia="en-US"/>
          <w14:ligatures w14:val="none"/>
        </w:rPr>
        <w:t>Netea MG</w:t>
      </w:r>
      <w:r w:rsidRPr="00F14E16">
        <w:rPr>
          <w:rFonts w:ascii="Book Antiqua" w:eastAsia="宋体" w:hAnsi="Book Antiqua" w:cs="Times New Roman"/>
          <w:kern w:val="0"/>
          <w:sz w:val="24"/>
          <w:lang w:eastAsia="en-US"/>
          <w14:ligatures w14:val="none"/>
        </w:rPr>
        <w:t xml:space="preserve">, Joosten LA, Latz E, Mills KH, Natoli G, Stunnenberg HG, O'Neill LA, Xavier RJ. Trained immunity: A program of innate immune memory in health and disease.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352</w:t>
      </w:r>
      <w:r w:rsidRPr="00F14E16">
        <w:rPr>
          <w:rFonts w:ascii="Book Antiqua" w:eastAsia="宋体" w:hAnsi="Book Antiqua" w:cs="Times New Roman"/>
          <w:kern w:val="0"/>
          <w:sz w:val="24"/>
          <w:lang w:eastAsia="en-US"/>
          <w14:ligatures w14:val="none"/>
        </w:rPr>
        <w:t>: aaf1098 [PMID: 27102489 DOI: 10.1126/science.aaf1098]</w:t>
      </w:r>
    </w:p>
    <w:p w14:paraId="22C1B83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72 </w:t>
      </w:r>
      <w:r w:rsidRPr="00F14E16">
        <w:rPr>
          <w:rFonts w:ascii="Book Antiqua" w:eastAsia="宋体" w:hAnsi="Book Antiqua" w:cs="Times New Roman"/>
          <w:b/>
          <w:bCs/>
          <w:kern w:val="0"/>
          <w:sz w:val="24"/>
          <w:lang w:eastAsia="en-US"/>
          <w14:ligatures w14:val="none"/>
        </w:rPr>
        <w:t>Deets KA</w:t>
      </w:r>
      <w:r w:rsidRPr="00F14E16">
        <w:rPr>
          <w:rFonts w:ascii="Book Antiqua" w:eastAsia="宋体" w:hAnsi="Book Antiqua" w:cs="Times New Roman"/>
          <w:kern w:val="0"/>
          <w:sz w:val="24"/>
          <w:lang w:eastAsia="en-US"/>
          <w14:ligatures w14:val="none"/>
        </w:rPr>
        <w:t xml:space="preserve">, Vance RE. Inflammasomes and adaptive immune responses. </w:t>
      </w:r>
      <w:r w:rsidRPr="00F14E16">
        <w:rPr>
          <w:rFonts w:ascii="Book Antiqua" w:eastAsia="宋体" w:hAnsi="Book Antiqua" w:cs="Times New Roman"/>
          <w:i/>
          <w:iCs/>
          <w:kern w:val="0"/>
          <w:sz w:val="24"/>
          <w:lang w:eastAsia="en-US"/>
          <w14:ligatures w14:val="none"/>
        </w:rPr>
        <w:t>Nat Immunol</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22</w:t>
      </w:r>
      <w:r w:rsidRPr="00F14E16">
        <w:rPr>
          <w:rFonts w:ascii="Book Antiqua" w:eastAsia="宋体" w:hAnsi="Book Antiqua" w:cs="Times New Roman"/>
          <w:kern w:val="0"/>
          <w:sz w:val="24"/>
          <w:lang w:eastAsia="en-US"/>
          <w14:ligatures w14:val="none"/>
        </w:rPr>
        <w:t>: 412-422 [PMID: 33603227 DOI: 10.1038/s41590-021-00869-6]</w:t>
      </w:r>
    </w:p>
    <w:p w14:paraId="7CC4E10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73 </w:t>
      </w:r>
      <w:r w:rsidRPr="00F14E16">
        <w:rPr>
          <w:rFonts w:ascii="Book Antiqua" w:eastAsia="宋体" w:hAnsi="Book Antiqua" w:cs="Times New Roman"/>
          <w:b/>
          <w:bCs/>
          <w:kern w:val="0"/>
          <w:sz w:val="24"/>
          <w:lang w:eastAsia="en-US"/>
          <w14:ligatures w14:val="none"/>
        </w:rPr>
        <w:t>Medzhitov R</w:t>
      </w:r>
      <w:r w:rsidRPr="00F14E16">
        <w:rPr>
          <w:rFonts w:ascii="Book Antiqua" w:eastAsia="宋体" w:hAnsi="Book Antiqua" w:cs="Times New Roman"/>
          <w:kern w:val="0"/>
          <w:sz w:val="24"/>
          <w:lang w:eastAsia="en-US"/>
          <w14:ligatures w14:val="none"/>
        </w:rPr>
        <w:t xml:space="preserve">. Recognition of microorganisms and activation of the immune response. </w:t>
      </w:r>
      <w:r w:rsidRPr="00F14E16">
        <w:rPr>
          <w:rFonts w:ascii="Book Antiqua" w:eastAsia="宋体" w:hAnsi="Book Antiqua" w:cs="Times New Roman"/>
          <w:i/>
          <w:iCs/>
          <w:kern w:val="0"/>
          <w:sz w:val="24"/>
          <w:lang w:eastAsia="en-US"/>
          <w14:ligatures w14:val="none"/>
        </w:rPr>
        <w:t>Nature</w:t>
      </w:r>
      <w:r w:rsidRPr="00F14E16">
        <w:rPr>
          <w:rFonts w:ascii="Book Antiqua" w:eastAsia="宋体" w:hAnsi="Book Antiqua" w:cs="Times New Roman"/>
          <w:kern w:val="0"/>
          <w:sz w:val="24"/>
          <w:lang w:eastAsia="en-US"/>
          <w14:ligatures w14:val="none"/>
        </w:rPr>
        <w:t xml:space="preserve"> 2007; </w:t>
      </w:r>
      <w:r w:rsidRPr="00F14E16">
        <w:rPr>
          <w:rFonts w:ascii="Book Antiqua" w:eastAsia="宋体" w:hAnsi="Book Antiqua" w:cs="Times New Roman"/>
          <w:b/>
          <w:bCs/>
          <w:kern w:val="0"/>
          <w:sz w:val="24"/>
          <w:lang w:eastAsia="en-US"/>
          <w14:ligatures w14:val="none"/>
        </w:rPr>
        <w:t>449</w:t>
      </w:r>
      <w:r w:rsidRPr="00F14E16">
        <w:rPr>
          <w:rFonts w:ascii="Book Antiqua" w:eastAsia="宋体" w:hAnsi="Book Antiqua" w:cs="Times New Roman"/>
          <w:kern w:val="0"/>
          <w:sz w:val="24"/>
          <w:lang w:eastAsia="en-US"/>
          <w14:ligatures w14:val="none"/>
        </w:rPr>
        <w:t>: 819-826 [PMID: 17943118 DOI: 10.1038/nature06246]</w:t>
      </w:r>
    </w:p>
    <w:p w14:paraId="27FAD67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74 </w:t>
      </w:r>
      <w:r w:rsidRPr="00F14E16">
        <w:rPr>
          <w:rFonts w:ascii="Book Antiqua" w:eastAsia="宋体" w:hAnsi="Book Antiqua" w:cs="Times New Roman"/>
          <w:b/>
          <w:bCs/>
          <w:kern w:val="0"/>
          <w:sz w:val="24"/>
          <w:lang w:eastAsia="en-US"/>
          <w14:ligatures w14:val="none"/>
        </w:rPr>
        <w:t>Sethi V</w:t>
      </w:r>
      <w:r w:rsidRPr="00F14E16">
        <w:rPr>
          <w:rFonts w:ascii="Book Antiqua" w:eastAsia="宋体" w:hAnsi="Book Antiqua" w:cs="Times New Roman"/>
          <w:kern w:val="0"/>
          <w:sz w:val="24"/>
          <w:lang w:eastAsia="en-US"/>
          <w14:ligatures w14:val="none"/>
        </w:rPr>
        <w:t xml:space="preserve">, Vitiello GA, Saxena D, Miller G, Dudeja V. The Role of the Microbiome in Immunologic Development and its Implication For Pancreatic Cancer Immunotherapy. </w:t>
      </w:r>
      <w:r w:rsidRPr="00F14E16">
        <w:rPr>
          <w:rFonts w:ascii="Book Antiqua" w:eastAsia="宋体" w:hAnsi="Book Antiqua" w:cs="Times New Roman"/>
          <w:i/>
          <w:iCs/>
          <w:kern w:val="0"/>
          <w:sz w:val="24"/>
          <w:lang w:eastAsia="en-US"/>
          <w14:ligatures w14:val="none"/>
        </w:rPr>
        <w:t>Gastroenterology</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156</w:t>
      </w:r>
      <w:r w:rsidRPr="00F14E16">
        <w:rPr>
          <w:rFonts w:ascii="Book Antiqua" w:eastAsia="宋体" w:hAnsi="Book Antiqua" w:cs="Times New Roman"/>
          <w:kern w:val="0"/>
          <w:sz w:val="24"/>
          <w:lang w:eastAsia="en-US"/>
          <w14:ligatures w14:val="none"/>
        </w:rPr>
        <w:t>: 2097-2115.e2 [PMID: 30768986 DOI: 10.1053/j.gastro.2018.12.045]</w:t>
      </w:r>
    </w:p>
    <w:p w14:paraId="5D01665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75 </w:t>
      </w:r>
      <w:r w:rsidRPr="00F14E16">
        <w:rPr>
          <w:rFonts w:ascii="Book Antiqua" w:eastAsia="宋体" w:hAnsi="Book Antiqua" w:cs="Times New Roman"/>
          <w:b/>
          <w:bCs/>
          <w:kern w:val="0"/>
          <w:sz w:val="24"/>
          <w:lang w:eastAsia="en-US"/>
          <w14:ligatures w14:val="none"/>
        </w:rPr>
        <w:t>Rooks MG</w:t>
      </w:r>
      <w:r w:rsidRPr="00F14E16">
        <w:rPr>
          <w:rFonts w:ascii="Book Antiqua" w:eastAsia="宋体" w:hAnsi="Book Antiqua" w:cs="Times New Roman"/>
          <w:kern w:val="0"/>
          <w:sz w:val="24"/>
          <w:lang w:eastAsia="en-US"/>
          <w14:ligatures w14:val="none"/>
        </w:rPr>
        <w:t xml:space="preserve">, Garrett WS. Gut microbiota, metabolites and host immunity. </w:t>
      </w:r>
      <w:r w:rsidRPr="00F14E16">
        <w:rPr>
          <w:rFonts w:ascii="Book Antiqua" w:eastAsia="宋体" w:hAnsi="Book Antiqua" w:cs="Times New Roman"/>
          <w:i/>
          <w:iCs/>
          <w:kern w:val="0"/>
          <w:sz w:val="24"/>
          <w:lang w:eastAsia="en-US"/>
          <w14:ligatures w14:val="none"/>
        </w:rPr>
        <w:t>Nat Rev Immunol</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16</w:t>
      </w:r>
      <w:r w:rsidRPr="00F14E16">
        <w:rPr>
          <w:rFonts w:ascii="Book Antiqua" w:eastAsia="宋体" w:hAnsi="Book Antiqua" w:cs="Times New Roman"/>
          <w:kern w:val="0"/>
          <w:sz w:val="24"/>
          <w:lang w:eastAsia="en-US"/>
          <w14:ligatures w14:val="none"/>
        </w:rPr>
        <w:t>: 341-352 [PMID: 27231050 DOI: 10.1038/nri.2016.42]</w:t>
      </w:r>
    </w:p>
    <w:p w14:paraId="19C122A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76 </w:t>
      </w:r>
      <w:r w:rsidRPr="00F14E16">
        <w:rPr>
          <w:rFonts w:ascii="Book Antiqua" w:eastAsia="宋体" w:hAnsi="Book Antiqua" w:cs="Times New Roman"/>
          <w:b/>
          <w:bCs/>
          <w:kern w:val="0"/>
          <w:sz w:val="24"/>
          <w:lang w:eastAsia="en-US"/>
          <w14:ligatures w14:val="none"/>
        </w:rPr>
        <w:t>Helmink BA</w:t>
      </w:r>
      <w:r w:rsidRPr="00F14E16">
        <w:rPr>
          <w:rFonts w:ascii="Book Antiqua" w:eastAsia="宋体" w:hAnsi="Book Antiqua" w:cs="Times New Roman"/>
          <w:kern w:val="0"/>
          <w:sz w:val="24"/>
          <w:lang w:eastAsia="en-US"/>
          <w14:ligatures w14:val="none"/>
        </w:rPr>
        <w:t xml:space="preserve">, Khan MAW, Hermann A, Gopalakrishnan V, Wargo JA. The microbiome, cancer, and cancer therapy. </w:t>
      </w:r>
      <w:r w:rsidRPr="00F14E16">
        <w:rPr>
          <w:rFonts w:ascii="Book Antiqua" w:eastAsia="宋体" w:hAnsi="Book Antiqua" w:cs="Times New Roman"/>
          <w:i/>
          <w:iCs/>
          <w:kern w:val="0"/>
          <w:sz w:val="24"/>
          <w:lang w:eastAsia="en-US"/>
          <w14:ligatures w14:val="none"/>
        </w:rPr>
        <w:t>Nat Med</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25</w:t>
      </w:r>
      <w:r w:rsidRPr="00F14E16">
        <w:rPr>
          <w:rFonts w:ascii="Book Antiqua" w:eastAsia="宋体" w:hAnsi="Book Antiqua" w:cs="Times New Roman"/>
          <w:kern w:val="0"/>
          <w:sz w:val="24"/>
          <w:lang w:eastAsia="en-US"/>
          <w14:ligatures w14:val="none"/>
        </w:rPr>
        <w:t>: 377-388 [PMID: 30842679 DOI: 10.1038/s41591-019-0377-7]</w:t>
      </w:r>
    </w:p>
    <w:p w14:paraId="215A455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77 </w:t>
      </w:r>
      <w:r w:rsidRPr="00F14E16">
        <w:rPr>
          <w:rFonts w:ascii="Book Antiqua" w:eastAsia="宋体" w:hAnsi="Book Antiqua" w:cs="Times New Roman"/>
          <w:b/>
          <w:bCs/>
          <w:kern w:val="0"/>
          <w:sz w:val="24"/>
          <w:lang w:eastAsia="en-US"/>
          <w14:ligatures w14:val="none"/>
        </w:rPr>
        <w:t>Pandey V</w:t>
      </w:r>
      <w:r w:rsidRPr="00F14E16">
        <w:rPr>
          <w:rFonts w:ascii="Book Antiqua" w:eastAsia="宋体" w:hAnsi="Book Antiqua" w:cs="Times New Roman"/>
          <w:kern w:val="0"/>
          <w:sz w:val="24"/>
          <w:lang w:eastAsia="en-US"/>
          <w14:ligatures w14:val="none"/>
        </w:rPr>
        <w:t xml:space="preserve">, Storz P. Targeting the tumor microenvironment in pancreatic ductal adenocarcinoma. </w:t>
      </w:r>
      <w:r w:rsidRPr="00F14E16">
        <w:rPr>
          <w:rFonts w:ascii="Book Antiqua" w:eastAsia="宋体" w:hAnsi="Book Antiqua" w:cs="Times New Roman"/>
          <w:i/>
          <w:iCs/>
          <w:kern w:val="0"/>
          <w:sz w:val="24"/>
          <w:lang w:eastAsia="en-US"/>
          <w14:ligatures w14:val="none"/>
        </w:rPr>
        <w:t>Expert Rev Anticancer Ther</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19</w:t>
      </w:r>
      <w:r w:rsidRPr="00F14E16">
        <w:rPr>
          <w:rFonts w:ascii="Book Antiqua" w:eastAsia="宋体" w:hAnsi="Book Antiqua" w:cs="Times New Roman"/>
          <w:kern w:val="0"/>
          <w:sz w:val="24"/>
          <w:lang w:eastAsia="en-US"/>
          <w14:ligatures w14:val="none"/>
        </w:rPr>
        <w:t>: 473-482 [PMID: 31148495 DOI: 10.1080/14737140.2019.1622417]</w:t>
      </w:r>
    </w:p>
    <w:p w14:paraId="1F23060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78 </w:t>
      </w:r>
      <w:r w:rsidRPr="00F14E16">
        <w:rPr>
          <w:rFonts w:ascii="Book Antiqua" w:eastAsia="宋体" w:hAnsi="Book Antiqua" w:cs="Times New Roman"/>
          <w:b/>
          <w:bCs/>
          <w:kern w:val="0"/>
          <w:sz w:val="24"/>
          <w:lang w:eastAsia="en-US"/>
          <w14:ligatures w14:val="none"/>
        </w:rPr>
        <w:t>Amedei A</w:t>
      </w:r>
      <w:r w:rsidRPr="00F14E16">
        <w:rPr>
          <w:rFonts w:ascii="Book Antiqua" w:eastAsia="宋体" w:hAnsi="Book Antiqua" w:cs="Times New Roman"/>
          <w:kern w:val="0"/>
          <w:sz w:val="24"/>
          <w:lang w:eastAsia="en-US"/>
          <w14:ligatures w14:val="none"/>
        </w:rPr>
        <w:t xml:space="preserve">, Niccolai E, Prisco D. Pancreatic cancer: role of the immune system in cancer progression and vaccine-based immunotherapy. </w:t>
      </w:r>
      <w:r w:rsidRPr="00F14E16">
        <w:rPr>
          <w:rFonts w:ascii="Book Antiqua" w:eastAsia="宋体" w:hAnsi="Book Antiqua" w:cs="Times New Roman"/>
          <w:i/>
          <w:iCs/>
          <w:kern w:val="0"/>
          <w:sz w:val="24"/>
          <w:lang w:eastAsia="en-US"/>
          <w14:ligatures w14:val="none"/>
        </w:rPr>
        <w:t>Hum Vaccin Immunother</w:t>
      </w:r>
      <w:r w:rsidRPr="00F14E16">
        <w:rPr>
          <w:rFonts w:ascii="Book Antiqua" w:eastAsia="宋体" w:hAnsi="Book Antiqua" w:cs="Times New Roman"/>
          <w:kern w:val="0"/>
          <w:sz w:val="24"/>
          <w:lang w:eastAsia="en-US"/>
          <w14:ligatures w14:val="none"/>
        </w:rPr>
        <w:t xml:space="preserve"> 2014; </w:t>
      </w:r>
      <w:r w:rsidRPr="00F14E16">
        <w:rPr>
          <w:rFonts w:ascii="Book Antiqua" w:eastAsia="宋体" w:hAnsi="Book Antiqua" w:cs="Times New Roman"/>
          <w:b/>
          <w:bCs/>
          <w:kern w:val="0"/>
          <w:sz w:val="24"/>
          <w:lang w:eastAsia="en-US"/>
          <w14:ligatures w14:val="none"/>
        </w:rPr>
        <w:t>10</w:t>
      </w:r>
      <w:r w:rsidRPr="00F14E16">
        <w:rPr>
          <w:rFonts w:ascii="Book Antiqua" w:eastAsia="宋体" w:hAnsi="Book Antiqua" w:cs="Times New Roman"/>
          <w:kern w:val="0"/>
          <w:sz w:val="24"/>
          <w:lang w:eastAsia="en-US"/>
          <w14:ligatures w14:val="none"/>
        </w:rPr>
        <w:t>: 3354-3368 [PMID: 25483688 DOI: 10.4161/hv.34392]</w:t>
      </w:r>
    </w:p>
    <w:p w14:paraId="1DAC0CB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79 </w:t>
      </w:r>
      <w:r w:rsidRPr="00F14E16">
        <w:rPr>
          <w:rFonts w:ascii="Book Antiqua" w:eastAsia="宋体" w:hAnsi="Book Antiqua" w:cs="Times New Roman"/>
          <w:b/>
          <w:bCs/>
          <w:kern w:val="0"/>
          <w:sz w:val="24"/>
          <w:lang w:eastAsia="en-US"/>
          <w14:ligatures w14:val="none"/>
        </w:rPr>
        <w:t>Bear AS</w:t>
      </w:r>
      <w:r w:rsidRPr="00F14E16">
        <w:rPr>
          <w:rFonts w:ascii="Book Antiqua" w:eastAsia="宋体" w:hAnsi="Book Antiqua" w:cs="Times New Roman"/>
          <w:kern w:val="0"/>
          <w:sz w:val="24"/>
          <w:lang w:eastAsia="en-US"/>
          <w14:ligatures w14:val="none"/>
        </w:rPr>
        <w:t xml:space="preserve">, Vonderheide RH, O'Hara MH. Challenges and Opportunities for Pancreatic Cancer Immunotherapy. </w:t>
      </w:r>
      <w:r w:rsidRPr="00F14E16">
        <w:rPr>
          <w:rFonts w:ascii="Book Antiqua" w:eastAsia="宋体" w:hAnsi="Book Antiqua" w:cs="Times New Roman"/>
          <w:i/>
          <w:iCs/>
          <w:kern w:val="0"/>
          <w:sz w:val="24"/>
          <w:lang w:eastAsia="en-US"/>
          <w14:ligatures w14:val="none"/>
        </w:rPr>
        <w:t>Cancer Cell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38</w:t>
      </w:r>
      <w:r w:rsidRPr="00F14E16">
        <w:rPr>
          <w:rFonts w:ascii="Book Antiqua" w:eastAsia="宋体" w:hAnsi="Book Antiqua" w:cs="Times New Roman"/>
          <w:kern w:val="0"/>
          <w:sz w:val="24"/>
          <w:lang w:eastAsia="en-US"/>
          <w14:ligatures w14:val="none"/>
        </w:rPr>
        <w:t>: 788-802 [PMID: 32946773 DOI: 10.1016/j.ccell.2020.08.004]</w:t>
      </w:r>
    </w:p>
    <w:p w14:paraId="6C6FD8A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80 </w:t>
      </w:r>
      <w:r w:rsidRPr="00F14E16">
        <w:rPr>
          <w:rFonts w:ascii="Book Antiqua" w:eastAsia="宋体" w:hAnsi="Book Antiqua" w:cs="Times New Roman"/>
          <w:b/>
          <w:bCs/>
          <w:kern w:val="0"/>
          <w:sz w:val="24"/>
          <w:lang w:eastAsia="en-US"/>
          <w14:ligatures w14:val="none"/>
        </w:rPr>
        <w:t>Sjöberg AP</w:t>
      </w:r>
      <w:r w:rsidRPr="00F14E16">
        <w:rPr>
          <w:rFonts w:ascii="Book Antiqua" w:eastAsia="宋体" w:hAnsi="Book Antiqua" w:cs="Times New Roman"/>
          <w:kern w:val="0"/>
          <w:sz w:val="24"/>
          <w:lang w:eastAsia="en-US"/>
          <w14:ligatures w14:val="none"/>
        </w:rPr>
        <w:t xml:space="preserve">, Trouw LA, Blom AM. Complement activation and inhibition: a delicate balance. </w:t>
      </w:r>
      <w:r w:rsidRPr="00F14E16">
        <w:rPr>
          <w:rFonts w:ascii="Book Antiqua" w:eastAsia="宋体" w:hAnsi="Book Antiqua" w:cs="Times New Roman"/>
          <w:i/>
          <w:iCs/>
          <w:kern w:val="0"/>
          <w:sz w:val="24"/>
          <w:lang w:eastAsia="en-US"/>
          <w14:ligatures w14:val="none"/>
        </w:rPr>
        <w:t>Trends Immunol</w:t>
      </w:r>
      <w:r w:rsidRPr="00F14E16">
        <w:rPr>
          <w:rFonts w:ascii="Book Antiqua" w:eastAsia="宋体" w:hAnsi="Book Antiqua" w:cs="Times New Roman"/>
          <w:kern w:val="0"/>
          <w:sz w:val="24"/>
          <w:lang w:eastAsia="en-US"/>
          <w14:ligatures w14:val="none"/>
        </w:rPr>
        <w:t xml:space="preserve"> 2009; </w:t>
      </w:r>
      <w:r w:rsidRPr="00F14E16">
        <w:rPr>
          <w:rFonts w:ascii="Book Antiqua" w:eastAsia="宋体" w:hAnsi="Book Antiqua" w:cs="Times New Roman"/>
          <w:b/>
          <w:bCs/>
          <w:kern w:val="0"/>
          <w:sz w:val="24"/>
          <w:lang w:eastAsia="en-US"/>
          <w14:ligatures w14:val="none"/>
        </w:rPr>
        <w:t>30</w:t>
      </w:r>
      <w:r w:rsidRPr="00F14E16">
        <w:rPr>
          <w:rFonts w:ascii="Book Antiqua" w:eastAsia="宋体" w:hAnsi="Book Antiqua" w:cs="Times New Roman"/>
          <w:kern w:val="0"/>
          <w:sz w:val="24"/>
          <w:lang w:eastAsia="en-US"/>
          <w14:ligatures w14:val="none"/>
        </w:rPr>
        <w:t>: 83-90 [PMID: 19144569 DOI: 10.1016/j.it.2008.11.003]</w:t>
      </w:r>
    </w:p>
    <w:p w14:paraId="19D8B17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81 </w:t>
      </w:r>
      <w:r w:rsidRPr="00F14E16">
        <w:rPr>
          <w:rFonts w:ascii="Book Antiqua" w:eastAsia="宋体" w:hAnsi="Book Antiqua" w:cs="Times New Roman"/>
          <w:b/>
          <w:bCs/>
          <w:kern w:val="0"/>
          <w:sz w:val="24"/>
          <w:lang w:eastAsia="en-US"/>
          <w14:ligatures w14:val="none"/>
        </w:rPr>
        <w:t>Zipfel PF</w:t>
      </w:r>
      <w:r w:rsidRPr="00F14E16">
        <w:rPr>
          <w:rFonts w:ascii="Book Antiqua" w:eastAsia="宋体" w:hAnsi="Book Antiqua" w:cs="Times New Roman"/>
          <w:kern w:val="0"/>
          <w:sz w:val="24"/>
          <w:lang w:eastAsia="en-US"/>
          <w14:ligatures w14:val="none"/>
        </w:rPr>
        <w:t xml:space="preserve">, Skerka C. Complement regulators and inhibitory proteins. </w:t>
      </w:r>
      <w:r w:rsidRPr="00F14E16">
        <w:rPr>
          <w:rFonts w:ascii="Book Antiqua" w:eastAsia="宋体" w:hAnsi="Book Antiqua" w:cs="Times New Roman"/>
          <w:i/>
          <w:iCs/>
          <w:kern w:val="0"/>
          <w:sz w:val="24"/>
          <w:lang w:eastAsia="en-US"/>
          <w14:ligatures w14:val="none"/>
        </w:rPr>
        <w:t>Nat Rev Immunol</w:t>
      </w:r>
      <w:r w:rsidRPr="00F14E16">
        <w:rPr>
          <w:rFonts w:ascii="Book Antiqua" w:eastAsia="宋体" w:hAnsi="Book Antiqua" w:cs="Times New Roman"/>
          <w:kern w:val="0"/>
          <w:sz w:val="24"/>
          <w:lang w:eastAsia="en-US"/>
          <w14:ligatures w14:val="none"/>
        </w:rPr>
        <w:t xml:space="preserve"> 2009; </w:t>
      </w:r>
      <w:r w:rsidRPr="00F14E16">
        <w:rPr>
          <w:rFonts w:ascii="Book Antiqua" w:eastAsia="宋体" w:hAnsi="Book Antiqua" w:cs="Times New Roman"/>
          <w:b/>
          <w:bCs/>
          <w:kern w:val="0"/>
          <w:sz w:val="24"/>
          <w:lang w:eastAsia="en-US"/>
          <w14:ligatures w14:val="none"/>
        </w:rPr>
        <w:t>9</w:t>
      </w:r>
      <w:r w:rsidRPr="00F14E16">
        <w:rPr>
          <w:rFonts w:ascii="Book Antiqua" w:eastAsia="宋体" w:hAnsi="Book Antiqua" w:cs="Times New Roman"/>
          <w:kern w:val="0"/>
          <w:sz w:val="24"/>
          <w:lang w:eastAsia="en-US"/>
          <w14:ligatures w14:val="none"/>
        </w:rPr>
        <w:t>: 729-740 [PMID: 19730437 DOI: 10.1038/nri2620]</w:t>
      </w:r>
    </w:p>
    <w:p w14:paraId="291D718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82 </w:t>
      </w:r>
      <w:r w:rsidRPr="00F14E16">
        <w:rPr>
          <w:rFonts w:ascii="Book Antiqua" w:eastAsia="宋体" w:hAnsi="Book Antiqua" w:cs="Times New Roman"/>
          <w:b/>
          <w:bCs/>
          <w:kern w:val="0"/>
          <w:sz w:val="24"/>
          <w:lang w:eastAsia="en-US"/>
          <w14:ligatures w14:val="none"/>
        </w:rPr>
        <w:t>Afshar-Kharghan V</w:t>
      </w:r>
      <w:r w:rsidRPr="00F14E16">
        <w:rPr>
          <w:rFonts w:ascii="Book Antiqua" w:eastAsia="宋体" w:hAnsi="Book Antiqua" w:cs="Times New Roman"/>
          <w:kern w:val="0"/>
          <w:sz w:val="24"/>
          <w:lang w:eastAsia="en-US"/>
          <w14:ligatures w14:val="none"/>
        </w:rPr>
        <w:t xml:space="preserve">. The role of the complement system in cancer. </w:t>
      </w:r>
      <w:r w:rsidRPr="00F14E16">
        <w:rPr>
          <w:rFonts w:ascii="Book Antiqua" w:eastAsia="宋体" w:hAnsi="Book Antiqua" w:cs="Times New Roman"/>
          <w:i/>
          <w:iCs/>
          <w:kern w:val="0"/>
          <w:sz w:val="24"/>
          <w:lang w:eastAsia="en-US"/>
          <w14:ligatures w14:val="none"/>
        </w:rPr>
        <w:t>J Clin Invest</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127</w:t>
      </w:r>
      <w:r w:rsidRPr="00F14E16">
        <w:rPr>
          <w:rFonts w:ascii="Book Antiqua" w:eastAsia="宋体" w:hAnsi="Book Antiqua" w:cs="Times New Roman"/>
          <w:kern w:val="0"/>
          <w:sz w:val="24"/>
          <w:lang w:eastAsia="en-US"/>
          <w14:ligatures w14:val="none"/>
        </w:rPr>
        <w:t>: 780-789 [PMID: 28248200 DOI: 10.1172/JCI90962]</w:t>
      </w:r>
    </w:p>
    <w:p w14:paraId="699A456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83 </w:t>
      </w:r>
      <w:r w:rsidRPr="00F14E16">
        <w:rPr>
          <w:rFonts w:ascii="Book Antiqua" w:eastAsia="宋体" w:hAnsi="Book Antiqua" w:cs="Times New Roman"/>
          <w:b/>
          <w:bCs/>
          <w:kern w:val="0"/>
          <w:sz w:val="24"/>
          <w:lang w:eastAsia="en-US"/>
          <w14:ligatures w14:val="none"/>
        </w:rPr>
        <w:t>Cho MS</w:t>
      </w:r>
      <w:r w:rsidRPr="00F14E16">
        <w:rPr>
          <w:rFonts w:ascii="Book Antiqua" w:eastAsia="宋体" w:hAnsi="Book Antiqua" w:cs="Times New Roman"/>
          <w:kern w:val="0"/>
          <w:sz w:val="24"/>
          <w:lang w:eastAsia="en-US"/>
          <w14:ligatures w14:val="none"/>
        </w:rPr>
        <w:t xml:space="preserve">, Vasquez HG, Rupaimoole R, Pradeep S, Wu S, Zand B, Han HD, Rodriguez-Aguayo C, Bottsford-Miller J, Huang J, Miyake T, Choi HJ, Dalton HJ, Ivan C, Baggerly K, Lopez-Berestein G, Sood AK, Afshar-Kharghan V. Autocrine effects of tumor-derived complement. </w:t>
      </w:r>
      <w:r w:rsidRPr="00F14E16">
        <w:rPr>
          <w:rFonts w:ascii="Book Antiqua" w:eastAsia="宋体" w:hAnsi="Book Antiqua" w:cs="Times New Roman"/>
          <w:i/>
          <w:iCs/>
          <w:kern w:val="0"/>
          <w:sz w:val="24"/>
          <w:lang w:eastAsia="en-US"/>
          <w14:ligatures w14:val="none"/>
        </w:rPr>
        <w:t>Cell Rep</w:t>
      </w:r>
      <w:r w:rsidRPr="00F14E16">
        <w:rPr>
          <w:rFonts w:ascii="Book Antiqua" w:eastAsia="宋体" w:hAnsi="Book Antiqua" w:cs="Times New Roman"/>
          <w:kern w:val="0"/>
          <w:sz w:val="24"/>
          <w:lang w:eastAsia="en-US"/>
          <w14:ligatures w14:val="none"/>
        </w:rPr>
        <w:t xml:space="preserve"> 2014;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1085-1095 [PMID: 24613353 DOI: 10.1016/j.celrep.2014.02.014]</w:t>
      </w:r>
    </w:p>
    <w:p w14:paraId="5E66559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84 </w:t>
      </w:r>
      <w:r w:rsidRPr="00F14E16">
        <w:rPr>
          <w:rFonts w:ascii="Book Antiqua" w:eastAsia="宋体" w:hAnsi="Book Antiqua" w:cs="Times New Roman"/>
          <w:b/>
          <w:bCs/>
          <w:kern w:val="0"/>
          <w:sz w:val="24"/>
          <w:lang w:eastAsia="en-US"/>
          <w14:ligatures w14:val="none"/>
        </w:rPr>
        <w:t>Chen J</w:t>
      </w:r>
      <w:r w:rsidRPr="00F14E16">
        <w:rPr>
          <w:rFonts w:ascii="Book Antiqua" w:eastAsia="宋体" w:hAnsi="Book Antiqua" w:cs="Times New Roman"/>
          <w:kern w:val="0"/>
          <w:sz w:val="24"/>
          <w:lang w:eastAsia="en-US"/>
          <w14:ligatures w14:val="none"/>
        </w:rPr>
        <w:t xml:space="preserve">, Wu W, Zhen C, Zhou H, Yang R, Chen L, Hu L. Expression and clinical significance of complement C3, complement C4b1 and apolipoprotein E in pancreatic cancer. </w:t>
      </w:r>
      <w:r w:rsidRPr="00F14E16">
        <w:rPr>
          <w:rFonts w:ascii="Book Antiqua" w:eastAsia="宋体" w:hAnsi="Book Antiqua" w:cs="Times New Roman"/>
          <w:i/>
          <w:iCs/>
          <w:kern w:val="0"/>
          <w:sz w:val="24"/>
          <w:lang w:eastAsia="en-US"/>
          <w14:ligatures w14:val="none"/>
        </w:rPr>
        <w:t>Oncol Lett</w:t>
      </w:r>
      <w:r w:rsidRPr="00F14E16">
        <w:rPr>
          <w:rFonts w:ascii="Book Antiqua" w:eastAsia="宋体" w:hAnsi="Book Antiqua" w:cs="Times New Roman"/>
          <w:kern w:val="0"/>
          <w:sz w:val="24"/>
          <w:lang w:eastAsia="en-US"/>
          <w14:ligatures w14:val="none"/>
        </w:rPr>
        <w:t xml:space="preserve"> 2013;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43-48 [PMID: 23946775 DOI: 10.3892/ol.2013.1326]</w:t>
      </w:r>
    </w:p>
    <w:p w14:paraId="16ED75E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85 </w:t>
      </w:r>
      <w:r w:rsidRPr="00F14E16">
        <w:rPr>
          <w:rFonts w:ascii="Book Antiqua" w:eastAsia="宋体" w:hAnsi="Book Antiqua" w:cs="Times New Roman"/>
          <w:b/>
          <w:bCs/>
          <w:kern w:val="0"/>
          <w:sz w:val="24"/>
          <w:lang w:eastAsia="en-US"/>
          <w14:ligatures w14:val="none"/>
        </w:rPr>
        <w:t>Andoh A</w:t>
      </w:r>
      <w:r w:rsidRPr="00F14E16">
        <w:rPr>
          <w:rFonts w:ascii="Book Antiqua" w:eastAsia="宋体" w:hAnsi="Book Antiqua" w:cs="Times New Roman"/>
          <w:kern w:val="0"/>
          <w:sz w:val="24"/>
          <w:lang w:eastAsia="en-US"/>
          <w14:ligatures w14:val="none"/>
        </w:rPr>
        <w:t xml:space="preserve">, Shimada M, Takaya H, Hata K, Fujiyama Y, Bamba T. Transforming growth factor-beta1 acts as a potent inhibitor of complement C3 biosynthesis in human pancreatic cancer cell lines. </w:t>
      </w:r>
      <w:r w:rsidRPr="00F14E16">
        <w:rPr>
          <w:rFonts w:ascii="Book Antiqua" w:eastAsia="宋体" w:hAnsi="Book Antiqua" w:cs="Times New Roman"/>
          <w:i/>
          <w:iCs/>
          <w:kern w:val="0"/>
          <w:sz w:val="24"/>
          <w:lang w:eastAsia="en-US"/>
          <w14:ligatures w14:val="none"/>
        </w:rPr>
        <w:t>Pancreas</w:t>
      </w:r>
      <w:r w:rsidRPr="00F14E16">
        <w:rPr>
          <w:rFonts w:ascii="Book Antiqua" w:eastAsia="宋体" w:hAnsi="Book Antiqua" w:cs="Times New Roman"/>
          <w:kern w:val="0"/>
          <w:sz w:val="24"/>
          <w:lang w:eastAsia="en-US"/>
          <w14:ligatures w14:val="none"/>
        </w:rPr>
        <w:t xml:space="preserve"> 2000; </w:t>
      </w:r>
      <w:r w:rsidRPr="00F14E16">
        <w:rPr>
          <w:rFonts w:ascii="Book Antiqua" w:eastAsia="宋体" w:hAnsi="Book Antiqua" w:cs="Times New Roman"/>
          <w:b/>
          <w:bCs/>
          <w:kern w:val="0"/>
          <w:sz w:val="24"/>
          <w:lang w:eastAsia="en-US"/>
          <w14:ligatures w14:val="none"/>
        </w:rPr>
        <w:t>20</w:t>
      </w:r>
      <w:r w:rsidRPr="00F14E16">
        <w:rPr>
          <w:rFonts w:ascii="Book Antiqua" w:eastAsia="宋体" w:hAnsi="Book Antiqua" w:cs="Times New Roman"/>
          <w:kern w:val="0"/>
          <w:sz w:val="24"/>
          <w:lang w:eastAsia="en-US"/>
          <w14:ligatures w14:val="none"/>
        </w:rPr>
        <w:t>: 138-145 [PMID: 10707928 DOI: 10.1097/00006676-200003000-00005]</w:t>
      </w:r>
    </w:p>
    <w:p w14:paraId="2ED079F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86 </w:t>
      </w:r>
      <w:r w:rsidRPr="00F14E16">
        <w:rPr>
          <w:rFonts w:ascii="Book Antiqua" w:eastAsia="宋体" w:hAnsi="Book Antiqua" w:cs="Times New Roman"/>
          <w:b/>
          <w:bCs/>
          <w:kern w:val="0"/>
          <w:sz w:val="24"/>
          <w:lang w:eastAsia="en-US"/>
          <w14:ligatures w14:val="none"/>
        </w:rPr>
        <w:t>Zhang R</w:t>
      </w:r>
      <w:r w:rsidRPr="00F14E16">
        <w:rPr>
          <w:rFonts w:ascii="Book Antiqua" w:eastAsia="宋体" w:hAnsi="Book Antiqua" w:cs="Times New Roman"/>
          <w:kern w:val="0"/>
          <w:sz w:val="24"/>
          <w:lang w:eastAsia="en-US"/>
          <w14:ligatures w14:val="none"/>
        </w:rPr>
        <w:t xml:space="preserve">, Liu Q, Peng J, Wang M, Gao X, Liao Q, Zhao Y. Pancreatic cancer-educated macrophages protect cancer cells from complement-dependent cytotoxicity by up-regulation of CD59. </w:t>
      </w:r>
      <w:r w:rsidRPr="00F14E16">
        <w:rPr>
          <w:rFonts w:ascii="Book Antiqua" w:eastAsia="宋体" w:hAnsi="Book Antiqua" w:cs="Times New Roman"/>
          <w:i/>
          <w:iCs/>
          <w:kern w:val="0"/>
          <w:sz w:val="24"/>
          <w:lang w:eastAsia="en-US"/>
          <w14:ligatures w14:val="none"/>
        </w:rPr>
        <w:t>Cell Death Dis</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10</w:t>
      </w:r>
      <w:r w:rsidRPr="00F14E16">
        <w:rPr>
          <w:rFonts w:ascii="Book Antiqua" w:eastAsia="宋体" w:hAnsi="Book Antiqua" w:cs="Times New Roman"/>
          <w:kern w:val="0"/>
          <w:sz w:val="24"/>
          <w:lang w:eastAsia="en-US"/>
          <w14:ligatures w14:val="none"/>
        </w:rPr>
        <w:t>: 836 [PMID: 31685825 DOI: 10.1038/s41419-019-2065-4]</w:t>
      </w:r>
    </w:p>
    <w:p w14:paraId="0EE456F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87 </w:t>
      </w:r>
      <w:r w:rsidRPr="00F14E16">
        <w:rPr>
          <w:rFonts w:ascii="Book Antiqua" w:eastAsia="宋体" w:hAnsi="Book Antiqua" w:cs="Times New Roman"/>
          <w:b/>
          <w:bCs/>
          <w:kern w:val="0"/>
          <w:sz w:val="24"/>
          <w:lang w:eastAsia="en-US"/>
          <w14:ligatures w14:val="none"/>
        </w:rPr>
        <w:t>Brinkmann V</w:t>
      </w:r>
      <w:r w:rsidRPr="00F14E16">
        <w:rPr>
          <w:rFonts w:ascii="Book Antiqua" w:eastAsia="宋体" w:hAnsi="Book Antiqua" w:cs="Times New Roman"/>
          <w:kern w:val="0"/>
          <w:sz w:val="24"/>
          <w:lang w:eastAsia="en-US"/>
          <w14:ligatures w14:val="none"/>
        </w:rPr>
        <w:t xml:space="preserve">, Reichard U, Goosmann C, Fauler B, Uhlemann Y, Weiss DS, Weinrauch Y, Zychlinsky A. Neutrophil extracellular traps kill bacteria. </w:t>
      </w:r>
      <w:r w:rsidRPr="00F14E16">
        <w:rPr>
          <w:rFonts w:ascii="Book Antiqua" w:eastAsia="宋体" w:hAnsi="Book Antiqua" w:cs="Times New Roman"/>
          <w:i/>
          <w:iCs/>
          <w:kern w:val="0"/>
          <w:sz w:val="24"/>
          <w:lang w:eastAsia="en-US"/>
          <w14:ligatures w14:val="none"/>
        </w:rPr>
        <w:t>Science</w:t>
      </w:r>
      <w:r w:rsidRPr="00F14E16">
        <w:rPr>
          <w:rFonts w:ascii="Book Antiqua" w:eastAsia="宋体" w:hAnsi="Book Antiqua" w:cs="Times New Roman"/>
          <w:kern w:val="0"/>
          <w:sz w:val="24"/>
          <w:lang w:eastAsia="en-US"/>
          <w14:ligatures w14:val="none"/>
        </w:rPr>
        <w:t xml:space="preserve"> 2004; </w:t>
      </w:r>
      <w:r w:rsidRPr="00F14E16">
        <w:rPr>
          <w:rFonts w:ascii="Book Antiqua" w:eastAsia="宋体" w:hAnsi="Book Antiqua" w:cs="Times New Roman"/>
          <w:b/>
          <w:bCs/>
          <w:kern w:val="0"/>
          <w:sz w:val="24"/>
          <w:lang w:eastAsia="en-US"/>
          <w14:ligatures w14:val="none"/>
        </w:rPr>
        <w:t>303</w:t>
      </w:r>
      <w:r w:rsidRPr="00F14E16">
        <w:rPr>
          <w:rFonts w:ascii="Book Antiqua" w:eastAsia="宋体" w:hAnsi="Book Antiqua" w:cs="Times New Roman"/>
          <w:kern w:val="0"/>
          <w:sz w:val="24"/>
          <w:lang w:eastAsia="en-US"/>
          <w14:ligatures w14:val="none"/>
        </w:rPr>
        <w:t>: 1532-1535 [PMID: 15001782 DOI: 10.1126/science.1092385]</w:t>
      </w:r>
    </w:p>
    <w:p w14:paraId="68E9383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88 </w:t>
      </w:r>
      <w:r w:rsidRPr="00F14E16">
        <w:rPr>
          <w:rFonts w:ascii="Book Antiqua" w:eastAsia="宋体" w:hAnsi="Book Antiqua" w:cs="Times New Roman"/>
          <w:b/>
          <w:bCs/>
          <w:kern w:val="0"/>
          <w:sz w:val="24"/>
          <w:lang w:eastAsia="en-US"/>
          <w14:ligatures w14:val="none"/>
        </w:rPr>
        <w:t>Suzuki R</w:t>
      </w:r>
      <w:r w:rsidRPr="00F14E16">
        <w:rPr>
          <w:rFonts w:ascii="Book Antiqua" w:eastAsia="宋体" w:hAnsi="Book Antiqua" w:cs="Times New Roman"/>
          <w:kern w:val="0"/>
          <w:sz w:val="24"/>
          <w:lang w:eastAsia="en-US"/>
          <w14:ligatures w14:val="none"/>
        </w:rPr>
        <w:t xml:space="preserve">, Okubo Y, Takagi T, Sugimoto M, Sato Y, Irie H, Nakamura J, Takasumi M, Kato T, Hashimoto M, Kobashi R, Hikichi T, Ohira H. The Complement C3a-C3a Receptor Axis Regulates Epithelial-to-Mesenchymal Transition by Activating the ERK Pathway in Pancreatic Ductal Adenocarcinoma. </w:t>
      </w:r>
      <w:r w:rsidRPr="00F14E16">
        <w:rPr>
          <w:rFonts w:ascii="Book Antiqua" w:eastAsia="宋体" w:hAnsi="Book Antiqua" w:cs="Times New Roman"/>
          <w:i/>
          <w:iCs/>
          <w:kern w:val="0"/>
          <w:sz w:val="24"/>
          <w:lang w:eastAsia="en-US"/>
          <w14:ligatures w14:val="none"/>
        </w:rPr>
        <w:t>Anticancer Res</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42</w:t>
      </w:r>
      <w:r w:rsidRPr="00F14E16">
        <w:rPr>
          <w:rFonts w:ascii="Book Antiqua" w:eastAsia="宋体" w:hAnsi="Book Antiqua" w:cs="Times New Roman"/>
          <w:kern w:val="0"/>
          <w:sz w:val="24"/>
          <w:lang w:eastAsia="en-US"/>
          <w14:ligatures w14:val="none"/>
        </w:rPr>
        <w:t>: 1207-1215 [PMID: 35220210 DOI: 10.21873/anticanres.15587]</w:t>
      </w:r>
    </w:p>
    <w:p w14:paraId="561D904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89 </w:t>
      </w:r>
      <w:r w:rsidRPr="00F14E16">
        <w:rPr>
          <w:rFonts w:ascii="Book Antiqua" w:eastAsia="宋体" w:hAnsi="Book Antiqua" w:cs="Times New Roman"/>
          <w:b/>
          <w:bCs/>
          <w:kern w:val="0"/>
          <w:sz w:val="24"/>
          <w:lang w:eastAsia="en-US"/>
          <w14:ligatures w14:val="none"/>
        </w:rPr>
        <w:t>Dahinden CA</w:t>
      </w:r>
      <w:r w:rsidRPr="00F14E16">
        <w:rPr>
          <w:rFonts w:ascii="Book Antiqua" w:eastAsia="宋体" w:hAnsi="Book Antiqua" w:cs="Times New Roman"/>
          <w:kern w:val="0"/>
          <w:sz w:val="24"/>
          <w:lang w:eastAsia="en-US"/>
          <w14:ligatures w14:val="none"/>
        </w:rPr>
        <w:t xml:space="preserve">, Bischoff SC, Brunner T, Krieger M, Takafuji S, de Weck AL. Regulation of mediator release by human basophils: importance of the sequence and time of addition in the combined action of different agonists. </w:t>
      </w:r>
      <w:r w:rsidRPr="00F14E16">
        <w:rPr>
          <w:rFonts w:ascii="Book Antiqua" w:eastAsia="宋体" w:hAnsi="Book Antiqua" w:cs="Times New Roman"/>
          <w:i/>
          <w:iCs/>
          <w:kern w:val="0"/>
          <w:sz w:val="24"/>
          <w:lang w:eastAsia="en-US"/>
          <w14:ligatures w14:val="none"/>
        </w:rPr>
        <w:t>Int Arch Allergy Appl Immunol</w:t>
      </w:r>
      <w:r w:rsidRPr="00F14E16">
        <w:rPr>
          <w:rFonts w:ascii="Book Antiqua" w:eastAsia="宋体" w:hAnsi="Book Antiqua" w:cs="Times New Roman"/>
          <w:kern w:val="0"/>
          <w:sz w:val="24"/>
          <w:lang w:eastAsia="en-US"/>
          <w14:ligatures w14:val="none"/>
        </w:rPr>
        <w:t xml:space="preserve"> 1991; </w:t>
      </w:r>
      <w:r w:rsidRPr="00F14E16">
        <w:rPr>
          <w:rFonts w:ascii="Book Antiqua" w:eastAsia="宋体" w:hAnsi="Book Antiqua" w:cs="Times New Roman"/>
          <w:b/>
          <w:bCs/>
          <w:kern w:val="0"/>
          <w:sz w:val="24"/>
          <w:lang w:eastAsia="en-US"/>
          <w14:ligatures w14:val="none"/>
        </w:rPr>
        <w:t>94</w:t>
      </w:r>
      <w:r w:rsidRPr="00F14E16">
        <w:rPr>
          <w:rFonts w:ascii="Book Antiqua" w:eastAsia="宋体" w:hAnsi="Book Antiqua" w:cs="Times New Roman"/>
          <w:kern w:val="0"/>
          <w:sz w:val="24"/>
          <w:lang w:eastAsia="en-US"/>
          <w14:ligatures w14:val="none"/>
        </w:rPr>
        <w:t>: 161-164 [PMID: 1718886 DOI: 10.1159/000235350]</w:t>
      </w:r>
    </w:p>
    <w:p w14:paraId="4735FEB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90 </w:t>
      </w:r>
      <w:r w:rsidRPr="00F14E16">
        <w:rPr>
          <w:rFonts w:ascii="Book Antiqua" w:eastAsia="宋体" w:hAnsi="Book Antiqua" w:cs="Times New Roman"/>
          <w:b/>
          <w:bCs/>
          <w:kern w:val="0"/>
          <w:sz w:val="24"/>
          <w:lang w:eastAsia="en-US"/>
          <w14:ligatures w14:val="none"/>
        </w:rPr>
        <w:t>Elsner J</w:t>
      </w:r>
      <w:r w:rsidRPr="00F14E16">
        <w:rPr>
          <w:rFonts w:ascii="Book Antiqua" w:eastAsia="宋体" w:hAnsi="Book Antiqua" w:cs="Times New Roman"/>
          <w:kern w:val="0"/>
          <w:sz w:val="24"/>
          <w:lang w:eastAsia="en-US"/>
          <w14:ligatures w14:val="none"/>
        </w:rPr>
        <w:t xml:space="preserve">, Oppermann M, Czech W, Dobos G, Schöpf E, Norgauer J, Kapp A. C3a activates reactive oxygen radical species production and intracellular calcium transients in human eosinophils. </w:t>
      </w:r>
      <w:r w:rsidRPr="00F14E16">
        <w:rPr>
          <w:rFonts w:ascii="Book Antiqua" w:eastAsia="宋体" w:hAnsi="Book Antiqua" w:cs="Times New Roman"/>
          <w:i/>
          <w:iCs/>
          <w:kern w:val="0"/>
          <w:sz w:val="24"/>
          <w:lang w:eastAsia="en-US"/>
          <w14:ligatures w14:val="none"/>
        </w:rPr>
        <w:t>Eur J Immunol</w:t>
      </w:r>
      <w:r w:rsidRPr="00F14E16">
        <w:rPr>
          <w:rFonts w:ascii="Book Antiqua" w:eastAsia="宋体" w:hAnsi="Book Antiqua" w:cs="Times New Roman"/>
          <w:kern w:val="0"/>
          <w:sz w:val="24"/>
          <w:lang w:eastAsia="en-US"/>
          <w14:ligatures w14:val="none"/>
        </w:rPr>
        <w:t xml:space="preserve"> 1994; </w:t>
      </w:r>
      <w:r w:rsidRPr="00F14E16">
        <w:rPr>
          <w:rFonts w:ascii="Book Antiqua" w:eastAsia="宋体" w:hAnsi="Book Antiqua" w:cs="Times New Roman"/>
          <w:b/>
          <w:bCs/>
          <w:kern w:val="0"/>
          <w:sz w:val="24"/>
          <w:lang w:eastAsia="en-US"/>
          <w14:ligatures w14:val="none"/>
        </w:rPr>
        <w:t>24</w:t>
      </w:r>
      <w:r w:rsidRPr="00F14E16">
        <w:rPr>
          <w:rFonts w:ascii="Book Antiqua" w:eastAsia="宋体" w:hAnsi="Book Antiqua" w:cs="Times New Roman"/>
          <w:kern w:val="0"/>
          <w:sz w:val="24"/>
          <w:lang w:eastAsia="en-US"/>
          <w14:ligatures w14:val="none"/>
        </w:rPr>
        <w:t>: 518-522 [PMID: 8125125 DOI: 10.1002/eji.1830240304]</w:t>
      </w:r>
    </w:p>
    <w:p w14:paraId="7D7A82E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91 </w:t>
      </w:r>
      <w:r w:rsidRPr="00F14E16">
        <w:rPr>
          <w:rFonts w:ascii="Book Antiqua" w:eastAsia="宋体" w:hAnsi="Book Antiqua" w:cs="Times New Roman"/>
          <w:b/>
          <w:bCs/>
          <w:kern w:val="0"/>
          <w:sz w:val="24"/>
          <w:lang w:eastAsia="en-US"/>
          <w14:ligatures w14:val="none"/>
        </w:rPr>
        <w:t>Martin U</w:t>
      </w:r>
      <w:r w:rsidRPr="00F14E16">
        <w:rPr>
          <w:rFonts w:ascii="Book Antiqua" w:eastAsia="宋体" w:hAnsi="Book Antiqua" w:cs="Times New Roman"/>
          <w:kern w:val="0"/>
          <w:sz w:val="24"/>
          <w:lang w:eastAsia="en-US"/>
          <w14:ligatures w14:val="none"/>
        </w:rPr>
        <w:t xml:space="preserve">, Bock D, Arseniev L, Tornetta MA, Ames RS, Bautsch W, Köhl J, Ganser A, Klos A. The human C3a receptor is expressed on neutrophils and monocytes, but not on B or T lymphocytes. </w:t>
      </w:r>
      <w:r w:rsidRPr="00F14E16">
        <w:rPr>
          <w:rFonts w:ascii="Book Antiqua" w:eastAsia="宋体" w:hAnsi="Book Antiqua" w:cs="Times New Roman"/>
          <w:i/>
          <w:iCs/>
          <w:kern w:val="0"/>
          <w:sz w:val="24"/>
          <w:lang w:eastAsia="en-US"/>
          <w14:ligatures w14:val="none"/>
        </w:rPr>
        <w:t>J Exp Med</w:t>
      </w:r>
      <w:r w:rsidRPr="00F14E16">
        <w:rPr>
          <w:rFonts w:ascii="Book Antiqua" w:eastAsia="宋体" w:hAnsi="Book Antiqua" w:cs="Times New Roman"/>
          <w:kern w:val="0"/>
          <w:sz w:val="24"/>
          <w:lang w:eastAsia="en-US"/>
          <w14:ligatures w14:val="none"/>
        </w:rPr>
        <w:t xml:space="preserve"> 1997; </w:t>
      </w:r>
      <w:r w:rsidRPr="00F14E16">
        <w:rPr>
          <w:rFonts w:ascii="Book Antiqua" w:eastAsia="宋体" w:hAnsi="Book Antiqua" w:cs="Times New Roman"/>
          <w:b/>
          <w:bCs/>
          <w:kern w:val="0"/>
          <w:sz w:val="24"/>
          <w:lang w:eastAsia="en-US"/>
          <w14:ligatures w14:val="none"/>
        </w:rPr>
        <w:t>186</w:t>
      </w:r>
      <w:r w:rsidRPr="00F14E16">
        <w:rPr>
          <w:rFonts w:ascii="Book Antiqua" w:eastAsia="宋体" w:hAnsi="Book Antiqua" w:cs="Times New Roman"/>
          <w:kern w:val="0"/>
          <w:sz w:val="24"/>
          <w:lang w:eastAsia="en-US"/>
          <w14:ligatures w14:val="none"/>
        </w:rPr>
        <w:t>: 199-207 [PMID: 9221749 DOI: 10.1084/jem.186.2.199]</w:t>
      </w:r>
    </w:p>
    <w:p w14:paraId="5FFCEDD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92 </w:t>
      </w:r>
      <w:r w:rsidRPr="00F14E16">
        <w:rPr>
          <w:rFonts w:ascii="Book Antiqua" w:eastAsia="宋体" w:hAnsi="Book Antiqua" w:cs="Times New Roman"/>
          <w:b/>
          <w:bCs/>
          <w:kern w:val="0"/>
          <w:sz w:val="24"/>
          <w:lang w:eastAsia="en-US"/>
          <w14:ligatures w14:val="none"/>
        </w:rPr>
        <w:t>Strainic MG</w:t>
      </w:r>
      <w:r w:rsidRPr="00F14E16">
        <w:rPr>
          <w:rFonts w:ascii="Book Antiqua" w:eastAsia="宋体" w:hAnsi="Book Antiqua" w:cs="Times New Roman"/>
          <w:kern w:val="0"/>
          <w:sz w:val="24"/>
          <w:lang w:eastAsia="en-US"/>
          <w14:ligatures w14:val="none"/>
        </w:rPr>
        <w:t>, Shevach EM, An F, Lin F, Medof ME. Absence of signaling into CD4</w:t>
      </w:r>
      <w:r w:rsidRPr="00F14E16">
        <w:rPr>
          <w:rFonts w:ascii="Times New Roman" w:eastAsia="宋体" w:hAnsi="Times New Roman" w:cs="Times New Roman"/>
          <w:kern w:val="0"/>
          <w:sz w:val="24"/>
          <w:lang w:eastAsia="en-US"/>
          <w14:ligatures w14:val="none"/>
        </w:rPr>
        <w:t>⁺</w:t>
      </w:r>
      <w:r w:rsidRPr="00F14E16">
        <w:rPr>
          <w:rFonts w:ascii="Book Antiqua" w:eastAsia="宋体" w:hAnsi="Book Antiqua" w:cs="Times New Roman"/>
          <w:kern w:val="0"/>
          <w:sz w:val="24"/>
          <w:lang w:eastAsia="en-US"/>
          <w14:ligatures w14:val="none"/>
        </w:rPr>
        <w:t xml:space="preserve"> cells via C3aR and C5aR enables autoinductive TGF-β1 signaling and induction of Foxp3</w:t>
      </w:r>
      <w:r w:rsidRPr="00F14E16">
        <w:rPr>
          <w:rFonts w:ascii="Times New Roman" w:eastAsia="宋体" w:hAnsi="Times New Roman" w:cs="Times New Roman"/>
          <w:kern w:val="0"/>
          <w:sz w:val="24"/>
          <w:lang w:eastAsia="en-US"/>
          <w14:ligatures w14:val="none"/>
        </w:rPr>
        <w:t>⁺</w:t>
      </w:r>
      <w:r w:rsidRPr="00F14E16">
        <w:rPr>
          <w:rFonts w:ascii="Book Antiqua" w:eastAsia="宋体" w:hAnsi="Book Antiqua" w:cs="Times New Roman"/>
          <w:kern w:val="0"/>
          <w:sz w:val="24"/>
          <w:lang w:eastAsia="en-US"/>
          <w14:ligatures w14:val="none"/>
        </w:rPr>
        <w:t xml:space="preserve"> regulatory T cells. </w:t>
      </w:r>
      <w:r w:rsidRPr="00F14E16">
        <w:rPr>
          <w:rFonts w:ascii="Book Antiqua" w:eastAsia="宋体" w:hAnsi="Book Antiqua" w:cs="Times New Roman"/>
          <w:i/>
          <w:iCs/>
          <w:kern w:val="0"/>
          <w:sz w:val="24"/>
          <w:lang w:eastAsia="en-US"/>
          <w14:ligatures w14:val="none"/>
        </w:rPr>
        <w:t>Nat Immunol</w:t>
      </w:r>
      <w:r w:rsidRPr="00F14E16">
        <w:rPr>
          <w:rFonts w:ascii="Book Antiqua" w:eastAsia="宋体" w:hAnsi="Book Antiqua" w:cs="Times New Roman"/>
          <w:kern w:val="0"/>
          <w:sz w:val="24"/>
          <w:lang w:eastAsia="en-US"/>
          <w14:ligatures w14:val="none"/>
        </w:rPr>
        <w:t xml:space="preserve"> 2013; </w:t>
      </w:r>
      <w:r w:rsidRPr="00F14E16">
        <w:rPr>
          <w:rFonts w:ascii="Book Antiqua" w:eastAsia="宋体" w:hAnsi="Book Antiqua" w:cs="Times New Roman"/>
          <w:b/>
          <w:bCs/>
          <w:kern w:val="0"/>
          <w:sz w:val="24"/>
          <w:lang w:eastAsia="en-US"/>
          <w14:ligatures w14:val="none"/>
        </w:rPr>
        <w:t>14</w:t>
      </w:r>
      <w:r w:rsidRPr="00F14E16">
        <w:rPr>
          <w:rFonts w:ascii="Book Antiqua" w:eastAsia="宋体" w:hAnsi="Book Antiqua" w:cs="Times New Roman"/>
          <w:kern w:val="0"/>
          <w:sz w:val="24"/>
          <w:lang w:eastAsia="en-US"/>
          <w14:ligatures w14:val="none"/>
        </w:rPr>
        <w:t>: 162-171 [PMID: 23263555 DOI: 10.1038/ni.2499]</w:t>
      </w:r>
    </w:p>
    <w:p w14:paraId="053D898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93 </w:t>
      </w:r>
      <w:r w:rsidRPr="00F14E16">
        <w:rPr>
          <w:rFonts w:ascii="Book Antiqua" w:eastAsia="宋体" w:hAnsi="Book Antiqua" w:cs="Times New Roman"/>
          <w:b/>
          <w:bCs/>
          <w:kern w:val="0"/>
          <w:sz w:val="24"/>
          <w:lang w:eastAsia="en-US"/>
          <w14:ligatures w14:val="none"/>
        </w:rPr>
        <w:t>Wang Y</w:t>
      </w:r>
      <w:r w:rsidRPr="00F14E16">
        <w:rPr>
          <w:rFonts w:ascii="Book Antiqua" w:eastAsia="宋体" w:hAnsi="Book Antiqua" w:cs="Times New Roman"/>
          <w:kern w:val="0"/>
          <w:sz w:val="24"/>
          <w:lang w:eastAsia="en-US"/>
          <w14:ligatures w14:val="none"/>
        </w:rPr>
        <w:t xml:space="preserve">, Zhang H, He YW. The Complement Receptors C3aR and C5aR Are a New Class of Immune Checkpoint Receptor in Cancer Immunotherapy. </w:t>
      </w:r>
      <w:r w:rsidRPr="00F14E16">
        <w:rPr>
          <w:rFonts w:ascii="Book Antiqua" w:eastAsia="宋体" w:hAnsi="Book Antiqua" w:cs="Times New Roman"/>
          <w:i/>
          <w:iCs/>
          <w:kern w:val="0"/>
          <w:sz w:val="24"/>
          <w:lang w:eastAsia="en-US"/>
          <w14:ligatures w14:val="none"/>
        </w:rPr>
        <w:t>Front Immunol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10</w:t>
      </w:r>
      <w:r w:rsidRPr="00F14E16">
        <w:rPr>
          <w:rFonts w:ascii="Book Antiqua" w:eastAsia="宋体" w:hAnsi="Book Antiqua" w:cs="Times New Roman"/>
          <w:kern w:val="0"/>
          <w:sz w:val="24"/>
          <w:lang w:eastAsia="en-US"/>
          <w14:ligatures w14:val="none"/>
        </w:rPr>
        <w:t>: 1574 [PMID: 31379815 DOI: 10.3389/fimmu.2019.01574]</w:t>
      </w:r>
    </w:p>
    <w:p w14:paraId="24D0F46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94 </w:t>
      </w:r>
      <w:r w:rsidRPr="00F14E16">
        <w:rPr>
          <w:rFonts w:ascii="Book Antiqua" w:eastAsia="宋体" w:hAnsi="Book Antiqua" w:cs="Times New Roman"/>
          <w:b/>
          <w:bCs/>
          <w:kern w:val="0"/>
          <w:sz w:val="24"/>
          <w:lang w:eastAsia="en-US"/>
          <w14:ligatures w14:val="none"/>
        </w:rPr>
        <w:t>Urban CF</w:t>
      </w:r>
      <w:r w:rsidRPr="00F14E16">
        <w:rPr>
          <w:rFonts w:ascii="Book Antiqua" w:eastAsia="宋体" w:hAnsi="Book Antiqua" w:cs="Times New Roman"/>
          <w:kern w:val="0"/>
          <w:sz w:val="24"/>
          <w:lang w:eastAsia="en-US"/>
          <w14:ligatures w14:val="none"/>
        </w:rPr>
        <w:t xml:space="preserve">, Reichard U, Brinkmann V, Zychlinsky A. Neutrophil extracellular traps capture and kill Candida albicans yeast and hyphal forms. </w:t>
      </w:r>
      <w:r w:rsidRPr="00F14E16">
        <w:rPr>
          <w:rFonts w:ascii="Book Antiqua" w:eastAsia="宋体" w:hAnsi="Book Antiqua" w:cs="Times New Roman"/>
          <w:i/>
          <w:iCs/>
          <w:kern w:val="0"/>
          <w:sz w:val="24"/>
          <w:lang w:eastAsia="en-US"/>
          <w14:ligatures w14:val="none"/>
        </w:rPr>
        <w:t>Cell Microbiol</w:t>
      </w:r>
      <w:r w:rsidRPr="00F14E16">
        <w:rPr>
          <w:rFonts w:ascii="Book Antiqua" w:eastAsia="宋体" w:hAnsi="Book Antiqua" w:cs="Times New Roman"/>
          <w:kern w:val="0"/>
          <w:sz w:val="24"/>
          <w:lang w:eastAsia="en-US"/>
          <w14:ligatures w14:val="none"/>
        </w:rPr>
        <w:t xml:space="preserve"> 2006;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668-676 [PMID: 16548892 DOI: 10.1111/j.1462-5822.2005.00659.x]</w:t>
      </w:r>
    </w:p>
    <w:p w14:paraId="7F3BF0E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95 </w:t>
      </w:r>
      <w:r w:rsidRPr="00F14E16">
        <w:rPr>
          <w:rFonts w:ascii="Book Antiqua" w:eastAsia="宋体" w:hAnsi="Book Antiqua" w:cs="Times New Roman"/>
          <w:b/>
          <w:bCs/>
          <w:kern w:val="0"/>
          <w:sz w:val="24"/>
          <w:lang w:eastAsia="en-US"/>
          <w14:ligatures w14:val="none"/>
        </w:rPr>
        <w:t>Saitoh T</w:t>
      </w:r>
      <w:r w:rsidRPr="00F14E16">
        <w:rPr>
          <w:rFonts w:ascii="Book Antiqua" w:eastAsia="宋体" w:hAnsi="Book Antiqua" w:cs="Times New Roman"/>
          <w:kern w:val="0"/>
          <w:sz w:val="24"/>
          <w:lang w:eastAsia="en-US"/>
          <w14:ligatures w14:val="none"/>
        </w:rPr>
        <w:t xml:space="preserve">, Komano J, Saitoh Y, Misawa T, Takahama M, Kozaki T, Uehata T, Iwasaki H, Omori H, Yamaoka S, Yamamoto N, Akira S. Neutrophil extracellular traps mediate a host defense response to human immunodeficiency virus-1. </w:t>
      </w:r>
      <w:r w:rsidRPr="00F14E16">
        <w:rPr>
          <w:rFonts w:ascii="Book Antiqua" w:eastAsia="宋体" w:hAnsi="Book Antiqua" w:cs="Times New Roman"/>
          <w:i/>
          <w:iCs/>
          <w:kern w:val="0"/>
          <w:sz w:val="24"/>
          <w:lang w:eastAsia="en-US"/>
          <w14:ligatures w14:val="none"/>
        </w:rPr>
        <w:t>Cell Host Microbe</w:t>
      </w:r>
      <w:r w:rsidRPr="00F14E16">
        <w:rPr>
          <w:rFonts w:ascii="Book Antiqua" w:eastAsia="宋体" w:hAnsi="Book Antiqua" w:cs="Times New Roman"/>
          <w:kern w:val="0"/>
          <w:sz w:val="24"/>
          <w:lang w:eastAsia="en-US"/>
          <w14:ligatures w14:val="none"/>
        </w:rPr>
        <w:t xml:space="preserve"> 2012; </w:t>
      </w:r>
      <w:r w:rsidRPr="00F14E16">
        <w:rPr>
          <w:rFonts w:ascii="Book Antiqua" w:eastAsia="宋体" w:hAnsi="Book Antiqua" w:cs="Times New Roman"/>
          <w:b/>
          <w:bCs/>
          <w:kern w:val="0"/>
          <w:sz w:val="24"/>
          <w:lang w:eastAsia="en-US"/>
          <w14:ligatures w14:val="none"/>
        </w:rPr>
        <w:t>12</w:t>
      </w:r>
      <w:r w:rsidRPr="00F14E16">
        <w:rPr>
          <w:rFonts w:ascii="Book Antiqua" w:eastAsia="宋体" w:hAnsi="Book Antiqua" w:cs="Times New Roman"/>
          <w:kern w:val="0"/>
          <w:sz w:val="24"/>
          <w:lang w:eastAsia="en-US"/>
          <w14:ligatures w14:val="none"/>
        </w:rPr>
        <w:t>: 109-116 [PMID: 22817992 DOI: 10.1016/j.chom.2012.05.015]</w:t>
      </w:r>
    </w:p>
    <w:p w14:paraId="3995823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96 </w:t>
      </w:r>
      <w:r w:rsidRPr="00F14E16">
        <w:rPr>
          <w:rFonts w:ascii="Book Antiqua" w:eastAsia="宋体" w:hAnsi="Book Antiqua" w:cs="Times New Roman"/>
          <w:b/>
          <w:bCs/>
          <w:kern w:val="0"/>
          <w:sz w:val="24"/>
          <w:lang w:eastAsia="en-US"/>
          <w14:ligatures w14:val="none"/>
        </w:rPr>
        <w:t>Abi Abdallah DS</w:t>
      </w:r>
      <w:r w:rsidRPr="00F14E16">
        <w:rPr>
          <w:rFonts w:ascii="Book Antiqua" w:eastAsia="宋体" w:hAnsi="Book Antiqua" w:cs="Times New Roman"/>
          <w:kern w:val="0"/>
          <w:sz w:val="24"/>
          <w:lang w:eastAsia="en-US"/>
          <w14:ligatures w14:val="none"/>
        </w:rPr>
        <w:t xml:space="preserve">, Lin C, Ball CJ, King MR, Duhamel GE, Denkers EY. Toxoplasma gondii triggers release of human and mouse neutrophil extracellular traps. </w:t>
      </w:r>
      <w:r w:rsidRPr="00F14E16">
        <w:rPr>
          <w:rFonts w:ascii="Book Antiqua" w:eastAsia="宋体" w:hAnsi="Book Antiqua" w:cs="Times New Roman"/>
          <w:i/>
          <w:iCs/>
          <w:kern w:val="0"/>
          <w:sz w:val="24"/>
          <w:lang w:eastAsia="en-US"/>
          <w14:ligatures w14:val="none"/>
        </w:rPr>
        <w:t>Infect Immun</w:t>
      </w:r>
      <w:r w:rsidRPr="00F14E16">
        <w:rPr>
          <w:rFonts w:ascii="Book Antiqua" w:eastAsia="宋体" w:hAnsi="Book Antiqua" w:cs="Times New Roman"/>
          <w:kern w:val="0"/>
          <w:sz w:val="24"/>
          <w:lang w:eastAsia="en-US"/>
          <w14:ligatures w14:val="none"/>
        </w:rPr>
        <w:t xml:space="preserve"> 2012; </w:t>
      </w:r>
      <w:r w:rsidRPr="00F14E16">
        <w:rPr>
          <w:rFonts w:ascii="Book Antiqua" w:eastAsia="宋体" w:hAnsi="Book Antiqua" w:cs="Times New Roman"/>
          <w:b/>
          <w:bCs/>
          <w:kern w:val="0"/>
          <w:sz w:val="24"/>
          <w:lang w:eastAsia="en-US"/>
          <w14:ligatures w14:val="none"/>
        </w:rPr>
        <w:t>80</w:t>
      </w:r>
      <w:r w:rsidRPr="00F14E16">
        <w:rPr>
          <w:rFonts w:ascii="Book Antiqua" w:eastAsia="宋体" w:hAnsi="Book Antiqua" w:cs="Times New Roman"/>
          <w:kern w:val="0"/>
          <w:sz w:val="24"/>
          <w:lang w:eastAsia="en-US"/>
          <w14:ligatures w14:val="none"/>
        </w:rPr>
        <w:t>: 768-777 [PMID: 22104111 DOI: 10.1128/IAI.05730-11]</w:t>
      </w:r>
    </w:p>
    <w:p w14:paraId="37B1701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97 </w:t>
      </w:r>
      <w:r w:rsidRPr="00F14E16">
        <w:rPr>
          <w:rFonts w:ascii="Book Antiqua" w:eastAsia="宋体" w:hAnsi="Book Antiqua" w:cs="Times New Roman"/>
          <w:b/>
          <w:bCs/>
          <w:kern w:val="0"/>
          <w:sz w:val="24"/>
          <w:lang w:eastAsia="en-US"/>
          <w14:ligatures w14:val="none"/>
        </w:rPr>
        <w:t>Papayannopoulos V</w:t>
      </w:r>
      <w:r w:rsidRPr="00F14E16">
        <w:rPr>
          <w:rFonts w:ascii="Book Antiqua" w:eastAsia="宋体" w:hAnsi="Book Antiqua" w:cs="Times New Roman"/>
          <w:kern w:val="0"/>
          <w:sz w:val="24"/>
          <w:lang w:eastAsia="en-US"/>
          <w14:ligatures w14:val="none"/>
        </w:rPr>
        <w:t xml:space="preserve">. Neutrophil extracellular traps in immunity and disease. </w:t>
      </w:r>
      <w:r w:rsidRPr="00F14E16">
        <w:rPr>
          <w:rFonts w:ascii="Book Antiqua" w:eastAsia="宋体" w:hAnsi="Book Antiqua" w:cs="Times New Roman"/>
          <w:i/>
          <w:iCs/>
          <w:kern w:val="0"/>
          <w:sz w:val="24"/>
          <w:lang w:eastAsia="en-US"/>
          <w14:ligatures w14:val="none"/>
        </w:rPr>
        <w:t>Nat Rev Immunol</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18</w:t>
      </w:r>
      <w:r w:rsidRPr="00F14E16">
        <w:rPr>
          <w:rFonts w:ascii="Book Antiqua" w:eastAsia="宋体" w:hAnsi="Book Antiqua" w:cs="Times New Roman"/>
          <w:kern w:val="0"/>
          <w:sz w:val="24"/>
          <w:lang w:eastAsia="en-US"/>
          <w14:ligatures w14:val="none"/>
        </w:rPr>
        <w:t>: 134-147 [PMID: 28990587 DOI: 10.1038/nri.2017.105]</w:t>
      </w:r>
    </w:p>
    <w:p w14:paraId="2D2602B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98 </w:t>
      </w:r>
      <w:r w:rsidRPr="00F14E16">
        <w:rPr>
          <w:rFonts w:ascii="Book Antiqua" w:eastAsia="宋体" w:hAnsi="Book Antiqua" w:cs="Times New Roman"/>
          <w:b/>
          <w:bCs/>
          <w:kern w:val="0"/>
          <w:sz w:val="24"/>
          <w:lang w:eastAsia="en-US"/>
          <w14:ligatures w14:val="none"/>
        </w:rPr>
        <w:t>Lood C</w:t>
      </w:r>
      <w:r w:rsidRPr="00F14E16">
        <w:rPr>
          <w:rFonts w:ascii="Book Antiqua" w:eastAsia="宋体" w:hAnsi="Book Antiqua" w:cs="Times New Roman"/>
          <w:kern w:val="0"/>
          <w:sz w:val="24"/>
          <w:lang w:eastAsia="en-US"/>
          <w14:ligatures w14:val="none"/>
        </w:rPr>
        <w:t xml:space="preserve">, Blanco LP, Purmalek MM, Carmona-Rivera C, De Ravin SS, Smith CK, Malech HL, Ledbetter JA, Elkon KB, Kaplan MJ. Neutrophil extracellular traps enriched in oxidized mitochondrial DNA are interferogenic and contribute to lupus-like disease. </w:t>
      </w:r>
      <w:r w:rsidRPr="00F14E16">
        <w:rPr>
          <w:rFonts w:ascii="Book Antiqua" w:eastAsia="宋体" w:hAnsi="Book Antiqua" w:cs="Times New Roman"/>
          <w:i/>
          <w:iCs/>
          <w:kern w:val="0"/>
          <w:sz w:val="24"/>
          <w:lang w:eastAsia="en-US"/>
          <w14:ligatures w14:val="none"/>
        </w:rPr>
        <w:t>Nat Med</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22</w:t>
      </w:r>
      <w:r w:rsidRPr="00F14E16">
        <w:rPr>
          <w:rFonts w:ascii="Book Antiqua" w:eastAsia="宋体" w:hAnsi="Book Antiqua" w:cs="Times New Roman"/>
          <w:kern w:val="0"/>
          <w:sz w:val="24"/>
          <w:lang w:eastAsia="en-US"/>
          <w14:ligatures w14:val="none"/>
        </w:rPr>
        <w:t>: 146-153 [PMID: 26779811 DOI: 10.1038/nm.4027]</w:t>
      </w:r>
    </w:p>
    <w:p w14:paraId="2642F09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99 </w:t>
      </w:r>
      <w:r w:rsidRPr="00F14E16">
        <w:rPr>
          <w:rFonts w:ascii="Book Antiqua" w:eastAsia="宋体" w:hAnsi="Book Antiqua" w:cs="Times New Roman"/>
          <w:b/>
          <w:bCs/>
          <w:kern w:val="0"/>
          <w:sz w:val="24"/>
          <w:lang w:eastAsia="en-US"/>
          <w14:ligatures w14:val="none"/>
        </w:rPr>
        <w:t>Demkow U</w:t>
      </w:r>
      <w:r w:rsidRPr="00F14E16">
        <w:rPr>
          <w:rFonts w:ascii="Book Antiqua" w:eastAsia="宋体" w:hAnsi="Book Antiqua" w:cs="Times New Roman"/>
          <w:kern w:val="0"/>
          <w:sz w:val="24"/>
          <w:lang w:eastAsia="en-US"/>
          <w14:ligatures w14:val="none"/>
        </w:rPr>
        <w:t xml:space="preserve">. Neutrophil Extracellular Traps (NETs) in Cancer Invasion, Evasion and Metastasis. </w:t>
      </w:r>
      <w:r w:rsidRPr="00F14E16">
        <w:rPr>
          <w:rFonts w:ascii="Book Antiqua" w:eastAsia="宋体" w:hAnsi="Book Antiqua" w:cs="Times New Roman"/>
          <w:i/>
          <w:iCs/>
          <w:kern w:val="0"/>
          <w:sz w:val="24"/>
          <w:lang w:eastAsia="en-US"/>
          <w14:ligatures w14:val="none"/>
        </w:rPr>
        <w:t>Cancers (Basel)</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13</w:t>
      </w:r>
      <w:r w:rsidRPr="00F14E16">
        <w:rPr>
          <w:rFonts w:ascii="Book Antiqua" w:eastAsia="宋体" w:hAnsi="Book Antiqua" w:cs="Times New Roman"/>
          <w:kern w:val="0"/>
          <w:sz w:val="24"/>
          <w:lang w:eastAsia="en-US"/>
          <w14:ligatures w14:val="none"/>
        </w:rPr>
        <w:t xml:space="preserve"> [PMID: 34503307 DOI: 10.3390/cancers13174495]</w:t>
      </w:r>
    </w:p>
    <w:p w14:paraId="7114769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100 </w:t>
      </w:r>
      <w:r w:rsidRPr="00F14E16">
        <w:rPr>
          <w:rFonts w:ascii="Book Antiqua" w:eastAsia="宋体" w:hAnsi="Book Antiqua" w:cs="Times New Roman"/>
          <w:b/>
          <w:bCs/>
          <w:kern w:val="0"/>
          <w:sz w:val="24"/>
          <w:lang w:eastAsia="en-US"/>
          <w14:ligatures w14:val="none"/>
        </w:rPr>
        <w:t>Sochalska M</w:t>
      </w:r>
      <w:r w:rsidRPr="00F14E16">
        <w:rPr>
          <w:rFonts w:ascii="Book Antiqua" w:eastAsia="宋体" w:hAnsi="Book Antiqua" w:cs="Times New Roman"/>
          <w:kern w:val="0"/>
          <w:sz w:val="24"/>
          <w:lang w:eastAsia="en-US"/>
          <w14:ligatures w14:val="none"/>
        </w:rPr>
        <w:t xml:space="preserve">, Potempa J. Manipulation of Neutrophils by Porphyromonas gingivalis in the Development of Periodontitis. </w:t>
      </w:r>
      <w:r w:rsidRPr="00F14E16">
        <w:rPr>
          <w:rFonts w:ascii="Book Antiqua" w:eastAsia="宋体" w:hAnsi="Book Antiqua" w:cs="Times New Roman"/>
          <w:i/>
          <w:iCs/>
          <w:kern w:val="0"/>
          <w:sz w:val="24"/>
          <w:lang w:eastAsia="en-US"/>
          <w14:ligatures w14:val="none"/>
        </w:rPr>
        <w:t>Front Cell Infect Microbiol</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7</w:t>
      </w:r>
      <w:r w:rsidRPr="00F14E16">
        <w:rPr>
          <w:rFonts w:ascii="Book Antiqua" w:eastAsia="宋体" w:hAnsi="Book Antiqua" w:cs="Times New Roman"/>
          <w:kern w:val="0"/>
          <w:sz w:val="24"/>
          <w:lang w:eastAsia="en-US"/>
          <w14:ligatures w14:val="none"/>
        </w:rPr>
        <w:t>: 197 [PMID: 28589098 DOI: 10.3389/fcimb.2017.00197]</w:t>
      </w:r>
    </w:p>
    <w:p w14:paraId="39177A3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101 </w:t>
      </w:r>
      <w:r w:rsidRPr="00F14E16">
        <w:rPr>
          <w:rFonts w:ascii="Book Antiqua" w:eastAsia="宋体" w:hAnsi="Book Antiqua" w:cs="Times New Roman"/>
          <w:b/>
          <w:bCs/>
          <w:kern w:val="0"/>
          <w:sz w:val="24"/>
          <w:lang w:eastAsia="en-US"/>
          <w14:ligatures w14:val="none"/>
        </w:rPr>
        <w:t>Zebboudj A</w:t>
      </w:r>
      <w:r w:rsidRPr="00F14E16">
        <w:rPr>
          <w:rFonts w:ascii="Book Antiqua" w:eastAsia="宋体" w:hAnsi="Book Antiqua" w:cs="Times New Roman"/>
          <w:kern w:val="0"/>
          <w:sz w:val="24"/>
          <w:lang w:eastAsia="en-US"/>
          <w14:ligatures w14:val="none"/>
        </w:rPr>
        <w:t xml:space="preserve">, Amisaki M, Balachandran VP. ILC2s-Bipartisan politicians in cancer. </w:t>
      </w:r>
      <w:r w:rsidRPr="00F14E16">
        <w:rPr>
          <w:rFonts w:ascii="Book Antiqua" w:eastAsia="宋体" w:hAnsi="Book Antiqua" w:cs="Times New Roman"/>
          <w:i/>
          <w:iCs/>
          <w:kern w:val="0"/>
          <w:sz w:val="24"/>
          <w:lang w:eastAsia="en-US"/>
          <w14:ligatures w14:val="none"/>
        </w:rPr>
        <w:t>Sci Immunol</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7</w:t>
      </w:r>
      <w:r w:rsidRPr="00F14E16">
        <w:rPr>
          <w:rFonts w:ascii="Book Antiqua" w:eastAsia="宋体" w:hAnsi="Book Antiqua" w:cs="Times New Roman"/>
          <w:kern w:val="0"/>
          <w:sz w:val="24"/>
          <w:lang w:eastAsia="en-US"/>
          <w14:ligatures w14:val="none"/>
        </w:rPr>
        <w:t>: eabq2791 [PMID: 35658014 DOI: 10.1126/sciimmunol.abq2791]</w:t>
      </w:r>
    </w:p>
    <w:p w14:paraId="54B882B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102 </w:t>
      </w:r>
      <w:r w:rsidRPr="00F14E16">
        <w:rPr>
          <w:rFonts w:ascii="Book Antiqua" w:eastAsia="宋体" w:hAnsi="Book Antiqua" w:cs="Times New Roman"/>
          <w:b/>
          <w:bCs/>
          <w:kern w:val="0"/>
          <w:sz w:val="24"/>
          <w:lang w:eastAsia="en-US"/>
          <w14:ligatures w14:val="none"/>
        </w:rPr>
        <w:t>Moral JA</w:t>
      </w:r>
      <w:r w:rsidRPr="00F14E16">
        <w:rPr>
          <w:rFonts w:ascii="Book Antiqua" w:eastAsia="宋体" w:hAnsi="Book Antiqua" w:cs="Times New Roman"/>
          <w:kern w:val="0"/>
          <w:sz w:val="24"/>
          <w:lang w:eastAsia="en-US"/>
          <w14:ligatures w14:val="none"/>
        </w:rPr>
        <w:t xml:space="preserve">, Leung J, Rojas LA, Ruan J, Zhao J, Sethna Z, Ramnarain A, Gasmi B, Gururajan M, Redmond D, Askan G, Bhanot U, Elyada E, Park Y, Tuveson DA, Gönen M, Leach SD, Wolchok JD, DeMatteo RP, Merghoub T, Balachandran VP. ILC2s amplify PD-1 blockade by activating tissue-specific cancer immunity. </w:t>
      </w:r>
      <w:r w:rsidRPr="00F14E16">
        <w:rPr>
          <w:rFonts w:ascii="Book Antiqua" w:eastAsia="宋体" w:hAnsi="Book Antiqua" w:cs="Times New Roman"/>
          <w:i/>
          <w:iCs/>
          <w:kern w:val="0"/>
          <w:sz w:val="24"/>
          <w:lang w:eastAsia="en-US"/>
          <w14:ligatures w14:val="none"/>
        </w:rPr>
        <w:t>Nature</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579</w:t>
      </w:r>
      <w:r w:rsidRPr="00F14E16">
        <w:rPr>
          <w:rFonts w:ascii="Book Antiqua" w:eastAsia="宋体" w:hAnsi="Book Antiqua" w:cs="Times New Roman"/>
          <w:kern w:val="0"/>
          <w:sz w:val="24"/>
          <w:lang w:eastAsia="en-US"/>
          <w14:ligatures w14:val="none"/>
        </w:rPr>
        <w:t>: 130-135 [PMID: 32076273 DOI: 10.1038/s41586-020-2015-4]</w:t>
      </w:r>
    </w:p>
    <w:p w14:paraId="457AC40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103 </w:t>
      </w:r>
      <w:r w:rsidRPr="00F14E16">
        <w:rPr>
          <w:rFonts w:ascii="Book Antiqua" w:eastAsia="宋体" w:hAnsi="Book Antiqua" w:cs="Times New Roman"/>
          <w:b/>
          <w:bCs/>
          <w:kern w:val="0"/>
          <w:sz w:val="24"/>
          <w:lang w:eastAsia="en-US"/>
          <w14:ligatures w14:val="none"/>
        </w:rPr>
        <w:t>Mahajan UM</w:t>
      </w:r>
      <w:r w:rsidRPr="00F14E16">
        <w:rPr>
          <w:rFonts w:ascii="Book Antiqua" w:eastAsia="宋体" w:hAnsi="Book Antiqua" w:cs="Times New Roman"/>
          <w:kern w:val="0"/>
          <w:sz w:val="24"/>
          <w:lang w:eastAsia="en-US"/>
          <w14:ligatures w14:val="none"/>
        </w:rPr>
        <w:t xml:space="preserve">, Langhoff E, Goni E, Costello E, Greenhalf W, Halloran C, Ormanns S, Kruger S, Boeck S, Ribback S, Beyer G, Dombroswki F, Weiss FU, Neoptolemos JP, </w:t>
      </w:r>
      <w:r w:rsidRPr="00F14E16">
        <w:rPr>
          <w:rFonts w:ascii="Book Antiqua" w:eastAsia="宋体" w:hAnsi="Book Antiqua" w:cs="Times New Roman"/>
          <w:kern w:val="0"/>
          <w:sz w:val="24"/>
          <w:lang w:eastAsia="en-US"/>
          <w14:ligatures w14:val="none"/>
        </w:rPr>
        <w:lastRenderedPageBreak/>
        <w:t xml:space="preserve">Werner J, D'Haese JG, Bazhin A, Peterhansl J, Pichlmeier S, Büchler MW, Kleeff J, Ganeh P, Sendler M, Palmer DH, Kohlmann T, Rad R, Regel I, Lerch MM, Mayerle J. Immune Cell and Stromal Signature Associated With Progression-Free Survival of Patients With Resected Pancreatic Ductal Adenocarcinoma. </w:t>
      </w:r>
      <w:r w:rsidRPr="00F14E16">
        <w:rPr>
          <w:rFonts w:ascii="Book Antiqua" w:eastAsia="宋体" w:hAnsi="Book Antiqua" w:cs="Times New Roman"/>
          <w:i/>
          <w:iCs/>
          <w:kern w:val="0"/>
          <w:sz w:val="24"/>
          <w:lang w:eastAsia="en-US"/>
          <w14:ligatures w14:val="none"/>
        </w:rPr>
        <w:t>Gastroenterology</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155</w:t>
      </w:r>
      <w:r w:rsidRPr="00F14E16">
        <w:rPr>
          <w:rFonts w:ascii="Book Antiqua" w:eastAsia="宋体" w:hAnsi="Book Antiqua" w:cs="Times New Roman"/>
          <w:kern w:val="0"/>
          <w:sz w:val="24"/>
          <w:lang w:eastAsia="en-US"/>
          <w14:ligatures w14:val="none"/>
        </w:rPr>
        <w:t>: 1625-1639.e2 [PMID: 30092175 DOI: 10.1053/j.gastro.2018.08.009]</w:t>
      </w:r>
    </w:p>
    <w:p w14:paraId="11BF007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104 </w:t>
      </w:r>
      <w:r w:rsidRPr="00F14E16">
        <w:rPr>
          <w:rFonts w:ascii="Book Antiqua" w:eastAsia="宋体" w:hAnsi="Book Antiqua" w:cs="Times New Roman"/>
          <w:b/>
          <w:bCs/>
          <w:kern w:val="0"/>
          <w:sz w:val="24"/>
          <w:lang w:eastAsia="en-US"/>
          <w14:ligatures w14:val="none"/>
        </w:rPr>
        <w:t>Liu X</w:t>
      </w:r>
      <w:r w:rsidRPr="00F14E16">
        <w:rPr>
          <w:rFonts w:ascii="Book Antiqua" w:eastAsia="宋体" w:hAnsi="Book Antiqua" w:cs="Times New Roman"/>
          <w:kern w:val="0"/>
          <w:sz w:val="24"/>
          <w:lang w:eastAsia="en-US"/>
          <w14:ligatures w14:val="none"/>
        </w:rPr>
        <w:t xml:space="preserve">, Xu J, Zhang B, Liu J, Liang C, Meng Q, Hua J, Yu X, Shi S. The reciprocal regulation between host tissue and immune cells in pancreatic ductal adenocarcinoma: new insights and therapeutic implications. </w:t>
      </w:r>
      <w:r w:rsidRPr="00F14E16">
        <w:rPr>
          <w:rFonts w:ascii="Book Antiqua" w:eastAsia="宋体" w:hAnsi="Book Antiqua" w:cs="Times New Roman"/>
          <w:i/>
          <w:iCs/>
          <w:kern w:val="0"/>
          <w:sz w:val="24"/>
          <w:lang w:eastAsia="en-US"/>
          <w14:ligatures w14:val="none"/>
        </w:rPr>
        <w:t>Mol Cancer</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18</w:t>
      </w:r>
      <w:r w:rsidRPr="00F14E16">
        <w:rPr>
          <w:rFonts w:ascii="Book Antiqua" w:eastAsia="宋体" w:hAnsi="Book Antiqua" w:cs="Times New Roman"/>
          <w:kern w:val="0"/>
          <w:sz w:val="24"/>
          <w:lang w:eastAsia="en-US"/>
          <w14:ligatures w14:val="none"/>
        </w:rPr>
        <w:t>: 184 [PMID: 31831007 DOI: 10.1186/s12943-019-1117-9]</w:t>
      </w:r>
    </w:p>
    <w:p w14:paraId="6781600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105 </w:t>
      </w:r>
      <w:r w:rsidRPr="00F14E16">
        <w:rPr>
          <w:rFonts w:ascii="Book Antiqua" w:eastAsia="宋体" w:hAnsi="Book Antiqua" w:cs="Times New Roman"/>
          <w:b/>
          <w:bCs/>
          <w:kern w:val="0"/>
          <w:sz w:val="24"/>
          <w:lang w:eastAsia="en-US"/>
          <w14:ligatures w14:val="none"/>
        </w:rPr>
        <w:t>Dey P</w:t>
      </w:r>
      <w:r w:rsidRPr="00F14E16">
        <w:rPr>
          <w:rFonts w:ascii="Book Antiqua" w:eastAsia="宋体" w:hAnsi="Book Antiqua" w:cs="Times New Roman"/>
          <w:kern w:val="0"/>
          <w:sz w:val="24"/>
          <w:lang w:eastAsia="en-US"/>
          <w14:ligatures w14:val="none"/>
        </w:rPr>
        <w:t xml:space="preserve">, Li J, Zhang J, Chaurasiya S, Strom A, Wang H, Liao WT, Cavallaro F, Denz P, Bernard V, Yen EY, Genovese G, Gulhati P, Liu J, Chakravarti D, Deng P, Zhang T, Carbone F, Chang Q, Ying H, Shang X, Spring DJ, Ghosh B, Putluri N, Maitra A, Wang YA, DePinho RA. Oncogenic KRAS-Driven Metabolic Reprogramming in Pancreatic Cancer Cells Utilizes Cytokines from the Tumor Microenvironment. </w:t>
      </w:r>
      <w:r w:rsidRPr="00F14E16">
        <w:rPr>
          <w:rFonts w:ascii="Book Antiqua" w:eastAsia="宋体" w:hAnsi="Book Antiqua" w:cs="Times New Roman"/>
          <w:i/>
          <w:iCs/>
          <w:kern w:val="0"/>
          <w:sz w:val="24"/>
          <w:lang w:eastAsia="en-US"/>
          <w14:ligatures w14:val="none"/>
        </w:rPr>
        <w:t>Cancer Discov</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10</w:t>
      </w:r>
      <w:r w:rsidRPr="00F14E16">
        <w:rPr>
          <w:rFonts w:ascii="Book Antiqua" w:eastAsia="宋体" w:hAnsi="Book Antiqua" w:cs="Times New Roman"/>
          <w:kern w:val="0"/>
          <w:sz w:val="24"/>
          <w:lang w:eastAsia="en-US"/>
          <w14:ligatures w14:val="none"/>
        </w:rPr>
        <w:t>: 608-625 [PMID: 32046984 DOI: 10.1158/2159-8290.CD-19-0297]</w:t>
      </w:r>
    </w:p>
    <w:p w14:paraId="694D7FA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106 </w:t>
      </w:r>
      <w:r w:rsidRPr="00F14E16">
        <w:rPr>
          <w:rFonts w:ascii="Book Antiqua" w:eastAsia="宋体" w:hAnsi="Book Antiqua" w:cs="Times New Roman"/>
          <w:b/>
          <w:bCs/>
          <w:kern w:val="0"/>
          <w:sz w:val="24"/>
          <w:lang w:eastAsia="en-US"/>
          <w14:ligatures w14:val="none"/>
        </w:rPr>
        <w:t>Mosser DM</w:t>
      </w:r>
      <w:r w:rsidRPr="00F14E16">
        <w:rPr>
          <w:rFonts w:ascii="Book Antiqua" w:eastAsia="宋体" w:hAnsi="Book Antiqua" w:cs="Times New Roman"/>
          <w:kern w:val="0"/>
          <w:sz w:val="24"/>
          <w:lang w:eastAsia="en-US"/>
          <w14:ligatures w14:val="none"/>
        </w:rPr>
        <w:t xml:space="preserve">, Edwards JP. Exploring the full spectrum of macrophage activation. </w:t>
      </w:r>
      <w:r w:rsidRPr="00F14E16">
        <w:rPr>
          <w:rFonts w:ascii="Book Antiqua" w:eastAsia="宋体" w:hAnsi="Book Antiqua" w:cs="Times New Roman"/>
          <w:i/>
          <w:iCs/>
          <w:kern w:val="0"/>
          <w:sz w:val="24"/>
          <w:lang w:eastAsia="en-US"/>
          <w14:ligatures w14:val="none"/>
        </w:rPr>
        <w:t>Nat Rev Immunol</w:t>
      </w:r>
      <w:r w:rsidRPr="00F14E16">
        <w:rPr>
          <w:rFonts w:ascii="Book Antiqua" w:eastAsia="宋体" w:hAnsi="Book Antiqua" w:cs="Times New Roman"/>
          <w:kern w:val="0"/>
          <w:sz w:val="24"/>
          <w:lang w:eastAsia="en-US"/>
          <w14:ligatures w14:val="none"/>
        </w:rPr>
        <w:t xml:space="preserve"> 2008;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958-969 [PMID: 19029990 DOI: 10.1038/nri2448]</w:t>
      </w:r>
    </w:p>
    <w:p w14:paraId="5D26E95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107 </w:t>
      </w:r>
      <w:r w:rsidRPr="00F14E16">
        <w:rPr>
          <w:rFonts w:ascii="Book Antiqua" w:eastAsia="宋体" w:hAnsi="Book Antiqua" w:cs="Times New Roman"/>
          <w:b/>
          <w:bCs/>
          <w:kern w:val="0"/>
          <w:sz w:val="24"/>
          <w:lang w:eastAsia="en-US"/>
          <w14:ligatures w14:val="none"/>
        </w:rPr>
        <w:t>Mielgo A</w:t>
      </w:r>
      <w:r w:rsidRPr="00F14E16">
        <w:rPr>
          <w:rFonts w:ascii="Book Antiqua" w:eastAsia="宋体" w:hAnsi="Book Antiqua" w:cs="Times New Roman"/>
          <w:kern w:val="0"/>
          <w:sz w:val="24"/>
          <w:lang w:eastAsia="en-US"/>
          <w14:ligatures w14:val="none"/>
        </w:rPr>
        <w:t xml:space="preserve">, Schmid MC. Impact of tumour associated macrophages in pancreatic cancer. </w:t>
      </w:r>
      <w:r w:rsidRPr="00F14E16">
        <w:rPr>
          <w:rFonts w:ascii="Book Antiqua" w:eastAsia="宋体" w:hAnsi="Book Antiqua" w:cs="Times New Roman"/>
          <w:i/>
          <w:iCs/>
          <w:kern w:val="0"/>
          <w:sz w:val="24"/>
          <w:lang w:eastAsia="en-US"/>
          <w14:ligatures w14:val="none"/>
        </w:rPr>
        <w:t>BMB Rep</w:t>
      </w:r>
      <w:r w:rsidRPr="00F14E16">
        <w:rPr>
          <w:rFonts w:ascii="Book Antiqua" w:eastAsia="宋体" w:hAnsi="Book Antiqua" w:cs="Times New Roman"/>
          <w:kern w:val="0"/>
          <w:sz w:val="24"/>
          <w:lang w:eastAsia="en-US"/>
          <w14:ligatures w14:val="none"/>
        </w:rPr>
        <w:t xml:space="preserve"> 2013; </w:t>
      </w:r>
      <w:r w:rsidRPr="00F14E16">
        <w:rPr>
          <w:rFonts w:ascii="Book Antiqua" w:eastAsia="宋体" w:hAnsi="Book Antiqua" w:cs="Times New Roman"/>
          <w:b/>
          <w:bCs/>
          <w:kern w:val="0"/>
          <w:sz w:val="24"/>
          <w:lang w:eastAsia="en-US"/>
          <w14:ligatures w14:val="none"/>
        </w:rPr>
        <w:t>46</w:t>
      </w:r>
      <w:r w:rsidRPr="00F14E16">
        <w:rPr>
          <w:rFonts w:ascii="Book Antiqua" w:eastAsia="宋体" w:hAnsi="Book Antiqua" w:cs="Times New Roman"/>
          <w:kern w:val="0"/>
          <w:sz w:val="24"/>
          <w:lang w:eastAsia="en-US"/>
          <w14:ligatures w14:val="none"/>
        </w:rPr>
        <w:t>: 131-138 [PMID: 23527856 DOI: 10.5483/bmbrep.2013.46.3.036]</w:t>
      </w:r>
    </w:p>
    <w:p w14:paraId="38D3310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108 </w:t>
      </w:r>
      <w:r w:rsidRPr="00F14E16">
        <w:rPr>
          <w:rFonts w:ascii="Book Antiqua" w:eastAsia="宋体" w:hAnsi="Book Antiqua" w:cs="Times New Roman"/>
          <w:b/>
          <w:bCs/>
          <w:kern w:val="0"/>
          <w:sz w:val="24"/>
          <w:lang w:eastAsia="en-US"/>
          <w14:ligatures w14:val="none"/>
        </w:rPr>
        <w:t>Das S</w:t>
      </w:r>
      <w:r w:rsidRPr="00F14E16">
        <w:rPr>
          <w:rFonts w:ascii="Book Antiqua" w:eastAsia="宋体" w:hAnsi="Book Antiqua" w:cs="Times New Roman"/>
          <w:kern w:val="0"/>
          <w:sz w:val="24"/>
          <w:lang w:eastAsia="en-US"/>
          <w14:ligatures w14:val="none"/>
        </w:rPr>
        <w:t xml:space="preserve">, Shapiro B, Vucic EA, Vogt S, Bar-Sagi D. Tumor Cell-Derived IL1β Promotes Desmoplasia and Immune Suppression in Pancreatic Cancer. </w:t>
      </w:r>
      <w:r w:rsidRPr="00F14E16">
        <w:rPr>
          <w:rFonts w:ascii="Book Antiqua" w:eastAsia="宋体" w:hAnsi="Book Antiqua" w:cs="Times New Roman"/>
          <w:i/>
          <w:iCs/>
          <w:kern w:val="0"/>
          <w:sz w:val="24"/>
          <w:lang w:eastAsia="en-US"/>
          <w14:ligatures w14:val="none"/>
        </w:rPr>
        <w:t>Cancer Res</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80</w:t>
      </w:r>
      <w:r w:rsidRPr="00F14E16">
        <w:rPr>
          <w:rFonts w:ascii="Book Antiqua" w:eastAsia="宋体" w:hAnsi="Book Antiqua" w:cs="Times New Roman"/>
          <w:kern w:val="0"/>
          <w:sz w:val="24"/>
          <w:lang w:eastAsia="en-US"/>
          <w14:ligatures w14:val="none"/>
        </w:rPr>
        <w:t>: 1088-1101 [PMID: 31915130 DOI: 10.1158/0008-5472.CAN-19-2080]</w:t>
      </w:r>
    </w:p>
    <w:p w14:paraId="190CEC1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109 </w:t>
      </w:r>
      <w:r w:rsidRPr="00F14E16">
        <w:rPr>
          <w:rFonts w:ascii="Book Antiqua" w:eastAsia="宋体" w:hAnsi="Book Antiqua" w:cs="Times New Roman"/>
          <w:b/>
          <w:bCs/>
          <w:kern w:val="0"/>
          <w:sz w:val="24"/>
          <w:lang w:eastAsia="en-US"/>
          <w14:ligatures w14:val="none"/>
        </w:rPr>
        <w:t>Fu C</w:t>
      </w:r>
      <w:r w:rsidRPr="00F14E16">
        <w:rPr>
          <w:rFonts w:ascii="Book Antiqua" w:eastAsia="宋体" w:hAnsi="Book Antiqua" w:cs="Times New Roman"/>
          <w:kern w:val="0"/>
          <w:sz w:val="24"/>
          <w:lang w:eastAsia="en-US"/>
          <w14:ligatures w14:val="none"/>
        </w:rPr>
        <w:t xml:space="preserve">, Jiang A. Dendritic Cells and CD8 T Cell Immunity in Tumor Microenvironment. </w:t>
      </w:r>
      <w:r w:rsidRPr="00F14E16">
        <w:rPr>
          <w:rFonts w:ascii="Book Antiqua" w:eastAsia="宋体" w:hAnsi="Book Antiqua" w:cs="Times New Roman"/>
          <w:i/>
          <w:iCs/>
          <w:kern w:val="0"/>
          <w:sz w:val="24"/>
          <w:lang w:eastAsia="en-US"/>
          <w14:ligatures w14:val="none"/>
        </w:rPr>
        <w:t>Front Immunol</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9</w:t>
      </w:r>
      <w:r w:rsidRPr="00F14E16">
        <w:rPr>
          <w:rFonts w:ascii="Book Antiqua" w:eastAsia="宋体" w:hAnsi="Book Antiqua" w:cs="Times New Roman"/>
          <w:kern w:val="0"/>
          <w:sz w:val="24"/>
          <w:lang w:eastAsia="en-US"/>
          <w14:ligatures w14:val="none"/>
        </w:rPr>
        <w:t>: 3059 [PMID: 30619378 DOI: 10.3389/fimmu.2018.03059]</w:t>
      </w:r>
    </w:p>
    <w:p w14:paraId="1FCA866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110 </w:t>
      </w:r>
      <w:r w:rsidRPr="00F14E16">
        <w:rPr>
          <w:rFonts w:ascii="Book Antiqua" w:eastAsia="宋体" w:hAnsi="Book Antiqua" w:cs="Times New Roman"/>
          <w:b/>
          <w:bCs/>
          <w:kern w:val="0"/>
          <w:sz w:val="24"/>
          <w:lang w:eastAsia="en-US"/>
          <w14:ligatures w14:val="none"/>
        </w:rPr>
        <w:t>Ciccolini J</w:t>
      </w:r>
      <w:r w:rsidRPr="00F14E16">
        <w:rPr>
          <w:rFonts w:ascii="Book Antiqua" w:eastAsia="宋体" w:hAnsi="Book Antiqua" w:cs="Times New Roman"/>
          <w:kern w:val="0"/>
          <w:sz w:val="24"/>
          <w:lang w:eastAsia="en-US"/>
          <w14:ligatures w14:val="none"/>
        </w:rPr>
        <w:t xml:space="preserve">, Serdjebi C, Peters GJ, Giovannetti E. Pharmacokinetics and pharmacogenetics of Gemcitabine as a mainstay in adult and pediatric oncology: an EORTC-PAMM perspective. </w:t>
      </w:r>
      <w:r w:rsidRPr="00F14E16">
        <w:rPr>
          <w:rFonts w:ascii="Book Antiqua" w:eastAsia="宋体" w:hAnsi="Book Antiqua" w:cs="Times New Roman"/>
          <w:i/>
          <w:iCs/>
          <w:kern w:val="0"/>
          <w:sz w:val="24"/>
          <w:lang w:eastAsia="en-US"/>
          <w14:ligatures w14:val="none"/>
        </w:rPr>
        <w:t>Cancer Chemother Pharmacol</w:t>
      </w:r>
      <w:r w:rsidRPr="00F14E16">
        <w:rPr>
          <w:rFonts w:ascii="Book Antiqua" w:eastAsia="宋体" w:hAnsi="Book Antiqua" w:cs="Times New Roman"/>
          <w:kern w:val="0"/>
          <w:sz w:val="24"/>
          <w:lang w:eastAsia="en-US"/>
          <w14:ligatures w14:val="none"/>
        </w:rPr>
        <w:t xml:space="preserve"> 2016; </w:t>
      </w:r>
      <w:r w:rsidRPr="00F14E16">
        <w:rPr>
          <w:rFonts w:ascii="Book Antiqua" w:eastAsia="宋体" w:hAnsi="Book Antiqua" w:cs="Times New Roman"/>
          <w:b/>
          <w:bCs/>
          <w:kern w:val="0"/>
          <w:sz w:val="24"/>
          <w:lang w:eastAsia="en-US"/>
          <w14:ligatures w14:val="none"/>
        </w:rPr>
        <w:t>78</w:t>
      </w:r>
      <w:r w:rsidRPr="00F14E16">
        <w:rPr>
          <w:rFonts w:ascii="Book Antiqua" w:eastAsia="宋体" w:hAnsi="Book Antiqua" w:cs="Times New Roman"/>
          <w:kern w:val="0"/>
          <w:sz w:val="24"/>
          <w:lang w:eastAsia="en-US"/>
          <w14:ligatures w14:val="none"/>
        </w:rPr>
        <w:t>: 1-12 [PMID: 27007129 DOI: 10.1007/s00280-016-3003-0]</w:t>
      </w:r>
    </w:p>
    <w:p w14:paraId="3791DE0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111 </w:t>
      </w:r>
      <w:r w:rsidRPr="00F14E16">
        <w:rPr>
          <w:rFonts w:ascii="Book Antiqua" w:eastAsia="宋体" w:hAnsi="Book Antiqua" w:cs="Times New Roman"/>
          <w:b/>
          <w:bCs/>
          <w:kern w:val="0"/>
          <w:sz w:val="24"/>
          <w:lang w:eastAsia="en-US"/>
          <w14:ligatures w14:val="none"/>
        </w:rPr>
        <w:t>Konstantinopoulos PA</w:t>
      </w:r>
      <w:r w:rsidRPr="00F14E16">
        <w:rPr>
          <w:rFonts w:ascii="Book Antiqua" w:eastAsia="宋体" w:hAnsi="Book Antiqua" w:cs="Times New Roman"/>
          <w:kern w:val="0"/>
          <w:sz w:val="24"/>
          <w:lang w:eastAsia="en-US"/>
          <w14:ligatures w14:val="none"/>
        </w:rPr>
        <w:t xml:space="preserve">, Cheng SC, Wahner Hendrickson AE, Penson RT, Schumer ST, Doyle LA, Lee EK, Kohn EC, Duska LR, Crispens MA, Olawaiye AB, Winer IS, </w:t>
      </w:r>
      <w:r w:rsidRPr="00F14E16">
        <w:rPr>
          <w:rFonts w:ascii="Book Antiqua" w:eastAsia="宋体" w:hAnsi="Book Antiqua" w:cs="Times New Roman"/>
          <w:kern w:val="0"/>
          <w:sz w:val="24"/>
          <w:lang w:eastAsia="en-US"/>
          <w14:ligatures w14:val="none"/>
        </w:rPr>
        <w:lastRenderedPageBreak/>
        <w:t xml:space="preserve">Barroilhet LM, Fu S, McHale MT, Schilder RJ, Färkkilä A, Chowdhury D, Curtis J, Quinn RS, Bowes B, D'Andrea AD, Shapiro GI, Matulonis UA. Berzosertib plus gemcitabine versus gemcitabine alone in platinum-resistant high-grade serous ovarian cancer: a multicentre, open-label, randomised, phase 2 trial. </w:t>
      </w:r>
      <w:r w:rsidRPr="00F14E16">
        <w:rPr>
          <w:rFonts w:ascii="Book Antiqua" w:eastAsia="宋体" w:hAnsi="Book Antiqua" w:cs="Times New Roman"/>
          <w:i/>
          <w:iCs/>
          <w:kern w:val="0"/>
          <w:sz w:val="24"/>
          <w:lang w:eastAsia="en-US"/>
          <w14:ligatures w14:val="none"/>
        </w:rPr>
        <w:t>Lancet Oncol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21</w:t>
      </w:r>
      <w:r w:rsidRPr="00F14E16">
        <w:rPr>
          <w:rFonts w:ascii="Book Antiqua" w:eastAsia="宋体" w:hAnsi="Book Antiqua" w:cs="Times New Roman"/>
          <w:kern w:val="0"/>
          <w:sz w:val="24"/>
          <w:lang w:eastAsia="en-US"/>
          <w14:ligatures w14:val="none"/>
        </w:rPr>
        <w:t>: 957-968 [PMID: 32553118 DOI: 10.1016/S1470-2045(20)30180-7]</w:t>
      </w:r>
    </w:p>
    <w:p w14:paraId="72007601"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112 </w:t>
      </w:r>
      <w:r w:rsidRPr="00F14E16">
        <w:rPr>
          <w:rFonts w:ascii="Book Antiqua" w:eastAsia="宋体" w:hAnsi="Book Antiqua" w:cs="Times New Roman"/>
          <w:b/>
          <w:bCs/>
          <w:kern w:val="0"/>
          <w:sz w:val="24"/>
          <w:lang w:eastAsia="en-US"/>
          <w14:ligatures w14:val="none"/>
        </w:rPr>
        <w:t>Gontero P</w:t>
      </w:r>
      <w:r w:rsidRPr="00F14E16">
        <w:rPr>
          <w:rFonts w:ascii="Book Antiqua" w:eastAsia="宋体" w:hAnsi="Book Antiqua" w:cs="Times New Roman"/>
          <w:kern w:val="0"/>
          <w:sz w:val="24"/>
          <w:lang w:eastAsia="en-US"/>
          <w14:ligatures w14:val="none"/>
        </w:rPr>
        <w:t xml:space="preserve">, Frea B. Actual experience and future development of gemcitabine in superficial bladder cancer. </w:t>
      </w:r>
      <w:r w:rsidRPr="00F14E16">
        <w:rPr>
          <w:rFonts w:ascii="Book Antiqua" w:eastAsia="宋体" w:hAnsi="Book Antiqua" w:cs="Times New Roman"/>
          <w:i/>
          <w:iCs/>
          <w:kern w:val="0"/>
          <w:sz w:val="24"/>
          <w:lang w:eastAsia="en-US"/>
          <w14:ligatures w14:val="none"/>
        </w:rPr>
        <w:t>Ann Oncol</w:t>
      </w:r>
      <w:r w:rsidRPr="00F14E16">
        <w:rPr>
          <w:rFonts w:ascii="Book Antiqua" w:eastAsia="宋体" w:hAnsi="Book Antiqua" w:cs="Times New Roman"/>
          <w:kern w:val="0"/>
          <w:sz w:val="24"/>
          <w:lang w:eastAsia="en-US"/>
          <w14:ligatures w14:val="none"/>
        </w:rPr>
        <w:t xml:space="preserve"> 2006; </w:t>
      </w:r>
      <w:r w:rsidRPr="00F14E16">
        <w:rPr>
          <w:rFonts w:ascii="Book Antiqua" w:eastAsia="宋体" w:hAnsi="Book Antiqua" w:cs="Times New Roman"/>
          <w:b/>
          <w:bCs/>
          <w:kern w:val="0"/>
          <w:sz w:val="24"/>
          <w:lang w:eastAsia="en-US"/>
          <w14:ligatures w14:val="none"/>
        </w:rPr>
        <w:t>17 Suppl 5</w:t>
      </w:r>
      <w:r w:rsidRPr="00F14E16">
        <w:rPr>
          <w:rFonts w:ascii="Book Antiqua" w:eastAsia="宋体" w:hAnsi="Book Antiqua" w:cs="Times New Roman"/>
          <w:kern w:val="0"/>
          <w:sz w:val="24"/>
          <w:lang w:eastAsia="en-US"/>
          <w14:ligatures w14:val="none"/>
        </w:rPr>
        <w:t>: v123-v128 [PMID: 16807439 DOI: 10.1093/annonc/mdj966]</w:t>
      </w:r>
    </w:p>
    <w:p w14:paraId="16BC0A0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113 </w:t>
      </w:r>
      <w:r w:rsidRPr="00F14E16">
        <w:rPr>
          <w:rFonts w:ascii="Book Antiqua" w:eastAsia="宋体" w:hAnsi="Book Antiqua" w:cs="Times New Roman"/>
          <w:b/>
          <w:bCs/>
          <w:kern w:val="0"/>
          <w:sz w:val="24"/>
          <w:lang w:eastAsia="en-US"/>
          <w14:ligatures w14:val="none"/>
        </w:rPr>
        <w:t>Wu YL</w:t>
      </w:r>
      <w:r w:rsidRPr="00F14E16">
        <w:rPr>
          <w:rFonts w:ascii="Book Antiqua" w:eastAsia="宋体" w:hAnsi="Book Antiqua" w:cs="Times New Roman"/>
          <w:kern w:val="0"/>
          <w:sz w:val="24"/>
          <w:lang w:eastAsia="en-US"/>
          <w14:ligatures w14:val="none"/>
        </w:rPr>
        <w:t xml:space="preserve">, Zhou C, Hu CP, Feng J, Lu S, Huang Y, Li W, Hou M, Shi JH, Lee KY, Xu CR, Massey D, Kim M, Shi Y, Geater SL. Afatinib versus cisplatin plus gemcitabine for first-line treatment of Asian patients with advanced non-small-cell lung cancer harbouring EGFR mutations (LUX-Lung 6): an open-label, randomised phase 3 trial. </w:t>
      </w:r>
      <w:r w:rsidRPr="00F14E16">
        <w:rPr>
          <w:rFonts w:ascii="Book Antiqua" w:eastAsia="宋体" w:hAnsi="Book Antiqua" w:cs="Times New Roman"/>
          <w:i/>
          <w:iCs/>
          <w:kern w:val="0"/>
          <w:sz w:val="24"/>
          <w:lang w:eastAsia="en-US"/>
          <w14:ligatures w14:val="none"/>
        </w:rPr>
        <w:t>Lancet Oncol</w:t>
      </w:r>
      <w:r w:rsidRPr="00F14E16">
        <w:rPr>
          <w:rFonts w:ascii="Book Antiqua" w:eastAsia="宋体" w:hAnsi="Book Antiqua" w:cs="Times New Roman"/>
          <w:kern w:val="0"/>
          <w:sz w:val="24"/>
          <w:lang w:eastAsia="en-US"/>
          <w14:ligatures w14:val="none"/>
        </w:rPr>
        <w:t xml:space="preserve"> 2014; </w:t>
      </w:r>
      <w:r w:rsidRPr="00F14E16">
        <w:rPr>
          <w:rFonts w:ascii="Book Antiqua" w:eastAsia="宋体" w:hAnsi="Book Antiqua" w:cs="Times New Roman"/>
          <w:b/>
          <w:bCs/>
          <w:kern w:val="0"/>
          <w:sz w:val="24"/>
          <w:lang w:eastAsia="en-US"/>
          <w14:ligatures w14:val="none"/>
        </w:rPr>
        <w:t>15</w:t>
      </w:r>
      <w:r w:rsidRPr="00F14E16">
        <w:rPr>
          <w:rFonts w:ascii="Book Antiqua" w:eastAsia="宋体" w:hAnsi="Book Antiqua" w:cs="Times New Roman"/>
          <w:kern w:val="0"/>
          <w:sz w:val="24"/>
          <w:lang w:eastAsia="en-US"/>
          <w14:ligatures w14:val="none"/>
        </w:rPr>
        <w:t>: 213-222 [PMID: 24439929 DOI: 10.1016/S1470-2045(13)70604-1]</w:t>
      </w:r>
    </w:p>
    <w:p w14:paraId="46D9D6E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114 </w:t>
      </w:r>
      <w:r w:rsidRPr="00F14E16">
        <w:rPr>
          <w:rFonts w:ascii="Book Antiqua" w:eastAsia="宋体" w:hAnsi="Book Antiqua" w:cs="Times New Roman"/>
          <w:b/>
          <w:bCs/>
          <w:kern w:val="0"/>
          <w:sz w:val="24"/>
          <w:lang w:eastAsia="en-US"/>
          <w14:ligatures w14:val="none"/>
        </w:rPr>
        <w:t>Vande Voorde J</w:t>
      </w:r>
      <w:r w:rsidRPr="00F14E16">
        <w:rPr>
          <w:rFonts w:ascii="Book Antiqua" w:eastAsia="宋体" w:hAnsi="Book Antiqua" w:cs="Times New Roman"/>
          <w:kern w:val="0"/>
          <w:sz w:val="24"/>
          <w:lang w:eastAsia="en-US"/>
          <w14:ligatures w14:val="none"/>
        </w:rPr>
        <w:t xml:space="preserve">, Vervaeke P, Liekens S, Balzarini J. Mycoplasma hyorhinis-encoded cytidine deaminase efficiently inactivates cytosine-based anticancer drugs. </w:t>
      </w:r>
      <w:r w:rsidRPr="00F14E16">
        <w:rPr>
          <w:rFonts w:ascii="Book Antiqua" w:eastAsia="宋体" w:hAnsi="Book Antiqua" w:cs="Times New Roman"/>
          <w:i/>
          <w:iCs/>
          <w:kern w:val="0"/>
          <w:sz w:val="24"/>
          <w:lang w:eastAsia="en-US"/>
          <w14:ligatures w14:val="none"/>
        </w:rPr>
        <w:t>FEBS Open Bio</w:t>
      </w:r>
      <w:r w:rsidRPr="00F14E16">
        <w:rPr>
          <w:rFonts w:ascii="Book Antiqua" w:eastAsia="宋体" w:hAnsi="Book Antiqua" w:cs="Times New Roman"/>
          <w:kern w:val="0"/>
          <w:sz w:val="24"/>
          <w:lang w:eastAsia="en-US"/>
          <w14:ligatures w14:val="none"/>
        </w:rPr>
        <w:t xml:space="preserve"> 2015; </w:t>
      </w:r>
      <w:r w:rsidRPr="00F14E16">
        <w:rPr>
          <w:rFonts w:ascii="Book Antiqua" w:eastAsia="宋体" w:hAnsi="Book Antiqua" w:cs="Times New Roman"/>
          <w:b/>
          <w:bCs/>
          <w:kern w:val="0"/>
          <w:sz w:val="24"/>
          <w:lang w:eastAsia="en-US"/>
          <w14:ligatures w14:val="none"/>
        </w:rPr>
        <w:t>5</w:t>
      </w:r>
      <w:r w:rsidRPr="00F14E16">
        <w:rPr>
          <w:rFonts w:ascii="Book Antiqua" w:eastAsia="宋体" w:hAnsi="Book Antiqua" w:cs="Times New Roman"/>
          <w:kern w:val="0"/>
          <w:sz w:val="24"/>
          <w:lang w:eastAsia="en-US"/>
          <w14:ligatures w14:val="none"/>
        </w:rPr>
        <w:t>: 634-639 [PMID: 26322268 DOI: 10.1016/j.fob.2015.07.007]</w:t>
      </w:r>
    </w:p>
    <w:p w14:paraId="2E1661B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115 </w:t>
      </w:r>
      <w:r w:rsidRPr="00F14E16">
        <w:rPr>
          <w:rFonts w:ascii="Book Antiqua" w:eastAsia="宋体" w:hAnsi="Book Antiqua" w:cs="Times New Roman"/>
          <w:b/>
          <w:bCs/>
          <w:kern w:val="0"/>
          <w:sz w:val="24"/>
          <w:lang w:eastAsia="en-US"/>
          <w14:ligatures w14:val="none"/>
        </w:rPr>
        <w:t>Yu T</w:t>
      </w:r>
      <w:r w:rsidRPr="00F14E16">
        <w:rPr>
          <w:rFonts w:ascii="Book Antiqua" w:eastAsia="宋体" w:hAnsi="Book Antiqua" w:cs="Times New Roman"/>
          <w:kern w:val="0"/>
          <w:sz w:val="24"/>
          <w:lang w:eastAsia="en-US"/>
          <w14:ligatures w14:val="none"/>
        </w:rPr>
        <w:t xml:space="preserve">, Guo F, Yu Y, Sun T, Ma D, Han J, Qian Y, Kryczek I, Sun D, Nagarsheth N, Chen Y, Chen H, Hong J, Zou W, Fang JY. Fusobacterium nucleatum Promotes Chemoresistance to Colorectal Cancer by Modulating Autophagy.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2017; </w:t>
      </w:r>
      <w:r w:rsidRPr="00F14E16">
        <w:rPr>
          <w:rFonts w:ascii="Book Antiqua" w:eastAsia="宋体" w:hAnsi="Book Antiqua" w:cs="Times New Roman"/>
          <w:b/>
          <w:bCs/>
          <w:kern w:val="0"/>
          <w:sz w:val="24"/>
          <w:lang w:eastAsia="en-US"/>
          <w14:ligatures w14:val="none"/>
        </w:rPr>
        <w:t>170</w:t>
      </w:r>
      <w:r w:rsidRPr="00F14E16">
        <w:rPr>
          <w:rFonts w:ascii="Book Antiqua" w:eastAsia="宋体" w:hAnsi="Book Antiqua" w:cs="Times New Roman"/>
          <w:kern w:val="0"/>
          <w:sz w:val="24"/>
          <w:lang w:eastAsia="en-US"/>
          <w14:ligatures w14:val="none"/>
        </w:rPr>
        <w:t>: 548-563.e16 [PMID: 28753429 DOI: 10.1016/j.cell.2017.07.008]</w:t>
      </w:r>
    </w:p>
    <w:p w14:paraId="2BB0793C"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116 </w:t>
      </w:r>
      <w:r w:rsidRPr="00F14E16">
        <w:rPr>
          <w:rFonts w:ascii="Book Antiqua" w:eastAsia="宋体" w:hAnsi="Book Antiqua" w:cs="Times New Roman"/>
          <w:b/>
          <w:bCs/>
          <w:kern w:val="0"/>
          <w:sz w:val="24"/>
          <w:lang w:eastAsia="en-US"/>
          <w14:ligatures w14:val="none"/>
        </w:rPr>
        <w:t>Mohindroo C</w:t>
      </w:r>
      <w:r w:rsidRPr="00F14E16">
        <w:rPr>
          <w:rFonts w:ascii="Book Antiqua" w:eastAsia="宋体" w:hAnsi="Book Antiqua" w:cs="Times New Roman"/>
          <w:kern w:val="0"/>
          <w:sz w:val="24"/>
          <w:lang w:eastAsia="en-US"/>
          <w14:ligatures w14:val="none"/>
        </w:rPr>
        <w:t xml:space="preserve">, Hasanov M, Rogers JE, Dong W, Prakash LR, Baydogan S, Mizrahi JD, Overman MJ, Varadhachary GR, Wolff RA, Javle MM, Fogelman DR, Lotze MT, Kim MP, Katz MHG, Pant S, Tzeng CD, McAllister F. Antibiotic use influences outcomes in advanced pancreatic adenocarcinoma patients. </w:t>
      </w:r>
      <w:r w:rsidRPr="00F14E16">
        <w:rPr>
          <w:rFonts w:ascii="Book Antiqua" w:eastAsia="宋体" w:hAnsi="Book Antiqua" w:cs="Times New Roman"/>
          <w:i/>
          <w:iCs/>
          <w:kern w:val="0"/>
          <w:sz w:val="24"/>
          <w:lang w:eastAsia="en-US"/>
          <w14:ligatures w14:val="none"/>
        </w:rPr>
        <w:t>Cancer Med</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10</w:t>
      </w:r>
      <w:r w:rsidRPr="00F14E16">
        <w:rPr>
          <w:rFonts w:ascii="Book Antiqua" w:eastAsia="宋体" w:hAnsi="Book Antiqua" w:cs="Times New Roman"/>
          <w:kern w:val="0"/>
          <w:sz w:val="24"/>
          <w:lang w:eastAsia="en-US"/>
          <w14:ligatures w14:val="none"/>
        </w:rPr>
        <w:t>: 5041-5050 [PMID: 34250759 DOI: 10.1002/cam4.3870]</w:t>
      </w:r>
    </w:p>
    <w:p w14:paraId="2C27CA0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117 </w:t>
      </w:r>
      <w:r w:rsidRPr="00F14E16">
        <w:rPr>
          <w:rFonts w:ascii="Book Antiqua" w:eastAsia="宋体" w:hAnsi="Book Antiqua" w:cs="Times New Roman"/>
          <w:b/>
          <w:bCs/>
          <w:kern w:val="0"/>
          <w:sz w:val="24"/>
          <w:lang w:eastAsia="en-US"/>
          <w14:ligatures w14:val="none"/>
        </w:rPr>
        <w:t>Weniger M</w:t>
      </w:r>
      <w:r w:rsidRPr="00F14E16">
        <w:rPr>
          <w:rFonts w:ascii="Book Antiqua" w:eastAsia="宋体" w:hAnsi="Book Antiqua" w:cs="Times New Roman"/>
          <w:kern w:val="0"/>
          <w:sz w:val="24"/>
          <w:lang w:eastAsia="en-US"/>
          <w14:ligatures w14:val="none"/>
        </w:rPr>
        <w:t xml:space="preserve">, Hank T, Qadan M, Ciprani D, Michelakos T, Niess H, Heiliger C, Ilmer M, D'Haese JG, Ferrone CR, Warshaw AL, Lillemoe KD, Werner J, Liss A, Fernández-Del Castillo C. Influence of Klebsiella pneumoniae and quinolone treatment on prognosis in patients with pancreatic cancer. </w:t>
      </w:r>
      <w:r w:rsidRPr="00F14E16">
        <w:rPr>
          <w:rFonts w:ascii="Book Antiqua" w:eastAsia="宋体" w:hAnsi="Book Antiqua" w:cs="Times New Roman"/>
          <w:i/>
          <w:iCs/>
          <w:kern w:val="0"/>
          <w:sz w:val="24"/>
          <w:lang w:eastAsia="en-US"/>
          <w14:ligatures w14:val="none"/>
        </w:rPr>
        <w:t>Br J Surg</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108</w:t>
      </w:r>
      <w:r w:rsidRPr="00F14E16">
        <w:rPr>
          <w:rFonts w:ascii="Book Antiqua" w:eastAsia="宋体" w:hAnsi="Book Antiqua" w:cs="Times New Roman"/>
          <w:kern w:val="0"/>
          <w:sz w:val="24"/>
          <w:lang w:eastAsia="en-US"/>
          <w14:ligatures w14:val="none"/>
        </w:rPr>
        <w:t>: 709-716 [PMID: 34157083 DOI: 10.1002/bjs.12003]</w:t>
      </w:r>
    </w:p>
    <w:p w14:paraId="0D7DBF6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118 </w:t>
      </w:r>
      <w:r w:rsidRPr="00F14E16">
        <w:rPr>
          <w:rFonts w:ascii="Book Antiqua" w:eastAsia="宋体" w:hAnsi="Book Antiqua" w:cs="Times New Roman"/>
          <w:b/>
          <w:bCs/>
          <w:kern w:val="0"/>
          <w:sz w:val="24"/>
          <w:lang w:eastAsia="en-US"/>
          <w14:ligatures w14:val="none"/>
        </w:rPr>
        <w:t>Corty RW</w:t>
      </w:r>
      <w:r w:rsidRPr="00F14E16">
        <w:rPr>
          <w:rFonts w:ascii="Book Antiqua" w:eastAsia="宋体" w:hAnsi="Book Antiqua" w:cs="Times New Roman"/>
          <w:kern w:val="0"/>
          <w:sz w:val="24"/>
          <w:lang w:eastAsia="en-US"/>
          <w14:ligatures w14:val="none"/>
        </w:rPr>
        <w:t xml:space="preserve">, Langworthy BW, Fine JP, Buse JB, Sanoff HK, Lund JL. Antibacterial Use Is Associated with an Increased Risk of Hematologic and Gastrointestinal Adverse Events in Patients Treated with Gemcitabine for Stage IV Pancreatic Cancer. </w:t>
      </w:r>
      <w:r w:rsidRPr="00F14E16">
        <w:rPr>
          <w:rFonts w:ascii="Book Antiqua" w:eastAsia="宋体" w:hAnsi="Book Antiqua" w:cs="Times New Roman"/>
          <w:i/>
          <w:iCs/>
          <w:kern w:val="0"/>
          <w:sz w:val="24"/>
          <w:lang w:eastAsia="en-US"/>
          <w14:ligatures w14:val="none"/>
        </w:rPr>
        <w:t>Oncologist</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25</w:t>
      </w:r>
      <w:r w:rsidRPr="00F14E16">
        <w:rPr>
          <w:rFonts w:ascii="Book Antiqua" w:eastAsia="宋体" w:hAnsi="Book Antiqua" w:cs="Times New Roman"/>
          <w:kern w:val="0"/>
          <w:sz w:val="24"/>
          <w:lang w:eastAsia="en-US"/>
          <w14:ligatures w14:val="none"/>
        </w:rPr>
        <w:t>: 579-584 [PMID: 32181968 DOI: 10.1634/theoncologist.2019-0570]</w:t>
      </w:r>
    </w:p>
    <w:p w14:paraId="2C2515A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119 </w:t>
      </w:r>
      <w:r w:rsidRPr="00F14E16">
        <w:rPr>
          <w:rFonts w:ascii="Book Antiqua" w:eastAsia="宋体" w:hAnsi="Book Antiqua" w:cs="Times New Roman"/>
          <w:b/>
          <w:bCs/>
          <w:kern w:val="0"/>
          <w:sz w:val="24"/>
          <w:lang w:eastAsia="en-US"/>
          <w14:ligatures w14:val="none"/>
        </w:rPr>
        <w:t>Seelbinder B</w:t>
      </w:r>
      <w:r w:rsidRPr="00F14E16">
        <w:rPr>
          <w:rFonts w:ascii="Book Antiqua" w:eastAsia="宋体" w:hAnsi="Book Antiqua" w:cs="Times New Roman"/>
          <w:kern w:val="0"/>
          <w:sz w:val="24"/>
          <w:lang w:eastAsia="en-US"/>
          <w14:ligatures w14:val="none"/>
        </w:rPr>
        <w:t xml:space="preserve">, Chen J, Brunke S, Vazquez-Uribe R, Santhaman R, Meyer AC, de Oliveira Lino FS, Chan KF, Loos D, Imamovic L, Tsang CC, Lam RP, Sridhar S, Kang K, Hube B, Woo PC, Sommer MOA, Panagiotou G. Antibiotics create a shift from mutualism to competition in human gut communities with a longer-lasting impact on fungi than bacteria. </w:t>
      </w:r>
      <w:r w:rsidRPr="00F14E16">
        <w:rPr>
          <w:rFonts w:ascii="Book Antiqua" w:eastAsia="宋体" w:hAnsi="Book Antiqua" w:cs="Times New Roman"/>
          <w:i/>
          <w:iCs/>
          <w:kern w:val="0"/>
          <w:sz w:val="24"/>
          <w:lang w:eastAsia="en-US"/>
          <w14:ligatures w14:val="none"/>
        </w:rPr>
        <w:t>Microbiome</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133 [PMID: 32919472 DOI: 10.1186/s40168-020-00899-6]</w:t>
      </w:r>
    </w:p>
    <w:p w14:paraId="25BD9BB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120 </w:t>
      </w:r>
      <w:r w:rsidRPr="00F14E16">
        <w:rPr>
          <w:rFonts w:ascii="Book Antiqua" w:eastAsia="宋体" w:hAnsi="Book Antiqua" w:cs="Times New Roman"/>
          <w:b/>
          <w:bCs/>
          <w:kern w:val="0"/>
          <w:sz w:val="24"/>
          <w:lang w:eastAsia="en-US"/>
          <w14:ligatures w14:val="none"/>
        </w:rPr>
        <w:t>Zaura E</w:t>
      </w:r>
      <w:r w:rsidRPr="00F14E16">
        <w:rPr>
          <w:rFonts w:ascii="Book Antiqua" w:eastAsia="宋体" w:hAnsi="Book Antiqua" w:cs="Times New Roman"/>
          <w:kern w:val="0"/>
          <w:sz w:val="24"/>
          <w:lang w:eastAsia="en-US"/>
          <w14:ligatures w14:val="none"/>
        </w:rPr>
        <w:t xml:space="preserve">, Brandt BW, Teixeira de Mattos MJ, Buijs MJ, Caspers MP, Rashid MU, Weintraub A, Nord CE, Savell A, Hu Y, Coates AR, Hubank M, Spratt DA, Wilson M, Keijser BJ, Crielaard W. Same Exposure but Two Radically Different Responses to Antibiotics: Resilience of the Salivary Microbiome versus Long-Term Microbial Shifts in Feces. </w:t>
      </w:r>
      <w:r w:rsidRPr="00F14E16">
        <w:rPr>
          <w:rFonts w:ascii="Book Antiqua" w:eastAsia="宋体" w:hAnsi="Book Antiqua" w:cs="Times New Roman"/>
          <w:i/>
          <w:iCs/>
          <w:kern w:val="0"/>
          <w:sz w:val="24"/>
          <w:lang w:eastAsia="en-US"/>
          <w14:ligatures w14:val="none"/>
        </w:rPr>
        <w:t>mBio</w:t>
      </w:r>
      <w:r w:rsidRPr="00F14E16">
        <w:rPr>
          <w:rFonts w:ascii="Book Antiqua" w:eastAsia="宋体" w:hAnsi="Book Antiqua" w:cs="Times New Roman"/>
          <w:kern w:val="0"/>
          <w:sz w:val="24"/>
          <w:lang w:eastAsia="en-US"/>
          <w14:ligatures w14:val="none"/>
        </w:rPr>
        <w:t xml:space="preserve"> 2015; </w:t>
      </w:r>
      <w:r w:rsidRPr="00F14E16">
        <w:rPr>
          <w:rFonts w:ascii="Book Antiqua" w:eastAsia="宋体" w:hAnsi="Book Antiqua" w:cs="Times New Roman"/>
          <w:b/>
          <w:bCs/>
          <w:kern w:val="0"/>
          <w:sz w:val="24"/>
          <w:lang w:eastAsia="en-US"/>
          <w14:ligatures w14:val="none"/>
        </w:rPr>
        <w:t>6</w:t>
      </w:r>
      <w:r w:rsidRPr="00F14E16">
        <w:rPr>
          <w:rFonts w:ascii="Book Antiqua" w:eastAsia="宋体" w:hAnsi="Book Antiqua" w:cs="Times New Roman"/>
          <w:kern w:val="0"/>
          <w:sz w:val="24"/>
          <w:lang w:eastAsia="en-US"/>
          <w14:ligatures w14:val="none"/>
        </w:rPr>
        <w:t>: e01693-e01615 [PMID: 26556275 DOI: 10.1128/mBio.01693-15]</w:t>
      </w:r>
    </w:p>
    <w:p w14:paraId="760A82D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121 </w:t>
      </w:r>
      <w:r w:rsidRPr="00F14E16">
        <w:rPr>
          <w:rFonts w:ascii="Book Antiqua" w:eastAsia="宋体" w:hAnsi="Book Antiqua" w:cs="Times New Roman"/>
          <w:b/>
          <w:bCs/>
          <w:kern w:val="0"/>
          <w:sz w:val="24"/>
          <w:lang w:eastAsia="en-US"/>
          <w14:ligatures w14:val="none"/>
        </w:rPr>
        <w:t>O'Reilly EM</w:t>
      </w:r>
      <w:r w:rsidRPr="00F14E16">
        <w:rPr>
          <w:rFonts w:ascii="Book Antiqua" w:eastAsia="宋体" w:hAnsi="Book Antiqua" w:cs="Times New Roman"/>
          <w:kern w:val="0"/>
          <w:sz w:val="24"/>
          <w:lang w:eastAsia="en-US"/>
          <w14:ligatures w14:val="none"/>
        </w:rPr>
        <w:t xml:space="preserve">, Oh DY, Dhani N, Renouf DJ, Lee MA, Sun W, Fisher G, Hezel A, Chang SC, Vlahovic G, Takahashi O, Yang Y, Fitts D, Philip PA. Durvalumab With or Without Tremelimumab for Patients With Metastatic Pancreatic Ductal Adenocarcinoma: A Phase 2 Randomized Clinical Trial. </w:t>
      </w:r>
      <w:r w:rsidRPr="00F14E16">
        <w:rPr>
          <w:rFonts w:ascii="Book Antiqua" w:eastAsia="宋体" w:hAnsi="Book Antiqua" w:cs="Times New Roman"/>
          <w:i/>
          <w:iCs/>
          <w:kern w:val="0"/>
          <w:sz w:val="24"/>
          <w:lang w:eastAsia="en-US"/>
          <w14:ligatures w14:val="none"/>
        </w:rPr>
        <w:t>JAMA Oncol</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5</w:t>
      </w:r>
      <w:r w:rsidRPr="00F14E16">
        <w:rPr>
          <w:rFonts w:ascii="Book Antiqua" w:eastAsia="宋体" w:hAnsi="Book Antiqua" w:cs="Times New Roman"/>
          <w:kern w:val="0"/>
          <w:sz w:val="24"/>
          <w:lang w:eastAsia="en-US"/>
          <w14:ligatures w14:val="none"/>
        </w:rPr>
        <w:t>: 1431-1438 [PMID: 31318392 DOI: 10.1001/jamaoncol.2019.1588]</w:t>
      </w:r>
    </w:p>
    <w:p w14:paraId="0C4AF62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122 </w:t>
      </w:r>
      <w:r w:rsidRPr="00F14E16">
        <w:rPr>
          <w:rFonts w:ascii="Book Antiqua" w:eastAsia="宋体" w:hAnsi="Book Antiqua" w:cs="Times New Roman"/>
          <w:b/>
          <w:bCs/>
          <w:kern w:val="0"/>
          <w:sz w:val="24"/>
          <w:lang w:eastAsia="en-US"/>
          <w14:ligatures w14:val="none"/>
        </w:rPr>
        <w:t>Zhang Z</w:t>
      </w:r>
      <w:r w:rsidRPr="00F14E16">
        <w:rPr>
          <w:rFonts w:ascii="Book Antiqua" w:eastAsia="宋体" w:hAnsi="Book Antiqua" w:cs="Times New Roman"/>
          <w:kern w:val="0"/>
          <w:sz w:val="24"/>
          <w:lang w:eastAsia="en-US"/>
          <w14:ligatures w14:val="none"/>
        </w:rPr>
        <w:t xml:space="preserve">, Tang D. The huge clinical potential of microbiota in the treatment of pancreatic cancer: The next frontier. </w:t>
      </w:r>
      <w:r w:rsidRPr="00F14E16">
        <w:rPr>
          <w:rFonts w:ascii="Book Antiqua" w:eastAsia="宋体" w:hAnsi="Book Antiqua" w:cs="Times New Roman"/>
          <w:i/>
          <w:iCs/>
          <w:kern w:val="0"/>
          <w:sz w:val="24"/>
          <w:lang w:eastAsia="en-US"/>
          <w14:ligatures w14:val="none"/>
        </w:rPr>
        <w:t>Biochim Biophys Acta Rev Cancer</w:t>
      </w:r>
      <w:r w:rsidRPr="00F14E16">
        <w:rPr>
          <w:rFonts w:ascii="Book Antiqua" w:eastAsia="宋体" w:hAnsi="Book Antiqua" w:cs="Times New Roman"/>
          <w:kern w:val="0"/>
          <w:sz w:val="24"/>
          <w:lang w:eastAsia="en-US"/>
          <w14:ligatures w14:val="none"/>
        </w:rPr>
        <w:t xml:space="preserve"> 2022; </w:t>
      </w:r>
      <w:r w:rsidRPr="00F14E16">
        <w:rPr>
          <w:rFonts w:ascii="Book Antiqua" w:eastAsia="宋体" w:hAnsi="Book Antiqua" w:cs="Times New Roman"/>
          <w:b/>
          <w:bCs/>
          <w:kern w:val="0"/>
          <w:sz w:val="24"/>
          <w:lang w:eastAsia="en-US"/>
          <w14:ligatures w14:val="none"/>
        </w:rPr>
        <w:t>1877</w:t>
      </w:r>
      <w:r w:rsidRPr="00F14E16">
        <w:rPr>
          <w:rFonts w:ascii="Book Antiqua" w:eastAsia="宋体" w:hAnsi="Book Antiqua" w:cs="Times New Roman"/>
          <w:kern w:val="0"/>
          <w:sz w:val="24"/>
          <w:lang w:eastAsia="en-US"/>
          <w14:ligatures w14:val="none"/>
        </w:rPr>
        <w:t>: 188733 [PMID: 35483491 DOI: 10.1016/j.bbcan.2022.188733]</w:t>
      </w:r>
    </w:p>
    <w:p w14:paraId="32D32ED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123 </w:t>
      </w:r>
      <w:r w:rsidRPr="00F14E16">
        <w:rPr>
          <w:rFonts w:ascii="Book Antiqua" w:eastAsia="宋体" w:hAnsi="Book Antiqua" w:cs="Times New Roman"/>
          <w:b/>
          <w:bCs/>
          <w:kern w:val="0"/>
          <w:sz w:val="24"/>
          <w:lang w:eastAsia="en-US"/>
          <w14:ligatures w14:val="none"/>
        </w:rPr>
        <w:t>Huang XZ</w:t>
      </w:r>
      <w:r w:rsidRPr="00F14E16">
        <w:rPr>
          <w:rFonts w:ascii="Book Antiqua" w:eastAsia="宋体" w:hAnsi="Book Antiqua" w:cs="Times New Roman"/>
          <w:kern w:val="0"/>
          <w:sz w:val="24"/>
          <w:lang w:eastAsia="en-US"/>
          <w14:ligatures w14:val="none"/>
        </w:rPr>
        <w:t xml:space="preserve">, Gao P, Song YX, Xu Y, Sun JX, Chen XW, Zhao JH, Wang ZN. Antibiotic use and the efficacy of immune checkpoint inhibitors in cancer patients: a pooled analysis of 2740 cancer patients. </w:t>
      </w:r>
      <w:r w:rsidRPr="00F14E16">
        <w:rPr>
          <w:rFonts w:ascii="Book Antiqua" w:eastAsia="宋体" w:hAnsi="Book Antiqua" w:cs="Times New Roman"/>
          <w:i/>
          <w:iCs/>
          <w:kern w:val="0"/>
          <w:sz w:val="24"/>
          <w:lang w:eastAsia="en-US"/>
          <w14:ligatures w14:val="none"/>
        </w:rPr>
        <w:t>Oncoimmunology</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8</w:t>
      </w:r>
      <w:r w:rsidRPr="00F14E16">
        <w:rPr>
          <w:rFonts w:ascii="Book Antiqua" w:eastAsia="宋体" w:hAnsi="Book Antiqua" w:cs="Times New Roman"/>
          <w:kern w:val="0"/>
          <w:sz w:val="24"/>
          <w:lang w:eastAsia="en-US"/>
          <w14:ligatures w14:val="none"/>
        </w:rPr>
        <w:t>: e1665973 [PMID: 31741763 DOI: 10.1080/2162402X.2019.1665973]</w:t>
      </w:r>
    </w:p>
    <w:p w14:paraId="6AB87F5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124 </w:t>
      </w:r>
      <w:r w:rsidRPr="00F14E16">
        <w:rPr>
          <w:rFonts w:ascii="Book Antiqua" w:eastAsia="宋体" w:hAnsi="Book Antiqua" w:cs="Times New Roman"/>
          <w:b/>
          <w:bCs/>
          <w:kern w:val="0"/>
          <w:sz w:val="24"/>
          <w:lang w:eastAsia="en-US"/>
          <w14:ligatures w14:val="none"/>
        </w:rPr>
        <w:t>Chen SM</w:t>
      </w:r>
      <w:r w:rsidRPr="00F14E16">
        <w:rPr>
          <w:rFonts w:ascii="Book Antiqua" w:eastAsia="宋体" w:hAnsi="Book Antiqua" w:cs="Times New Roman"/>
          <w:kern w:val="0"/>
          <w:sz w:val="24"/>
          <w:lang w:eastAsia="en-US"/>
          <w14:ligatures w14:val="none"/>
        </w:rPr>
        <w:t xml:space="preserve">, Hsu LJ, Lee HL, Lin CP, Huang SW, Lai CJ, Lin CW, Chen WT, Chen YJ, Lin YC, Yang CC, Jan MS. Lactobacillus Attenuate the Progression of Pancreatic Cancer Promoted by Porphyromonas Gingivalis in K-ras(G12D) Transgenic Mice. </w:t>
      </w:r>
      <w:r w:rsidRPr="00F14E16">
        <w:rPr>
          <w:rFonts w:ascii="Book Antiqua" w:eastAsia="宋体" w:hAnsi="Book Antiqua" w:cs="Times New Roman"/>
          <w:i/>
          <w:iCs/>
          <w:kern w:val="0"/>
          <w:sz w:val="24"/>
          <w:lang w:eastAsia="en-US"/>
          <w14:ligatures w14:val="none"/>
        </w:rPr>
        <w:t>Cancers (Basel)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12</w:t>
      </w:r>
      <w:r w:rsidRPr="00F14E16">
        <w:rPr>
          <w:rFonts w:ascii="Book Antiqua" w:eastAsia="宋体" w:hAnsi="Book Antiqua" w:cs="Times New Roman"/>
          <w:kern w:val="0"/>
          <w:sz w:val="24"/>
          <w:lang w:eastAsia="en-US"/>
          <w14:ligatures w14:val="none"/>
        </w:rPr>
        <w:t xml:space="preserve"> [PMID: 33255941 DOI: 10.3390/cancers12123522]</w:t>
      </w:r>
    </w:p>
    <w:p w14:paraId="42F9FDE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lastRenderedPageBreak/>
        <w:t xml:space="preserve">125 </w:t>
      </w:r>
      <w:r w:rsidRPr="00F14E16">
        <w:rPr>
          <w:rFonts w:ascii="Book Antiqua" w:eastAsia="宋体" w:hAnsi="Book Antiqua" w:cs="Times New Roman"/>
          <w:b/>
          <w:bCs/>
          <w:kern w:val="0"/>
          <w:sz w:val="24"/>
          <w:lang w:eastAsia="en-US"/>
          <w14:ligatures w14:val="none"/>
        </w:rPr>
        <w:t>Konishi H</w:t>
      </w:r>
      <w:r w:rsidRPr="00F14E16">
        <w:rPr>
          <w:rFonts w:ascii="Book Antiqua" w:eastAsia="宋体" w:hAnsi="Book Antiqua" w:cs="Times New Roman"/>
          <w:kern w:val="0"/>
          <w:sz w:val="24"/>
          <w:lang w:eastAsia="en-US"/>
          <w14:ligatures w14:val="none"/>
        </w:rPr>
        <w:t xml:space="preserve">, Isozaki S, Kashima S, Moriichi K, Ichikawa S, Yamamoto K, Yamamura C, Ando K, Ueno N, Akutsu H, Ogawa N, Fujiya M. Probiotic Aspergillus oryzae produces anti-tumor mediator and exerts anti-tumor effects in pancreatic cancer through the p38 MAPK signaling pathway. </w:t>
      </w:r>
      <w:r w:rsidRPr="00F14E16">
        <w:rPr>
          <w:rFonts w:ascii="Book Antiqua" w:eastAsia="宋体" w:hAnsi="Book Antiqua" w:cs="Times New Roman"/>
          <w:i/>
          <w:iCs/>
          <w:kern w:val="0"/>
          <w:sz w:val="24"/>
          <w:lang w:eastAsia="en-US"/>
          <w14:ligatures w14:val="none"/>
        </w:rPr>
        <w:t>Sci Rep</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11</w:t>
      </w:r>
      <w:r w:rsidRPr="00F14E16">
        <w:rPr>
          <w:rFonts w:ascii="Book Antiqua" w:eastAsia="宋体" w:hAnsi="Book Antiqua" w:cs="Times New Roman"/>
          <w:kern w:val="0"/>
          <w:sz w:val="24"/>
          <w:lang w:eastAsia="en-US"/>
          <w14:ligatures w14:val="none"/>
        </w:rPr>
        <w:t>: 11070 [PMID: 34040123 DOI: 10.1038/s41598-021-90707-4]</w:t>
      </w:r>
    </w:p>
    <w:p w14:paraId="0B8E63D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126 </w:t>
      </w:r>
      <w:r w:rsidRPr="00F14E16">
        <w:rPr>
          <w:rFonts w:ascii="Book Antiqua" w:eastAsia="宋体" w:hAnsi="Book Antiqua" w:cs="Times New Roman"/>
          <w:b/>
          <w:bCs/>
          <w:kern w:val="0"/>
          <w:sz w:val="24"/>
          <w:lang w:eastAsia="en-US"/>
          <w14:ligatures w14:val="none"/>
        </w:rPr>
        <w:t>Suez J</w:t>
      </w:r>
      <w:r w:rsidRPr="00F14E16">
        <w:rPr>
          <w:rFonts w:ascii="Book Antiqua" w:eastAsia="宋体" w:hAnsi="Book Antiqua" w:cs="Times New Roman"/>
          <w:kern w:val="0"/>
          <w:sz w:val="24"/>
          <w:lang w:eastAsia="en-US"/>
          <w14:ligatures w14:val="none"/>
        </w:rPr>
        <w:t xml:space="preserve">, Zmora N, Zilberman-Schapira G, Mor U, Dori-Bachash M, Bashiardes S, Zur M, Regev-Lehavi D, Ben-Zeev Brik R, Federici S, Horn M, Cohen Y, Moor AE, Zeevi D, Korem T, Kotler E, Harmelin A, Itzkovitz S, Maharshak N, Shibolet O, Pevsner-Fischer M, Shapiro H, Sharon I, Halpern Z, Segal E, Elinav E. Post-Antibiotic Gut Mucosal Microbiome Reconstitution Is Impaired by Probiotics and Improved by Autologous FMT. </w:t>
      </w:r>
      <w:r w:rsidRPr="00F14E16">
        <w:rPr>
          <w:rFonts w:ascii="Book Antiqua" w:eastAsia="宋体" w:hAnsi="Book Antiqua" w:cs="Times New Roman"/>
          <w:i/>
          <w:iCs/>
          <w:kern w:val="0"/>
          <w:sz w:val="24"/>
          <w:lang w:eastAsia="en-US"/>
          <w14:ligatures w14:val="none"/>
        </w:rPr>
        <w:t>Cell</w:t>
      </w:r>
      <w:r w:rsidRPr="00F14E16">
        <w:rPr>
          <w:rFonts w:ascii="Book Antiqua" w:eastAsia="宋体" w:hAnsi="Book Antiqua" w:cs="Times New Roman"/>
          <w:kern w:val="0"/>
          <w:sz w:val="24"/>
          <w:lang w:eastAsia="en-US"/>
          <w14:ligatures w14:val="none"/>
        </w:rPr>
        <w:t xml:space="preserve"> 2018; </w:t>
      </w:r>
      <w:r w:rsidRPr="00F14E16">
        <w:rPr>
          <w:rFonts w:ascii="Book Antiqua" w:eastAsia="宋体" w:hAnsi="Book Antiqua" w:cs="Times New Roman"/>
          <w:b/>
          <w:bCs/>
          <w:kern w:val="0"/>
          <w:sz w:val="24"/>
          <w:lang w:eastAsia="en-US"/>
          <w14:ligatures w14:val="none"/>
        </w:rPr>
        <w:t>174</w:t>
      </w:r>
      <w:r w:rsidRPr="00F14E16">
        <w:rPr>
          <w:rFonts w:ascii="Book Antiqua" w:eastAsia="宋体" w:hAnsi="Book Antiqua" w:cs="Times New Roman"/>
          <w:kern w:val="0"/>
          <w:sz w:val="24"/>
          <w:lang w:eastAsia="en-US"/>
          <w14:ligatures w14:val="none"/>
        </w:rPr>
        <w:t>: 1406-1423.e16 [PMID: 30193113 DOI: 10.1016/j.cell.2018.08.047]</w:t>
      </w:r>
    </w:p>
    <w:p w14:paraId="70989ED8"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127 </w:t>
      </w:r>
      <w:r w:rsidRPr="00F14E16">
        <w:rPr>
          <w:rFonts w:ascii="Book Antiqua" w:eastAsia="宋体" w:hAnsi="Book Antiqua" w:cs="Times New Roman"/>
          <w:b/>
          <w:bCs/>
          <w:kern w:val="0"/>
          <w:sz w:val="24"/>
          <w:lang w:eastAsia="en-US"/>
          <w14:ligatures w14:val="none"/>
        </w:rPr>
        <w:t>Cullin N</w:t>
      </w:r>
      <w:r w:rsidRPr="00F14E16">
        <w:rPr>
          <w:rFonts w:ascii="Book Antiqua" w:eastAsia="宋体" w:hAnsi="Book Antiqua" w:cs="Times New Roman"/>
          <w:kern w:val="0"/>
          <w:sz w:val="24"/>
          <w:lang w:eastAsia="en-US"/>
          <w14:ligatures w14:val="none"/>
        </w:rPr>
        <w:t xml:space="preserve">, Azevedo Antunes C, Straussman R, Stein-Thoeringer CK, Elinav E. Microbiome and cancer. </w:t>
      </w:r>
      <w:r w:rsidRPr="00F14E16">
        <w:rPr>
          <w:rFonts w:ascii="Book Antiqua" w:eastAsia="宋体" w:hAnsi="Book Antiqua" w:cs="Times New Roman"/>
          <w:i/>
          <w:iCs/>
          <w:kern w:val="0"/>
          <w:sz w:val="24"/>
          <w:lang w:eastAsia="en-US"/>
          <w14:ligatures w14:val="none"/>
        </w:rPr>
        <w:t>Cancer Cell</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39</w:t>
      </w:r>
      <w:r w:rsidRPr="00F14E16">
        <w:rPr>
          <w:rFonts w:ascii="Book Antiqua" w:eastAsia="宋体" w:hAnsi="Book Antiqua" w:cs="Times New Roman"/>
          <w:kern w:val="0"/>
          <w:sz w:val="24"/>
          <w:lang w:eastAsia="en-US"/>
          <w14:ligatures w14:val="none"/>
        </w:rPr>
        <w:t>: 1317-1341 [PMID: 34506740 DOI: 10.1016/j.ccell.2021.08.006]</w:t>
      </w:r>
    </w:p>
    <w:p w14:paraId="2A12B4B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128 </w:t>
      </w:r>
      <w:r w:rsidRPr="00F14E16">
        <w:rPr>
          <w:rFonts w:ascii="Book Antiqua" w:eastAsia="宋体" w:hAnsi="Book Antiqua" w:cs="Times New Roman"/>
          <w:b/>
          <w:bCs/>
          <w:kern w:val="0"/>
          <w:sz w:val="24"/>
          <w:lang w:eastAsia="en-US"/>
          <w14:ligatures w14:val="none"/>
        </w:rPr>
        <w:t>Watterson WJ</w:t>
      </w:r>
      <w:r w:rsidRPr="00F14E16">
        <w:rPr>
          <w:rFonts w:ascii="Book Antiqua" w:eastAsia="宋体" w:hAnsi="Book Antiqua" w:cs="Times New Roman"/>
          <w:kern w:val="0"/>
          <w:sz w:val="24"/>
          <w:lang w:eastAsia="en-US"/>
          <w14:ligatures w14:val="none"/>
        </w:rPr>
        <w:t xml:space="preserve">, Tanyeri M, Watson AR, Cham CM, Shan Y, Chang EB, Eren AM, Tay S. Droplet-based high-throughput cultivation for accurate screening of antibiotic resistant gut microbes. </w:t>
      </w:r>
      <w:r w:rsidRPr="00F14E16">
        <w:rPr>
          <w:rFonts w:ascii="Book Antiqua" w:eastAsia="宋体" w:hAnsi="Book Antiqua" w:cs="Times New Roman"/>
          <w:i/>
          <w:iCs/>
          <w:kern w:val="0"/>
          <w:sz w:val="24"/>
          <w:lang w:eastAsia="en-US"/>
          <w14:ligatures w14:val="none"/>
        </w:rPr>
        <w:t>Elife</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9</w:t>
      </w:r>
      <w:r w:rsidRPr="00F14E16">
        <w:rPr>
          <w:rFonts w:ascii="Book Antiqua" w:eastAsia="宋体" w:hAnsi="Book Antiqua" w:cs="Times New Roman"/>
          <w:kern w:val="0"/>
          <w:sz w:val="24"/>
          <w:lang w:eastAsia="en-US"/>
          <w14:ligatures w14:val="none"/>
        </w:rPr>
        <w:t xml:space="preserve"> [PMID: 32553109 DOI: 10.7554/eLife.56998]</w:t>
      </w:r>
    </w:p>
    <w:p w14:paraId="2AAB87D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129 </w:t>
      </w:r>
      <w:r w:rsidRPr="00F14E16">
        <w:rPr>
          <w:rFonts w:ascii="Book Antiqua" w:eastAsia="宋体" w:hAnsi="Book Antiqua" w:cs="Times New Roman"/>
          <w:b/>
          <w:bCs/>
          <w:kern w:val="0"/>
          <w:sz w:val="24"/>
          <w:lang w:eastAsia="en-US"/>
          <w14:ligatures w14:val="none"/>
        </w:rPr>
        <w:t>Song C</w:t>
      </w:r>
      <w:r w:rsidRPr="00F14E16">
        <w:rPr>
          <w:rFonts w:ascii="Book Antiqua" w:eastAsia="宋体" w:hAnsi="Book Antiqua" w:cs="Times New Roman"/>
          <w:kern w:val="0"/>
          <w:sz w:val="24"/>
          <w:lang w:eastAsia="en-US"/>
          <w14:ligatures w14:val="none"/>
        </w:rPr>
        <w:t xml:space="preserve">, Lv J, Liu Y, Chen JG, Ge Z, Zhu J, Dai J, Du LB, Yu C, Guo Y, Bian Z, Yang L, Chen Y, Chen Z, Liu J, Jiang J, Zhu L, Zhai X, Jiang Y, Ma H, Jin G, Shen H, Li L, Hu Z; China Kadoorie Biobank Collaborative Group. Associations Between Hepatitis B Virus Infection and Risk of All Cancer Types. </w:t>
      </w:r>
      <w:r w:rsidRPr="00F14E16">
        <w:rPr>
          <w:rFonts w:ascii="Book Antiqua" w:eastAsia="宋体" w:hAnsi="Book Antiqua" w:cs="Times New Roman"/>
          <w:i/>
          <w:iCs/>
          <w:kern w:val="0"/>
          <w:sz w:val="24"/>
          <w:lang w:eastAsia="en-US"/>
          <w14:ligatures w14:val="none"/>
        </w:rPr>
        <w:t>JAMA Netw Open</w:t>
      </w:r>
      <w:r w:rsidRPr="00F14E16">
        <w:rPr>
          <w:rFonts w:ascii="Book Antiqua" w:eastAsia="宋体" w:hAnsi="Book Antiqua" w:cs="Times New Roman"/>
          <w:kern w:val="0"/>
          <w:sz w:val="24"/>
          <w:lang w:eastAsia="en-US"/>
          <w14:ligatures w14:val="none"/>
        </w:rPr>
        <w:t xml:space="preserve"> 2019; </w:t>
      </w:r>
      <w:r w:rsidRPr="00F14E16">
        <w:rPr>
          <w:rFonts w:ascii="Book Antiqua" w:eastAsia="宋体" w:hAnsi="Book Antiqua" w:cs="Times New Roman"/>
          <w:b/>
          <w:bCs/>
          <w:kern w:val="0"/>
          <w:sz w:val="24"/>
          <w:lang w:eastAsia="en-US"/>
          <w14:ligatures w14:val="none"/>
        </w:rPr>
        <w:t>2</w:t>
      </w:r>
      <w:r w:rsidRPr="00F14E16">
        <w:rPr>
          <w:rFonts w:ascii="Book Antiqua" w:eastAsia="宋体" w:hAnsi="Book Antiqua" w:cs="Times New Roman"/>
          <w:kern w:val="0"/>
          <w:sz w:val="24"/>
          <w:lang w:eastAsia="en-US"/>
          <w14:ligatures w14:val="none"/>
        </w:rPr>
        <w:t>: e195718 [PMID: 31199446 DOI: 10.1001/jamanetworkopen.2019.5718]</w:t>
      </w:r>
    </w:p>
    <w:p w14:paraId="118798F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130 </w:t>
      </w:r>
      <w:r w:rsidRPr="00F14E16">
        <w:rPr>
          <w:rFonts w:ascii="Book Antiqua" w:eastAsia="宋体" w:hAnsi="Book Antiqua" w:cs="Times New Roman"/>
          <w:b/>
          <w:bCs/>
          <w:kern w:val="0"/>
          <w:sz w:val="24"/>
          <w:lang w:eastAsia="en-US"/>
          <w14:ligatures w14:val="none"/>
        </w:rPr>
        <w:t>Arafa A</w:t>
      </w:r>
      <w:r w:rsidRPr="00F14E16">
        <w:rPr>
          <w:rFonts w:ascii="Book Antiqua" w:eastAsia="宋体" w:hAnsi="Book Antiqua" w:cs="Times New Roman"/>
          <w:kern w:val="0"/>
          <w:sz w:val="24"/>
          <w:lang w:eastAsia="en-US"/>
          <w14:ligatures w14:val="none"/>
        </w:rPr>
        <w:t xml:space="preserve">, Eshak ES, Abdel Rahman TA, Anwar MM. Hepatitis C virus infection and risk of pancreatic cancer: A meta-analysis. </w:t>
      </w:r>
      <w:r w:rsidRPr="00F14E16">
        <w:rPr>
          <w:rFonts w:ascii="Book Antiqua" w:eastAsia="宋体" w:hAnsi="Book Antiqua" w:cs="Times New Roman"/>
          <w:i/>
          <w:iCs/>
          <w:kern w:val="0"/>
          <w:sz w:val="24"/>
          <w:lang w:eastAsia="en-US"/>
          <w14:ligatures w14:val="none"/>
        </w:rPr>
        <w:t>Cancer Epidemiol</w:t>
      </w:r>
      <w:r w:rsidRPr="00F14E16">
        <w:rPr>
          <w:rFonts w:ascii="Book Antiqua" w:eastAsia="宋体" w:hAnsi="Book Antiqua" w:cs="Times New Roman"/>
          <w:kern w:val="0"/>
          <w:sz w:val="24"/>
          <w:lang w:eastAsia="en-US"/>
          <w14:ligatures w14:val="none"/>
        </w:rPr>
        <w:t xml:space="preserve"> 2020; </w:t>
      </w:r>
      <w:r w:rsidRPr="00F14E16">
        <w:rPr>
          <w:rFonts w:ascii="Book Antiqua" w:eastAsia="宋体" w:hAnsi="Book Antiqua" w:cs="Times New Roman"/>
          <w:b/>
          <w:bCs/>
          <w:kern w:val="0"/>
          <w:sz w:val="24"/>
          <w:lang w:eastAsia="en-US"/>
          <w14:ligatures w14:val="none"/>
        </w:rPr>
        <w:t>65</w:t>
      </w:r>
      <w:r w:rsidRPr="00F14E16">
        <w:rPr>
          <w:rFonts w:ascii="Book Antiqua" w:eastAsia="宋体" w:hAnsi="Book Antiqua" w:cs="Times New Roman"/>
          <w:kern w:val="0"/>
          <w:sz w:val="24"/>
          <w:lang w:eastAsia="en-US"/>
          <w14:ligatures w14:val="none"/>
        </w:rPr>
        <w:t>: 101691 [PMID: 32088651 DOI: 10.1016/j.canep.2020.101691]</w:t>
      </w:r>
    </w:p>
    <w:p w14:paraId="1A038B8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t xml:space="preserve">131 </w:t>
      </w:r>
      <w:r w:rsidRPr="00F14E16">
        <w:rPr>
          <w:rFonts w:ascii="Book Antiqua" w:eastAsia="宋体" w:hAnsi="Book Antiqua" w:cs="Times New Roman"/>
          <w:b/>
          <w:bCs/>
          <w:kern w:val="0"/>
          <w:sz w:val="24"/>
          <w:lang w:eastAsia="en-US"/>
          <w14:ligatures w14:val="none"/>
        </w:rPr>
        <w:t>Javadrashid D</w:t>
      </w:r>
      <w:r w:rsidRPr="00F14E16">
        <w:rPr>
          <w:rFonts w:ascii="Book Antiqua" w:eastAsia="宋体" w:hAnsi="Book Antiqua" w:cs="Times New Roman"/>
          <w:kern w:val="0"/>
          <w:sz w:val="24"/>
          <w:lang w:eastAsia="en-US"/>
          <w14:ligatures w14:val="none"/>
        </w:rPr>
        <w:t xml:space="preserve">, Baghbanzadeh A, Derakhshani A, Leone P, Silvestris N, Racanelli V, Solimando AG, Baradaran B. Pancreatic Cancer Signaling Pathways, Genetic Alterations, and Tumor Microenvironment: The Barriers Affecting the Method of Treatment. </w:t>
      </w:r>
      <w:r w:rsidRPr="00F14E16">
        <w:rPr>
          <w:rFonts w:ascii="Book Antiqua" w:eastAsia="宋体" w:hAnsi="Book Antiqua" w:cs="Times New Roman"/>
          <w:i/>
          <w:iCs/>
          <w:kern w:val="0"/>
          <w:sz w:val="24"/>
          <w:lang w:eastAsia="en-US"/>
          <w14:ligatures w14:val="none"/>
        </w:rPr>
        <w:t>Biomedicines</w:t>
      </w:r>
      <w:r w:rsidRPr="00F14E16">
        <w:rPr>
          <w:rFonts w:ascii="Book Antiqua" w:eastAsia="宋体" w:hAnsi="Book Antiqua" w:cs="Times New Roman"/>
          <w:kern w:val="0"/>
          <w:sz w:val="24"/>
          <w:lang w:eastAsia="en-US"/>
          <w14:ligatures w14:val="none"/>
        </w:rPr>
        <w:t xml:space="preserve"> 2021; </w:t>
      </w:r>
      <w:r w:rsidRPr="00F14E16">
        <w:rPr>
          <w:rFonts w:ascii="Book Antiqua" w:eastAsia="宋体" w:hAnsi="Book Antiqua" w:cs="Times New Roman"/>
          <w:b/>
          <w:bCs/>
          <w:kern w:val="0"/>
          <w:sz w:val="24"/>
          <w:lang w:eastAsia="en-US"/>
          <w14:ligatures w14:val="none"/>
        </w:rPr>
        <w:t>9</w:t>
      </w:r>
      <w:r w:rsidRPr="00F14E16">
        <w:rPr>
          <w:rFonts w:ascii="Book Antiqua" w:eastAsia="宋体" w:hAnsi="Book Antiqua" w:cs="Times New Roman"/>
          <w:kern w:val="0"/>
          <w:sz w:val="24"/>
          <w:lang w:eastAsia="en-US"/>
          <w14:ligatures w14:val="none"/>
        </w:rPr>
        <w:t xml:space="preserve"> [PMID: 33918146 DOI: 10.3390/biomedicines9040373]</w:t>
      </w:r>
    </w:p>
    <w:p w14:paraId="150D81EF" w14:textId="77777777" w:rsidR="00F14E16" w:rsidRPr="00F14E16" w:rsidRDefault="00F14E16" w:rsidP="00F14E16">
      <w:pPr>
        <w:widowControl/>
        <w:spacing w:line="360" w:lineRule="auto"/>
        <w:rPr>
          <w:rFonts w:ascii="Book Antiqua" w:eastAsia="宋体" w:hAnsi="Book Antiqua" w:cs="Book Antiqua"/>
          <w:b/>
          <w:color w:val="000000"/>
          <w:kern w:val="0"/>
          <w:sz w:val="24"/>
          <w14:ligatures w14:val="none"/>
        </w:rPr>
      </w:pPr>
    </w:p>
    <w:p w14:paraId="423E5BE8" w14:textId="77777777" w:rsidR="00F14E16" w:rsidRPr="00F14E16" w:rsidRDefault="00F14E16" w:rsidP="00F14E16">
      <w:pPr>
        <w:widowControl/>
        <w:spacing w:line="360" w:lineRule="auto"/>
        <w:rPr>
          <w:rFonts w:ascii="Book Antiqua" w:eastAsia="宋体" w:hAnsi="Book Antiqua" w:cs="Times New Roman"/>
          <w:kern w:val="0"/>
          <w:sz w:val="24"/>
          <w14:ligatures w14:val="none"/>
        </w:rPr>
      </w:pPr>
    </w:p>
    <w:p w14:paraId="6D58A1F4"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sectPr w:rsidR="00F14E16" w:rsidRPr="00F14E16">
          <w:pgSz w:w="12240" w:h="15840"/>
          <w:pgMar w:top="1440" w:right="1440" w:bottom="1440" w:left="1440" w:header="720" w:footer="720" w:gutter="0"/>
          <w:cols w:space="720"/>
          <w:docGrid w:linePitch="360"/>
        </w:sectPr>
      </w:pPr>
    </w:p>
    <w:p w14:paraId="7C4A033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lastRenderedPageBreak/>
        <w:t>Footnotes</w:t>
      </w:r>
    </w:p>
    <w:p w14:paraId="3E69BB95"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Conflict-of-interest statement: </w:t>
      </w:r>
      <w:r w:rsidRPr="00F14E16">
        <w:rPr>
          <w:rFonts w:ascii="Book Antiqua" w:eastAsia="宋体" w:hAnsi="Book Antiqua" w:cs="Book Antiqua"/>
          <w:bCs/>
          <w:color w:val="000000"/>
          <w:kern w:val="0"/>
          <w:sz w:val="24"/>
          <w:lang w:eastAsia="en-US"/>
          <w14:ligatures w14:val="none"/>
        </w:rPr>
        <w:t>All the</w:t>
      </w:r>
      <w:r w:rsidRPr="00F14E16">
        <w:rPr>
          <w:rFonts w:ascii="Book Antiqua" w:eastAsia="宋体" w:hAnsi="Book Antiqua" w:cs="Book Antiqua"/>
          <w:b/>
          <w:bCs/>
          <w:color w:val="000000"/>
          <w:kern w:val="0"/>
          <w:sz w:val="24"/>
          <w:lang w:eastAsia="en-US"/>
          <w14:ligatures w14:val="none"/>
        </w:rPr>
        <w:t xml:space="preserve"> </w:t>
      </w:r>
      <w:r w:rsidRPr="00F14E16">
        <w:rPr>
          <w:rFonts w:ascii="Book Antiqua" w:eastAsia="宋体" w:hAnsi="Book Antiqua" w:cs="Book Antiqua"/>
          <w:color w:val="000000"/>
          <w:kern w:val="0"/>
          <w:sz w:val="24"/>
          <w:lang w:eastAsia="en-US"/>
          <w14:ligatures w14:val="none"/>
        </w:rPr>
        <w:t>a</w:t>
      </w:r>
      <w:r w:rsidRPr="00F14E16">
        <w:rPr>
          <w:rFonts w:ascii="Book Antiqua" w:eastAsia="Book Antiqua" w:hAnsi="Book Antiqua" w:cs="Book Antiqua"/>
          <w:color w:val="000000"/>
          <w:kern w:val="0"/>
          <w:sz w:val="24"/>
          <w:lang w:eastAsia="en-US"/>
          <w14:ligatures w14:val="none"/>
        </w:rPr>
        <w:t xml:space="preserve">uthors </w:t>
      </w:r>
      <w:r w:rsidRPr="00F14E16">
        <w:rPr>
          <w:rFonts w:ascii="Book Antiqua" w:eastAsia="宋体" w:hAnsi="Book Antiqua" w:cs="Book Antiqua"/>
          <w:color w:val="000000"/>
          <w:kern w:val="0"/>
          <w:sz w:val="24"/>
          <w:lang w:eastAsia="en-US"/>
          <w14:ligatures w14:val="none"/>
        </w:rPr>
        <w:t>report</w:t>
      </w:r>
      <w:r w:rsidRPr="00F14E16">
        <w:rPr>
          <w:rFonts w:ascii="Book Antiqua" w:eastAsia="Book Antiqua" w:hAnsi="Book Antiqua" w:cs="Book Antiqua"/>
          <w:color w:val="000000"/>
          <w:kern w:val="0"/>
          <w:sz w:val="24"/>
          <w:lang w:eastAsia="en-US"/>
          <w14:ligatures w14:val="none"/>
        </w:rPr>
        <w:t xml:space="preserve"> no </w:t>
      </w:r>
      <w:r w:rsidRPr="00F14E16">
        <w:rPr>
          <w:rFonts w:ascii="Book Antiqua" w:eastAsia="宋体" w:hAnsi="Book Antiqua" w:cs="Book Antiqua"/>
          <w:color w:val="000000"/>
          <w:kern w:val="0"/>
          <w:sz w:val="24"/>
          <w:lang w:eastAsia="en-US"/>
          <w14:ligatures w14:val="none"/>
        </w:rPr>
        <w:t xml:space="preserve">relevant </w:t>
      </w:r>
      <w:r w:rsidRPr="00F14E16">
        <w:rPr>
          <w:rFonts w:ascii="Book Antiqua" w:eastAsia="Book Antiqua" w:hAnsi="Book Antiqua" w:cs="Book Antiqua"/>
          <w:color w:val="000000"/>
          <w:kern w:val="0"/>
          <w:sz w:val="24"/>
          <w:lang w:eastAsia="en-US"/>
          <w14:ligatures w14:val="none"/>
        </w:rPr>
        <w:t>conflict</w:t>
      </w:r>
      <w:r w:rsidRPr="00F14E16">
        <w:rPr>
          <w:rFonts w:ascii="Book Antiqua" w:eastAsia="宋体" w:hAnsi="Book Antiqua" w:cs="Book Antiqua"/>
          <w:color w:val="000000"/>
          <w:kern w:val="0"/>
          <w:sz w:val="24"/>
          <w:lang w:eastAsia="en-US"/>
          <w14:ligatures w14:val="none"/>
        </w:rPr>
        <w:t>s</w:t>
      </w:r>
      <w:r w:rsidRPr="00F14E16">
        <w:rPr>
          <w:rFonts w:ascii="Book Antiqua" w:eastAsia="Book Antiqua" w:hAnsi="Book Antiqua" w:cs="Book Antiqua"/>
          <w:color w:val="000000"/>
          <w:kern w:val="0"/>
          <w:sz w:val="24"/>
          <w:lang w:eastAsia="en-US"/>
          <w14:ligatures w14:val="none"/>
        </w:rPr>
        <w:t xml:space="preserve"> of interest for this article.</w:t>
      </w:r>
    </w:p>
    <w:p w14:paraId="794E06F0"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416D0DC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Open-Access: </w:t>
      </w:r>
      <w:r w:rsidRPr="00F14E16">
        <w:rPr>
          <w:rFonts w:ascii="Book Antiqua" w:eastAsia="Book Antiqua" w:hAnsi="Book Antiqua" w:cs="Book Antiqua"/>
          <w:color w:val="000000"/>
          <w:kern w:val="0"/>
          <w:sz w:val="24"/>
          <w:lang w:eastAsia="en-US"/>
          <w14:ligatures w14: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B6C7B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721970D4" w14:textId="77777777" w:rsidR="00F14E16" w:rsidRPr="00F14E16" w:rsidRDefault="00F14E16" w:rsidP="00F14E16">
      <w:pPr>
        <w:widowControl/>
        <w:spacing w:line="360" w:lineRule="auto"/>
        <w:rPr>
          <w:rFonts w:ascii="Book Antiqua" w:eastAsia="宋体" w:hAnsi="Book Antiqua" w:cs="Book Antiqua"/>
          <w:color w:val="000000"/>
          <w:kern w:val="0"/>
          <w:sz w:val="24"/>
          <w14:ligatures w14:val="none"/>
        </w:rPr>
      </w:pPr>
      <w:r w:rsidRPr="00F14E16">
        <w:rPr>
          <w:rFonts w:ascii="Book Antiqua" w:eastAsia="Book Antiqua" w:hAnsi="Book Antiqua" w:cs="Book Antiqua"/>
          <w:b/>
          <w:color w:val="000000"/>
          <w:kern w:val="0"/>
          <w:sz w:val="24"/>
          <w:lang w:eastAsia="en-US"/>
          <w14:ligatures w14:val="none"/>
        </w:rPr>
        <w:t xml:space="preserve">Provenance and peer review: </w:t>
      </w:r>
      <w:r w:rsidRPr="00F14E16">
        <w:rPr>
          <w:rFonts w:ascii="Book Antiqua" w:eastAsia="Book Antiqua" w:hAnsi="Book Antiqua" w:cs="Book Antiqua"/>
          <w:color w:val="000000"/>
          <w:kern w:val="0"/>
          <w:sz w:val="24"/>
          <w:lang w:eastAsia="en-US"/>
          <w14:ligatures w14:val="none"/>
        </w:rPr>
        <w:t>Invited article; Externally peer reviewed.</w:t>
      </w:r>
    </w:p>
    <w:p w14:paraId="550A66AE" w14:textId="77777777" w:rsidR="00F14E16" w:rsidRPr="00F14E16" w:rsidRDefault="00F14E16" w:rsidP="00F14E16">
      <w:pPr>
        <w:widowControl/>
        <w:spacing w:line="360" w:lineRule="auto"/>
        <w:rPr>
          <w:rFonts w:ascii="Book Antiqua" w:eastAsia="宋体" w:hAnsi="Book Antiqua" w:cs="Times New Roman"/>
          <w:kern w:val="0"/>
          <w:sz w:val="24"/>
          <w14:ligatures w14:val="none"/>
        </w:rPr>
      </w:pPr>
    </w:p>
    <w:p w14:paraId="0B12102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Peer-review model: </w:t>
      </w:r>
      <w:r w:rsidRPr="00F14E16">
        <w:rPr>
          <w:rFonts w:ascii="Book Antiqua" w:eastAsia="Book Antiqua" w:hAnsi="Book Antiqua" w:cs="Book Antiqua"/>
          <w:color w:val="000000"/>
          <w:kern w:val="0"/>
          <w:sz w:val="24"/>
          <w:lang w:eastAsia="en-US"/>
          <w14:ligatures w14:val="none"/>
        </w:rPr>
        <w:t>Single blind</w:t>
      </w:r>
    </w:p>
    <w:p w14:paraId="4F038EED"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568EE83F"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Peer-review started: </w:t>
      </w:r>
      <w:r w:rsidRPr="00F14E16">
        <w:rPr>
          <w:rFonts w:ascii="Book Antiqua" w:eastAsia="Book Antiqua" w:hAnsi="Book Antiqua" w:cs="Book Antiqua"/>
          <w:color w:val="000000"/>
          <w:kern w:val="0"/>
          <w:sz w:val="24"/>
          <w:lang w:eastAsia="en-US"/>
          <w14:ligatures w14:val="none"/>
        </w:rPr>
        <w:t>December 2, 2022</w:t>
      </w:r>
    </w:p>
    <w:p w14:paraId="4370A40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First decision: </w:t>
      </w:r>
      <w:r w:rsidRPr="00F14E16">
        <w:rPr>
          <w:rFonts w:ascii="Book Antiqua" w:eastAsia="Book Antiqua" w:hAnsi="Book Antiqua" w:cs="Book Antiqua"/>
          <w:color w:val="000000"/>
          <w:kern w:val="0"/>
          <w:sz w:val="24"/>
          <w:lang w:eastAsia="en-US"/>
          <w14:ligatures w14:val="none"/>
        </w:rPr>
        <w:t>January 16, 2023</w:t>
      </w:r>
    </w:p>
    <w:p w14:paraId="5351BD5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Article in press: </w:t>
      </w:r>
      <w:r w:rsidRPr="00F14E16">
        <w:rPr>
          <w:rFonts w:ascii="Book Antiqua" w:eastAsia="Book Antiqua" w:hAnsi="Book Antiqua" w:cs="Book Antiqua"/>
          <w:color w:val="000000"/>
          <w:kern w:val="0"/>
          <w:sz w:val="24"/>
          <w:lang w:eastAsia="en-US"/>
          <w14:ligatures w14:val="none"/>
        </w:rPr>
        <w:t>April 4, 2023</w:t>
      </w:r>
    </w:p>
    <w:p w14:paraId="01DA9FA9"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3B2BC81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Specialty type: </w:t>
      </w:r>
      <w:r w:rsidRPr="00F14E16">
        <w:rPr>
          <w:rFonts w:ascii="Book Antiqua" w:eastAsia="Book Antiqua" w:hAnsi="Book Antiqua" w:cs="Book Antiqua"/>
          <w:color w:val="000000"/>
          <w:kern w:val="0"/>
          <w:sz w:val="24"/>
          <w:lang w:eastAsia="en-US"/>
          <w14:ligatures w14:val="none"/>
        </w:rPr>
        <w:t xml:space="preserve">Oncology </w:t>
      </w:r>
    </w:p>
    <w:p w14:paraId="19A744CB"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 xml:space="preserve">Country/Territory of origin: </w:t>
      </w:r>
      <w:r w:rsidRPr="00F14E16">
        <w:rPr>
          <w:rFonts w:ascii="Book Antiqua" w:eastAsia="Book Antiqua" w:hAnsi="Book Antiqua" w:cs="Book Antiqua"/>
          <w:color w:val="000000"/>
          <w:kern w:val="0"/>
          <w:sz w:val="24"/>
          <w:lang w:eastAsia="en-US"/>
          <w14:ligatures w14:val="none"/>
        </w:rPr>
        <w:t>China</w:t>
      </w:r>
    </w:p>
    <w:p w14:paraId="4106D997"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color w:val="000000"/>
          <w:kern w:val="0"/>
          <w:sz w:val="24"/>
          <w:lang w:eastAsia="en-US"/>
          <w14:ligatures w14:val="none"/>
        </w:rPr>
        <w:t>Peer-review report’s scientific quality classification</w:t>
      </w:r>
    </w:p>
    <w:p w14:paraId="3ED65863" w14:textId="77777777" w:rsidR="00F14E16" w:rsidRPr="00F14E16" w:rsidRDefault="00F14E16" w:rsidP="00F14E16">
      <w:pPr>
        <w:widowControl/>
        <w:spacing w:line="360" w:lineRule="auto"/>
        <w:rPr>
          <w:rFonts w:ascii="Book Antiqua" w:eastAsia="宋体" w:hAnsi="Book Antiqua" w:cs="Times New Roman"/>
          <w:kern w:val="0"/>
          <w:sz w:val="24"/>
          <w14:ligatures w14:val="none"/>
        </w:rPr>
      </w:pPr>
      <w:r w:rsidRPr="00F14E16">
        <w:rPr>
          <w:rFonts w:ascii="Book Antiqua" w:eastAsia="Book Antiqua" w:hAnsi="Book Antiqua" w:cs="Book Antiqua"/>
          <w:color w:val="000000"/>
          <w:kern w:val="0"/>
          <w:sz w:val="24"/>
          <w:lang w:eastAsia="en-US"/>
          <w14:ligatures w14:val="none"/>
        </w:rPr>
        <w:t xml:space="preserve">Grade A (Excellent): </w:t>
      </w:r>
      <w:r w:rsidRPr="00F14E16">
        <w:rPr>
          <w:rFonts w:ascii="Book Antiqua" w:eastAsia="宋体" w:hAnsi="Book Antiqua" w:cs="Book Antiqua"/>
          <w:color w:val="000000"/>
          <w:kern w:val="0"/>
          <w:sz w:val="24"/>
          <w14:ligatures w14:val="none"/>
        </w:rPr>
        <w:t>A</w:t>
      </w:r>
    </w:p>
    <w:p w14:paraId="4009A256"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Grade B (Very good): B</w:t>
      </w:r>
    </w:p>
    <w:p w14:paraId="4CA584F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Grade C (Good): C</w:t>
      </w:r>
    </w:p>
    <w:p w14:paraId="04EA319A"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Grade D (Fair): 0</w:t>
      </w:r>
    </w:p>
    <w:p w14:paraId="277D93D3"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color w:val="000000"/>
          <w:kern w:val="0"/>
          <w:sz w:val="24"/>
          <w:lang w:eastAsia="en-US"/>
          <w14:ligatures w14:val="none"/>
        </w:rPr>
        <w:t>Grade E (Poor): 0</w:t>
      </w:r>
    </w:p>
    <w:p w14:paraId="179CC5F2"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p>
    <w:p w14:paraId="7462828B" w14:textId="4CD5CD8E"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sectPr w:rsidR="00F14E16" w:rsidRPr="00F14E16">
          <w:pgSz w:w="12240" w:h="15840"/>
          <w:pgMar w:top="1440" w:right="1440" w:bottom="1440" w:left="1440" w:header="720" w:footer="720" w:gutter="0"/>
          <w:cols w:space="720"/>
          <w:docGrid w:linePitch="360"/>
        </w:sectPr>
      </w:pPr>
      <w:r w:rsidRPr="00F14E16">
        <w:rPr>
          <w:rFonts w:ascii="Book Antiqua" w:eastAsia="Book Antiqua" w:hAnsi="Book Antiqua" w:cs="Book Antiqua"/>
          <w:b/>
          <w:color w:val="000000"/>
          <w:kern w:val="0"/>
          <w:sz w:val="24"/>
          <w:lang w:eastAsia="en-US"/>
          <w14:ligatures w14:val="none"/>
        </w:rPr>
        <w:t xml:space="preserve">P-Reviewer: </w:t>
      </w:r>
      <w:r w:rsidRPr="00F14E16">
        <w:rPr>
          <w:rFonts w:ascii="Book Antiqua" w:eastAsia="Book Antiqua" w:hAnsi="Book Antiqua" w:cs="Book Antiqua"/>
          <w:color w:val="000000"/>
          <w:kern w:val="0"/>
          <w:sz w:val="24"/>
          <w:lang w:eastAsia="en-US"/>
          <w14:ligatures w14:val="none"/>
        </w:rPr>
        <w:t>Nakahodo J, Japan; Solimando AG, Italy</w:t>
      </w:r>
      <w:r w:rsidRPr="00F14E16">
        <w:rPr>
          <w:rFonts w:ascii="Book Antiqua" w:eastAsia="Book Antiqua" w:hAnsi="Book Antiqua" w:cs="Book Antiqua"/>
          <w:b/>
          <w:color w:val="000000"/>
          <w:kern w:val="0"/>
          <w:sz w:val="24"/>
          <w:lang w:eastAsia="en-US"/>
          <w14:ligatures w14:val="none"/>
        </w:rPr>
        <w:t xml:space="preserve"> S-Editor: </w:t>
      </w:r>
      <w:r w:rsidRPr="00F14E16">
        <w:rPr>
          <w:rFonts w:ascii="Book Antiqua" w:eastAsia="宋体" w:hAnsi="Book Antiqua" w:cs="Book Antiqua"/>
          <w:color w:val="000000"/>
          <w:kern w:val="0"/>
          <w:sz w:val="24"/>
          <w14:ligatures w14:val="none"/>
        </w:rPr>
        <w:t>Fan JR</w:t>
      </w:r>
      <w:r w:rsidRPr="00F14E16">
        <w:rPr>
          <w:rFonts w:ascii="Book Antiqua" w:eastAsia="Book Antiqua" w:hAnsi="Book Antiqua" w:cs="Book Antiqua"/>
          <w:b/>
          <w:color w:val="000000"/>
          <w:kern w:val="0"/>
          <w:sz w:val="24"/>
          <w:lang w:eastAsia="en-US"/>
          <w14:ligatures w14:val="none"/>
        </w:rPr>
        <w:t xml:space="preserve"> L-Editor: </w:t>
      </w:r>
      <w:r w:rsidR="00A8310A" w:rsidRPr="00A8310A">
        <w:rPr>
          <w:rFonts w:ascii="Book Antiqua" w:eastAsia="Book Antiqua" w:hAnsi="Book Antiqua" w:cs="Book Antiqua"/>
          <w:bCs/>
          <w:color w:val="000000"/>
          <w:kern w:val="0"/>
          <w:sz w:val="24"/>
          <w:lang w:eastAsia="en-US"/>
          <w14:ligatures w14:val="none"/>
        </w:rPr>
        <w:t>A</w:t>
      </w:r>
      <w:r w:rsidRPr="00F14E16">
        <w:rPr>
          <w:rFonts w:ascii="Book Antiqua" w:eastAsia="Book Antiqua" w:hAnsi="Book Antiqua" w:cs="Book Antiqua"/>
          <w:b/>
          <w:color w:val="000000"/>
          <w:kern w:val="0"/>
          <w:sz w:val="24"/>
          <w:lang w:eastAsia="en-US"/>
          <w14:ligatures w14:val="none"/>
        </w:rPr>
        <w:t xml:space="preserve"> P-Editor: </w:t>
      </w:r>
      <w:r w:rsidRPr="00F14E16">
        <w:rPr>
          <w:rFonts w:ascii="Book Antiqua" w:eastAsia="Book Antiqua" w:hAnsi="Book Antiqua" w:cs="Book Antiqua"/>
          <w:bCs/>
          <w:color w:val="000000"/>
          <w:kern w:val="0"/>
          <w:sz w:val="24"/>
          <w:lang w:eastAsia="en-US"/>
          <w14:ligatures w14:val="none"/>
        </w:rPr>
        <w:t>Zhang XD</w:t>
      </w:r>
    </w:p>
    <w:p w14:paraId="02370017" w14:textId="77777777" w:rsidR="00F14E16" w:rsidRPr="00F14E16" w:rsidRDefault="00F14E16" w:rsidP="00F14E16">
      <w:pPr>
        <w:widowControl/>
        <w:spacing w:line="360" w:lineRule="auto"/>
        <w:rPr>
          <w:rFonts w:ascii="Book Antiqua" w:eastAsia="宋体" w:hAnsi="Book Antiqua" w:cs="Book Antiqua"/>
          <w:b/>
          <w:color w:val="000000"/>
          <w:kern w:val="0"/>
          <w:sz w:val="24"/>
          <w14:ligatures w14:val="none"/>
        </w:rPr>
      </w:pPr>
      <w:r w:rsidRPr="00F14E16">
        <w:rPr>
          <w:rFonts w:ascii="Book Antiqua" w:eastAsia="Book Antiqua" w:hAnsi="Book Antiqua" w:cs="Book Antiqua"/>
          <w:b/>
          <w:color w:val="000000"/>
          <w:kern w:val="0"/>
          <w:sz w:val="24"/>
          <w:lang w:eastAsia="en-US"/>
          <w14:ligatures w14:val="none"/>
        </w:rPr>
        <w:lastRenderedPageBreak/>
        <w:t>Figure Legends</w:t>
      </w:r>
    </w:p>
    <w:p w14:paraId="130B33EC" w14:textId="620ED041" w:rsidR="00F14E16" w:rsidRPr="00F14E16" w:rsidRDefault="00C13A3D" w:rsidP="00F14E16">
      <w:pPr>
        <w:widowControl/>
        <w:spacing w:line="360" w:lineRule="auto"/>
        <w:rPr>
          <w:rFonts w:ascii="Book Antiqua" w:eastAsia="宋体" w:hAnsi="Book Antiqua" w:cs="Times New Roman"/>
          <w:kern w:val="0"/>
          <w:sz w:val="24"/>
          <w14:ligatures w14:val="none"/>
        </w:rPr>
      </w:pPr>
      <w:r>
        <w:rPr>
          <w:rFonts w:ascii="Book Antiqua" w:eastAsia="宋体" w:hAnsi="Book Antiqua" w:cs="Times New Roman"/>
          <w:noProof/>
          <w:kern w:val="0"/>
          <w:sz w:val="24"/>
        </w:rPr>
        <w:drawing>
          <wp:inline distT="0" distB="0" distL="0" distR="0" wp14:anchorId="6D5834A3" wp14:editId="068C7593">
            <wp:extent cx="5943600" cy="6546850"/>
            <wp:effectExtent l="0" t="0" r="0" b="6350"/>
            <wp:docPr id="126879792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97925"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46850"/>
                    </a:xfrm>
                    <a:prstGeom prst="rect">
                      <a:avLst/>
                    </a:prstGeom>
                  </pic:spPr>
                </pic:pic>
              </a:graphicData>
            </a:graphic>
          </wp:inline>
        </w:drawing>
      </w:r>
    </w:p>
    <w:p w14:paraId="2FD395BE" w14:textId="77777777"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Book Antiqua" w:hAnsi="Book Antiqua" w:cs="Book Antiqua"/>
          <w:b/>
          <w:bCs/>
          <w:color w:val="000000"/>
          <w:kern w:val="0"/>
          <w:sz w:val="24"/>
          <w:lang w:eastAsia="en-US"/>
          <w14:ligatures w14:val="none"/>
        </w:rPr>
        <w:t xml:space="preserve">Figure 1 The origin and localization of the intratumour microbiome in pancreatic cancer. </w:t>
      </w:r>
      <w:r w:rsidRPr="00F14E16">
        <w:rPr>
          <w:rFonts w:ascii="Book Antiqua" w:eastAsia="Book Antiqua" w:hAnsi="Book Antiqua" w:cs="Book Antiqua"/>
          <w:color w:val="000000"/>
          <w:kern w:val="0"/>
          <w:sz w:val="24"/>
          <w:lang w:eastAsia="en-US"/>
          <w14:ligatures w14:val="none"/>
        </w:rPr>
        <w:t xml:space="preserve">The microbiome in pancreatic ductal adenocarcinoma (PDAC) may originate from the gut and the oral cavity. The microbiome located in the oral cavity and gut can reach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the pancreatic duct. But also exists the possibility of drainage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blood and lymph. The microbiome located in the gut migrates through the damaged </w:t>
      </w:r>
      <w:r w:rsidRPr="00F14E16">
        <w:rPr>
          <w:rFonts w:ascii="Book Antiqua" w:eastAsia="Book Antiqua" w:hAnsi="Book Antiqua" w:cs="Book Antiqua"/>
          <w:color w:val="000000"/>
          <w:kern w:val="0"/>
          <w:sz w:val="24"/>
          <w:lang w:eastAsia="en-US"/>
          <w14:ligatures w14:val="none"/>
        </w:rPr>
        <w:lastRenderedPageBreak/>
        <w:t xml:space="preserve">intestinal epithelial barrier into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venous blood, especially in the inferior gastrointestinal tract. In the case of oral microbiome, it can also enter the pancreas </w:t>
      </w:r>
      <w:r w:rsidRPr="00F14E16">
        <w:rPr>
          <w:rFonts w:ascii="Book Antiqua" w:eastAsia="Book Antiqua" w:hAnsi="Book Antiqua" w:cs="Book Antiqua"/>
          <w:i/>
          <w:iCs/>
          <w:color w:val="000000"/>
          <w:kern w:val="0"/>
          <w:sz w:val="24"/>
          <w:lang w:eastAsia="en-US"/>
          <w14:ligatures w14:val="none"/>
        </w:rPr>
        <w:t>via</w:t>
      </w:r>
      <w:r w:rsidRPr="00F14E16">
        <w:rPr>
          <w:rFonts w:ascii="Book Antiqua" w:eastAsia="Book Antiqua" w:hAnsi="Book Antiqua" w:cs="Book Antiqua"/>
          <w:color w:val="000000"/>
          <w:kern w:val="0"/>
          <w:sz w:val="24"/>
          <w:lang w:eastAsia="en-US"/>
          <w14:ligatures w14:val="none"/>
        </w:rPr>
        <w:t xml:space="preserve"> the venous or lymphatic drainage. And the PDAC intratumour microbiome locates in tumour cells, immune cells and outside cells. </w:t>
      </w:r>
    </w:p>
    <w:p w14:paraId="63245C8F" w14:textId="2B353F04" w:rsidR="00F14E16" w:rsidRPr="00F14E16" w:rsidRDefault="00F14E16" w:rsidP="00F14E16">
      <w:pPr>
        <w:widowControl/>
        <w:spacing w:line="360" w:lineRule="auto"/>
        <w:rPr>
          <w:rFonts w:ascii="Book Antiqua" w:eastAsia="宋体" w:hAnsi="Book Antiqua" w:cs="Times New Roman"/>
          <w:kern w:val="0"/>
          <w:sz w:val="24"/>
          <w:lang w:eastAsia="en-US"/>
          <w14:ligatures w14:val="none"/>
        </w:rPr>
      </w:pPr>
      <w:r w:rsidRPr="00F14E16">
        <w:rPr>
          <w:rFonts w:ascii="Book Antiqua" w:eastAsia="宋体" w:hAnsi="Book Antiqua" w:cs="Times New Roman"/>
          <w:kern w:val="0"/>
          <w:sz w:val="24"/>
          <w:lang w:eastAsia="en-US"/>
          <w14:ligatures w14:val="none"/>
        </w:rPr>
        <w:br w:type="page"/>
      </w:r>
      <w:r w:rsidR="00C13A3D">
        <w:rPr>
          <w:rFonts w:ascii="Book Antiqua" w:eastAsia="宋体" w:hAnsi="Book Antiqua" w:cs="Times New Roman"/>
          <w:noProof/>
          <w:kern w:val="0"/>
          <w:sz w:val="24"/>
          <w:lang w:eastAsia="en-US"/>
        </w:rPr>
        <w:lastRenderedPageBreak/>
        <w:drawing>
          <wp:inline distT="0" distB="0" distL="0" distR="0" wp14:anchorId="34BF49B5" wp14:editId="499498F0">
            <wp:extent cx="5943600" cy="4361180"/>
            <wp:effectExtent l="0" t="0" r="0" b="0"/>
            <wp:docPr id="21090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384" name="图片 210903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61180"/>
                    </a:xfrm>
                    <a:prstGeom prst="rect">
                      <a:avLst/>
                    </a:prstGeom>
                  </pic:spPr>
                </pic:pic>
              </a:graphicData>
            </a:graphic>
          </wp:inline>
        </w:drawing>
      </w:r>
    </w:p>
    <w:p w14:paraId="04FFBF2E" w14:textId="77777777" w:rsidR="00F14E16" w:rsidRPr="00F14E16" w:rsidRDefault="00F14E16" w:rsidP="00F14E16">
      <w:pPr>
        <w:widowControl/>
        <w:spacing w:line="360" w:lineRule="auto"/>
        <w:rPr>
          <w:rFonts w:ascii="Book Antiqua" w:eastAsia="宋体" w:hAnsi="Book Antiqua" w:cs="Book Antiqua"/>
          <w:color w:val="000000"/>
          <w:kern w:val="0"/>
          <w:sz w:val="24"/>
          <w14:ligatures w14:val="none"/>
        </w:rPr>
      </w:pPr>
      <w:r w:rsidRPr="00F14E16">
        <w:rPr>
          <w:rFonts w:ascii="Book Antiqua" w:eastAsia="Book Antiqua" w:hAnsi="Book Antiqua" w:cs="Book Antiqua"/>
          <w:b/>
          <w:bCs/>
          <w:color w:val="000000"/>
          <w:kern w:val="0"/>
          <w:sz w:val="24"/>
          <w:lang w:eastAsia="en-US"/>
          <w14:ligatures w14:val="none"/>
        </w:rPr>
        <w:t xml:space="preserve">Figure 2 The intratumour microbiome-immune-pancreatic cancer axis. </w:t>
      </w:r>
      <w:r w:rsidRPr="00F14E16">
        <w:rPr>
          <w:rFonts w:ascii="Book Antiqua" w:eastAsia="Book Antiqua" w:hAnsi="Book Antiqua" w:cs="Book Antiqua"/>
          <w:color w:val="000000"/>
          <w:kern w:val="0"/>
          <w:sz w:val="24"/>
          <w:lang w:eastAsia="en-US"/>
          <w14:ligatures w14:val="none"/>
        </w:rPr>
        <w:t>The intratumour fungi can activate the complement 3</w:t>
      </w:r>
      <w:r w:rsidRPr="00F14E16">
        <w:rPr>
          <w:rFonts w:ascii="Book Antiqua" w:eastAsia="宋体" w:hAnsi="Book Antiqua" w:cs="Book Antiqu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C3</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complement cascade through the "lectin activation pathway". And C3a, as a fragment after C3 complement cascade reaction, promotes pancreatic ductal adenocarcinoma </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PDAC</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cells proliferation by binding to C3a receptors on the surface of cancer cells. Moreover, the intratumour fungi (</w:t>
      </w:r>
      <w:r w:rsidRPr="00F14E16">
        <w:rPr>
          <w:rFonts w:ascii="Book Antiqua" w:eastAsia="Book Antiqua" w:hAnsi="Book Antiqua" w:cs="Book Antiqua"/>
          <w:i/>
          <w:iCs/>
          <w:color w:val="000000"/>
          <w:kern w:val="0"/>
          <w:sz w:val="24"/>
          <w:lang w:eastAsia="en-US"/>
          <w14:ligatures w14:val="none"/>
        </w:rPr>
        <w:t>Malassezia globosa</w:t>
      </w:r>
      <w:r w:rsidRPr="00F14E16">
        <w:rPr>
          <w:rFonts w:ascii="Book Antiqua" w:eastAsia="Book Antiqua" w:hAnsi="Book Antiqua" w:cs="Book Antiqua"/>
          <w:color w:val="000000"/>
          <w:kern w:val="0"/>
          <w:sz w:val="24"/>
          <w:lang w:eastAsia="en-US"/>
          <w14:ligatures w14:val="none"/>
        </w:rPr>
        <w:t xml:space="preserve"> or </w:t>
      </w:r>
      <w:r w:rsidRPr="00F14E16">
        <w:rPr>
          <w:rFonts w:ascii="Book Antiqua" w:eastAsia="Book Antiqua" w:hAnsi="Book Antiqua" w:cs="Book Antiqua"/>
          <w:i/>
          <w:iCs/>
          <w:color w:val="000000"/>
          <w:kern w:val="0"/>
          <w:sz w:val="24"/>
          <w:lang w:eastAsia="en-US"/>
          <w14:ligatures w14:val="none"/>
        </w:rPr>
        <w:t>Alternaria alternata</w:t>
      </w:r>
      <w:r w:rsidRPr="00F14E16">
        <w:rPr>
          <w:rFonts w:ascii="Book Antiqua" w:eastAsia="Book Antiqua" w:hAnsi="Book Antiqua" w:cs="Book Antiqua"/>
          <w:color w:val="000000"/>
          <w:kern w:val="0"/>
          <w:sz w:val="24"/>
          <w:lang w:eastAsia="en-US"/>
          <w14:ligatures w14:val="none"/>
        </w:rPr>
        <w:t xml:space="preserve">) and their cell-free extracts facilitate interleukin (IL)-33 secretion through activation of the dectin-1 receptor-mediated Src-Syk-CARD9 pathway. And IL-33 secretion promotes T helper 2 cell, group 2 innate lymphoid cells and Tregs enrichment in tumour microenvironment </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TME</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thus promoting PDAC progression. The intratumour bacteria promotes the secretion of neutrophil chemokines in the TME of PDAC thereby promoting tumour-associated neutrophils 2</w:t>
      </w:r>
      <w:r w:rsidRPr="00F14E16">
        <w:rPr>
          <w:rFonts w:ascii="Book Antiqua" w:eastAsia="宋体" w:hAnsi="Book Antiqua" w:cs="Book Antiqua"/>
          <w:color w:val="000000"/>
          <w:kern w:val="0"/>
          <w:sz w:val="24"/>
          <w14:ligatures w14:val="none"/>
        </w:rPr>
        <w:t xml:space="preserve"> (</w:t>
      </w:r>
      <w:r w:rsidRPr="00F14E16">
        <w:rPr>
          <w:rFonts w:ascii="Book Antiqua" w:eastAsia="Book Antiqua" w:hAnsi="Book Antiqua" w:cs="Book Antiqua"/>
          <w:color w:val="000000"/>
          <w:kern w:val="0"/>
          <w:sz w:val="24"/>
          <w:lang w:eastAsia="en-US"/>
          <w14:ligatures w14:val="none"/>
        </w:rPr>
        <w:t>TAN2</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 xml:space="preserve"> enrichment in the TME. A portion of the effect of TAN2 may be through neutrophil extracellular traps. The PDAC intratumour bacteria also reduces the TAM1 polarization and decreased the antigen-presenting ability of TAM1 though through activation of </w:t>
      </w:r>
      <w:r w:rsidRPr="00F14E16">
        <w:rPr>
          <w:rFonts w:ascii="Book Antiqua" w:eastAsia="宋体" w:hAnsi="Book Antiqua" w:cs="Book Antiqua"/>
          <w:color w:val="000000"/>
          <w:kern w:val="0"/>
          <w:sz w:val="24"/>
          <w14:ligatures w14:val="none"/>
        </w:rPr>
        <w:t>t</w:t>
      </w:r>
      <w:r w:rsidRPr="00F14E16">
        <w:rPr>
          <w:rFonts w:ascii="Book Antiqua" w:eastAsia="Book Antiqua" w:hAnsi="Book Antiqua" w:cs="Book Antiqua"/>
          <w:color w:val="000000"/>
          <w:kern w:val="0"/>
          <w:sz w:val="24"/>
          <w:lang w:eastAsia="en-US"/>
          <w14:ligatures w14:val="none"/>
        </w:rPr>
        <w:t xml:space="preserve">oll-like receptors </w:t>
      </w:r>
      <w:r w:rsidRPr="00F14E16">
        <w:rPr>
          <w:rFonts w:ascii="Book Antiqua" w:eastAsia="宋体" w:hAnsi="Book Antiqua" w:cs="Book Antiqua"/>
          <w:color w:val="000000"/>
          <w:kern w:val="0"/>
          <w:sz w:val="24"/>
          <w14:ligatures w14:val="none"/>
        </w:rPr>
        <w:lastRenderedPageBreak/>
        <w:t>(</w:t>
      </w:r>
      <w:r w:rsidRPr="00F14E16">
        <w:rPr>
          <w:rFonts w:ascii="Book Antiqua" w:eastAsia="Book Antiqua" w:hAnsi="Book Antiqua" w:cs="Book Antiqua"/>
          <w:color w:val="000000"/>
          <w:kern w:val="0"/>
          <w:sz w:val="24"/>
          <w:lang w:eastAsia="en-US"/>
          <w14:ligatures w14:val="none"/>
        </w:rPr>
        <w:t>TLR</w:t>
      </w:r>
      <w:r w:rsidRPr="00F14E16">
        <w:rPr>
          <w:rFonts w:ascii="Book Antiqua" w:eastAsia="宋体" w:hAnsi="Book Antiqua" w:cs="Book Antiqua"/>
          <w:color w:val="000000"/>
          <w:kern w:val="0"/>
          <w:sz w:val="24"/>
          <w14:ligatures w14:val="none"/>
        </w:rPr>
        <w:t>)</w:t>
      </w:r>
      <w:r w:rsidRPr="00F14E16">
        <w:rPr>
          <w:rFonts w:ascii="Book Antiqua" w:eastAsia="Book Antiqua" w:hAnsi="Book Antiqua" w:cs="Book Antiqua"/>
          <w:color w:val="000000"/>
          <w:kern w:val="0"/>
          <w:sz w:val="24"/>
          <w:lang w:eastAsia="en-US"/>
          <w14:ligatures w14:val="none"/>
        </w:rPr>
        <w:t>2 and TLR4 on the surface of cells. TAM1 inhibition is accompanied by an increase in TAM to TAM2 conversion. It also promotes the secretion of IL-1β through TLR4 on the surface of PDAC cells. And IL-1β secretion promotes TAM2 activation through an indirect pathway that activates pancreatic stellate cells. Finally, the high diversity of intratumour microbiome promotes the activation of CD8</w:t>
      </w:r>
      <w:r w:rsidRPr="00F14E16">
        <w:rPr>
          <w:rFonts w:ascii="Book Antiqua" w:eastAsia="Book Antiqua" w:hAnsi="Book Antiqua" w:cs="Book Antiqua"/>
          <w:color w:val="000000"/>
          <w:kern w:val="0"/>
          <w:sz w:val="24"/>
          <w:vertAlign w:val="superscript"/>
          <w:lang w:eastAsia="en-US"/>
          <w14:ligatures w14:val="none"/>
        </w:rPr>
        <w:t>+</w:t>
      </w:r>
      <w:r w:rsidRPr="00F14E16">
        <w:rPr>
          <w:rFonts w:ascii="Book Antiqua" w:eastAsia="Book Antiqua" w:hAnsi="Book Antiqua" w:cs="Book Antiqua"/>
          <w:color w:val="000000"/>
          <w:kern w:val="0"/>
          <w:sz w:val="24"/>
          <w:lang w:eastAsia="en-US"/>
          <w14:ligatures w14:val="none"/>
        </w:rPr>
        <w:t xml:space="preserve"> T cells, which inhibits PDAC. C3: </w:t>
      </w:r>
      <w:r w:rsidRPr="00F14E16">
        <w:rPr>
          <w:rFonts w:ascii="Book Antiqua" w:eastAsia="宋体" w:hAnsi="Book Antiqua" w:cs="Book Antiqua"/>
          <w:color w:val="000000"/>
          <w:kern w:val="0"/>
          <w:sz w:val="24"/>
          <w14:ligatures w14:val="none"/>
        </w:rPr>
        <w:t>C</w:t>
      </w:r>
      <w:r w:rsidRPr="00F14E16">
        <w:rPr>
          <w:rFonts w:ascii="Book Antiqua" w:eastAsia="Book Antiqua" w:hAnsi="Book Antiqua" w:cs="Book Antiqua"/>
          <w:color w:val="000000"/>
          <w:kern w:val="0"/>
          <w:sz w:val="24"/>
          <w:lang w:eastAsia="en-US"/>
          <w14:ligatures w14:val="none"/>
        </w:rPr>
        <w:t xml:space="preserve">omplement 3; PDAC: </w:t>
      </w:r>
      <w:r w:rsidRPr="00F14E16">
        <w:rPr>
          <w:rFonts w:ascii="Book Antiqua" w:eastAsia="宋体" w:hAnsi="Book Antiqua" w:cs="Book Antiqua"/>
          <w:color w:val="000000"/>
          <w:kern w:val="0"/>
          <w:sz w:val="24"/>
          <w14:ligatures w14:val="none"/>
        </w:rPr>
        <w:t>P</w:t>
      </w:r>
      <w:r w:rsidRPr="00F14E16">
        <w:rPr>
          <w:rFonts w:ascii="Book Antiqua" w:eastAsia="Book Antiqua" w:hAnsi="Book Antiqua" w:cs="Book Antiqua"/>
          <w:color w:val="000000"/>
          <w:kern w:val="0"/>
          <w:sz w:val="24"/>
          <w:lang w:eastAsia="en-US"/>
          <w14:ligatures w14:val="none"/>
        </w:rPr>
        <w:t xml:space="preserve">ancreatic ductal adenocarcinoma; Th2: T helper 2 cell; ILC2: </w:t>
      </w:r>
      <w:r w:rsidRPr="00F14E16">
        <w:rPr>
          <w:rFonts w:ascii="Book Antiqua" w:eastAsia="宋体" w:hAnsi="Book Antiqua" w:cs="Book Antiqua"/>
          <w:color w:val="000000"/>
          <w:kern w:val="0"/>
          <w:sz w:val="24"/>
          <w14:ligatures w14:val="none"/>
        </w:rPr>
        <w:t>G</w:t>
      </w:r>
      <w:r w:rsidRPr="00F14E16">
        <w:rPr>
          <w:rFonts w:ascii="Book Antiqua" w:eastAsia="Book Antiqua" w:hAnsi="Book Antiqua" w:cs="Book Antiqua"/>
          <w:color w:val="000000"/>
          <w:kern w:val="0"/>
          <w:sz w:val="24"/>
          <w:lang w:eastAsia="en-US"/>
          <w14:ligatures w14:val="none"/>
        </w:rPr>
        <w:t xml:space="preserve">roup 2 innate lymphoid cells; TME: </w:t>
      </w:r>
      <w:r w:rsidRPr="00F14E16">
        <w:rPr>
          <w:rFonts w:ascii="Book Antiqua" w:eastAsia="宋体" w:hAnsi="Book Antiqua" w:cs="Book Antiqua"/>
          <w:color w:val="000000"/>
          <w:kern w:val="0"/>
          <w:sz w:val="24"/>
          <w14:ligatures w14:val="none"/>
        </w:rPr>
        <w:t>T</w:t>
      </w:r>
      <w:r w:rsidRPr="00F14E16">
        <w:rPr>
          <w:rFonts w:ascii="Book Antiqua" w:eastAsia="Book Antiqua" w:hAnsi="Book Antiqua" w:cs="Book Antiqua"/>
          <w:color w:val="000000"/>
          <w:kern w:val="0"/>
          <w:sz w:val="24"/>
          <w:lang w:eastAsia="en-US"/>
          <w14:ligatures w14:val="none"/>
        </w:rPr>
        <w:t xml:space="preserve">umour microenvironment; TAN2: </w:t>
      </w:r>
      <w:r w:rsidRPr="00F14E16">
        <w:rPr>
          <w:rFonts w:ascii="Book Antiqua" w:eastAsia="宋体" w:hAnsi="Book Antiqua" w:cs="Book Antiqua"/>
          <w:color w:val="000000"/>
          <w:kern w:val="0"/>
          <w:sz w:val="24"/>
          <w14:ligatures w14:val="none"/>
        </w:rPr>
        <w:t>T</w:t>
      </w:r>
      <w:r w:rsidRPr="00F14E16">
        <w:rPr>
          <w:rFonts w:ascii="Book Antiqua" w:eastAsia="Book Antiqua" w:hAnsi="Book Antiqua" w:cs="Book Antiqua"/>
          <w:color w:val="000000"/>
          <w:kern w:val="0"/>
          <w:sz w:val="24"/>
          <w:lang w:eastAsia="en-US"/>
          <w14:ligatures w14:val="none"/>
        </w:rPr>
        <w:t xml:space="preserve">umour-associated neutrophils 2; NETs: </w:t>
      </w:r>
      <w:r w:rsidRPr="00F14E16">
        <w:rPr>
          <w:rFonts w:ascii="Book Antiqua" w:eastAsia="宋体" w:hAnsi="Book Antiqua" w:cs="Book Antiqua"/>
          <w:color w:val="000000"/>
          <w:kern w:val="0"/>
          <w:sz w:val="24"/>
          <w14:ligatures w14:val="none"/>
        </w:rPr>
        <w:t>N</w:t>
      </w:r>
      <w:r w:rsidRPr="00F14E16">
        <w:rPr>
          <w:rFonts w:ascii="Book Antiqua" w:eastAsia="Book Antiqua" w:hAnsi="Book Antiqua" w:cs="Book Antiqua"/>
          <w:color w:val="000000"/>
          <w:kern w:val="0"/>
          <w:sz w:val="24"/>
          <w:lang w:eastAsia="en-US"/>
          <w14:ligatures w14:val="none"/>
        </w:rPr>
        <w:t xml:space="preserve">eutrophil extracellular traps; TAM: </w:t>
      </w:r>
      <w:r w:rsidRPr="00F14E16">
        <w:rPr>
          <w:rFonts w:ascii="Book Antiqua" w:eastAsia="宋体" w:hAnsi="Book Antiqua" w:cs="Book Antiqua"/>
          <w:color w:val="000000"/>
          <w:kern w:val="0"/>
          <w:sz w:val="24"/>
          <w14:ligatures w14:val="none"/>
        </w:rPr>
        <w:t>T</w:t>
      </w:r>
      <w:r w:rsidRPr="00F14E16">
        <w:rPr>
          <w:rFonts w:ascii="Book Antiqua" w:eastAsia="Book Antiqua" w:hAnsi="Book Antiqua" w:cs="Book Antiqua"/>
          <w:color w:val="000000"/>
          <w:kern w:val="0"/>
          <w:sz w:val="24"/>
          <w:lang w:eastAsia="en-US"/>
          <w14:ligatures w14:val="none"/>
        </w:rPr>
        <w:t xml:space="preserve">umour-associated macrophages; TLR: Toll-like receptors; PSCs: </w:t>
      </w:r>
      <w:r w:rsidRPr="00F14E16">
        <w:rPr>
          <w:rFonts w:ascii="Book Antiqua" w:eastAsia="宋体" w:hAnsi="Book Antiqua" w:cs="Book Antiqua"/>
          <w:color w:val="000000"/>
          <w:kern w:val="0"/>
          <w:sz w:val="24"/>
          <w14:ligatures w14:val="none"/>
        </w:rPr>
        <w:t>P</w:t>
      </w:r>
      <w:r w:rsidRPr="00F14E16">
        <w:rPr>
          <w:rFonts w:ascii="Book Antiqua" w:eastAsia="Book Antiqua" w:hAnsi="Book Antiqua" w:cs="Book Antiqua"/>
          <w:color w:val="000000"/>
          <w:kern w:val="0"/>
          <w:sz w:val="24"/>
          <w:lang w:eastAsia="en-US"/>
          <w14:ligatures w14:val="none"/>
        </w:rPr>
        <w:t xml:space="preserve">ancreatic stellate cells. </w:t>
      </w:r>
    </w:p>
    <w:p w14:paraId="62560A65" w14:textId="77777777" w:rsidR="00F14E16" w:rsidRPr="00F14E16" w:rsidRDefault="00F14E16" w:rsidP="00F14E16">
      <w:pPr>
        <w:widowControl/>
        <w:spacing w:line="360" w:lineRule="auto"/>
        <w:rPr>
          <w:rFonts w:ascii="Book Antiqua" w:eastAsia="宋体" w:hAnsi="Book Antiqua" w:cs="Times New Roman"/>
          <w:kern w:val="0"/>
          <w:sz w:val="24"/>
          <w14:ligatures w14:val="none"/>
        </w:rPr>
      </w:pPr>
    </w:p>
    <w:p w14:paraId="649276F4" w14:textId="62EFF97E" w:rsidR="00BC1A3D" w:rsidRDefault="00BC1A3D"/>
    <w:p w14:paraId="2B435494" w14:textId="77777777" w:rsidR="00BC1A3D" w:rsidRDefault="00BC1A3D">
      <w:pPr>
        <w:widowControl/>
        <w:jc w:val="left"/>
      </w:pPr>
      <w:r>
        <w:br w:type="page"/>
      </w:r>
    </w:p>
    <w:p w14:paraId="51108AA1" w14:textId="77777777" w:rsidR="00BC1A3D" w:rsidRDefault="00BC1A3D" w:rsidP="00BC1A3D">
      <w:pPr>
        <w:widowControl/>
        <w:snapToGrid w:val="0"/>
        <w:ind w:leftChars="100" w:left="210"/>
        <w:jc w:val="center"/>
        <w:rPr>
          <w:rFonts w:ascii="Book Antiqua" w:hAnsi="Book Antiqua"/>
        </w:rPr>
      </w:pPr>
    </w:p>
    <w:p w14:paraId="02A32CAA" w14:textId="77777777" w:rsidR="00BC1A3D" w:rsidRDefault="00BC1A3D" w:rsidP="00BC1A3D">
      <w:pPr>
        <w:widowControl/>
        <w:snapToGrid w:val="0"/>
        <w:ind w:leftChars="100" w:left="210"/>
        <w:jc w:val="center"/>
        <w:rPr>
          <w:rFonts w:ascii="Book Antiqua" w:hAnsi="Book Antiqua"/>
        </w:rPr>
      </w:pPr>
    </w:p>
    <w:p w14:paraId="48F537FF" w14:textId="77777777" w:rsidR="00BC1A3D" w:rsidRDefault="00BC1A3D" w:rsidP="00BC1A3D">
      <w:pPr>
        <w:widowControl/>
        <w:snapToGrid w:val="0"/>
        <w:ind w:leftChars="100" w:left="210"/>
        <w:jc w:val="center"/>
        <w:rPr>
          <w:rFonts w:ascii="Book Antiqua" w:hAnsi="Book Antiqua"/>
        </w:rPr>
      </w:pPr>
    </w:p>
    <w:p w14:paraId="0271FAFF" w14:textId="77777777" w:rsidR="00BC1A3D" w:rsidRDefault="00BC1A3D" w:rsidP="00BC1A3D">
      <w:pPr>
        <w:widowControl/>
        <w:snapToGrid w:val="0"/>
        <w:ind w:leftChars="100" w:left="210"/>
        <w:jc w:val="center"/>
        <w:rPr>
          <w:rFonts w:ascii="Book Antiqua" w:hAnsi="Book Antiqua"/>
        </w:rPr>
      </w:pPr>
    </w:p>
    <w:p w14:paraId="69B6CC72" w14:textId="77777777" w:rsidR="00BC1A3D" w:rsidRDefault="00BC1A3D" w:rsidP="00BC1A3D">
      <w:pPr>
        <w:widowControl/>
        <w:snapToGrid w:val="0"/>
        <w:ind w:leftChars="100" w:left="210"/>
        <w:jc w:val="center"/>
        <w:rPr>
          <w:rFonts w:ascii="Book Antiqua" w:hAnsi="Book Antiqua"/>
        </w:rPr>
      </w:pPr>
      <w:r>
        <w:rPr>
          <w:rFonts w:ascii="Book Antiqua" w:hAnsi="Book Antiqua"/>
          <w:noProof/>
        </w:rPr>
        <w:drawing>
          <wp:inline distT="0" distB="0" distL="0" distR="0" wp14:anchorId="43D797AE" wp14:editId="40E2D23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CE1A05" w14:textId="77777777" w:rsidR="00BC1A3D" w:rsidRDefault="00BC1A3D" w:rsidP="00BC1A3D">
      <w:pPr>
        <w:widowControl/>
        <w:snapToGrid w:val="0"/>
        <w:ind w:leftChars="100" w:left="210"/>
        <w:jc w:val="center"/>
        <w:rPr>
          <w:rFonts w:ascii="Book Antiqua" w:hAnsi="Book Antiqua"/>
        </w:rPr>
      </w:pPr>
    </w:p>
    <w:p w14:paraId="11C8EBD0" w14:textId="77777777" w:rsidR="00BC1A3D" w:rsidRDefault="00BC1A3D" w:rsidP="00BC1A3D">
      <w:pPr>
        <w:widowControl/>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40B54AA" w14:textId="77777777" w:rsidR="00BC1A3D" w:rsidRDefault="00BC1A3D" w:rsidP="00BC1A3D">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BBF040" w14:textId="77777777" w:rsidR="00BC1A3D" w:rsidRDefault="00BC1A3D" w:rsidP="00BC1A3D">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FC8FB5" w14:textId="77777777" w:rsidR="00BC1A3D" w:rsidRDefault="00BC1A3D" w:rsidP="00BC1A3D">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21DF09" w14:textId="77777777" w:rsidR="00BC1A3D" w:rsidRDefault="00BC1A3D" w:rsidP="00BC1A3D">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760C4C" w14:textId="77777777" w:rsidR="00BC1A3D" w:rsidRDefault="00BC1A3D" w:rsidP="00BC1A3D">
      <w:pPr>
        <w:widowControl/>
        <w:snapToGrid w:val="0"/>
        <w:ind w:leftChars="100" w:left="210"/>
        <w:jc w:val="center"/>
        <w:rPr>
          <w:rFonts w:ascii="Book Antiqua" w:hAnsi="Book Antiqua"/>
        </w:rPr>
      </w:pPr>
      <w:r>
        <w:rPr>
          <w:rFonts w:ascii="Book Antiqua" w:eastAsia="TimesNewRomanPSMT" w:hAnsi="Book Antiqua" w:cs="Garamond"/>
          <w:color w:val="D56400"/>
          <w:sz w:val="28"/>
          <w:szCs w:val="28"/>
        </w:rPr>
        <w:t>https://www.wjgnet.com</w:t>
      </w:r>
    </w:p>
    <w:p w14:paraId="5AC2AA02" w14:textId="77777777" w:rsidR="00BC1A3D" w:rsidRDefault="00BC1A3D" w:rsidP="00BC1A3D">
      <w:pPr>
        <w:widowControl/>
        <w:snapToGrid w:val="0"/>
        <w:ind w:leftChars="100" w:left="210"/>
        <w:jc w:val="center"/>
        <w:rPr>
          <w:rFonts w:ascii="Book Antiqua" w:hAnsi="Book Antiqua"/>
        </w:rPr>
      </w:pPr>
    </w:p>
    <w:p w14:paraId="7900E5DD" w14:textId="77777777" w:rsidR="00BC1A3D" w:rsidRDefault="00BC1A3D" w:rsidP="00BC1A3D">
      <w:pPr>
        <w:widowControl/>
        <w:snapToGrid w:val="0"/>
        <w:ind w:leftChars="100" w:left="210"/>
        <w:jc w:val="center"/>
        <w:rPr>
          <w:rFonts w:ascii="Book Antiqua" w:hAnsi="Book Antiqua"/>
        </w:rPr>
      </w:pPr>
    </w:p>
    <w:p w14:paraId="327F5901" w14:textId="77777777" w:rsidR="00BC1A3D" w:rsidRDefault="00BC1A3D" w:rsidP="00BC1A3D">
      <w:pPr>
        <w:widowControl/>
        <w:snapToGrid w:val="0"/>
        <w:ind w:leftChars="100" w:left="210"/>
        <w:jc w:val="center"/>
        <w:rPr>
          <w:rFonts w:ascii="Book Antiqua" w:hAnsi="Book Antiqua"/>
        </w:rPr>
      </w:pPr>
    </w:p>
    <w:p w14:paraId="5A864FCE" w14:textId="77777777" w:rsidR="00BC1A3D" w:rsidRDefault="00BC1A3D" w:rsidP="00BC1A3D">
      <w:pPr>
        <w:widowControl/>
        <w:snapToGrid w:val="0"/>
        <w:ind w:leftChars="100" w:left="210"/>
        <w:jc w:val="center"/>
        <w:rPr>
          <w:rFonts w:ascii="Book Antiqua" w:hAnsi="Book Antiqua"/>
        </w:rPr>
      </w:pPr>
      <w:r>
        <w:rPr>
          <w:rFonts w:ascii="Book Antiqua" w:hAnsi="Book Antiqua"/>
          <w:noProof/>
        </w:rPr>
        <w:drawing>
          <wp:inline distT="0" distB="0" distL="0" distR="0" wp14:anchorId="58A85ACE" wp14:editId="4DB079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DB086DF" w14:textId="77777777" w:rsidR="00BC1A3D" w:rsidRDefault="00BC1A3D" w:rsidP="00BC1A3D">
      <w:pPr>
        <w:widowControl/>
        <w:snapToGrid w:val="0"/>
        <w:ind w:leftChars="100" w:left="210"/>
        <w:jc w:val="center"/>
        <w:rPr>
          <w:rFonts w:ascii="Book Antiqua" w:hAnsi="Book Antiqua"/>
        </w:rPr>
      </w:pPr>
    </w:p>
    <w:p w14:paraId="28330E93" w14:textId="77777777" w:rsidR="00BC1A3D" w:rsidRDefault="00BC1A3D" w:rsidP="00BC1A3D">
      <w:pPr>
        <w:widowControl/>
        <w:snapToGrid w:val="0"/>
        <w:ind w:leftChars="100" w:left="210"/>
        <w:jc w:val="center"/>
        <w:rPr>
          <w:rFonts w:ascii="Book Antiqua" w:hAnsi="Book Antiqua"/>
        </w:rPr>
      </w:pPr>
    </w:p>
    <w:p w14:paraId="49C2F717" w14:textId="77777777" w:rsidR="00BC1A3D" w:rsidRDefault="00BC1A3D" w:rsidP="00BC1A3D">
      <w:pPr>
        <w:widowControl/>
        <w:snapToGrid w:val="0"/>
        <w:ind w:leftChars="100" w:left="210"/>
        <w:jc w:val="center"/>
        <w:rPr>
          <w:rFonts w:ascii="Book Antiqua" w:hAnsi="Book Antiqua"/>
        </w:rPr>
      </w:pPr>
    </w:p>
    <w:p w14:paraId="578E1774" w14:textId="77777777" w:rsidR="00BC1A3D" w:rsidRDefault="00BC1A3D" w:rsidP="00BC1A3D">
      <w:pPr>
        <w:widowControl/>
        <w:snapToGrid w:val="0"/>
        <w:ind w:leftChars="100" w:left="210"/>
        <w:jc w:val="center"/>
        <w:rPr>
          <w:rFonts w:ascii="Book Antiqua" w:hAnsi="Book Antiqua"/>
        </w:rPr>
      </w:pPr>
    </w:p>
    <w:p w14:paraId="01269EC7" w14:textId="77777777" w:rsidR="00BC1A3D" w:rsidRDefault="00BC1A3D" w:rsidP="00BC1A3D">
      <w:pPr>
        <w:widowControl/>
        <w:snapToGrid w:val="0"/>
        <w:ind w:leftChars="100" w:left="210"/>
        <w:jc w:val="center"/>
        <w:rPr>
          <w:rFonts w:ascii="Book Antiqua" w:hAnsi="Book Antiqua"/>
        </w:rPr>
      </w:pPr>
    </w:p>
    <w:p w14:paraId="41A5DF68" w14:textId="77777777" w:rsidR="00BC1A3D" w:rsidRDefault="00BC1A3D" w:rsidP="00BC1A3D">
      <w:pPr>
        <w:widowControl/>
        <w:snapToGrid w:val="0"/>
        <w:ind w:leftChars="100" w:left="210"/>
        <w:jc w:val="center"/>
        <w:rPr>
          <w:rFonts w:ascii="Book Antiqua" w:hAnsi="Book Antiqua"/>
        </w:rPr>
      </w:pPr>
    </w:p>
    <w:p w14:paraId="13786B95" w14:textId="77777777" w:rsidR="00BC1A3D" w:rsidRDefault="00BC1A3D" w:rsidP="00BC1A3D">
      <w:pPr>
        <w:widowControl/>
        <w:snapToGrid w:val="0"/>
        <w:ind w:leftChars="100" w:left="210"/>
        <w:jc w:val="center"/>
        <w:rPr>
          <w:rFonts w:ascii="Book Antiqua" w:hAnsi="Book Antiqua"/>
        </w:rPr>
      </w:pPr>
    </w:p>
    <w:p w14:paraId="0DC3E70F" w14:textId="77777777" w:rsidR="00BC1A3D" w:rsidRDefault="00BC1A3D" w:rsidP="00BC1A3D">
      <w:pPr>
        <w:widowControl/>
        <w:snapToGrid w:val="0"/>
        <w:ind w:leftChars="100" w:left="210"/>
        <w:jc w:val="center"/>
        <w:rPr>
          <w:rFonts w:ascii="Book Antiqua" w:hAnsi="Book Antiqua"/>
        </w:rPr>
      </w:pPr>
    </w:p>
    <w:p w14:paraId="2F83D935" w14:textId="77777777" w:rsidR="00BC1A3D" w:rsidRDefault="00BC1A3D" w:rsidP="00BC1A3D">
      <w:pPr>
        <w:widowControl/>
        <w:snapToGrid w:val="0"/>
        <w:ind w:leftChars="100" w:left="210"/>
        <w:jc w:val="center"/>
        <w:rPr>
          <w:rFonts w:ascii="Book Antiqua" w:hAnsi="Book Antiqua"/>
        </w:rPr>
      </w:pPr>
    </w:p>
    <w:p w14:paraId="703086EA" w14:textId="77777777" w:rsidR="00BC1A3D" w:rsidRDefault="00BC1A3D" w:rsidP="00BC1A3D">
      <w:pPr>
        <w:widowControl/>
        <w:snapToGrid w:val="0"/>
        <w:ind w:leftChars="100" w:left="210"/>
        <w:jc w:val="right"/>
        <w:rPr>
          <w:rFonts w:ascii="Book Antiqua" w:hAnsi="Book Antiqua"/>
          <w:color w:val="000000" w:themeColor="text1"/>
        </w:rPr>
      </w:pPr>
    </w:p>
    <w:p w14:paraId="10B4B5D9" w14:textId="77777777" w:rsidR="00BC1A3D" w:rsidRDefault="00BC1A3D" w:rsidP="00BC1A3D">
      <w:pPr>
        <w:widowControl/>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FB0FC9A" w14:textId="77777777" w:rsidR="00BC1A3D" w:rsidRDefault="00BC1A3D" w:rsidP="00BC1A3D">
      <w:pPr>
        <w:rPr>
          <w:rFonts w:ascii="Book Antiqua" w:hAnsi="Book Antiqua" w:cs="Book Antiqua"/>
          <w:b/>
          <w:bCs/>
          <w:color w:val="000000"/>
        </w:rPr>
      </w:pPr>
    </w:p>
    <w:p w14:paraId="3CF6CBA9" w14:textId="77777777" w:rsidR="00F14E16" w:rsidRPr="00BC1A3D" w:rsidRDefault="00F14E16"/>
    <w:sectPr w:rsidR="00F14E16" w:rsidRPr="00BC1A3D">
      <w:pgSz w:w="12240" w:h="15840"/>
      <w:pgMar w:top="1440" w:right="1440" w:bottom="1440" w:left="1440" w:header="720" w:footer="720" w:gutter="0"/>
      <w:cols w:space="720"/>
      <w:docGrid w:linePitch="1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0A50" w14:textId="77777777" w:rsidR="00023DDB" w:rsidRDefault="00023DDB">
      <w:r>
        <w:separator/>
      </w:r>
    </w:p>
  </w:endnote>
  <w:endnote w:type="continuationSeparator" w:id="0">
    <w:p w14:paraId="46A94CE9" w14:textId="77777777" w:rsidR="00023DDB" w:rsidRDefault="0002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CE73" w14:textId="77777777" w:rsidR="00F14E16" w:rsidRDefault="00F14E1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noProof/>
        <w:sz w:val="24"/>
        <w:szCs w:val="24"/>
      </w:rPr>
      <w:t>48</w:t>
    </w:r>
    <w:r>
      <w:rPr>
        <w:rFonts w:ascii="Book Antiqua" w:hAnsi="Book Antiqua"/>
        <w:b/>
        <w:bCs/>
        <w:sz w:val="24"/>
        <w:szCs w:val="24"/>
      </w:rPr>
      <w:fldChar w:fldCharType="end"/>
    </w:r>
  </w:p>
  <w:p w14:paraId="7BB3EF49" w14:textId="77777777" w:rsidR="00F14E16" w:rsidRDefault="00F14E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CFE4" w14:textId="77777777" w:rsidR="00023DDB" w:rsidRDefault="00023DDB">
      <w:r>
        <w:separator/>
      </w:r>
    </w:p>
  </w:footnote>
  <w:footnote w:type="continuationSeparator" w:id="0">
    <w:p w14:paraId="3CC300F8" w14:textId="77777777" w:rsidR="00023DDB" w:rsidRDefault="00023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E16"/>
    <w:rsid w:val="00023DDB"/>
    <w:rsid w:val="00A8310A"/>
    <w:rsid w:val="00B14D23"/>
    <w:rsid w:val="00BC1A3D"/>
    <w:rsid w:val="00BD1BE3"/>
    <w:rsid w:val="00C13A3D"/>
    <w:rsid w:val="00F1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8ADD7"/>
  <w15:chartTrackingRefBased/>
  <w15:docId w15:val="{D4FDBC3F-66DE-C34C-A9A1-89578E330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F14E16"/>
  </w:style>
  <w:style w:type="paragraph" w:styleId="a3">
    <w:name w:val="Balloon Text"/>
    <w:basedOn w:val="a"/>
    <w:link w:val="10"/>
    <w:rsid w:val="00F14E16"/>
    <w:pPr>
      <w:widowControl/>
      <w:jc w:val="left"/>
    </w:pPr>
    <w:rPr>
      <w:rFonts w:ascii="Times New Roman" w:eastAsia="宋体" w:hAnsi="Times New Roman" w:cs="Times New Roman"/>
      <w:kern w:val="0"/>
      <w:sz w:val="18"/>
      <w:szCs w:val="18"/>
      <w:lang w:eastAsia="en-US"/>
      <w14:ligatures w14:val="none"/>
    </w:rPr>
  </w:style>
  <w:style w:type="character" w:customStyle="1" w:styleId="a4">
    <w:name w:val="批注框文本 字符"/>
    <w:basedOn w:val="a0"/>
    <w:uiPriority w:val="99"/>
    <w:semiHidden/>
    <w:rsid w:val="00F14E16"/>
    <w:rPr>
      <w:rFonts w:ascii="宋体" w:eastAsia="宋体"/>
      <w:sz w:val="18"/>
      <w:szCs w:val="18"/>
    </w:rPr>
  </w:style>
  <w:style w:type="character" w:customStyle="1" w:styleId="10">
    <w:name w:val="批注框文本 字符1"/>
    <w:link w:val="a3"/>
    <w:rsid w:val="00F14E16"/>
    <w:rPr>
      <w:rFonts w:ascii="Times New Roman" w:eastAsia="宋体" w:hAnsi="Times New Roman" w:cs="Times New Roman"/>
      <w:kern w:val="0"/>
      <w:sz w:val="18"/>
      <w:szCs w:val="18"/>
      <w:lang w:eastAsia="en-US"/>
      <w14:ligatures w14:val="none"/>
    </w:rPr>
  </w:style>
  <w:style w:type="paragraph" w:styleId="a5">
    <w:name w:val="footer"/>
    <w:basedOn w:val="a"/>
    <w:link w:val="11"/>
    <w:uiPriority w:val="99"/>
    <w:rsid w:val="00F14E16"/>
    <w:pPr>
      <w:widowControl/>
      <w:tabs>
        <w:tab w:val="center" w:pos="4153"/>
        <w:tab w:val="right" w:pos="8306"/>
      </w:tabs>
      <w:snapToGrid w:val="0"/>
      <w:jc w:val="left"/>
    </w:pPr>
    <w:rPr>
      <w:rFonts w:ascii="Times New Roman" w:eastAsia="宋体" w:hAnsi="Times New Roman" w:cs="Times New Roman"/>
      <w:kern w:val="0"/>
      <w:sz w:val="18"/>
      <w:szCs w:val="18"/>
      <w:lang w:eastAsia="en-US"/>
      <w14:ligatures w14:val="none"/>
    </w:rPr>
  </w:style>
  <w:style w:type="character" w:customStyle="1" w:styleId="a6">
    <w:name w:val="页脚 字符"/>
    <w:basedOn w:val="a0"/>
    <w:uiPriority w:val="99"/>
    <w:semiHidden/>
    <w:rsid w:val="00F14E16"/>
    <w:rPr>
      <w:sz w:val="18"/>
      <w:szCs w:val="18"/>
    </w:rPr>
  </w:style>
  <w:style w:type="character" w:customStyle="1" w:styleId="11">
    <w:name w:val="页脚 字符1"/>
    <w:link w:val="a5"/>
    <w:uiPriority w:val="99"/>
    <w:qFormat/>
    <w:rsid w:val="00F14E16"/>
    <w:rPr>
      <w:rFonts w:ascii="Times New Roman" w:eastAsia="宋体" w:hAnsi="Times New Roman" w:cs="Times New Roman"/>
      <w:kern w:val="0"/>
      <w:sz w:val="18"/>
      <w:szCs w:val="18"/>
      <w:lang w:eastAsia="en-US"/>
      <w14:ligatures w14:val="none"/>
    </w:rPr>
  </w:style>
  <w:style w:type="paragraph" w:styleId="a7">
    <w:name w:val="header"/>
    <w:basedOn w:val="a"/>
    <w:link w:val="12"/>
    <w:rsid w:val="00F14E16"/>
    <w:pPr>
      <w:widowControl/>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lang w:eastAsia="en-US"/>
      <w14:ligatures w14:val="none"/>
    </w:rPr>
  </w:style>
  <w:style w:type="character" w:customStyle="1" w:styleId="a8">
    <w:name w:val="页眉 字符"/>
    <w:basedOn w:val="a0"/>
    <w:uiPriority w:val="99"/>
    <w:semiHidden/>
    <w:rsid w:val="00F14E16"/>
    <w:rPr>
      <w:sz w:val="18"/>
      <w:szCs w:val="18"/>
    </w:rPr>
  </w:style>
  <w:style w:type="character" w:customStyle="1" w:styleId="12">
    <w:name w:val="页眉 字符1"/>
    <w:link w:val="a7"/>
    <w:qFormat/>
    <w:rsid w:val="00F14E16"/>
    <w:rPr>
      <w:rFonts w:ascii="Times New Roman" w:eastAsia="宋体" w:hAnsi="Times New Roman" w:cs="Times New Roman"/>
      <w:kern w:val="0"/>
      <w:sz w:val="18"/>
      <w:szCs w:val="18"/>
      <w:lang w:eastAsia="en-US"/>
      <w14:ligatures w14:val="none"/>
    </w:rPr>
  </w:style>
  <w:style w:type="paragraph" w:customStyle="1" w:styleId="13">
    <w:name w:val="修订1"/>
    <w:uiPriority w:val="99"/>
    <w:semiHidden/>
    <w:qFormat/>
    <w:rsid w:val="00F14E16"/>
    <w:rPr>
      <w:rFonts w:ascii="Times New Roman" w:eastAsia="宋体" w:hAnsi="Times New Roman" w:cs="Times New Roman"/>
      <w:kern w:val="0"/>
      <w:sz w:val="24"/>
      <w:lang w:eastAsia="en-US"/>
      <w14:ligatures w14:val="none"/>
    </w:rPr>
  </w:style>
  <w:style w:type="paragraph" w:styleId="a9">
    <w:name w:val="Revision"/>
    <w:hidden/>
    <w:uiPriority w:val="99"/>
    <w:unhideWhenUsed/>
    <w:rsid w:val="00F14E16"/>
    <w:rPr>
      <w:rFonts w:ascii="Times New Roman" w:eastAsia="宋体" w:hAnsi="Times New Roman" w:cs="Times New Roman"/>
      <w:kern w:val="0"/>
      <w:sz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14161</Words>
  <Characters>80719</Characters>
  <Application>Microsoft Office Word</Application>
  <DocSecurity>0</DocSecurity>
  <Lines>672</Lines>
  <Paragraphs>189</Paragraphs>
  <ScaleCrop>false</ScaleCrop>
  <Company/>
  <LinksUpToDate>false</LinksUpToDate>
  <CharactersWithSpaces>94691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M18955</dc:creator>
  <cp:keywords/>
  <dc:description/>
  <cp:lastModifiedBy>M18955</cp:lastModifiedBy>
  <cp:revision>4</cp:revision>
  <dcterms:created xsi:type="dcterms:W3CDTF">2023-04-07T06:30:00Z</dcterms:created>
  <dcterms:modified xsi:type="dcterms:W3CDTF">2023-05-08T13:22:00Z</dcterms:modified>
</cp:coreProperties>
</file>