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C3F6D" w14:textId="77777777" w:rsidR="00A503D8" w:rsidRDefault="00000000">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Gastroenterology</w:t>
      </w:r>
    </w:p>
    <w:p w14:paraId="728A07A5" w14:textId="77777777" w:rsidR="00A503D8" w:rsidRDefault="00000000">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81906</w:t>
      </w:r>
    </w:p>
    <w:p w14:paraId="345436FC" w14:textId="77777777" w:rsidR="00A503D8" w:rsidRDefault="00000000">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REVIEW</w:t>
      </w:r>
    </w:p>
    <w:p w14:paraId="1DCE26B5" w14:textId="77777777" w:rsidR="00A503D8" w:rsidRDefault="00A503D8">
      <w:pPr>
        <w:spacing w:line="360" w:lineRule="auto"/>
        <w:jc w:val="both"/>
        <w:rPr>
          <w:rFonts w:ascii="Book Antiqua" w:hAnsi="Book Antiqua"/>
        </w:rPr>
      </w:pPr>
    </w:p>
    <w:p w14:paraId="08AFBA56" w14:textId="77777777" w:rsidR="00A503D8" w:rsidRDefault="00000000">
      <w:pPr>
        <w:spacing w:line="360" w:lineRule="auto"/>
        <w:jc w:val="both"/>
        <w:rPr>
          <w:rFonts w:ascii="Book Antiqua" w:hAnsi="Book Antiqua"/>
        </w:rPr>
      </w:pPr>
      <w:r>
        <w:rPr>
          <w:rFonts w:ascii="Book Antiqua" w:eastAsia="Book Antiqua" w:hAnsi="Book Antiqua" w:cs="Book Antiqua"/>
          <w:b/>
          <w:bCs/>
          <w:color w:val="000000"/>
        </w:rPr>
        <w:t>Emerging role of non-invasive and liquid biopsy biomarkers in pancreatic cancer</w:t>
      </w:r>
    </w:p>
    <w:p w14:paraId="588C1AC8" w14:textId="77777777" w:rsidR="00A503D8" w:rsidRDefault="00A503D8">
      <w:pPr>
        <w:spacing w:line="360" w:lineRule="auto"/>
        <w:jc w:val="both"/>
        <w:rPr>
          <w:rFonts w:ascii="Book Antiqua" w:hAnsi="Book Antiqua"/>
        </w:rPr>
      </w:pPr>
    </w:p>
    <w:p w14:paraId="11EC4493" w14:textId="77777777" w:rsidR="00A503D8" w:rsidRDefault="00000000">
      <w:pPr>
        <w:spacing w:line="360" w:lineRule="auto"/>
        <w:jc w:val="both"/>
        <w:rPr>
          <w:rFonts w:ascii="Book Antiqua" w:hAnsi="Book Antiqua"/>
        </w:rPr>
      </w:pPr>
      <w:r>
        <w:rPr>
          <w:rFonts w:ascii="Book Antiqua" w:eastAsia="Book Antiqua" w:hAnsi="Book Antiqua" w:cs="Book Antiqua"/>
          <w:color w:val="000000"/>
        </w:rPr>
        <w:t xml:space="preserve">Bararia A </w:t>
      </w:r>
      <w:r>
        <w:rPr>
          <w:rFonts w:ascii="Book Antiqua" w:eastAsia="Book Antiqua" w:hAnsi="Book Antiqua" w:cs="Book Antiqua"/>
          <w:i/>
          <w:iCs/>
          <w:color w:val="000000"/>
        </w:rPr>
        <w:t>et al</w:t>
      </w:r>
      <w:r>
        <w:rPr>
          <w:rFonts w:ascii="Book Antiqua" w:eastAsia="Book Antiqua" w:hAnsi="Book Antiqua" w:cs="Book Antiqua"/>
          <w:color w:val="000000"/>
        </w:rPr>
        <w:t>. Cell free biomarkers in pancreatic diseases</w:t>
      </w:r>
    </w:p>
    <w:p w14:paraId="300F6DAE" w14:textId="77777777" w:rsidR="00A503D8" w:rsidRDefault="00A503D8">
      <w:pPr>
        <w:spacing w:line="360" w:lineRule="auto"/>
        <w:jc w:val="both"/>
        <w:rPr>
          <w:rFonts w:ascii="Book Antiqua" w:hAnsi="Book Antiqua"/>
        </w:rPr>
      </w:pPr>
    </w:p>
    <w:p w14:paraId="5AEF817A" w14:textId="77777777" w:rsidR="00A503D8" w:rsidRDefault="00000000">
      <w:pPr>
        <w:spacing w:line="360" w:lineRule="auto"/>
        <w:jc w:val="both"/>
        <w:rPr>
          <w:rFonts w:ascii="Book Antiqua" w:hAnsi="Book Antiqua"/>
        </w:rPr>
      </w:pPr>
      <w:r>
        <w:rPr>
          <w:rFonts w:ascii="Book Antiqua" w:eastAsia="Book Antiqua" w:hAnsi="Book Antiqua" w:cs="Book Antiqua"/>
          <w:color w:val="000000"/>
        </w:rPr>
        <w:t>Akash Bararia, Prosenjeet Chakraborty, Paromita Roy, Bitan Kumar Chattopadhay, Amlan Das, Aniruddha Chatterjee, Nilabja Sikdar</w:t>
      </w:r>
    </w:p>
    <w:p w14:paraId="31471A49" w14:textId="77777777" w:rsidR="00A503D8" w:rsidRDefault="00A503D8">
      <w:pPr>
        <w:spacing w:line="360" w:lineRule="auto"/>
        <w:jc w:val="both"/>
        <w:rPr>
          <w:rFonts w:ascii="Book Antiqua" w:hAnsi="Book Antiqua"/>
        </w:rPr>
      </w:pPr>
    </w:p>
    <w:p w14:paraId="0FC82AC1" w14:textId="77777777" w:rsidR="00A503D8" w:rsidRDefault="00000000">
      <w:pPr>
        <w:spacing w:line="360" w:lineRule="auto"/>
        <w:jc w:val="both"/>
        <w:rPr>
          <w:rFonts w:ascii="Book Antiqua" w:hAnsi="Book Antiqua"/>
        </w:rPr>
      </w:pPr>
      <w:r>
        <w:rPr>
          <w:rFonts w:ascii="Book Antiqua" w:eastAsia="Book Antiqua" w:hAnsi="Book Antiqua" w:cs="Book Antiqua"/>
          <w:b/>
          <w:bCs/>
          <w:color w:val="000000"/>
        </w:rPr>
        <w:t xml:space="preserve">Akash Bararia, Nilabja Sikdar, </w:t>
      </w:r>
      <w:r>
        <w:rPr>
          <w:rFonts w:ascii="Book Antiqua" w:eastAsia="Book Antiqua" w:hAnsi="Book Antiqua" w:cs="Book Antiqua"/>
          <w:color w:val="000000"/>
        </w:rPr>
        <w:t>Human Genetics Unit, Indian Statistical Institute, Kolkata 700108, India</w:t>
      </w:r>
    </w:p>
    <w:p w14:paraId="0D1CE57D" w14:textId="77777777" w:rsidR="00A503D8" w:rsidRDefault="00A503D8">
      <w:pPr>
        <w:spacing w:line="360" w:lineRule="auto"/>
        <w:jc w:val="both"/>
        <w:rPr>
          <w:rFonts w:ascii="Book Antiqua" w:hAnsi="Book Antiqua"/>
        </w:rPr>
      </w:pPr>
    </w:p>
    <w:p w14:paraId="289CA8CE" w14:textId="77777777" w:rsidR="00A503D8" w:rsidRDefault="00000000">
      <w:pPr>
        <w:spacing w:line="360" w:lineRule="auto"/>
        <w:jc w:val="both"/>
        <w:rPr>
          <w:rFonts w:ascii="Book Antiqua" w:hAnsi="Book Antiqua"/>
        </w:rPr>
      </w:pPr>
      <w:r>
        <w:rPr>
          <w:rFonts w:ascii="Book Antiqua" w:eastAsia="Book Antiqua" w:hAnsi="Book Antiqua" w:cs="Book Antiqua"/>
          <w:b/>
          <w:bCs/>
          <w:color w:val="000000"/>
        </w:rPr>
        <w:t>Pr</w:t>
      </w:r>
      <w:r>
        <w:rPr>
          <w:rFonts w:ascii="Book Antiqua" w:hAnsi="Book Antiqua" w:cs="Book Antiqua"/>
          <w:b/>
          <w:bCs/>
          <w:color w:val="000000"/>
          <w:lang w:eastAsia="zh-CN"/>
        </w:rPr>
        <w:t>o</w:t>
      </w:r>
      <w:r>
        <w:rPr>
          <w:rFonts w:ascii="Book Antiqua" w:eastAsia="Book Antiqua" w:hAnsi="Book Antiqua" w:cs="Book Antiqua"/>
          <w:b/>
          <w:bCs/>
          <w:color w:val="000000"/>
        </w:rPr>
        <w:t xml:space="preserve">senjeet Chakraborty, </w:t>
      </w:r>
      <w:r>
        <w:rPr>
          <w:rFonts w:ascii="Book Antiqua" w:eastAsia="Book Antiqua" w:hAnsi="Book Antiqua" w:cs="Book Antiqua"/>
          <w:color w:val="000000"/>
        </w:rPr>
        <w:t>Department of Molecular Biosciences, SVYASA School of Yoga and Naturopathy, Bangalore 560105, India</w:t>
      </w:r>
    </w:p>
    <w:p w14:paraId="1D04A9C0" w14:textId="77777777" w:rsidR="00A503D8" w:rsidRDefault="00A503D8">
      <w:pPr>
        <w:spacing w:line="360" w:lineRule="auto"/>
        <w:jc w:val="both"/>
        <w:rPr>
          <w:rFonts w:ascii="Book Antiqua" w:hAnsi="Book Antiqua"/>
        </w:rPr>
      </w:pPr>
    </w:p>
    <w:p w14:paraId="56F0E618" w14:textId="77777777" w:rsidR="00A503D8" w:rsidRDefault="00000000">
      <w:pPr>
        <w:spacing w:line="360" w:lineRule="auto"/>
        <w:jc w:val="both"/>
        <w:rPr>
          <w:rFonts w:ascii="Book Antiqua" w:hAnsi="Book Antiqua"/>
        </w:rPr>
      </w:pPr>
      <w:r>
        <w:rPr>
          <w:rFonts w:ascii="Book Antiqua" w:eastAsia="Book Antiqua" w:hAnsi="Book Antiqua" w:cs="Book Antiqua"/>
          <w:b/>
          <w:bCs/>
          <w:color w:val="000000"/>
        </w:rPr>
        <w:t xml:space="preserve">Paromita Roy, </w:t>
      </w:r>
      <w:r>
        <w:rPr>
          <w:rFonts w:ascii="Book Antiqua" w:eastAsia="Book Antiqua" w:hAnsi="Book Antiqua" w:cs="Book Antiqua"/>
          <w:color w:val="000000"/>
        </w:rPr>
        <w:t>Department of Pathology, Tata Medical Center, Kolkata 700160, India</w:t>
      </w:r>
    </w:p>
    <w:p w14:paraId="72B7FB29" w14:textId="77777777" w:rsidR="00A503D8" w:rsidRDefault="00A503D8">
      <w:pPr>
        <w:spacing w:line="360" w:lineRule="auto"/>
        <w:jc w:val="both"/>
        <w:rPr>
          <w:rFonts w:ascii="Book Antiqua" w:hAnsi="Book Antiqua"/>
        </w:rPr>
      </w:pPr>
    </w:p>
    <w:p w14:paraId="172B48EF" w14:textId="77777777" w:rsidR="00A503D8" w:rsidRDefault="00000000">
      <w:pPr>
        <w:spacing w:line="360" w:lineRule="auto"/>
        <w:jc w:val="both"/>
        <w:rPr>
          <w:rFonts w:ascii="Book Antiqua" w:hAnsi="Book Antiqua"/>
        </w:rPr>
      </w:pPr>
      <w:r>
        <w:rPr>
          <w:rFonts w:ascii="Book Antiqua" w:eastAsia="Book Antiqua" w:hAnsi="Book Antiqua" w:cs="Book Antiqua"/>
          <w:b/>
          <w:bCs/>
          <w:color w:val="000000"/>
        </w:rPr>
        <w:t xml:space="preserve">Bitan Kumar Chattopadhay, </w:t>
      </w:r>
      <w:r>
        <w:rPr>
          <w:rFonts w:ascii="Book Antiqua" w:eastAsia="Book Antiqua" w:hAnsi="Book Antiqua" w:cs="Book Antiqua"/>
          <w:color w:val="000000"/>
        </w:rPr>
        <w:t>Department of General Surgery, IPGMER &amp; SSKM Hospital, Kolkata 700020, India</w:t>
      </w:r>
    </w:p>
    <w:p w14:paraId="7299C82C" w14:textId="77777777" w:rsidR="00A503D8" w:rsidRDefault="00A503D8">
      <w:pPr>
        <w:spacing w:line="360" w:lineRule="auto"/>
        <w:jc w:val="both"/>
        <w:rPr>
          <w:rFonts w:ascii="Book Antiqua" w:hAnsi="Book Antiqua"/>
        </w:rPr>
      </w:pPr>
    </w:p>
    <w:p w14:paraId="10A1278A" w14:textId="77777777" w:rsidR="00A503D8" w:rsidRDefault="00000000">
      <w:pPr>
        <w:spacing w:line="360" w:lineRule="auto"/>
        <w:jc w:val="both"/>
        <w:rPr>
          <w:rFonts w:ascii="Book Antiqua" w:hAnsi="Book Antiqua"/>
        </w:rPr>
      </w:pPr>
      <w:r>
        <w:rPr>
          <w:rFonts w:ascii="Book Antiqua" w:eastAsia="Book Antiqua" w:hAnsi="Book Antiqua" w:cs="Book Antiqua"/>
          <w:b/>
          <w:bCs/>
          <w:color w:val="000000"/>
        </w:rPr>
        <w:t xml:space="preserve">Amlan Das, </w:t>
      </w:r>
      <w:r>
        <w:rPr>
          <w:rFonts w:ascii="Book Antiqua" w:eastAsia="Book Antiqua" w:hAnsi="Book Antiqua" w:cs="Book Antiqua"/>
          <w:color w:val="000000"/>
        </w:rPr>
        <w:t>Department of Biochemistry, Royal Global University, Assam 781035, India</w:t>
      </w:r>
    </w:p>
    <w:p w14:paraId="11768DD0" w14:textId="77777777" w:rsidR="00A503D8" w:rsidRDefault="00A503D8">
      <w:pPr>
        <w:spacing w:line="360" w:lineRule="auto"/>
        <w:jc w:val="both"/>
        <w:rPr>
          <w:rFonts w:ascii="Book Antiqua" w:hAnsi="Book Antiqua"/>
        </w:rPr>
      </w:pPr>
    </w:p>
    <w:p w14:paraId="0C2B0C47" w14:textId="77777777" w:rsidR="00A503D8" w:rsidRDefault="00000000">
      <w:pPr>
        <w:spacing w:line="360" w:lineRule="auto"/>
        <w:jc w:val="both"/>
        <w:rPr>
          <w:rFonts w:ascii="Book Antiqua" w:hAnsi="Book Antiqua"/>
        </w:rPr>
      </w:pPr>
      <w:r>
        <w:rPr>
          <w:rFonts w:ascii="Book Antiqua" w:eastAsia="Book Antiqua" w:hAnsi="Book Antiqua" w:cs="Book Antiqua"/>
          <w:b/>
          <w:bCs/>
          <w:color w:val="000000"/>
        </w:rPr>
        <w:t xml:space="preserve">Aniruddha Chatterjee, </w:t>
      </w:r>
      <w:r>
        <w:rPr>
          <w:rFonts w:ascii="Book Antiqua" w:eastAsia="Book Antiqua" w:hAnsi="Book Antiqua" w:cs="Book Antiqua"/>
          <w:color w:val="000000"/>
        </w:rPr>
        <w:t>Department of Pathology, Dunedin School of Medicine, University of Otago, Dunedin 9061, New Zealand</w:t>
      </w:r>
    </w:p>
    <w:p w14:paraId="6A82BD9B" w14:textId="77777777" w:rsidR="00A503D8" w:rsidRDefault="00A503D8">
      <w:pPr>
        <w:spacing w:line="360" w:lineRule="auto"/>
        <w:jc w:val="both"/>
        <w:rPr>
          <w:rFonts w:ascii="Book Antiqua" w:hAnsi="Book Antiqua"/>
        </w:rPr>
      </w:pPr>
    </w:p>
    <w:p w14:paraId="34B0DDE4" w14:textId="77777777" w:rsidR="00A503D8" w:rsidRDefault="00000000">
      <w:pPr>
        <w:spacing w:line="360" w:lineRule="auto"/>
        <w:jc w:val="both"/>
        <w:rPr>
          <w:rFonts w:ascii="Book Antiqua" w:hAnsi="Book Antiqua"/>
        </w:rPr>
      </w:pPr>
      <w:r>
        <w:rPr>
          <w:rFonts w:ascii="Book Antiqua" w:eastAsia="Book Antiqua" w:hAnsi="Book Antiqua" w:cs="Book Antiqua"/>
          <w:b/>
          <w:bCs/>
          <w:color w:val="000000"/>
        </w:rPr>
        <w:t xml:space="preserve">Aniruddha Chatterjee, </w:t>
      </w:r>
      <w:r>
        <w:rPr>
          <w:rFonts w:ascii="Book Antiqua" w:eastAsia="Book Antiqua" w:hAnsi="Book Antiqua" w:cs="Book Antiqua"/>
          <w:color w:val="000000"/>
        </w:rPr>
        <w:t>School of Health Sciences and Technology, University of Petroleum and Energy Studies, Dehradun 248007, India</w:t>
      </w:r>
    </w:p>
    <w:p w14:paraId="003D53F7" w14:textId="77777777" w:rsidR="00A503D8" w:rsidRDefault="00A503D8">
      <w:pPr>
        <w:spacing w:line="360" w:lineRule="auto"/>
        <w:jc w:val="both"/>
        <w:rPr>
          <w:rFonts w:ascii="Book Antiqua" w:hAnsi="Book Antiqua"/>
        </w:rPr>
      </w:pPr>
    </w:p>
    <w:p w14:paraId="4BCADFEE" w14:textId="0382AE98" w:rsidR="00A503D8" w:rsidRDefault="00000000">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Bararia A and Chakraborty P wrote the first draft of the paper and constructed the flow chart and tables; Chatterjee A, Roy P, Chattopadhay B K, Das A and Sikdar N provided valuable input, suggestions, comments and guidance while writing the review manuscript and contributed to proofreading and editing; Sikdar N constructed, wrote, conceptualized, and edited the review manuscript.</w:t>
      </w:r>
    </w:p>
    <w:p w14:paraId="40FD85F4" w14:textId="77777777" w:rsidR="00A503D8" w:rsidRDefault="00A503D8">
      <w:pPr>
        <w:spacing w:line="360" w:lineRule="auto"/>
        <w:jc w:val="both"/>
        <w:rPr>
          <w:rFonts w:ascii="Book Antiqua" w:hAnsi="Book Antiqua"/>
        </w:rPr>
      </w:pPr>
    </w:p>
    <w:p w14:paraId="5908B75B" w14:textId="77777777" w:rsidR="00A503D8" w:rsidRDefault="00000000">
      <w:pPr>
        <w:spacing w:line="360" w:lineRule="auto"/>
        <w:jc w:val="both"/>
        <w:rPr>
          <w:rFonts w:ascii="Book Antiqua" w:hAnsi="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the Department of Biotechnology, Government of India Grant Sanction</w:t>
      </w:r>
      <w:r>
        <w:rPr>
          <w:rFonts w:ascii="Book Antiqua" w:eastAsia="宋体" w:hAnsi="Book Antiqua" w:cs="宋体"/>
          <w:color w:val="000000"/>
          <w:lang w:eastAsia="zh-CN"/>
        </w:rPr>
        <w:t>,</w:t>
      </w:r>
      <w:r>
        <w:rPr>
          <w:rFonts w:ascii="Book Antiqua" w:eastAsia="Book Antiqua" w:hAnsi="Book Antiqua" w:cs="Book Antiqua"/>
          <w:color w:val="000000"/>
        </w:rPr>
        <w:t xml:space="preserve"> Ramalingaswami Re-entry Fellowship, No. RLS/BT/Re-entry/05/2012.</w:t>
      </w:r>
    </w:p>
    <w:p w14:paraId="3E6F1678" w14:textId="77777777" w:rsidR="00A503D8" w:rsidRDefault="00A503D8">
      <w:pPr>
        <w:spacing w:line="360" w:lineRule="auto"/>
        <w:jc w:val="both"/>
        <w:rPr>
          <w:rFonts w:ascii="Book Antiqua" w:hAnsi="Book Antiqua"/>
        </w:rPr>
      </w:pPr>
    </w:p>
    <w:p w14:paraId="46BDCF76" w14:textId="77777777" w:rsidR="00A503D8" w:rsidRDefault="00000000">
      <w:pPr>
        <w:spacing w:line="360" w:lineRule="auto"/>
        <w:jc w:val="both"/>
        <w:rPr>
          <w:rFonts w:ascii="Book Antiqua" w:hAnsi="Book Antiqua"/>
        </w:rPr>
      </w:pPr>
      <w:r>
        <w:rPr>
          <w:rFonts w:ascii="Book Antiqua" w:eastAsia="Book Antiqua" w:hAnsi="Book Antiqua" w:cs="Book Antiqua"/>
          <w:b/>
          <w:bCs/>
          <w:color w:val="000000"/>
        </w:rPr>
        <w:t xml:space="preserve">Corresponding author: Nilabja Sikdar, PhD, Research Scientist, Doctor, </w:t>
      </w:r>
      <w:r>
        <w:rPr>
          <w:rFonts w:ascii="Book Antiqua" w:eastAsia="Book Antiqua" w:hAnsi="Book Antiqua" w:cs="Book Antiqua"/>
          <w:color w:val="000000"/>
        </w:rPr>
        <w:t>Human Genetics Unit, Indian Statistical Institute, 203, B.T. Road</w:t>
      </w:r>
      <w:r>
        <w:rPr>
          <w:rFonts w:ascii="Book Antiqua" w:eastAsia="宋体" w:hAnsi="Book Antiqua" w:cs="宋体"/>
          <w:color w:val="000000"/>
          <w:lang w:eastAsia="zh-CN"/>
        </w:rPr>
        <w:t>,</w:t>
      </w:r>
      <w:r>
        <w:rPr>
          <w:rFonts w:ascii="Book Antiqua" w:eastAsia="Book Antiqua" w:hAnsi="Book Antiqua" w:cs="Book Antiqua"/>
          <w:color w:val="000000"/>
        </w:rPr>
        <w:t xml:space="preserve"> Kolkata 700108, India. snilabja@isical.ac.in</w:t>
      </w:r>
    </w:p>
    <w:p w14:paraId="7ACCC1D9" w14:textId="77777777" w:rsidR="00A503D8" w:rsidRDefault="00A503D8">
      <w:pPr>
        <w:spacing w:line="360" w:lineRule="auto"/>
        <w:jc w:val="both"/>
        <w:rPr>
          <w:rFonts w:ascii="Book Antiqua" w:hAnsi="Book Antiqua"/>
        </w:rPr>
      </w:pPr>
    </w:p>
    <w:p w14:paraId="1C3595D3" w14:textId="77777777" w:rsidR="00A503D8" w:rsidRDefault="00000000">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November 28, 2022</w:t>
      </w:r>
    </w:p>
    <w:p w14:paraId="4EC17A05" w14:textId="77777777" w:rsidR="00A503D8" w:rsidRDefault="00000000">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rPr>
        <w:t>February 2, 2023</w:t>
      </w:r>
    </w:p>
    <w:p w14:paraId="6F72FEC2" w14:textId="77777777" w:rsidR="00A503D8" w:rsidRPr="002A39AF" w:rsidRDefault="00000000">
      <w:pPr>
        <w:spacing w:line="360" w:lineRule="auto"/>
        <w:jc w:val="both"/>
        <w:rPr>
          <w:rFonts w:ascii="Book Antiqua" w:eastAsia="Book Antiqua" w:hAnsi="Book Antiqua" w:cs="Book Antiqua"/>
        </w:rPr>
      </w:pPr>
      <w:r>
        <w:rPr>
          <w:rFonts w:ascii="Book Antiqua" w:eastAsia="Book Antiqua" w:hAnsi="Book Antiqua" w:cs="Book Antiqua"/>
          <w:b/>
          <w:bCs/>
        </w:rPr>
        <w:t xml:space="preserve">Accepted: </w:t>
      </w:r>
      <w:r w:rsidRPr="002A39AF">
        <w:rPr>
          <w:rFonts w:ascii="Book Antiqua" w:eastAsia="Book Antiqua" w:hAnsi="Book Antiqua" w:cs="Book Antiqua"/>
        </w:rPr>
        <w:t>March 15, 2023</w:t>
      </w:r>
    </w:p>
    <w:p w14:paraId="29A45CBA" w14:textId="546AA5BC" w:rsidR="00A503D8" w:rsidRDefault="00000000">
      <w:pPr>
        <w:spacing w:line="360" w:lineRule="auto"/>
        <w:jc w:val="both"/>
        <w:rPr>
          <w:rFonts w:ascii="Book Antiqua" w:hAnsi="Book Antiqua"/>
        </w:rPr>
      </w:pPr>
      <w:r>
        <w:rPr>
          <w:rFonts w:ascii="Book Antiqua" w:eastAsia="Book Antiqua" w:hAnsi="Book Antiqua" w:cs="Book Antiqua"/>
          <w:b/>
          <w:bCs/>
        </w:rPr>
        <w:t xml:space="preserve">Published online: </w:t>
      </w:r>
      <w:r w:rsidR="003B4983">
        <w:rPr>
          <w:rFonts w:ascii="Book Antiqua" w:hAnsi="Book Antiqua"/>
          <w:color w:val="000000"/>
          <w:shd w:val="clear" w:color="auto" w:fill="FFFFFF"/>
        </w:rPr>
        <w:t>April 21</w:t>
      </w:r>
      <w:r w:rsidR="003B4983">
        <w:rPr>
          <w:rFonts w:ascii="Book Antiqua" w:eastAsia="Microsoft YaHei UI" w:hAnsi="Book Antiqua" w:hint="eastAsia"/>
          <w:color w:val="000000"/>
        </w:rPr>
        <w:t>,</w:t>
      </w:r>
      <w:r w:rsidR="003B4983">
        <w:rPr>
          <w:rFonts w:ascii="Book Antiqua" w:eastAsia="Microsoft YaHei UI" w:hAnsi="Book Antiqua"/>
          <w:color w:val="000000"/>
        </w:rPr>
        <w:t xml:space="preserve"> 2023</w:t>
      </w:r>
    </w:p>
    <w:p w14:paraId="218615FA" w14:textId="77777777" w:rsidR="00A503D8" w:rsidRDefault="00A503D8">
      <w:pPr>
        <w:spacing w:line="360" w:lineRule="auto"/>
        <w:jc w:val="both"/>
        <w:rPr>
          <w:rFonts w:ascii="Book Antiqua" w:hAnsi="Book Antiqua"/>
        </w:rPr>
      </w:pPr>
    </w:p>
    <w:p w14:paraId="3BB15656" w14:textId="77777777" w:rsidR="00A503D8" w:rsidRDefault="00000000">
      <w:pPr>
        <w:spacing w:line="360" w:lineRule="auto"/>
        <w:jc w:val="both"/>
        <w:rPr>
          <w:rFonts w:ascii="Book Antiqua" w:hAnsi="Book Antiqua"/>
        </w:rPr>
      </w:pPr>
      <w:r>
        <w:rPr>
          <w:rFonts w:ascii="Book Antiqua" w:eastAsia="Book Antiqua" w:hAnsi="Book Antiqua" w:cs="Book Antiqua"/>
          <w:b/>
          <w:color w:val="000000"/>
        </w:rPr>
        <w:t>Abstract</w:t>
      </w:r>
    </w:p>
    <w:p w14:paraId="1D49F83D" w14:textId="58FAB140" w:rsidR="00A503D8" w:rsidRDefault="00000000">
      <w:pPr>
        <w:spacing w:line="360" w:lineRule="auto"/>
        <w:jc w:val="both"/>
        <w:rPr>
          <w:rFonts w:ascii="Book Antiqua" w:hAnsi="Book Antiqua"/>
        </w:rPr>
      </w:pPr>
      <w:r>
        <w:rPr>
          <w:rFonts w:ascii="Book Antiqua" w:eastAsia="Book Antiqua" w:hAnsi="Book Antiqua" w:cs="Book Antiqua"/>
          <w:color w:val="000000"/>
        </w:rPr>
        <w:t xml:space="preserve">A global increase in the incidence of pancreatic cancer (PanCa) presents a major concern and health burden. The traditional tissue-based diagnostic techniques provided a major way forward for molecular diagnostics; however, they face limitations based on diagnosis-associated difficulties and concerns surrounding tissue availability in the clinical setting. Late disease development with asymptomatic behavior is a drawback in the case of existing diagnostic procedures. The capability of cell free markers in discriminating PanCa from autoimmune pancreatitis and chronic pancreatitis along with other precancerous lesions can be a boon to clinicians. Early-stage diagnosis of PanCa can be achieved only if these biomarkers specifically discriminate the non-carcinogenic </w:t>
      </w:r>
      <w:r>
        <w:rPr>
          <w:rFonts w:ascii="Book Antiqua" w:eastAsia="Book Antiqua" w:hAnsi="Book Antiqua" w:cs="Book Antiqua"/>
          <w:color w:val="000000"/>
        </w:rPr>
        <w:lastRenderedPageBreak/>
        <w:t>disease stage from malignancy with respect to tumor stages. In this review, we comprehensively described the non-invasive disease detection approaches and why these approaches are gaining popularity for their early-stage diagnostic capability and associated clinical feasibility.</w:t>
      </w:r>
    </w:p>
    <w:p w14:paraId="39C4EB37" w14:textId="77777777" w:rsidR="00A503D8" w:rsidRDefault="00A503D8">
      <w:pPr>
        <w:spacing w:line="360" w:lineRule="auto"/>
        <w:jc w:val="both"/>
        <w:rPr>
          <w:rFonts w:ascii="Book Antiqua" w:hAnsi="Book Antiqua"/>
        </w:rPr>
      </w:pPr>
    </w:p>
    <w:p w14:paraId="52807984" w14:textId="77777777" w:rsidR="00A503D8" w:rsidRDefault="00000000">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color w:val="000000"/>
        </w:rPr>
        <w:t>Non-invasive biomarkers; Cell free biomarkers; Proteomic biomarkers; Liquid biopsy-based diagnostics; P</w:t>
      </w:r>
      <w:r>
        <w:rPr>
          <w:rFonts w:ascii="Book Antiqua" w:eastAsia="Book Antiqua" w:hAnsi="Book Antiqua" w:cs="Book Antiqua"/>
        </w:rPr>
        <w:t>ancreatic cancer</w:t>
      </w:r>
      <w:r>
        <w:rPr>
          <w:rFonts w:ascii="Book Antiqua" w:eastAsia="Book Antiqua" w:hAnsi="Book Antiqua" w:cs="Book Antiqua"/>
          <w:color w:val="000000"/>
        </w:rPr>
        <w:t xml:space="preserve"> biomarkers</w:t>
      </w:r>
    </w:p>
    <w:p w14:paraId="25C2A34F" w14:textId="77777777" w:rsidR="00A503D8" w:rsidRDefault="00A503D8">
      <w:pPr>
        <w:spacing w:line="360" w:lineRule="auto"/>
        <w:jc w:val="both"/>
        <w:rPr>
          <w:rFonts w:ascii="Book Antiqua" w:hAnsi="Book Antiqua"/>
        </w:rPr>
      </w:pPr>
    </w:p>
    <w:p w14:paraId="3BF4159D" w14:textId="677E9C7E" w:rsidR="00AA31B1" w:rsidRDefault="00AA31B1" w:rsidP="00AA31B1">
      <w:pPr>
        <w:spacing w:line="360" w:lineRule="auto"/>
        <w:rPr>
          <w:rFonts w:ascii="Book Antiqua" w:eastAsia="Book Antiqua" w:hAnsi="Book Antiqua" w:cs="Book Antiqua"/>
          <w:color w:val="000000"/>
        </w:rPr>
      </w:pPr>
      <w:bookmarkStart w:id="0" w:name="_Hlk132204887"/>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bookmarkEnd w:id="0"/>
    <w:p w14:paraId="45C38292" w14:textId="77777777" w:rsidR="00AA31B1" w:rsidRDefault="00AA31B1">
      <w:pPr>
        <w:spacing w:line="360" w:lineRule="auto"/>
        <w:jc w:val="both"/>
        <w:rPr>
          <w:rFonts w:ascii="Book Antiqua" w:hAnsi="Book Antiqua"/>
        </w:rPr>
      </w:pPr>
    </w:p>
    <w:p w14:paraId="12AF50AF" w14:textId="5DFE7BB1" w:rsidR="00AA31B1" w:rsidRDefault="00AA31B1">
      <w:pPr>
        <w:spacing w:line="360" w:lineRule="auto"/>
        <w:jc w:val="both"/>
        <w:rPr>
          <w:rFonts w:ascii="Book Antiqua" w:eastAsia="Book Antiqua" w:hAnsi="Book Antiqua" w:cs="Book Antiqua"/>
        </w:rPr>
      </w:pPr>
      <w:r w:rsidRPr="004F5D5D">
        <w:rPr>
          <w:rFonts w:ascii="Book Antiqua" w:hAnsi="Book Antiqua"/>
          <w:b/>
          <w:bCs/>
        </w:rPr>
        <w:t>Citation:</w:t>
      </w:r>
      <w:r>
        <w:rPr>
          <w:rFonts w:ascii="Book Antiqua" w:hAnsi="Book Antiqua"/>
          <w:b/>
          <w:bCs/>
        </w:rPr>
        <w:t xml:space="preserve"> </w:t>
      </w:r>
      <w:r>
        <w:rPr>
          <w:rFonts w:ascii="Book Antiqua" w:eastAsia="Book Antiqua" w:hAnsi="Book Antiqua" w:cs="Book Antiqua"/>
        </w:rPr>
        <w:t xml:space="preserve">Bararia A, Chakraborty P, Roy P, Chattopadhay BK, Das A, Chatterjee A, Sikdar N. Emerging role of non-invasive and liquid biopsy biomarkers in pancreatic cancer. </w:t>
      </w:r>
      <w:r>
        <w:rPr>
          <w:rFonts w:ascii="Book Antiqua" w:eastAsia="Book Antiqua" w:hAnsi="Book Antiqua" w:cs="Book Antiqua"/>
          <w:i/>
          <w:iCs/>
        </w:rPr>
        <w:t>World J Gastroenterol</w:t>
      </w:r>
      <w:r>
        <w:rPr>
          <w:rFonts w:ascii="Book Antiqua" w:eastAsia="Book Antiqua" w:hAnsi="Book Antiqua" w:cs="Book Antiqua"/>
        </w:rPr>
        <w:t xml:space="preserve"> 2023; </w:t>
      </w:r>
      <w:r w:rsidR="003064A2" w:rsidRPr="003064A2">
        <w:rPr>
          <w:rFonts w:ascii="Book Antiqua" w:eastAsia="Book Antiqua" w:hAnsi="Book Antiqua" w:cs="Book Antiqua"/>
        </w:rPr>
        <w:t xml:space="preserve">29(15): </w:t>
      </w:r>
      <w:r>
        <w:rPr>
          <w:rFonts w:ascii="Book Antiqua" w:eastAsia="Book Antiqua" w:hAnsi="Book Antiqua" w:cs="Book Antiqua"/>
        </w:rPr>
        <w:t>2241</w:t>
      </w:r>
      <w:r w:rsidR="003064A2" w:rsidRPr="003064A2">
        <w:rPr>
          <w:rFonts w:ascii="Book Antiqua" w:eastAsia="Book Antiqua" w:hAnsi="Book Antiqua" w:cs="Book Antiqua"/>
        </w:rPr>
        <w:t>-</w:t>
      </w:r>
      <w:r>
        <w:rPr>
          <w:rFonts w:ascii="Book Antiqua" w:eastAsia="Book Antiqua" w:hAnsi="Book Antiqua" w:cs="Book Antiqua"/>
        </w:rPr>
        <w:t>2260</w:t>
      </w:r>
      <w:r w:rsidR="003064A2" w:rsidRPr="003064A2">
        <w:rPr>
          <w:rFonts w:ascii="Book Antiqua" w:eastAsia="Book Antiqua" w:hAnsi="Book Antiqua" w:cs="Book Antiqua"/>
        </w:rPr>
        <w:t xml:space="preserve">  </w:t>
      </w:r>
    </w:p>
    <w:p w14:paraId="097E28BE" w14:textId="4116FCA7" w:rsidR="00AA31B1" w:rsidRDefault="003064A2">
      <w:pPr>
        <w:spacing w:line="360" w:lineRule="auto"/>
        <w:jc w:val="both"/>
        <w:rPr>
          <w:rFonts w:ascii="Book Antiqua" w:eastAsia="Book Antiqua" w:hAnsi="Book Antiqua" w:cs="Book Antiqua"/>
        </w:rPr>
      </w:pPr>
      <w:r w:rsidRPr="00AA31B1">
        <w:rPr>
          <w:rFonts w:ascii="Book Antiqua" w:eastAsia="Book Antiqua" w:hAnsi="Book Antiqua" w:cs="Book Antiqua"/>
          <w:b/>
          <w:bCs/>
        </w:rPr>
        <w:t>URL:</w:t>
      </w:r>
      <w:r w:rsidRPr="003064A2">
        <w:rPr>
          <w:rFonts w:ascii="Book Antiqua" w:eastAsia="Book Antiqua" w:hAnsi="Book Antiqua" w:cs="Book Antiqua"/>
        </w:rPr>
        <w:t xml:space="preserve"> https://www.wjgnet.com/1007-9327/full/v29/i15/</w:t>
      </w:r>
      <w:r w:rsidR="00AA31B1">
        <w:rPr>
          <w:rFonts w:ascii="Book Antiqua" w:eastAsia="Book Antiqua" w:hAnsi="Book Antiqua" w:cs="Book Antiqua"/>
        </w:rPr>
        <w:t>2241</w:t>
      </w:r>
      <w:r w:rsidRPr="003064A2">
        <w:rPr>
          <w:rFonts w:ascii="Book Antiqua" w:eastAsia="Book Antiqua" w:hAnsi="Book Antiqua" w:cs="Book Antiqua"/>
        </w:rPr>
        <w:t xml:space="preserve">.htm  </w:t>
      </w:r>
    </w:p>
    <w:p w14:paraId="36FFC5D2" w14:textId="39B30DB2" w:rsidR="00A503D8" w:rsidRDefault="003064A2">
      <w:pPr>
        <w:spacing w:line="360" w:lineRule="auto"/>
        <w:jc w:val="both"/>
        <w:rPr>
          <w:rFonts w:ascii="Book Antiqua" w:hAnsi="Book Antiqua"/>
        </w:rPr>
      </w:pPr>
      <w:r w:rsidRPr="00AA31B1">
        <w:rPr>
          <w:rFonts w:ascii="Book Antiqua" w:eastAsia="Book Antiqua" w:hAnsi="Book Antiqua" w:cs="Book Antiqua"/>
          <w:b/>
          <w:bCs/>
        </w:rPr>
        <w:t>DOI:</w:t>
      </w:r>
      <w:r w:rsidRPr="003064A2">
        <w:rPr>
          <w:rFonts w:ascii="Book Antiqua" w:eastAsia="Book Antiqua" w:hAnsi="Book Antiqua" w:cs="Book Antiqua"/>
        </w:rPr>
        <w:t xml:space="preserve"> https://dx.doi.org/10.3748/wjg.v29.i15.</w:t>
      </w:r>
      <w:r w:rsidR="00AA31B1">
        <w:rPr>
          <w:rFonts w:ascii="Book Antiqua" w:eastAsia="Book Antiqua" w:hAnsi="Book Antiqua" w:cs="Book Antiqua"/>
        </w:rPr>
        <w:t>2241</w:t>
      </w:r>
    </w:p>
    <w:p w14:paraId="0D54E501" w14:textId="77777777" w:rsidR="00A503D8" w:rsidRDefault="00A503D8">
      <w:pPr>
        <w:spacing w:line="360" w:lineRule="auto"/>
        <w:jc w:val="both"/>
        <w:rPr>
          <w:rFonts w:ascii="Book Antiqua" w:hAnsi="Book Antiqua"/>
        </w:rPr>
      </w:pPr>
    </w:p>
    <w:p w14:paraId="0CE2176E" w14:textId="64CE93D5" w:rsidR="00A503D8" w:rsidRDefault="00000000">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color w:val="000000"/>
        </w:rPr>
        <w:t>Considering the limited commercial availability of cell free nucleic acids and secreted proteome-based non-invasive biomarkers it is crucial to summarize them for the proper diagnosis of pancreatic cancer and distinguish it from other benign pancreatic diseases. We also highlighted the clinical use of these non-invasive biomarkers in diagnostics. This review will successfully guide readers to address the current issues and aid in the cutting-edge development of biomarkers with higher sensitivity and specificity.</w:t>
      </w:r>
    </w:p>
    <w:p w14:paraId="58A9960D" w14:textId="640A3AD4" w:rsidR="00A503D8" w:rsidRDefault="00A503D8">
      <w:pPr>
        <w:spacing w:line="360" w:lineRule="auto"/>
        <w:jc w:val="both"/>
        <w:rPr>
          <w:rFonts w:ascii="Book Antiqua" w:hAnsi="Book Antiqua"/>
        </w:rPr>
      </w:pPr>
    </w:p>
    <w:p w14:paraId="7CEE484F" w14:textId="77777777" w:rsidR="00A503D8" w:rsidRDefault="00000000">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5C590BDD" w14:textId="1883A721" w:rsidR="00A503D8"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global population is severely burdened by the increase in multiple types of cancer. Cancer-related incidence and its associated mortality have emerged as a major threat to global health in developed countries, like the United States, European countries, Canada, and Australia, and developing as well as under-developed countries including India and </w:t>
      </w:r>
      <w:r>
        <w:rPr>
          <w:rFonts w:ascii="Book Antiqua" w:eastAsia="Book Antiqua" w:hAnsi="Book Antiqua" w:cs="Book Antiqua"/>
          <w:color w:val="000000"/>
        </w:rPr>
        <w:lastRenderedPageBreak/>
        <w:t>Southeast Asian countries. Pancreatic cancer (PanCa) is a deadly and emerging type of cancer because of its associated poor survival. Only 20% of patients are eligible for surgery due to the physiologically deep-rooted location and the generalized symptoms caused by the close proximity to crucial vessels. In 2022, the estimated new incidences in the United States alone are 62210 (male) and 32970 (female), and the estimated deaths associated with PanCa are 25970 males and 23860 females.</w:t>
      </w:r>
    </w:p>
    <w:p w14:paraId="5F28FF37" w14:textId="13B7BE6E" w:rsidR="00A503D8" w:rsidRDefault="00000000" w:rsidP="002A39AF">
      <w:pPr>
        <w:spacing w:line="360" w:lineRule="auto"/>
        <w:ind w:firstLine="450"/>
        <w:jc w:val="both"/>
        <w:rPr>
          <w:rFonts w:ascii="Book Antiqua" w:hAnsi="Book Antiqua"/>
        </w:rPr>
      </w:pPr>
      <w:r>
        <w:rPr>
          <w:rFonts w:ascii="Book Antiqua" w:eastAsia="Book Antiqua" w:hAnsi="Book Antiqua" w:cs="Book Antiqua"/>
          <w:color w:val="000000"/>
        </w:rPr>
        <w:t>Per the GLOBACON 2020 data, PanCa is the 12</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most common cause of cancer with 495000 new cases across the globe with approximately 47% of the new cases registered in Asia and another major proportion of 28% in Europe. There might be an increase in the incidence by 70% by the end of 2022, which translates into approximately 844000 new cases per year. As documented in the United States population, PanCa-related mortality has relatively increased in men than in women. In the United Kingdom, PanCa is the tenth most frequent cancer type, and it ranks fifth in terms of cancer-related deaths per year. Some risk factors associated with PanCa apart from genetic predisposition include obesity, diet and smoking. PanCa-associated surgery has a high mortality risk making it a more life-threatening disease</w:t>
      </w:r>
      <w:r>
        <w:rPr>
          <w:rFonts w:ascii="Book Antiqua" w:eastAsia="Book Antiqua" w:hAnsi="Book Antiqua" w:cs="Book Antiqua"/>
          <w:color w:val="000000"/>
          <w:vertAlign w:val="superscript"/>
        </w:rPr>
        <w:t>[1-4]</w:t>
      </w:r>
      <w:r>
        <w:rPr>
          <w:rFonts w:ascii="Book Antiqua" w:eastAsia="Book Antiqua" w:hAnsi="Book Antiqua" w:cs="Book Antiqua"/>
          <w:color w:val="000000"/>
        </w:rPr>
        <w:t>. Based on the demography and ethnicity of patients, the profile of biomarkers and predisposition to particular risk factors can vary</w:t>
      </w:r>
      <w:r>
        <w:rPr>
          <w:rFonts w:ascii="Book Antiqua" w:eastAsia="Book Antiqua" w:hAnsi="Book Antiqua" w:cs="Book Antiqua"/>
          <w:color w:val="000000"/>
          <w:vertAlign w:val="superscript"/>
        </w:rPr>
        <w:t>[4,5]</w:t>
      </w:r>
      <w:r>
        <w:rPr>
          <w:rFonts w:ascii="Book Antiqua" w:eastAsia="Book Antiqua" w:hAnsi="Book Antiqua" w:cs="Book Antiqua"/>
          <w:color w:val="000000"/>
        </w:rPr>
        <w:t>.</w:t>
      </w:r>
    </w:p>
    <w:p w14:paraId="42D3CA54" w14:textId="77777777" w:rsidR="00A503D8" w:rsidRDefault="00A503D8">
      <w:pPr>
        <w:spacing w:line="360" w:lineRule="auto"/>
        <w:jc w:val="both"/>
        <w:rPr>
          <w:rFonts w:ascii="Book Antiqua" w:eastAsia="Book Antiqua" w:hAnsi="Book Antiqua" w:cs="Book Antiqua"/>
          <w:b/>
          <w:bCs/>
          <w:color w:val="000000"/>
          <w:u w:val="single" w:color="000000"/>
        </w:rPr>
      </w:pPr>
    </w:p>
    <w:p w14:paraId="5205E131" w14:textId="77777777" w:rsidR="00A503D8" w:rsidRDefault="00000000">
      <w:pPr>
        <w:spacing w:line="360" w:lineRule="auto"/>
        <w:jc w:val="both"/>
        <w:rPr>
          <w:rFonts w:ascii="Book Antiqua" w:hAnsi="Book Antiqua"/>
          <w:b/>
          <w:bCs/>
          <w:u w:val="single"/>
        </w:rPr>
      </w:pPr>
      <w:r>
        <w:rPr>
          <w:rFonts w:ascii="Book Antiqua" w:eastAsia="Book Antiqua" w:hAnsi="Book Antiqua" w:cs="Book Antiqua"/>
          <w:b/>
          <w:bCs/>
          <w:color w:val="000000"/>
          <w:u w:val="single"/>
        </w:rPr>
        <w:t>LIQUID BIOPSY AND ITS ROLE IN PANCA DIAGNOSIS</w:t>
      </w:r>
    </w:p>
    <w:p w14:paraId="469CE520" w14:textId="64F54868" w:rsidR="00A503D8"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Liquid biopsy (also known as a fluid biopsy) is an approach to identify markers released from tumors in the blood or associated body fluids. It includes but is not limited to cell-free DNA (cfDNA), cell-free RNA (cfRNA), cell-free proteins, circulating tumor cells and exosomes</w:t>
      </w:r>
      <w:r>
        <w:rPr>
          <w:rFonts w:ascii="Book Antiqua" w:eastAsia="Book Antiqua" w:hAnsi="Book Antiqua" w:cs="Book Antiqua"/>
          <w:color w:val="000000"/>
          <w:vertAlign w:val="superscript"/>
        </w:rPr>
        <w:t>[6-8]</w:t>
      </w:r>
      <w:r>
        <w:rPr>
          <w:rFonts w:ascii="Book Antiqua" w:eastAsia="Book Antiqua" w:hAnsi="Book Antiqua" w:cs="Book Antiqua"/>
          <w:color w:val="000000"/>
        </w:rPr>
        <w:t>. Liquid biopsy is rapidly developing and has a highly emerging market with an estimated $5 billion (USD) turnover globally by 2023</w:t>
      </w:r>
      <w:r>
        <w:rPr>
          <w:rFonts w:ascii="Book Antiqua" w:eastAsia="Book Antiqua" w:hAnsi="Book Antiqua" w:cs="Book Antiqua"/>
          <w:color w:val="000000"/>
          <w:vertAlign w:val="superscript"/>
        </w:rPr>
        <w:t>[9]</w:t>
      </w:r>
      <w:r>
        <w:rPr>
          <w:rFonts w:ascii="Book Antiqua" w:eastAsia="Book Antiqua" w:hAnsi="Book Antiqua" w:cs="Book Antiqua"/>
          <w:color w:val="000000"/>
        </w:rPr>
        <w:t>. DNA is the most dominant approach in terms of biomarker identification from plasma or serum and in terms of availability for clinical practices, which makes cfDNA a lucrative option.</w:t>
      </w:r>
    </w:p>
    <w:p w14:paraId="0C0ECBAE" w14:textId="3BEE502B" w:rsidR="00A503D8" w:rsidRDefault="00000000">
      <w:pPr>
        <w:spacing w:line="360" w:lineRule="auto"/>
        <w:ind w:firstLine="480"/>
        <w:jc w:val="both"/>
        <w:rPr>
          <w:rFonts w:ascii="Book Antiqua" w:eastAsia="Book Antiqua" w:hAnsi="Book Antiqua" w:cs="Book Antiqua"/>
          <w:color w:val="000000"/>
        </w:rPr>
      </w:pPr>
      <w:r>
        <w:rPr>
          <w:rFonts w:ascii="Book Antiqua" w:eastAsia="Book Antiqua" w:hAnsi="Book Antiqua" w:cs="Book Antiqua"/>
          <w:color w:val="000000"/>
        </w:rPr>
        <w:t>There are multiple factors that make liquid biopsy an attractive option in comparison to tissue biopsy. A major reason is that traditional tissue biopsy fails to identify tissue heterogeneity in depth whereas liquid biopsy does that more efficiently</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The reason </w:t>
      </w:r>
      <w:r>
        <w:rPr>
          <w:rFonts w:ascii="Book Antiqua" w:eastAsia="Book Antiqua" w:hAnsi="Book Antiqua" w:cs="Book Antiqua"/>
          <w:color w:val="000000"/>
        </w:rPr>
        <w:lastRenderedPageBreak/>
        <w:t>behind this is based on the concept that various categories of tumor materials are released in the blood irrespective of tumor heterogeneity. Therefore, making the liquid biopsy samples, such as plasma or serum, a cocktail that has tumor markers irrespective of cell type is not present in the case of the traditional biopsy technique. In addition, the exponential growth of next generation sequencing technologies enables the identification of cell free nucleic acids with high sensitivity, which is of great clinical application.</w:t>
      </w:r>
    </w:p>
    <w:p w14:paraId="2EA87787" w14:textId="712E361D" w:rsidR="00A503D8" w:rsidRDefault="00000000">
      <w:pPr>
        <w:spacing w:line="360" w:lineRule="auto"/>
        <w:ind w:firstLine="480"/>
        <w:jc w:val="both"/>
        <w:rPr>
          <w:rFonts w:ascii="Book Antiqua" w:eastAsia="Book Antiqua" w:hAnsi="Book Antiqua" w:cs="Book Antiqua"/>
          <w:color w:val="000000"/>
        </w:rPr>
      </w:pPr>
      <w:r>
        <w:rPr>
          <w:rFonts w:ascii="Book Antiqua" w:eastAsia="Book Antiqua" w:hAnsi="Book Antiqua" w:cs="Book Antiqua"/>
          <w:color w:val="000000"/>
        </w:rPr>
        <w:t>Moreover, traditional tissue biopsy is not applicable in the case of patients that are in an early stage and have not developed a tumor of significant size</w:t>
      </w:r>
      <w:r>
        <w:rPr>
          <w:rFonts w:ascii="Book Antiqua" w:eastAsia="Book Antiqua" w:hAnsi="Book Antiqua" w:cs="Book Antiqua"/>
          <w:color w:val="000000"/>
          <w:vertAlign w:val="superscript"/>
        </w:rPr>
        <w:t>[11]</w:t>
      </w:r>
      <w:r>
        <w:rPr>
          <w:rFonts w:ascii="Book Antiqua" w:eastAsia="Book Antiqua" w:hAnsi="Book Antiqua" w:cs="Book Antiqua"/>
          <w:color w:val="000000"/>
        </w:rPr>
        <w:t>. Early-stage PanCa is usually asymptomatic, and no operative options are available to examine the tumor, making traditional tissue biopsy non-functional in this context. For early or advanced diagnosis and disease assessment, liquid biopsy can be a major step forward toward cancer prevention and screening of populations. APAPTEST was the first cancer blood-based test done to identify markers in the case of cervical cancer</w:t>
      </w:r>
      <w:r>
        <w:rPr>
          <w:rFonts w:ascii="Book Antiqua" w:eastAsia="Book Antiqua" w:hAnsi="Book Antiqua" w:cs="Book Antiqua"/>
          <w:color w:val="000000"/>
          <w:vertAlign w:val="superscript"/>
        </w:rPr>
        <w:t>[12]</w:t>
      </w:r>
      <w:r>
        <w:rPr>
          <w:rFonts w:ascii="Book Antiqua" w:eastAsia="Book Antiqua" w:hAnsi="Book Antiqua" w:cs="Book Antiqua"/>
          <w:color w:val="000000"/>
        </w:rPr>
        <w:t>. Disease-targeted liquid biopsy-based biomarkers can detect patients who have an intermediate chance of developing PanCa such as those having chronic pancreatitis (CP), diabetes or a genetic predisposition to PanCa. It can also distinguish between PanCa and pancreatic diseases that are immune system modulated in their origin.</w:t>
      </w:r>
    </w:p>
    <w:p w14:paraId="0FFE3B0E" w14:textId="57A2C661" w:rsidR="00A503D8" w:rsidRDefault="00000000" w:rsidP="002A39AF">
      <w:pPr>
        <w:spacing w:line="360" w:lineRule="auto"/>
        <w:ind w:firstLine="480"/>
        <w:jc w:val="both"/>
        <w:rPr>
          <w:rFonts w:ascii="Book Antiqua" w:hAnsi="Book Antiqua"/>
        </w:rPr>
      </w:pPr>
      <w:r>
        <w:rPr>
          <w:rFonts w:ascii="Book Antiqua" w:eastAsia="Book Antiqua" w:hAnsi="Book Antiqua" w:cs="Book Antiqua"/>
          <w:color w:val="000000"/>
        </w:rPr>
        <w:t>A crucial requirement is distinguishing autoimmune pancreatitis (AIP) from PanCa. AIP diagnosis, which is an autoimmune disease based on the rise in IgG4 levels in serum, is based on a liquid biopsy-based approach for identification and differentiation from malignancies such as PanCa. Upregulation of IgG4-positive plasma cells in organ tissues followed by increased IgG4 levels in the serum is usually defined as type 1 AIP. On the contrary, type 2 AIP has no connection with IgG4. It demonstrates features in the pancreatic ducts resembling granulocytic epithelial lesions. Type 1 AIP also acts as a pancreatic lesion related to IgG4-related disease</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Since both type I AIP and type II AIP are based on identification using non-invasive approaches, the development of these techniques is urgent to support cases where invasive approaches are a less viable option. This approach acts as a powerful alternative to existing diagnostic methods and will be </w:t>
      </w:r>
      <w:r>
        <w:rPr>
          <w:rFonts w:ascii="Book Antiqua" w:eastAsia="Book Antiqua" w:hAnsi="Book Antiqua" w:cs="Book Antiqua"/>
          <w:color w:val="000000"/>
        </w:rPr>
        <w:lastRenderedPageBreak/>
        <w:t>highly beneficial for the identification of cases with aggressive tumor biology and support clinicians to make proper individualized targeted therapy</w:t>
      </w:r>
      <w:r>
        <w:rPr>
          <w:rFonts w:ascii="Book Antiqua" w:eastAsia="Book Antiqua" w:hAnsi="Book Antiqua" w:cs="Book Antiqua"/>
          <w:color w:val="000000"/>
          <w:vertAlign w:val="superscript"/>
        </w:rPr>
        <w:t>[13-17]</w:t>
      </w:r>
      <w:r>
        <w:rPr>
          <w:rFonts w:ascii="Book Antiqua" w:eastAsia="Book Antiqua" w:hAnsi="Book Antiqua" w:cs="Book Antiqua"/>
          <w:color w:val="000000"/>
        </w:rPr>
        <w:t>.</w:t>
      </w:r>
    </w:p>
    <w:p w14:paraId="272C46BA" w14:textId="3F10245F" w:rsidR="00A503D8"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The methylation status alteration in cancer cells is also an important point to consider for disease diagnosis. The nature of methylation based alterations discriminates itself from genetic changes based on tumor tissue type specificity, which is crucial in the case of methylation alterations apart from being more pervasive and prevalent in terms of occurrences</w:t>
      </w:r>
      <w:r>
        <w:rPr>
          <w:rFonts w:ascii="Book Antiqua" w:eastAsia="Book Antiqua" w:hAnsi="Book Antiqua" w:cs="Book Antiqua"/>
          <w:color w:val="000000"/>
          <w:vertAlign w:val="superscript"/>
        </w:rPr>
        <w:t>[18,19]</w:t>
      </w:r>
      <w:r>
        <w:rPr>
          <w:rFonts w:ascii="Book Antiqua" w:eastAsia="Book Antiqua" w:hAnsi="Book Antiqua" w:cs="Book Antiqua"/>
          <w:color w:val="000000"/>
        </w:rPr>
        <w:t>. Aberrant DNA methylation alterations mostly occur in CpG islands and play a vital role in activating tumor suppressor genes and oncogenes, thereby modulating the genome</w:t>
      </w:r>
      <w:r>
        <w:rPr>
          <w:rFonts w:ascii="Book Antiqua" w:eastAsia="Book Antiqua" w:hAnsi="Book Antiqua" w:cs="Book Antiqua"/>
          <w:color w:val="000000"/>
          <w:vertAlign w:val="superscript"/>
        </w:rPr>
        <w:t>[20-23]</w:t>
      </w:r>
      <w:r>
        <w:rPr>
          <w:rFonts w:ascii="Book Antiqua" w:eastAsia="Book Antiqua" w:hAnsi="Book Antiqua" w:cs="Book Antiqua"/>
          <w:color w:val="000000"/>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The approach to identifying cfDNA-based methylation changes is a growing area of interest because invasive approaches are not always feasible and proactive in terms of clinical diagnostics</w:t>
      </w:r>
      <w:r>
        <w:rPr>
          <w:rFonts w:ascii="Book Antiqua" w:eastAsia="Book Antiqua" w:hAnsi="Book Antiqua" w:cs="Book Antiqua"/>
          <w:color w:val="000000"/>
          <w:vertAlign w:val="superscript"/>
        </w:rPr>
        <w:t>[24,25]</w:t>
      </w:r>
      <w:r>
        <w:rPr>
          <w:rFonts w:ascii="Book Antiqua" w:eastAsia="Book Antiqua" w:hAnsi="Book Antiqua" w:cs="Book Antiqua"/>
          <w:color w:val="000000"/>
        </w:rPr>
        <w:t>. Various reports claimed that in the case of pancreatic ductal adenocarcinoma (PDAC) an altered methylation signature has been observed when tumor tissues were compared with normal tissues, hence directing its implications in biomarker development</w:t>
      </w:r>
      <w:r>
        <w:rPr>
          <w:rFonts w:ascii="Book Antiqua" w:eastAsia="Book Antiqua" w:hAnsi="Book Antiqua" w:cs="Book Antiqua"/>
          <w:color w:val="000000"/>
          <w:vertAlign w:val="superscript"/>
        </w:rPr>
        <w:t>[26,27]</w:t>
      </w:r>
      <w:r>
        <w:rPr>
          <w:rFonts w:ascii="Book Antiqua" w:eastAsia="Book Antiqua" w:hAnsi="Book Antiqua" w:cs="Book Antiqua"/>
          <w:color w:val="000000"/>
        </w:rPr>
        <w:t>.</w:t>
      </w:r>
    </w:p>
    <w:p w14:paraId="7D05393D" w14:textId="6E7210B4" w:rsidR="00A503D8"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The neoplastic tendency of the pancreas needs to be identified, and specific non-invasive markers discriminating PanCa from CP or other pancreatic precursor lesions such as pancreatic intraepithelial neoplasia (PanIN), intrapapillary mucinous neoplasia (IPMN) and mucinous cystic neoplasm need to be developed</w:t>
      </w:r>
      <w:r>
        <w:rPr>
          <w:rFonts w:ascii="Book Antiqua" w:eastAsia="Book Antiqua" w:hAnsi="Book Antiqua" w:cs="Book Antiqua"/>
          <w:color w:val="000000"/>
          <w:vertAlign w:val="superscript"/>
        </w:rPr>
        <w:t>[28]</w:t>
      </w:r>
      <w:r>
        <w:rPr>
          <w:rFonts w:ascii="Book Antiqua" w:eastAsia="Book Antiqua" w:hAnsi="Book Antiqua" w:cs="Book Antiqua"/>
          <w:color w:val="000000"/>
        </w:rPr>
        <w:t>. Luo</w:t>
      </w:r>
      <w:r>
        <w:rPr>
          <w:rFonts w:ascii="Book Antiqua" w:eastAsia="Book Antiqua" w:hAnsi="Book Antiqua" w:cs="Book Antiqua"/>
          <w:i/>
          <w:iCs/>
          <w:color w:val="000000"/>
        </w:rPr>
        <w:t xml:space="preserve"> et al</w:t>
      </w:r>
      <w:r>
        <w:rPr>
          <w:rFonts w:ascii="Book Antiqua" w:eastAsia="Book Antiqua" w:hAnsi="Book Antiqua" w:cs="Book Antiqua"/>
          <w:color w:val="000000"/>
          <w:vertAlign w:val="superscript"/>
        </w:rPr>
        <w:t>[29]</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documented that cg10673833, a circulating tumor DNA (ctDNA) methylation marker was found to be very sensitive (89.7%) and specific (86.8%) for the detection of colorectal cancer and its associated pre-cancerous lesions. SEPT9 was the first blood-based screening test that the Food and Drug Administration approved for colorectal cancer. Cancer-seek was developed by Tivey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[30]</w:t>
      </w:r>
      <w:r>
        <w:rPr>
          <w:rFonts w:ascii="Book Antiqua" w:eastAsia="Book Antiqua" w:hAnsi="Book Antiqua" w:cs="Book Antiqua"/>
          <w:color w:val="000000"/>
        </w:rPr>
        <w:t>. It is a blood test that detects circulatory protein and cfDNA biomarkers. It is capable of detecting eight cancer types, mostly in their respective advanced stages, with a specificity of 99% and a sensitivity of 69%-98%, which varied based on cancer type</w:t>
      </w:r>
      <w:r>
        <w:rPr>
          <w:rFonts w:ascii="Book Antiqua" w:eastAsia="Book Antiqua" w:hAnsi="Book Antiqua" w:cs="Book Antiqua"/>
          <w:color w:val="000000"/>
          <w:vertAlign w:val="superscript"/>
        </w:rPr>
        <w:t>[12,20]</w:t>
      </w:r>
      <w:r>
        <w:rPr>
          <w:rFonts w:ascii="Book Antiqua" w:eastAsia="Book Antiqua" w:hAnsi="Book Antiqua" w:cs="Book Antiqua"/>
          <w:color w:val="000000"/>
        </w:rPr>
        <w:t>.</w:t>
      </w:r>
    </w:p>
    <w:p w14:paraId="4C71CA60" w14:textId="77777777" w:rsidR="00A503D8" w:rsidRDefault="00A503D8">
      <w:pPr>
        <w:spacing w:line="360" w:lineRule="auto"/>
        <w:jc w:val="both"/>
        <w:rPr>
          <w:rFonts w:ascii="Book Antiqua" w:hAnsi="Book Antiqua"/>
        </w:rPr>
      </w:pPr>
    </w:p>
    <w:p w14:paraId="446DB066" w14:textId="77777777" w:rsidR="00A503D8" w:rsidRDefault="00000000">
      <w:pPr>
        <w:spacing w:line="360" w:lineRule="auto"/>
        <w:jc w:val="both"/>
        <w:rPr>
          <w:rFonts w:ascii="Book Antiqua" w:hAnsi="Book Antiqua"/>
          <w:b/>
          <w:bCs/>
          <w:u w:val="single"/>
        </w:rPr>
      </w:pPr>
      <w:r>
        <w:rPr>
          <w:rFonts w:ascii="Book Antiqua" w:eastAsia="Book Antiqua" w:hAnsi="Book Antiqua" w:cs="Book Antiqua"/>
          <w:b/>
          <w:bCs/>
          <w:color w:val="000000"/>
          <w:u w:val="single"/>
        </w:rPr>
        <w:t>PANCA AND ITS ASSOCIATED BENIGN DISEASES</w:t>
      </w:r>
    </w:p>
    <w:p w14:paraId="3F1505A2" w14:textId="3615CB72" w:rsidR="00A503D8"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Systemic approaches to develop biomarkers to distinguish PDAC from other precancerous lesions are of great importance as they will also support the early diagnosis of PDAC and substantially improve outcomes. Single gene analysis has its limitation in early detection because it has been observed that the specificity and sensitivity of biomarkers in combination increase more than single biomarkers. Traditional serum-based biomarkers like CA19-9, CA125, and carcinoembryonic antigen (CEA) for PanCa diagnostics are of immense importance, but there is a need for the development of more sensitive and specific non-invasive biomarkers. The sensitivity and specificity of detection are usually much higher when the above three biomarkers are used jointly instead of individually</w:t>
      </w:r>
      <w:r>
        <w:rPr>
          <w:rFonts w:ascii="Book Antiqua" w:eastAsia="Book Antiqua" w:hAnsi="Book Antiqua" w:cs="Book Antiqua"/>
          <w:color w:val="000000"/>
          <w:vertAlign w:val="superscript"/>
        </w:rPr>
        <w:t>[21,31]</w:t>
      </w:r>
      <w:r>
        <w:rPr>
          <w:rFonts w:ascii="Book Antiqua" w:eastAsia="Book Antiqua" w:hAnsi="Book Antiqua" w:cs="Book Antiqua"/>
          <w:color w:val="000000"/>
        </w:rPr>
        <w:t>. In addition, varied combinations of DNA methylation-based biomarkers are being developed to better understand the complexity of the diseases including both the initiation and neoplastic stages. Concurrently addressing the contribution of immune cells in the cfDNA pool and its associated methylation or hydroxyl-methylation pattern is of great importance as it can be obtained from plasma samples</w:t>
      </w:r>
      <w:r>
        <w:rPr>
          <w:rFonts w:ascii="Book Antiqua" w:eastAsia="Book Antiqua" w:hAnsi="Book Antiqua" w:cs="Book Antiqua"/>
          <w:color w:val="000000"/>
          <w:vertAlign w:val="superscript"/>
        </w:rPr>
        <w:t>[32-35]</w:t>
      </w:r>
      <w:r>
        <w:rPr>
          <w:rFonts w:ascii="Book Antiqua" w:eastAsia="Book Antiqua" w:hAnsi="Book Antiqua" w:cs="Book Antiqua"/>
          <w:color w:val="000000"/>
        </w:rPr>
        <w:t>.</w:t>
      </w:r>
    </w:p>
    <w:p w14:paraId="2485E3C2" w14:textId="2A06DD41" w:rsidR="00A503D8" w:rsidRPr="002A39AF" w:rsidRDefault="00000000" w:rsidP="002A39AF">
      <w:pPr>
        <w:spacing w:line="360" w:lineRule="auto"/>
        <w:ind w:firstLine="480"/>
        <w:jc w:val="both"/>
        <w:rPr>
          <w:rFonts w:ascii="Book Antiqua" w:eastAsia="Book Antiqua" w:hAnsi="Book Antiqua" w:cs="Book Antiqua"/>
          <w:color w:val="000000"/>
        </w:rPr>
      </w:pPr>
      <w:r>
        <w:rPr>
          <w:rFonts w:ascii="Book Antiqua" w:eastAsia="Book Antiqua" w:hAnsi="Book Antiqua" w:cs="Book Antiqua"/>
          <w:color w:val="000000"/>
        </w:rPr>
        <w:t xml:space="preserve">Almost 50 of 100000 people are affected by CP worldwide with an increasing trend, and a CP-associated prolonged inflammatory state enhances tissue conversion to neoplasia. Pancreatic tumor (PT) formation is also increasing along with CP worldwide. Mortality due to PTs is close to 6%. After a diagnosis of CP, it takes almost 10 years before tumor symptoms appear, which is a long latency period with sufficient time for early diagnosis and treatment </w:t>
      </w:r>
      <w:r>
        <w:rPr>
          <w:rFonts w:ascii="Book Antiqua" w:eastAsia="Book Antiqua" w:hAnsi="Book Antiqua" w:cs="Book Antiqua"/>
          <w:i/>
          <w:iCs/>
          <w:color w:val="000000"/>
        </w:rPr>
        <w:t>via</w:t>
      </w:r>
      <w:r>
        <w:rPr>
          <w:rFonts w:ascii="Book Antiqua" w:eastAsia="Book Antiqua" w:hAnsi="Book Antiqua" w:cs="Book Antiqua"/>
          <w:color w:val="000000"/>
        </w:rPr>
        <w:t xml:space="preserve"> non-invasive approaches. </w:t>
      </w:r>
      <w:r>
        <w:rPr>
          <w:rFonts w:ascii="Book Antiqua" w:eastAsia="Book Antiqua" w:hAnsi="Book Antiqua" w:cs="Book Antiqua"/>
          <w:i/>
          <w:iCs/>
          <w:color w:val="000000"/>
        </w:rPr>
        <w:t>PENK</w:t>
      </w:r>
      <w:r>
        <w:rPr>
          <w:rFonts w:ascii="Book Antiqua" w:eastAsia="Book Antiqua" w:hAnsi="Book Antiqua" w:cs="Book Antiqua"/>
          <w:color w:val="000000"/>
        </w:rPr>
        <w:t xml:space="preserve"> DNA methylation has been observed broadly in precancerous lesions of various grades including extraductal and intraductal PTs and CP along with PanIN, IPMN and mucinous cystic neoplasm. </w:t>
      </w:r>
      <w:r>
        <w:rPr>
          <w:rFonts w:ascii="Book Antiqua" w:eastAsia="Book Antiqua" w:hAnsi="Book Antiqua" w:cs="Book Antiqua"/>
          <w:i/>
          <w:iCs/>
          <w:color w:val="000000"/>
        </w:rPr>
        <w:t>PENK</w:t>
      </w:r>
      <w:r>
        <w:rPr>
          <w:rFonts w:ascii="Book Antiqua" w:eastAsia="Book Antiqua" w:hAnsi="Book Antiqua" w:cs="Book Antiqua"/>
          <w:color w:val="000000"/>
        </w:rPr>
        <w:t xml:space="preserve"> methylation alterations increased as the neoplastic tissue grade increased but was absent in the case of AIP and adjacent normal pancreatic tissue</w:t>
      </w:r>
      <w:r>
        <w:rPr>
          <w:rFonts w:ascii="Book Antiqua" w:eastAsia="Book Antiqua" w:hAnsi="Book Antiqua" w:cs="Book Antiqua"/>
          <w:color w:val="000000"/>
          <w:vertAlign w:val="superscript"/>
        </w:rPr>
        <w:t>[36]</w:t>
      </w:r>
      <w:r>
        <w:rPr>
          <w:rFonts w:ascii="Book Antiqua" w:eastAsia="Book Antiqua" w:hAnsi="Book Antiqua" w:cs="Book Antiqua"/>
          <w:color w:val="000000"/>
        </w:rPr>
        <w:t>.</w:t>
      </w:r>
    </w:p>
    <w:p w14:paraId="3F7F3D07" w14:textId="40E1DA46" w:rsidR="00A503D8"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In a study of an 87 gene panel</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6 genes, namely </w:t>
      </w:r>
      <w:r>
        <w:rPr>
          <w:rFonts w:ascii="Book Antiqua" w:eastAsia="Book Antiqua" w:hAnsi="Book Antiqua" w:cs="Book Antiqua"/>
          <w:i/>
          <w:iCs/>
          <w:color w:val="000000"/>
        </w:rPr>
        <w:t xml:space="preserve">PRKC, IKZF1, CD1D, KCNK12, CLEC11A </w:t>
      </w:r>
      <w:r>
        <w:rPr>
          <w:rFonts w:ascii="Book Antiqua" w:eastAsia="Book Antiqua" w:hAnsi="Book Antiqua" w:cs="Book Antiqua"/>
          <w:color w:val="000000"/>
        </w:rPr>
        <w:t>and</w:t>
      </w:r>
      <w:r>
        <w:rPr>
          <w:rFonts w:ascii="Book Antiqua" w:eastAsia="Book Antiqua" w:hAnsi="Book Antiqua" w:cs="Book Antiqua"/>
          <w:i/>
          <w:iCs/>
          <w:color w:val="000000"/>
        </w:rPr>
        <w:t xml:space="preserve"> NDRG4</w:t>
      </w:r>
      <w:r>
        <w:rPr>
          <w:rFonts w:ascii="Book Antiqua" w:eastAsia="Book Antiqua" w:hAnsi="Book Antiqua" w:cs="Book Antiqua"/>
          <w:color w:val="000000"/>
        </w:rPr>
        <w:t>, were shown to have clinical ability and potential as a cfDNA diagnostic biomarker for PanCa</w:t>
      </w:r>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In this study using pancreatic juice taken from PanCa, CP and healthy patients, the authors documented that most of the biomarkers were </w:t>
      </w:r>
      <w:r>
        <w:rPr>
          <w:rFonts w:ascii="Book Antiqua" w:eastAsia="Book Antiqua" w:hAnsi="Book Antiqua" w:cs="Book Antiqua"/>
          <w:color w:val="000000"/>
        </w:rPr>
        <w:lastRenderedPageBreak/>
        <w:t xml:space="preserve">successful in discriminating patients with PanCa from healthy patients, but only </w:t>
      </w:r>
      <w:r>
        <w:rPr>
          <w:rFonts w:ascii="Book Antiqua" w:eastAsia="Book Antiqua" w:hAnsi="Book Antiqua" w:cs="Book Antiqua"/>
          <w:i/>
          <w:iCs/>
          <w:color w:val="000000"/>
        </w:rPr>
        <w:t>CD1D</w:t>
      </w:r>
      <w:r>
        <w:rPr>
          <w:rFonts w:ascii="Book Antiqua" w:eastAsia="Book Antiqua" w:hAnsi="Book Antiqua" w:cs="Book Antiqua"/>
          <w:color w:val="000000"/>
        </w:rPr>
        <w:t xml:space="preserve"> was successful in discriminating patients with CP from PanCa with a sensitivity of 84%</w:t>
      </w:r>
      <w:r>
        <w:rPr>
          <w:rFonts w:ascii="Book Antiqua" w:eastAsia="Book Antiqua" w:hAnsi="Book Antiqua" w:cs="Book Antiqua"/>
          <w:color w:val="000000"/>
          <w:vertAlign w:val="superscript"/>
        </w:rPr>
        <w:t>[37,38]</w:t>
      </w:r>
      <w:r>
        <w:rPr>
          <w:rFonts w:ascii="Book Antiqua" w:eastAsia="Book Antiqua" w:hAnsi="Book Antiqua" w:cs="Book Antiqua"/>
          <w:color w:val="000000"/>
        </w:rPr>
        <w:t>. A remarkable change in methylation status was documented by Liggett</w:t>
      </w:r>
      <w:r>
        <w:rPr>
          <w:rFonts w:ascii="Book Antiqua" w:eastAsia="Book Antiqua" w:hAnsi="Book Antiqua" w:cs="Book Antiqua"/>
          <w:i/>
          <w:iCs/>
          <w:color w:val="000000"/>
        </w:rPr>
        <w:t xml:space="preserve"> et al</w:t>
      </w:r>
      <w:r>
        <w:rPr>
          <w:rFonts w:ascii="Book Antiqua" w:eastAsia="Book Antiqua" w:hAnsi="Book Antiqua" w:cs="Book Antiqua"/>
          <w:color w:val="000000"/>
          <w:vertAlign w:val="superscript"/>
        </w:rPr>
        <w:t>[39]</w:t>
      </w:r>
      <w:r>
        <w:rPr>
          <w:rFonts w:ascii="Book Antiqua" w:eastAsia="Book Antiqua" w:hAnsi="Book Antiqua" w:cs="Book Antiqua"/>
          <w:i/>
          <w:iCs/>
          <w:color w:val="000000"/>
        </w:rPr>
        <w:t>,</w:t>
      </w:r>
      <w:r>
        <w:rPr>
          <w:rFonts w:ascii="Book Antiqua" w:eastAsia="Book Antiqua" w:hAnsi="Book Antiqua" w:cs="Book Antiqua"/>
          <w:color w:val="000000"/>
        </w:rPr>
        <w:t xml:space="preserve"> where they showcased that hypomethylated genes in CP converted to hypermethylated genes in PanCa, suggesting that altered methylation is also a driving reason for neoplasia development in the case of PTs.</w:t>
      </w:r>
    </w:p>
    <w:p w14:paraId="0F550E30" w14:textId="5A327EAE" w:rsidR="00A503D8"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A total of 14 genes, namely </w:t>
      </w:r>
      <w:r>
        <w:rPr>
          <w:rFonts w:ascii="Book Antiqua" w:eastAsia="Book Antiqua" w:hAnsi="Book Antiqua" w:cs="Book Antiqua"/>
          <w:i/>
          <w:iCs/>
          <w:color w:val="000000"/>
        </w:rPr>
        <w:t>CCND2, CDKN2B, DAPK1,</w:t>
      </w:r>
      <w:r>
        <w:rPr>
          <w:rFonts w:ascii="Book Antiqua" w:eastAsia="Book Antiqua" w:hAnsi="Book Antiqua" w:cs="Book Antiqua"/>
          <w:color w:val="000000"/>
        </w:rPr>
        <w:t xml:space="preserve"> </w:t>
      </w:r>
      <w:r>
        <w:rPr>
          <w:rFonts w:ascii="Book Antiqua" w:eastAsia="Book Antiqua" w:hAnsi="Book Antiqua" w:cs="Book Antiqua"/>
          <w:i/>
          <w:iCs/>
          <w:color w:val="000000"/>
        </w:rPr>
        <w:t>MUC2</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MYOD1, </w:t>
      </w:r>
      <w:r>
        <w:rPr>
          <w:rFonts w:ascii="Book Antiqua" w:eastAsia="Book Antiqua" w:hAnsi="Book Antiqua" w:cs="Book Antiqua"/>
          <w:color w:val="000000"/>
        </w:rPr>
        <w:t>promoter A of</w:t>
      </w:r>
      <w:r>
        <w:rPr>
          <w:rFonts w:ascii="Book Antiqua" w:eastAsia="Book Antiqua" w:hAnsi="Book Antiqua" w:cs="Book Antiqua"/>
          <w:i/>
          <w:iCs/>
          <w:color w:val="000000"/>
        </w:rPr>
        <w:t xml:space="preserve"> MLH1, CDKN1C, ESR1, MGMT PGK1</w:t>
      </w:r>
      <w:r>
        <w:rPr>
          <w:rFonts w:ascii="Book Antiqua" w:eastAsia="Book Antiqua" w:hAnsi="Book Antiqua" w:cs="Book Antiqua"/>
          <w:color w:val="000000"/>
        </w:rPr>
        <w:t xml:space="preserve">, the proximal region of the </w:t>
      </w:r>
      <w:r w:rsidRPr="002A39AF">
        <w:rPr>
          <w:rFonts w:ascii="Book Antiqua" w:eastAsia="Book Antiqua" w:hAnsi="Book Antiqua" w:cs="Book Antiqua"/>
          <w:i/>
          <w:iCs/>
          <w:color w:val="000000"/>
        </w:rPr>
        <w:t>PGR</w:t>
      </w:r>
      <w:r>
        <w:rPr>
          <w:rFonts w:ascii="Book Antiqua" w:eastAsia="Book Antiqua" w:hAnsi="Book Antiqua" w:cs="Book Antiqua"/>
          <w:color w:val="000000"/>
        </w:rPr>
        <w:t xml:space="preserve"> promoter, </w:t>
      </w:r>
      <w:r>
        <w:rPr>
          <w:rFonts w:ascii="Book Antiqua" w:eastAsia="Book Antiqua" w:hAnsi="Book Antiqua" w:cs="Book Antiqua"/>
          <w:i/>
          <w:iCs/>
          <w:color w:val="000000"/>
        </w:rPr>
        <w:t>RARB, RB1</w:t>
      </w:r>
      <w:r>
        <w:rPr>
          <w:rFonts w:ascii="Book Antiqua" w:eastAsia="Book Antiqua" w:hAnsi="Book Antiqua" w:cs="Book Antiqua"/>
          <w:color w:val="000000"/>
        </w:rPr>
        <w:t xml:space="preserve"> and </w:t>
      </w:r>
      <w:r>
        <w:rPr>
          <w:rFonts w:ascii="Book Antiqua" w:eastAsia="Book Antiqua" w:hAnsi="Book Antiqua" w:cs="Book Antiqua"/>
          <w:i/>
          <w:iCs/>
          <w:color w:val="000000"/>
        </w:rPr>
        <w:t>SYK</w:t>
      </w:r>
      <w:r>
        <w:rPr>
          <w:rFonts w:ascii="Book Antiqua" w:eastAsia="Book Antiqua" w:hAnsi="Book Antiqua" w:cs="Book Antiqua"/>
          <w:color w:val="000000"/>
        </w:rPr>
        <w:t>, were successful in distinguishing CP from PanCa based on cfDNA DNA methylation profiling with 91% sensitivity and specificity</w:t>
      </w:r>
      <w:r>
        <w:rPr>
          <w:rFonts w:ascii="Book Antiqua" w:eastAsia="Book Antiqua" w:hAnsi="Book Antiqua" w:cs="Book Antiqua"/>
          <w:color w:val="000000"/>
          <w:vertAlign w:val="superscript"/>
        </w:rPr>
        <w:t>[38,39]</w:t>
      </w:r>
      <w:r>
        <w:rPr>
          <w:rFonts w:ascii="Book Antiqua" w:eastAsia="Book Antiqua" w:hAnsi="Book Antiqua" w:cs="Book Antiqua"/>
          <w:color w:val="000000"/>
        </w:rPr>
        <w:t>. In a study to identify cell death specific to tissue type by Lehmann-Werman</w:t>
      </w:r>
      <w:r>
        <w:rPr>
          <w:rFonts w:ascii="Book Antiqua" w:eastAsia="Book Antiqua" w:hAnsi="Book Antiqua" w:cs="Book Antiqua"/>
          <w:i/>
          <w:iCs/>
          <w:color w:val="000000"/>
        </w:rPr>
        <w:t xml:space="preserve"> </w:t>
      </w:r>
      <w:r>
        <w:rPr>
          <w:rFonts w:ascii="Book Antiqua" w:eastAsia="宋体" w:hAnsi="Book Antiqua" w:cs="宋体"/>
          <w:i/>
          <w:iCs/>
          <w:color w:val="000000"/>
          <w:lang w:eastAsia="zh-CN"/>
        </w:rPr>
        <w:t>et al</w:t>
      </w:r>
      <w:r>
        <w:rPr>
          <w:rFonts w:ascii="Book Antiqua" w:eastAsia="Book Antiqua" w:hAnsi="Book Antiqua" w:cs="Book Antiqua"/>
          <w:color w:val="000000"/>
          <w:vertAlign w:val="superscript"/>
        </w:rPr>
        <w:t>[40]</w:t>
      </w:r>
      <w:r>
        <w:rPr>
          <w:rFonts w:ascii="Book Antiqua" w:eastAsia="Book Antiqua" w:hAnsi="Book Antiqua" w:cs="Book Antiqua"/>
          <w:i/>
          <w:iCs/>
          <w:color w:val="000000"/>
        </w:rPr>
        <w:t>,</w:t>
      </w:r>
      <w:r>
        <w:rPr>
          <w:rFonts w:ascii="Book Antiqua" w:eastAsia="Book Antiqua" w:hAnsi="Book Antiqua" w:cs="Book Antiqua"/>
          <w:color w:val="000000"/>
        </w:rPr>
        <w:t xml:space="preserve"> they observed that </w:t>
      </w:r>
      <w:r>
        <w:rPr>
          <w:rFonts w:ascii="Book Antiqua" w:eastAsia="Book Antiqua" w:hAnsi="Book Antiqua" w:cs="Book Antiqua"/>
          <w:i/>
          <w:iCs/>
          <w:color w:val="000000"/>
        </w:rPr>
        <w:t>CUX2</w:t>
      </w:r>
      <w:r>
        <w:rPr>
          <w:rFonts w:ascii="Book Antiqua" w:eastAsia="Book Antiqua" w:hAnsi="Book Antiqua" w:cs="Book Antiqua"/>
          <w:color w:val="000000"/>
        </w:rPr>
        <w:t xml:space="preserve"> and </w:t>
      </w:r>
      <w:r>
        <w:rPr>
          <w:rFonts w:ascii="Book Antiqua" w:eastAsia="Book Antiqua" w:hAnsi="Book Antiqua" w:cs="Book Antiqua"/>
          <w:i/>
          <w:iCs/>
          <w:color w:val="000000"/>
        </w:rPr>
        <w:t>REG1A</w:t>
      </w:r>
      <w:r>
        <w:rPr>
          <w:rFonts w:ascii="Book Antiqua" w:eastAsia="Book Antiqua" w:hAnsi="Book Antiqua" w:cs="Book Antiqua"/>
          <w:color w:val="000000"/>
        </w:rPr>
        <w:t xml:space="preserve"> are specific to pancreas tissue type. They also found these genes to be hypomethylated in plasma in both PanCa and CP, but the levels were lowered in other lower neoplastic grade lesions. </w:t>
      </w:r>
      <w:r>
        <w:rPr>
          <w:rFonts w:ascii="Book Antiqua" w:eastAsia="Book Antiqua" w:hAnsi="Book Antiqua" w:cs="Book Antiqua"/>
          <w:i/>
          <w:iCs/>
          <w:color w:val="000000"/>
        </w:rPr>
        <w:t>CUX2</w:t>
      </w:r>
      <w:r>
        <w:rPr>
          <w:rFonts w:ascii="Book Antiqua" w:eastAsia="Book Antiqua" w:hAnsi="Book Antiqua" w:cs="Book Antiqua"/>
          <w:color w:val="000000"/>
        </w:rPr>
        <w:t xml:space="preserve"> was more hypomethylated in the case of PanCa and </w:t>
      </w:r>
      <w:r>
        <w:rPr>
          <w:rFonts w:ascii="Book Antiqua" w:eastAsia="Book Antiqua" w:hAnsi="Book Antiqua" w:cs="Book Antiqua"/>
          <w:i/>
          <w:iCs/>
          <w:color w:val="000000"/>
        </w:rPr>
        <w:t>REG1A</w:t>
      </w:r>
      <w:r>
        <w:rPr>
          <w:rFonts w:ascii="Book Antiqua" w:eastAsia="Book Antiqua" w:hAnsi="Book Antiqua" w:cs="Book Antiqua"/>
          <w:color w:val="000000"/>
        </w:rPr>
        <w:t xml:space="preserve"> was higher in CP, which gives the ability to discriminate CP from PanCa based on tissue death irrespective of etiology</w:t>
      </w:r>
      <w:r>
        <w:rPr>
          <w:rFonts w:ascii="Book Antiqua" w:eastAsia="Book Antiqua" w:hAnsi="Book Antiqua" w:cs="Book Antiqua"/>
          <w:color w:val="000000"/>
          <w:vertAlign w:val="superscript"/>
        </w:rPr>
        <w:t>[38,40]</w:t>
      </w:r>
      <w:r>
        <w:rPr>
          <w:rFonts w:ascii="Book Antiqua" w:eastAsia="Book Antiqua" w:hAnsi="Book Antiqua" w:cs="Book Antiqua"/>
          <w:color w:val="000000"/>
        </w:rPr>
        <w:t>.</w:t>
      </w:r>
    </w:p>
    <w:p w14:paraId="4D0DF658" w14:textId="26FA7A03" w:rsidR="00A503D8"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In a study using pancreatic juice samples collected from PanCa and other associated precancerous lesions, six genes were demonstrated to be differentially methylated between CP and PanCa</w:t>
      </w:r>
      <w:r>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The six genes, </w:t>
      </w:r>
      <w:r>
        <w:rPr>
          <w:rFonts w:ascii="Book Antiqua" w:eastAsia="Book Antiqua" w:hAnsi="Book Antiqua" w:cs="Book Antiqua"/>
          <w:i/>
          <w:iCs/>
          <w:color w:val="000000"/>
        </w:rPr>
        <w:t>TFPI2, NPTX2</w:t>
      </w:r>
      <w:r>
        <w:rPr>
          <w:rFonts w:ascii="Book Antiqua" w:eastAsia="Book Antiqua" w:hAnsi="Book Antiqua" w:cs="Book Antiqua"/>
          <w:color w:val="000000"/>
        </w:rPr>
        <w:t>,</w:t>
      </w:r>
      <w:r>
        <w:rPr>
          <w:rFonts w:ascii="Book Antiqua" w:eastAsia="Book Antiqua" w:hAnsi="Book Antiqua" w:cs="Book Antiqua"/>
          <w:i/>
          <w:iCs/>
          <w:color w:val="000000"/>
        </w:rPr>
        <w:t xml:space="preserve"> FOXE1, p16, ppENK</w:t>
      </w:r>
      <w:r>
        <w:rPr>
          <w:rFonts w:ascii="Book Antiqua" w:eastAsia="Book Antiqua" w:hAnsi="Book Antiqua" w:cs="Book Antiqua"/>
          <w:color w:val="000000"/>
        </w:rPr>
        <w:t xml:space="preserve"> and </w:t>
      </w:r>
      <w:r>
        <w:rPr>
          <w:rFonts w:ascii="Book Antiqua" w:eastAsia="Book Antiqua" w:hAnsi="Book Antiqua" w:cs="Book Antiqua"/>
          <w:i/>
          <w:iCs/>
          <w:color w:val="000000"/>
        </w:rPr>
        <w:t>CyclinD2</w:t>
      </w:r>
      <w:r>
        <w:rPr>
          <w:rFonts w:ascii="Book Antiqua" w:eastAsia="Book Antiqua" w:hAnsi="Book Antiqua" w:cs="Book Antiqua"/>
          <w:color w:val="000000"/>
        </w:rPr>
        <w:t>, were able to successfully distinguish between CP and PanCa as CP had lower levels of methylation than PanCa. Similarly, the levels differed amongst healthy tissue and high-risk patients creating a gradient of altered methylation across various stages starting from healthy to precancerous to PanCa samples. It was also able to distinguish between IPMN and PanCa based on cfDNA methylation from pancreatic juice samples. Further, the study also attempted to address the limitations of IPMN diagnostics, which cytology mostly fails</w:t>
      </w:r>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Promoter DNA methylation of the </w:t>
      </w:r>
      <w:r>
        <w:rPr>
          <w:rFonts w:ascii="Book Antiqua" w:eastAsia="Book Antiqua" w:hAnsi="Book Antiqua" w:cs="Book Antiqua"/>
          <w:i/>
          <w:iCs/>
          <w:color w:val="000000"/>
        </w:rPr>
        <w:t>CDO1</w:t>
      </w:r>
      <w:r>
        <w:rPr>
          <w:rFonts w:ascii="Book Antiqua" w:eastAsia="Book Antiqua" w:hAnsi="Book Antiqua" w:cs="Book Antiqua"/>
          <w:color w:val="000000"/>
        </w:rPr>
        <w:t xml:space="preserve"> gene was identified to be involved in early-stage PanCa based on cytological experiments. cfDNA methylation analysis of </w:t>
      </w:r>
      <w:r>
        <w:rPr>
          <w:rFonts w:ascii="Book Antiqua" w:eastAsia="Book Antiqua" w:hAnsi="Book Antiqua" w:cs="Book Antiqua"/>
          <w:i/>
          <w:iCs/>
          <w:color w:val="000000"/>
        </w:rPr>
        <w:t>CDO1</w:t>
      </w:r>
      <w:r>
        <w:rPr>
          <w:rFonts w:ascii="Book Antiqua" w:eastAsia="Book Antiqua" w:hAnsi="Book Antiqua" w:cs="Book Antiqua"/>
          <w:color w:val="000000"/>
        </w:rPr>
        <w:t xml:space="preserve"> from PanCa, CP and AIP patients showed that significant promoter methylation was associated with PanCa but was absent in CP and AIP</w:t>
      </w:r>
      <w:r>
        <w:rPr>
          <w:rFonts w:ascii="Book Antiqua" w:eastAsia="Book Antiqua" w:hAnsi="Book Antiqua" w:cs="Book Antiqua"/>
          <w:color w:val="000000"/>
          <w:vertAlign w:val="superscript"/>
        </w:rPr>
        <w:t>[43]</w:t>
      </w:r>
      <w:r>
        <w:rPr>
          <w:rFonts w:ascii="Book Antiqua" w:eastAsia="Book Antiqua" w:hAnsi="Book Antiqua" w:cs="Book Antiqua"/>
          <w:color w:val="000000"/>
        </w:rPr>
        <w:t xml:space="preserve">. In another </w:t>
      </w:r>
      <w:r>
        <w:rPr>
          <w:rFonts w:ascii="Book Antiqua" w:eastAsia="Book Antiqua" w:hAnsi="Book Antiqua" w:cs="Book Antiqua"/>
          <w:color w:val="000000"/>
        </w:rPr>
        <w:lastRenderedPageBreak/>
        <w:t xml:space="preserve">study, </w:t>
      </w:r>
      <w:r w:rsidRPr="002A39AF">
        <w:rPr>
          <w:rFonts w:ascii="Book Antiqua" w:eastAsia="Book Antiqua" w:hAnsi="Book Antiqua" w:cs="Book Antiqua"/>
          <w:i/>
          <w:iCs/>
          <w:color w:val="000000"/>
        </w:rPr>
        <w:t>CD1D</w:t>
      </w:r>
      <w:r>
        <w:rPr>
          <w:rFonts w:ascii="Book Antiqua" w:eastAsia="Book Antiqua" w:hAnsi="Book Antiqua" w:cs="Book Antiqua"/>
          <w:color w:val="000000"/>
        </w:rPr>
        <w:t xml:space="preserve"> showed cfDNA methylation when analyzed in pancreatic juice samples of PanCa [area under the curve (AUC): 0.92</w:t>
      </w:r>
      <w:r>
        <w:rPr>
          <w:rFonts w:ascii="Book Antiqua" w:hAnsi="Book Antiqua" w:cs="Book Antiqua"/>
          <w:color w:val="000000"/>
          <w:lang w:eastAsia="zh-CN"/>
        </w:rPr>
        <w:t>],</w:t>
      </w:r>
      <w:r>
        <w:rPr>
          <w:rFonts w:ascii="Book Antiqua" w:eastAsia="Book Antiqua" w:hAnsi="Book Antiqua" w:cs="Book Antiqua"/>
          <w:color w:val="000000"/>
        </w:rPr>
        <w:t xml:space="preserve"> but no methylation was documented in benign diseases</w:t>
      </w:r>
      <w:r>
        <w:rPr>
          <w:rFonts w:ascii="Book Antiqua" w:eastAsia="Book Antiqua" w:hAnsi="Book Antiqua" w:cs="Book Antiqua"/>
          <w:color w:val="000000"/>
          <w:vertAlign w:val="superscript"/>
        </w:rPr>
        <w:t>[21,43]</w:t>
      </w:r>
      <w:r>
        <w:rPr>
          <w:rFonts w:ascii="Book Antiqua" w:eastAsia="Book Antiqua" w:hAnsi="Book Antiqua" w:cs="Book Antiqua"/>
          <w:color w:val="000000"/>
        </w:rPr>
        <w:t>. In a study by Humeau</w:t>
      </w:r>
      <w:r>
        <w:rPr>
          <w:rFonts w:ascii="Book Antiqua" w:eastAsia="Book Antiqua" w:hAnsi="Book Antiqua" w:cs="Book Antiqua"/>
          <w:i/>
          <w:iCs/>
          <w:color w:val="000000"/>
        </w:rPr>
        <w:t xml:space="preserve"> et al</w:t>
      </w:r>
      <w:r>
        <w:rPr>
          <w:rFonts w:ascii="Book Antiqua" w:eastAsia="Book Antiqua" w:hAnsi="Book Antiqua" w:cs="Book Antiqua"/>
          <w:color w:val="000000"/>
          <w:vertAlign w:val="superscript"/>
        </w:rPr>
        <w:t>[44]</w:t>
      </w:r>
      <w:r>
        <w:rPr>
          <w:rFonts w:ascii="Book Antiqua" w:eastAsia="Book Antiqua" w:hAnsi="Book Antiqua" w:cs="Book Antiqua"/>
          <w:i/>
          <w:iCs/>
          <w:color w:val="000000"/>
        </w:rPr>
        <w:t xml:space="preserve">, </w:t>
      </w:r>
      <w:r>
        <w:rPr>
          <w:rFonts w:ascii="Book Antiqua" w:eastAsia="Book Antiqua" w:hAnsi="Book Antiqua" w:cs="Book Antiqua"/>
          <w:color w:val="000000"/>
        </w:rPr>
        <w:t>they reported that urine and sputum are also suitable alternatives to plasma for cell-free nucleic acid biomarker development. The utility of other material such as urine as a source of non-invasive testing needs further data and investigation.</w:t>
      </w:r>
    </w:p>
    <w:p w14:paraId="2BB05C92" w14:textId="2AA29FD3" w:rsidR="00A503D8"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MicroRNA (miRNA), namely hsa-miR-23a and hsa-miR-23b, have been documented to be overexpressed in IPMN patient saliva, which makes it a suitable precancerous lesion biomarker. It was also observed that hsa-miR-210 along with let-7c signals may be leveraged from saliva in distinguishing CP from healthy subjects</w:t>
      </w:r>
      <w:r>
        <w:rPr>
          <w:rFonts w:ascii="Book Antiqua" w:eastAsia="Book Antiqua" w:hAnsi="Book Antiqua" w:cs="Book Antiqua"/>
          <w:color w:val="000000"/>
          <w:vertAlign w:val="superscript"/>
        </w:rPr>
        <w:t>[32,44]</w:t>
      </w:r>
      <w:r>
        <w:rPr>
          <w:rFonts w:ascii="Book Antiqua" w:eastAsia="Book Antiqua" w:hAnsi="Book Antiqua" w:cs="Book Antiqua"/>
          <w:color w:val="000000"/>
        </w:rPr>
        <w:t>. Su</w:t>
      </w:r>
      <w:r>
        <w:rPr>
          <w:rFonts w:ascii="Book Antiqua" w:eastAsia="Book Antiqua" w:hAnsi="Book Antiqua" w:cs="Book Antiqua"/>
          <w:i/>
          <w:iCs/>
          <w:color w:val="000000"/>
        </w:rPr>
        <w:t xml:space="preserve"> et al</w:t>
      </w:r>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concurrently conducted a study using serum as a sample source and observed that miR-877, miR-3201, miR-890, miR-602 and miR-16-2-3p were successful in distinguishing low-risk and high-risk PDAC</w:t>
      </w:r>
      <w:r>
        <w:rPr>
          <w:rFonts w:ascii="Book Antiqua" w:eastAsia="Book Antiqua" w:hAnsi="Book Antiqua" w:cs="Book Antiqua"/>
          <w:color w:val="000000"/>
          <w:vertAlign w:val="superscript"/>
        </w:rPr>
        <w:t>[32,45]</w:t>
      </w:r>
      <w:r>
        <w:rPr>
          <w:rFonts w:ascii="Book Antiqua" w:eastAsia="Book Antiqua" w:hAnsi="Book Antiqua" w:cs="Book Antiqua"/>
          <w:color w:val="000000"/>
        </w:rPr>
        <w:t>. Irrespective of this development, there is still a hindrance in using miRNAs in clinical diagnostics due to reproducibility issues and variable expression of miRNAs. However, substantial work is ongoing in this area</w:t>
      </w:r>
      <w:r>
        <w:rPr>
          <w:rFonts w:ascii="Book Antiqua" w:eastAsia="Book Antiqua" w:hAnsi="Book Antiqua" w:cs="Book Antiqua"/>
          <w:color w:val="000000"/>
          <w:vertAlign w:val="superscript"/>
        </w:rPr>
        <w:t>[32]</w:t>
      </w:r>
      <w:r>
        <w:rPr>
          <w:rFonts w:ascii="Book Antiqua" w:eastAsia="Book Antiqua" w:hAnsi="Book Antiqua" w:cs="Book Antiqua"/>
          <w:color w:val="000000"/>
        </w:rPr>
        <w:t>.</w:t>
      </w:r>
    </w:p>
    <w:p w14:paraId="27DC1546" w14:textId="1C714FE5" w:rsidR="00A503D8"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In a study to differentiate PDAC from CP by Bosch</w:t>
      </w:r>
      <w:r>
        <w:rPr>
          <w:rFonts w:ascii="Book Antiqua" w:eastAsia="Book Antiqua" w:hAnsi="Book Antiqua" w:cs="Book Antiqua"/>
          <w:i/>
          <w:iCs/>
          <w:color w:val="000000"/>
        </w:rPr>
        <w:t xml:space="preserve"> et al</w:t>
      </w:r>
      <w:r>
        <w:rPr>
          <w:rFonts w:ascii="Book Antiqua" w:eastAsia="Book Antiqua" w:hAnsi="Book Antiqua" w:cs="Book Antiqua"/>
          <w:color w:val="000000"/>
          <w:vertAlign w:val="superscript"/>
        </w:rPr>
        <w:t>[46]</w:t>
      </w:r>
      <w:r>
        <w:rPr>
          <w:rFonts w:ascii="Book Antiqua" w:eastAsia="Book Antiqua" w:hAnsi="Book Antiqua" w:cs="Book Antiqua"/>
          <w:i/>
          <w:iCs/>
          <w:color w:val="000000"/>
        </w:rPr>
        <w:t>,</w:t>
      </w:r>
      <w:r>
        <w:rPr>
          <w:rFonts w:ascii="Book Antiqua" w:eastAsia="Book Antiqua" w:hAnsi="Book Antiqua" w:cs="Book Antiqua"/>
          <w:color w:val="000000"/>
        </w:rPr>
        <w:t xml:space="preserve"> it was documented that the the presence of a high level of soluble AXL (sAXL) was associated with lower overall survival in the case of PDAC. When identified from plasma, a higher level of sAXL was documented in PDAC than in CP and healthy controls, and they concluded that it is a potential biomarker for discriminating CP from PDAC and useful in identifying the onset of PDAC by its increasing level during monitoring. The findings were also validated in murine models. sAXL was also found to be overexpressed in IPMN, which is a pre-PDAC stage</w:t>
      </w:r>
      <w:r>
        <w:rPr>
          <w:rFonts w:ascii="Book Antiqua" w:eastAsia="Book Antiqua" w:hAnsi="Book Antiqua" w:cs="Book Antiqua"/>
          <w:color w:val="000000"/>
          <w:vertAlign w:val="superscript"/>
        </w:rPr>
        <w:t>[46]</w:t>
      </w:r>
      <w:r>
        <w:rPr>
          <w:rFonts w:ascii="Book Antiqua" w:eastAsia="Book Antiqua" w:hAnsi="Book Antiqua" w:cs="Book Antiqua"/>
          <w:color w:val="000000"/>
        </w:rPr>
        <w:t>.</w:t>
      </w:r>
    </w:p>
    <w:p w14:paraId="4128D5CD" w14:textId="37F55EDA" w:rsidR="00A503D8"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Weeks</w:t>
      </w:r>
      <w:r>
        <w:rPr>
          <w:rFonts w:ascii="Book Antiqua" w:eastAsia="Book Antiqua" w:hAnsi="Book Antiqua" w:cs="Book Antiqua"/>
          <w:i/>
          <w:iCs/>
          <w:color w:val="000000"/>
        </w:rPr>
        <w:t xml:space="preserve"> et al</w:t>
      </w:r>
      <w:r>
        <w:rPr>
          <w:rFonts w:ascii="Book Antiqua" w:eastAsia="Book Antiqua" w:hAnsi="Book Antiqua" w:cs="Book Antiqua"/>
          <w:color w:val="000000"/>
          <w:vertAlign w:val="superscript"/>
        </w:rPr>
        <w:t>[47]</w:t>
      </w:r>
      <w:r>
        <w:rPr>
          <w:rFonts w:ascii="Book Antiqua" w:eastAsia="Book Antiqua" w:hAnsi="Book Antiqua" w:cs="Book Antiqua"/>
          <w:i/>
          <w:iCs/>
          <w:color w:val="000000"/>
        </w:rPr>
        <w:t xml:space="preserve"> </w:t>
      </w:r>
      <w:r>
        <w:rPr>
          <w:rFonts w:ascii="Book Antiqua" w:eastAsia="Book Antiqua" w:hAnsi="Book Antiqua" w:cs="Book Antiqua"/>
          <w:color w:val="000000"/>
        </w:rPr>
        <w:t>conducted research where they studied the urine proteome differences amongst PDAC, CP and healthy individuals. They noticed 101 proteins that were significantly altered in PanCa and CP. S100A9 was found to be downregulated in PanCa but overexpressed in CP. Annexin A2, CD59 and gelsolin proteins were also found to be dysregulated in PDAC samples</w:t>
      </w:r>
      <w:r>
        <w:rPr>
          <w:rFonts w:ascii="Book Antiqua" w:eastAsia="Book Antiqua" w:hAnsi="Book Antiqua" w:cs="Book Antiqua"/>
          <w:color w:val="000000"/>
          <w:vertAlign w:val="superscript"/>
        </w:rPr>
        <w:t>[47]</w:t>
      </w:r>
      <w:r>
        <w:rPr>
          <w:rFonts w:ascii="Book Antiqua" w:eastAsia="Book Antiqua" w:hAnsi="Book Antiqua" w:cs="Book Antiqua"/>
          <w:color w:val="000000"/>
        </w:rPr>
        <w:t>. An isotope-coded affinity tag tended to successfully distinguish between PanCa and CP based on quantitative protein expression</w:t>
      </w:r>
      <w:r>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In this </w:t>
      </w:r>
      <w:r>
        <w:rPr>
          <w:rFonts w:ascii="Book Antiqua" w:eastAsia="Book Antiqua" w:hAnsi="Book Antiqua" w:cs="Book Antiqua"/>
          <w:color w:val="000000"/>
        </w:rPr>
        <w:lastRenderedPageBreak/>
        <w:t>review, we documented the important cell free biomarkers that are vital in the early-stage detection of PanCa and are able to distinguish PanCa from its non-malignant precursors.</w:t>
      </w:r>
    </w:p>
    <w:p w14:paraId="569EFC3A" w14:textId="77777777" w:rsidR="00A503D8" w:rsidRDefault="00A503D8">
      <w:pPr>
        <w:spacing w:line="360" w:lineRule="auto"/>
        <w:jc w:val="both"/>
        <w:rPr>
          <w:rFonts w:ascii="Book Antiqua" w:hAnsi="Book Antiqua"/>
        </w:rPr>
      </w:pPr>
    </w:p>
    <w:p w14:paraId="2C3F2659" w14:textId="77777777" w:rsidR="00A503D8" w:rsidRDefault="00000000">
      <w:pPr>
        <w:spacing w:line="360" w:lineRule="auto"/>
        <w:jc w:val="both"/>
        <w:rPr>
          <w:rFonts w:ascii="Book Antiqua" w:hAnsi="Book Antiqua"/>
          <w:b/>
          <w:bCs/>
          <w:u w:val="single"/>
        </w:rPr>
      </w:pPr>
      <w:r>
        <w:rPr>
          <w:rFonts w:ascii="Book Antiqua" w:eastAsia="Book Antiqua" w:hAnsi="Book Antiqua" w:cs="Book Antiqua"/>
          <w:b/>
          <w:bCs/>
          <w:color w:val="000000"/>
          <w:u w:val="single"/>
        </w:rPr>
        <w:t>CFDNA AND ITS ASSOCIATED SECRETED PROTEOME</w:t>
      </w:r>
    </w:p>
    <w:p w14:paraId="0DAEDFAE" w14:textId="77777777" w:rsidR="00A503D8" w:rsidRDefault="00000000">
      <w:pPr>
        <w:spacing w:line="360" w:lineRule="auto"/>
        <w:jc w:val="both"/>
        <w:rPr>
          <w:rFonts w:ascii="Book Antiqua" w:hAnsi="Book Antiqua"/>
          <w:b/>
          <w:bCs/>
          <w:i/>
          <w:iCs/>
        </w:rPr>
      </w:pPr>
      <w:r>
        <w:rPr>
          <w:rFonts w:ascii="Book Antiqua" w:eastAsia="Book Antiqua" w:hAnsi="Book Antiqua" w:cs="Book Antiqua"/>
          <w:b/>
          <w:bCs/>
          <w:i/>
          <w:iCs/>
          <w:color w:val="000000"/>
        </w:rPr>
        <w:t>cfDNA in PanCa and its association with benign pancreatic diseases</w:t>
      </w:r>
    </w:p>
    <w:p w14:paraId="08C7C44C" w14:textId="6F448919" w:rsidR="00A503D8" w:rsidRDefault="00000000">
      <w:pPr>
        <w:spacing w:line="360" w:lineRule="auto"/>
        <w:jc w:val="both"/>
        <w:rPr>
          <w:rFonts w:ascii="Book Antiqua" w:hAnsi="Book Antiqua"/>
        </w:rPr>
      </w:pPr>
      <w:r>
        <w:rPr>
          <w:rFonts w:ascii="Book Antiqua" w:eastAsia="Book Antiqua" w:hAnsi="Book Antiqua" w:cs="Book Antiqua"/>
          <w:color w:val="000000"/>
        </w:rPr>
        <w:t>First reported in 1948 by Mandel and Meta</w:t>
      </w:r>
      <w:r>
        <w:rPr>
          <w:rFonts w:ascii="Book Antiqua" w:eastAsia="Book Antiqua" w:hAnsi="Book Antiqua" w:cs="Book Antiqua"/>
          <w:color w:val="000000"/>
          <w:vertAlign w:val="superscript"/>
        </w:rPr>
        <w:t>[48]</w:t>
      </w:r>
      <w:r>
        <w:rPr>
          <w:rFonts w:ascii="Book Antiqua" w:eastAsia="Book Antiqua" w:hAnsi="Book Antiqua" w:cs="Book Antiqua"/>
          <w:color w:val="000000"/>
        </w:rPr>
        <w:t>, cfDNA is undoubtedly the most dominant form among the liquid biopsy-based approaches and when released by tumor is also a ctDNA. Leon</w:t>
      </w:r>
      <w:r>
        <w:rPr>
          <w:rFonts w:ascii="Book Antiqua" w:eastAsia="Book Antiqua" w:hAnsi="Book Antiqua" w:cs="Book Antiqua"/>
          <w:i/>
          <w:iCs/>
          <w:color w:val="000000"/>
        </w:rPr>
        <w:t xml:space="preserve"> et al</w:t>
      </w:r>
      <w:r>
        <w:rPr>
          <w:rFonts w:ascii="Book Antiqua" w:eastAsia="Book Antiqua" w:hAnsi="Book Antiqua" w:cs="Book Antiqua"/>
          <w:color w:val="000000"/>
          <w:vertAlign w:val="superscript"/>
        </w:rPr>
        <w:t>[49]</w:t>
      </w:r>
      <w:r>
        <w:rPr>
          <w:rFonts w:ascii="Book Antiqua" w:eastAsia="Book Antiqua" w:hAnsi="Book Antiqua" w:cs="Book Antiqua"/>
          <w:color w:val="000000"/>
        </w:rPr>
        <w:t xml:space="preserve"> in 1977 introduced cfDNA levels, which were found to be notably more advanced in malignancies than in healthy individuals thereby showcasing its role in carcinogenesis. Similar observations were made in 1983 with PDAC patients, and it was noted that cfDNA levels were higher in PDAC patients than in CP and acute pancreatitis</w:t>
      </w:r>
      <w:r>
        <w:rPr>
          <w:rFonts w:ascii="Book Antiqua" w:eastAsia="Book Antiqua" w:hAnsi="Book Antiqua" w:cs="Book Antiqua"/>
          <w:color w:val="000000"/>
          <w:vertAlign w:val="superscript"/>
        </w:rPr>
        <w:t>[50]</w:t>
      </w:r>
      <w:r>
        <w:rPr>
          <w:rFonts w:ascii="Book Antiqua" w:eastAsia="Book Antiqua" w:hAnsi="Book Antiqua" w:cs="Book Antiqua"/>
          <w:color w:val="000000"/>
        </w:rPr>
        <w:t>. The origin of cfDNA in the blood can be due to release from tumors, apoptosis or necrosis and other active cellular secretions. A major factor leading to the rise in cfDNA studies in cancer management is the half-life of cfDNA, which is around 16 min-2.5 h, and that it can be monitored for overall disease progression and associated clinical prognosis with medical treatment (Table 1)</w:t>
      </w:r>
      <w:r>
        <w:rPr>
          <w:rFonts w:ascii="Book Antiqua" w:eastAsia="Book Antiqua" w:hAnsi="Book Antiqua" w:cs="Book Antiqua"/>
          <w:color w:val="000000"/>
          <w:vertAlign w:val="superscript"/>
        </w:rPr>
        <w:t>[12,49,51]</w:t>
      </w:r>
      <w:r>
        <w:rPr>
          <w:rFonts w:ascii="Book Antiqua" w:eastAsia="Book Antiqua" w:hAnsi="Book Antiqua" w:cs="Book Antiqua"/>
          <w:color w:val="000000"/>
        </w:rPr>
        <w:t>.</w:t>
      </w:r>
    </w:p>
    <w:p w14:paraId="72C23FEB" w14:textId="32490C05" w:rsidR="00A503D8"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Cancer diagnosis and treatment face a major setback from recurrence of the malignancy that cannot be ideally monitored using traditional techniques due to the lack of proper tumor formation and its associated diagnostic techniques. Postoperative or post-chemotherapeutic analysis of ctDNA in the blood can also be referred to as minimal residual disease (MRD) analysis. Minimal residual disease analysis cannot be ideally performed using imaging and traditional biopsy techniques, and the analysis using cfDNA/ctDNA is a great advance to measure tumor recurrence (Table 1)</w:t>
      </w:r>
      <w:r>
        <w:rPr>
          <w:rFonts w:ascii="Book Antiqua" w:eastAsia="Book Antiqua" w:hAnsi="Book Antiqua" w:cs="Book Antiqua"/>
          <w:color w:val="000000"/>
          <w:vertAlign w:val="superscript"/>
        </w:rPr>
        <w:t>[12,52]</w:t>
      </w:r>
      <w:r>
        <w:rPr>
          <w:rFonts w:ascii="Book Antiqua" w:eastAsia="Book Antiqua" w:hAnsi="Book Antiqua" w:cs="Book Antiqua"/>
          <w:color w:val="000000"/>
        </w:rPr>
        <w:t>.</w:t>
      </w:r>
    </w:p>
    <w:p w14:paraId="211B0FF0" w14:textId="6C1D1C3D" w:rsidR="00A503D8"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In terms of aberrant DNA methylation, which is also a common observation in PDAC patients, it has been documented that a change in methylation levels has been observed in various stages of dysplasia</w:t>
      </w:r>
      <w:r>
        <w:rPr>
          <w:rFonts w:ascii="Book Antiqua" w:eastAsia="Book Antiqua" w:hAnsi="Book Antiqua" w:cs="Book Antiqua"/>
          <w:color w:val="000000"/>
          <w:vertAlign w:val="superscript"/>
        </w:rPr>
        <w:t>[53,54]</w:t>
      </w:r>
      <w:r>
        <w:rPr>
          <w:rFonts w:ascii="Book Antiqua" w:eastAsia="Book Antiqua" w:hAnsi="Book Antiqua" w:cs="Book Antiqua"/>
          <w:color w:val="000000"/>
        </w:rPr>
        <w:t xml:space="preserve">. This indicates that the level of cfDNA methylation across various pre-PanCa lesions to PDAC is altered providing a candidate opportunity to track PDAC progression. In 2009, Melnikov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[55]</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established the use of cfDNA methylation in PDAC diagnosis from 30 plasma samples. This was completed </w:t>
      </w:r>
      <w:r>
        <w:rPr>
          <w:rFonts w:ascii="Book Antiqua" w:eastAsia="Book Antiqua" w:hAnsi="Book Antiqua" w:cs="Book Antiqua"/>
          <w:color w:val="000000"/>
        </w:rPr>
        <w:lastRenderedPageBreak/>
        <w:t>using microarray technology where they identified that the promoter region was hypomethylated in five genes with a sensitivity and specificity of 76% and 59%, respectively</w:t>
      </w:r>
      <w:r>
        <w:rPr>
          <w:rFonts w:ascii="Book Antiqua" w:eastAsia="Book Antiqua" w:hAnsi="Book Antiqua" w:cs="Book Antiqua"/>
          <w:color w:val="000000"/>
          <w:vertAlign w:val="superscript"/>
        </w:rPr>
        <w:t>[55]</w:t>
      </w:r>
      <w:r>
        <w:rPr>
          <w:rFonts w:ascii="Book Antiqua" w:eastAsia="Book Antiqua" w:hAnsi="Book Antiqua" w:cs="Book Antiqua"/>
          <w:color w:val="000000"/>
        </w:rPr>
        <w:t>. A crucial step in PanCa treatment is staging as that provides a proper clinical treatment approach and is associated with DNA promoter hypermethylation. Henriksen</w:t>
      </w:r>
      <w:r>
        <w:rPr>
          <w:rFonts w:ascii="Book Antiqua" w:eastAsia="Book Antiqua" w:hAnsi="Book Antiqua" w:cs="Book Antiqua"/>
          <w:i/>
          <w:iCs/>
          <w:color w:val="000000"/>
        </w:rPr>
        <w:t xml:space="preserve"> et al</w:t>
      </w:r>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reported that the use of cfDNA promoter hypermethylation as a prognostic biomarker in PDAC staging, which is based on the hypothesis that cfDNA methylation is stage-specific, can help in stage classification. Henriksen</w:t>
      </w:r>
      <w:r>
        <w:rPr>
          <w:rFonts w:ascii="Book Antiqua" w:eastAsia="Book Antiqua" w:hAnsi="Book Antiqua" w:cs="Book Antiqua"/>
          <w:i/>
          <w:iCs/>
          <w:color w:val="000000"/>
        </w:rPr>
        <w:t xml:space="preserve"> et al</w:t>
      </w:r>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analyzed a set of 28 genes in PDAC plasma samples. They developed the first prognostic prediction model using cfDNA hypermethylation targeting PDAC staging. They separated cluster cases with and without distant metastasis. The researchers were also able to document significantly higher numbers of hypermethylated genes clustering in stage IV PDAC than in earlier stages amongst which </w:t>
      </w:r>
      <w:r>
        <w:rPr>
          <w:rFonts w:ascii="Book Antiqua" w:eastAsia="Book Antiqua" w:hAnsi="Book Antiqua" w:cs="Book Antiqua"/>
          <w:i/>
          <w:iCs/>
          <w:color w:val="000000"/>
        </w:rPr>
        <w:t xml:space="preserve">BNC1 </w:t>
      </w:r>
      <w:r>
        <w:rPr>
          <w:rFonts w:ascii="Book Antiqua" w:eastAsia="Book Antiqua" w:hAnsi="Book Antiqua" w:cs="Book Antiqua"/>
          <w:color w:val="000000"/>
        </w:rPr>
        <w:t>was the most significant gene of interest (Table 1)</w:t>
      </w:r>
      <w:r>
        <w:rPr>
          <w:rFonts w:ascii="Book Antiqua" w:eastAsia="Book Antiqua" w:hAnsi="Book Antiqua" w:cs="Book Antiqua"/>
          <w:color w:val="000000"/>
          <w:vertAlign w:val="superscript"/>
        </w:rPr>
        <w:t>[25,27,56]</w:t>
      </w:r>
      <w:r>
        <w:rPr>
          <w:rFonts w:ascii="Book Antiqua" w:eastAsia="Book Antiqua" w:hAnsi="Book Antiqua" w:cs="Book Antiqua"/>
          <w:color w:val="000000"/>
        </w:rPr>
        <w:t>.</w:t>
      </w:r>
    </w:p>
    <w:p w14:paraId="263F1D84" w14:textId="2086C052" w:rsidR="00A503D8"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A crucial challenge in cell free nucleosome identification for the differentiation of benign pancreatic disease from PanCa is a nonspecific rise of cell free nucleosome levels in the serum of patients while quantifying the cell free nucleosome. Bauden</w:t>
      </w:r>
      <w:r>
        <w:rPr>
          <w:rFonts w:ascii="Book Antiqua" w:eastAsia="Book Antiqua" w:hAnsi="Book Antiqua" w:cs="Book Antiqua"/>
          <w:i/>
          <w:iCs/>
          <w:color w:val="000000"/>
        </w:rPr>
        <w:t xml:space="preserve"> et al</w:t>
      </w:r>
      <w:r>
        <w:rPr>
          <w:rFonts w:ascii="Book Antiqua" w:eastAsia="Book Antiqua" w:hAnsi="Book Antiqua" w:cs="Book Antiqua"/>
          <w:color w:val="000000"/>
          <w:vertAlign w:val="superscript"/>
        </w:rPr>
        <w:t>[36]</w:t>
      </w:r>
      <w:r>
        <w:rPr>
          <w:rFonts w:ascii="Book Antiqua" w:eastAsia="Book Antiqua" w:hAnsi="Book Antiqua" w:cs="Book Antiqua"/>
          <w:i/>
          <w:iCs/>
          <w:color w:val="000000"/>
        </w:rPr>
        <w:t xml:space="preserve"> </w:t>
      </w:r>
      <w:r>
        <w:rPr>
          <w:rFonts w:ascii="Book Antiqua" w:eastAsia="Book Antiqua" w:hAnsi="Book Antiqua" w:cs="Book Antiqua"/>
          <w:color w:val="000000"/>
        </w:rPr>
        <w:t>identified the cell free nucleosome epigenetic alterations specific to disease type and stages by isolating intact nucleosomes and then quantifying them using an enzyme-linked immunosorbent assay. They were successful in quantifying five serum cell free nucleosome diagnostic biomarkers with an AUC of 0.95, which differentiated PanCa from a healthy pancreas. The epigenetic profiles of cell free nucleosomes often differ between individual patient serum samples based on cancer and healthy populations. Understanding that the epigenetic changes usually occur at the onset of the neoplastic transformation stages, those already in pre-neoplastic stages may represent cell free nucleosome profiles that can act as possible cell free biomarkers for the early detection of cancer (Table 1)</w:t>
      </w:r>
      <w:r>
        <w:rPr>
          <w:rFonts w:ascii="Book Antiqua" w:eastAsia="Book Antiqua" w:hAnsi="Book Antiqua" w:cs="Book Antiqua"/>
          <w:color w:val="000000"/>
          <w:vertAlign w:val="superscript"/>
        </w:rPr>
        <w:t>[36]</w:t>
      </w:r>
      <w:r>
        <w:rPr>
          <w:rFonts w:ascii="Book Antiqua" w:eastAsia="Book Antiqua" w:hAnsi="Book Antiqua" w:cs="Book Antiqua"/>
          <w:color w:val="000000"/>
        </w:rPr>
        <w:t>.</w:t>
      </w:r>
    </w:p>
    <w:p w14:paraId="5E5C14B0" w14:textId="77777777" w:rsidR="00A503D8" w:rsidRDefault="00A503D8">
      <w:pPr>
        <w:spacing w:line="360" w:lineRule="auto"/>
        <w:jc w:val="both"/>
        <w:rPr>
          <w:rFonts w:ascii="Book Antiqua" w:eastAsia="Book Antiqua" w:hAnsi="Book Antiqua" w:cs="Book Antiqua"/>
          <w:b/>
          <w:bCs/>
          <w:i/>
          <w:iCs/>
          <w:color w:val="000000"/>
        </w:rPr>
      </w:pPr>
    </w:p>
    <w:p w14:paraId="0D928593" w14:textId="77777777" w:rsidR="00A503D8" w:rsidRDefault="00000000">
      <w:pPr>
        <w:spacing w:line="360" w:lineRule="auto"/>
        <w:jc w:val="both"/>
        <w:rPr>
          <w:rFonts w:ascii="Book Antiqua" w:hAnsi="Book Antiqua"/>
          <w:b/>
          <w:bCs/>
          <w:i/>
          <w:iCs/>
        </w:rPr>
      </w:pPr>
      <w:r>
        <w:rPr>
          <w:rFonts w:ascii="Book Antiqua" w:eastAsia="Book Antiqua" w:hAnsi="Book Antiqua" w:cs="Book Antiqua"/>
          <w:b/>
          <w:bCs/>
          <w:i/>
          <w:iCs/>
          <w:color w:val="000000"/>
        </w:rPr>
        <w:t>Role of cfDNA as a diagnostic and therapeutic biomarker</w:t>
      </w:r>
    </w:p>
    <w:p w14:paraId="491AFF84" w14:textId="69A712FA" w:rsidR="00A503D8" w:rsidRDefault="00000000">
      <w:pPr>
        <w:spacing w:line="360" w:lineRule="auto"/>
        <w:jc w:val="both"/>
        <w:rPr>
          <w:rFonts w:ascii="Book Antiqua" w:hAnsi="Book Antiqua"/>
        </w:rPr>
      </w:pPr>
      <w:r>
        <w:rPr>
          <w:rFonts w:ascii="Book Antiqua" w:eastAsia="Book Antiqua" w:hAnsi="Book Antiqua" w:cs="Book Antiqua"/>
          <w:color w:val="000000"/>
        </w:rPr>
        <w:lastRenderedPageBreak/>
        <w:t>Tumors in the pancreas can occur in tissues that are hard to isolate due to their depth of location and also small tumor size can be a limitation. Therefore, in this context blood-based cell free biomarkers are of high clinical importance</w:t>
      </w:r>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Melnikov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[55]</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investigated that they developed the MethDet56 test which contained screening of 56 gene promoters from PDAC plasma samples that identified five promoters namely </w:t>
      </w:r>
      <w:r>
        <w:rPr>
          <w:rFonts w:ascii="Book Antiqua" w:eastAsia="Book Antiqua" w:hAnsi="Book Antiqua" w:cs="Book Antiqua"/>
          <w:i/>
          <w:iCs/>
          <w:color w:val="000000"/>
        </w:rPr>
        <w:t xml:space="preserve">CCND2, SOCS1, THBS1, PLAU </w:t>
      </w:r>
      <w:r>
        <w:rPr>
          <w:rFonts w:ascii="Book Antiqua" w:eastAsia="Book Antiqua" w:hAnsi="Book Antiqua" w:cs="Book Antiqua"/>
          <w:color w:val="000000"/>
        </w:rPr>
        <w:t xml:space="preserve">and </w:t>
      </w:r>
      <w:r>
        <w:rPr>
          <w:rFonts w:ascii="Book Antiqua" w:eastAsia="Book Antiqua" w:hAnsi="Book Antiqua" w:cs="Book Antiqua"/>
          <w:i/>
          <w:iCs/>
          <w:color w:val="000000"/>
        </w:rPr>
        <w:t>VHL</w:t>
      </w:r>
      <w:r>
        <w:rPr>
          <w:rFonts w:ascii="Book Antiqua" w:eastAsia="Book Antiqua" w:hAnsi="Book Antiqua" w:cs="Book Antiqua"/>
          <w:color w:val="000000"/>
        </w:rPr>
        <w:t xml:space="preserve"> with significant aberrant DNA methylation and with sensitivity and specificity of 76% and 59% respectively. These are initial biomarker development work showcasing that blood-based biomarkers could be highly valuable in diagnosis and prognosis if further studied and developed</w:t>
      </w:r>
      <w:r>
        <w:rPr>
          <w:rFonts w:ascii="Book Antiqua" w:eastAsia="Book Antiqua" w:hAnsi="Book Antiqua" w:cs="Book Antiqua"/>
          <w:color w:val="000000"/>
          <w:vertAlign w:val="superscript"/>
        </w:rPr>
        <w:t>[55]</w:t>
      </w:r>
      <w:r>
        <w:rPr>
          <w:rFonts w:ascii="Book Antiqua" w:eastAsia="Book Antiqua" w:hAnsi="Book Antiqua" w:cs="Book Antiqua"/>
          <w:color w:val="000000"/>
        </w:rPr>
        <w:t>. In a study by Sato</w:t>
      </w:r>
      <w:r>
        <w:rPr>
          <w:rFonts w:ascii="Book Antiqua" w:eastAsia="Book Antiqua" w:hAnsi="Book Antiqua" w:cs="Book Antiqua"/>
          <w:i/>
          <w:iCs/>
          <w:color w:val="000000"/>
        </w:rPr>
        <w:t xml:space="preserve"> et al</w:t>
      </w:r>
      <w:r>
        <w:rPr>
          <w:rFonts w:ascii="Book Antiqua" w:eastAsia="Book Antiqua" w:hAnsi="Book Antiqua" w:cs="Book Antiqua"/>
          <w:color w:val="000000"/>
          <w:vertAlign w:val="superscript"/>
        </w:rPr>
        <w:t>[57]</w:t>
      </w:r>
      <w:r>
        <w:rPr>
          <w:rFonts w:ascii="Book Antiqua" w:eastAsia="Book Antiqua" w:hAnsi="Book Antiqua" w:cs="Book Antiqua"/>
          <w:i/>
          <w:iCs/>
          <w:color w:val="000000"/>
        </w:rPr>
        <w:t>,</w:t>
      </w:r>
      <w:r>
        <w:rPr>
          <w:rFonts w:ascii="Book Antiqua" w:eastAsia="Book Antiqua" w:hAnsi="Book Antiqua" w:cs="Book Antiqua"/>
          <w:color w:val="000000"/>
        </w:rPr>
        <w:t xml:space="preserve"> three out of six genes, namely </w:t>
      </w:r>
      <w:r>
        <w:rPr>
          <w:rFonts w:ascii="Book Antiqua" w:eastAsia="Book Antiqua" w:hAnsi="Book Antiqua" w:cs="Book Antiqua"/>
          <w:i/>
          <w:iCs/>
          <w:color w:val="000000"/>
        </w:rPr>
        <w:t>CLDN5, SFRP1</w:t>
      </w:r>
      <w:r>
        <w:rPr>
          <w:rFonts w:ascii="Book Antiqua" w:eastAsia="Book Antiqua" w:hAnsi="Book Antiqua" w:cs="Book Antiqua"/>
          <w:color w:val="000000"/>
        </w:rPr>
        <w:t xml:space="preserve"> and</w:t>
      </w:r>
      <w:r>
        <w:rPr>
          <w:rFonts w:ascii="Book Antiqua" w:eastAsia="Book Antiqua" w:hAnsi="Book Antiqua" w:cs="Book Antiqua"/>
          <w:i/>
          <w:iCs/>
          <w:color w:val="000000"/>
        </w:rPr>
        <w:t xml:space="preserve"> NPTX2,</w:t>
      </w:r>
      <w:r>
        <w:rPr>
          <w:rFonts w:ascii="Book Antiqua" w:eastAsia="Book Antiqua" w:hAnsi="Book Antiqua" w:cs="Book Antiqua"/>
          <w:color w:val="000000"/>
        </w:rPr>
        <w:t xml:space="preserve"> previously validated in tissue samples were found to be differentially methylated in pancreatic juice samples collected from PTs</w:t>
      </w:r>
      <w:r>
        <w:rPr>
          <w:rFonts w:ascii="Book Antiqua" w:eastAsia="Book Antiqua" w:hAnsi="Book Antiqua" w:cs="Book Antiqua"/>
          <w:color w:val="000000"/>
          <w:vertAlign w:val="superscript"/>
        </w:rPr>
        <w:t>[38,57]</w:t>
      </w:r>
      <w:r>
        <w:rPr>
          <w:rFonts w:ascii="Book Antiqua" w:eastAsia="Book Antiqua" w:hAnsi="Book Antiqua" w:cs="Book Antiqua"/>
          <w:color w:val="000000"/>
        </w:rPr>
        <w:t>. However, Matsubayashi</w:t>
      </w:r>
      <w:r>
        <w:rPr>
          <w:rFonts w:ascii="Book Antiqua" w:eastAsia="Book Antiqua" w:hAnsi="Book Antiqua" w:cs="Book Antiqua"/>
          <w:i/>
          <w:iCs/>
          <w:color w:val="000000"/>
        </w:rPr>
        <w:t xml:space="preserve"> et al</w:t>
      </w:r>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concluded that five genes that were previously validated by solid biopsy failed were not replicated in liquid biopsy. Although the genes </w:t>
      </w:r>
      <w:r>
        <w:rPr>
          <w:rFonts w:ascii="Book Antiqua" w:eastAsia="Book Antiqua" w:hAnsi="Book Antiqua" w:cs="Book Antiqua"/>
          <w:i/>
          <w:iCs/>
          <w:color w:val="000000"/>
        </w:rPr>
        <w:t>TFPI2</w:t>
      </w:r>
      <w:r>
        <w:rPr>
          <w:rFonts w:ascii="Book Antiqua" w:eastAsia="Book Antiqua" w:hAnsi="Book Antiqua" w:cs="Book Antiqua"/>
          <w:color w:val="000000"/>
        </w:rPr>
        <w:t>,</w:t>
      </w:r>
      <w:r>
        <w:rPr>
          <w:rFonts w:ascii="Book Antiqua" w:eastAsia="Book Antiqua" w:hAnsi="Book Antiqua" w:cs="Book Antiqua"/>
          <w:i/>
          <w:iCs/>
          <w:color w:val="000000"/>
        </w:rPr>
        <w:t xml:space="preserve"> PENK, CCND2, NPTX2</w:t>
      </w:r>
      <w:r>
        <w:rPr>
          <w:rFonts w:ascii="Book Antiqua" w:eastAsia="Book Antiqua" w:hAnsi="Book Antiqua" w:cs="Book Antiqua"/>
          <w:color w:val="000000"/>
        </w:rPr>
        <w:t xml:space="preserve"> and </w:t>
      </w:r>
      <w:r>
        <w:rPr>
          <w:rFonts w:ascii="Book Antiqua" w:eastAsia="Book Antiqua" w:hAnsi="Book Antiqua" w:cs="Book Antiqua"/>
          <w:i/>
          <w:iCs/>
          <w:color w:val="000000"/>
        </w:rPr>
        <w:t>FOXE1</w:t>
      </w:r>
      <w:r>
        <w:rPr>
          <w:rFonts w:ascii="Book Antiqua" w:eastAsia="Book Antiqua" w:hAnsi="Book Antiqua" w:cs="Book Antiqua"/>
          <w:color w:val="000000"/>
        </w:rPr>
        <w:t xml:space="preserve"> were successfully able to discriminate PanCa from healthy tissue, the analysis failed to discriminate CP from PanCa or healthy tissue based on cfDNA methylation (Table 1)</w:t>
      </w:r>
      <w:r>
        <w:rPr>
          <w:rFonts w:ascii="Book Antiqua" w:eastAsia="Book Antiqua" w:hAnsi="Book Antiqua" w:cs="Book Antiqua"/>
          <w:color w:val="000000"/>
          <w:vertAlign w:val="superscript"/>
        </w:rPr>
        <w:t>[42,55]</w:t>
      </w:r>
      <w:r>
        <w:rPr>
          <w:rFonts w:ascii="Book Antiqua" w:eastAsia="Book Antiqua" w:hAnsi="Book Antiqua" w:cs="Book Antiqua"/>
          <w:color w:val="000000"/>
        </w:rPr>
        <w:t>.</w:t>
      </w:r>
    </w:p>
    <w:p w14:paraId="2BC93DC0" w14:textId="1704D59C" w:rsidR="00A503D8"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Yi</w:t>
      </w:r>
      <w:r>
        <w:rPr>
          <w:rFonts w:ascii="Book Antiqua" w:eastAsia="Book Antiqua" w:hAnsi="Book Antiqua" w:cs="Book Antiqua"/>
          <w:i/>
          <w:iCs/>
          <w:color w:val="000000"/>
        </w:rPr>
        <w:t xml:space="preserve"> et al</w:t>
      </w:r>
      <w:r>
        <w:rPr>
          <w:rFonts w:ascii="Book Antiqua" w:eastAsia="Book Antiqua" w:hAnsi="Book Antiqua" w:cs="Book Antiqua"/>
          <w:color w:val="000000"/>
          <w:vertAlign w:val="superscript"/>
        </w:rPr>
        <w:t>[58]</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interestingly found the use of </w:t>
      </w:r>
      <w:r>
        <w:rPr>
          <w:rFonts w:ascii="Book Antiqua" w:eastAsia="Book Antiqua" w:hAnsi="Book Antiqua" w:cs="Book Antiqua"/>
          <w:i/>
          <w:iCs/>
          <w:color w:val="000000"/>
        </w:rPr>
        <w:t>BNC1</w:t>
      </w:r>
      <w:r>
        <w:rPr>
          <w:rFonts w:ascii="Book Antiqua" w:eastAsia="Book Antiqua" w:hAnsi="Book Antiqua" w:cs="Book Antiqua"/>
          <w:color w:val="000000"/>
        </w:rPr>
        <w:t xml:space="preserve"> and </w:t>
      </w:r>
      <w:r>
        <w:rPr>
          <w:rFonts w:ascii="Book Antiqua" w:eastAsia="Book Antiqua" w:hAnsi="Book Antiqua" w:cs="Book Antiqua"/>
          <w:i/>
          <w:iCs/>
          <w:color w:val="000000"/>
        </w:rPr>
        <w:t>ADAMTS1</w:t>
      </w:r>
      <w:r>
        <w:rPr>
          <w:rFonts w:ascii="Book Antiqua" w:eastAsia="Book Antiqua" w:hAnsi="Book Antiqua" w:cs="Book Antiqua"/>
          <w:color w:val="000000"/>
        </w:rPr>
        <w:t xml:space="preserve"> as novel serum-based biomarkers for early PanCa detection. The same research group concluded that low frequencies of these two genes were observed in pancreatitis, and there was a significant methylation difference between PanINs and PanCa. </w:t>
      </w:r>
      <w:r>
        <w:rPr>
          <w:rFonts w:ascii="Book Antiqua" w:eastAsia="Book Antiqua" w:hAnsi="Book Antiqua" w:cs="Book Antiqua"/>
          <w:i/>
          <w:iCs/>
          <w:color w:val="000000"/>
        </w:rPr>
        <w:t>BNC1</w:t>
      </w:r>
      <w:r>
        <w:rPr>
          <w:rFonts w:ascii="Book Antiqua" w:eastAsia="Book Antiqua" w:hAnsi="Book Antiqua" w:cs="Book Antiqua"/>
          <w:color w:val="000000"/>
        </w:rPr>
        <w:t xml:space="preserve"> could still be detected in PanIN-1, but </w:t>
      </w:r>
      <w:r>
        <w:rPr>
          <w:rFonts w:ascii="Book Antiqua" w:eastAsia="Book Antiqua" w:hAnsi="Book Antiqua" w:cs="Book Antiqua"/>
          <w:i/>
          <w:iCs/>
          <w:color w:val="000000"/>
        </w:rPr>
        <w:t>ADAMTS1</w:t>
      </w:r>
      <w:r>
        <w:rPr>
          <w:rFonts w:ascii="Book Antiqua" w:eastAsia="Book Antiqua" w:hAnsi="Book Antiqua" w:cs="Book Antiqua"/>
          <w:color w:val="000000"/>
        </w:rPr>
        <w:t xml:space="preserve"> could only be detected significantly in invasive PanCas</w:t>
      </w:r>
      <w:r>
        <w:rPr>
          <w:rFonts w:ascii="Book Antiqua" w:eastAsia="Book Antiqua" w:hAnsi="Book Antiqua" w:cs="Book Antiqua"/>
          <w:color w:val="000000"/>
          <w:vertAlign w:val="superscript"/>
        </w:rPr>
        <w:t>[58]</w:t>
      </w:r>
      <w:r>
        <w:rPr>
          <w:rFonts w:ascii="Book Antiqua" w:eastAsia="Book Antiqua" w:hAnsi="Book Antiqua" w:cs="Book Antiqua"/>
          <w:color w:val="000000"/>
        </w:rPr>
        <w:t>. Li</w:t>
      </w:r>
      <w:r>
        <w:rPr>
          <w:rFonts w:ascii="Book Antiqua" w:eastAsia="Book Antiqua" w:hAnsi="Book Antiqua" w:cs="Book Antiqua"/>
          <w:i/>
          <w:iCs/>
          <w:color w:val="000000"/>
        </w:rPr>
        <w:t xml:space="preserve"> et al</w:t>
      </w:r>
      <w:r>
        <w:rPr>
          <w:rFonts w:ascii="Book Antiqua" w:eastAsia="Book Antiqua" w:hAnsi="Book Antiqua" w:cs="Book Antiqua"/>
          <w:color w:val="000000"/>
          <w:vertAlign w:val="superscript"/>
        </w:rPr>
        <w:t>[59]</w:t>
      </w:r>
      <w:r>
        <w:rPr>
          <w:rFonts w:ascii="Book Antiqua" w:eastAsia="Book Antiqua" w:hAnsi="Book Antiqua" w:cs="Book Antiqua"/>
          <w:i/>
          <w:iCs/>
          <w:color w:val="000000"/>
        </w:rPr>
        <w:t xml:space="preserve"> </w:t>
      </w:r>
      <w:r>
        <w:rPr>
          <w:rFonts w:ascii="Book Antiqua" w:eastAsia="Book Antiqua" w:hAnsi="Book Antiqua" w:cs="Book Antiqua"/>
          <w:color w:val="000000"/>
        </w:rPr>
        <w:t>reported in an analogous study that</w:t>
      </w:r>
      <w:r>
        <w:rPr>
          <w:rFonts w:ascii="Book Antiqua" w:eastAsia="Book Antiqua" w:hAnsi="Book Antiqua" w:cs="Book Antiqua"/>
          <w:i/>
          <w:iCs/>
          <w:color w:val="000000"/>
        </w:rPr>
        <w:t xml:space="preserve"> BNC1</w:t>
      </w:r>
      <w:r>
        <w:rPr>
          <w:rFonts w:ascii="Book Antiqua" w:eastAsia="Book Antiqua" w:hAnsi="Book Antiqua" w:cs="Book Antiqua"/>
          <w:color w:val="000000"/>
        </w:rPr>
        <w:t xml:space="preserve"> and </w:t>
      </w:r>
      <w:r>
        <w:rPr>
          <w:rFonts w:ascii="Book Antiqua" w:eastAsia="Book Antiqua" w:hAnsi="Book Antiqua" w:cs="Book Antiqua"/>
          <w:i/>
          <w:iCs/>
          <w:color w:val="000000"/>
        </w:rPr>
        <w:t>SEPT9</w:t>
      </w:r>
      <w:r>
        <w:rPr>
          <w:rFonts w:ascii="Book Antiqua" w:eastAsia="Book Antiqua" w:hAnsi="Book Antiqua" w:cs="Book Antiqua"/>
          <w:color w:val="000000"/>
        </w:rPr>
        <w:t xml:space="preserve"> were found to be highly methylated in PanCa and were suggested to have a significant role in PanCa diagnostic cfDNA biomarker development from plasma. A limitation of the study was that cfDNA methylation level in plasma was also found to be elevated in other benign diseases such as CP, acute pancreatitis and other lesions as these are risk factors leading to PT formation. This suggests a possible role of methylation changes in driving the progression of benign lesions to metastatic PanCa</w:t>
      </w:r>
      <w:r>
        <w:rPr>
          <w:rFonts w:ascii="Book Antiqua" w:eastAsia="Book Antiqua" w:hAnsi="Book Antiqua" w:cs="Book Antiqua"/>
          <w:color w:val="000000"/>
          <w:vertAlign w:val="superscript"/>
        </w:rPr>
        <w:t>[60]</w:t>
      </w:r>
      <w:r>
        <w:rPr>
          <w:rFonts w:ascii="Book Antiqua" w:eastAsia="Book Antiqua" w:hAnsi="Book Antiqua" w:cs="Book Antiqua"/>
          <w:color w:val="000000"/>
        </w:rPr>
        <w:t>.</w:t>
      </w:r>
    </w:p>
    <w:p w14:paraId="6252BD93" w14:textId="1C89839C" w:rsidR="00A503D8"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Global epigenetic alterations in 5-methylcytosine (5mC) and 5-hydroxymethylcytosine (5hmC) work as standalone entities in carcinogenesis</w:t>
      </w:r>
      <w:r>
        <w:rPr>
          <w:rFonts w:ascii="Book Antiqua" w:eastAsia="Book Antiqua" w:hAnsi="Book Antiqua" w:cs="Book Antiqua"/>
          <w:color w:val="000000"/>
          <w:vertAlign w:val="superscript"/>
        </w:rPr>
        <w:t>[61]</w:t>
      </w:r>
      <w:r>
        <w:rPr>
          <w:rFonts w:ascii="Book Antiqua" w:eastAsia="Book Antiqua" w:hAnsi="Book Antiqua" w:cs="Book Antiqua"/>
          <w:color w:val="000000"/>
        </w:rPr>
        <w:t>. Cao</w:t>
      </w:r>
      <w:r>
        <w:rPr>
          <w:rFonts w:ascii="Book Antiqua" w:eastAsia="Book Antiqua" w:hAnsi="Book Antiqua" w:cs="Book Antiqua"/>
          <w:i/>
          <w:iCs/>
          <w:color w:val="000000"/>
        </w:rPr>
        <w:t xml:space="preserve"> et al</w:t>
      </w:r>
      <w:r>
        <w:rPr>
          <w:rFonts w:ascii="Book Antiqua" w:eastAsia="Book Antiqua" w:hAnsi="Book Antiqua" w:cs="Book Antiqua"/>
          <w:color w:val="000000"/>
          <w:vertAlign w:val="superscript"/>
        </w:rPr>
        <w:t>[62]</w:t>
      </w:r>
      <w:r>
        <w:rPr>
          <w:rFonts w:ascii="Book Antiqua" w:eastAsia="Book Antiqua" w:hAnsi="Book Antiqua" w:cs="Book Antiqua"/>
          <w:color w:val="000000"/>
        </w:rPr>
        <w:t xml:space="preserve"> concluded in this context that 5mC as well as 5hmC work as effective cfDNA in PDAC diagnostics and that when 5mC-5hmC work as an integrated system it provides an enhanced diagnostic power. As reported by Guler</w:t>
      </w:r>
      <w:r>
        <w:rPr>
          <w:rFonts w:ascii="Book Antiqua" w:eastAsia="Book Antiqua" w:hAnsi="Book Antiqua" w:cs="Book Antiqua"/>
          <w:i/>
          <w:iCs/>
          <w:color w:val="000000"/>
        </w:rPr>
        <w:t xml:space="preserve"> et al</w:t>
      </w:r>
      <w:r>
        <w:rPr>
          <w:rFonts w:ascii="Book Antiqua" w:eastAsia="Book Antiqua" w:hAnsi="Book Antiqua" w:cs="Book Antiqua"/>
          <w:color w:val="000000"/>
          <w:vertAlign w:val="superscript"/>
        </w:rPr>
        <w:t>[33]</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PanCa early detection is suitable using 5hmC-based detection techniques, and a regression model showed an AUC of 0.919 encompassing a highly variable gene set. The low cfDNA methylation observation in the case of PDAC was consistent with other studies, and it corresponded to </w:t>
      </w:r>
      <w:r>
        <w:rPr>
          <w:rFonts w:ascii="Book Antiqua" w:eastAsia="Book Antiqua" w:hAnsi="Book Antiqua" w:cs="Book Antiqua"/>
          <w:i/>
          <w:iCs/>
          <w:color w:val="000000"/>
        </w:rPr>
        <w:t>KRAS</w:t>
      </w:r>
      <w:r>
        <w:rPr>
          <w:rFonts w:ascii="Book Antiqua" w:eastAsia="Book Antiqua" w:hAnsi="Book Antiqua" w:cs="Book Antiqua"/>
          <w:color w:val="000000"/>
        </w:rPr>
        <w:t xml:space="preserve"> mutation increase in malignancy. PDAC 5-hmC increase was observed at the transcription start site and 3’ untranslated region, but a decrease was seen in the promoters</w:t>
      </w:r>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cfDNA-based </w:t>
      </w:r>
      <w:r>
        <w:rPr>
          <w:rFonts w:ascii="Book Antiqua" w:eastAsia="Book Antiqua" w:hAnsi="Book Antiqua" w:cs="Book Antiqua"/>
          <w:i/>
          <w:iCs/>
          <w:color w:val="000000"/>
        </w:rPr>
        <w:t>KRAS</w:t>
      </w:r>
      <w:r>
        <w:rPr>
          <w:rFonts w:ascii="Book Antiqua" w:eastAsia="Book Antiqua" w:hAnsi="Book Antiqua" w:cs="Book Antiqua"/>
          <w:color w:val="000000"/>
        </w:rPr>
        <w:t xml:space="preserve"> mutation identification is usually a good indicator of neoplasia though with limited specificity. </w:t>
      </w:r>
      <w:r>
        <w:rPr>
          <w:rFonts w:ascii="Book Antiqua" w:eastAsia="Book Antiqua" w:hAnsi="Book Antiqua" w:cs="Book Antiqua"/>
          <w:i/>
          <w:iCs/>
          <w:color w:val="000000"/>
        </w:rPr>
        <w:t>KRAS</w:t>
      </w:r>
      <w:r>
        <w:rPr>
          <w:rFonts w:ascii="Book Antiqua" w:eastAsia="Book Antiqua" w:hAnsi="Book Antiqua" w:cs="Book Antiqua"/>
          <w:color w:val="000000"/>
        </w:rPr>
        <w:t xml:space="preserve"> remains a widely used gene for the early stage detection of PanCa. Other gene mutations, such as </w:t>
      </w:r>
      <w:r>
        <w:rPr>
          <w:rFonts w:ascii="Book Antiqua" w:eastAsia="Book Antiqua" w:hAnsi="Book Antiqua" w:cs="Book Antiqua"/>
          <w:i/>
          <w:iCs/>
          <w:color w:val="000000"/>
        </w:rPr>
        <w:t>DNMT3A, TP53, GNAS, JAK2</w:t>
      </w:r>
      <w:r>
        <w:rPr>
          <w:rFonts w:ascii="Book Antiqua" w:eastAsia="Book Antiqua" w:hAnsi="Book Antiqua" w:cs="Book Antiqua"/>
          <w:color w:val="000000"/>
        </w:rPr>
        <w:t xml:space="preserve"> and </w:t>
      </w:r>
      <w:r>
        <w:rPr>
          <w:rFonts w:ascii="Book Antiqua" w:eastAsia="Book Antiqua" w:hAnsi="Book Antiqua" w:cs="Book Antiqua"/>
          <w:i/>
          <w:iCs/>
          <w:color w:val="000000"/>
        </w:rPr>
        <w:t>BCORL1</w:t>
      </w:r>
      <w:r>
        <w:rPr>
          <w:rFonts w:ascii="Book Antiqua" w:eastAsia="Book Antiqua" w:hAnsi="Book Antiqua" w:cs="Book Antiqua"/>
          <w:color w:val="000000"/>
        </w:rPr>
        <w:t>, remain alternative ctDNA-based biomarkers</w:t>
      </w:r>
      <w:r>
        <w:rPr>
          <w:rFonts w:ascii="Book Antiqua" w:eastAsia="Book Antiqua" w:hAnsi="Book Antiqua" w:cs="Book Antiqua"/>
          <w:color w:val="000000"/>
          <w:vertAlign w:val="superscript"/>
        </w:rPr>
        <w:t>[24,63-65]</w:t>
      </w:r>
      <w:r>
        <w:rPr>
          <w:rFonts w:ascii="Book Antiqua" w:eastAsia="Book Antiqua" w:hAnsi="Book Antiqua" w:cs="Book Antiqua"/>
          <w:color w:val="000000"/>
        </w:rPr>
        <w:t>. However, it is clear that analysis of somatic genes in ctDNA provides limited sensitivity in detecting early-stage tumors (Table 1).</w:t>
      </w:r>
    </w:p>
    <w:p w14:paraId="1B3F8D8A" w14:textId="77777777" w:rsidR="00A503D8" w:rsidRDefault="00A503D8">
      <w:pPr>
        <w:spacing w:line="360" w:lineRule="auto"/>
        <w:jc w:val="both"/>
        <w:rPr>
          <w:rFonts w:ascii="Book Antiqua" w:eastAsia="Book Antiqua" w:hAnsi="Book Antiqua" w:cs="Book Antiqua"/>
          <w:b/>
          <w:bCs/>
          <w:color w:val="000000"/>
        </w:rPr>
      </w:pPr>
    </w:p>
    <w:p w14:paraId="7025B881" w14:textId="77777777" w:rsidR="00A503D8" w:rsidRDefault="00000000">
      <w:pPr>
        <w:spacing w:line="360" w:lineRule="auto"/>
        <w:jc w:val="both"/>
        <w:rPr>
          <w:rFonts w:ascii="Book Antiqua" w:hAnsi="Book Antiqua"/>
          <w:b/>
          <w:bCs/>
          <w:i/>
          <w:iCs/>
        </w:rPr>
      </w:pPr>
      <w:r>
        <w:rPr>
          <w:rFonts w:ascii="Book Antiqua" w:eastAsia="Book Antiqua" w:hAnsi="Book Antiqua" w:cs="Book Antiqua"/>
          <w:b/>
          <w:bCs/>
          <w:i/>
          <w:iCs/>
          <w:color w:val="000000"/>
        </w:rPr>
        <w:t>Cell free protein (secreted proteome) in PanCa and its associated benign pancreatic diseases</w:t>
      </w:r>
    </w:p>
    <w:p w14:paraId="722410BD" w14:textId="5535E08E" w:rsidR="00A503D8"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secreted proteome often acts as a suitable diagnostic biomarker, but currently only CA19-9 is a Food and Drug Administration-approved biomarker for PDAC diagnosis. It has substantial drawbacks and lacks a proper proteomic dataset for PanCa. Often false negative CA19-9 results are given by patients with </w:t>
      </w:r>
      <w:r>
        <w:rPr>
          <w:rFonts w:ascii="Book Antiqua" w:eastAsia="Book Antiqua" w:hAnsi="Book Antiqua" w:cs="Book Antiqua"/>
          <w:i/>
          <w:iCs/>
          <w:color w:val="000000"/>
        </w:rPr>
        <w:t>FUT3</w:t>
      </w:r>
      <w:r>
        <w:rPr>
          <w:rFonts w:ascii="Book Antiqua" w:eastAsia="Book Antiqua" w:hAnsi="Book Antiqua" w:cs="Book Antiqua"/>
          <w:color w:val="000000"/>
        </w:rPr>
        <w:t xml:space="preserve"> mutations, and false positives are also observed in non-malignant CP patients as CA19-9 is usually very highly overexpressed</w:t>
      </w:r>
      <w:r>
        <w:rPr>
          <w:rFonts w:ascii="Book Antiqua" w:eastAsia="Book Antiqua" w:hAnsi="Book Antiqua" w:cs="Book Antiqua"/>
          <w:color w:val="000000"/>
          <w:vertAlign w:val="superscript"/>
        </w:rPr>
        <w:t>[46]</w:t>
      </w:r>
      <w:r>
        <w:rPr>
          <w:rFonts w:ascii="Book Antiqua" w:eastAsia="Book Antiqua" w:hAnsi="Book Antiqua" w:cs="Book Antiqua"/>
          <w:color w:val="000000"/>
        </w:rPr>
        <w:t>.</w:t>
      </w:r>
    </w:p>
    <w:p w14:paraId="6CA327CE" w14:textId="0B87AE06" w:rsidR="00A503D8" w:rsidRDefault="00000000" w:rsidP="002A39AF">
      <w:pPr>
        <w:spacing w:line="360" w:lineRule="auto"/>
        <w:ind w:firstLine="480"/>
        <w:jc w:val="both"/>
        <w:rPr>
          <w:rFonts w:ascii="Book Antiqua" w:hAnsi="Book Antiqua"/>
        </w:rPr>
      </w:pPr>
      <w:r>
        <w:rPr>
          <w:rFonts w:ascii="Book Antiqua" w:eastAsia="Book Antiqua" w:hAnsi="Book Antiqua" w:cs="Book Antiqua"/>
          <w:color w:val="000000"/>
        </w:rPr>
        <w:t>The plasma-free amino acids (PFAAs) index is growing in popularity as a suitable approach for the diagnosis of PanCa. A study to compare the PFAAs index between PanCa and healthy controls by Fukutake</w:t>
      </w:r>
      <w:r>
        <w:rPr>
          <w:rFonts w:ascii="Book Antiqua" w:eastAsia="Book Antiqua" w:hAnsi="Book Antiqua" w:cs="Book Antiqua"/>
          <w:i/>
          <w:iCs/>
          <w:color w:val="000000"/>
        </w:rPr>
        <w:t xml:space="preserve"> et al</w:t>
      </w:r>
      <w:r>
        <w:rPr>
          <w:rFonts w:ascii="Book Antiqua" w:eastAsia="Book Antiqua" w:hAnsi="Book Antiqua" w:cs="Book Antiqua"/>
          <w:color w:val="000000"/>
          <w:vertAlign w:val="superscript"/>
        </w:rPr>
        <w:t>[66]</w:t>
      </w:r>
      <w:r>
        <w:rPr>
          <w:rFonts w:ascii="Book Antiqua" w:eastAsia="Book Antiqua" w:hAnsi="Book Antiqua" w:cs="Book Antiqua"/>
          <w:color w:val="000000"/>
        </w:rPr>
        <w:t xml:space="preserve"> found PFAAs as a significant biomarker capable of distinguishing PDAC. The receiver operating curve AUC developed index was </w:t>
      </w:r>
      <w:r>
        <w:rPr>
          <w:rFonts w:ascii="Book Antiqua" w:eastAsia="Book Antiqua" w:hAnsi="Book Antiqua" w:cs="Book Antiqua"/>
          <w:color w:val="000000"/>
        </w:rPr>
        <w:lastRenderedPageBreak/>
        <w:t>demonstrated to suitably discriminate PanCa from controls. PFAAs are modulated by metabolic changes, in particular in organ systems based on disease induction. As a result, most metabolomic studies consider the analysis of the PFAAs index</w:t>
      </w:r>
      <w:r>
        <w:rPr>
          <w:rFonts w:ascii="Book Antiqua" w:eastAsia="Book Antiqua" w:hAnsi="Book Antiqua" w:cs="Book Antiqua"/>
          <w:color w:val="000000"/>
          <w:vertAlign w:val="superscript"/>
        </w:rPr>
        <w:t>[66]</w:t>
      </w:r>
      <w:r>
        <w:rPr>
          <w:rFonts w:ascii="Book Antiqua" w:eastAsia="Book Antiqua" w:hAnsi="Book Antiqua" w:cs="Book Antiqua"/>
          <w:color w:val="000000"/>
        </w:rPr>
        <w:t>. Sources of protein biomarker analysis are usually blood and pancreatic juice, but it can also be validated from tissue samples. Wu</w:t>
      </w:r>
      <w:r>
        <w:rPr>
          <w:rFonts w:ascii="Book Antiqua" w:eastAsia="Book Antiqua" w:hAnsi="Book Antiqua" w:cs="Book Antiqua"/>
          <w:i/>
          <w:iCs/>
          <w:color w:val="000000"/>
        </w:rPr>
        <w:t xml:space="preserve"> et al</w:t>
      </w:r>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documented that altered levels of proteins, namely GPC1, PFAA, OPNT + TIMP-1, CPA4, MUC5AC and C4BPA, were observed in the serum of PanCa patients. They also documented that GPC1 level was significantly higher in PanCa patients than in patients with benign pancreatic diseases such as CP or AIP. It was also documented that serum levels of cell free CPA4 were significantly higher in PanCa than in healthy controls with a parallel observation that C4BPA was comparatively more sensitive than CA19-9. A crucial observation was based on PFAA where it was revealed that PFAA levels correlated with PanCa staging and that can be used for pathological PanCa staging. A significantly high level of serine in plasma was also documented along with a significant decrease in threonine levels in PanCa patient plasma (Table 2)</w:t>
      </w:r>
      <w:r>
        <w:rPr>
          <w:rFonts w:ascii="Book Antiqua" w:eastAsia="Book Antiqua" w:hAnsi="Book Antiqua" w:cs="Book Antiqua"/>
          <w:color w:val="000000"/>
          <w:vertAlign w:val="superscript"/>
        </w:rPr>
        <w:t>[21,66,67]</w:t>
      </w:r>
      <w:r>
        <w:rPr>
          <w:rFonts w:ascii="Book Antiqua" w:eastAsia="Book Antiqua" w:hAnsi="Book Antiqua" w:cs="Book Antiqua"/>
          <w:color w:val="000000"/>
        </w:rPr>
        <w:t>.</w:t>
      </w:r>
    </w:p>
    <w:p w14:paraId="4A3B017F" w14:textId="380B7C52" w:rsidR="00A503D8"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Proteomic techniques are gaining a lot of attention for studying protein expression in PanCa. Urine as a source for the non-invasive analysis of biomarkers has gained attention. Advantages of using urine are: (1) Common proteins such as albumin are less abundant; (2) Sample processing is simpler (the plasma secreted proteome (secretome) is much more complex than the urine proteome); (3) Urine is more thermostable; and (4) 49% of proteins are soluble products in urine obtained from glomerular filtration of lymphatic fluids (indicates that various external sources contribute towards the pool of the urine proteome and its protein components). Similar studies have been completed in breast and ovarian cancers; and it is likely to remain an active area of investigation (Table 2)</w:t>
      </w:r>
      <w:r>
        <w:rPr>
          <w:rFonts w:ascii="Book Antiqua" w:eastAsia="Book Antiqua" w:hAnsi="Book Antiqua" w:cs="Book Antiqua"/>
          <w:color w:val="000000"/>
          <w:vertAlign w:val="superscript"/>
        </w:rPr>
        <w:t>[47,68,69]</w:t>
      </w:r>
      <w:r>
        <w:rPr>
          <w:rFonts w:ascii="Book Antiqua" w:eastAsia="Book Antiqua" w:hAnsi="Book Antiqua" w:cs="Book Antiqua"/>
          <w:color w:val="000000"/>
        </w:rPr>
        <w:t>.</w:t>
      </w:r>
    </w:p>
    <w:p w14:paraId="54B5421F" w14:textId="77777777" w:rsidR="00A503D8" w:rsidRDefault="00A503D8">
      <w:pPr>
        <w:spacing w:line="360" w:lineRule="auto"/>
        <w:jc w:val="both"/>
        <w:rPr>
          <w:rFonts w:ascii="Book Antiqua" w:eastAsia="Book Antiqua" w:hAnsi="Book Antiqua" w:cs="Book Antiqua"/>
          <w:b/>
          <w:bCs/>
          <w:color w:val="000000"/>
        </w:rPr>
      </w:pPr>
    </w:p>
    <w:p w14:paraId="48B6890F" w14:textId="77777777" w:rsidR="00A503D8" w:rsidRDefault="00000000">
      <w:pPr>
        <w:spacing w:line="360" w:lineRule="auto"/>
        <w:jc w:val="both"/>
        <w:rPr>
          <w:rFonts w:ascii="Book Antiqua" w:hAnsi="Book Antiqua"/>
          <w:i/>
          <w:iCs/>
        </w:rPr>
      </w:pPr>
      <w:r>
        <w:rPr>
          <w:rFonts w:ascii="Book Antiqua" w:eastAsia="Book Antiqua" w:hAnsi="Book Antiqua" w:cs="Book Antiqua"/>
          <w:b/>
          <w:bCs/>
          <w:i/>
          <w:iCs/>
          <w:color w:val="000000"/>
        </w:rPr>
        <w:t>Role of secretome as a diagnostic and therapeutic biomarker</w:t>
      </w:r>
    </w:p>
    <w:p w14:paraId="1DB4F093" w14:textId="58A75321" w:rsidR="00A503D8"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Cell free nucleic acid alone or combined with the secretome is likely to enhance sensitivity in PanCa diagnosis, and it remains an area of high interest in the field. Research often claims that patients with some signature of circulating proteins ideally overlap with </w:t>
      </w:r>
      <w:r>
        <w:rPr>
          <w:rFonts w:ascii="Book Antiqua" w:eastAsia="Book Antiqua" w:hAnsi="Book Antiqua" w:cs="Book Antiqua"/>
          <w:color w:val="000000"/>
        </w:rPr>
        <w:lastRenderedPageBreak/>
        <w:t>circulating DNA. The main issue is that cfDNA and cell free proteins are most often seen in advanced stages than in early stages</w:t>
      </w:r>
      <w:r>
        <w:rPr>
          <w:rFonts w:ascii="Book Antiqua" w:eastAsia="Book Antiqua" w:hAnsi="Book Antiqua" w:cs="Book Antiqua"/>
          <w:color w:val="000000"/>
          <w:vertAlign w:val="superscript"/>
        </w:rPr>
        <w:t>[63]</w:t>
      </w:r>
      <w:r>
        <w:rPr>
          <w:rFonts w:ascii="Book Antiqua" w:eastAsia="Book Antiqua" w:hAnsi="Book Antiqua" w:cs="Book Antiqua"/>
          <w:color w:val="000000"/>
        </w:rPr>
        <w:t>. A secretome study to identify cell free proteins as biomarkers in PanCa is usually dominated by the urine proteome. In a study by Poruk</w:t>
      </w:r>
      <w:r>
        <w:rPr>
          <w:rFonts w:ascii="Book Antiqua" w:eastAsia="Book Antiqua" w:hAnsi="Book Antiqua" w:cs="Book Antiqua"/>
          <w:i/>
          <w:iCs/>
          <w:color w:val="000000"/>
        </w:rPr>
        <w:t xml:space="preserve"> et al</w:t>
      </w:r>
      <w:r>
        <w:rPr>
          <w:rFonts w:ascii="Book Antiqua" w:eastAsia="Book Antiqua" w:hAnsi="Book Antiqua" w:cs="Book Antiqua"/>
          <w:color w:val="000000"/>
          <w:vertAlign w:val="superscript"/>
        </w:rPr>
        <w:t>[70]</w:t>
      </w:r>
      <w:r>
        <w:rPr>
          <w:rFonts w:ascii="Book Antiqua" w:eastAsia="Book Antiqua" w:hAnsi="Book Antiqua" w:cs="Book Antiqua"/>
          <w:i/>
          <w:iCs/>
          <w:color w:val="000000"/>
        </w:rPr>
        <w:t xml:space="preserve">, </w:t>
      </w:r>
      <w:r>
        <w:rPr>
          <w:rFonts w:ascii="Book Antiqua" w:eastAsia="Book Antiqua" w:hAnsi="Book Antiqua" w:cs="Book Antiqua"/>
          <w:color w:val="000000"/>
        </w:rPr>
        <w:t>the researchers validated a pair of biomarkers to distinguish between PDAC and healthy controls as well as distinguishing it from CP. This group also focused on the ability of the biomarker to identify the early onset of the disease. The pair of biomarkers were OPN and TIMP-1, and they were found to be uniformly overexpressed in the case of PDAC. Due to their tendency to be available as the secretome in blood, they were easy to detect and were shown to be a useful tool for diagnosis. OPN particularly acts as a more advanced prognostic biomarker by itself</w:t>
      </w:r>
      <w:r>
        <w:rPr>
          <w:rFonts w:ascii="Book Antiqua" w:eastAsia="Book Antiqua" w:hAnsi="Book Antiqua" w:cs="Book Antiqua"/>
          <w:color w:val="000000"/>
          <w:vertAlign w:val="superscript"/>
        </w:rPr>
        <w:t>[70-72]</w:t>
      </w:r>
      <w:r>
        <w:rPr>
          <w:rFonts w:ascii="Book Antiqua" w:eastAsia="Book Antiqua" w:hAnsi="Book Antiqua" w:cs="Book Antiqua"/>
          <w:color w:val="000000"/>
        </w:rPr>
        <w:t>. Urine samples are also a reliable source of cell free biomarker isolation and identification.</w:t>
      </w:r>
    </w:p>
    <w:p w14:paraId="417DEF00" w14:textId="0C13DB71" w:rsidR="00A503D8" w:rsidRDefault="00000000">
      <w:pPr>
        <w:spacing w:line="360" w:lineRule="auto"/>
        <w:ind w:firstLine="450"/>
        <w:jc w:val="both"/>
        <w:rPr>
          <w:rFonts w:ascii="Book Antiqua" w:eastAsia="Book Antiqua" w:hAnsi="Book Antiqua" w:cs="Book Antiqua"/>
          <w:color w:val="000000"/>
        </w:rPr>
      </w:pPr>
      <w:r>
        <w:rPr>
          <w:rFonts w:ascii="Book Antiqua" w:eastAsia="Book Antiqua" w:hAnsi="Book Antiqua" w:cs="Book Antiqua"/>
          <w:color w:val="000000"/>
        </w:rPr>
        <w:t>A three-protein biomarker panel was developed from urine samples of PDAC patients and were assayed using GeLC/mass spectroscopy (MS)/MS and validated using an enzyme-linked immunosorbent assay. The candidate protein biomarkers were namely LYVE-1, TFF1 and REG1A, and they provided an AUC of 0.89. These biomarkers were able to distinguish between early-stage PDAC and advanced-stage PDAC and were almost consistent with CA-19 levels that were documented in regard to every PDAC stage. The panel was also able to distinguish between PDAC and CP based on the higher levels of biomarkers in PDAC than in CP as well as PDAC stage I-II. The concentrations of these proteins were significantly higher than CP, which generated a clear demarcation between these groups</w:t>
      </w:r>
      <w:r>
        <w:rPr>
          <w:rFonts w:ascii="Book Antiqua" w:eastAsia="Book Antiqua" w:hAnsi="Book Antiqua" w:cs="Book Antiqua"/>
          <w:color w:val="000000"/>
          <w:vertAlign w:val="superscript"/>
        </w:rPr>
        <w:t>[73]</w:t>
      </w:r>
      <w:r>
        <w:rPr>
          <w:rFonts w:ascii="Book Antiqua" w:eastAsia="Book Antiqua" w:hAnsi="Book Antiqua" w:cs="Book Antiqua"/>
          <w:color w:val="000000"/>
        </w:rPr>
        <w:t>.</w:t>
      </w:r>
    </w:p>
    <w:p w14:paraId="1746A44D" w14:textId="79A005B3" w:rsidR="00A503D8" w:rsidRDefault="00000000" w:rsidP="002A39AF">
      <w:pPr>
        <w:spacing w:line="360" w:lineRule="auto"/>
        <w:ind w:firstLine="450"/>
        <w:jc w:val="both"/>
        <w:rPr>
          <w:rFonts w:ascii="Book Antiqua" w:hAnsi="Book Antiqua"/>
        </w:rPr>
      </w:pPr>
      <w:r>
        <w:rPr>
          <w:rFonts w:ascii="Book Antiqua" w:eastAsia="Book Antiqua" w:hAnsi="Book Antiqua" w:cs="Book Antiqua"/>
          <w:color w:val="000000"/>
        </w:rPr>
        <w:t xml:space="preserve">Kaur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[74]</w:t>
      </w:r>
      <w:r>
        <w:rPr>
          <w:rFonts w:ascii="Book Antiqua" w:eastAsia="Book Antiqua" w:hAnsi="Book Antiqua" w:cs="Book Antiqua"/>
          <w:color w:val="000000"/>
        </w:rPr>
        <w:t xml:space="preserve"> reported MUC5AC as a suitable biomarker candidate for PanCa diagnosis based on its capability to differentiate between PanCa, CP and AIP. Another urine-based diagnosis study claimed that neutrophil gelatinase-associated lipocalin can provide valuable information on the onset of PanCa identification</w:t>
      </w:r>
      <w:r>
        <w:rPr>
          <w:rFonts w:ascii="Book Antiqua" w:eastAsia="Book Antiqua" w:hAnsi="Book Antiqua" w:cs="Book Antiqua"/>
          <w:color w:val="000000"/>
          <w:vertAlign w:val="superscript"/>
        </w:rPr>
        <w:t>[21,74]</w:t>
      </w:r>
      <w:r>
        <w:rPr>
          <w:rFonts w:ascii="Book Antiqua" w:eastAsia="Book Antiqua" w:hAnsi="Book Antiqua" w:cs="Book Antiqua"/>
          <w:color w:val="000000"/>
        </w:rPr>
        <w:t>. Considering that pancreatic juice collection is an invasive process, the parallel study was completed studying the role of ARG2 as PanCa biomarker, which was specific in targeting the bile component for PanCa early-stage detection. sLR11, which is present in the bile of PanCa cases, was able to discriminate between PanCa and healthy controls</w:t>
      </w:r>
      <w:r>
        <w:rPr>
          <w:rFonts w:ascii="Book Antiqua" w:eastAsia="Book Antiqua" w:hAnsi="Book Antiqua" w:cs="Book Antiqua"/>
          <w:color w:val="000000"/>
          <w:vertAlign w:val="superscript"/>
        </w:rPr>
        <w:t>[75]</w:t>
      </w:r>
      <w:r>
        <w:rPr>
          <w:rFonts w:ascii="Book Antiqua" w:eastAsia="Book Antiqua" w:hAnsi="Book Antiqua" w:cs="Book Antiqua"/>
          <w:color w:val="000000"/>
        </w:rPr>
        <w:t>. A panel of CA19-</w:t>
      </w:r>
      <w:r>
        <w:rPr>
          <w:rFonts w:ascii="Book Antiqua" w:eastAsia="Book Antiqua" w:hAnsi="Book Antiqua" w:cs="Book Antiqua"/>
          <w:color w:val="000000"/>
        </w:rPr>
        <w:lastRenderedPageBreak/>
        <w:t>9, CA 242, CA 125 and CEA obtained from serum showed a sensitivity and specificity of 90% and 94%, respectively</w:t>
      </w:r>
      <w:r>
        <w:rPr>
          <w:rFonts w:ascii="Book Antiqua" w:eastAsia="Book Antiqua" w:hAnsi="Book Antiqua" w:cs="Book Antiqua"/>
          <w:color w:val="000000"/>
          <w:vertAlign w:val="superscript"/>
        </w:rPr>
        <w:t>[76,77]</w:t>
      </w:r>
      <w:r>
        <w:rPr>
          <w:rFonts w:ascii="Book Antiqua" w:eastAsia="Book Antiqua" w:hAnsi="Book Antiqua" w:cs="Book Antiqua"/>
          <w:color w:val="000000"/>
        </w:rPr>
        <w:t>. A novel nucleosome marker panel developed by Bauden</w:t>
      </w:r>
      <w:r>
        <w:rPr>
          <w:rFonts w:ascii="Book Antiqua" w:eastAsia="Book Antiqua" w:hAnsi="Book Antiqua" w:cs="Book Antiqua"/>
          <w:i/>
          <w:iCs/>
          <w:color w:val="000000"/>
        </w:rPr>
        <w:t xml:space="preserve"> et al</w:t>
      </w:r>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showed better sensitivity than CA19-9 in discriminating PanCa from a healthy control. The markers were </w:t>
      </w:r>
      <w:r>
        <w:rPr>
          <w:rFonts w:ascii="Book Antiqua" w:eastAsia="Book Antiqua" w:hAnsi="Book Antiqua" w:cs="Book Antiqua"/>
          <w:i/>
          <w:iCs/>
          <w:color w:val="000000"/>
        </w:rPr>
        <w:t>H3K4Me2, H2AZ, H2AK119Ub, H2A1.1</w:t>
      </w:r>
      <w:r>
        <w:rPr>
          <w:rFonts w:ascii="Book Antiqua" w:eastAsia="Book Antiqua" w:hAnsi="Book Antiqua" w:cs="Book Antiqua"/>
          <w:color w:val="000000"/>
        </w:rPr>
        <w:t xml:space="preserve"> and 5mC</w:t>
      </w:r>
      <w:r>
        <w:rPr>
          <w:rFonts w:ascii="Book Antiqua" w:eastAsia="Book Antiqua" w:hAnsi="Book Antiqua" w:cs="Book Antiqua"/>
          <w:color w:val="000000"/>
          <w:vertAlign w:val="superscript"/>
        </w:rPr>
        <w:t>[36]</w:t>
      </w:r>
      <w:r>
        <w:rPr>
          <w:rFonts w:ascii="Book Antiqua" w:eastAsia="Book Antiqua" w:hAnsi="Book Antiqua" w:cs="Book Antiqua"/>
          <w:color w:val="000000"/>
        </w:rPr>
        <w:t>. Additionally, as documented by Melo</w:t>
      </w:r>
      <w:r>
        <w:rPr>
          <w:rFonts w:ascii="Book Antiqua" w:eastAsia="Book Antiqua" w:hAnsi="Book Antiqua" w:cs="Book Antiqua"/>
          <w:i/>
          <w:iCs/>
          <w:color w:val="000000"/>
        </w:rPr>
        <w:t xml:space="preserve"> et al</w:t>
      </w:r>
      <w:r>
        <w:rPr>
          <w:rFonts w:ascii="Book Antiqua" w:eastAsia="Book Antiqua" w:hAnsi="Book Antiqua" w:cs="Book Antiqua"/>
          <w:color w:val="000000"/>
          <w:vertAlign w:val="superscript"/>
        </w:rPr>
        <w:t>[78]</w:t>
      </w:r>
      <w:r>
        <w:rPr>
          <w:rFonts w:ascii="Book Antiqua" w:eastAsia="Book Antiqua" w:hAnsi="Book Antiqua" w:cs="Book Antiqua"/>
          <w:i/>
          <w:iCs/>
          <w:color w:val="000000"/>
        </w:rPr>
        <w:t xml:space="preserve">, </w:t>
      </w:r>
      <w:r>
        <w:rPr>
          <w:rFonts w:ascii="Book Antiqua" w:eastAsia="Book Antiqua" w:hAnsi="Book Antiqua" w:cs="Book Antiqua"/>
          <w:color w:val="000000"/>
        </w:rPr>
        <w:t>the absolute prediction (AUC = 1.0) of PanCa using glypican 1 on exosomes identified by MS showed utility as a biomarker (Table 2).</w:t>
      </w:r>
    </w:p>
    <w:p w14:paraId="0C19D486" w14:textId="77777777" w:rsidR="00A503D8" w:rsidRDefault="00A503D8">
      <w:pPr>
        <w:spacing w:line="360" w:lineRule="auto"/>
        <w:jc w:val="both"/>
        <w:rPr>
          <w:rFonts w:ascii="Book Antiqua" w:eastAsia="Book Antiqua" w:hAnsi="Book Antiqua" w:cs="Book Antiqua"/>
          <w:b/>
          <w:bCs/>
          <w:i/>
          <w:iCs/>
          <w:color w:val="000000"/>
        </w:rPr>
      </w:pPr>
    </w:p>
    <w:p w14:paraId="55FAD525" w14:textId="77777777" w:rsidR="00A503D8" w:rsidRDefault="00000000">
      <w:pPr>
        <w:spacing w:line="360" w:lineRule="auto"/>
        <w:jc w:val="both"/>
        <w:rPr>
          <w:rFonts w:ascii="Book Antiqua" w:hAnsi="Book Antiqua"/>
          <w:b/>
          <w:bCs/>
          <w:i/>
          <w:iCs/>
        </w:rPr>
      </w:pPr>
      <w:r>
        <w:rPr>
          <w:rFonts w:ascii="Book Antiqua" w:eastAsia="Book Antiqua" w:hAnsi="Book Antiqua" w:cs="Book Antiqua"/>
          <w:b/>
          <w:bCs/>
          <w:i/>
          <w:iCs/>
          <w:color w:val="000000"/>
        </w:rPr>
        <w:t>cfRNA in PanCa and its association with benign pancreatic diseases</w:t>
      </w:r>
    </w:p>
    <w:p w14:paraId="12CFDCB0" w14:textId="32DC6719" w:rsidR="00A503D8" w:rsidRDefault="00000000">
      <w:pPr>
        <w:spacing w:line="360" w:lineRule="auto"/>
        <w:jc w:val="both"/>
        <w:rPr>
          <w:rFonts w:ascii="Book Antiqua" w:hAnsi="Book Antiqua"/>
        </w:rPr>
      </w:pPr>
      <w:r>
        <w:rPr>
          <w:rFonts w:ascii="Book Antiqua" w:eastAsia="Book Antiqua" w:hAnsi="Book Antiqua" w:cs="Book Antiqua"/>
          <w:color w:val="000000"/>
        </w:rPr>
        <w:t>Amidst the traditional serum-based biomarkers like CA19-9, CA125 and CEA for PanCa diagnostics, there is an immense need for the development of more sensitive and specific non-invasive biomarkers. Sensitivity and specificity are usually higher when the three are used jointly (Table 3)</w:t>
      </w:r>
      <w:r>
        <w:rPr>
          <w:rFonts w:ascii="Book Antiqua" w:eastAsia="Book Antiqua" w:hAnsi="Book Antiqua" w:cs="Book Antiqua"/>
          <w:color w:val="000000"/>
          <w:vertAlign w:val="superscript"/>
        </w:rPr>
        <w:t>[21,31]</w:t>
      </w:r>
      <w:r>
        <w:rPr>
          <w:rFonts w:ascii="Book Antiqua" w:eastAsia="Book Antiqua" w:hAnsi="Book Antiqua" w:cs="Book Antiqua"/>
          <w:color w:val="000000"/>
        </w:rPr>
        <w:t>.</w:t>
      </w:r>
    </w:p>
    <w:p w14:paraId="4B520329" w14:textId="1B96C6E5" w:rsidR="00A503D8" w:rsidRDefault="00000000">
      <w:pPr>
        <w:spacing w:line="360" w:lineRule="auto"/>
        <w:ind w:firstLine="480"/>
        <w:jc w:val="both"/>
        <w:rPr>
          <w:rFonts w:ascii="Book Antiqua" w:eastAsia="Book Antiqua" w:hAnsi="Book Antiqua" w:cs="Book Antiqua"/>
          <w:color w:val="000000"/>
        </w:rPr>
      </w:pPr>
      <w:r>
        <w:rPr>
          <w:rFonts w:ascii="Book Antiqua" w:eastAsia="Book Antiqua" w:hAnsi="Book Antiqua" w:cs="Book Antiqua"/>
          <w:color w:val="000000"/>
        </w:rPr>
        <w:t>Uncontrolled proliferating cancer has a high mortality rate, and treatment and diagnosis are also difficult due to the lack of screening imaging modalities and specific biomarkers. Emerging evidence of biomarkers generated from tumor cells contains a high quantity of RNA in the bloodstream that block RNases in blood. They also showcase sufficient levels for quantitative analyses</w:t>
      </w:r>
      <w:r>
        <w:rPr>
          <w:rFonts w:ascii="Book Antiqua" w:eastAsia="Book Antiqua" w:hAnsi="Book Antiqua" w:cs="Book Antiqua"/>
          <w:color w:val="000000"/>
          <w:vertAlign w:val="superscript"/>
        </w:rPr>
        <w:t>[79]</w:t>
      </w:r>
      <w:r>
        <w:rPr>
          <w:rFonts w:ascii="Book Antiqua" w:eastAsia="Book Antiqua" w:hAnsi="Book Antiqua" w:cs="Book Antiqua"/>
          <w:color w:val="000000"/>
        </w:rPr>
        <w:t>. Living cells consistently release RNA, which is encapsulated inside big lipoprotein complexes, namely exosomes/microvesicles (MVs). RNA that is obtained from dead or dying cells found from blood is connected with apoptotic bodies and protein complexes</w:t>
      </w:r>
      <w:r>
        <w:rPr>
          <w:rFonts w:ascii="Book Antiqua" w:eastAsia="Book Antiqua" w:hAnsi="Book Antiqua" w:cs="Book Antiqua"/>
          <w:color w:val="000000"/>
          <w:vertAlign w:val="superscript"/>
        </w:rPr>
        <w:t>[80]</w:t>
      </w:r>
      <w:r>
        <w:rPr>
          <w:rFonts w:ascii="Book Antiqua" w:eastAsia="Book Antiqua" w:hAnsi="Book Antiqua" w:cs="Book Antiqua"/>
          <w:color w:val="000000"/>
        </w:rPr>
        <w:t>.</w:t>
      </w:r>
    </w:p>
    <w:p w14:paraId="245010B7" w14:textId="09E153CE" w:rsidR="00A503D8" w:rsidRDefault="00000000">
      <w:pPr>
        <w:spacing w:line="360" w:lineRule="auto"/>
        <w:ind w:firstLine="480"/>
        <w:jc w:val="both"/>
        <w:rPr>
          <w:rFonts w:ascii="Book Antiqua" w:eastAsia="Book Antiqua" w:hAnsi="Book Antiqua" w:cs="Book Antiqua"/>
          <w:color w:val="000000"/>
        </w:rPr>
      </w:pPr>
      <w:r>
        <w:rPr>
          <w:rFonts w:ascii="Book Antiqua" w:eastAsia="Book Antiqua" w:hAnsi="Book Antiqua" w:cs="Book Antiqua"/>
          <w:color w:val="000000"/>
        </w:rPr>
        <w:t>Exosomes range from 40-140 nm in diameter and are made of lipoprotein membranous vesicles of endocytic origin. They are formed from the fusion of multivesicular bodies with the plasma membrane. They are released into extracellular spaces thereafter</w:t>
      </w:r>
      <w:r>
        <w:rPr>
          <w:rFonts w:ascii="Book Antiqua" w:eastAsia="Book Antiqua" w:hAnsi="Book Antiqua" w:cs="Book Antiqua"/>
          <w:color w:val="000000"/>
          <w:vertAlign w:val="superscript"/>
        </w:rPr>
        <w:t>[81]</w:t>
      </w:r>
      <w:r>
        <w:rPr>
          <w:rFonts w:ascii="Book Antiqua" w:eastAsia="Book Antiqua" w:hAnsi="Book Antiqua" w:cs="Book Antiqua"/>
          <w:color w:val="000000"/>
        </w:rPr>
        <w:t>. MVs are much larger than exosomes and have a diameter ranging from 100-1000 nm. They have heterogeneous morphologies, and they originate from the plasma membrane by budding with the extracellular space.</w:t>
      </w:r>
    </w:p>
    <w:p w14:paraId="2E9E07A3" w14:textId="3F8ED386" w:rsidR="00A503D8" w:rsidRDefault="00000000">
      <w:pPr>
        <w:spacing w:line="360" w:lineRule="auto"/>
        <w:ind w:firstLine="480"/>
        <w:jc w:val="both"/>
        <w:rPr>
          <w:rFonts w:ascii="Book Antiqua" w:eastAsia="Book Antiqua" w:hAnsi="Book Antiqua" w:cs="Book Antiqua"/>
          <w:color w:val="000000"/>
        </w:rPr>
      </w:pPr>
      <w:r>
        <w:rPr>
          <w:rFonts w:ascii="Book Antiqua" w:eastAsia="Book Antiqua" w:hAnsi="Book Antiqua" w:cs="Book Antiqua"/>
          <w:color w:val="000000"/>
        </w:rPr>
        <w:t xml:space="preserve">Apoptotic bodies are morphologically MVs that are heterogeneous in shape, spanning 50-500 nm in diameter, and contain organelles. They are released </w:t>
      </w:r>
      <w:r>
        <w:rPr>
          <w:rFonts w:ascii="Book Antiqua" w:eastAsia="Book Antiqua" w:hAnsi="Book Antiqua" w:cs="Book Antiqua"/>
          <w:i/>
          <w:iCs/>
          <w:color w:val="000000"/>
        </w:rPr>
        <w:t>via</w:t>
      </w:r>
      <w:r>
        <w:rPr>
          <w:rFonts w:ascii="Book Antiqua" w:eastAsia="Book Antiqua" w:hAnsi="Book Antiqua" w:cs="Book Antiqua"/>
          <w:color w:val="000000"/>
        </w:rPr>
        <w:t xml:space="preserve"> outward </w:t>
      </w:r>
      <w:r>
        <w:rPr>
          <w:rFonts w:ascii="Book Antiqua" w:eastAsia="Book Antiqua" w:hAnsi="Book Antiqua" w:cs="Book Antiqua"/>
          <w:color w:val="000000"/>
        </w:rPr>
        <w:lastRenderedPageBreak/>
        <w:t>protrusion from the plasma membrane during the late phase of apoptosis</w:t>
      </w:r>
      <w:r>
        <w:rPr>
          <w:rFonts w:ascii="Book Antiqua" w:eastAsia="Book Antiqua" w:hAnsi="Book Antiqua" w:cs="Book Antiqua"/>
          <w:color w:val="000000"/>
          <w:vertAlign w:val="superscript"/>
        </w:rPr>
        <w:t>[82]</w:t>
      </w:r>
      <w:r>
        <w:rPr>
          <w:rFonts w:ascii="Book Antiqua" w:eastAsia="Book Antiqua" w:hAnsi="Book Antiqua" w:cs="Book Antiqua"/>
          <w:color w:val="000000"/>
        </w:rPr>
        <w:t xml:space="preserve">. Several studies have demonstrated that tumors specifically secrete exosomes or MVs, which contain specific miRNAs. However, Arroyo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[83]</w:t>
      </w:r>
      <w:r>
        <w:rPr>
          <w:rFonts w:ascii="Book Antiqua" w:eastAsia="Book Antiqua" w:hAnsi="Book Antiqua" w:cs="Book Antiqua"/>
          <w:color w:val="000000"/>
        </w:rPr>
        <w:t xml:space="preserve"> stated that miRNAs in circulation are principally found in the Ago2 ribonucleoprotein complex and not vesicles. This indicates that detected miRNAs are derived mostly from apoptotic and necrotic processes, which occur frequently in tumor cells. These circulating RNAs are found in the plasma or serum of patients and are upregulated when compared to healthy patients.</w:t>
      </w:r>
    </w:p>
    <w:p w14:paraId="7F97B2CE" w14:textId="4A4991DF" w:rsidR="00A503D8" w:rsidRDefault="00000000" w:rsidP="002A39AF">
      <w:pPr>
        <w:spacing w:line="360" w:lineRule="auto"/>
        <w:ind w:firstLine="480"/>
        <w:jc w:val="both"/>
        <w:rPr>
          <w:rFonts w:ascii="Book Antiqua" w:hAnsi="Book Antiqua"/>
        </w:rPr>
      </w:pPr>
      <w:r>
        <w:rPr>
          <w:rFonts w:ascii="Book Antiqua" w:eastAsia="Book Antiqua" w:hAnsi="Book Antiqua" w:cs="Book Antiqua"/>
          <w:color w:val="000000"/>
        </w:rPr>
        <w:t>A significant amount of RNA biomarkers have been shown to be circulating miRNAs and are mostly tissue specific. Some reports found tumor-specific upregulation of various types of small noncoding RNAs (ncRNAs), such as small nuclear RNAs, Piwi-interacting RNAs and long ncRNAs (lncRNAs) like HOTAIR and MALAT1. They act as diagnostic and prognostic markers in the serum or plasma of cancer patients</w:t>
      </w:r>
      <w:r>
        <w:rPr>
          <w:rFonts w:ascii="Book Antiqua" w:eastAsia="Book Antiqua" w:hAnsi="Book Antiqua" w:cs="Book Antiqua"/>
          <w:color w:val="000000"/>
          <w:vertAlign w:val="superscript"/>
        </w:rPr>
        <w:t>[84,85]</w:t>
      </w:r>
      <w:r>
        <w:rPr>
          <w:rFonts w:ascii="Book Antiqua" w:eastAsia="Book Antiqua" w:hAnsi="Book Antiqua" w:cs="Book Antiqua"/>
          <w:color w:val="000000"/>
        </w:rPr>
        <w:t>. Amidst that, some have reported alterations in gene expression according to disease progression, which discriminates between a chronic inflammatory state and carcinoma (Table 3)</w:t>
      </w:r>
      <w:r>
        <w:rPr>
          <w:rFonts w:ascii="Book Antiqua" w:eastAsia="Book Antiqua" w:hAnsi="Book Antiqua" w:cs="Book Antiqua"/>
          <w:color w:val="000000"/>
          <w:vertAlign w:val="superscript"/>
        </w:rPr>
        <w:t>[86,87]</w:t>
      </w:r>
      <w:r>
        <w:rPr>
          <w:rFonts w:ascii="Book Antiqua" w:eastAsia="Book Antiqua" w:hAnsi="Book Antiqua" w:cs="Book Antiqua"/>
          <w:color w:val="000000"/>
        </w:rPr>
        <w:t>.</w:t>
      </w:r>
    </w:p>
    <w:p w14:paraId="79B38AAF" w14:textId="2372A5FB" w:rsidR="00A503D8"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Funaki</w:t>
      </w:r>
      <w:r>
        <w:rPr>
          <w:rFonts w:ascii="Book Antiqua" w:eastAsia="Book Antiqua" w:hAnsi="Book Antiqua" w:cs="Book Antiqua"/>
          <w:i/>
          <w:iCs/>
          <w:color w:val="000000"/>
        </w:rPr>
        <w:t xml:space="preserve"> et al</w:t>
      </w:r>
      <w:r>
        <w:rPr>
          <w:rFonts w:ascii="Book Antiqua" w:eastAsia="Book Antiqua" w:hAnsi="Book Antiqua" w:cs="Book Antiqua"/>
          <w:color w:val="000000"/>
          <w:vertAlign w:val="superscript"/>
        </w:rPr>
        <w:t>[88]</w:t>
      </w:r>
      <w:r>
        <w:rPr>
          <w:rFonts w:ascii="Book Antiqua" w:eastAsia="Book Antiqua" w:hAnsi="Book Antiqua" w:cs="Book Antiqua"/>
          <w:color w:val="000000"/>
        </w:rPr>
        <w:t xml:space="preserve"> detected </w:t>
      </w:r>
      <w:r w:rsidRPr="002A39AF">
        <w:rPr>
          <w:rFonts w:ascii="Book Antiqua" w:eastAsia="Book Antiqua" w:hAnsi="Book Antiqua" w:cs="Book Antiqua"/>
          <w:i/>
          <w:iCs/>
          <w:color w:val="000000"/>
        </w:rPr>
        <w:t>CEA</w:t>
      </w:r>
      <w:r>
        <w:rPr>
          <w:rFonts w:ascii="Book Antiqua" w:eastAsia="Book Antiqua" w:hAnsi="Book Antiqua" w:cs="Book Antiqua"/>
          <w:color w:val="000000"/>
        </w:rPr>
        <w:t xml:space="preserve"> mRNA by real-time reverse transcription PCR in the whole blood of PanCa patients. Clarke</w:t>
      </w:r>
      <w:r>
        <w:rPr>
          <w:rFonts w:ascii="Book Antiqua" w:eastAsia="Book Antiqua" w:hAnsi="Book Antiqua" w:cs="Book Antiqua"/>
          <w:i/>
          <w:iCs/>
          <w:color w:val="000000"/>
        </w:rPr>
        <w:t xml:space="preserve"> et al</w:t>
      </w:r>
      <w:r>
        <w:rPr>
          <w:rFonts w:ascii="Book Antiqua" w:eastAsia="Book Antiqua" w:hAnsi="Book Antiqua" w:cs="Book Antiqua"/>
          <w:color w:val="000000"/>
          <w:vertAlign w:val="superscript"/>
        </w:rPr>
        <w:t>[89]</w:t>
      </w:r>
      <w:r>
        <w:rPr>
          <w:rFonts w:ascii="Book Antiqua" w:eastAsia="Book Antiqua" w:hAnsi="Book Antiqua" w:cs="Book Antiqua"/>
          <w:color w:val="000000"/>
        </w:rPr>
        <w:t xml:space="preserve"> also detected </w:t>
      </w:r>
      <w:r w:rsidRPr="002A39AF">
        <w:rPr>
          <w:rFonts w:ascii="Book Antiqua" w:eastAsia="Book Antiqua" w:hAnsi="Book Antiqua" w:cs="Book Antiqua"/>
          <w:i/>
          <w:iCs/>
          <w:color w:val="000000"/>
        </w:rPr>
        <w:t>EGFR</w:t>
      </w:r>
      <w:r>
        <w:rPr>
          <w:rFonts w:ascii="Book Antiqua" w:eastAsia="Book Antiqua" w:hAnsi="Book Antiqua" w:cs="Book Antiqua"/>
          <w:color w:val="000000"/>
        </w:rPr>
        <w:t xml:space="preserve"> mRNA in the serum and detected alpha 1,4-N-acetylglucosaminyltransferase mRNA in the mononuclear cell fraction of peripheral blood from PanCa patients. Kang</w:t>
      </w:r>
      <w:r>
        <w:rPr>
          <w:rFonts w:ascii="Book Antiqua" w:eastAsia="Book Antiqua" w:hAnsi="Book Antiqua" w:cs="Book Antiqua"/>
          <w:i/>
          <w:iCs/>
          <w:color w:val="000000"/>
        </w:rPr>
        <w:t xml:space="preserve"> et al</w:t>
      </w:r>
      <w:r>
        <w:rPr>
          <w:rFonts w:ascii="Book Antiqua" w:eastAsia="Book Antiqua" w:hAnsi="Book Antiqua" w:cs="Book Antiqua"/>
          <w:color w:val="000000"/>
          <w:vertAlign w:val="superscript"/>
        </w:rPr>
        <w:t>[90]</w:t>
      </w:r>
      <w:r>
        <w:rPr>
          <w:rFonts w:ascii="Book Antiqua" w:eastAsia="Book Antiqua" w:hAnsi="Book Antiqua" w:cs="Book Antiqua"/>
          <w:color w:val="000000"/>
        </w:rPr>
        <w:t xml:space="preserve"> further demonstrated that serum-type collagen mRNA acts as good marker of PanCa. It undergoes tumor-specific alternative splicing, which is expected to result in high specificity (Table 3).</w:t>
      </w:r>
    </w:p>
    <w:p w14:paraId="77DC5388" w14:textId="45E7DAD8" w:rsidR="00A503D8"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 PanCa, the tumor suppressor genes </w:t>
      </w:r>
      <w:r>
        <w:rPr>
          <w:rFonts w:ascii="Book Antiqua" w:eastAsia="Book Antiqua" w:hAnsi="Book Antiqua" w:cs="Book Antiqua"/>
          <w:i/>
          <w:iCs/>
          <w:color w:val="000000"/>
        </w:rPr>
        <w:t>p53, p16</w:t>
      </w:r>
      <w:r>
        <w:rPr>
          <w:rFonts w:ascii="Book Antiqua" w:eastAsia="Book Antiqua" w:hAnsi="Book Antiqua" w:cs="Book Antiqua"/>
          <w:color w:val="000000"/>
        </w:rPr>
        <w:t xml:space="preserve"> and </w:t>
      </w:r>
      <w:r>
        <w:rPr>
          <w:rFonts w:ascii="Book Antiqua" w:eastAsia="Book Antiqua" w:hAnsi="Book Antiqua" w:cs="Book Antiqua"/>
          <w:i/>
          <w:iCs/>
          <w:color w:val="000000"/>
        </w:rPr>
        <w:t xml:space="preserve">SMAD4 </w:t>
      </w:r>
      <w:r>
        <w:rPr>
          <w:rFonts w:ascii="Book Antiqua" w:eastAsia="Book Antiqua" w:hAnsi="Book Antiqua" w:cs="Book Antiqua"/>
          <w:color w:val="000000"/>
        </w:rPr>
        <w:t>are rendered inactive by the miRNAs, which are produced only in tumor tissues</w:t>
      </w:r>
      <w:r>
        <w:rPr>
          <w:rFonts w:ascii="Book Antiqua" w:eastAsia="Book Antiqua" w:hAnsi="Book Antiqua" w:cs="Book Antiqua"/>
          <w:color w:val="000000"/>
          <w:vertAlign w:val="superscript"/>
        </w:rPr>
        <w:t>[91]</w:t>
      </w:r>
      <w:r>
        <w:rPr>
          <w:rFonts w:ascii="Book Antiqua" w:eastAsia="Book Antiqua" w:hAnsi="Book Antiqua" w:cs="Book Antiqua"/>
          <w:color w:val="000000"/>
        </w:rPr>
        <w:t xml:space="preserve">. In pancreatic cell lines and tissue, miR-21 is increased, which drastically lowers the survival rate. In the </w:t>
      </w:r>
      <w:r>
        <w:rPr>
          <w:rFonts w:ascii="Book Antiqua" w:eastAsia="Book Antiqua" w:hAnsi="Book Antiqua" w:cs="Book Antiqua"/>
          <w:i/>
          <w:iCs/>
          <w:color w:val="000000"/>
        </w:rPr>
        <w:t xml:space="preserve">KRAS </w:t>
      </w:r>
      <w:r>
        <w:rPr>
          <w:rFonts w:ascii="Book Antiqua" w:eastAsia="Book Antiqua" w:hAnsi="Book Antiqua" w:cs="Book Antiqua"/>
          <w:color w:val="000000"/>
        </w:rPr>
        <w:t>(G12D) animal model, it has been reported that miR-21 overexpression is the lesion onset point that leads to tumor growth. miR-155 is also overexpressed in PanCa. This aids in the development of tumors. Decreasing the expression of miR-155,</w:t>
      </w:r>
      <w:r>
        <w:rPr>
          <w:rFonts w:ascii="Book Antiqua" w:eastAsia="Book Antiqua" w:hAnsi="Book Antiqua" w:cs="Book Antiqua"/>
          <w:i/>
          <w:iCs/>
          <w:color w:val="000000"/>
        </w:rPr>
        <w:t xml:space="preserve"> MT1-MMP,</w:t>
      </w:r>
      <w:r>
        <w:rPr>
          <w:rFonts w:ascii="Book Antiqua" w:eastAsia="Book Antiqua" w:hAnsi="Book Antiqua" w:cs="Book Antiqua"/>
          <w:color w:val="000000"/>
        </w:rPr>
        <w:t xml:space="preserve"> </w:t>
      </w:r>
      <w:r>
        <w:rPr>
          <w:rFonts w:ascii="Book Antiqua" w:eastAsia="Book Antiqua" w:hAnsi="Book Antiqua" w:cs="Book Antiqua"/>
          <w:i/>
          <w:iCs/>
          <w:color w:val="000000"/>
        </w:rPr>
        <w:t>KRAS,</w:t>
      </w:r>
      <w:r>
        <w:rPr>
          <w:rFonts w:ascii="Book Antiqua" w:eastAsia="Book Antiqua" w:hAnsi="Book Antiqua" w:cs="Book Antiqua"/>
          <w:color w:val="000000"/>
        </w:rPr>
        <w:t xml:space="preserve"> and </w:t>
      </w:r>
      <w:r>
        <w:rPr>
          <w:rFonts w:ascii="Book Antiqua" w:eastAsia="Book Antiqua" w:hAnsi="Book Antiqua" w:cs="Book Antiqua"/>
          <w:i/>
          <w:iCs/>
          <w:color w:val="000000"/>
        </w:rPr>
        <w:t>EGFR</w:t>
      </w:r>
      <w:r>
        <w:rPr>
          <w:rFonts w:ascii="Book Antiqua" w:eastAsia="Book Antiqua" w:hAnsi="Book Antiqua" w:cs="Book Antiqua"/>
          <w:color w:val="000000"/>
        </w:rPr>
        <w:t xml:space="preserve"> inhibits cell growth. miR-221 is also upregulated in PanCa and promotes distant metastasis as well as unresectable tumors</w:t>
      </w:r>
      <w:r>
        <w:rPr>
          <w:rFonts w:ascii="Book Antiqua" w:eastAsia="Book Antiqua" w:hAnsi="Book Antiqua" w:cs="Book Antiqua"/>
          <w:color w:val="000000"/>
          <w:vertAlign w:val="superscript"/>
        </w:rPr>
        <w:t>[92]</w:t>
      </w:r>
      <w:r>
        <w:rPr>
          <w:rFonts w:ascii="Book Antiqua" w:eastAsia="Book Antiqua" w:hAnsi="Book Antiqua" w:cs="Book Antiqua"/>
          <w:color w:val="000000"/>
        </w:rPr>
        <w:t xml:space="preserve">. In approximately 50%-70% of cases of PanCa in humans, the </w:t>
      </w:r>
      <w:r>
        <w:rPr>
          <w:rFonts w:ascii="Book Antiqua" w:eastAsia="Book Antiqua" w:hAnsi="Book Antiqua" w:cs="Book Antiqua"/>
          <w:i/>
          <w:iCs/>
          <w:color w:val="000000"/>
        </w:rPr>
        <w:t>p53</w:t>
      </w:r>
      <w:r>
        <w:rPr>
          <w:rFonts w:ascii="Book Antiqua" w:eastAsia="Book Antiqua" w:hAnsi="Book Antiqua" w:cs="Book Antiqua"/>
          <w:color w:val="000000"/>
        </w:rPr>
        <w:t xml:space="preserve"> gene has a point mutation. Hypoxia with malnutrition trigger </w:t>
      </w:r>
      <w:r>
        <w:rPr>
          <w:rFonts w:ascii="Book Antiqua" w:eastAsia="Book Antiqua" w:hAnsi="Book Antiqua" w:cs="Book Antiqua"/>
          <w:color w:val="000000"/>
        </w:rPr>
        <w:lastRenderedPageBreak/>
        <w:t xml:space="preserve">stress signaling in cells that upregulates </w:t>
      </w:r>
      <w:r>
        <w:rPr>
          <w:rFonts w:ascii="Book Antiqua" w:eastAsia="Book Antiqua" w:hAnsi="Book Antiqua" w:cs="Book Antiqua"/>
          <w:i/>
          <w:iCs/>
          <w:color w:val="000000"/>
        </w:rPr>
        <w:t>p53</w:t>
      </w:r>
      <w:r>
        <w:rPr>
          <w:rFonts w:ascii="Book Antiqua" w:eastAsia="Book Antiqua" w:hAnsi="Book Antiqua" w:cs="Book Antiqua"/>
          <w:color w:val="000000"/>
        </w:rPr>
        <w:t xml:space="preserve">, which increases the expression of numerous genes, including </w:t>
      </w:r>
      <w:r>
        <w:rPr>
          <w:rFonts w:ascii="Book Antiqua" w:eastAsia="Book Antiqua" w:hAnsi="Book Antiqua" w:cs="Book Antiqua"/>
          <w:i/>
          <w:iCs/>
          <w:color w:val="000000"/>
        </w:rPr>
        <w:t>MI</w:t>
      </w:r>
      <w:r w:rsidRPr="002A39AF">
        <w:rPr>
          <w:rFonts w:ascii="Book Antiqua" w:eastAsia="Book Antiqua" w:hAnsi="Book Antiqua" w:cs="Book Antiqua"/>
          <w:i/>
          <w:iCs/>
          <w:color w:val="000000"/>
        </w:rPr>
        <w:t>R-107</w:t>
      </w:r>
      <w:r>
        <w:rPr>
          <w:rFonts w:ascii="Book Antiqua" w:eastAsia="Book Antiqua" w:hAnsi="Book Antiqua" w:cs="Book Antiqua"/>
          <w:color w:val="000000"/>
        </w:rPr>
        <w:t xml:space="preserve">, </w:t>
      </w:r>
      <w:r>
        <w:rPr>
          <w:rFonts w:ascii="Book Antiqua" w:eastAsia="Book Antiqua" w:hAnsi="Book Antiqua" w:cs="Book Antiqua"/>
          <w:i/>
          <w:iCs/>
          <w:color w:val="000000"/>
        </w:rPr>
        <w:t>MI</w:t>
      </w:r>
      <w:r w:rsidRPr="002A39AF">
        <w:rPr>
          <w:rFonts w:ascii="Book Antiqua" w:eastAsia="Book Antiqua" w:hAnsi="Book Antiqua" w:cs="Book Antiqua"/>
          <w:i/>
          <w:iCs/>
          <w:color w:val="000000"/>
        </w:rPr>
        <w:t>R-34a/b/c</w:t>
      </w:r>
      <w:r>
        <w:rPr>
          <w:rFonts w:ascii="Book Antiqua" w:eastAsia="Book Antiqua" w:hAnsi="Book Antiqua" w:cs="Book Antiqua"/>
          <w:color w:val="000000"/>
        </w:rPr>
        <w:t xml:space="preserve"> and </w:t>
      </w:r>
      <w:r>
        <w:rPr>
          <w:rFonts w:ascii="Book Antiqua" w:eastAsia="Book Antiqua" w:hAnsi="Book Antiqua" w:cs="Book Antiqua"/>
          <w:i/>
          <w:iCs/>
          <w:color w:val="000000"/>
        </w:rPr>
        <w:t>MI</w:t>
      </w:r>
      <w:r w:rsidRPr="002A39AF">
        <w:rPr>
          <w:rFonts w:ascii="Book Antiqua" w:eastAsia="Book Antiqua" w:hAnsi="Book Antiqua" w:cs="Book Antiqua"/>
          <w:i/>
          <w:iCs/>
          <w:color w:val="000000"/>
        </w:rPr>
        <w:t>R-34</w:t>
      </w:r>
      <w:r>
        <w:rPr>
          <w:rFonts w:ascii="Book Antiqua" w:eastAsia="Book Antiqua" w:hAnsi="Book Antiqua" w:cs="Book Antiqua"/>
          <w:color w:val="000000"/>
        </w:rPr>
        <w:t xml:space="preserve"> (Table 3)</w:t>
      </w:r>
      <w:r>
        <w:rPr>
          <w:rFonts w:ascii="Book Antiqua" w:eastAsia="Book Antiqua" w:hAnsi="Book Antiqua" w:cs="Book Antiqua"/>
          <w:color w:val="000000"/>
          <w:vertAlign w:val="superscript"/>
        </w:rPr>
        <w:t>[15,65,86]</w:t>
      </w:r>
      <w:r>
        <w:rPr>
          <w:rFonts w:ascii="Book Antiqua" w:eastAsia="Book Antiqua" w:hAnsi="Book Antiqua" w:cs="Book Antiqua"/>
          <w:color w:val="000000"/>
        </w:rPr>
        <w:t>.</w:t>
      </w:r>
    </w:p>
    <w:p w14:paraId="5A7D8144" w14:textId="77777777" w:rsidR="00A503D8" w:rsidRDefault="00A503D8">
      <w:pPr>
        <w:spacing w:line="360" w:lineRule="auto"/>
        <w:jc w:val="both"/>
        <w:rPr>
          <w:rFonts w:ascii="Book Antiqua" w:eastAsia="Book Antiqua" w:hAnsi="Book Antiqua" w:cs="Book Antiqua"/>
          <w:b/>
          <w:bCs/>
          <w:i/>
          <w:iCs/>
          <w:color w:val="000000"/>
        </w:rPr>
      </w:pPr>
    </w:p>
    <w:p w14:paraId="1BD4E718" w14:textId="77777777" w:rsidR="00A503D8" w:rsidRDefault="00000000">
      <w:pPr>
        <w:spacing w:line="360" w:lineRule="auto"/>
        <w:jc w:val="both"/>
        <w:rPr>
          <w:rFonts w:ascii="Book Antiqua" w:hAnsi="Book Antiqua"/>
        </w:rPr>
      </w:pPr>
      <w:r>
        <w:rPr>
          <w:rFonts w:ascii="Book Antiqua" w:eastAsia="Book Antiqua" w:hAnsi="Book Antiqua" w:cs="Book Antiqua"/>
          <w:b/>
          <w:bCs/>
          <w:i/>
          <w:iCs/>
          <w:color w:val="000000"/>
        </w:rPr>
        <w:t>Role of cfRNA as a diagnostic and therapeutic biomarker</w:t>
      </w:r>
    </w:p>
    <w:p w14:paraId="51B251F1" w14:textId="74625285" w:rsidR="00A503D8" w:rsidRDefault="00000000">
      <w:pPr>
        <w:spacing w:line="360" w:lineRule="auto"/>
        <w:jc w:val="both"/>
        <w:rPr>
          <w:rFonts w:ascii="Book Antiqua" w:hAnsi="Book Antiqua"/>
        </w:rPr>
      </w:pPr>
      <w:r>
        <w:rPr>
          <w:rFonts w:ascii="Book Antiqua" w:eastAsia="Book Antiqua" w:hAnsi="Book Antiqua" w:cs="Book Antiqua"/>
          <w:color w:val="000000"/>
          <w:shd w:val="clear" w:color="auto" w:fill="FFFFFF"/>
        </w:rPr>
        <w:t>According to some reports, miRNA dysregulation has been reported in feces, urine and saliva, which are easy to obtain by non-invasive methods. The levels of miR-143, miR-223 and miR-30 were seen to be higher in the urine of patients with stage I disease. The combination of miR-143 with miR-30 showed very high sensitivity and specificity of 83.3% and 96.2%, respectively. Yang</w:t>
      </w:r>
      <w:r>
        <w:rPr>
          <w:rFonts w:ascii="Book Antiqua" w:eastAsia="Book Antiqua" w:hAnsi="Book Antiqua" w:cs="Book Antiqua"/>
          <w:i/>
          <w:iCs/>
          <w:color w:val="000000"/>
          <w:shd w:val="clear" w:color="auto" w:fill="FFFFFF"/>
        </w:rPr>
        <w:t xml:space="preserve"> et al</w:t>
      </w:r>
      <w:r>
        <w:rPr>
          <w:rFonts w:ascii="Book Antiqua" w:eastAsia="Book Antiqua" w:hAnsi="Book Antiqua" w:cs="Book Antiqua"/>
          <w:color w:val="000000"/>
          <w:shd w:val="clear" w:color="auto" w:fill="FFFFFF"/>
          <w:vertAlign w:val="superscript"/>
        </w:rPr>
        <w:t>[93]</w:t>
      </w:r>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shd w:val="clear" w:color="auto" w:fill="FFFFFF"/>
        </w:rPr>
        <w:t xml:space="preserve">reported that the levels of miR-21 and miR-155 were much higher in </w:t>
      </w:r>
      <w:r>
        <w:rPr>
          <w:rFonts w:ascii="Book Antiqua" w:eastAsia="Book Antiqua" w:hAnsi="Book Antiqua" w:cs="Book Antiqua"/>
          <w:color w:val="000000"/>
        </w:rPr>
        <w:t xml:space="preserve">PanCa </w:t>
      </w:r>
      <w:r>
        <w:rPr>
          <w:rFonts w:ascii="Book Antiqua" w:eastAsia="Book Antiqua" w:hAnsi="Book Antiqua" w:cs="Book Antiqua"/>
          <w:color w:val="000000"/>
          <w:shd w:val="clear" w:color="auto" w:fill="FFFFFF"/>
        </w:rPr>
        <w:t xml:space="preserve">patient stool when compared with healthy controls. Recently studies revealed that salivary miRNAs were stable because of the protection of exosomes or protein complexes, thus highlighting promising roles as diagnostic markers. </w:t>
      </w:r>
      <w:r>
        <w:rPr>
          <w:rFonts w:ascii="Book Antiqua" w:eastAsia="Book Antiqua" w:hAnsi="Book Antiqua" w:cs="Book Antiqua"/>
          <w:i/>
          <w:iCs/>
          <w:color w:val="000000"/>
          <w:shd w:val="clear" w:color="auto" w:fill="FFFFFF"/>
        </w:rPr>
        <w:t xml:space="preserve">SNHG15 </w:t>
      </w:r>
      <w:r>
        <w:rPr>
          <w:rFonts w:ascii="Book Antiqua" w:eastAsia="Book Antiqua" w:hAnsi="Book Antiqua" w:cs="Book Antiqua"/>
          <w:color w:val="000000"/>
          <w:shd w:val="clear" w:color="auto" w:fill="FFFFFF"/>
        </w:rPr>
        <w:t>serum expression exerts an average diagnostic value (Table 3)</w:t>
      </w:r>
      <w:r>
        <w:rPr>
          <w:rFonts w:ascii="Book Antiqua" w:eastAsia="Book Antiqua" w:hAnsi="Book Antiqua" w:cs="Book Antiqua"/>
          <w:color w:val="000000"/>
          <w:shd w:val="clear" w:color="auto" w:fill="FFFFFF"/>
          <w:vertAlign w:val="superscript"/>
        </w:rPr>
        <w:t>[94]</w:t>
      </w:r>
      <w:r>
        <w:rPr>
          <w:rFonts w:ascii="Book Antiqua" w:eastAsia="Book Antiqua" w:hAnsi="Book Antiqua" w:cs="Book Antiqua"/>
          <w:color w:val="000000"/>
          <w:shd w:val="clear" w:color="auto" w:fill="FFFFFF"/>
        </w:rPr>
        <w:t>.</w:t>
      </w:r>
    </w:p>
    <w:p w14:paraId="40FE7CAB" w14:textId="0314DDD8" w:rsidR="00A503D8"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Liao</w:t>
      </w:r>
      <w:r>
        <w:rPr>
          <w:rFonts w:ascii="Book Antiqua" w:eastAsia="Book Antiqua" w:hAnsi="Book Antiqua" w:cs="Book Antiqua"/>
          <w:i/>
          <w:iCs/>
          <w:color w:val="000000"/>
        </w:rPr>
        <w:t xml:space="preserve"> et al</w:t>
      </w:r>
      <w:r>
        <w:rPr>
          <w:rFonts w:ascii="Book Antiqua" w:eastAsia="Book Antiqua" w:hAnsi="Book Antiqua" w:cs="Book Antiqua"/>
          <w:color w:val="000000"/>
          <w:vertAlign w:val="superscript"/>
        </w:rPr>
        <w:t>[95]</w:t>
      </w:r>
      <w:r>
        <w:rPr>
          <w:rFonts w:ascii="Book Antiqua" w:eastAsia="Book Antiqua" w:hAnsi="Book Antiqua" w:cs="Book Antiqua"/>
          <w:color w:val="000000"/>
        </w:rPr>
        <w:t xml:space="preserve"> found that plasma snoRNA </w:t>
      </w:r>
      <w:r>
        <w:rPr>
          <w:rFonts w:ascii="Book Antiqua" w:eastAsia="Book Antiqua" w:hAnsi="Book Antiqua" w:cs="Book Antiqua"/>
          <w:i/>
          <w:iCs/>
          <w:color w:val="000000"/>
        </w:rPr>
        <w:t>SNORD33/66/76</w:t>
      </w:r>
      <w:r>
        <w:rPr>
          <w:rFonts w:ascii="Book Antiqua" w:eastAsia="Book Antiqua" w:hAnsi="Book Antiqua" w:cs="Book Antiqua"/>
          <w:color w:val="000000"/>
        </w:rPr>
        <w:t xml:space="preserve"> might serve as a diagnostic biomarker for non-small cell lung cancer (NSCLC) using comprehensive next generation sequencing analysis. Wang</w:t>
      </w:r>
      <w:r>
        <w:rPr>
          <w:rFonts w:ascii="Book Antiqua" w:eastAsia="Book Antiqua" w:hAnsi="Book Antiqua" w:cs="Book Antiqua"/>
          <w:i/>
          <w:iCs/>
          <w:color w:val="000000"/>
        </w:rPr>
        <w:t xml:space="preserve"> et al</w:t>
      </w:r>
      <w:r>
        <w:rPr>
          <w:rFonts w:ascii="Book Antiqua" w:eastAsia="Book Antiqua" w:hAnsi="Book Antiqua" w:cs="Book Antiqua"/>
          <w:color w:val="000000"/>
          <w:vertAlign w:val="superscript"/>
        </w:rPr>
        <w:t>[96]</w:t>
      </w:r>
      <w:r>
        <w:rPr>
          <w:rFonts w:ascii="Book Antiqua" w:eastAsia="Book Antiqua" w:hAnsi="Book Antiqua" w:cs="Book Antiqua"/>
          <w:color w:val="000000"/>
        </w:rPr>
        <w:t xml:space="preserve"> detected the expression of miRNAs in the plasma of patients with PDAC and identified miRs-21, miR-210, miR-155 and miR-196a. They are upregulated in PanCa tissue and cell lines as candidate biomarkers, and miR-200a/b, miR-18a, miR-221 and miR-196a/b have been found to be upregulated in the serum/plasma in parallel with cancer tissues by comprehensive sequence and microarray analysis (Table 3)</w:t>
      </w:r>
      <w:r>
        <w:rPr>
          <w:rFonts w:ascii="Book Antiqua" w:eastAsia="Book Antiqua" w:hAnsi="Book Antiqua" w:cs="Book Antiqua"/>
          <w:color w:val="000000"/>
          <w:vertAlign w:val="superscript"/>
        </w:rPr>
        <w:t>[96,97]</w:t>
      </w:r>
      <w:r>
        <w:rPr>
          <w:rFonts w:ascii="Book Antiqua" w:eastAsia="Book Antiqua" w:hAnsi="Book Antiqua" w:cs="Book Antiqua"/>
          <w:color w:val="000000"/>
        </w:rPr>
        <w:t>.</w:t>
      </w:r>
    </w:p>
    <w:p w14:paraId="7E017818" w14:textId="2336D277" w:rsidR="00A503D8"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Kishikawa</w:t>
      </w:r>
      <w:r>
        <w:rPr>
          <w:rFonts w:ascii="Book Antiqua" w:eastAsia="Book Antiqua" w:hAnsi="Book Antiqua" w:cs="Book Antiqua"/>
          <w:i/>
          <w:iCs/>
          <w:color w:val="000000"/>
        </w:rPr>
        <w:t xml:space="preserve"> et al</w:t>
      </w:r>
      <w:r>
        <w:rPr>
          <w:rFonts w:ascii="Book Antiqua" w:eastAsia="Book Antiqua" w:hAnsi="Book Antiqua" w:cs="Book Antiqua"/>
          <w:color w:val="000000"/>
          <w:vertAlign w:val="superscript"/>
        </w:rPr>
        <w:t>[86]</w:t>
      </w:r>
      <w:r>
        <w:rPr>
          <w:rFonts w:ascii="Book Antiqua" w:eastAsia="Book Antiqua" w:hAnsi="Book Antiqua" w:cs="Book Antiqua"/>
          <w:color w:val="000000"/>
        </w:rPr>
        <w:t xml:space="preserve"> suggested that some miRNAs, such as miR-16, miR-223 and let-7, are highly and constantly expressed in the serum/plasma and are correlated with the number of blood cells. Tang</w:t>
      </w:r>
      <w:r>
        <w:rPr>
          <w:rFonts w:ascii="Book Antiqua" w:eastAsia="Book Antiqua" w:hAnsi="Book Antiqua" w:cs="Book Antiqua"/>
          <w:i/>
          <w:iCs/>
          <w:color w:val="000000"/>
        </w:rPr>
        <w:t xml:space="preserve"> et al</w:t>
      </w:r>
      <w:r>
        <w:rPr>
          <w:rFonts w:ascii="Book Antiqua" w:eastAsia="Book Antiqua" w:hAnsi="Book Antiqua" w:cs="Book Antiqua"/>
          <w:color w:val="000000"/>
          <w:vertAlign w:val="superscript"/>
        </w:rPr>
        <w:t>[98]</w:t>
      </w:r>
      <w:r>
        <w:rPr>
          <w:rFonts w:ascii="Book Antiqua" w:eastAsia="Book Antiqua" w:hAnsi="Book Antiqua" w:cs="Book Antiqua"/>
          <w:color w:val="000000"/>
        </w:rPr>
        <w:t xml:space="preserve"> found higher levels of three lncRNAs, long intergenic non protein-coding RNA 1627 (LINC01627), LINC01628 and ERICH1 antisense RNA 1 (ERICH1-AS1; also known as DLGAP2), in the plasma from patients with NSCLC than in samples from healthy individuals after microarray assay. They proposed a potential diagnostic signature for NSCLC based on these lncRNAs. Anfossi</w:t>
      </w:r>
      <w:r>
        <w:rPr>
          <w:rFonts w:ascii="Book Antiqua" w:eastAsia="Book Antiqua" w:hAnsi="Book Antiqua" w:cs="Book Antiqua"/>
          <w:i/>
          <w:iCs/>
          <w:color w:val="000000"/>
        </w:rPr>
        <w:t xml:space="preserve"> et al</w:t>
      </w:r>
      <w:r>
        <w:rPr>
          <w:rFonts w:ascii="Book Antiqua" w:eastAsia="Book Antiqua" w:hAnsi="Book Antiqua" w:cs="Book Antiqua"/>
          <w:color w:val="000000"/>
          <w:vertAlign w:val="superscript"/>
        </w:rPr>
        <w:t>[99,100]</w:t>
      </w:r>
      <w:r>
        <w:rPr>
          <w:rFonts w:ascii="Book Antiqua" w:eastAsia="Book Antiqua" w:hAnsi="Book Antiqua" w:cs="Book Antiqua"/>
          <w:color w:val="000000"/>
        </w:rPr>
        <w:t xml:space="preserve"> suggested that urine levels of miR-148a and miR-375 have been found to be significantly </w:t>
      </w:r>
      <w:r>
        <w:rPr>
          <w:rFonts w:ascii="Book Antiqua" w:eastAsia="Book Antiqua" w:hAnsi="Book Antiqua" w:cs="Book Antiqua"/>
          <w:color w:val="000000"/>
        </w:rPr>
        <w:lastRenderedPageBreak/>
        <w:t>downregulated and upregulated, respectively, in patients with prostate cancer and enabled patients with prostate cancer to be distinguished from healthy individuals (Table 3).</w:t>
      </w:r>
    </w:p>
    <w:p w14:paraId="196937F8" w14:textId="01EF95DF" w:rsidR="00A503D8"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Higher levels of expression of hsa-miR-106a, hsa-miR-125a-5p, hsa-miR-129-3p, hsa-miR-375, hsa-miR-205, hsa-miR-29b, hsa-miR-21 and hsa-miR-7 in histopathology as well as in cytology samples using real-time reverse transcription PCR act as valuable diagnostic biomarkers in different types of cancer</w:t>
      </w:r>
      <w:r>
        <w:rPr>
          <w:rFonts w:ascii="Book Antiqua" w:eastAsia="Book Antiqua" w:hAnsi="Book Antiqua" w:cs="Book Antiqua"/>
          <w:color w:val="000000"/>
          <w:vertAlign w:val="superscript"/>
        </w:rPr>
        <w:t>[101]</w:t>
      </w:r>
      <w:r>
        <w:rPr>
          <w:rFonts w:ascii="Book Antiqua" w:eastAsia="Book Antiqua" w:hAnsi="Book Antiqua" w:cs="Book Antiqua"/>
          <w:color w:val="000000"/>
        </w:rPr>
        <w:t xml:space="preserve">. Also, miR-21, miR-210, miR-155 and miR-196a, which have been upregulated in PanCa tissue and cell lines, have been identified by Wang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[96]</w:t>
      </w:r>
      <w:r>
        <w:rPr>
          <w:rFonts w:ascii="Book Antiqua" w:eastAsia="Book Antiqua" w:hAnsi="Book Antiqua" w:cs="Book Antiqua"/>
          <w:color w:val="000000"/>
        </w:rPr>
        <w:t xml:space="preserve"> as candidate biomarkers. A possible diagnostic biomarker for malignant melanoma is miR-221. Li</w:t>
      </w:r>
      <w:r>
        <w:rPr>
          <w:rFonts w:ascii="Book Antiqua" w:eastAsia="Book Antiqua" w:hAnsi="Book Antiqua" w:cs="Book Antiqua"/>
          <w:i/>
          <w:iCs/>
          <w:color w:val="000000"/>
        </w:rPr>
        <w:t xml:space="preserve"> et al</w:t>
      </w:r>
      <w:r>
        <w:rPr>
          <w:rFonts w:ascii="Book Antiqua" w:eastAsia="Book Antiqua" w:hAnsi="Book Antiqua" w:cs="Book Antiqua"/>
          <w:color w:val="000000"/>
          <w:vertAlign w:val="superscript"/>
        </w:rPr>
        <w:t>[103]</w:t>
      </w:r>
      <w:r>
        <w:rPr>
          <w:rFonts w:ascii="Book Antiqua" w:eastAsia="Book Antiqua" w:hAnsi="Book Antiqua" w:cs="Book Antiqua"/>
          <w:color w:val="000000"/>
        </w:rPr>
        <w:t xml:space="preserve"> found that patients with high serum miR-221 levels had significantly worse 5-year relapse-free survival (12.5% </w:t>
      </w:r>
      <w:r>
        <w:rPr>
          <w:rFonts w:ascii="Book Antiqua" w:eastAsia="Book Antiqua" w:hAnsi="Book Antiqua" w:cs="Book Antiqua"/>
          <w:i/>
          <w:iCs/>
          <w:color w:val="000000"/>
        </w:rPr>
        <w:t>vs</w:t>
      </w:r>
      <w:r>
        <w:rPr>
          <w:rFonts w:ascii="Book Antiqua" w:eastAsia="Book Antiqua" w:hAnsi="Book Antiqua" w:cs="Book Antiqua"/>
          <w:color w:val="000000"/>
        </w:rPr>
        <w:t xml:space="preserve"> 45.2%; </w:t>
      </w:r>
      <w:r>
        <w:rPr>
          <w:rFonts w:ascii="Book Antiqua" w:eastAsia="Book Antiqua" w:hAnsi="Book Antiqua" w:cs="Book Antiqua"/>
          <w:i/>
          <w:iCs/>
          <w:color w:val="000000"/>
        </w:rPr>
        <w:t>P</w:t>
      </w:r>
      <w:r>
        <w:rPr>
          <w:rFonts w:ascii="Book Antiqua" w:eastAsia="Book Antiqua" w:hAnsi="Book Antiqua" w:cs="Book Antiqua"/>
          <w:color w:val="000000"/>
        </w:rPr>
        <w:t xml:space="preserve"> = 0.008). Increased circulating levels of miR-221 allowed patients with melanoma to be discriminated from healthy individuals (</w:t>
      </w:r>
      <w:r>
        <w:rPr>
          <w:rFonts w:ascii="Book Antiqua" w:eastAsia="Book Antiqua" w:hAnsi="Book Antiqua" w:cs="Book Antiqua"/>
          <w:i/>
          <w:iCs/>
          <w:color w:val="000000"/>
        </w:rPr>
        <w:t>P</w:t>
      </w:r>
      <w:r>
        <w:rPr>
          <w:rFonts w:ascii="Book Antiqua" w:eastAsia="Book Antiqua" w:hAnsi="Book Antiqua" w:cs="Book Antiqua"/>
          <w:color w:val="000000"/>
        </w:rPr>
        <w:t xml:space="preserve"> = 0.0001) (Table 3)</w:t>
      </w:r>
      <w:r>
        <w:rPr>
          <w:rFonts w:ascii="Book Antiqua" w:eastAsia="Book Antiqua" w:hAnsi="Book Antiqua" w:cs="Book Antiqua"/>
          <w:color w:val="000000"/>
          <w:vertAlign w:val="superscript"/>
        </w:rPr>
        <w:t>[103]</w:t>
      </w:r>
      <w:r>
        <w:rPr>
          <w:rFonts w:ascii="Book Antiqua" w:eastAsia="Book Antiqua" w:hAnsi="Book Antiqua" w:cs="Book Antiqua"/>
          <w:color w:val="000000"/>
        </w:rPr>
        <w:t>.</w:t>
      </w:r>
    </w:p>
    <w:p w14:paraId="6C40F810" w14:textId="4AFFD3ED" w:rsidR="00A503D8"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Rac1 downregulation leads to the switching of the MKK4-JNK-c-Jun pathway, which silences miR-124. In response to TGF, miR-200a and miR-205 are downregulated in PDAC during epithelial-mesenchymal transformation (EMT), while miR-21 overexpression is identified as the lesion initiator that drives tumor growth in a </w:t>
      </w:r>
      <w:r>
        <w:rPr>
          <w:rFonts w:ascii="Book Antiqua" w:eastAsia="Book Antiqua" w:hAnsi="Book Antiqua" w:cs="Book Antiqua"/>
          <w:i/>
          <w:iCs/>
          <w:color w:val="000000"/>
        </w:rPr>
        <w:t>KRAS (</w:t>
      </w:r>
      <w:r>
        <w:rPr>
          <w:rFonts w:ascii="Book Antiqua" w:eastAsia="Book Antiqua" w:hAnsi="Book Antiqua" w:cs="Book Antiqua"/>
          <w:color w:val="000000"/>
        </w:rPr>
        <w:t>G12D</w:t>
      </w:r>
      <w:r>
        <w:rPr>
          <w:rFonts w:ascii="Book Antiqua" w:eastAsia="Book Antiqua" w:hAnsi="Book Antiqua" w:cs="Book Antiqua"/>
          <w:i/>
          <w:iCs/>
          <w:color w:val="000000"/>
        </w:rPr>
        <w:t>)</w:t>
      </w:r>
      <w:r>
        <w:rPr>
          <w:rFonts w:ascii="Book Antiqua" w:eastAsia="Book Antiqua" w:hAnsi="Book Antiqua" w:cs="Book Antiqua"/>
          <w:color w:val="000000"/>
        </w:rPr>
        <w:t xml:space="preserve"> animal model. miR-155, which is elevated in PanCa, aids in the development of tumors.</w:t>
      </w:r>
    </w:p>
    <w:p w14:paraId="137960B9" w14:textId="7ECAB541" w:rsidR="00A503D8"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Karandish</w:t>
      </w:r>
      <w:r>
        <w:rPr>
          <w:rFonts w:ascii="Book Antiqua" w:eastAsia="Book Antiqua" w:hAnsi="Book Antiqua" w:cs="Book Antiqua"/>
          <w:i/>
          <w:iCs/>
          <w:color w:val="000000"/>
        </w:rPr>
        <w:t xml:space="preserve"> et al</w:t>
      </w:r>
      <w:r>
        <w:rPr>
          <w:rFonts w:ascii="Book Antiqua" w:eastAsia="宋体" w:hAnsi="Book Antiqua" w:cs="宋体"/>
          <w:color w:val="000000"/>
          <w:vertAlign w:val="superscript"/>
          <w:lang w:eastAsia="zh-CN"/>
        </w:rPr>
        <w:t>[104]</w:t>
      </w:r>
      <w:r>
        <w:rPr>
          <w:rFonts w:ascii="Book Antiqua" w:eastAsia="Book Antiqua" w:hAnsi="Book Antiqua" w:cs="Book Antiqua"/>
          <w:color w:val="000000"/>
        </w:rPr>
        <w:t xml:space="preserve"> suggested that stress signaling in cells induced by hypoxia and starvation upregulate </w:t>
      </w:r>
      <w:r>
        <w:rPr>
          <w:rFonts w:ascii="Book Antiqua" w:eastAsia="Book Antiqua" w:hAnsi="Book Antiqua" w:cs="Book Antiqua"/>
          <w:i/>
          <w:iCs/>
          <w:color w:val="000000"/>
        </w:rPr>
        <w:t>p53</w:t>
      </w:r>
      <w:r>
        <w:rPr>
          <w:rFonts w:ascii="Book Antiqua" w:eastAsia="Book Antiqua" w:hAnsi="Book Antiqua" w:cs="Book Antiqua"/>
          <w:color w:val="000000"/>
        </w:rPr>
        <w:t xml:space="preserve"> and activate the expression of several genes, such as </w:t>
      </w:r>
      <w:r w:rsidRPr="002A39AF">
        <w:rPr>
          <w:rFonts w:ascii="Book Antiqua" w:eastAsia="Book Antiqua" w:hAnsi="Book Antiqua" w:cs="Book Antiqua"/>
          <w:i/>
          <w:iCs/>
          <w:color w:val="000000"/>
        </w:rPr>
        <w:t>MIR-107</w:t>
      </w:r>
      <w:r>
        <w:rPr>
          <w:rFonts w:ascii="Book Antiqua" w:eastAsia="Book Antiqua" w:hAnsi="Book Antiqua" w:cs="Book Antiqua"/>
          <w:color w:val="000000"/>
        </w:rPr>
        <w:t xml:space="preserve">, </w:t>
      </w:r>
      <w:r w:rsidRPr="002A39AF">
        <w:rPr>
          <w:rFonts w:ascii="Book Antiqua" w:eastAsia="Book Antiqua" w:hAnsi="Book Antiqua" w:cs="Book Antiqua"/>
          <w:i/>
          <w:iCs/>
          <w:color w:val="000000"/>
        </w:rPr>
        <w:t>MIR-34a/b/c</w:t>
      </w:r>
      <w:r>
        <w:rPr>
          <w:rFonts w:ascii="Book Antiqua" w:eastAsia="Book Antiqua" w:hAnsi="Book Antiqua" w:cs="Book Antiqua"/>
          <w:color w:val="000000"/>
        </w:rPr>
        <w:t xml:space="preserve"> and </w:t>
      </w:r>
      <w:r w:rsidRPr="002A39AF">
        <w:rPr>
          <w:rFonts w:ascii="Book Antiqua" w:eastAsia="Book Antiqua" w:hAnsi="Book Antiqua" w:cs="Book Antiqua"/>
          <w:i/>
          <w:iCs/>
          <w:color w:val="000000"/>
        </w:rPr>
        <w:t>MIR-34</w:t>
      </w:r>
      <w:r>
        <w:rPr>
          <w:rFonts w:ascii="Book Antiqua" w:eastAsia="Book Antiqua" w:hAnsi="Book Antiqua" w:cs="Book Antiqua"/>
          <w:color w:val="000000"/>
        </w:rPr>
        <w:t xml:space="preserve">. Mutation of </w:t>
      </w:r>
      <w:r>
        <w:rPr>
          <w:rFonts w:ascii="Book Antiqua" w:eastAsia="Book Antiqua" w:hAnsi="Book Antiqua" w:cs="Book Antiqua"/>
          <w:i/>
          <w:iCs/>
          <w:color w:val="000000"/>
        </w:rPr>
        <w:t>p53</w:t>
      </w:r>
      <w:r>
        <w:rPr>
          <w:rFonts w:ascii="Book Antiqua" w:eastAsia="Book Antiqua" w:hAnsi="Book Antiqua" w:cs="Book Antiqua"/>
          <w:color w:val="000000"/>
        </w:rPr>
        <w:t xml:space="preserve"> mediates transcription of </w:t>
      </w:r>
      <w:r w:rsidRPr="002A39AF">
        <w:rPr>
          <w:rFonts w:ascii="Book Antiqua" w:eastAsia="Book Antiqua" w:hAnsi="Book Antiqua" w:cs="Book Antiqua"/>
          <w:i/>
          <w:iCs/>
          <w:color w:val="000000"/>
        </w:rPr>
        <w:t>MIR-130b</w:t>
      </w:r>
      <w:r>
        <w:rPr>
          <w:rFonts w:ascii="Book Antiqua" w:eastAsia="Book Antiqua" w:hAnsi="Book Antiqua" w:cs="Book Antiqua"/>
          <w:color w:val="000000"/>
        </w:rPr>
        <w:t xml:space="preserve"> and </w:t>
      </w:r>
      <w:r w:rsidRPr="002A39AF">
        <w:rPr>
          <w:rFonts w:ascii="Book Antiqua" w:eastAsia="Book Antiqua" w:hAnsi="Book Antiqua" w:cs="Book Antiqua"/>
          <w:i/>
          <w:iCs/>
          <w:color w:val="000000"/>
        </w:rPr>
        <w:t>MIR-155</w:t>
      </w:r>
      <w:r>
        <w:rPr>
          <w:rFonts w:ascii="Book Antiqua" w:eastAsia="Book Antiqua" w:hAnsi="Book Antiqua" w:cs="Book Antiqua"/>
          <w:color w:val="000000"/>
        </w:rPr>
        <w:t>, which modifies the expression of the corresponding target genes (</w:t>
      </w:r>
      <w:r>
        <w:rPr>
          <w:rFonts w:ascii="Book Antiqua" w:eastAsia="Book Antiqua" w:hAnsi="Book Antiqua" w:cs="Book Antiqua"/>
          <w:i/>
          <w:iCs/>
          <w:color w:val="000000"/>
        </w:rPr>
        <w:t>ZEB1</w:t>
      </w:r>
      <w:r>
        <w:rPr>
          <w:rFonts w:ascii="Book Antiqua" w:eastAsia="Book Antiqua" w:hAnsi="Book Antiqua" w:cs="Book Antiqua"/>
          <w:color w:val="000000"/>
        </w:rPr>
        <w:t xml:space="preserve"> and </w:t>
      </w:r>
      <w:r>
        <w:rPr>
          <w:rFonts w:ascii="Book Antiqua" w:eastAsia="Book Antiqua" w:hAnsi="Book Antiqua" w:cs="Book Antiqua"/>
          <w:i/>
          <w:iCs/>
          <w:color w:val="000000"/>
        </w:rPr>
        <w:t>ZNF652</w:t>
      </w:r>
      <w:r>
        <w:rPr>
          <w:rFonts w:ascii="Book Antiqua" w:eastAsia="Book Antiqua" w:hAnsi="Book Antiqua" w:cs="Book Antiqua"/>
          <w:color w:val="000000"/>
        </w:rPr>
        <w:t xml:space="preserve">). This leads to cell proliferation and invasion in several cancers. </w:t>
      </w:r>
      <w:r>
        <w:rPr>
          <w:rFonts w:ascii="Book Antiqua" w:eastAsia="Book Antiqua" w:hAnsi="Book Antiqua" w:cs="Book Antiqua"/>
          <w:i/>
          <w:iCs/>
          <w:color w:val="000000"/>
        </w:rPr>
        <w:t>ZEB1</w:t>
      </w:r>
      <w:r>
        <w:rPr>
          <w:rFonts w:ascii="Book Antiqua" w:eastAsia="Book Antiqua" w:hAnsi="Book Antiqua" w:cs="Book Antiqua"/>
          <w:color w:val="000000"/>
        </w:rPr>
        <w:t xml:space="preserve"> has been shown by Wellner</w:t>
      </w:r>
      <w:r>
        <w:rPr>
          <w:rFonts w:ascii="Book Antiqua" w:eastAsia="Book Antiqua" w:hAnsi="Book Antiqua" w:cs="Book Antiqua"/>
          <w:i/>
          <w:iCs/>
          <w:color w:val="000000"/>
        </w:rPr>
        <w:t xml:space="preserve"> et al</w:t>
      </w:r>
      <w:r>
        <w:rPr>
          <w:rFonts w:ascii="Book Antiqua" w:eastAsia="宋体" w:hAnsi="Book Antiqua" w:cs="宋体"/>
          <w:color w:val="000000"/>
          <w:vertAlign w:val="superscript"/>
          <w:lang w:eastAsia="zh-CN"/>
        </w:rPr>
        <w:t>[106]</w:t>
      </w:r>
      <w:r>
        <w:rPr>
          <w:rFonts w:ascii="Book Antiqua" w:eastAsia="Book Antiqua" w:hAnsi="Book Antiqua" w:cs="Book Antiqua"/>
          <w:color w:val="000000"/>
        </w:rPr>
        <w:t xml:space="preserve"> to control the activation of EMT in pancreatic cancer stem cells and to suppress the production of the miR-200 family</w:t>
      </w:r>
      <w:r>
        <w:rPr>
          <w:rFonts w:ascii="Book Antiqua" w:eastAsia="Book Antiqua" w:hAnsi="Book Antiqua" w:cs="Book Antiqua"/>
          <w:color w:val="000000"/>
          <w:vertAlign w:val="superscript"/>
        </w:rPr>
        <w:t>[104]</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In addition, </w:t>
      </w:r>
      <w:r>
        <w:rPr>
          <w:rFonts w:ascii="Book Antiqua" w:eastAsia="Book Antiqua" w:hAnsi="Book Antiqua" w:cs="Book Antiqua"/>
          <w:i/>
          <w:iCs/>
          <w:color w:val="000000"/>
        </w:rPr>
        <w:t>p53</w:t>
      </w:r>
      <w:r>
        <w:rPr>
          <w:rFonts w:ascii="Book Antiqua" w:eastAsia="Book Antiqua" w:hAnsi="Book Antiqua" w:cs="Book Antiqua"/>
          <w:color w:val="000000"/>
        </w:rPr>
        <w:t xml:space="preserve"> mutation impairs the maturation of miR-145 and miR-16-1 causing cell proliferation, invasion and migration in PDAC (Table 3).</w:t>
      </w:r>
    </w:p>
    <w:p w14:paraId="7DB1B6C3" w14:textId="3567BAC0" w:rsidR="00A503D8"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shd w:val="clear" w:color="auto" w:fill="FFFFFF"/>
        </w:rPr>
        <w:t xml:space="preserve">As a long intergenic non-protein coding RNA, </w:t>
      </w:r>
      <w:r>
        <w:rPr>
          <w:rFonts w:ascii="Book Antiqua" w:eastAsia="Book Antiqua" w:hAnsi="Book Antiqua" w:cs="Book Antiqua"/>
          <w:i/>
          <w:iCs/>
          <w:color w:val="000000"/>
          <w:shd w:val="clear" w:color="auto" w:fill="FFFFFF"/>
        </w:rPr>
        <w:t>p53</w:t>
      </w:r>
      <w:r>
        <w:rPr>
          <w:rFonts w:ascii="Book Antiqua" w:eastAsia="Book Antiqua" w:hAnsi="Book Antiqua" w:cs="Book Antiqua"/>
          <w:color w:val="000000"/>
          <w:shd w:val="clear" w:color="auto" w:fill="FFFFFF"/>
        </w:rPr>
        <w:t xml:space="preserve"> induced transcript (Linc-pint) is ubiquitously expressed in humans and acts as a direct </w:t>
      </w:r>
      <w:r>
        <w:rPr>
          <w:rFonts w:ascii="Book Antiqua" w:eastAsia="Book Antiqua" w:hAnsi="Book Antiqua" w:cs="Book Antiqua"/>
          <w:i/>
          <w:iCs/>
          <w:color w:val="000000"/>
          <w:shd w:val="clear" w:color="auto" w:fill="FFFFFF"/>
        </w:rPr>
        <w:t>p53</w:t>
      </w:r>
      <w:r>
        <w:rPr>
          <w:rFonts w:ascii="Book Antiqua" w:eastAsia="Book Antiqua" w:hAnsi="Book Antiqua" w:cs="Book Antiqua"/>
          <w:color w:val="000000"/>
          <w:shd w:val="clear" w:color="auto" w:fill="FFFFFF"/>
        </w:rPr>
        <w:t xml:space="preserve"> transcriptional target. Plasma </w:t>
      </w:r>
      <w:r>
        <w:rPr>
          <w:rFonts w:ascii="Book Antiqua" w:eastAsia="Book Antiqua" w:hAnsi="Book Antiqua" w:cs="Book Antiqua"/>
          <w:color w:val="000000"/>
          <w:shd w:val="clear" w:color="auto" w:fill="FFFFFF"/>
        </w:rPr>
        <w:lastRenderedPageBreak/>
        <w:t xml:space="preserve">lncRNA Linc-pint was significantly decreased in patients with </w:t>
      </w:r>
      <w:r>
        <w:rPr>
          <w:rFonts w:ascii="Book Antiqua" w:eastAsia="Book Antiqua" w:hAnsi="Book Antiqua" w:cs="Book Antiqua"/>
          <w:color w:val="000000"/>
        </w:rPr>
        <w:t>PanCa,</w:t>
      </w:r>
      <w:r>
        <w:rPr>
          <w:rFonts w:ascii="Book Antiqua" w:eastAsia="Book Antiqua" w:hAnsi="Book Antiqua" w:cs="Book Antiqua"/>
          <w:color w:val="000000"/>
          <w:shd w:val="clear" w:color="auto" w:fill="FFFFFF"/>
        </w:rPr>
        <w:t xml:space="preserve"> carcinoma of the ampulla of Vater and cholangiocarcinoma compared with healthy volunteers</w:t>
      </w:r>
      <w:r>
        <w:rPr>
          <w:rFonts w:ascii="Book Antiqua" w:eastAsia="Book Antiqua" w:hAnsi="Book Antiqua" w:cs="Book Antiqua"/>
          <w:color w:val="000000"/>
          <w:shd w:val="clear" w:color="auto" w:fill="FFFFFF"/>
          <w:vertAlign w:val="superscript"/>
        </w:rPr>
        <w:t>[108]</w:t>
      </w:r>
      <w:r>
        <w:rPr>
          <w:rFonts w:ascii="Book Antiqua" w:eastAsia="Book Antiqua" w:hAnsi="Book Antiqua" w:cs="Book Antiqua"/>
          <w:color w:val="000000"/>
          <w:shd w:val="clear" w:color="auto" w:fill="FFFFFF"/>
        </w:rPr>
        <w:t xml:space="preserve">. Therefore, Linc-pint might be used for identifying the cause of malignant obstructive jaundice and helping to trace the origin of the cancer. Some of these results indicate that low plasma Linc-pint expression could serve as a minimally invasive biomarker for early </w:t>
      </w:r>
      <w:r>
        <w:rPr>
          <w:rFonts w:ascii="Book Antiqua" w:eastAsia="Book Antiqua" w:hAnsi="Book Antiqua" w:cs="Book Antiqua"/>
          <w:color w:val="000000"/>
        </w:rPr>
        <w:t xml:space="preserve">PanCa </w:t>
      </w:r>
      <w:r>
        <w:rPr>
          <w:rFonts w:ascii="Book Antiqua" w:eastAsia="Book Antiqua" w:hAnsi="Book Antiqua" w:cs="Book Antiqua"/>
          <w:color w:val="000000"/>
          <w:shd w:val="clear" w:color="auto" w:fill="FFFFFF"/>
        </w:rPr>
        <w:t xml:space="preserve">detection and that low Linc-pint levels in </w:t>
      </w:r>
      <w:r>
        <w:rPr>
          <w:rFonts w:ascii="Book Antiqua" w:eastAsia="Book Antiqua" w:hAnsi="Book Antiqua" w:cs="Book Antiqua"/>
          <w:color w:val="000000"/>
        </w:rPr>
        <w:t xml:space="preserve">PanCa </w:t>
      </w:r>
      <w:r>
        <w:rPr>
          <w:rFonts w:ascii="Book Antiqua" w:eastAsia="Book Antiqua" w:hAnsi="Book Antiqua" w:cs="Book Antiqua"/>
          <w:color w:val="000000"/>
          <w:shd w:val="clear" w:color="auto" w:fill="FFFFFF"/>
        </w:rPr>
        <w:t>tumors could be used for predicting patient prognosis</w:t>
      </w:r>
      <w:r>
        <w:rPr>
          <w:rFonts w:ascii="Book Antiqua" w:eastAsia="Book Antiqua" w:hAnsi="Book Antiqua" w:cs="Book Antiqua"/>
          <w:color w:val="000000"/>
        </w:rPr>
        <w:t>(Table 3)</w:t>
      </w:r>
      <w:r>
        <w:rPr>
          <w:rFonts w:ascii="Book Antiqua" w:eastAsia="Book Antiqua" w:hAnsi="Book Antiqua" w:cs="Book Antiqua"/>
          <w:color w:val="000000"/>
          <w:shd w:val="clear" w:color="auto" w:fill="FFFFFF"/>
          <w:vertAlign w:val="superscript"/>
        </w:rPr>
        <w:t>[103]</w:t>
      </w:r>
      <w:r>
        <w:rPr>
          <w:rFonts w:ascii="Book Antiqua" w:eastAsia="Book Antiqua" w:hAnsi="Book Antiqua" w:cs="Book Antiqua"/>
          <w:color w:val="000000"/>
          <w:shd w:val="clear" w:color="auto" w:fill="FFFFFF"/>
        </w:rPr>
        <w:t>.</w:t>
      </w:r>
    </w:p>
    <w:p w14:paraId="25BD5266" w14:textId="249C3AB8" w:rsidR="00A503D8"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shd w:val="clear" w:color="auto" w:fill="FFFFFF"/>
        </w:rPr>
        <w:t xml:space="preserve">Prior studies revealed that upregulation of chromatin-interacting lncRNA along with MEG3 inhibited </w:t>
      </w:r>
      <w:r>
        <w:rPr>
          <w:rFonts w:ascii="Book Antiqua" w:eastAsia="Book Antiqua" w:hAnsi="Book Antiqua" w:cs="Book Antiqua"/>
          <w:color w:val="000000"/>
        </w:rPr>
        <w:t xml:space="preserve">PanCa </w:t>
      </w:r>
      <w:r>
        <w:rPr>
          <w:rFonts w:ascii="Book Antiqua" w:eastAsia="Book Antiqua" w:hAnsi="Book Antiqua" w:cs="Book Antiqua"/>
          <w:color w:val="000000"/>
          <w:shd w:val="clear" w:color="auto" w:fill="FFFFFF"/>
        </w:rPr>
        <w:t xml:space="preserve">cell proliferation with the activation of </w:t>
      </w:r>
      <w:r>
        <w:rPr>
          <w:rFonts w:ascii="Book Antiqua" w:eastAsia="Book Antiqua" w:hAnsi="Book Antiqua" w:cs="Book Antiqua"/>
          <w:i/>
          <w:iCs/>
          <w:color w:val="000000"/>
          <w:shd w:val="clear" w:color="auto" w:fill="FFFFFF"/>
        </w:rPr>
        <w:t>p53</w:t>
      </w:r>
      <w:r>
        <w:rPr>
          <w:rFonts w:ascii="Book Antiqua" w:eastAsia="Book Antiqua" w:hAnsi="Book Antiqua" w:cs="Book Antiqua"/>
          <w:color w:val="000000"/>
          <w:shd w:val="clear" w:color="auto" w:fill="FFFFFF"/>
        </w:rPr>
        <w:t xml:space="preserve">. Additionally, lncRNA-NUTF2P3-001 contributed to </w:t>
      </w:r>
      <w:r>
        <w:rPr>
          <w:rFonts w:ascii="Book Antiqua" w:eastAsia="Book Antiqua" w:hAnsi="Book Antiqua" w:cs="Book Antiqua"/>
          <w:color w:val="000000"/>
        </w:rPr>
        <w:t xml:space="preserve">PanCa </w:t>
      </w:r>
      <w:r>
        <w:rPr>
          <w:rFonts w:ascii="Book Antiqua" w:eastAsia="Book Antiqua" w:hAnsi="Book Antiqua" w:cs="Book Antiqua"/>
          <w:color w:val="000000"/>
          <w:shd w:val="clear" w:color="auto" w:fill="FFFFFF"/>
        </w:rPr>
        <w:t xml:space="preserve">proliferation and invasion by activating the miR-3923/KRAS signaling pathway. Moreover, LOC389641 promoted the progression of PDAC and increased cell invasion by regulating E-cadherin with the possible involvement of </w:t>
      </w:r>
      <w:r>
        <w:rPr>
          <w:rFonts w:ascii="Book Antiqua" w:eastAsia="Book Antiqua" w:hAnsi="Book Antiqua" w:cs="Book Antiqua"/>
          <w:i/>
          <w:iCs/>
          <w:color w:val="000000"/>
          <w:shd w:val="clear" w:color="auto" w:fill="FFFFFF"/>
        </w:rPr>
        <w:t>TNFRSF10A</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(Table 3)</w:t>
      </w:r>
      <w:r>
        <w:rPr>
          <w:rFonts w:ascii="Book Antiqua" w:eastAsia="Book Antiqua" w:hAnsi="Book Antiqua" w:cs="Book Antiqua"/>
          <w:color w:val="000000"/>
          <w:shd w:val="clear" w:color="auto" w:fill="FFFFFF"/>
          <w:vertAlign w:val="superscript"/>
        </w:rPr>
        <w:t>[109]</w:t>
      </w:r>
      <w:r>
        <w:rPr>
          <w:rFonts w:ascii="Book Antiqua" w:eastAsia="Book Antiqua" w:hAnsi="Book Antiqua" w:cs="Book Antiqua"/>
          <w:color w:val="000000"/>
          <w:shd w:val="clear" w:color="auto" w:fill="FFFFFF"/>
        </w:rPr>
        <w:t>.</w:t>
      </w:r>
    </w:p>
    <w:p w14:paraId="6B0EDAC2" w14:textId="4DF0AD3C" w:rsidR="00A503D8" w:rsidRDefault="00000000">
      <w:pPr>
        <w:spacing w:line="360" w:lineRule="auto"/>
        <w:ind w:firstLineChars="200" w:firstLine="480"/>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 xml:space="preserve">The d-signature comprises eight extracellular vesicle long RNAs, including </w:t>
      </w:r>
      <w:r>
        <w:rPr>
          <w:rFonts w:ascii="Book Antiqua" w:eastAsia="Book Antiqua" w:hAnsi="Book Antiqua" w:cs="Book Antiqua"/>
          <w:i/>
          <w:iCs/>
          <w:color w:val="000000"/>
          <w:shd w:val="clear" w:color="auto" w:fill="FFFFFF"/>
        </w:rPr>
        <w:t>FGA, KRT19, HIST1H2BK, ITIH2, MARCH2, CLDN1, MAL2</w:t>
      </w:r>
      <w:r>
        <w:rPr>
          <w:rFonts w:ascii="Book Antiqua" w:eastAsia="Book Antiqua" w:hAnsi="Book Antiqua" w:cs="Book Antiqua"/>
          <w:color w:val="000000"/>
          <w:shd w:val="clear" w:color="auto" w:fill="FFFFFF"/>
        </w:rPr>
        <w:t xml:space="preserve"> and </w:t>
      </w:r>
      <w:r>
        <w:rPr>
          <w:rFonts w:ascii="Book Antiqua" w:eastAsia="Book Antiqua" w:hAnsi="Book Antiqua" w:cs="Book Antiqua"/>
          <w:i/>
          <w:iCs/>
          <w:color w:val="000000"/>
          <w:shd w:val="clear" w:color="auto" w:fill="FFFFFF"/>
        </w:rPr>
        <w:t>TIMP1</w:t>
      </w:r>
      <w:r>
        <w:rPr>
          <w:rFonts w:ascii="Book Antiqua" w:eastAsia="Book Antiqua" w:hAnsi="Book Antiqua" w:cs="Book Antiqua"/>
          <w:color w:val="000000"/>
          <w:shd w:val="clear" w:color="auto" w:fill="FFFFFF"/>
        </w:rPr>
        <w:t xml:space="preserve">, for PDAC detection, and </w:t>
      </w:r>
      <w:r>
        <w:rPr>
          <w:rFonts w:ascii="Book Antiqua" w:eastAsia="Book Antiqua" w:hAnsi="Book Antiqua" w:cs="Book Antiqua"/>
          <w:color w:val="000000"/>
        </w:rPr>
        <w:t xml:space="preserve">the d-signature could distinguish between CA19-9 negative PDAC cases and healthy controls, thus complementing the use of CA19-9 in PDAC detection. It could also distinguish PDAC from CP with high accuracy. </w:t>
      </w:r>
      <w:r>
        <w:rPr>
          <w:rFonts w:ascii="Book Antiqua" w:eastAsia="Book Antiqua" w:hAnsi="Book Antiqua" w:cs="Book Antiqua"/>
          <w:color w:val="000000"/>
          <w:shd w:val="clear" w:color="auto" w:fill="FFFFFF"/>
        </w:rPr>
        <w:t xml:space="preserve">Circ-LDLRAD3 was found to be increased in </w:t>
      </w:r>
      <w:r>
        <w:rPr>
          <w:rFonts w:ascii="Book Antiqua" w:eastAsia="Book Antiqua" w:hAnsi="Book Antiqua" w:cs="Book Antiqua"/>
          <w:color w:val="000000"/>
        </w:rPr>
        <w:t xml:space="preserve">PanCa </w:t>
      </w:r>
      <w:r>
        <w:rPr>
          <w:rFonts w:ascii="Book Antiqua" w:eastAsia="Book Antiqua" w:hAnsi="Book Antiqua" w:cs="Book Antiqua"/>
          <w:color w:val="000000"/>
          <w:shd w:val="clear" w:color="auto" w:fill="FFFFFF"/>
        </w:rPr>
        <w:t>tissues as well as in plasma samples. It was markedly related to lymphatic invasion, along with venous invasion and metastasis. Circ-LDLRAD3 has not been reported as an ideal standalone biomarker but may be in combination with CA19-9</w:t>
      </w:r>
      <w:r>
        <w:rPr>
          <w:rFonts w:ascii="Book Antiqua" w:eastAsia="Book Antiqua" w:hAnsi="Book Antiqua" w:cs="Book Antiqua"/>
          <w:color w:val="000000"/>
          <w:shd w:val="clear" w:color="auto" w:fill="FFFFFF"/>
          <w:vertAlign w:val="superscript"/>
        </w:rPr>
        <w:t>[110]</w:t>
      </w:r>
      <w:r>
        <w:rPr>
          <w:rFonts w:ascii="Book Antiqua" w:eastAsia="Book Antiqua" w:hAnsi="Book Antiqua" w:cs="Book Antiqua"/>
          <w:color w:val="000000"/>
          <w:shd w:val="clear" w:color="auto" w:fill="FFFFFF"/>
        </w:rPr>
        <w:t>.</w:t>
      </w:r>
    </w:p>
    <w:p w14:paraId="33EB3E29" w14:textId="10374440" w:rsidR="00A503D8"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shd w:val="clear" w:color="auto" w:fill="FFFFFF"/>
        </w:rPr>
        <w:t xml:space="preserve">The circRNAs </w:t>
      </w:r>
      <w:r>
        <w:rPr>
          <w:rFonts w:ascii="Book Antiqua" w:eastAsia="Book Antiqua" w:hAnsi="Book Antiqua" w:cs="Book Antiqua"/>
          <w:i/>
          <w:iCs/>
          <w:color w:val="000000"/>
          <w:shd w:val="clear" w:color="auto" w:fill="FFFFFF"/>
        </w:rPr>
        <w:t xml:space="preserve">PDE8A </w:t>
      </w:r>
      <w:r>
        <w:rPr>
          <w:rFonts w:ascii="Book Antiqua" w:eastAsia="Book Antiqua" w:hAnsi="Book Antiqua" w:cs="Book Antiqua"/>
          <w:color w:val="000000"/>
          <w:shd w:val="clear" w:color="auto" w:fill="FFFFFF"/>
        </w:rPr>
        <w:t xml:space="preserve">and </w:t>
      </w:r>
      <w:r>
        <w:rPr>
          <w:rFonts w:ascii="Book Antiqua" w:eastAsia="Book Antiqua" w:hAnsi="Book Antiqua" w:cs="Book Antiqua"/>
          <w:i/>
          <w:iCs/>
          <w:color w:val="000000"/>
          <w:shd w:val="clear" w:color="auto" w:fill="FFFFFF"/>
        </w:rPr>
        <w:t xml:space="preserve">IARS </w:t>
      </w:r>
      <w:r>
        <w:rPr>
          <w:rFonts w:ascii="Book Antiqua" w:eastAsia="Book Antiqua" w:hAnsi="Book Antiqua" w:cs="Book Antiqua"/>
          <w:color w:val="000000"/>
          <w:shd w:val="clear" w:color="auto" w:fill="FFFFFF"/>
        </w:rPr>
        <w:t xml:space="preserve">are present in the plasma exosome. They were upregulated along with a concurrent association with prognosis and progression of </w:t>
      </w:r>
      <w:r>
        <w:rPr>
          <w:rFonts w:ascii="Book Antiqua" w:eastAsia="Book Antiqua" w:hAnsi="Book Antiqua" w:cs="Book Antiqua"/>
          <w:color w:val="000000"/>
        </w:rPr>
        <w:t>PanCa</w:t>
      </w:r>
      <w:r>
        <w:rPr>
          <w:rFonts w:ascii="Book Antiqua" w:eastAsia="Book Antiqua" w:hAnsi="Book Antiqua" w:cs="Book Antiqua"/>
          <w:color w:val="000000"/>
          <w:shd w:val="clear" w:color="auto" w:fill="FFFFFF"/>
        </w:rPr>
        <w:t xml:space="preserve">. They were also likely to be promising biomarkers in the detection of early-stage </w:t>
      </w:r>
      <w:r>
        <w:rPr>
          <w:rFonts w:ascii="Book Antiqua" w:eastAsia="Book Antiqua" w:hAnsi="Book Antiqua" w:cs="Book Antiqua"/>
          <w:color w:val="000000"/>
        </w:rPr>
        <w:t xml:space="preserve">PanCa. </w:t>
      </w:r>
      <w:r>
        <w:rPr>
          <w:rFonts w:ascii="Book Antiqua" w:eastAsia="Book Antiqua" w:hAnsi="Book Antiqua" w:cs="Book Antiqua"/>
          <w:color w:val="000000"/>
          <w:shd w:val="clear" w:color="auto" w:fill="FFFFFF"/>
        </w:rPr>
        <w:t xml:space="preserve">When compared with the healthy controls, circ-001569 levels were higher. Aberrant levels of </w:t>
      </w:r>
      <w:r>
        <w:rPr>
          <w:rFonts w:ascii="Book Antiqua" w:eastAsia="Book Antiqua" w:hAnsi="Book Antiqua" w:cs="Book Antiqua"/>
          <w:i/>
          <w:iCs/>
          <w:color w:val="000000"/>
          <w:shd w:val="clear" w:color="auto" w:fill="FFFFFF"/>
        </w:rPr>
        <w:t>CPA4, PFAA, MUC5AC, GPANCA1, OPNT</w:t>
      </w:r>
      <w:r>
        <w:rPr>
          <w:rFonts w:eastAsia="Book Antiqua"/>
          <w:i/>
          <w:iCs/>
          <w:color w:val="000000"/>
          <w:shd w:val="clear" w:color="auto" w:fill="FFFFFF"/>
        </w:rPr>
        <w:t> </w:t>
      </w:r>
      <w:r>
        <w:rPr>
          <w:rFonts w:ascii="Book Antiqua" w:eastAsia="Book Antiqua" w:hAnsi="Book Antiqua" w:cs="Book Antiqua"/>
          <w:i/>
          <w:iCs/>
          <w:color w:val="000000"/>
          <w:shd w:val="clear" w:color="auto" w:fill="FFFFFF"/>
        </w:rPr>
        <w:t>+</w:t>
      </w:r>
      <w:r>
        <w:rPr>
          <w:rFonts w:eastAsia="Book Antiqua"/>
          <w:i/>
          <w:iCs/>
          <w:color w:val="000000"/>
          <w:shd w:val="clear" w:color="auto" w:fill="FFFFFF"/>
        </w:rPr>
        <w:t> </w:t>
      </w:r>
      <w:r>
        <w:rPr>
          <w:rFonts w:ascii="Book Antiqua" w:eastAsia="Book Antiqua" w:hAnsi="Book Antiqua" w:cs="Book Antiqua"/>
          <w:i/>
          <w:iCs/>
          <w:color w:val="000000"/>
          <w:shd w:val="clear" w:color="auto" w:fill="FFFFFF"/>
        </w:rPr>
        <w:t>TIMP-1</w:t>
      </w:r>
      <w:r>
        <w:rPr>
          <w:rFonts w:ascii="Book Antiqua" w:eastAsia="Book Antiqua" w:hAnsi="Book Antiqua" w:cs="Book Antiqua"/>
          <w:color w:val="000000"/>
          <w:shd w:val="clear" w:color="auto" w:fill="FFFFFF"/>
        </w:rPr>
        <w:t xml:space="preserve"> and </w:t>
      </w:r>
      <w:r>
        <w:rPr>
          <w:rFonts w:ascii="Book Antiqua" w:eastAsia="Book Antiqua" w:hAnsi="Book Antiqua" w:cs="Book Antiqua"/>
          <w:i/>
          <w:iCs/>
          <w:color w:val="000000"/>
          <w:shd w:val="clear" w:color="auto" w:fill="FFFFFF"/>
        </w:rPr>
        <w:t xml:space="preserve">C4BPA </w:t>
      </w:r>
      <w:r>
        <w:rPr>
          <w:rFonts w:ascii="Book Antiqua" w:eastAsia="Book Antiqua" w:hAnsi="Book Antiqua" w:cs="Book Antiqua"/>
          <w:color w:val="000000"/>
          <w:shd w:val="clear" w:color="auto" w:fill="FFFFFF"/>
        </w:rPr>
        <w:t xml:space="preserve">were frequently reported in serum samples of </w:t>
      </w:r>
      <w:r>
        <w:rPr>
          <w:rFonts w:ascii="Book Antiqua" w:eastAsia="Book Antiqua" w:hAnsi="Book Antiqua" w:cs="Book Antiqua"/>
          <w:color w:val="000000"/>
        </w:rPr>
        <w:t xml:space="preserve">PanCa </w:t>
      </w:r>
      <w:r>
        <w:rPr>
          <w:rFonts w:ascii="Book Antiqua" w:eastAsia="Book Antiqua" w:hAnsi="Book Antiqua" w:cs="Book Antiqua"/>
          <w:color w:val="000000"/>
          <w:shd w:val="clear" w:color="auto" w:fill="FFFFFF"/>
        </w:rPr>
        <w:t xml:space="preserve">patients. In pancreatic juice samples, the higher regulation of ARG2 signifies its role as a biomarker for </w:t>
      </w:r>
      <w:r>
        <w:rPr>
          <w:rFonts w:ascii="Book Antiqua" w:eastAsia="Book Antiqua" w:hAnsi="Book Antiqua" w:cs="Book Antiqua"/>
          <w:color w:val="000000"/>
        </w:rPr>
        <w:t xml:space="preserve">PanCa </w:t>
      </w:r>
      <w:r>
        <w:rPr>
          <w:rFonts w:ascii="Book Antiqua" w:eastAsia="Book Antiqua" w:hAnsi="Book Antiqua" w:cs="Book Antiqua"/>
          <w:color w:val="000000"/>
          <w:shd w:val="clear" w:color="auto" w:fill="FFFFFF"/>
        </w:rPr>
        <w:t xml:space="preserve">diagnosis. </w:t>
      </w:r>
      <w:r>
        <w:rPr>
          <w:rFonts w:ascii="Book Antiqua" w:eastAsia="Book Antiqua" w:hAnsi="Book Antiqua" w:cs="Book Antiqua"/>
          <w:color w:val="000000"/>
          <w:shd w:val="clear" w:color="auto" w:fill="FFFFFF"/>
        </w:rPr>
        <w:lastRenderedPageBreak/>
        <w:t>N</w:t>
      </w:r>
      <w:r>
        <w:rPr>
          <w:rFonts w:ascii="Book Antiqua" w:eastAsia="Book Antiqua" w:hAnsi="Book Antiqua" w:cs="Book Antiqua"/>
          <w:color w:val="000000"/>
        </w:rPr>
        <w:t>eutrophil gelatinase-associated lipocalin</w:t>
      </w:r>
      <w:r>
        <w:rPr>
          <w:rFonts w:ascii="Book Antiqua" w:eastAsia="Book Antiqua" w:hAnsi="Book Antiqua" w:cs="Book Antiqua"/>
          <w:color w:val="000000"/>
          <w:shd w:val="clear" w:color="auto" w:fill="FFFFFF"/>
        </w:rPr>
        <w:t xml:space="preserve"> in urine also provides some clue for early diagnosis of </w:t>
      </w:r>
      <w:r>
        <w:rPr>
          <w:rFonts w:ascii="Book Antiqua" w:eastAsia="Book Antiqua" w:hAnsi="Book Antiqua" w:cs="Book Antiqua"/>
          <w:color w:val="000000"/>
        </w:rPr>
        <w:t>PanCa (Table 3)</w:t>
      </w:r>
      <w:r>
        <w:rPr>
          <w:rFonts w:ascii="Book Antiqua" w:eastAsia="Book Antiqua" w:hAnsi="Book Antiqua" w:cs="Book Antiqua"/>
          <w:color w:val="000000"/>
          <w:vertAlign w:val="superscript"/>
        </w:rPr>
        <w:t>[111,112]</w:t>
      </w:r>
      <w:r>
        <w:rPr>
          <w:rFonts w:ascii="Book Antiqua" w:eastAsia="Book Antiqua" w:hAnsi="Book Antiqua" w:cs="Book Antiqua"/>
          <w:color w:val="000000"/>
          <w:shd w:val="clear" w:color="auto" w:fill="FFFFFF"/>
        </w:rPr>
        <w:t>.</w:t>
      </w:r>
    </w:p>
    <w:p w14:paraId="62BC8422" w14:textId="77777777" w:rsidR="00A503D8" w:rsidRDefault="00A503D8">
      <w:pPr>
        <w:spacing w:line="360" w:lineRule="auto"/>
        <w:jc w:val="both"/>
        <w:rPr>
          <w:rFonts w:ascii="Book Antiqua" w:eastAsia="Book Antiqua" w:hAnsi="Book Antiqua" w:cs="Book Antiqua"/>
          <w:b/>
          <w:bCs/>
          <w:color w:val="000000"/>
        </w:rPr>
      </w:pPr>
    </w:p>
    <w:p w14:paraId="7525F300" w14:textId="77777777" w:rsidR="00A503D8" w:rsidRDefault="00000000">
      <w:pPr>
        <w:spacing w:line="360" w:lineRule="auto"/>
        <w:jc w:val="both"/>
        <w:rPr>
          <w:rFonts w:ascii="Book Antiqua" w:hAnsi="Book Antiqua"/>
          <w:b/>
          <w:bCs/>
          <w:i/>
          <w:iCs/>
        </w:rPr>
      </w:pPr>
      <w:r>
        <w:rPr>
          <w:rFonts w:ascii="Book Antiqua" w:eastAsia="Book Antiqua" w:hAnsi="Book Antiqua" w:cs="Book Antiqua"/>
          <w:b/>
          <w:bCs/>
          <w:i/>
          <w:iCs/>
          <w:color w:val="000000"/>
        </w:rPr>
        <w:t>Role of immunological treatments in PanCa and non-malignant diseases</w:t>
      </w:r>
    </w:p>
    <w:p w14:paraId="4BE8415C" w14:textId="4FE5732A" w:rsidR="00A503D8"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lack of immune and targeted molecular therapies is a reason for treatment failure and lower survival rates</w:t>
      </w:r>
      <w:r>
        <w:rPr>
          <w:rFonts w:ascii="Book Antiqua" w:eastAsia="Book Antiqua" w:hAnsi="Book Antiqua" w:cs="Book Antiqua"/>
          <w:color w:val="000000"/>
          <w:vertAlign w:val="superscript"/>
        </w:rPr>
        <w:t>[113]</w:t>
      </w:r>
      <w:r>
        <w:rPr>
          <w:rFonts w:ascii="Book Antiqua" w:eastAsia="Book Antiqua" w:hAnsi="Book Antiqua" w:cs="Book Antiqua"/>
          <w:color w:val="000000"/>
        </w:rPr>
        <w:t>. The reason behind less efficient immune therapies in PanCa is unclear. Usually, PTs are surrounded by thick desmoplastic stroma making targeted treatments less effective. Other reasons of immune therapy failure are chemokine-initiated barring of T cells followed by comparatively faulty antigenicity when compared to other solid tumors</w:t>
      </w:r>
      <w:r>
        <w:rPr>
          <w:rFonts w:ascii="Book Antiqua" w:eastAsia="Book Antiqua" w:hAnsi="Book Antiqua" w:cs="Book Antiqua"/>
          <w:color w:val="000000"/>
          <w:vertAlign w:val="superscript"/>
        </w:rPr>
        <w:t>[114]</w:t>
      </w:r>
      <w:r>
        <w:rPr>
          <w:rFonts w:ascii="Book Antiqua" w:eastAsia="Book Antiqua" w:hAnsi="Book Antiqua" w:cs="Book Antiqua"/>
          <w:color w:val="000000"/>
        </w:rPr>
        <w:t>. A model states that the systemic progression of PDAC development initiates from PanIN1 to PanIN3 and finally leads to invasive PDAC. This occurs when high progressive deposition of desmoplastic stroma and alteration of leucocyte infiltration happens</w:t>
      </w:r>
      <w:r>
        <w:rPr>
          <w:rFonts w:ascii="Book Antiqua" w:eastAsia="Book Antiqua" w:hAnsi="Book Antiqua" w:cs="Book Antiqua"/>
          <w:color w:val="000000"/>
          <w:vertAlign w:val="superscript"/>
        </w:rPr>
        <w:t>[115]</w:t>
      </w:r>
      <w:r>
        <w:rPr>
          <w:rFonts w:ascii="Book Antiqua" w:eastAsia="Book Antiqua" w:hAnsi="Book Antiqua" w:cs="Book Antiqua"/>
          <w:color w:val="000000"/>
        </w:rPr>
        <w:t>.</w:t>
      </w:r>
    </w:p>
    <w:p w14:paraId="282031BA" w14:textId="10C7DD6A" w:rsidR="00A503D8" w:rsidRDefault="00000000">
      <w:pPr>
        <w:spacing w:line="360" w:lineRule="auto"/>
        <w:ind w:firstLine="450"/>
        <w:jc w:val="both"/>
        <w:rPr>
          <w:rFonts w:ascii="Book Antiqua" w:eastAsia="Book Antiqua" w:hAnsi="Book Antiqua" w:cs="Book Antiqua"/>
          <w:color w:val="000000"/>
        </w:rPr>
      </w:pPr>
      <w:r>
        <w:rPr>
          <w:rFonts w:ascii="Book Antiqua" w:eastAsia="Book Antiqua" w:hAnsi="Book Antiqua" w:cs="Book Antiqua"/>
          <w:color w:val="000000"/>
        </w:rPr>
        <w:t>The lower mutation burden in PDAC is partially due to poor antigenicity of the tumor microenvironment (TME). The abundant immunosuppressive TME plays a crucial role in blocking T cell activation, which further leads to lower immune therapy efficiency</w:t>
      </w:r>
      <w:r>
        <w:rPr>
          <w:rFonts w:ascii="Book Antiqua" w:eastAsia="Book Antiqua" w:hAnsi="Book Antiqua" w:cs="Book Antiqua"/>
          <w:color w:val="000000"/>
          <w:vertAlign w:val="superscript"/>
        </w:rPr>
        <w:t>[116]</w:t>
      </w:r>
      <w:r>
        <w:rPr>
          <w:rFonts w:ascii="Book Antiqua" w:eastAsia="Book Antiqua" w:hAnsi="Book Antiqua" w:cs="Book Antiqua"/>
          <w:color w:val="000000"/>
        </w:rPr>
        <w:t xml:space="preserve">. A significantly increased level of the </w:t>
      </w:r>
      <w:r>
        <w:rPr>
          <w:rFonts w:ascii="Book Antiqua" w:eastAsia="Book Antiqua" w:hAnsi="Book Antiqua" w:cs="Book Antiqua"/>
          <w:i/>
          <w:iCs/>
          <w:color w:val="000000"/>
        </w:rPr>
        <w:t>TH17</w:t>
      </w:r>
      <w:r>
        <w:rPr>
          <w:rFonts w:ascii="Book Antiqua" w:eastAsia="Book Antiqua" w:hAnsi="Book Antiqua" w:cs="Book Antiqua"/>
          <w:color w:val="000000"/>
        </w:rPr>
        <w:t xml:space="preserve"> and </w:t>
      </w:r>
      <w:r>
        <w:rPr>
          <w:rFonts w:ascii="Book Antiqua" w:eastAsia="Book Antiqua" w:hAnsi="Book Antiqua" w:cs="Book Antiqua"/>
          <w:i/>
          <w:iCs/>
          <w:color w:val="000000"/>
        </w:rPr>
        <w:t>Th1</w:t>
      </w:r>
      <w:r>
        <w:rPr>
          <w:rFonts w:ascii="Book Antiqua" w:eastAsia="Book Antiqua" w:hAnsi="Book Antiqua" w:cs="Book Antiqua"/>
          <w:color w:val="000000"/>
        </w:rPr>
        <w:t xml:space="preserve"> genes acts as an inflammatory immune marker</w:t>
      </w:r>
      <w:r>
        <w:rPr>
          <w:rFonts w:ascii="Book Antiqua" w:eastAsia="Book Antiqua" w:hAnsi="Book Antiqua" w:cs="Book Antiqua"/>
          <w:color w:val="000000"/>
          <w:vertAlign w:val="superscript"/>
        </w:rPr>
        <w:t>[117]</w:t>
      </w:r>
      <w:r>
        <w:rPr>
          <w:rFonts w:ascii="Book Antiqua" w:eastAsia="Book Antiqua" w:hAnsi="Book Antiqua" w:cs="Book Antiqua"/>
          <w:color w:val="000000"/>
        </w:rPr>
        <w:t xml:space="preserve">. A variety of immune biomarkers have been reported in PDAC. Those with sound prognostic capability are </w:t>
      </w:r>
      <w:r>
        <w:rPr>
          <w:rFonts w:ascii="Book Antiqua" w:eastAsia="Book Antiqua" w:hAnsi="Book Antiqua" w:cs="Book Antiqua"/>
          <w:i/>
          <w:iCs/>
          <w:color w:val="000000"/>
        </w:rPr>
        <w:t>CD3, CD4, CD8</w:t>
      </w:r>
      <w:r>
        <w:rPr>
          <w:rFonts w:ascii="Book Antiqua" w:eastAsia="Book Antiqua" w:hAnsi="Book Antiqua" w:cs="Book Antiqua"/>
          <w:color w:val="000000"/>
        </w:rPr>
        <w:t xml:space="preserve"> and </w:t>
      </w:r>
      <w:r>
        <w:rPr>
          <w:rFonts w:ascii="Book Antiqua" w:eastAsia="Book Antiqua" w:hAnsi="Book Antiqua" w:cs="Book Antiqua"/>
          <w:i/>
          <w:iCs/>
          <w:color w:val="000000"/>
        </w:rPr>
        <w:t>CD20</w:t>
      </w:r>
      <w:r>
        <w:rPr>
          <w:rFonts w:ascii="Book Antiqua" w:eastAsia="Book Antiqua" w:hAnsi="Book Antiqua" w:cs="Book Antiqua"/>
          <w:color w:val="000000"/>
        </w:rPr>
        <w:t xml:space="preserve">. In contrast, increased expression of </w:t>
      </w:r>
      <w:r>
        <w:rPr>
          <w:rFonts w:ascii="Book Antiqua" w:eastAsia="Book Antiqua" w:hAnsi="Book Antiqua" w:cs="Book Antiqua"/>
          <w:i/>
          <w:iCs/>
          <w:color w:val="000000"/>
        </w:rPr>
        <w:t>CD163, FOXP3, CD204, CD68</w:t>
      </w:r>
      <w:r>
        <w:rPr>
          <w:rFonts w:ascii="Book Antiqua" w:eastAsia="Book Antiqua" w:hAnsi="Book Antiqua" w:cs="Book Antiqua"/>
          <w:color w:val="000000"/>
        </w:rPr>
        <w:t xml:space="preserve"> and </w:t>
      </w:r>
      <w:r>
        <w:rPr>
          <w:rFonts w:ascii="Book Antiqua" w:eastAsia="Book Antiqua" w:hAnsi="Book Antiqua" w:cs="Book Antiqua"/>
          <w:i/>
          <w:iCs/>
          <w:color w:val="000000"/>
        </w:rPr>
        <w:t>CD66b</w:t>
      </w:r>
      <w:r>
        <w:rPr>
          <w:rFonts w:ascii="Book Antiqua" w:eastAsia="Book Antiqua" w:hAnsi="Book Antiqua" w:cs="Book Antiqua"/>
          <w:color w:val="000000"/>
        </w:rPr>
        <w:t xml:space="preserve"> leads to poorer outcomes</w:t>
      </w:r>
      <w:r>
        <w:rPr>
          <w:rFonts w:ascii="Book Antiqua" w:eastAsia="Book Antiqua" w:hAnsi="Book Antiqua" w:cs="Book Antiqua"/>
          <w:color w:val="000000"/>
          <w:vertAlign w:val="superscript"/>
        </w:rPr>
        <w:t>[114,118]</w:t>
      </w:r>
      <w:r>
        <w:rPr>
          <w:rFonts w:ascii="Book Antiqua" w:eastAsia="Book Antiqua" w:hAnsi="Book Antiqua" w:cs="Book Antiqua"/>
          <w:color w:val="000000"/>
        </w:rPr>
        <w:t>.</w:t>
      </w:r>
    </w:p>
    <w:p w14:paraId="76207519" w14:textId="43D8FAA2" w:rsidR="00A503D8" w:rsidRDefault="00000000" w:rsidP="002A39AF">
      <w:pPr>
        <w:spacing w:line="360" w:lineRule="auto"/>
        <w:ind w:firstLine="450"/>
        <w:jc w:val="both"/>
        <w:rPr>
          <w:rFonts w:ascii="Book Antiqua" w:hAnsi="Book Antiqua"/>
        </w:rPr>
      </w:pPr>
      <w:r>
        <w:rPr>
          <w:rFonts w:ascii="Book Antiqua" w:eastAsia="Book Antiqua" w:hAnsi="Book Antiqua" w:cs="Book Antiqua"/>
          <w:color w:val="000000"/>
        </w:rPr>
        <w:t>Interestingly, the presence of T cells has no clinical correlation with PDAC. Tumor-infiltrating CD3+ T cells have been identified in isolated PDAC tumors. However, due to the lack of CD3 zeta expression, the capability to activate T cell-associated receptor signaling has been lost and is under functioning</w:t>
      </w:r>
      <w:r>
        <w:rPr>
          <w:rFonts w:ascii="Book Antiqua" w:eastAsia="Book Antiqua" w:hAnsi="Book Antiqua" w:cs="Book Antiqua"/>
          <w:color w:val="000000"/>
          <w:vertAlign w:val="superscript"/>
        </w:rPr>
        <w:t>[119]</w:t>
      </w:r>
      <w:r>
        <w:rPr>
          <w:rFonts w:ascii="Book Antiqua" w:eastAsia="Book Antiqua" w:hAnsi="Book Antiqua" w:cs="Book Antiqua"/>
          <w:color w:val="000000"/>
        </w:rPr>
        <w:t xml:space="preserve">. The tumor immune microenvironment and TME of PDAC is peculiar when compared with other solid tumors because immune therapy does not yield significant results in PanCa treatment. PD-L1, CTLA-4 and PD-1 targeting antibodies are part of immune checkpoints, and inhibition of these targets has been successful in other malignancies but have failed in </w:t>
      </w:r>
      <w:r>
        <w:rPr>
          <w:rFonts w:ascii="Book Antiqua" w:eastAsia="Book Antiqua" w:hAnsi="Book Antiqua" w:cs="Book Antiqua"/>
          <w:color w:val="000000"/>
        </w:rPr>
        <w:lastRenderedPageBreak/>
        <w:t>curative treatment of PanCa</w:t>
      </w:r>
      <w:r>
        <w:rPr>
          <w:rFonts w:ascii="Book Antiqua" w:eastAsia="Book Antiqua" w:hAnsi="Book Antiqua" w:cs="Book Antiqua"/>
          <w:color w:val="000000"/>
          <w:vertAlign w:val="superscript"/>
        </w:rPr>
        <w:t>[120]</w:t>
      </w:r>
      <w:r>
        <w:rPr>
          <w:rFonts w:ascii="Book Antiqua" w:eastAsia="Book Antiqua" w:hAnsi="Book Antiqua" w:cs="Book Antiqua"/>
          <w:color w:val="000000"/>
        </w:rPr>
        <w:t>. Of note, PD-L1 and PD-1 expression is significantly lower in PDAC than in other tumors. PD-L1 has high expression in almost 30%-40% of PanCa cases, which is correlated with CD8+ cells, thereby indicating a poor prognosis</w:t>
      </w:r>
      <w:r>
        <w:rPr>
          <w:rFonts w:ascii="Book Antiqua" w:eastAsia="Book Antiqua" w:hAnsi="Book Antiqua" w:cs="Book Antiqua"/>
          <w:color w:val="000000"/>
          <w:vertAlign w:val="superscript"/>
        </w:rPr>
        <w:t>[120,121]</w:t>
      </w:r>
      <w:r>
        <w:rPr>
          <w:rFonts w:ascii="Book Antiqua" w:eastAsia="Book Antiqua" w:hAnsi="Book Antiqua" w:cs="Book Antiqua"/>
          <w:color w:val="000000"/>
        </w:rPr>
        <w:t>.</w:t>
      </w:r>
    </w:p>
    <w:p w14:paraId="563939B1" w14:textId="77777777" w:rsidR="00A503D8" w:rsidRDefault="00A503D8">
      <w:pPr>
        <w:spacing w:line="360" w:lineRule="auto"/>
        <w:jc w:val="both"/>
        <w:rPr>
          <w:rFonts w:ascii="Book Antiqua" w:hAnsi="Book Antiqua"/>
        </w:rPr>
      </w:pPr>
    </w:p>
    <w:p w14:paraId="6C670DA5" w14:textId="77777777" w:rsidR="00A503D8" w:rsidRDefault="00000000">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488364AF" w14:textId="41DB7A3D" w:rsidR="00A503D8" w:rsidRDefault="00000000">
      <w:pPr>
        <w:spacing w:line="360" w:lineRule="auto"/>
        <w:jc w:val="both"/>
        <w:rPr>
          <w:rFonts w:ascii="Book Antiqua" w:hAnsi="Book Antiqua"/>
        </w:rPr>
      </w:pPr>
      <w:r>
        <w:rPr>
          <w:rFonts w:ascii="Book Antiqua" w:eastAsia="Book Antiqua" w:hAnsi="Book Antiqua" w:cs="Book Antiqua"/>
          <w:color w:val="000000"/>
        </w:rPr>
        <w:t>Currently, a variety of specimens have emerged as possible sources for liquid biopsy analysis for diagnostic applications. Apart from plasma or serum, urine and sputum have also produced promising disease diagnostic results</w:t>
      </w:r>
      <w:r>
        <w:rPr>
          <w:rFonts w:ascii="Book Antiqua" w:eastAsia="Book Antiqua" w:hAnsi="Book Antiqua" w:cs="Book Antiqua"/>
          <w:color w:val="000000"/>
          <w:vertAlign w:val="superscript"/>
        </w:rPr>
        <w:t>[44,122]</w:t>
      </w:r>
      <w:r>
        <w:rPr>
          <w:rFonts w:ascii="Book Antiqua" w:eastAsia="Book Antiqua" w:hAnsi="Book Antiqua" w:cs="Book Antiqua"/>
          <w:color w:val="000000"/>
        </w:rPr>
        <w:t>. Liquid biopsies are ideally non-invasive or minimally invasive for sample collection, minimizing patient stress and discomfort. Non-invasive approaches can significantly aid clinical research and utility. Even the recurrence and metastasis of the disease can be potentially monitored based on the cfDNA methods (Table 4).</w:t>
      </w:r>
    </w:p>
    <w:p w14:paraId="73BA5D38" w14:textId="54148A76" w:rsidR="00A503D8"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Therefore, in this review we highlighted the current development in tools for PanCa early diagnosis and prognosis. We demonstrated that useful data can be obtained based on DNA methylation signatures and mutations. The heterogeneity in the pool of cfDNA isolated from a suitable source, such as plasma, contains cfDNA molecules obtained from various origins, and various outcomes, such as DNA methylation or gene mutations, could be obtained from such material. The process of properly understanding the disease source and cfDNA origin has been facilitated significantly by advancements in technologies, such as single cell-based techniques</w:t>
      </w:r>
      <w:r>
        <w:rPr>
          <w:rFonts w:ascii="Book Antiqua" w:eastAsia="Book Antiqua" w:hAnsi="Book Antiqua" w:cs="Book Antiqua"/>
          <w:color w:val="000000"/>
          <w:vertAlign w:val="superscript"/>
        </w:rPr>
        <w:t>[40]</w:t>
      </w:r>
      <w:r>
        <w:rPr>
          <w:rFonts w:ascii="Book Antiqua" w:eastAsia="Book Antiqua" w:hAnsi="Book Antiqua" w:cs="Book Antiqua"/>
          <w:color w:val="000000"/>
        </w:rPr>
        <w:t>. These advancements can further facilitate liquid biopsy research associated with PanCa biomarker discovery. This also showcases that aberrant DNA methylation signatures harness a significant capability to guide PanCa disease management</w:t>
      </w:r>
      <w:r>
        <w:rPr>
          <w:rFonts w:ascii="Book Antiqua" w:eastAsia="Book Antiqua" w:hAnsi="Book Antiqua" w:cs="Book Antiqua"/>
          <w:color w:val="000000"/>
          <w:vertAlign w:val="superscript"/>
        </w:rPr>
        <w:t>[32,51]</w:t>
      </w:r>
      <w:r>
        <w:rPr>
          <w:rFonts w:ascii="Book Antiqua" w:eastAsia="Book Antiqua" w:hAnsi="Book Antiqua" w:cs="Book Antiqua"/>
          <w:color w:val="000000"/>
        </w:rPr>
        <w:t>. Approximately 300 clinical trials are currently ongoing that target the use of cfDNA biomarkers in the diagnosis of malignancies. Limitations include cfDNA isolation and sample processing and understanding the biology of ctDNA based on its release from tumors.</w:t>
      </w:r>
    </w:p>
    <w:p w14:paraId="4F9730C4" w14:textId="38842D63" w:rsidR="00A503D8" w:rsidRPr="002A39AF"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The outcome of the secretome can also support PanCa diagnosis significantly. Premalignant lesions such as PanIN are still facing detection challenges because no </w:t>
      </w:r>
      <w:r>
        <w:rPr>
          <w:rFonts w:ascii="Book Antiqua" w:eastAsia="Book Antiqua" w:hAnsi="Book Antiqua" w:cs="Book Antiqua"/>
          <w:color w:val="000000"/>
        </w:rPr>
        <w:lastRenderedPageBreak/>
        <w:t>PanIN-speciﬁc protein has been clinically approved. The alterations in cell free nucleic acids does not always manifest into protein changes that can be clinically validated and utilized. However, the secretome in PanCa and secretome biomarkers specific to premalignant lesions are yet to be identified for clinical use but are likely to be highly useful in the future. Validation of biomarkers based on cfDNA alterations and subsequent protein expression can substantially help in the early diagnosis of PanCa and other pancreatic-associated diseases</w:t>
      </w:r>
      <w:r>
        <w:rPr>
          <w:rFonts w:ascii="Book Antiqua" w:eastAsia="Book Antiqua" w:hAnsi="Book Antiqua" w:cs="Book Antiqua"/>
          <w:color w:val="000000"/>
          <w:vertAlign w:val="superscript"/>
        </w:rPr>
        <w:t>[51,123]</w:t>
      </w:r>
      <w:r>
        <w:rPr>
          <w:rFonts w:ascii="Book Antiqua" w:eastAsia="Book Antiqua" w:hAnsi="Book Antiqua" w:cs="Book Antiqua"/>
          <w:color w:val="000000"/>
        </w:rPr>
        <w:t>.</w:t>
      </w:r>
    </w:p>
    <w:p w14:paraId="7636C01E" w14:textId="77777777" w:rsidR="00A503D8" w:rsidRDefault="00A503D8">
      <w:pPr>
        <w:spacing w:line="360" w:lineRule="auto"/>
        <w:jc w:val="both"/>
        <w:rPr>
          <w:rFonts w:ascii="Book Antiqua" w:hAnsi="Book Antiqua"/>
        </w:rPr>
      </w:pPr>
    </w:p>
    <w:p w14:paraId="2D7534D6" w14:textId="77777777" w:rsidR="00A503D8" w:rsidRDefault="00000000">
      <w:pPr>
        <w:spacing w:line="360" w:lineRule="auto"/>
        <w:jc w:val="both"/>
        <w:rPr>
          <w:rFonts w:ascii="Book Antiqua" w:hAnsi="Book Antiqua"/>
        </w:rPr>
      </w:pPr>
      <w:r>
        <w:rPr>
          <w:rFonts w:ascii="Book Antiqua" w:eastAsia="Book Antiqua" w:hAnsi="Book Antiqua" w:cs="Book Antiqua"/>
          <w:b/>
          <w:caps/>
          <w:color w:val="000000"/>
          <w:u w:val="single"/>
        </w:rPr>
        <w:t>ACKNOWLEDGEMENTS</w:t>
      </w:r>
    </w:p>
    <w:p w14:paraId="0478CBFD" w14:textId="278DC900" w:rsidR="00A503D8" w:rsidRDefault="00000000">
      <w:pPr>
        <w:spacing w:line="360" w:lineRule="auto"/>
        <w:jc w:val="both"/>
        <w:rPr>
          <w:rFonts w:ascii="Book Antiqua" w:hAnsi="Book Antiqua"/>
        </w:rPr>
      </w:pPr>
      <w:r>
        <w:rPr>
          <w:rFonts w:ascii="Book Antiqua" w:eastAsia="Book Antiqua" w:hAnsi="Book Antiqua" w:cs="Book Antiqua"/>
          <w:color w:val="000000"/>
        </w:rPr>
        <w:t>First, we would like to thank all the authors and clinicians whose valuable work has supported us in writing this review. Second, we also acknowledge clinicians from Tata Medical Center namely Dr. Sudeep Banerjee and Dr. Paromita Roy along with clinicians from Apollo Multispecialty Hospital namely Dr. Sumit Gulati and Dr. Supriyo Ghatak. Dr. Aniruddha Chatterjee would like to thank Rutherford Discovery Fellowship from the Royal Society of New Zealand and University of Otago, Dunedin, New Zealand for their support. The authors specifically thank and acknowledge Mr. Saraswan Sikdar</w:t>
      </w:r>
      <w:r>
        <w:rPr>
          <w:rFonts w:ascii="Book Antiqua" w:eastAsia="宋体" w:hAnsi="Book Antiqua" w:cs="宋体"/>
          <w:color w:val="000000"/>
          <w:lang w:eastAsia="zh-CN"/>
        </w:rPr>
        <w:t>.</w:t>
      </w:r>
    </w:p>
    <w:p w14:paraId="29365F03" w14:textId="77777777" w:rsidR="00A503D8" w:rsidRDefault="00A503D8">
      <w:pPr>
        <w:spacing w:line="360" w:lineRule="auto"/>
        <w:jc w:val="both"/>
        <w:rPr>
          <w:rFonts w:ascii="Book Antiqua" w:hAnsi="Book Antiqua"/>
        </w:rPr>
      </w:pPr>
    </w:p>
    <w:p w14:paraId="25E7AF1D" w14:textId="77777777" w:rsidR="00A503D8" w:rsidRDefault="00000000">
      <w:pPr>
        <w:spacing w:line="360" w:lineRule="auto"/>
        <w:jc w:val="both"/>
        <w:rPr>
          <w:rFonts w:ascii="Book Antiqua" w:hAnsi="Book Antiqua"/>
        </w:rPr>
      </w:pPr>
      <w:r>
        <w:rPr>
          <w:rFonts w:ascii="Book Antiqua" w:eastAsia="Book Antiqua" w:hAnsi="Book Antiqua" w:cs="Book Antiqua"/>
          <w:b/>
          <w:color w:val="000000"/>
        </w:rPr>
        <w:t>REFERENCES</w:t>
      </w:r>
    </w:p>
    <w:p w14:paraId="4435A7C7" w14:textId="77777777" w:rsidR="00A503D8" w:rsidRDefault="00000000">
      <w:pPr>
        <w:pStyle w:val="ac"/>
        <w:adjustRightInd w:val="0"/>
        <w:snapToGrid w:val="0"/>
        <w:spacing w:before="0" w:beforeAutospacing="0" w:after="0" w:afterAutospacing="0" w:line="360" w:lineRule="auto"/>
        <w:jc w:val="both"/>
        <w:rPr>
          <w:rFonts w:ascii="Book Antiqua" w:hAnsi="Book Antiqua"/>
        </w:rPr>
      </w:pPr>
      <w:r>
        <w:rPr>
          <w:rFonts w:ascii="Book Antiqua" w:hAnsi="Book Antiqua"/>
        </w:rPr>
        <w:t>1</w:t>
      </w:r>
      <w:r>
        <w:rPr>
          <w:rStyle w:val="apple-converted-space"/>
          <w:rFonts w:ascii="Book Antiqua" w:hAnsi="Book Antiqua"/>
        </w:rPr>
        <w:t xml:space="preserve"> </w:t>
      </w:r>
      <w:r>
        <w:rPr>
          <w:rFonts w:ascii="Book Antiqua" w:hAnsi="Book Antiqua"/>
          <w:b/>
          <w:bCs/>
        </w:rPr>
        <w:t>Sharma S</w:t>
      </w:r>
      <w:r>
        <w:rPr>
          <w:rFonts w:ascii="Book Antiqua" w:hAnsi="Book Antiqua"/>
        </w:rPr>
        <w:t>, Tapper WJ, Collins A, Hamady ZZR. Predicting Pancreatic Cancer in the UK Biobank Cohort Using Polygenic Risk Scores and Diabetes Mellitus.</w:t>
      </w:r>
      <w:r>
        <w:rPr>
          <w:rStyle w:val="apple-converted-space"/>
          <w:rFonts w:ascii="Book Antiqua" w:hAnsi="Book Antiqua"/>
        </w:rPr>
        <w:t xml:space="preserve"> </w:t>
      </w:r>
      <w:r>
        <w:rPr>
          <w:rFonts w:ascii="Book Antiqua" w:hAnsi="Book Antiqua"/>
          <w:i/>
          <w:iCs/>
        </w:rPr>
        <w:t>Gastroenterology</w:t>
      </w:r>
      <w:r>
        <w:rPr>
          <w:rStyle w:val="apple-converted-space"/>
          <w:rFonts w:ascii="Book Antiqua" w:hAnsi="Book Antiqua"/>
        </w:rPr>
        <w:t xml:space="preserve"> </w:t>
      </w:r>
      <w:r>
        <w:rPr>
          <w:rFonts w:ascii="Book Antiqua" w:hAnsi="Book Antiqua"/>
        </w:rPr>
        <w:t>2022;</w:t>
      </w:r>
      <w:r>
        <w:rPr>
          <w:rStyle w:val="apple-converted-space"/>
          <w:rFonts w:ascii="Book Antiqua" w:hAnsi="Book Antiqua"/>
        </w:rPr>
        <w:t xml:space="preserve"> </w:t>
      </w:r>
      <w:r>
        <w:rPr>
          <w:rFonts w:ascii="Book Antiqua" w:hAnsi="Book Antiqua"/>
          <w:b/>
          <w:bCs/>
        </w:rPr>
        <w:t>162</w:t>
      </w:r>
      <w:r>
        <w:rPr>
          <w:rFonts w:ascii="Book Antiqua" w:hAnsi="Book Antiqua"/>
        </w:rPr>
        <w:t>: 1665-1674.e2 [PMID: 35065983 DOI: 10.1053/j.gastro.2022.01.016]</w:t>
      </w:r>
    </w:p>
    <w:p w14:paraId="597258A1" w14:textId="77777777" w:rsidR="00A503D8" w:rsidRDefault="00000000">
      <w:pPr>
        <w:pStyle w:val="ac"/>
        <w:adjustRightInd w:val="0"/>
        <w:snapToGrid w:val="0"/>
        <w:spacing w:before="0" w:beforeAutospacing="0" w:after="0" w:afterAutospacing="0" w:line="360" w:lineRule="auto"/>
        <w:jc w:val="both"/>
        <w:rPr>
          <w:rFonts w:ascii="Book Antiqua" w:hAnsi="Book Antiqua"/>
        </w:rPr>
      </w:pPr>
      <w:r>
        <w:rPr>
          <w:rFonts w:ascii="Book Antiqua" w:hAnsi="Book Antiqua"/>
        </w:rPr>
        <w:t>2</w:t>
      </w:r>
      <w:r>
        <w:rPr>
          <w:rStyle w:val="apple-converted-space"/>
          <w:rFonts w:ascii="Book Antiqua" w:hAnsi="Book Antiqua"/>
        </w:rPr>
        <w:t xml:space="preserve"> </w:t>
      </w:r>
      <w:r>
        <w:rPr>
          <w:rFonts w:ascii="Book Antiqua" w:hAnsi="Book Antiqua"/>
          <w:b/>
          <w:bCs/>
        </w:rPr>
        <w:t>Siegel RL</w:t>
      </w:r>
      <w:r>
        <w:rPr>
          <w:rFonts w:ascii="Book Antiqua" w:hAnsi="Book Antiqua"/>
        </w:rPr>
        <w:t>, Miller KD, Fuchs HE, Jemal A. Cancer statistics, 2022.</w:t>
      </w:r>
      <w:r>
        <w:rPr>
          <w:rStyle w:val="apple-converted-space"/>
          <w:rFonts w:ascii="Book Antiqua" w:hAnsi="Book Antiqua"/>
        </w:rPr>
        <w:t xml:space="preserve"> </w:t>
      </w:r>
      <w:r>
        <w:rPr>
          <w:rFonts w:ascii="Book Antiqua" w:hAnsi="Book Antiqua"/>
          <w:i/>
          <w:iCs/>
        </w:rPr>
        <w:t>CA Cancer J Clin</w:t>
      </w:r>
      <w:r>
        <w:rPr>
          <w:rStyle w:val="apple-converted-space"/>
          <w:rFonts w:ascii="Book Antiqua" w:hAnsi="Book Antiqua"/>
        </w:rPr>
        <w:t xml:space="preserve"> </w:t>
      </w:r>
      <w:r>
        <w:rPr>
          <w:rFonts w:ascii="Book Antiqua" w:hAnsi="Book Antiqua"/>
        </w:rPr>
        <w:t>2022;</w:t>
      </w:r>
      <w:r>
        <w:rPr>
          <w:rStyle w:val="apple-converted-space"/>
          <w:rFonts w:ascii="Book Antiqua" w:hAnsi="Book Antiqua"/>
        </w:rPr>
        <w:t xml:space="preserve"> </w:t>
      </w:r>
      <w:r>
        <w:rPr>
          <w:rFonts w:ascii="Book Antiqua" w:hAnsi="Book Antiqua"/>
          <w:b/>
          <w:bCs/>
        </w:rPr>
        <w:t>72</w:t>
      </w:r>
      <w:r>
        <w:rPr>
          <w:rFonts w:ascii="Book Antiqua" w:hAnsi="Book Antiqua"/>
        </w:rPr>
        <w:t>: 7-33 [PMID: 35020204 DOI: 10.3322/caac.21708]</w:t>
      </w:r>
    </w:p>
    <w:p w14:paraId="12BF0271" w14:textId="77777777" w:rsidR="00A503D8" w:rsidRDefault="00000000">
      <w:pPr>
        <w:pStyle w:val="ac"/>
        <w:adjustRightInd w:val="0"/>
        <w:snapToGrid w:val="0"/>
        <w:spacing w:before="0" w:beforeAutospacing="0" w:after="0" w:afterAutospacing="0" w:line="360" w:lineRule="auto"/>
        <w:jc w:val="both"/>
        <w:rPr>
          <w:rFonts w:ascii="Book Antiqua" w:hAnsi="Book Antiqua"/>
        </w:rPr>
      </w:pPr>
      <w:r>
        <w:rPr>
          <w:rFonts w:ascii="Book Antiqua" w:hAnsi="Book Antiqua"/>
        </w:rPr>
        <w:t>3</w:t>
      </w:r>
      <w:r>
        <w:rPr>
          <w:rStyle w:val="apple-converted-space"/>
          <w:rFonts w:ascii="Book Antiqua" w:hAnsi="Book Antiqua"/>
        </w:rPr>
        <w:t xml:space="preserve"> </w:t>
      </w:r>
      <w:r>
        <w:rPr>
          <w:rFonts w:ascii="Book Antiqua" w:hAnsi="Book Antiqua"/>
          <w:b/>
          <w:bCs/>
        </w:rPr>
        <w:t>Kavaliauskas P</w:t>
      </w:r>
      <w:r>
        <w:rPr>
          <w:rFonts w:ascii="Book Antiqua" w:hAnsi="Book Antiqua"/>
        </w:rPr>
        <w:t>, Dulskas A, Kildusiene I, Arlauskas R, Stukas R, Smailyte G. Trends in Pancreatic Cancer Incidence and Mortality in Lithuania, 1998-2015.</w:t>
      </w:r>
      <w:r>
        <w:rPr>
          <w:rStyle w:val="apple-converted-space"/>
          <w:rFonts w:ascii="Book Antiqua" w:hAnsi="Book Antiqua"/>
        </w:rPr>
        <w:t xml:space="preserve"> </w:t>
      </w:r>
      <w:r>
        <w:rPr>
          <w:rFonts w:ascii="Book Antiqua" w:hAnsi="Book Antiqua"/>
          <w:i/>
          <w:iCs/>
        </w:rPr>
        <w:t>Int J Environ Res Public Health</w:t>
      </w:r>
      <w:r>
        <w:rPr>
          <w:rStyle w:val="apple-converted-space"/>
          <w:rFonts w:ascii="Book Antiqua" w:hAnsi="Book Antiqua"/>
        </w:rPr>
        <w:t xml:space="preserve"> </w:t>
      </w:r>
      <w:r>
        <w:rPr>
          <w:rFonts w:ascii="Book Antiqua" w:hAnsi="Book Antiqua"/>
        </w:rPr>
        <w:t>2022;</w:t>
      </w:r>
      <w:r>
        <w:rPr>
          <w:rStyle w:val="apple-converted-space"/>
          <w:rFonts w:ascii="Book Antiqua" w:hAnsi="Book Antiqua"/>
        </w:rPr>
        <w:t xml:space="preserve"> </w:t>
      </w:r>
      <w:r>
        <w:rPr>
          <w:rFonts w:ascii="Book Antiqua" w:hAnsi="Book Antiqua"/>
          <w:b/>
          <w:bCs/>
        </w:rPr>
        <w:t>19</w:t>
      </w:r>
      <w:r>
        <w:rPr>
          <w:rStyle w:val="apple-converted-space"/>
          <w:rFonts w:ascii="Book Antiqua" w:hAnsi="Book Antiqua"/>
        </w:rPr>
        <w:t xml:space="preserve"> </w:t>
      </w:r>
      <w:r>
        <w:rPr>
          <w:rFonts w:ascii="Book Antiqua" w:hAnsi="Book Antiqua"/>
        </w:rPr>
        <w:t>[PMID: 35055770 DOI: 10.3390/ijerph19020949]</w:t>
      </w:r>
    </w:p>
    <w:p w14:paraId="44CD5662" w14:textId="77777777" w:rsidR="00A503D8" w:rsidRDefault="00000000">
      <w:pPr>
        <w:pStyle w:val="ac"/>
        <w:adjustRightInd w:val="0"/>
        <w:snapToGrid w:val="0"/>
        <w:spacing w:before="0" w:beforeAutospacing="0" w:after="0" w:afterAutospacing="0" w:line="360" w:lineRule="auto"/>
        <w:jc w:val="both"/>
        <w:rPr>
          <w:rFonts w:ascii="Book Antiqua" w:hAnsi="Book Antiqua"/>
        </w:rPr>
      </w:pPr>
      <w:r>
        <w:rPr>
          <w:rFonts w:ascii="Book Antiqua" w:hAnsi="Book Antiqua"/>
        </w:rPr>
        <w:t>4</w:t>
      </w:r>
      <w:r>
        <w:rPr>
          <w:rStyle w:val="apple-converted-space"/>
          <w:rFonts w:ascii="Book Antiqua" w:hAnsi="Book Antiqua"/>
        </w:rPr>
        <w:t xml:space="preserve"> </w:t>
      </w:r>
      <w:r>
        <w:rPr>
          <w:rFonts w:ascii="Book Antiqua" w:hAnsi="Book Antiqua"/>
          <w:b/>
          <w:bCs/>
        </w:rPr>
        <w:t>Sikdar N</w:t>
      </w:r>
      <w:r>
        <w:rPr>
          <w:rFonts w:ascii="Book Antiqua" w:hAnsi="Book Antiqua"/>
        </w:rPr>
        <w:t>, Saha G, Dutta A, Ghosh S, Shrikhande SV, Banerjee S. Genetic Alterations of Periampullary and Pancreatic Ductal Adenocarcinoma: An Overview.</w:t>
      </w:r>
      <w:r>
        <w:rPr>
          <w:rStyle w:val="apple-converted-space"/>
          <w:rFonts w:ascii="Book Antiqua" w:hAnsi="Book Antiqua"/>
        </w:rPr>
        <w:t xml:space="preserve"> </w:t>
      </w:r>
      <w:r>
        <w:rPr>
          <w:rFonts w:ascii="Book Antiqua" w:hAnsi="Book Antiqua"/>
          <w:i/>
          <w:iCs/>
        </w:rPr>
        <w:t>Curr Genomics</w:t>
      </w:r>
      <w:r>
        <w:rPr>
          <w:rStyle w:val="apple-converted-space"/>
          <w:rFonts w:ascii="Book Antiqua" w:hAnsi="Book Antiqua"/>
        </w:rPr>
        <w:t xml:space="preserve"> </w:t>
      </w:r>
      <w:r>
        <w:rPr>
          <w:rFonts w:ascii="Book Antiqua" w:hAnsi="Book Antiqua"/>
        </w:rPr>
        <w:t>2018;</w:t>
      </w:r>
      <w:r>
        <w:rPr>
          <w:rStyle w:val="apple-converted-space"/>
          <w:rFonts w:ascii="Book Antiqua" w:hAnsi="Book Antiqua"/>
        </w:rPr>
        <w:t xml:space="preserve"> </w:t>
      </w:r>
      <w:r>
        <w:rPr>
          <w:rFonts w:ascii="Book Antiqua" w:hAnsi="Book Antiqua"/>
          <w:b/>
          <w:bCs/>
        </w:rPr>
        <w:t>19</w:t>
      </w:r>
      <w:r>
        <w:rPr>
          <w:rFonts w:ascii="Book Antiqua" w:hAnsi="Book Antiqua"/>
        </w:rPr>
        <w:t>: 444-463 [PMID: 30258276 DOI: 10.2174/1389202919666180221160753]</w:t>
      </w:r>
    </w:p>
    <w:p w14:paraId="1477C353" w14:textId="77777777" w:rsidR="00A503D8" w:rsidRDefault="00000000">
      <w:pPr>
        <w:pStyle w:val="ac"/>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5</w:t>
      </w:r>
      <w:r>
        <w:rPr>
          <w:rStyle w:val="apple-converted-space"/>
          <w:rFonts w:ascii="Book Antiqua" w:hAnsi="Book Antiqua"/>
        </w:rPr>
        <w:t xml:space="preserve"> </w:t>
      </w:r>
      <w:r>
        <w:rPr>
          <w:rFonts w:ascii="Book Antiqua" w:hAnsi="Book Antiqua"/>
          <w:b/>
          <w:bCs/>
        </w:rPr>
        <w:t>Saha G</w:t>
      </w:r>
      <w:r>
        <w:rPr>
          <w:rFonts w:ascii="Book Antiqua" w:hAnsi="Book Antiqua"/>
        </w:rPr>
        <w:t>, Singh R, Mandal A, Das S, Chattopadhyay E, Panja P, Roy P, DeSarkar N, Gulati S, Ghatak S, Ghosh S, Banerjee S, Roy B, Ghosh S, Chaudhuri D, Arora N, Biswas NK, Sikdar N. A novel hotspot and rare somatic mutation p.A138V, at TP53 is associated with poor survival of pancreatic ductal and periampullary adenocarcinoma patients.</w:t>
      </w:r>
      <w:r>
        <w:rPr>
          <w:rStyle w:val="apple-converted-space"/>
          <w:rFonts w:ascii="Book Antiqua" w:hAnsi="Book Antiqua"/>
        </w:rPr>
        <w:t xml:space="preserve"> </w:t>
      </w:r>
      <w:r>
        <w:rPr>
          <w:rFonts w:ascii="Book Antiqua" w:hAnsi="Book Antiqua"/>
          <w:i/>
          <w:iCs/>
        </w:rPr>
        <w:t>Mol Med</w:t>
      </w:r>
      <w:r>
        <w:rPr>
          <w:rStyle w:val="apple-converted-space"/>
          <w:rFonts w:ascii="Book Antiqua" w:hAnsi="Book Antiqua"/>
        </w:rPr>
        <w:t xml:space="preserve"> </w:t>
      </w:r>
      <w:r>
        <w:rPr>
          <w:rFonts w:ascii="Book Antiqua" w:hAnsi="Book Antiqua"/>
        </w:rPr>
        <w:t>2020;</w:t>
      </w:r>
      <w:r>
        <w:rPr>
          <w:rStyle w:val="apple-converted-space"/>
          <w:rFonts w:ascii="Book Antiqua" w:hAnsi="Book Antiqua"/>
        </w:rPr>
        <w:t xml:space="preserve"> </w:t>
      </w:r>
      <w:r>
        <w:rPr>
          <w:rFonts w:ascii="Book Antiqua" w:hAnsi="Book Antiqua"/>
          <w:b/>
          <w:bCs/>
        </w:rPr>
        <w:t>26</w:t>
      </w:r>
      <w:r>
        <w:rPr>
          <w:rFonts w:ascii="Book Antiqua" w:hAnsi="Book Antiqua"/>
        </w:rPr>
        <w:t>: 59 [PMID: 32552660 DOI: 10.1186/s10020-020-00183-1]</w:t>
      </w:r>
    </w:p>
    <w:p w14:paraId="518CF2D6" w14:textId="77777777" w:rsidR="00A503D8" w:rsidRDefault="00000000">
      <w:pPr>
        <w:pStyle w:val="ac"/>
        <w:adjustRightInd w:val="0"/>
        <w:snapToGrid w:val="0"/>
        <w:spacing w:before="0" w:beforeAutospacing="0" w:after="0" w:afterAutospacing="0" w:line="360" w:lineRule="auto"/>
        <w:jc w:val="both"/>
        <w:rPr>
          <w:rFonts w:ascii="Book Antiqua" w:hAnsi="Book Antiqua"/>
        </w:rPr>
      </w:pPr>
      <w:r>
        <w:rPr>
          <w:rFonts w:ascii="Book Antiqua" w:hAnsi="Book Antiqua"/>
        </w:rPr>
        <w:t>6</w:t>
      </w:r>
      <w:r>
        <w:rPr>
          <w:rStyle w:val="apple-converted-space"/>
          <w:rFonts w:ascii="Book Antiqua" w:hAnsi="Book Antiqua"/>
        </w:rPr>
        <w:t xml:space="preserve"> </w:t>
      </w:r>
      <w:r>
        <w:rPr>
          <w:rFonts w:ascii="Book Antiqua" w:hAnsi="Book Antiqua"/>
          <w:b/>
          <w:bCs/>
        </w:rPr>
        <w:t>Vasantharajan SS</w:t>
      </w:r>
      <w:r>
        <w:rPr>
          <w:rFonts w:ascii="Book Antiqua" w:hAnsi="Book Antiqua"/>
        </w:rPr>
        <w:t>, Eccles MR, Rodger EJ, Pattison S, McCall JL, Gray ES, Calapre L, Chatterjee A. The Epigenetic landscape of Circulating tumour cells.</w:t>
      </w:r>
      <w:r>
        <w:rPr>
          <w:rStyle w:val="apple-converted-space"/>
          <w:rFonts w:ascii="Book Antiqua" w:hAnsi="Book Antiqua"/>
        </w:rPr>
        <w:t xml:space="preserve"> </w:t>
      </w:r>
      <w:r>
        <w:rPr>
          <w:rFonts w:ascii="Book Antiqua" w:hAnsi="Book Antiqua"/>
          <w:i/>
          <w:iCs/>
        </w:rPr>
        <w:t>Biochim Biophys Acta Rev Cancer</w:t>
      </w:r>
      <w:r>
        <w:rPr>
          <w:rStyle w:val="apple-converted-space"/>
          <w:rFonts w:ascii="Book Antiqua" w:hAnsi="Book Antiqua"/>
        </w:rPr>
        <w:t xml:space="preserve"> </w:t>
      </w:r>
      <w:r>
        <w:rPr>
          <w:rFonts w:ascii="Book Antiqua" w:hAnsi="Book Antiqua"/>
        </w:rPr>
        <w:t>2021;</w:t>
      </w:r>
      <w:r>
        <w:rPr>
          <w:rStyle w:val="apple-converted-space"/>
          <w:rFonts w:ascii="Book Antiqua" w:hAnsi="Book Antiqua"/>
        </w:rPr>
        <w:t xml:space="preserve"> </w:t>
      </w:r>
      <w:r>
        <w:rPr>
          <w:rFonts w:ascii="Book Antiqua" w:hAnsi="Book Antiqua"/>
          <w:b/>
          <w:bCs/>
        </w:rPr>
        <w:t>1875</w:t>
      </w:r>
      <w:r>
        <w:rPr>
          <w:rFonts w:ascii="Book Antiqua" w:hAnsi="Book Antiqua"/>
        </w:rPr>
        <w:t>: 188514 [PMID: 33497709 DOI: 10.1016/j.bbcan.2021.188514]</w:t>
      </w:r>
    </w:p>
    <w:p w14:paraId="274CD19D" w14:textId="77777777" w:rsidR="00A503D8" w:rsidRDefault="00000000">
      <w:pPr>
        <w:pStyle w:val="ac"/>
        <w:adjustRightInd w:val="0"/>
        <w:snapToGrid w:val="0"/>
        <w:spacing w:before="0" w:beforeAutospacing="0" w:after="0" w:afterAutospacing="0" w:line="360" w:lineRule="auto"/>
        <w:jc w:val="both"/>
        <w:rPr>
          <w:rFonts w:ascii="Book Antiqua" w:hAnsi="Book Antiqua"/>
        </w:rPr>
      </w:pPr>
      <w:r>
        <w:rPr>
          <w:rFonts w:ascii="Book Antiqua" w:hAnsi="Book Antiqua"/>
        </w:rPr>
        <w:t>7</w:t>
      </w:r>
      <w:r>
        <w:rPr>
          <w:rStyle w:val="apple-converted-space"/>
          <w:rFonts w:ascii="Book Antiqua" w:hAnsi="Book Antiqua"/>
        </w:rPr>
        <w:t xml:space="preserve"> </w:t>
      </w:r>
      <w:r>
        <w:rPr>
          <w:rFonts w:ascii="Book Antiqua" w:hAnsi="Book Antiqua"/>
          <w:b/>
          <w:bCs/>
        </w:rPr>
        <w:t>Kilgour E</w:t>
      </w:r>
      <w:r>
        <w:rPr>
          <w:rFonts w:ascii="Book Antiqua" w:hAnsi="Book Antiqua"/>
        </w:rPr>
        <w:t>, Rothwell DG, Brady G, Dive C. Liquid Biopsy-Based Biomarkers of Treatment Response and Resistance.</w:t>
      </w:r>
      <w:r>
        <w:rPr>
          <w:rStyle w:val="apple-converted-space"/>
          <w:rFonts w:ascii="Book Antiqua" w:hAnsi="Book Antiqua"/>
        </w:rPr>
        <w:t xml:space="preserve"> </w:t>
      </w:r>
      <w:r>
        <w:rPr>
          <w:rFonts w:ascii="Book Antiqua" w:hAnsi="Book Antiqua"/>
          <w:i/>
          <w:iCs/>
        </w:rPr>
        <w:t>Cancer Cell</w:t>
      </w:r>
      <w:r>
        <w:rPr>
          <w:rStyle w:val="apple-converted-space"/>
          <w:rFonts w:ascii="Book Antiqua" w:hAnsi="Book Antiqua"/>
        </w:rPr>
        <w:t xml:space="preserve"> </w:t>
      </w:r>
      <w:r>
        <w:rPr>
          <w:rFonts w:ascii="Book Antiqua" w:hAnsi="Book Antiqua"/>
        </w:rPr>
        <w:t>2020;</w:t>
      </w:r>
      <w:r>
        <w:rPr>
          <w:rStyle w:val="apple-converted-space"/>
          <w:rFonts w:ascii="Book Antiqua" w:hAnsi="Book Antiqua"/>
        </w:rPr>
        <w:t xml:space="preserve"> </w:t>
      </w:r>
      <w:r>
        <w:rPr>
          <w:rFonts w:ascii="Book Antiqua" w:hAnsi="Book Antiqua"/>
          <w:b/>
          <w:bCs/>
        </w:rPr>
        <w:t>37</w:t>
      </w:r>
      <w:r>
        <w:rPr>
          <w:rFonts w:ascii="Book Antiqua" w:hAnsi="Book Antiqua"/>
        </w:rPr>
        <w:t>: 485-495 [PMID: 32289272 DOI: 10.1016/j.ccell.2020.03.012]</w:t>
      </w:r>
    </w:p>
    <w:p w14:paraId="49122DA8" w14:textId="77777777" w:rsidR="00A503D8" w:rsidRDefault="00000000">
      <w:pPr>
        <w:pStyle w:val="ac"/>
        <w:adjustRightInd w:val="0"/>
        <w:snapToGrid w:val="0"/>
        <w:spacing w:before="0" w:beforeAutospacing="0" w:after="0" w:afterAutospacing="0" w:line="360" w:lineRule="auto"/>
        <w:jc w:val="both"/>
        <w:rPr>
          <w:rFonts w:ascii="Book Antiqua" w:hAnsi="Book Antiqua"/>
        </w:rPr>
      </w:pPr>
      <w:r>
        <w:rPr>
          <w:rFonts w:ascii="Book Antiqua" w:hAnsi="Book Antiqua"/>
        </w:rPr>
        <w:t>8</w:t>
      </w:r>
      <w:r>
        <w:rPr>
          <w:rStyle w:val="apple-converted-space"/>
          <w:rFonts w:ascii="Book Antiqua" w:hAnsi="Book Antiqua"/>
        </w:rPr>
        <w:t xml:space="preserve"> </w:t>
      </w:r>
      <w:r>
        <w:rPr>
          <w:rFonts w:ascii="Book Antiqua" w:hAnsi="Book Antiqua"/>
          <w:b/>
          <w:bCs/>
        </w:rPr>
        <w:t>Krebs MG</w:t>
      </w:r>
      <w:r>
        <w:rPr>
          <w:rFonts w:ascii="Book Antiqua" w:hAnsi="Book Antiqua"/>
        </w:rPr>
        <w:t>, Metcalf RL, Carter L, Brady G, Blackhall FH, Dive C. Molecular analysis of circulating tumour cells-biology and biomarkers.</w:t>
      </w:r>
      <w:r>
        <w:rPr>
          <w:rStyle w:val="apple-converted-space"/>
          <w:rFonts w:ascii="Book Antiqua" w:hAnsi="Book Antiqua"/>
        </w:rPr>
        <w:t xml:space="preserve"> </w:t>
      </w:r>
      <w:r>
        <w:rPr>
          <w:rFonts w:ascii="Book Antiqua" w:hAnsi="Book Antiqua"/>
          <w:i/>
          <w:iCs/>
        </w:rPr>
        <w:t>Nat Rev Clin Oncol</w:t>
      </w:r>
      <w:r>
        <w:rPr>
          <w:rStyle w:val="apple-converted-space"/>
          <w:rFonts w:ascii="Book Antiqua" w:hAnsi="Book Antiqua"/>
        </w:rPr>
        <w:t xml:space="preserve"> </w:t>
      </w:r>
      <w:r>
        <w:rPr>
          <w:rFonts w:ascii="Book Antiqua" w:hAnsi="Book Antiqua"/>
        </w:rPr>
        <w:t>2014;</w:t>
      </w:r>
      <w:r>
        <w:rPr>
          <w:rStyle w:val="apple-converted-space"/>
          <w:rFonts w:ascii="Book Antiqua" w:hAnsi="Book Antiqua"/>
        </w:rPr>
        <w:t xml:space="preserve"> </w:t>
      </w:r>
      <w:r>
        <w:rPr>
          <w:rFonts w:ascii="Book Antiqua" w:hAnsi="Book Antiqua"/>
          <w:b/>
          <w:bCs/>
        </w:rPr>
        <w:t>11</w:t>
      </w:r>
      <w:r>
        <w:rPr>
          <w:rFonts w:ascii="Book Antiqua" w:hAnsi="Book Antiqua"/>
        </w:rPr>
        <w:t>: 129-144 [PMID: 24445517 DOI: 10.1038/nrclinonc.2013.253]</w:t>
      </w:r>
    </w:p>
    <w:p w14:paraId="596E53A8" w14:textId="77777777" w:rsidR="00A503D8" w:rsidRDefault="00000000">
      <w:pPr>
        <w:pStyle w:val="ac"/>
        <w:adjustRightInd w:val="0"/>
        <w:snapToGrid w:val="0"/>
        <w:spacing w:before="0" w:beforeAutospacing="0" w:after="0" w:afterAutospacing="0" w:line="360" w:lineRule="auto"/>
        <w:jc w:val="both"/>
        <w:rPr>
          <w:rFonts w:ascii="Book Antiqua" w:hAnsi="Book Antiqua"/>
        </w:rPr>
      </w:pPr>
      <w:r>
        <w:rPr>
          <w:rFonts w:ascii="Book Antiqua" w:hAnsi="Book Antiqua"/>
        </w:rPr>
        <w:t>9</w:t>
      </w:r>
      <w:r>
        <w:rPr>
          <w:rStyle w:val="apple-converted-space"/>
          <w:rFonts w:ascii="Book Antiqua" w:hAnsi="Book Antiqua"/>
        </w:rPr>
        <w:t xml:space="preserve"> </w:t>
      </w:r>
      <w:r>
        <w:rPr>
          <w:rFonts w:ascii="Book Antiqua" w:hAnsi="Book Antiqua"/>
          <w:b/>
          <w:bCs/>
        </w:rPr>
        <w:t>Chen D</w:t>
      </w:r>
      <w:r>
        <w:rPr>
          <w:rFonts w:ascii="Book Antiqua" w:hAnsi="Book Antiqua"/>
        </w:rPr>
        <w:t>, Xu T, Wang S, Chang H, Yu T, Zhu Y, Chen J. Liquid Biopsy Applications in the Clinic.</w:t>
      </w:r>
      <w:r>
        <w:rPr>
          <w:rStyle w:val="apple-converted-space"/>
          <w:rFonts w:ascii="Book Antiqua" w:hAnsi="Book Antiqua"/>
        </w:rPr>
        <w:t xml:space="preserve"> </w:t>
      </w:r>
      <w:r>
        <w:rPr>
          <w:rFonts w:ascii="Book Antiqua" w:hAnsi="Book Antiqua"/>
          <w:i/>
          <w:iCs/>
        </w:rPr>
        <w:t>Mol Diagn Ther</w:t>
      </w:r>
      <w:r>
        <w:rPr>
          <w:rStyle w:val="apple-converted-space"/>
          <w:rFonts w:ascii="Book Antiqua" w:hAnsi="Book Antiqua"/>
        </w:rPr>
        <w:t xml:space="preserve"> </w:t>
      </w:r>
      <w:r>
        <w:rPr>
          <w:rFonts w:ascii="Book Antiqua" w:hAnsi="Book Antiqua"/>
        </w:rPr>
        <w:t>2020;</w:t>
      </w:r>
      <w:r>
        <w:rPr>
          <w:rStyle w:val="apple-converted-space"/>
          <w:rFonts w:ascii="Book Antiqua" w:hAnsi="Book Antiqua"/>
        </w:rPr>
        <w:t xml:space="preserve"> </w:t>
      </w:r>
      <w:r>
        <w:rPr>
          <w:rFonts w:ascii="Book Antiqua" w:hAnsi="Book Antiqua"/>
          <w:b/>
          <w:bCs/>
        </w:rPr>
        <w:t>24</w:t>
      </w:r>
      <w:r>
        <w:rPr>
          <w:rFonts w:ascii="Book Antiqua" w:hAnsi="Book Antiqua"/>
        </w:rPr>
        <w:t>: 125-132 [PMID: 31919754 DOI: 10.1007/s40291-019-00444-8]</w:t>
      </w:r>
    </w:p>
    <w:p w14:paraId="788C34C3" w14:textId="77777777" w:rsidR="00A503D8" w:rsidRDefault="00000000">
      <w:pPr>
        <w:pStyle w:val="ac"/>
        <w:adjustRightInd w:val="0"/>
        <w:snapToGrid w:val="0"/>
        <w:spacing w:before="0" w:beforeAutospacing="0" w:after="0" w:afterAutospacing="0" w:line="360" w:lineRule="auto"/>
        <w:jc w:val="both"/>
        <w:rPr>
          <w:rFonts w:ascii="Book Antiqua" w:hAnsi="Book Antiqua"/>
        </w:rPr>
      </w:pPr>
      <w:r>
        <w:rPr>
          <w:rFonts w:ascii="Book Antiqua" w:hAnsi="Book Antiqua"/>
        </w:rPr>
        <w:t>10</w:t>
      </w:r>
      <w:r>
        <w:rPr>
          <w:rStyle w:val="apple-converted-space"/>
          <w:rFonts w:ascii="Book Antiqua" w:hAnsi="Book Antiqua"/>
        </w:rPr>
        <w:t xml:space="preserve"> </w:t>
      </w:r>
      <w:r>
        <w:rPr>
          <w:rFonts w:ascii="Book Antiqua" w:hAnsi="Book Antiqua"/>
          <w:b/>
          <w:bCs/>
        </w:rPr>
        <w:t>Qi ZH</w:t>
      </w:r>
      <w:r>
        <w:rPr>
          <w:rFonts w:ascii="Book Antiqua" w:hAnsi="Book Antiqua"/>
        </w:rPr>
        <w:t>, Xu HX, Zhang SR, Xu JZ, Li S, Gao HL, Jin W, Wang WQ, Wu CT, Ni QX, Yu XJ, Liu L. The Significance of Liquid Biopsy in Pancreatic Cancer.</w:t>
      </w:r>
      <w:r>
        <w:rPr>
          <w:rStyle w:val="apple-converted-space"/>
          <w:rFonts w:ascii="Book Antiqua" w:hAnsi="Book Antiqua"/>
        </w:rPr>
        <w:t xml:space="preserve"> </w:t>
      </w:r>
      <w:r>
        <w:rPr>
          <w:rFonts w:ascii="Book Antiqua" w:hAnsi="Book Antiqua"/>
          <w:i/>
          <w:iCs/>
        </w:rPr>
        <w:t>J Cancer</w:t>
      </w:r>
      <w:r>
        <w:rPr>
          <w:rStyle w:val="apple-converted-space"/>
          <w:rFonts w:ascii="Book Antiqua" w:hAnsi="Book Antiqua"/>
        </w:rPr>
        <w:t xml:space="preserve"> </w:t>
      </w:r>
      <w:r>
        <w:rPr>
          <w:rFonts w:ascii="Book Antiqua" w:hAnsi="Book Antiqua"/>
        </w:rPr>
        <w:t>2018;</w:t>
      </w:r>
      <w:r>
        <w:rPr>
          <w:rStyle w:val="apple-converted-space"/>
          <w:rFonts w:ascii="Book Antiqua" w:hAnsi="Book Antiqua"/>
        </w:rPr>
        <w:t xml:space="preserve"> </w:t>
      </w:r>
      <w:r>
        <w:rPr>
          <w:rFonts w:ascii="Book Antiqua" w:hAnsi="Book Antiqua"/>
          <w:b/>
          <w:bCs/>
        </w:rPr>
        <w:t>9</w:t>
      </w:r>
      <w:r>
        <w:rPr>
          <w:rFonts w:ascii="Book Antiqua" w:hAnsi="Book Antiqua"/>
        </w:rPr>
        <w:t>: 3417-3426 [PMID: 30271504 DOI: 10.7150/jca.24591]</w:t>
      </w:r>
    </w:p>
    <w:p w14:paraId="35D109C9" w14:textId="77777777" w:rsidR="00A503D8" w:rsidRDefault="00000000">
      <w:pPr>
        <w:pStyle w:val="ac"/>
        <w:adjustRightInd w:val="0"/>
        <w:snapToGrid w:val="0"/>
        <w:spacing w:before="0" w:beforeAutospacing="0" w:after="0" w:afterAutospacing="0" w:line="360" w:lineRule="auto"/>
        <w:jc w:val="both"/>
        <w:rPr>
          <w:rFonts w:ascii="Book Antiqua" w:hAnsi="Book Antiqua"/>
        </w:rPr>
      </w:pPr>
      <w:r>
        <w:rPr>
          <w:rFonts w:ascii="Book Antiqua" w:hAnsi="Book Antiqua"/>
        </w:rPr>
        <w:t>11</w:t>
      </w:r>
      <w:r>
        <w:rPr>
          <w:rStyle w:val="apple-converted-space"/>
          <w:rFonts w:ascii="Book Antiqua" w:hAnsi="Book Antiqua"/>
        </w:rPr>
        <w:t xml:space="preserve"> </w:t>
      </w:r>
      <w:r>
        <w:rPr>
          <w:rFonts w:ascii="Book Antiqua" w:hAnsi="Book Antiqua"/>
          <w:b/>
          <w:bCs/>
        </w:rPr>
        <w:t>Siravegna G</w:t>
      </w:r>
      <w:r>
        <w:rPr>
          <w:rFonts w:ascii="Book Antiqua" w:hAnsi="Book Antiqua"/>
        </w:rPr>
        <w:t>, Mussolin B, Venesio T, Marsoni S, Seoane J, Dive C, Papadopoulos N, Kopetz S, Corcoran RB, Siu LL, Bardelli A. How liquid biopsies can change clinical practice in oncology.</w:t>
      </w:r>
      <w:r>
        <w:rPr>
          <w:rStyle w:val="apple-converted-space"/>
          <w:rFonts w:ascii="Book Antiqua" w:hAnsi="Book Antiqua"/>
        </w:rPr>
        <w:t xml:space="preserve"> </w:t>
      </w:r>
      <w:r>
        <w:rPr>
          <w:rFonts w:ascii="Book Antiqua" w:hAnsi="Book Antiqua"/>
          <w:i/>
          <w:iCs/>
        </w:rPr>
        <w:t>Ann Oncol</w:t>
      </w:r>
      <w:r>
        <w:rPr>
          <w:rStyle w:val="apple-converted-space"/>
          <w:rFonts w:ascii="Book Antiqua" w:hAnsi="Book Antiqua"/>
        </w:rPr>
        <w:t xml:space="preserve"> </w:t>
      </w:r>
      <w:r>
        <w:rPr>
          <w:rFonts w:ascii="Book Antiqua" w:hAnsi="Book Antiqua"/>
        </w:rPr>
        <w:t>2019;</w:t>
      </w:r>
      <w:r>
        <w:rPr>
          <w:rStyle w:val="apple-converted-space"/>
          <w:rFonts w:ascii="Book Antiqua" w:hAnsi="Book Antiqua"/>
        </w:rPr>
        <w:t xml:space="preserve"> </w:t>
      </w:r>
      <w:r>
        <w:rPr>
          <w:rFonts w:ascii="Book Antiqua" w:hAnsi="Book Antiqua"/>
          <w:b/>
          <w:bCs/>
        </w:rPr>
        <w:t>30</w:t>
      </w:r>
      <w:r>
        <w:rPr>
          <w:rFonts w:ascii="Book Antiqua" w:hAnsi="Book Antiqua"/>
        </w:rPr>
        <w:t>: 1580-1590 [PMID: 31373349 DOI: 10.1093/annonc/mdz227]</w:t>
      </w:r>
    </w:p>
    <w:p w14:paraId="2F71420E" w14:textId="77777777" w:rsidR="00A503D8" w:rsidRDefault="00000000">
      <w:pPr>
        <w:pStyle w:val="ac"/>
        <w:adjustRightInd w:val="0"/>
        <w:snapToGrid w:val="0"/>
        <w:spacing w:before="0" w:beforeAutospacing="0" w:after="0" w:afterAutospacing="0" w:line="360" w:lineRule="auto"/>
        <w:jc w:val="both"/>
        <w:rPr>
          <w:rFonts w:ascii="Book Antiqua" w:hAnsi="Book Antiqua"/>
        </w:rPr>
      </w:pPr>
      <w:r>
        <w:rPr>
          <w:rFonts w:ascii="Book Antiqua" w:hAnsi="Book Antiqua"/>
        </w:rPr>
        <w:t>12</w:t>
      </w:r>
      <w:r>
        <w:rPr>
          <w:rStyle w:val="apple-converted-space"/>
          <w:rFonts w:ascii="Book Antiqua" w:hAnsi="Book Antiqua"/>
        </w:rPr>
        <w:t xml:space="preserve"> </w:t>
      </w:r>
      <w:r>
        <w:rPr>
          <w:rFonts w:ascii="Book Antiqua" w:hAnsi="Book Antiqua"/>
          <w:b/>
          <w:bCs/>
        </w:rPr>
        <w:t>Liu S</w:t>
      </w:r>
      <w:r>
        <w:rPr>
          <w:rFonts w:ascii="Book Antiqua" w:hAnsi="Book Antiqua"/>
        </w:rPr>
        <w:t>, Wang J. Current and Future Perspectives of Cell-Free DNA in Liquid Biopsy.</w:t>
      </w:r>
      <w:r>
        <w:rPr>
          <w:rStyle w:val="apple-converted-space"/>
          <w:rFonts w:ascii="Book Antiqua" w:hAnsi="Book Antiqua"/>
        </w:rPr>
        <w:t xml:space="preserve"> </w:t>
      </w:r>
      <w:r>
        <w:rPr>
          <w:rFonts w:ascii="Book Antiqua" w:hAnsi="Book Antiqua"/>
          <w:i/>
          <w:iCs/>
        </w:rPr>
        <w:t>Curr Issues Mol Biol</w:t>
      </w:r>
      <w:r>
        <w:rPr>
          <w:rStyle w:val="apple-converted-space"/>
          <w:rFonts w:ascii="Book Antiqua" w:hAnsi="Book Antiqua"/>
        </w:rPr>
        <w:t xml:space="preserve"> </w:t>
      </w:r>
      <w:r>
        <w:rPr>
          <w:rFonts w:ascii="Book Antiqua" w:hAnsi="Book Antiqua"/>
        </w:rPr>
        <w:t>2022;</w:t>
      </w:r>
      <w:r>
        <w:rPr>
          <w:rStyle w:val="apple-converted-space"/>
          <w:rFonts w:ascii="Book Antiqua" w:hAnsi="Book Antiqua"/>
        </w:rPr>
        <w:t xml:space="preserve"> </w:t>
      </w:r>
      <w:r>
        <w:rPr>
          <w:rFonts w:ascii="Book Antiqua" w:hAnsi="Book Antiqua"/>
          <w:b/>
          <w:bCs/>
        </w:rPr>
        <w:t>44</w:t>
      </w:r>
      <w:r>
        <w:rPr>
          <w:rFonts w:ascii="Book Antiqua" w:hAnsi="Book Antiqua"/>
        </w:rPr>
        <w:t>: 2695-2709 [PMID: 35735625 DOI: 10.3390/cimb44060184]</w:t>
      </w:r>
    </w:p>
    <w:p w14:paraId="26FFEB5A" w14:textId="77777777" w:rsidR="00A503D8" w:rsidRDefault="00000000">
      <w:pPr>
        <w:pStyle w:val="ac"/>
        <w:adjustRightInd w:val="0"/>
        <w:snapToGrid w:val="0"/>
        <w:spacing w:before="0" w:beforeAutospacing="0" w:after="0" w:afterAutospacing="0" w:line="360" w:lineRule="auto"/>
        <w:jc w:val="both"/>
        <w:rPr>
          <w:rFonts w:ascii="Book Antiqua" w:hAnsi="Book Antiqua"/>
        </w:rPr>
      </w:pPr>
      <w:r>
        <w:rPr>
          <w:rFonts w:ascii="Book Antiqua" w:hAnsi="Book Antiqua"/>
        </w:rPr>
        <w:t>13</w:t>
      </w:r>
      <w:r>
        <w:rPr>
          <w:rStyle w:val="apple-converted-space"/>
          <w:rFonts w:ascii="Book Antiqua" w:hAnsi="Book Antiqua"/>
        </w:rPr>
        <w:t xml:space="preserve"> </w:t>
      </w:r>
      <w:r>
        <w:rPr>
          <w:rFonts w:ascii="Book Antiqua" w:hAnsi="Book Antiqua"/>
          <w:b/>
          <w:bCs/>
        </w:rPr>
        <w:t>Yokode M</w:t>
      </w:r>
      <w:r>
        <w:rPr>
          <w:rFonts w:ascii="Book Antiqua" w:hAnsi="Book Antiqua"/>
        </w:rPr>
        <w:t>, Shiokawa M, Kodama Y. Review of Diagnostic Biomarkers in Autoimmune Pancreatitis: Where Are We Now?</w:t>
      </w:r>
      <w:r>
        <w:rPr>
          <w:rStyle w:val="apple-converted-space"/>
          <w:rFonts w:ascii="Book Antiqua" w:hAnsi="Book Antiqua"/>
        </w:rPr>
        <w:t xml:space="preserve"> </w:t>
      </w:r>
      <w:r>
        <w:rPr>
          <w:rFonts w:ascii="Book Antiqua" w:hAnsi="Book Antiqua"/>
          <w:i/>
          <w:iCs/>
        </w:rPr>
        <w:t>Diagnostics (Basel)</w:t>
      </w:r>
      <w:r>
        <w:rPr>
          <w:rStyle w:val="apple-converted-space"/>
          <w:rFonts w:ascii="Book Antiqua" w:hAnsi="Book Antiqua"/>
        </w:rPr>
        <w:t xml:space="preserve"> </w:t>
      </w:r>
      <w:r>
        <w:rPr>
          <w:rFonts w:ascii="Book Antiqua" w:hAnsi="Book Antiqua"/>
        </w:rPr>
        <w:t>2021;</w:t>
      </w:r>
      <w:r>
        <w:rPr>
          <w:rStyle w:val="apple-converted-space"/>
          <w:rFonts w:ascii="Book Antiqua" w:hAnsi="Book Antiqua"/>
        </w:rPr>
        <w:t xml:space="preserve"> </w:t>
      </w:r>
      <w:r>
        <w:rPr>
          <w:rFonts w:ascii="Book Antiqua" w:hAnsi="Book Antiqua"/>
          <w:b/>
          <w:bCs/>
        </w:rPr>
        <w:t>11</w:t>
      </w:r>
      <w:r>
        <w:rPr>
          <w:rStyle w:val="apple-converted-space"/>
          <w:rFonts w:ascii="Book Antiqua" w:hAnsi="Book Antiqua"/>
        </w:rPr>
        <w:t xml:space="preserve"> </w:t>
      </w:r>
      <w:r>
        <w:rPr>
          <w:rFonts w:ascii="Book Antiqua" w:hAnsi="Book Antiqua"/>
        </w:rPr>
        <w:t>[PMID: 33923064 DOI: 10.3390/diagnostics11050770]</w:t>
      </w:r>
    </w:p>
    <w:p w14:paraId="42F4B47C" w14:textId="77777777" w:rsidR="00A503D8" w:rsidRDefault="00000000">
      <w:pPr>
        <w:pStyle w:val="ac"/>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14</w:t>
      </w:r>
      <w:r>
        <w:rPr>
          <w:rStyle w:val="apple-converted-space"/>
          <w:rFonts w:ascii="Book Antiqua" w:hAnsi="Book Antiqua"/>
        </w:rPr>
        <w:t xml:space="preserve"> </w:t>
      </w:r>
      <w:r>
        <w:rPr>
          <w:rFonts w:ascii="Book Antiqua" w:hAnsi="Book Antiqua"/>
          <w:b/>
          <w:bCs/>
        </w:rPr>
        <w:t>Henriksen SD</w:t>
      </w:r>
      <w:r>
        <w:rPr>
          <w:rFonts w:ascii="Book Antiqua" w:hAnsi="Book Antiqua"/>
        </w:rPr>
        <w:t>, Thorlacius-Ussing O. Cell-Free DNA Methylation as Blood-Based Biomarkers for Pancreatic Adenocarcinoma-A Literature Update.</w:t>
      </w:r>
      <w:r>
        <w:rPr>
          <w:rStyle w:val="apple-converted-space"/>
          <w:rFonts w:ascii="Book Antiqua" w:hAnsi="Book Antiqua"/>
        </w:rPr>
        <w:t xml:space="preserve"> </w:t>
      </w:r>
      <w:r>
        <w:rPr>
          <w:rFonts w:ascii="Book Antiqua" w:hAnsi="Book Antiqua"/>
          <w:i/>
          <w:iCs/>
        </w:rPr>
        <w:t>Epigenomes</w:t>
      </w:r>
      <w:r>
        <w:rPr>
          <w:rStyle w:val="apple-converted-space"/>
          <w:rFonts w:ascii="Book Antiqua" w:hAnsi="Book Antiqua"/>
        </w:rPr>
        <w:t xml:space="preserve"> </w:t>
      </w:r>
      <w:r>
        <w:rPr>
          <w:rFonts w:ascii="Book Antiqua" w:hAnsi="Book Antiqua"/>
        </w:rPr>
        <w:t>2021;</w:t>
      </w:r>
      <w:r>
        <w:rPr>
          <w:rStyle w:val="apple-converted-space"/>
          <w:rFonts w:ascii="Book Antiqua" w:hAnsi="Book Antiqua"/>
        </w:rPr>
        <w:t xml:space="preserve"> </w:t>
      </w:r>
      <w:r>
        <w:rPr>
          <w:rFonts w:ascii="Book Antiqua" w:hAnsi="Book Antiqua"/>
          <w:b/>
          <w:bCs/>
        </w:rPr>
        <w:t>5</w:t>
      </w:r>
      <w:r>
        <w:rPr>
          <w:rStyle w:val="apple-converted-space"/>
          <w:rFonts w:ascii="Book Antiqua" w:hAnsi="Book Antiqua"/>
        </w:rPr>
        <w:t xml:space="preserve"> </w:t>
      </w:r>
      <w:r>
        <w:rPr>
          <w:rFonts w:ascii="Book Antiqua" w:hAnsi="Book Antiqua"/>
        </w:rPr>
        <w:t>[PMID: 34968295 DOI: 10.3390/epigenomes5020008]</w:t>
      </w:r>
    </w:p>
    <w:p w14:paraId="40BCDC41" w14:textId="77777777" w:rsidR="00A503D8" w:rsidRDefault="00000000">
      <w:pPr>
        <w:pStyle w:val="ac"/>
        <w:adjustRightInd w:val="0"/>
        <w:snapToGrid w:val="0"/>
        <w:spacing w:before="0" w:beforeAutospacing="0" w:after="0" w:afterAutospacing="0" w:line="360" w:lineRule="auto"/>
        <w:jc w:val="both"/>
        <w:rPr>
          <w:rFonts w:ascii="Book Antiqua" w:hAnsi="Book Antiqua"/>
        </w:rPr>
      </w:pPr>
      <w:r>
        <w:rPr>
          <w:rFonts w:ascii="Book Antiqua" w:hAnsi="Book Antiqua"/>
        </w:rPr>
        <w:t>15</w:t>
      </w:r>
      <w:r>
        <w:rPr>
          <w:rStyle w:val="apple-converted-space"/>
          <w:rFonts w:ascii="Book Antiqua" w:hAnsi="Book Antiqua"/>
        </w:rPr>
        <w:t xml:space="preserve"> </w:t>
      </w:r>
      <w:r>
        <w:rPr>
          <w:rFonts w:ascii="Book Antiqua" w:hAnsi="Book Antiqua"/>
          <w:b/>
          <w:bCs/>
        </w:rPr>
        <w:t>Minaga K</w:t>
      </w:r>
      <w:r>
        <w:rPr>
          <w:rFonts w:ascii="Book Antiqua" w:hAnsi="Book Antiqua"/>
        </w:rPr>
        <w:t>, Watanabe T, Hara A, Kamata K, Omoto S, Nakai A, Otsuka Y, Sekai I, Yoshikawa T, Yamao K, Takenaka M, Chiba Y, Kudo M. Identification of serum IFN-α and IL-33 as novel biomarkers for type 1 autoimmune pancreatitis and IgG4-related disease.</w:t>
      </w:r>
      <w:r>
        <w:rPr>
          <w:rStyle w:val="apple-converted-space"/>
          <w:rFonts w:ascii="Book Antiqua" w:hAnsi="Book Antiqua"/>
        </w:rPr>
        <w:t xml:space="preserve"> </w:t>
      </w:r>
      <w:r>
        <w:rPr>
          <w:rFonts w:ascii="Book Antiqua" w:hAnsi="Book Antiqua"/>
          <w:i/>
          <w:iCs/>
        </w:rPr>
        <w:t>Sci Rep</w:t>
      </w:r>
      <w:r>
        <w:rPr>
          <w:rStyle w:val="apple-converted-space"/>
          <w:rFonts w:ascii="Book Antiqua" w:hAnsi="Book Antiqua"/>
        </w:rPr>
        <w:t xml:space="preserve"> </w:t>
      </w:r>
      <w:r>
        <w:rPr>
          <w:rFonts w:ascii="Book Antiqua" w:hAnsi="Book Antiqua"/>
        </w:rPr>
        <w:t>2020;</w:t>
      </w:r>
      <w:r>
        <w:rPr>
          <w:rStyle w:val="apple-converted-space"/>
          <w:rFonts w:ascii="Book Antiqua" w:hAnsi="Book Antiqua"/>
        </w:rPr>
        <w:t xml:space="preserve"> </w:t>
      </w:r>
      <w:r>
        <w:rPr>
          <w:rFonts w:ascii="Book Antiqua" w:hAnsi="Book Antiqua"/>
          <w:b/>
          <w:bCs/>
        </w:rPr>
        <w:t>10</w:t>
      </w:r>
      <w:r>
        <w:rPr>
          <w:rFonts w:ascii="Book Antiqua" w:hAnsi="Book Antiqua"/>
        </w:rPr>
        <w:t>: 14879 [PMID: 32938972 DOI: 10.1038/s41598-020-71848-4]</w:t>
      </w:r>
    </w:p>
    <w:p w14:paraId="285A6FF9" w14:textId="77777777" w:rsidR="00A503D8" w:rsidRDefault="00000000">
      <w:pPr>
        <w:pStyle w:val="ac"/>
        <w:adjustRightInd w:val="0"/>
        <w:snapToGrid w:val="0"/>
        <w:spacing w:before="0" w:beforeAutospacing="0" w:after="0" w:afterAutospacing="0" w:line="360" w:lineRule="auto"/>
        <w:jc w:val="both"/>
        <w:rPr>
          <w:rFonts w:ascii="Book Antiqua" w:hAnsi="Book Antiqua"/>
        </w:rPr>
      </w:pPr>
      <w:r>
        <w:rPr>
          <w:rFonts w:ascii="Book Antiqua" w:hAnsi="Book Antiqua"/>
        </w:rPr>
        <w:t>16</w:t>
      </w:r>
      <w:r>
        <w:rPr>
          <w:rStyle w:val="apple-converted-space"/>
          <w:rFonts w:ascii="Book Antiqua" w:hAnsi="Book Antiqua"/>
        </w:rPr>
        <w:t xml:space="preserve"> </w:t>
      </w:r>
      <w:r>
        <w:rPr>
          <w:rFonts w:ascii="Book Antiqua" w:hAnsi="Book Antiqua"/>
          <w:b/>
          <w:bCs/>
        </w:rPr>
        <w:t>Kawa S</w:t>
      </w:r>
      <w:r>
        <w:rPr>
          <w:rFonts w:ascii="Book Antiqua" w:hAnsi="Book Antiqua"/>
        </w:rPr>
        <w:t>, Kamisawa T, Notohara K, Fujinaga Y, Inoue D, Koyama T, Okazaki K. Japanese Clinical Diagnostic Criteria for Autoimmune Pancreatitis, 2018: Revision of Japanese Clinical Diagnostic Criteria for Autoimmune Pancreatitis, 2011.</w:t>
      </w:r>
      <w:r>
        <w:rPr>
          <w:rStyle w:val="apple-converted-space"/>
          <w:rFonts w:ascii="Book Antiqua" w:hAnsi="Book Antiqua"/>
        </w:rPr>
        <w:t xml:space="preserve"> </w:t>
      </w:r>
      <w:r>
        <w:rPr>
          <w:rFonts w:ascii="Book Antiqua" w:hAnsi="Book Antiqua"/>
          <w:i/>
          <w:iCs/>
        </w:rPr>
        <w:t>Pancreas</w:t>
      </w:r>
      <w:r>
        <w:rPr>
          <w:rStyle w:val="apple-converted-space"/>
          <w:rFonts w:ascii="Book Antiqua" w:hAnsi="Book Antiqua"/>
        </w:rPr>
        <w:t xml:space="preserve"> </w:t>
      </w:r>
      <w:r>
        <w:rPr>
          <w:rFonts w:ascii="Book Antiqua" w:hAnsi="Book Antiqua"/>
        </w:rPr>
        <w:t>2020;</w:t>
      </w:r>
      <w:r>
        <w:rPr>
          <w:rStyle w:val="apple-converted-space"/>
          <w:rFonts w:ascii="Book Antiqua" w:hAnsi="Book Antiqua"/>
        </w:rPr>
        <w:t xml:space="preserve"> </w:t>
      </w:r>
      <w:r>
        <w:rPr>
          <w:rFonts w:ascii="Book Antiqua" w:hAnsi="Book Antiqua"/>
          <w:b/>
          <w:bCs/>
        </w:rPr>
        <w:t>49</w:t>
      </w:r>
      <w:r>
        <w:rPr>
          <w:rFonts w:ascii="Book Antiqua" w:hAnsi="Book Antiqua"/>
        </w:rPr>
        <w:t>: e13-e14 [PMID: 31856100 DOI: 10.1097/MPA.0000000000001443]</w:t>
      </w:r>
    </w:p>
    <w:p w14:paraId="30866C70" w14:textId="77777777" w:rsidR="00A503D8" w:rsidRDefault="00000000">
      <w:pPr>
        <w:pStyle w:val="ac"/>
        <w:adjustRightInd w:val="0"/>
        <w:snapToGrid w:val="0"/>
        <w:spacing w:before="0" w:beforeAutospacing="0" w:after="0" w:afterAutospacing="0" w:line="360" w:lineRule="auto"/>
        <w:jc w:val="both"/>
        <w:rPr>
          <w:rFonts w:ascii="Book Antiqua" w:hAnsi="Book Antiqua"/>
        </w:rPr>
      </w:pPr>
      <w:r>
        <w:rPr>
          <w:rFonts w:ascii="Book Antiqua" w:hAnsi="Book Antiqua"/>
        </w:rPr>
        <w:t>17</w:t>
      </w:r>
      <w:r>
        <w:rPr>
          <w:rStyle w:val="apple-converted-space"/>
          <w:rFonts w:ascii="Book Antiqua" w:hAnsi="Book Antiqua"/>
        </w:rPr>
        <w:t xml:space="preserve"> </w:t>
      </w:r>
      <w:r>
        <w:rPr>
          <w:rFonts w:ascii="Book Antiqua" w:hAnsi="Book Antiqua"/>
          <w:b/>
          <w:bCs/>
        </w:rPr>
        <w:t>Kamisawa T</w:t>
      </w:r>
      <w:r>
        <w:rPr>
          <w:rFonts w:ascii="Book Antiqua" w:hAnsi="Book Antiqua"/>
        </w:rPr>
        <w:t>, Chari ST, Lerch MM, Kim MH, Gress TM, Shimosegawa T. Recent advances in autoimmune pancreatitis: type 1 and type 2.</w:t>
      </w:r>
      <w:r>
        <w:rPr>
          <w:rStyle w:val="apple-converted-space"/>
          <w:rFonts w:ascii="Book Antiqua" w:hAnsi="Book Antiqua"/>
        </w:rPr>
        <w:t xml:space="preserve"> </w:t>
      </w:r>
      <w:r>
        <w:rPr>
          <w:rFonts w:ascii="Book Antiqua" w:hAnsi="Book Antiqua"/>
          <w:i/>
          <w:iCs/>
        </w:rPr>
        <w:t>Gut</w:t>
      </w:r>
      <w:r>
        <w:rPr>
          <w:rStyle w:val="apple-converted-space"/>
          <w:rFonts w:ascii="Book Antiqua" w:hAnsi="Book Antiqua"/>
        </w:rPr>
        <w:t xml:space="preserve"> </w:t>
      </w:r>
      <w:r>
        <w:rPr>
          <w:rFonts w:ascii="Book Antiqua" w:hAnsi="Book Antiqua"/>
        </w:rPr>
        <w:t>2013;</w:t>
      </w:r>
      <w:r>
        <w:rPr>
          <w:rStyle w:val="apple-converted-space"/>
          <w:rFonts w:ascii="Book Antiqua" w:hAnsi="Book Antiqua"/>
        </w:rPr>
        <w:t xml:space="preserve"> </w:t>
      </w:r>
      <w:r>
        <w:rPr>
          <w:rFonts w:ascii="Book Antiqua" w:hAnsi="Book Antiqua"/>
          <w:b/>
          <w:bCs/>
        </w:rPr>
        <w:t>62</w:t>
      </w:r>
      <w:r>
        <w:rPr>
          <w:rFonts w:ascii="Book Antiqua" w:hAnsi="Book Antiqua"/>
        </w:rPr>
        <w:t>: 1373-1380 [PMID: 23749606 DOI: 10.1136/gutjnl-2012-304224]</w:t>
      </w:r>
    </w:p>
    <w:p w14:paraId="2FFADB61" w14:textId="77777777" w:rsidR="00A503D8" w:rsidRDefault="00000000">
      <w:pPr>
        <w:pStyle w:val="ac"/>
        <w:adjustRightInd w:val="0"/>
        <w:snapToGrid w:val="0"/>
        <w:spacing w:before="0" w:beforeAutospacing="0" w:after="0" w:afterAutospacing="0" w:line="360" w:lineRule="auto"/>
        <w:jc w:val="both"/>
        <w:rPr>
          <w:rFonts w:ascii="Book Antiqua" w:hAnsi="Book Antiqua"/>
        </w:rPr>
      </w:pPr>
      <w:r>
        <w:rPr>
          <w:rFonts w:ascii="Book Antiqua" w:hAnsi="Book Antiqua"/>
        </w:rPr>
        <w:t>18</w:t>
      </w:r>
      <w:r>
        <w:rPr>
          <w:rStyle w:val="apple-converted-space"/>
          <w:rFonts w:ascii="Book Antiqua" w:hAnsi="Book Antiqua"/>
        </w:rPr>
        <w:t xml:space="preserve"> </w:t>
      </w:r>
      <w:r>
        <w:rPr>
          <w:rFonts w:ascii="Book Antiqua" w:hAnsi="Book Antiqua"/>
          <w:b/>
          <w:bCs/>
        </w:rPr>
        <w:t>Chatterjee A</w:t>
      </w:r>
      <w:r>
        <w:rPr>
          <w:rFonts w:ascii="Book Antiqua" w:hAnsi="Book Antiqua"/>
        </w:rPr>
        <w:t>, Bararia A, Ganguly D, Mondal PK, Roy P, Banerjee S, Ghosh S, Gulati S, Ghatak S, Chattopadhay BK, Basu P, Chatterjee A, Sikdar N. DNA methylome in pancreatic cancer identified novel promoter hyper-methylation in NPY and FAIM2 genes associated with poor prognosis in Indian patient cohort.</w:t>
      </w:r>
      <w:r>
        <w:rPr>
          <w:rStyle w:val="apple-converted-space"/>
          <w:rFonts w:ascii="Book Antiqua" w:hAnsi="Book Antiqua"/>
        </w:rPr>
        <w:t xml:space="preserve"> </w:t>
      </w:r>
      <w:r>
        <w:rPr>
          <w:rFonts w:ascii="Book Antiqua" w:hAnsi="Book Antiqua"/>
          <w:i/>
          <w:iCs/>
        </w:rPr>
        <w:t>Cancer Cell Int</w:t>
      </w:r>
      <w:r>
        <w:rPr>
          <w:rStyle w:val="apple-converted-space"/>
          <w:rFonts w:ascii="Book Antiqua" w:hAnsi="Book Antiqua"/>
        </w:rPr>
        <w:t xml:space="preserve"> </w:t>
      </w:r>
      <w:r>
        <w:rPr>
          <w:rFonts w:ascii="Book Antiqua" w:hAnsi="Book Antiqua"/>
        </w:rPr>
        <w:t>2022;</w:t>
      </w:r>
      <w:r>
        <w:rPr>
          <w:rStyle w:val="apple-converted-space"/>
          <w:rFonts w:ascii="Book Antiqua" w:hAnsi="Book Antiqua"/>
        </w:rPr>
        <w:t xml:space="preserve"> </w:t>
      </w:r>
      <w:r>
        <w:rPr>
          <w:rFonts w:ascii="Book Antiqua" w:hAnsi="Book Antiqua"/>
          <w:b/>
          <w:bCs/>
        </w:rPr>
        <w:t>22</w:t>
      </w:r>
      <w:r>
        <w:rPr>
          <w:rFonts w:ascii="Book Antiqua" w:hAnsi="Book Antiqua"/>
        </w:rPr>
        <w:t>: 334 [PMID: 36329447 DOI: 10.1186/s12935-022-02737-1]</w:t>
      </w:r>
    </w:p>
    <w:p w14:paraId="45BEF825" w14:textId="77777777" w:rsidR="00A503D8" w:rsidRDefault="00000000">
      <w:pPr>
        <w:pStyle w:val="ac"/>
        <w:adjustRightInd w:val="0"/>
        <w:snapToGrid w:val="0"/>
        <w:spacing w:before="0" w:beforeAutospacing="0" w:after="0" w:afterAutospacing="0" w:line="360" w:lineRule="auto"/>
        <w:jc w:val="both"/>
        <w:rPr>
          <w:rFonts w:ascii="Book Antiqua" w:hAnsi="Book Antiqua"/>
        </w:rPr>
      </w:pPr>
      <w:r>
        <w:rPr>
          <w:rFonts w:ascii="Book Antiqua" w:hAnsi="Book Antiqua"/>
        </w:rPr>
        <w:t>19</w:t>
      </w:r>
      <w:r>
        <w:rPr>
          <w:rStyle w:val="apple-converted-space"/>
          <w:rFonts w:ascii="Book Antiqua" w:hAnsi="Book Antiqua"/>
        </w:rPr>
        <w:t xml:space="preserve"> </w:t>
      </w:r>
      <w:r>
        <w:rPr>
          <w:rFonts w:ascii="Book Antiqua" w:hAnsi="Book Antiqua"/>
          <w:b/>
          <w:bCs/>
        </w:rPr>
        <w:t>Bararia A</w:t>
      </w:r>
      <w:r>
        <w:rPr>
          <w:rFonts w:ascii="Book Antiqua" w:hAnsi="Book Antiqua"/>
        </w:rPr>
        <w:t>, Dey S, Gulati S, Ghatak S, Ghosh S, Banerjee S, Sikdar N. Differential methylation landscape of pancreatic ductal adenocarcinoma and its precancerous lesions.</w:t>
      </w:r>
      <w:r>
        <w:rPr>
          <w:rStyle w:val="apple-converted-space"/>
          <w:rFonts w:ascii="Book Antiqua" w:hAnsi="Book Antiqua"/>
        </w:rPr>
        <w:t xml:space="preserve"> </w:t>
      </w:r>
      <w:r>
        <w:rPr>
          <w:rFonts w:ascii="Book Antiqua" w:hAnsi="Book Antiqua"/>
          <w:i/>
          <w:iCs/>
        </w:rPr>
        <w:t>Hepatobiliary Pancreat Dis Int</w:t>
      </w:r>
      <w:r>
        <w:rPr>
          <w:rStyle w:val="apple-converted-space"/>
          <w:rFonts w:ascii="Book Antiqua" w:hAnsi="Book Antiqua"/>
        </w:rPr>
        <w:t xml:space="preserve"> </w:t>
      </w:r>
      <w:r>
        <w:rPr>
          <w:rFonts w:ascii="Book Antiqua" w:hAnsi="Book Antiqua"/>
        </w:rPr>
        <w:t>2020;</w:t>
      </w:r>
      <w:r>
        <w:rPr>
          <w:rStyle w:val="apple-converted-space"/>
          <w:rFonts w:ascii="Book Antiqua" w:hAnsi="Book Antiqua"/>
        </w:rPr>
        <w:t xml:space="preserve"> </w:t>
      </w:r>
      <w:r>
        <w:rPr>
          <w:rFonts w:ascii="Book Antiqua" w:hAnsi="Book Antiqua"/>
          <w:b/>
          <w:bCs/>
        </w:rPr>
        <w:t>19</w:t>
      </w:r>
      <w:r>
        <w:rPr>
          <w:rFonts w:ascii="Book Antiqua" w:hAnsi="Book Antiqua"/>
        </w:rPr>
        <w:t>: 205-217 [PMID: 32312637 DOI: 10.1016/j.hbpd.2020.03.010]</w:t>
      </w:r>
    </w:p>
    <w:p w14:paraId="4A429076" w14:textId="77777777" w:rsidR="00A503D8" w:rsidRDefault="00000000">
      <w:pPr>
        <w:pStyle w:val="ac"/>
        <w:adjustRightInd w:val="0"/>
        <w:snapToGrid w:val="0"/>
        <w:spacing w:before="0" w:beforeAutospacing="0" w:after="0" w:afterAutospacing="0" w:line="360" w:lineRule="auto"/>
        <w:jc w:val="both"/>
        <w:rPr>
          <w:rFonts w:ascii="Book Antiqua" w:hAnsi="Book Antiqua"/>
        </w:rPr>
      </w:pPr>
      <w:r>
        <w:rPr>
          <w:rFonts w:ascii="Book Antiqua" w:hAnsi="Book Antiqua"/>
        </w:rPr>
        <w:t>20</w:t>
      </w:r>
      <w:r>
        <w:rPr>
          <w:rStyle w:val="apple-converted-space"/>
          <w:rFonts w:ascii="Book Antiqua" w:hAnsi="Book Antiqua"/>
        </w:rPr>
        <w:t xml:space="preserve"> </w:t>
      </w:r>
      <w:r>
        <w:rPr>
          <w:rFonts w:ascii="Book Antiqua" w:hAnsi="Book Antiqua"/>
          <w:b/>
          <w:bCs/>
        </w:rPr>
        <w:t>Cohen JD</w:t>
      </w:r>
      <w:r>
        <w:rPr>
          <w:rFonts w:ascii="Book Antiqua" w:hAnsi="Book Antiqua"/>
        </w:rPr>
        <w:t xml:space="preserve">, Li L, Wang Y, Thoburn C, Afsari B, Danilova L, Douville C, Javed AA, Wong F, Mattox A, Hruban RH, Wolfgang CL, Goggins MG, Dal Molin M, Wang TL, Roden R, Klein AP, Ptak J, Dobbyn L, Schaefer J, Silliman N, Popoli M, Vogelstein JT, Browne JD, Schoen RE, Brand RE, Tie J, Gibbs P, Wong HL, Mansfield AS, Jen J, Hanash SM, Falconi M, Allen PJ, Zhou S, Bettegowda C, Diaz LA Jr, Tomasetti C, Kinzler KW, Vogelstein B, Lennon AM, Papadopoulos N. Detection and localization of surgically </w:t>
      </w:r>
      <w:r>
        <w:rPr>
          <w:rFonts w:ascii="Book Antiqua" w:hAnsi="Book Antiqua"/>
        </w:rPr>
        <w:lastRenderedPageBreak/>
        <w:t>resectable cancers with a multi-analyte blood test.</w:t>
      </w:r>
      <w:r>
        <w:rPr>
          <w:rStyle w:val="apple-converted-space"/>
          <w:rFonts w:ascii="Book Antiqua" w:hAnsi="Book Antiqua"/>
        </w:rPr>
        <w:t xml:space="preserve"> </w:t>
      </w:r>
      <w:r>
        <w:rPr>
          <w:rFonts w:ascii="Book Antiqua" w:hAnsi="Book Antiqua"/>
          <w:i/>
          <w:iCs/>
        </w:rPr>
        <w:t>Science</w:t>
      </w:r>
      <w:r>
        <w:rPr>
          <w:rStyle w:val="apple-converted-space"/>
          <w:rFonts w:ascii="Book Antiqua" w:hAnsi="Book Antiqua"/>
        </w:rPr>
        <w:t xml:space="preserve"> </w:t>
      </w:r>
      <w:r>
        <w:rPr>
          <w:rFonts w:ascii="Book Antiqua" w:hAnsi="Book Antiqua"/>
        </w:rPr>
        <w:t>2018;</w:t>
      </w:r>
      <w:r>
        <w:rPr>
          <w:rStyle w:val="apple-converted-space"/>
          <w:rFonts w:ascii="Book Antiqua" w:hAnsi="Book Antiqua"/>
        </w:rPr>
        <w:t xml:space="preserve"> </w:t>
      </w:r>
      <w:r>
        <w:rPr>
          <w:rFonts w:ascii="Book Antiqua" w:hAnsi="Book Antiqua"/>
          <w:b/>
          <w:bCs/>
        </w:rPr>
        <w:t>359</w:t>
      </w:r>
      <w:r>
        <w:rPr>
          <w:rFonts w:ascii="Book Antiqua" w:hAnsi="Book Antiqua"/>
        </w:rPr>
        <w:t>: 926-930 [PMID: 29348365 DOI: 10.1126/science.aar3247]</w:t>
      </w:r>
    </w:p>
    <w:p w14:paraId="76ACE3B8" w14:textId="77777777" w:rsidR="00A503D8" w:rsidRDefault="00000000">
      <w:pPr>
        <w:pStyle w:val="ac"/>
        <w:adjustRightInd w:val="0"/>
        <w:snapToGrid w:val="0"/>
        <w:spacing w:before="0" w:beforeAutospacing="0" w:after="0" w:afterAutospacing="0" w:line="360" w:lineRule="auto"/>
        <w:jc w:val="both"/>
        <w:rPr>
          <w:rFonts w:ascii="Book Antiqua" w:hAnsi="Book Antiqua"/>
        </w:rPr>
      </w:pPr>
      <w:r>
        <w:rPr>
          <w:rFonts w:ascii="Book Antiqua" w:hAnsi="Book Antiqua"/>
        </w:rPr>
        <w:t>21</w:t>
      </w:r>
      <w:r>
        <w:rPr>
          <w:rStyle w:val="apple-converted-space"/>
          <w:rFonts w:ascii="Book Antiqua" w:hAnsi="Book Antiqua"/>
        </w:rPr>
        <w:t xml:space="preserve"> </w:t>
      </w:r>
      <w:r>
        <w:rPr>
          <w:rFonts w:ascii="Book Antiqua" w:hAnsi="Book Antiqua"/>
          <w:b/>
          <w:bCs/>
        </w:rPr>
        <w:t>Wu H</w:t>
      </w:r>
      <w:r>
        <w:rPr>
          <w:rFonts w:ascii="Book Antiqua" w:hAnsi="Book Antiqua"/>
        </w:rPr>
        <w:t>, Ou S, Zhang H, Huang R, Yu S, Zhao M, Tai S. Advances in biomarkers and techniques for pancreatic cancer diagnosis.</w:t>
      </w:r>
      <w:r>
        <w:rPr>
          <w:rStyle w:val="apple-converted-space"/>
          <w:rFonts w:ascii="Book Antiqua" w:hAnsi="Book Antiqua"/>
        </w:rPr>
        <w:t xml:space="preserve"> </w:t>
      </w:r>
      <w:r>
        <w:rPr>
          <w:rFonts w:ascii="Book Antiqua" w:hAnsi="Book Antiqua"/>
          <w:i/>
          <w:iCs/>
        </w:rPr>
        <w:t>Cancer Cell Int</w:t>
      </w:r>
      <w:r>
        <w:rPr>
          <w:rStyle w:val="apple-converted-space"/>
          <w:rFonts w:ascii="Book Antiqua" w:hAnsi="Book Antiqua"/>
        </w:rPr>
        <w:t xml:space="preserve"> </w:t>
      </w:r>
      <w:r>
        <w:rPr>
          <w:rFonts w:ascii="Book Antiqua" w:hAnsi="Book Antiqua"/>
        </w:rPr>
        <w:t>2022;</w:t>
      </w:r>
      <w:r>
        <w:rPr>
          <w:rStyle w:val="apple-converted-space"/>
          <w:rFonts w:ascii="Book Antiqua" w:hAnsi="Book Antiqua"/>
        </w:rPr>
        <w:t xml:space="preserve"> </w:t>
      </w:r>
      <w:r>
        <w:rPr>
          <w:rFonts w:ascii="Book Antiqua" w:hAnsi="Book Antiqua"/>
          <w:b/>
          <w:bCs/>
        </w:rPr>
        <w:t>22</w:t>
      </w:r>
      <w:r>
        <w:rPr>
          <w:rFonts w:ascii="Book Antiqua" w:hAnsi="Book Antiqua"/>
        </w:rPr>
        <w:t>: 220 [PMID: 35761336 DOI: 10.1186/s12935-022-02640-9]</w:t>
      </w:r>
    </w:p>
    <w:p w14:paraId="61A8F66A" w14:textId="77777777" w:rsidR="00A503D8" w:rsidRDefault="00000000">
      <w:pPr>
        <w:pStyle w:val="ac"/>
        <w:adjustRightInd w:val="0"/>
        <w:snapToGrid w:val="0"/>
        <w:spacing w:before="0" w:beforeAutospacing="0" w:after="0" w:afterAutospacing="0" w:line="360" w:lineRule="auto"/>
        <w:jc w:val="both"/>
        <w:rPr>
          <w:rFonts w:ascii="Book Antiqua" w:hAnsi="Book Antiqua"/>
        </w:rPr>
      </w:pPr>
      <w:r>
        <w:rPr>
          <w:rFonts w:ascii="Book Antiqua" w:hAnsi="Book Antiqua"/>
        </w:rPr>
        <w:t>22</w:t>
      </w:r>
      <w:r>
        <w:rPr>
          <w:rStyle w:val="apple-converted-space"/>
          <w:rFonts w:ascii="Book Antiqua" w:hAnsi="Book Antiqua"/>
        </w:rPr>
        <w:t xml:space="preserve"> </w:t>
      </w:r>
      <w:r>
        <w:rPr>
          <w:rFonts w:ascii="Book Antiqua" w:hAnsi="Book Antiqua"/>
          <w:b/>
          <w:bCs/>
        </w:rPr>
        <w:t>Banerjee R</w:t>
      </w:r>
      <w:r>
        <w:rPr>
          <w:rFonts w:ascii="Book Antiqua" w:hAnsi="Book Antiqua"/>
        </w:rPr>
        <w:t>, Smith J, Eccles MR, Weeks RJ, Chatterjee A. Epigenetic basis and targeting of cancer metastasis.</w:t>
      </w:r>
      <w:r>
        <w:rPr>
          <w:rStyle w:val="apple-converted-space"/>
          <w:rFonts w:ascii="Book Antiqua" w:hAnsi="Book Antiqua"/>
        </w:rPr>
        <w:t xml:space="preserve"> </w:t>
      </w:r>
      <w:r>
        <w:rPr>
          <w:rFonts w:ascii="Book Antiqua" w:hAnsi="Book Antiqua"/>
          <w:i/>
          <w:iCs/>
        </w:rPr>
        <w:t>Trends Cancer</w:t>
      </w:r>
      <w:r>
        <w:rPr>
          <w:rStyle w:val="apple-converted-space"/>
          <w:rFonts w:ascii="Book Antiqua" w:hAnsi="Book Antiqua"/>
        </w:rPr>
        <w:t xml:space="preserve"> </w:t>
      </w:r>
      <w:r>
        <w:rPr>
          <w:rFonts w:ascii="Book Antiqua" w:hAnsi="Book Antiqua"/>
        </w:rPr>
        <w:t>2022;</w:t>
      </w:r>
      <w:r>
        <w:rPr>
          <w:rStyle w:val="apple-converted-space"/>
          <w:rFonts w:ascii="Book Antiqua" w:hAnsi="Book Antiqua"/>
        </w:rPr>
        <w:t xml:space="preserve"> </w:t>
      </w:r>
      <w:r>
        <w:rPr>
          <w:rFonts w:ascii="Book Antiqua" w:hAnsi="Book Antiqua"/>
          <w:b/>
          <w:bCs/>
        </w:rPr>
        <w:t>8</w:t>
      </w:r>
      <w:r>
        <w:rPr>
          <w:rFonts w:ascii="Book Antiqua" w:hAnsi="Book Antiqua"/>
        </w:rPr>
        <w:t>: 226-241 [PMID: 34952829 DOI: 10.1016/j.trecan.2021.11.008]</w:t>
      </w:r>
    </w:p>
    <w:p w14:paraId="2A0221FE" w14:textId="77777777" w:rsidR="00A503D8" w:rsidRDefault="00000000">
      <w:pPr>
        <w:pStyle w:val="ac"/>
        <w:adjustRightInd w:val="0"/>
        <w:snapToGrid w:val="0"/>
        <w:spacing w:before="0" w:beforeAutospacing="0" w:after="0" w:afterAutospacing="0" w:line="360" w:lineRule="auto"/>
        <w:jc w:val="both"/>
        <w:rPr>
          <w:rFonts w:ascii="Book Antiqua" w:hAnsi="Book Antiqua"/>
        </w:rPr>
      </w:pPr>
      <w:r>
        <w:rPr>
          <w:rFonts w:ascii="Book Antiqua" w:hAnsi="Book Antiqua"/>
        </w:rPr>
        <w:t>23</w:t>
      </w:r>
      <w:r>
        <w:rPr>
          <w:rStyle w:val="apple-converted-space"/>
          <w:rFonts w:ascii="Book Antiqua" w:hAnsi="Book Antiqua"/>
        </w:rPr>
        <w:t xml:space="preserve"> </w:t>
      </w:r>
      <w:r>
        <w:rPr>
          <w:rFonts w:ascii="Book Antiqua" w:hAnsi="Book Antiqua"/>
          <w:b/>
          <w:bCs/>
        </w:rPr>
        <w:t>Smith J</w:t>
      </w:r>
      <w:r>
        <w:rPr>
          <w:rFonts w:ascii="Book Antiqua" w:hAnsi="Book Antiqua"/>
        </w:rPr>
        <w:t>, Sen S, Weeks RJ, Eccles MR, Chatterjee A. Promoter DNA Hypermethylation and Paradoxical Gene Activation.</w:t>
      </w:r>
      <w:r>
        <w:rPr>
          <w:rStyle w:val="apple-converted-space"/>
          <w:rFonts w:ascii="Book Antiqua" w:hAnsi="Book Antiqua"/>
        </w:rPr>
        <w:t xml:space="preserve"> </w:t>
      </w:r>
      <w:r>
        <w:rPr>
          <w:rFonts w:ascii="Book Antiqua" w:hAnsi="Book Antiqua"/>
          <w:i/>
          <w:iCs/>
        </w:rPr>
        <w:t>Trends Cancer</w:t>
      </w:r>
      <w:r>
        <w:rPr>
          <w:rStyle w:val="apple-converted-space"/>
          <w:rFonts w:ascii="Book Antiqua" w:hAnsi="Book Antiqua"/>
        </w:rPr>
        <w:t xml:space="preserve"> </w:t>
      </w:r>
      <w:r>
        <w:rPr>
          <w:rFonts w:ascii="Book Antiqua" w:hAnsi="Book Antiqua"/>
        </w:rPr>
        <w:t>2020;</w:t>
      </w:r>
      <w:r>
        <w:rPr>
          <w:rStyle w:val="apple-converted-space"/>
          <w:rFonts w:ascii="Book Antiqua" w:hAnsi="Book Antiqua"/>
        </w:rPr>
        <w:t xml:space="preserve"> </w:t>
      </w:r>
      <w:r>
        <w:rPr>
          <w:rFonts w:ascii="Book Antiqua" w:hAnsi="Book Antiqua"/>
          <w:b/>
          <w:bCs/>
        </w:rPr>
        <w:t>6</w:t>
      </w:r>
      <w:r>
        <w:rPr>
          <w:rFonts w:ascii="Book Antiqua" w:hAnsi="Book Antiqua"/>
        </w:rPr>
        <w:t>: 392-406 [PMID: 32348735 DOI: 10.1016/j.trecan.2020.02.007]</w:t>
      </w:r>
    </w:p>
    <w:p w14:paraId="2EDECCD0" w14:textId="77777777" w:rsidR="00A503D8" w:rsidRDefault="00000000">
      <w:pPr>
        <w:pStyle w:val="ac"/>
        <w:adjustRightInd w:val="0"/>
        <w:snapToGrid w:val="0"/>
        <w:spacing w:before="0" w:beforeAutospacing="0" w:after="0" w:afterAutospacing="0" w:line="360" w:lineRule="auto"/>
        <w:jc w:val="both"/>
        <w:rPr>
          <w:rFonts w:ascii="Book Antiqua" w:hAnsi="Book Antiqua"/>
        </w:rPr>
      </w:pPr>
      <w:r>
        <w:rPr>
          <w:rFonts w:ascii="Book Antiqua" w:hAnsi="Book Antiqua"/>
        </w:rPr>
        <w:t>24</w:t>
      </w:r>
      <w:r>
        <w:rPr>
          <w:rStyle w:val="apple-converted-space"/>
          <w:rFonts w:ascii="Book Antiqua" w:hAnsi="Book Antiqua"/>
        </w:rPr>
        <w:t xml:space="preserve"> </w:t>
      </w:r>
      <w:r>
        <w:rPr>
          <w:rFonts w:ascii="Book Antiqua" w:hAnsi="Book Antiqua"/>
          <w:b/>
          <w:bCs/>
        </w:rPr>
        <w:t>Galardi F</w:t>
      </w:r>
      <w:r>
        <w:rPr>
          <w:rFonts w:ascii="Book Antiqua" w:hAnsi="Book Antiqua"/>
        </w:rPr>
        <w:t>, Luca F, Romagnoli D, Biagioni C, Moretti E, Biganzoli L, Leo AD, Migliaccio I, Malorni L, Benelli M. Cell-Free DNA-Methylation-Based Methods and Applications in Oncology.</w:t>
      </w:r>
      <w:r>
        <w:rPr>
          <w:rStyle w:val="apple-converted-space"/>
          <w:rFonts w:ascii="Book Antiqua" w:hAnsi="Book Antiqua"/>
        </w:rPr>
        <w:t xml:space="preserve"> </w:t>
      </w:r>
      <w:r>
        <w:rPr>
          <w:rFonts w:ascii="Book Antiqua" w:hAnsi="Book Antiqua"/>
          <w:i/>
          <w:iCs/>
        </w:rPr>
        <w:t>Biomolecules</w:t>
      </w:r>
      <w:r>
        <w:rPr>
          <w:rStyle w:val="apple-converted-space"/>
          <w:rFonts w:ascii="Book Antiqua" w:hAnsi="Book Antiqua"/>
        </w:rPr>
        <w:t xml:space="preserve"> </w:t>
      </w:r>
      <w:r>
        <w:rPr>
          <w:rFonts w:ascii="Book Antiqua" w:hAnsi="Book Antiqua"/>
        </w:rPr>
        <w:t>2020;</w:t>
      </w:r>
      <w:r>
        <w:rPr>
          <w:rStyle w:val="apple-converted-space"/>
          <w:rFonts w:ascii="Book Antiqua" w:hAnsi="Book Antiqua"/>
        </w:rPr>
        <w:t xml:space="preserve"> </w:t>
      </w:r>
      <w:r>
        <w:rPr>
          <w:rFonts w:ascii="Book Antiqua" w:hAnsi="Book Antiqua"/>
          <w:b/>
          <w:bCs/>
        </w:rPr>
        <w:t>10</w:t>
      </w:r>
      <w:r>
        <w:rPr>
          <w:rStyle w:val="apple-converted-space"/>
          <w:rFonts w:ascii="Book Antiqua" w:hAnsi="Book Antiqua"/>
        </w:rPr>
        <w:t xml:space="preserve"> </w:t>
      </w:r>
      <w:r>
        <w:rPr>
          <w:rFonts w:ascii="Book Antiqua" w:hAnsi="Book Antiqua"/>
        </w:rPr>
        <w:t>[PMID: 33334040 DOI: 10.3390/biom10121677]</w:t>
      </w:r>
    </w:p>
    <w:p w14:paraId="3464229A" w14:textId="77777777" w:rsidR="00A503D8" w:rsidRDefault="00000000">
      <w:pPr>
        <w:pStyle w:val="ac"/>
        <w:adjustRightInd w:val="0"/>
        <w:snapToGrid w:val="0"/>
        <w:spacing w:before="0" w:beforeAutospacing="0" w:after="0" w:afterAutospacing="0" w:line="360" w:lineRule="auto"/>
        <w:jc w:val="both"/>
        <w:rPr>
          <w:rFonts w:ascii="Book Antiqua" w:hAnsi="Book Antiqua"/>
        </w:rPr>
      </w:pPr>
      <w:r>
        <w:rPr>
          <w:rFonts w:ascii="Book Antiqua" w:hAnsi="Book Antiqua"/>
        </w:rPr>
        <w:t>25</w:t>
      </w:r>
      <w:r>
        <w:rPr>
          <w:rStyle w:val="apple-converted-space"/>
          <w:rFonts w:ascii="Book Antiqua" w:hAnsi="Book Antiqua"/>
        </w:rPr>
        <w:t xml:space="preserve"> </w:t>
      </w:r>
      <w:r>
        <w:rPr>
          <w:rFonts w:ascii="Book Antiqua" w:hAnsi="Book Antiqua"/>
          <w:b/>
          <w:bCs/>
        </w:rPr>
        <w:t>Liu MC</w:t>
      </w:r>
      <w:r>
        <w:rPr>
          <w:rFonts w:ascii="Book Antiqua" w:hAnsi="Book Antiqua"/>
        </w:rPr>
        <w:t>, Oxnard GR, Klein EA, Swanton C, Seiden MV; CCGA Consortium. Sensitive and specific multi-cancer detection and localization using methylation signatures in cell-free DNA.</w:t>
      </w:r>
      <w:r>
        <w:rPr>
          <w:rStyle w:val="apple-converted-space"/>
          <w:rFonts w:ascii="Book Antiqua" w:hAnsi="Book Antiqua"/>
        </w:rPr>
        <w:t xml:space="preserve"> </w:t>
      </w:r>
      <w:r>
        <w:rPr>
          <w:rFonts w:ascii="Book Antiqua" w:hAnsi="Book Antiqua"/>
          <w:i/>
          <w:iCs/>
        </w:rPr>
        <w:t>Ann Oncol</w:t>
      </w:r>
      <w:r>
        <w:rPr>
          <w:rStyle w:val="apple-converted-space"/>
          <w:rFonts w:ascii="Book Antiqua" w:hAnsi="Book Antiqua"/>
        </w:rPr>
        <w:t xml:space="preserve"> </w:t>
      </w:r>
      <w:r>
        <w:rPr>
          <w:rFonts w:ascii="Book Antiqua" w:hAnsi="Book Antiqua"/>
        </w:rPr>
        <w:t>2020;</w:t>
      </w:r>
      <w:r>
        <w:rPr>
          <w:rStyle w:val="apple-converted-space"/>
          <w:rFonts w:ascii="Book Antiqua" w:hAnsi="Book Antiqua"/>
        </w:rPr>
        <w:t xml:space="preserve"> </w:t>
      </w:r>
      <w:r>
        <w:rPr>
          <w:rFonts w:ascii="Book Antiqua" w:hAnsi="Book Antiqua"/>
          <w:b/>
          <w:bCs/>
        </w:rPr>
        <w:t>31</w:t>
      </w:r>
      <w:r>
        <w:rPr>
          <w:rFonts w:ascii="Book Antiqua" w:hAnsi="Book Antiqua"/>
        </w:rPr>
        <w:t>: 745-759 [PMID: 33506766 DOI: 10.1016/j.annonc.2020.02.011]</w:t>
      </w:r>
    </w:p>
    <w:p w14:paraId="00903C06" w14:textId="77777777" w:rsidR="00A503D8" w:rsidRDefault="00000000">
      <w:pPr>
        <w:pStyle w:val="ac"/>
        <w:adjustRightInd w:val="0"/>
        <w:snapToGrid w:val="0"/>
        <w:spacing w:before="0" w:beforeAutospacing="0" w:after="0" w:afterAutospacing="0" w:line="360" w:lineRule="auto"/>
        <w:jc w:val="both"/>
        <w:rPr>
          <w:rFonts w:ascii="Book Antiqua" w:hAnsi="Book Antiqua"/>
        </w:rPr>
      </w:pPr>
      <w:r>
        <w:rPr>
          <w:rFonts w:ascii="Book Antiqua" w:hAnsi="Book Antiqua"/>
        </w:rPr>
        <w:t>26</w:t>
      </w:r>
      <w:r>
        <w:rPr>
          <w:rStyle w:val="apple-converted-space"/>
          <w:rFonts w:ascii="Book Antiqua" w:hAnsi="Book Antiqua"/>
        </w:rPr>
        <w:t xml:space="preserve"> </w:t>
      </w:r>
      <w:r>
        <w:rPr>
          <w:rFonts w:ascii="Book Antiqua" w:hAnsi="Book Antiqua"/>
          <w:b/>
          <w:bCs/>
        </w:rPr>
        <w:t>Manoochehri M</w:t>
      </w:r>
      <w:r>
        <w:rPr>
          <w:rFonts w:ascii="Book Antiqua" w:hAnsi="Book Antiqua"/>
        </w:rPr>
        <w:t>, Wu Y, Giese NA, Strobel O, Kutschmann S, Haller F, Hoheisel JD, Moskalev EA, Hackert T, Bauer AS. SST gene hypermethylation acts as a pan-cancer marker for pancreatic ductal adenocarcinoma and multiple other tumors: toward its use for blood-based diagnosis.</w:t>
      </w:r>
      <w:r>
        <w:rPr>
          <w:rStyle w:val="apple-converted-space"/>
          <w:rFonts w:ascii="Book Antiqua" w:hAnsi="Book Antiqua"/>
        </w:rPr>
        <w:t xml:space="preserve"> </w:t>
      </w:r>
      <w:r>
        <w:rPr>
          <w:rFonts w:ascii="Book Antiqua" w:hAnsi="Book Antiqua"/>
          <w:i/>
          <w:iCs/>
        </w:rPr>
        <w:t>Mol Oncol</w:t>
      </w:r>
      <w:r>
        <w:rPr>
          <w:rStyle w:val="apple-converted-space"/>
          <w:rFonts w:ascii="Book Antiqua" w:hAnsi="Book Antiqua"/>
        </w:rPr>
        <w:t xml:space="preserve"> </w:t>
      </w:r>
      <w:r>
        <w:rPr>
          <w:rFonts w:ascii="Book Antiqua" w:hAnsi="Book Antiqua"/>
        </w:rPr>
        <w:t>2020;</w:t>
      </w:r>
      <w:r>
        <w:rPr>
          <w:rStyle w:val="apple-converted-space"/>
          <w:rFonts w:ascii="Book Antiqua" w:hAnsi="Book Antiqua"/>
        </w:rPr>
        <w:t xml:space="preserve"> </w:t>
      </w:r>
      <w:r>
        <w:rPr>
          <w:rFonts w:ascii="Book Antiqua" w:hAnsi="Book Antiqua"/>
          <w:b/>
          <w:bCs/>
        </w:rPr>
        <w:t>14</w:t>
      </w:r>
      <w:r>
        <w:rPr>
          <w:rFonts w:ascii="Book Antiqua" w:hAnsi="Book Antiqua"/>
        </w:rPr>
        <w:t>: 1252-1267 [PMID: 32243066 DOI: 10.1002/1878-0261.12684]</w:t>
      </w:r>
    </w:p>
    <w:p w14:paraId="385B6FFF" w14:textId="77777777" w:rsidR="00A503D8" w:rsidRDefault="00000000">
      <w:pPr>
        <w:pStyle w:val="ac"/>
        <w:adjustRightInd w:val="0"/>
        <w:snapToGrid w:val="0"/>
        <w:spacing w:before="0" w:beforeAutospacing="0" w:after="0" w:afterAutospacing="0" w:line="360" w:lineRule="auto"/>
        <w:jc w:val="both"/>
        <w:rPr>
          <w:rFonts w:ascii="Book Antiqua" w:hAnsi="Book Antiqua"/>
        </w:rPr>
      </w:pPr>
      <w:r>
        <w:rPr>
          <w:rFonts w:ascii="Book Antiqua" w:hAnsi="Book Antiqua"/>
        </w:rPr>
        <w:t>27</w:t>
      </w:r>
      <w:r>
        <w:rPr>
          <w:rStyle w:val="apple-converted-space"/>
          <w:rFonts w:ascii="Book Antiqua" w:hAnsi="Book Antiqua"/>
        </w:rPr>
        <w:t xml:space="preserve"> </w:t>
      </w:r>
      <w:r>
        <w:rPr>
          <w:rFonts w:ascii="Book Antiqua" w:hAnsi="Book Antiqua"/>
          <w:b/>
          <w:bCs/>
        </w:rPr>
        <w:t>Luo H</w:t>
      </w:r>
      <w:r>
        <w:rPr>
          <w:rFonts w:ascii="Book Antiqua" w:hAnsi="Book Antiqua"/>
        </w:rPr>
        <w:t>, Wei W, Ye Z, Zheng J, Xu RH. Liquid Biopsy of Methylation Biomarkers in Cell-Free DNA.</w:t>
      </w:r>
      <w:r>
        <w:rPr>
          <w:rStyle w:val="apple-converted-space"/>
          <w:rFonts w:ascii="Book Antiqua" w:hAnsi="Book Antiqua"/>
        </w:rPr>
        <w:t xml:space="preserve"> </w:t>
      </w:r>
      <w:r>
        <w:rPr>
          <w:rFonts w:ascii="Book Antiqua" w:hAnsi="Book Antiqua"/>
          <w:i/>
          <w:iCs/>
        </w:rPr>
        <w:t>Trends Mol Med</w:t>
      </w:r>
      <w:r>
        <w:rPr>
          <w:rStyle w:val="apple-converted-space"/>
          <w:rFonts w:ascii="Book Antiqua" w:hAnsi="Book Antiqua"/>
        </w:rPr>
        <w:t xml:space="preserve"> </w:t>
      </w:r>
      <w:r>
        <w:rPr>
          <w:rFonts w:ascii="Book Antiqua" w:hAnsi="Book Antiqua"/>
        </w:rPr>
        <w:t>2021;</w:t>
      </w:r>
      <w:r>
        <w:rPr>
          <w:rStyle w:val="apple-converted-space"/>
          <w:rFonts w:ascii="Book Antiqua" w:hAnsi="Book Antiqua"/>
        </w:rPr>
        <w:t xml:space="preserve"> </w:t>
      </w:r>
      <w:r>
        <w:rPr>
          <w:rFonts w:ascii="Book Antiqua" w:hAnsi="Book Antiqua"/>
          <w:b/>
          <w:bCs/>
        </w:rPr>
        <w:t>27</w:t>
      </w:r>
      <w:r>
        <w:rPr>
          <w:rFonts w:ascii="Book Antiqua" w:hAnsi="Book Antiqua"/>
        </w:rPr>
        <w:t>: 482-500 [PMID: 33500194 DOI: 10.1016/j.molmed.2020.12.011]</w:t>
      </w:r>
    </w:p>
    <w:p w14:paraId="26E45DDC" w14:textId="77777777" w:rsidR="00A503D8" w:rsidRDefault="00000000">
      <w:pPr>
        <w:pStyle w:val="ac"/>
        <w:adjustRightInd w:val="0"/>
        <w:snapToGrid w:val="0"/>
        <w:spacing w:before="0" w:beforeAutospacing="0" w:after="0" w:afterAutospacing="0" w:line="360" w:lineRule="auto"/>
        <w:jc w:val="both"/>
        <w:rPr>
          <w:rFonts w:ascii="Book Antiqua" w:hAnsi="Book Antiqua"/>
        </w:rPr>
      </w:pPr>
      <w:r>
        <w:rPr>
          <w:rFonts w:ascii="Book Antiqua" w:hAnsi="Book Antiqua"/>
        </w:rPr>
        <w:t>28</w:t>
      </w:r>
      <w:r>
        <w:rPr>
          <w:rStyle w:val="apple-converted-space"/>
          <w:rFonts w:ascii="Book Antiqua" w:hAnsi="Book Antiqua"/>
        </w:rPr>
        <w:t xml:space="preserve"> </w:t>
      </w:r>
      <w:r>
        <w:rPr>
          <w:rFonts w:ascii="Book Antiqua" w:hAnsi="Book Antiqua"/>
          <w:b/>
          <w:bCs/>
        </w:rPr>
        <w:t>Huang Y</w:t>
      </w:r>
      <w:r>
        <w:rPr>
          <w:rFonts w:ascii="Book Antiqua" w:hAnsi="Book Antiqua"/>
        </w:rPr>
        <w:t>, Huang C, Jiang X, Yan Y, Zhuang K, Liu F, Li P, Wen Y. Exploration of Potential Roles of m5C-Related Regulators in Colon Adenocarcinoma Prognosis.</w:t>
      </w:r>
      <w:r>
        <w:rPr>
          <w:rStyle w:val="apple-converted-space"/>
          <w:rFonts w:ascii="Book Antiqua" w:hAnsi="Book Antiqua"/>
        </w:rPr>
        <w:t xml:space="preserve"> </w:t>
      </w:r>
      <w:r>
        <w:rPr>
          <w:rFonts w:ascii="Book Antiqua" w:hAnsi="Book Antiqua"/>
          <w:i/>
          <w:iCs/>
        </w:rPr>
        <w:t>Front Genet</w:t>
      </w:r>
      <w:r>
        <w:rPr>
          <w:rStyle w:val="apple-converted-space"/>
          <w:rFonts w:ascii="Book Antiqua" w:hAnsi="Book Antiqua"/>
        </w:rPr>
        <w:t xml:space="preserve"> </w:t>
      </w:r>
      <w:r>
        <w:rPr>
          <w:rFonts w:ascii="Book Antiqua" w:hAnsi="Book Antiqua"/>
        </w:rPr>
        <w:t>2022;</w:t>
      </w:r>
      <w:r>
        <w:rPr>
          <w:rStyle w:val="apple-converted-space"/>
          <w:rFonts w:ascii="Book Antiqua" w:hAnsi="Book Antiqua"/>
        </w:rPr>
        <w:t xml:space="preserve"> </w:t>
      </w:r>
      <w:r>
        <w:rPr>
          <w:rFonts w:ascii="Book Antiqua" w:hAnsi="Book Antiqua"/>
          <w:b/>
          <w:bCs/>
        </w:rPr>
        <w:t>13</w:t>
      </w:r>
      <w:r>
        <w:rPr>
          <w:rFonts w:ascii="Book Antiqua" w:hAnsi="Book Antiqua"/>
        </w:rPr>
        <w:t>: 816173 [PMID: 35281843 DOI: 10.3389/fgene.2022.816173]</w:t>
      </w:r>
    </w:p>
    <w:p w14:paraId="21F18628" w14:textId="77777777" w:rsidR="00A503D8" w:rsidRDefault="00000000">
      <w:pPr>
        <w:pStyle w:val="ac"/>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29</w:t>
      </w:r>
      <w:r>
        <w:rPr>
          <w:rStyle w:val="apple-converted-space"/>
          <w:rFonts w:ascii="Book Antiqua" w:hAnsi="Book Antiqua"/>
        </w:rPr>
        <w:t xml:space="preserve"> </w:t>
      </w:r>
      <w:r>
        <w:rPr>
          <w:rFonts w:ascii="Book Antiqua" w:hAnsi="Book Antiqua"/>
          <w:b/>
          <w:bCs/>
        </w:rPr>
        <w:t>Luo H</w:t>
      </w:r>
      <w:r>
        <w:rPr>
          <w:rFonts w:ascii="Book Antiqua" w:hAnsi="Book Antiqua"/>
        </w:rPr>
        <w:t>, Zhao Q, Wei W, Zheng L, Yi S, Li G, Wang W, Sheng H, Pu H, Mo H, Zuo Z, Liu Z, Li C, Xie C, Zeng Z, Li W, Hao X, Liu Y, Cao S, Liu W, Gibson S, Zhang K, Xu G, Xu RH. Circulating tumor DNA methylation profiles enable early diagnosis, prognosis prediction, and screening for colorectal cancer.</w:t>
      </w:r>
      <w:r>
        <w:rPr>
          <w:rStyle w:val="apple-converted-space"/>
          <w:rFonts w:ascii="Book Antiqua" w:hAnsi="Book Antiqua"/>
        </w:rPr>
        <w:t xml:space="preserve"> </w:t>
      </w:r>
      <w:r>
        <w:rPr>
          <w:rFonts w:ascii="Book Antiqua" w:hAnsi="Book Antiqua"/>
          <w:i/>
          <w:iCs/>
        </w:rPr>
        <w:t>Sci Transl Med</w:t>
      </w:r>
      <w:r>
        <w:rPr>
          <w:rStyle w:val="apple-converted-space"/>
          <w:rFonts w:ascii="Book Antiqua" w:hAnsi="Book Antiqua"/>
        </w:rPr>
        <w:t xml:space="preserve"> </w:t>
      </w:r>
      <w:r>
        <w:rPr>
          <w:rFonts w:ascii="Book Antiqua" w:hAnsi="Book Antiqua"/>
        </w:rPr>
        <w:t>2020;</w:t>
      </w:r>
      <w:r>
        <w:rPr>
          <w:rStyle w:val="apple-converted-space"/>
          <w:rFonts w:ascii="Book Antiqua" w:hAnsi="Book Antiqua"/>
        </w:rPr>
        <w:t xml:space="preserve"> </w:t>
      </w:r>
      <w:r>
        <w:rPr>
          <w:rFonts w:ascii="Book Antiqua" w:hAnsi="Book Antiqua"/>
          <w:b/>
          <w:bCs/>
        </w:rPr>
        <w:t>12</w:t>
      </w:r>
      <w:r>
        <w:rPr>
          <w:rFonts w:ascii="Book Antiqua" w:hAnsi="Book Antiqua"/>
        </w:rPr>
        <w:t>[PMID: 31894106 DOI: 10.1126/scitranslmed.aax7533]</w:t>
      </w:r>
    </w:p>
    <w:p w14:paraId="49B48013" w14:textId="77777777" w:rsidR="00A503D8" w:rsidRDefault="00000000">
      <w:pPr>
        <w:pStyle w:val="ac"/>
        <w:adjustRightInd w:val="0"/>
        <w:snapToGrid w:val="0"/>
        <w:spacing w:before="0" w:beforeAutospacing="0" w:after="0" w:afterAutospacing="0" w:line="360" w:lineRule="auto"/>
        <w:jc w:val="both"/>
        <w:rPr>
          <w:rFonts w:ascii="Book Antiqua" w:hAnsi="Book Antiqua"/>
        </w:rPr>
      </w:pPr>
      <w:r>
        <w:rPr>
          <w:rFonts w:ascii="Book Antiqua" w:hAnsi="Book Antiqua"/>
        </w:rPr>
        <w:t>30</w:t>
      </w:r>
      <w:r>
        <w:rPr>
          <w:rStyle w:val="apple-converted-space"/>
          <w:rFonts w:ascii="Book Antiqua" w:hAnsi="Book Antiqua"/>
        </w:rPr>
        <w:t xml:space="preserve"> </w:t>
      </w:r>
      <w:r>
        <w:rPr>
          <w:rFonts w:ascii="Book Antiqua" w:hAnsi="Book Antiqua"/>
          <w:b/>
          <w:bCs/>
        </w:rPr>
        <w:t>Tivey A</w:t>
      </w:r>
      <w:r>
        <w:rPr>
          <w:rFonts w:ascii="Book Antiqua" w:hAnsi="Book Antiqua"/>
        </w:rPr>
        <w:t>, Church M, Rothwell D, Dive C, Cook N. Circulating tumour DNA - looking beyond the blood.</w:t>
      </w:r>
      <w:r>
        <w:rPr>
          <w:rStyle w:val="apple-converted-space"/>
          <w:rFonts w:ascii="Book Antiqua" w:hAnsi="Book Antiqua"/>
        </w:rPr>
        <w:t xml:space="preserve"> </w:t>
      </w:r>
      <w:r>
        <w:rPr>
          <w:rFonts w:ascii="Book Antiqua" w:hAnsi="Book Antiqua"/>
          <w:i/>
          <w:iCs/>
        </w:rPr>
        <w:t>Nat Rev Clin Oncol</w:t>
      </w:r>
      <w:r>
        <w:rPr>
          <w:rStyle w:val="apple-converted-space"/>
          <w:rFonts w:ascii="Book Antiqua" w:hAnsi="Book Antiqua"/>
        </w:rPr>
        <w:t xml:space="preserve"> </w:t>
      </w:r>
      <w:r>
        <w:rPr>
          <w:rFonts w:ascii="Book Antiqua" w:hAnsi="Book Antiqua"/>
        </w:rPr>
        <w:t>2022;</w:t>
      </w:r>
      <w:r>
        <w:rPr>
          <w:rStyle w:val="apple-converted-space"/>
          <w:rFonts w:ascii="Book Antiqua" w:hAnsi="Book Antiqua"/>
        </w:rPr>
        <w:t xml:space="preserve"> </w:t>
      </w:r>
      <w:r>
        <w:rPr>
          <w:rFonts w:ascii="Book Antiqua" w:hAnsi="Book Antiqua"/>
          <w:b/>
          <w:bCs/>
        </w:rPr>
        <w:t>19</w:t>
      </w:r>
      <w:r>
        <w:rPr>
          <w:rFonts w:ascii="Book Antiqua" w:hAnsi="Book Antiqua"/>
        </w:rPr>
        <w:t>: 600-612 [PMID: 35915225 DOI: 10.1038/s41571-022-00660-y]</w:t>
      </w:r>
    </w:p>
    <w:p w14:paraId="2CA2470C" w14:textId="77777777" w:rsidR="00A503D8" w:rsidRDefault="00000000">
      <w:pPr>
        <w:pStyle w:val="ac"/>
        <w:adjustRightInd w:val="0"/>
        <w:snapToGrid w:val="0"/>
        <w:spacing w:before="0" w:beforeAutospacing="0" w:after="0" w:afterAutospacing="0" w:line="360" w:lineRule="auto"/>
        <w:jc w:val="both"/>
        <w:rPr>
          <w:rFonts w:ascii="Book Antiqua" w:hAnsi="Book Antiqua"/>
        </w:rPr>
      </w:pPr>
      <w:r>
        <w:rPr>
          <w:rFonts w:ascii="Book Antiqua" w:hAnsi="Book Antiqua"/>
        </w:rPr>
        <w:t>31</w:t>
      </w:r>
      <w:r>
        <w:rPr>
          <w:rStyle w:val="apple-converted-space"/>
          <w:rFonts w:ascii="Book Antiqua" w:hAnsi="Book Antiqua"/>
        </w:rPr>
        <w:t xml:space="preserve"> </w:t>
      </w:r>
      <w:r>
        <w:rPr>
          <w:rFonts w:ascii="Book Antiqua" w:hAnsi="Book Antiqua"/>
          <w:b/>
          <w:bCs/>
        </w:rPr>
        <w:t>Goonetilleke KS</w:t>
      </w:r>
      <w:r>
        <w:rPr>
          <w:rFonts w:ascii="Book Antiqua" w:hAnsi="Book Antiqua"/>
        </w:rPr>
        <w:t>, Siriwardena AK. Systematic review of carbohydrate antigen (CA 19-9) as a biochemical marker in the diagnosis of pancreatic cancer.</w:t>
      </w:r>
      <w:r>
        <w:rPr>
          <w:rStyle w:val="apple-converted-space"/>
          <w:rFonts w:ascii="Book Antiqua" w:hAnsi="Book Antiqua"/>
        </w:rPr>
        <w:t xml:space="preserve"> </w:t>
      </w:r>
      <w:r>
        <w:rPr>
          <w:rFonts w:ascii="Book Antiqua" w:hAnsi="Book Antiqua"/>
          <w:i/>
          <w:iCs/>
        </w:rPr>
        <w:t>Eur J Surg Oncol</w:t>
      </w:r>
      <w:r>
        <w:rPr>
          <w:rStyle w:val="apple-converted-space"/>
          <w:rFonts w:ascii="Book Antiqua" w:hAnsi="Book Antiqua"/>
        </w:rPr>
        <w:t xml:space="preserve"> </w:t>
      </w:r>
      <w:r>
        <w:rPr>
          <w:rFonts w:ascii="Book Antiqua" w:hAnsi="Book Antiqua"/>
        </w:rPr>
        <w:t>2007;</w:t>
      </w:r>
      <w:r>
        <w:rPr>
          <w:rStyle w:val="apple-converted-space"/>
          <w:rFonts w:ascii="Book Antiqua" w:hAnsi="Book Antiqua"/>
        </w:rPr>
        <w:t xml:space="preserve"> </w:t>
      </w:r>
      <w:r>
        <w:rPr>
          <w:rFonts w:ascii="Book Antiqua" w:hAnsi="Book Antiqua"/>
          <w:b/>
          <w:bCs/>
        </w:rPr>
        <w:t>33</w:t>
      </w:r>
      <w:r>
        <w:rPr>
          <w:rFonts w:ascii="Book Antiqua" w:hAnsi="Book Antiqua"/>
        </w:rPr>
        <w:t>: 266-270 [PMID: 17097848 DOI: 10.1016/j.ejso.2006.10.004]</w:t>
      </w:r>
    </w:p>
    <w:p w14:paraId="688C71A5" w14:textId="77777777" w:rsidR="00A503D8" w:rsidRDefault="00000000">
      <w:pPr>
        <w:pStyle w:val="ac"/>
        <w:adjustRightInd w:val="0"/>
        <w:snapToGrid w:val="0"/>
        <w:spacing w:before="0" w:beforeAutospacing="0" w:after="0" w:afterAutospacing="0" w:line="360" w:lineRule="auto"/>
        <w:jc w:val="both"/>
        <w:rPr>
          <w:rFonts w:ascii="Book Antiqua" w:hAnsi="Book Antiqua"/>
        </w:rPr>
      </w:pPr>
      <w:r>
        <w:rPr>
          <w:rFonts w:ascii="Book Antiqua" w:hAnsi="Book Antiqua"/>
        </w:rPr>
        <w:t>32</w:t>
      </w:r>
      <w:r>
        <w:rPr>
          <w:rStyle w:val="apple-converted-space"/>
          <w:rFonts w:ascii="Book Antiqua" w:hAnsi="Book Antiqua"/>
        </w:rPr>
        <w:t xml:space="preserve"> </w:t>
      </w:r>
      <w:r>
        <w:rPr>
          <w:rFonts w:ascii="Book Antiqua" w:hAnsi="Book Antiqua"/>
          <w:b/>
          <w:bCs/>
        </w:rPr>
        <w:t>Brancaccio M</w:t>
      </w:r>
      <w:r>
        <w:rPr>
          <w:rFonts w:ascii="Book Antiqua" w:hAnsi="Book Antiqua"/>
        </w:rPr>
        <w:t>, Natale F, Falco G, Angrisano T. Cell-Free DNA Methylation: The New Frontiers of Pancreatic Cancer Biomarkers' Discovery.</w:t>
      </w:r>
      <w:r>
        <w:rPr>
          <w:rStyle w:val="apple-converted-space"/>
          <w:rFonts w:ascii="Book Antiqua" w:hAnsi="Book Antiqua"/>
        </w:rPr>
        <w:t xml:space="preserve"> </w:t>
      </w:r>
      <w:r>
        <w:rPr>
          <w:rFonts w:ascii="Book Antiqua" w:hAnsi="Book Antiqua"/>
          <w:i/>
          <w:iCs/>
        </w:rPr>
        <w:t>Genes (Basel)</w:t>
      </w:r>
      <w:r>
        <w:rPr>
          <w:rStyle w:val="apple-converted-space"/>
          <w:rFonts w:ascii="Book Antiqua" w:hAnsi="Book Antiqua"/>
        </w:rPr>
        <w:t xml:space="preserve"> </w:t>
      </w:r>
      <w:r>
        <w:rPr>
          <w:rFonts w:ascii="Book Antiqua" w:hAnsi="Book Antiqua"/>
        </w:rPr>
        <w:t>2019;</w:t>
      </w:r>
      <w:r>
        <w:rPr>
          <w:rStyle w:val="apple-converted-space"/>
          <w:rFonts w:ascii="Book Antiqua" w:hAnsi="Book Antiqua"/>
        </w:rPr>
        <w:t xml:space="preserve"> </w:t>
      </w:r>
      <w:r>
        <w:rPr>
          <w:rFonts w:ascii="Book Antiqua" w:hAnsi="Book Antiqua"/>
          <w:b/>
          <w:bCs/>
        </w:rPr>
        <w:t>11</w:t>
      </w:r>
      <w:r>
        <w:rPr>
          <w:rFonts w:ascii="Book Antiqua" w:hAnsi="Book Antiqua"/>
        </w:rPr>
        <w:t>[PMID: 31877923 DOI: 10.3390/genes11010014]</w:t>
      </w:r>
    </w:p>
    <w:p w14:paraId="6EF0C26C" w14:textId="77777777" w:rsidR="00A503D8" w:rsidRDefault="00000000">
      <w:pPr>
        <w:pStyle w:val="ac"/>
        <w:adjustRightInd w:val="0"/>
        <w:snapToGrid w:val="0"/>
        <w:spacing w:before="0" w:beforeAutospacing="0" w:after="0" w:afterAutospacing="0" w:line="360" w:lineRule="auto"/>
        <w:jc w:val="both"/>
        <w:rPr>
          <w:rFonts w:ascii="Book Antiqua" w:hAnsi="Book Antiqua"/>
        </w:rPr>
      </w:pPr>
      <w:r>
        <w:rPr>
          <w:rFonts w:ascii="Book Antiqua" w:hAnsi="Book Antiqua"/>
        </w:rPr>
        <w:t>33</w:t>
      </w:r>
      <w:r>
        <w:rPr>
          <w:rStyle w:val="apple-converted-space"/>
          <w:rFonts w:ascii="Book Antiqua" w:hAnsi="Book Antiqua"/>
        </w:rPr>
        <w:t xml:space="preserve"> </w:t>
      </w:r>
      <w:r>
        <w:rPr>
          <w:rFonts w:ascii="Book Antiqua" w:hAnsi="Book Antiqua"/>
          <w:b/>
          <w:bCs/>
        </w:rPr>
        <w:t>Guler GD</w:t>
      </w:r>
      <w:r>
        <w:rPr>
          <w:rFonts w:ascii="Book Antiqua" w:hAnsi="Book Antiqua"/>
        </w:rPr>
        <w:t>, Ning Y, Ku CJ, Phillips T, McCarthy E, Ellison CK, Bergamaschi A, Collin F, Lloyd P, Scott A, Antoine M, Wang W, Chau K, Ashworth A, Quake SR, Levy S. Detection of early stage pancreatic cancer using 5-hydroxymethylcytosine signatures in circulating cell free DNA.</w:t>
      </w:r>
      <w:r>
        <w:rPr>
          <w:rStyle w:val="apple-converted-space"/>
          <w:rFonts w:ascii="Book Antiqua" w:hAnsi="Book Antiqua"/>
        </w:rPr>
        <w:t xml:space="preserve"> </w:t>
      </w:r>
      <w:r>
        <w:rPr>
          <w:rFonts w:ascii="Book Antiqua" w:hAnsi="Book Antiqua"/>
          <w:i/>
          <w:iCs/>
        </w:rPr>
        <w:t>Nat Commun</w:t>
      </w:r>
      <w:r>
        <w:rPr>
          <w:rStyle w:val="apple-converted-space"/>
          <w:rFonts w:ascii="Book Antiqua" w:hAnsi="Book Antiqua"/>
        </w:rPr>
        <w:t xml:space="preserve"> </w:t>
      </w:r>
      <w:r>
        <w:rPr>
          <w:rFonts w:ascii="Book Antiqua" w:hAnsi="Book Antiqua"/>
        </w:rPr>
        <w:t>2020;</w:t>
      </w:r>
      <w:r>
        <w:rPr>
          <w:rStyle w:val="apple-converted-space"/>
          <w:rFonts w:ascii="Book Antiqua" w:hAnsi="Book Antiqua"/>
        </w:rPr>
        <w:t xml:space="preserve"> </w:t>
      </w:r>
      <w:r>
        <w:rPr>
          <w:rFonts w:ascii="Book Antiqua" w:hAnsi="Book Antiqua"/>
          <w:b/>
          <w:bCs/>
        </w:rPr>
        <w:t>11</w:t>
      </w:r>
      <w:r>
        <w:rPr>
          <w:rFonts w:ascii="Book Antiqua" w:hAnsi="Book Antiqua"/>
        </w:rPr>
        <w:t>: 5270 [PMID: 33077732 DOI: 10.1038/s41467-020-18965-w]</w:t>
      </w:r>
    </w:p>
    <w:p w14:paraId="255F9043" w14:textId="77777777" w:rsidR="00A503D8" w:rsidRDefault="00000000">
      <w:pPr>
        <w:pStyle w:val="ac"/>
        <w:adjustRightInd w:val="0"/>
        <w:snapToGrid w:val="0"/>
        <w:spacing w:before="0" w:beforeAutospacing="0" w:after="0" w:afterAutospacing="0" w:line="360" w:lineRule="auto"/>
        <w:jc w:val="both"/>
        <w:rPr>
          <w:rFonts w:ascii="Book Antiqua" w:hAnsi="Book Antiqua"/>
        </w:rPr>
      </w:pPr>
      <w:r>
        <w:rPr>
          <w:rFonts w:ascii="Book Antiqua" w:hAnsi="Book Antiqua"/>
        </w:rPr>
        <w:t>34</w:t>
      </w:r>
      <w:r>
        <w:rPr>
          <w:rStyle w:val="apple-converted-space"/>
          <w:rFonts w:ascii="Book Antiqua" w:hAnsi="Book Antiqua"/>
        </w:rPr>
        <w:t xml:space="preserve"> </w:t>
      </w:r>
      <w:r>
        <w:rPr>
          <w:rFonts w:ascii="Book Antiqua" w:hAnsi="Book Antiqua"/>
          <w:b/>
          <w:bCs/>
        </w:rPr>
        <w:t>Moss J</w:t>
      </w:r>
      <w:r>
        <w:rPr>
          <w:rFonts w:ascii="Book Antiqua" w:hAnsi="Book Antiqua"/>
        </w:rPr>
        <w:t>, Magenheim J, Neiman D, Zemmour H, Loyfer N, Korach A, Samet Y, Maoz M, Druid H, Arner P, Fu KY, Kiss E, Spalding KL, Landesberg G, Zick A, Grinshpun A, Shapiro AMJ, Grompe M, Wittenberg AD, Glaser B, Shemer R, Kaplan T, Dor Y. Comprehensive human cell-type methylation atlas reveals origins of circulating cell-free DNA in health and disease.</w:t>
      </w:r>
      <w:r>
        <w:rPr>
          <w:rStyle w:val="apple-converted-space"/>
          <w:rFonts w:ascii="Book Antiqua" w:hAnsi="Book Antiqua"/>
        </w:rPr>
        <w:t xml:space="preserve"> </w:t>
      </w:r>
      <w:r>
        <w:rPr>
          <w:rFonts w:ascii="Book Antiqua" w:hAnsi="Book Antiqua"/>
          <w:i/>
          <w:iCs/>
        </w:rPr>
        <w:t>Nat Commun</w:t>
      </w:r>
      <w:r>
        <w:rPr>
          <w:rStyle w:val="apple-converted-space"/>
          <w:rFonts w:ascii="Book Antiqua" w:hAnsi="Book Antiqua"/>
        </w:rPr>
        <w:t xml:space="preserve"> </w:t>
      </w:r>
      <w:r>
        <w:rPr>
          <w:rFonts w:ascii="Book Antiqua" w:hAnsi="Book Antiqua"/>
        </w:rPr>
        <w:t>2018;</w:t>
      </w:r>
      <w:r>
        <w:rPr>
          <w:rStyle w:val="apple-converted-space"/>
          <w:rFonts w:ascii="Book Antiqua" w:hAnsi="Book Antiqua"/>
        </w:rPr>
        <w:t xml:space="preserve"> </w:t>
      </w:r>
      <w:r>
        <w:rPr>
          <w:rFonts w:ascii="Book Antiqua" w:hAnsi="Book Antiqua"/>
          <w:b/>
          <w:bCs/>
        </w:rPr>
        <w:t>9</w:t>
      </w:r>
      <w:r>
        <w:rPr>
          <w:rFonts w:ascii="Book Antiqua" w:hAnsi="Book Antiqua"/>
        </w:rPr>
        <w:t>: 5068 [PMID: 30498206 DOI: 10.1038/s41467-018-07466-6]</w:t>
      </w:r>
    </w:p>
    <w:p w14:paraId="5E2E2AE3" w14:textId="77777777" w:rsidR="00A503D8" w:rsidRDefault="00000000">
      <w:pPr>
        <w:pStyle w:val="ac"/>
        <w:adjustRightInd w:val="0"/>
        <w:snapToGrid w:val="0"/>
        <w:spacing w:before="0" w:beforeAutospacing="0" w:after="0" w:afterAutospacing="0" w:line="360" w:lineRule="auto"/>
        <w:jc w:val="both"/>
        <w:rPr>
          <w:rFonts w:ascii="Book Antiqua" w:hAnsi="Book Antiqua"/>
        </w:rPr>
      </w:pPr>
      <w:r>
        <w:rPr>
          <w:rFonts w:ascii="Book Antiqua" w:hAnsi="Book Antiqua"/>
        </w:rPr>
        <w:t>35</w:t>
      </w:r>
      <w:r>
        <w:rPr>
          <w:rStyle w:val="apple-converted-space"/>
          <w:rFonts w:ascii="Book Antiqua" w:hAnsi="Book Antiqua"/>
        </w:rPr>
        <w:t xml:space="preserve"> </w:t>
      </w:r>
      <w:r>
        <w:rPr>
          <w:rFonts w:ascii="Book Antiqua" w:hAnsi="Book Antiqua"/>
          <w:b/>
          <w:bCs/>
        </w:rPr>
        <w:t>Chhatriya B</w:t>
      </w:r>
      <w:r>
        <w:rPr>
          <w:rFonts w:ascii="Book Antiqua" w:hAnsi="Book Antiqua"/>
        </w:rPr>
        <w:t>, Mukherjee M, Ray S, Saha B, Lahiri S, Halder S, Ghosh I, Khamrui S, Das K, Bhattacharjee S, Mohapatra SK, Goswami S. Transcriptome analysis identifies putative multi-gene signature distinguishing benign and malignant pancreatic head mass.</w:t>
      </w:r>
      <w:r>
        <w:rPr>
          <w:rStyle w:val="apple-converted-space"/>
          <w:rFonts w:ascii="Book Antiqua" w:hAnsi="Book Antiqua"/>
        </w:rPr>
        <w:t xml:space="preserve"> </w:t>
      </w:r>
      <w:r>
        <w:rPr>
          <w:rFonts w:ascii="Book Antiqua" w:hAnsi="Book Antiqua"/>
          <w:i/>
          <w:iCs/>
        </w:rPr>
        <w:t>J Transl Med</w:t>
      </w:r>
      <w:r>
        <w:rPr>
          <w:rStyle w:val="apple-converted-space"/>
          <w:rFonts w:ascii="Book Antiqua" w:hAnsi="Book Antiqua"/>
        </w:rPr>
        <w:t xml:space="preserve"> </w:t>
      </w:r>
      <w:r>
        <w:rPr>
          <w:rFonts w:ascii="Book Antiqua" w:hAnsi="Book Antiqua"/>
        </w:rPr>
        <w:t>2020;</w:t>
      </w:r>
      <w:r>
        <w:rPr>
          <w:rStyle w:val="apple-converted-space"/>
          <w:rFonts w:ascii="Book Antiqua" w:hAnsi="Book Antiqua"/>
        </w:rPr>
        <w:t xml:space="preserve"> </w:t>
      </w:r>
      <w:r>
        <w:rPr>
          <w:rFonts w:ascii="Book Antiqua" w:hAnsi="Book Antiqua"/>
          <w:b/>
          <w:bCs/>
        </w:rPr>
        <w:t>18</w:t>
      </w:r>
      <w:r>
        <w:rPr>
          <w:rFonts w:ascii="Book Antiqua" w:hAnsi="Book Antiqua"/>
        </w:rPr>
        <w:t>: 420 [PMID: 33160365 DOI: 10.1186/s12967-020-02597-1]</w:t>
      </w:r>
    </w:p>
    <w:p w14:paraId="2C302A6C" w14:textId="77777777" w:rsidR="00A503D8" w:rsidRDefault="00000000">
      <w:pPr>
        <w:pStyle w:val="ac"/>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36</w:t>
      </w:r>
      <w:r>
        <w:rPr>
          <w:rStyle w:val="apple-converted-space"/>
          <w:rFonts w:ascii="Book Antiqua" w:hAnsi="Book Antiqua"/>
        </w:rPr>
        <w:t xml:space="preserve"> </w:t>
      </w:r>
      <w:r>
        <w:rPr>
          <w:rFonts w:ascii="Book Antiqua" w:hAnsi="Book Antiqua"/>
          <w:b/>
          <w:bCs/>
        </w:rPr>
        <w:t>Bauden M</w:t>
      </w:r>
      <w:r>
        <w:rPr>
          <w:rFonts w:ascii="Book Antiqua" w:hAnsi="Book Antiqua"/>
        </w:rPr>
        <w:t>, Pamart D, Ansari D, Herzog M, Eccleston M, Micallef J, Andersson B, Andersson R. Circulating nucleosomes as epigenetic biomarkers in pancreatic cancer.</w:t>
      </w:r>
      <w:r>
        <w:rPr>
          <w:rStyle w:val="apple-converted-space"/>
          <w:rFonts w:ascii="Book Antiqua" w:hAnsi="Book Antiqua"/>
        </w:rPr>
        <w:t xml:space="preserve"> </w:t>
      </w:r>
      <w:r>
        <w:rPr>
          <w:rFonts w:ascii="Book Antiqua" w:hAnsi="Book Antiqua"/>
          <w:i/>
          <w:iCs/>
        </w:rPr>
        <w:t>Clin Epigenetics</w:t>
      </w:r>
      <w:r>
        <w:rPr>
          <w:rStyle w:val="apple-converted-space"/>
          <w:rFonts w:ascii="Book Antiqua" w:hAnsi="Book Antiqua"/>
        </w:rPr>
        <w:t xml:space="preserve"> </w:t>
      </w:r>
      <w:r>
        <w:rPr>
          <w:rFonts w:ascii="Book Antiqua" w:hAnsi="Book Antiqua"/>
        </w:rPr>
        <w:t>2015;</w:t>
      </w:r>
      <w:r>
        <w:rPr>
          <w:rStyle w:val="apple-converted-space"/>
          <w:rFonts w:ascii="Book Antiqua" w:hAnsi="Book Antiqua"/>
        </w:rPr>
        <w:t xml:space="preserve"> </w:t>
      </w:r>
      <w:r>
        <w:rPr>
          <w:rFonts w:ascii="Book Antiqua" w:hAnsi="Book Antiqua"/>
          <w:b/>
          <w:bCs/>
        </w:rPr>
        <w:t>7</w:t>
      </w:r>
      <w:r>
        <w:rPr>
          <w:rFonts w:ascii="Book Antiqua" w:hAnsi="Book Antiqua"/>
        </w:rPr>
        <w:t>: 106 [PMID: 26451166 DOI: 10.1186/s13148-015-0139-4]</w:t>
      </w:r>
    </w:p>
    <w:p w14:paraId="4ED8308C" w14:textId="77777777" w:rsidR="00A503D8" w:rsidRDefault="00000000">
      <w:pPr>
        <w:pStyle w:val="ac"/>
        <w:adjustRightInd w:val="0"/>
        <w:snapToGrid w:val="0"/>
        <w:spacing w:before="0" w:beforeAutospacing="0" w:after="0" w:afterAutospacing="0" w:line="360" w:lineRule="auto"/>
        <w:jc w:val="both"/>
        <w:rPr>
          <w:rFonts w:ascii="Book Antiqua" w:hAnsi="Book Antiqua"/>
        </w:rPr>
      </w:pPr>
      <w:r>
        <w:rPr>
          <w:rFonts w:ascii="Book Antiqua" w:hAnsi="Book Antiqua"/>
        </w:rPr>
        <w:t>37</w:t>
      </w:r>
      <w:r>
        <w:rPr>
          <w:rStyle w:val="apple-converted-space"/>
          <w:rFonts w:ascii="Book Antiqua" w:hAnsi="Book Antiqua"/>
        </w:rPr>
        <w:t xml:space="preserve"> </w:t>
      </w:r>
      <w:r>
        <w:rPr>
          <w:rFonts w:ascii="Book Antiqua" w:hAnsi="Book Antiqua"/>
          <w:b/>
          <w:bCs/>
        </w:rPr>
        <w:t>Kisiel JB</w:t>
      </w:r>
      <w:r>
        <w:rPr>
          <w:rFonts w:ascii="Book Antiqua" w:hAnsi="Book Antiqua"/>
        </w:rPr>
        <w:t>, Raimondo M, Taylor WR, Yab TC, Mahoney DW, Sun Z, Middha S, Baheti S, Zou H, Smyrk TC, Boardman LA, Petersen GM, Ahlquist DA. New DNA Methylation Markers for Pancreatic Cancer: Discovery, Tissue Validation, and Pilot Testing in Pancreatic Juice.</w:t>
      </w:r>
      <w:r>
        <w:rPr>
          <w:rStyle w:val="apple-converted-space"/>
          <w:rFonts w:ascii="Book Antiqua" w:hAnsi="Book Antiqua"/>
        </w:rPr>
        <w:t xml:space="preserve"> </w:t>
      </w:r>
      <w:r>
        <w:rPr>
          <w:rFonts w:ascii="Book Antiqua" w:hAnsi="Book Antiqua"/>
          <w:i/>
          <w:iCs/>
        </w:rPr>
        <w:t>Clin Cancer Res</w:t>
      </w:r>
      <w:r>
        <w:rPr>
          <w:rStyle w:val="apple-converted-space"/>
          <w:rFonts w:ascii="Book Antiqua" w:hAnsi="Book Antiqua"/>
        </w:rPr>
        <w:t xml:space="preserve"> </w:t>
      </w:r>
      <w:r>
        <w:rPr>
          <w:rFonts w:ascii="Book Antiqua" w:hAnsi="Book Antiqua"/>
        </w:rPr>
        <w:t>2015;</w:t>
      </w:r>
      <w:r>
        <w:rPr>
          <w:rStyle w:val="apple-converted-space"/>
          <w:rFonts w:ascii="Book Antiqua" w:hAnsi="Book Antiqua"/>
        </w:rPr>
        <w:t xml:space="preserve"> </w:t>
      </w:r>
      <w:r>
        <w:rPr>
          <w:rFonts w:ascii="Book Antiqua" w:hAnsi="Book Antiqua"/>
          <w:b/>
          <w:bCs/>
        </w:rPr>
        <w:t>21</w:t>
      </w:r>
      <w:r>
        <w:rPr>
          <w:rFonts w:ascii="Book Antiqua" w:hAnsi="Book Antiqua"/>
        </w:rPr>
        <w:t>: 4473-4481 [PMID: 26023084 DOI: 10.1158/1078-0432.CCR-14-2469]</w:t>
      </w:r>
    </w:p>
    <w:p w14:paraId="56CB575B" w14:textId="77777777" w:rsidR="00A503D8" w:rsidRDefault="00000000">
      <w:pPr>
        <w:pStyle w:val="ac"/>
        <w:adjustRightInd w:val="0"/>
        <w:snapToGrid w:val="0"/>
        <w:spacing w:before="0" w:beforeAutospacing="0" w:after="0" w:afterAutospacing="0" w:line="360" w:lineRule="auto"/>
        <w:jc w:val="both"/>
        <w:rPr>
          <w:rFonts w:ascii="Book Antiqua" w:hAnsi="Book Antiqua"/>
        </w:rPr>
      </w:pPr>
      <w:r>
        <w:rPr>
          <w:rFonts w:ascii="Book Antiqua" w:hAnsi="Book Antiqua"/>
        </w:rPr>
        <w:t>38</w:t>
      </w:r>
      <w:r>
        <w:rPr>
          <w:rStyle w:val="apple-converted-space"/>
          <w:rFonts w:ascii="Book Antiqua" w:hAnsi="Book Antiqua"/>
        </w:rPr>
        <w:t xml:space="preserve"> </w:t>
      </w:r>
      <w:r>
        <w:rPr>
          <w:rFonts w:ascii="Book Antiqua" w:hAnsi="Book Antiqua"/>
          <w:b/>
          <w:bCs/>
        </w:rPr>
        <w:t>Natale F</w:t>
      </w:r>
      <w:r>
        <w:rPr>
          <w:rFonts w:ascii="Book Antiqua" w:hAnsi="Book Antiqua"/>
        </w:rPr>
        <w:t>, Vivo M, Falco G, Angrisano T. Deciphering DNA methylation signatures of pancreatic cancer and pancreatitis.</w:t>
      </w:r>
      <w:r>
        <w:rPr>
          <w:rStyle w:val="apple-converted-space"/>
          <w:rFonts w:ascii="Book Antiqua" w:hAnsi="Book Antiqua"/>
        </w:rPr>
        <w:t xml:space="preserve"> </w:t>
      </w:r>
      <w:r>
        <w:rPr>
          <w:rFonts w:ascii="Book Antiqua" w:hAnsi="Book Antiqua"/>
          <w:i/>
          <w:iCs/>
        </w:rPr>
        <w:t>Clin Epigenetics</w:t>
      </w:r>
      <w:r>
        <w:rPr>
          <w:rStyle w:val="apple-converted-space"/>
          <w:rFonts w:ascii="Book Antiqua" w:hAnsi="Book Antiqua"/>
        </w:rPr>
        <w:t xml:space="preserve"> </w:t>
      </w:r>
      <w:r>
        <w:rPr>
          <w:rFonts w:ascii="Book Antiqua" w:hAnsi="Book Antiqua"/>
        </w:rPr>
        <w:t>2019;</w:t>
      </w:r>
      <w:r>
        <w:rPr>
          <w:rStyle w:val="apple-converted-space"/>
          <w:rFonts w:ascii="Book Antiqua" w:hAnsi="Book Antiqua"/>
        </w:rPr>
        <w:t xml:space="preserve"> </w:t>
      </w:r>
      <w:r>
        <w:rPr>
          <w:rFonts w:ascii="Book Antiqua" w:hAnsi="Book Antiqua"/>
          <w:b/>
          <w:bCs/>
        </w:rPr>
        <w:t>11</w:t>
      </w:r>
      <w:r>
        <w:rPr>
          <w:rFonts w:ascii="Book Antiqua" w:hAnsi="Book Antiqua"/>
        </w:rPr>
        <w:t>: 132 [PMID: 31492175 DOI: 10.1186/s13148-019-0728-8]</w:t>
      </w:r>
    </w:p>
    <w:p w14:paraId="51E3187F" w14:textId="77777777" w:rsidR="00A503D8" w:rsidRDefault="00000000">
      <w:pPr>
        <w:pStyle w:val="ac"/>
        <w:adjustRightInd w:val="0"/>
        <w:snapToGrid w:val="0"/>
        <w:spacing w:before="0" w:beforeAutospacing="0" w:after="0" w:afterAutospacing="0" w:line="360" w:lineRule="auto"/>
        <w:jc w:val="both"/>
        <w:rPr>
          <w:rFonts w:ascii="Book Antiqua" w:hAnsi="Book Antiqua"/>
        </w:rPr>
      </w:pPr>
      <w:r>
        <w:rPr>
          <w:rFonts w:ascii="Book Antiqua" w:hAnsi="Book Antiqua"/>
        </w:rPr>
        <w:t>39</w:t>
      </w:r>
      <w:r>
        <w:rPr>
          <w:rStyle w:val="apple-converted-space"/>
          <w:rFonts w:ascii="Book Antiqua" w:hAnsi="Book Antiqua"/>
        </w:rPr>
        <w:t xml:space="preserve"> </w:t>
      </w:r>
      <w:r>
        <w:rPr>
          <w:rFonts w:ascii="Book Antiqua" w:hAnsi="Book Antiqua"/>
          <w:b/>
          <w:bCs/>
        </w:rPr>
        <w:t>Liggett T</w:t>
      </w:r>
      <w:r>
        <w:rPr>
          <w:rFonts w:ascii="Book Antiqua" w:hAnsi="Book Antiqua"/>
        </w:rPr>
        <w:t>, Melnikov A, Yi QL, Replogle C, Brand R, Kaul K, Talamonti M, Abrams RA, Levenson V. Differential methylation of cell-free circulating DNA among patients with pancreatic cancer versus chronic pancreatitis.</w:t>
      </w:r>
      <w:r>
        <w:rPr>
          <w:rStyle w:val="apple-converted-space"/>
          <w:rFonts w:ascii="Book Antiqua" w:hAnsi="Book Antiqua"/>
        </w:rPr>
        <w:t xml:space="preserve"> </w:t>
      </w:r>
      <w:r>
        <w:rPr>
          <w:rFonts w:ascii="Book Antiqua" w:hAnsi="Book Antiqua"/>
          <w:i/>
          <w:iCs/>
        </w:rPr>
        <w:t>Cancer</w:t>
      </w:r>
      <w:r>
        <w:rPr>
          <w:rStyle w:val="apple-converted-space"/>
          <w:rFonts w:ascii="Book Antiqua" w:hAnsi="Book Antiqua"/>
        </w:rPr>
        <w:t xml:space="preserve"> </w:t>
      </w:r>
      <w:r>
        <w:rPr>
          <w:rFonts w:ascii="Book Antiqua" w:hAnsi="Book Antiqua"/>
        </w:rPr>
        <w:t>2010;</w:t>
      </w:r>
      <w:r>
        <w:rPr>
          <w:rStyle w:val="apple-converted-space"/>
          <w:rFonts w:ascii="Book Antiqua" w:hAnsi="Book Antiqua"/>
        </w:rPr>
        <w:t xml:space="preserve"> </w:t>
      </w:r>
      <w:r>
        <w:rPr>
          <w:rFonts w:ascii="Book Antiqua" w:hAnsi="Book Antiqua"/>
          <w:b/>
          <w:bCs/>
        </w:rPr>
        <w:t>116</w:t>
      </w:r>
      <w:r>
        <w:rPr>
          <w:rFonts w:ascii="Book Antiqua" w:hAnsi="Book Antiqua"/>
        </w:rPr>
        <w:t>: 1674-1680 [PMID: 20143430 DOI: 10.1002/cncr.24893]</w:t>
      </w:r>
    </w:p>
    <w:p w14:paraId="102FA332" w14:textId="77777777" w:rsidR="00A503D8" w:rsidRDefault="00000000">
      <w:pPr>
        <w:pStyle w:val="ac"/>
        <w:adjustRightInd w:val="0"/>
        <w:snapToGrid w:val="0"/>
        <w:spacing w:before="0" w:beforeAutospacing="0" w:after="0" w:afterAutospacing="0" w:line="360" w:lineRule="auto"/>
        <w:jc w:val="both"/>
        <w:rPr>
          <w:rFonts w:ascii="Book Antiqua" w:hAnsi="Book Antiqua"/>
        </w:rPr>
      </w:pPr>
      <w:r>
        <w:rPr>
          <w:rFonts w:ascii="Book Antiqua" w:hAnsi="Book Antiqua"/>
        </w:rPr>
        <w:t>40</w:t>
      </w:r>
      <w:r>
        <w:rPr>
          <w:rStyle w:val="apple-converted-space"/>
          <w:rFonts w:ascii="Book Antiqua" w:hAnsi="Book Antiqua"/>
        </w:rPr>
        <w:t xml:space="preserve"> </w:t>
      </w:r>
      <w:r>
        <w:rPr>
          <w:rFonts w:ascii="Book Antiqua" w:hAnsi="Book Antiqua"/>
          <w:b/>
          <w:bCs/>
        </w:rPr>
        <w:t>Lehmann-Werman R</w:t>
      </w:r>
      <w:r>
        <w:rPr>
          <w:rFonts w:ascii="Book Antiqua" w:hAnsi="Book Antiqua"/>
        </w:rPr>
        <w:t>, Neiman D, Zemmour H, Moss J, Magenheim J, Vaknin-Dembinsky A, Rubertsson S, Nellgård B, Blennow K, Zetterberg H, Spalding K, Haller MJ, Wasserfall CH, Schatz DA, Greenbaum CJ, Dorrell C, Grompe M, Zick A, Hubert A, Maoz M, Fendrich V, Bartsch DK, Golan T, Ben Sasson SA, Zamir G, Razin A, Cedar H, Shapiro AM, Glaser B, Shemer R, Dor Y. Identification of tissue-specific cell death using methylation patterns of circulating DNA.</w:t>
      </w:r>
      <w:r>
        <w:rPr>
          <w:rStyle w:val="apple-converted-space"/>
          <w:rFonts w:ascii="Book Antiqua" w:hAnsi="Book Antiqua"/>
        </w:rPr>
        <w:t xml:space="preserve"> </w:t>
      </w:r>
      <w:r>
        <w:rPr>
          <w:rFonts w:ascii="Book Antiqua" w:hAnsi="Book Antiqua"/>
          <w:i/>
          <w:iCs/>
        </w:rPr>
        <w:t>Proc Natl Acad Sci U S A</w:t>
      </w:r>
      <w:r>
        <w:rPr>
          <w:rFonts w:ascii="Book Antiqua" w:hAnsi="Book Antiqua"/>
        </w:rPr>
        <w:t>2016;</w:t>
      </w:r>
      <w:r>
        <w:rPr>
          <w:rStyle w:val="apple-converted-space"/>
          <w:rFonts w:ascii="Book Antiqua" w:hAnsi="Book Antiqua"/>
        </w:rPr>
        <w:t xml:space="preserve"> </w:t>
      </w:r>
      <w:r>
        <w:rPr>
          <w:rFonts w:ascii="Book Antiqua" w:hAnsi="Book Antiqua"/>
          <w:b/>
          <w:bCs/>
        </w:rPr>
        <w:t>113</w:t>
      </w:r>
      <w:r>
        <w:rPr>
          <w:rFonts w:ascii="Book Antiqua" w:hAnsi="Book Antiqua"/>
        </w:rPr>
        <w:t>: E1826-E1834 [PMID: 26976580 DOI: 10.1073/pnas.1519286113]</w:t>
      </w:r>
    </w:p>
    <w:p w14:paraId="0E946D97" w14:textId="77777777" w:rsidR="00A503D8" w:rsidRDefault="00000000">
      <w:pPr>
        <w:pStyle w:val="ac"/>
        <w:adjustRightInd w:val="0"/>
        <w:snapToGrid w:val="0"/>
        <w:spacing w:before="0" w:beforeAutospacing="0" w:after="0" w:afterAutospacing="0" w:line="360" w:lineRule="auto"/>
        <w:jc w:val="both"/>
        <w:rPr>
          <w:rFonts w:ascii="Book Antiqua" w:hAnsi="Book Antiqua"/>
        </w:rPr>
      </w:pPr>
      <w:r>
        <w:rPr>
          <w:rFonts w:ascii="Book Antiqua" w:hAnsi="Book Antiqua"/>
        </w:rPr>
        <w:t>41</w:t>
      </w:r>
      <w:r>
        <w:rPr>
          <w:rStyle w:val="apple-converted-space"/>
          <w:rFonts w:ascii="Book Antiqua" w:hAnsi="Book Antiqua"/>
        </w:rPr>
        <w:t xml:space="preserve"> </w:t>
      </w:r>
      <w:r>
        <w:rPr>
          <w:rFonts w:ascii="Book Antiqua" w:hAnsi="Book Antiqua"/>
          <w:b/>
          <w:bCs/>
        </w:rPr>
        <w:t>Chen R</w:t>
      </w:r>
      <w:r>
        <w:rPr>
          <w:rFonts w:ascii="Book Antiqua" w:hAnsi="Book Antiqua"/>
        </w:rPr>
        <w:t>, Pan S, Yi EC, Donohoe S, Bronner MP, Potter JD, Goodlett DR, Aebersold R, Brentnall TA. Quantitative proteomic profiling of pancreatic cancer juice.</w:t>
      </w:r>
      <w:r>
        <w:rPr>
          <w:rStyle w:val="apple-converted-space"/>
          <w:rFonts w:ascii="Book Antiqua" w:hAnsi="Book Antiqua"/>
        </w:rPr>
        <w:t xml:space="preserve"> </w:t>
      </w:r>
      <w:r>
        <w:rPr>
          <w:rFonts w:ascii="Book Antiqua" w:hAnsi="Book Antiqua"/>
          <w:i/>
          <w:iCs/>
        </w:rPr>
        <w:t>Proteomics</w:t>
      </w:r>
      <w:r>
        <w:rPr>
          <w:rStyle w:val="apple-converted-space"/>
          <w:rFonts w:ascii="Book Antiqua" w:hAnsi="Book Antiqua"/>
        </w:rPr>
        <w:t xml:space="preserve"> </w:t>
      </w:r>
      <w:r>
        <w:rPr>
          <w:rFonts w:ascii="Book Antiqua" w:hAnsi="Book Antiqua"/>
        </w:rPr>
        <w:t>2006;</w:t>
      </w:r>
      <w:r>
        <w:rPr>
          <w:rStyle w:val="apple-converted-space"/>
          <w:rFonts w:ascii="Book Antiqua" w:hAnsi="Book Antiqua"/>
        </w:rPr>
        <w:t xml:space="preserve"> </w:t>
      </w:r>
      <w:r>
        <w:rPr>
          <w:rFonts w:ascii="Book Antiqua" w:hAnsi="Book Antiqua"/>
          <w:b/>
          <w:bCs/>
        </w:rPr>
        <w:t>6</w:t>
      </w:r>
      <w:r>
        <w:rPr>
          <w:rFonts w:ascii="Book Antiqua" w:hAnsi="Book Antiqua"/>
        </w:rPr>
        <w:t>: 3871-3879 [PMID: 16739137 DOI: 10.1002/pmic.200500702]</w:t>
      </w:r>
    </w:p>
    <w:p w14:paraId="6F3CE4B6" w14:textId="77777777" w:rsidR="00A503D8" w:rsidRDefault="00000000">
      <w:pPr>
        <w:pStyle w:val="ac"/>
        <w:adjustRightInd w:val="0"/>
        <w:snapToGrid w:val="0"/>
        <w:spacing w:before="0" w:beforeAutospacing="0" w:after="0" w:afterAutospacing="0" w:line="360" w:lineRule="auto"/>
        <w:jc w:val="both"/>
        <w:rPr>
          <w:rFonts w:ascii="Book Antiqua" w:hAnsi="Book Antiqua"/>
        </w:rPr>
      </w:pPr>
      <w:r>
        <w:rPr>
          <w:rFonts w:ascii="Book Antiqua" w:hAnsi="Book Antiqua"/>
        </w:rPr>
        <w:t>42</w:t>
      </w:r>
      <w:r>
        <w:rPr>
          <w:rStyle w:val="apple-converted-space"/>
          <w:rFonts w:ascii="Book Antiqua" w:hAnsi="Book Antiqua"/>
        </w:rPr>
        <w:t xml:space="preserve"> </w:t>
      </w:r>
      <w:r>
        <w:rPr>
          <w:rFonts w:ascii="Book Antiqua" w:hAnsi="Book Antiqua"/>
          <w:b/>
          <w:bCs/>
        </w:rPr>
        <w:t>Matsubayashi H</w:t>
      </w:r>
      <w:r>
        <w:rPr>
          <w:rFonts w:ascii="Book Antiqua" w:hAnsi="Book Antiqua"/>
        </w:rPr>
        <w:t>, Canto M, Sato N, Klein A, Abe T, Yamashita K, Yeo CJ, Kalloo A, Hruban R, Goggins M. DNA methylation alterations in the pancreatic juice of patients with suspected pancreatic disease.</w:t>
      </w:r>
      <w:r>
        <w:rPr>
          <w:rStyle w:val="apple-converted-space"/>
          <w:rFonts w:ascii="Book Antiqua" w:hAnsi="Book Antiqua"/>
        </w:rPr>
        <w:t xml:space="preserve"> </w:t>
      </w:r>
      <w:r>
        <w:rPr>
          <w:rFonts w:ascii="Book Antiqua" w:hAnsi="Book Antiqua"/>
          <w:i/>
          <w:iCs/>
        </w:rPr>
        <w:t>Cancer Res</w:t>
      </w:r>
      <w:r>
        <w:rPr>
          <w:rStyle w:val="apple-converted-space"/>
          <w:rFonts w:ascii="Book Antiqua" w:hAnsi="Book Antiqua"/>
        </w:rPr>
        <w:t xml:space="preserve"> </w:t>
      </w:r>
      <w:r>
        <w:rPr>
          <w:rFonts w:ascii="Book Antiqua" w:hAnsi="Book Antiqua"/>
        </w:rPr>
        <w:t>2006;</w:t>
      </w:r>
      <w:r>
        <w:rPr>
          <w:rStyle w:val="apple-converted-space"/>
          <w:rFonts w:ascii="Book Antiqua" w:hAnsi="Book Antiqua"/>
        </w:rPr>
        <w:t xml:space="preserve"> </w:t>
      </w:r>
      <w:r>
        <w:rPr>
          <w:rFonts w:ascii="Book Antiqua" w:hAnsi="Book Antiqua"/>
          <w:b/>
          <w:bCs/>
        </w:rPr>
        <w:t>66</w:t>
      </w:r>
      <w:r>
        <w:rPr>
          <w:rFonts w:ascii="Book Antiqua" w:hAnsi="Book Antiqua"/>
        </w:rPr>
        <w:t>: 1208-1217 [PMID: 16424060 DOI: 10.1158/0008-5472.CAN-05-2664]</w:t>
      </w:r>
    </w:p>
    <w:p w14:paraId="0E1F166D" w14:textId="77777777" w:rsidR="00A503D8" w:rsidRDefault="00000000">
      <w:pPr>
        <w:pStyle w:val="ac"/>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43</w:t>
      </w:r>
      <w:r>
        <w:rPr>
          <w:rStyle w:val="apple-converted-space"/>
          <w:rFonts w:ascii="Book Antiqua" w:hAnsi="Book Antiqua"/>
        </w:rPr>
        <w:t xml:space="preserve"> </w:t>
      </w:r>
      <w:r>
        <w:rPr>
          <w:rFonts w:ascii="Book Antiqua" w:hAnsi="Book Antiqua"/>
          <w:b/>
          <w:bCs/>
        </w:rPr>
        <w:t>Nishizawa N</w:t>
      </w:r>
      <w:r>
        <w:rPr>
          <w:rFonts w:ascii="Book Antiqua" w:hAnsi="Book Antiqua"/>
        </w:rPr>
        <w:t>, Harada H, Kumamoto Y, Kaizu T, Katoh H, Tajima H, Ushiku H, Yokoi K, Igarashi K, Fujiyama Y, Okuwaki K, Iwai T, Watanabe M, Yamashita K. Diagnostic potential of hypermethylation of the cysteine dioxygenase 1 gene (CDO1) promoter DNA in pancreatic cancer.</w:t>
      </w:r>
      <w:r>
        <w:rPr>
          <w:rStyle w:val="apple-converted-space"/>
          <w:rFonts w:ascii="Book Antiqua" w:hAnsi="Book Antiqua"/>
        </w:rPr>
        <w:t xml:space="preserve"> </w:t>
      </w:r>
      <w:r>
        <w:rPr>
          <w:rFonts w:ascii="Book Antiqua" w:hAnsi="Book Antiqua"/>
          <w:i/>
          <w:iCs/>
        </w:rPr>
        <w:t>Cancer Sci</w:t>
      </w:r>
      <w:r>
        <w:rPr>
          <w:rStyle w:val="apple-converted-space"/>
          <w:rFonts w:ascii="Book Antiqua" w:hAnsi="Book Antiqua"/>
        </w:rPr>
        <w:t xml:space="preserve"> </w:t>
      </w:r>
      <w:r>
        <w:rPr>
          <w:rFonts w:ascii="Book Antiqua" w:hAnsi="Book Antiqua"/>
        </w:rPr>
        <w:t>2019;</w:t>
      </w:r>
      <w:r>
        <w:rPr>
          <w:rStyle w:val="apple-converted-space"/>
          <w:rFonts w:ascii="Book Antiqua" w:hAnsi="Book Antiqua"/>
        </w:rPr>
        <w:t xml:space="preserve"> </w:t>
      </w:r>
      <w:r>
        <w:rPr>
          <w:rFonts w:ascii="Book Antiqua" w:hAnsi="Book Antiqua"/>
          <w:b/>
          <w:bCs/>
        </w:rPr>
        <w:t>110</w:t>
      </w:r>
      <w:r>
        <w:rPr>
          <w:rFonts w:ascii="Book Antiqua" w:hAnsi="Book Antiqua"/>
        </w:rPr>
        <w:t>: 2846-2855 [PMID: 31325200 DOI: 10.1111/cas.14134]</w:t>
      </w:r>
    </w:p>
    <w:p w14:paraId="59AC1442" w14:textId="77777777" w:rsidR="00A503D8" w:rsidRDefault="00000000">
      <w:pPr>
        <w:pStyle w:val="ac"/>
        <w:adjustRightInd w:val="0"/>
        <w:snapToGrid w:val="0"/>
        <w:spacing w:before="0" w:beforeAutospacing="0" w:after="0" w:afterAutospacing="0" w:line="360" w:lineRule="auto"/>
        <w:jc w:val="both"/>
        <w:rPr>
          <w:rFonts w:ascii="Book Antiqua" w:hAnsi="Book Antiqua"/>
        </w:rPr>
      </w:pPr>
      <w:r>
        <w:rPr>
          <w:rFonts w:ascii="Book Antiqua" w:hAnsi="Book Antiqua"/>
        </w:rPr>
        <w:t>44</w:t>
      </w:r>
      <w:r>
        <w:rPr>
          <w:rStyle w:val="apple-converted-space"/>
          <w:rFonts w:ascii="Book Antiqua" w:hAnsi="Book Antiqua"/>
        </w:rPr>
        <w:t xml:space="preserve"> </w:t>
      </w:r>
      <w:r>
        <w:rPr>
          <w:rFonts w:ascii="Book Antiqua" w:hAnsi="Book Antiqua"/>
          <w:b/>
          <w:bCs/>
        </w:rPr>
        <w:t>Humeau M</w:t>
      </w:r>
      <w:r>
        <w:rPr>
          <w:rFonts w:ascii="Book Antiqua" w:hAnsi="Book Antiqua"/>
        </w:rPr>
        <w:t>, Vignolle-Vidoni A, Sicard F, Martins F, Bournet B, Buscail L, Torrisani J, Cordelier P. Salivary MicroRNA in Pancreatic Cancer Patients.</w:t>
      </w:r>
      <w:r>
        <w:rPr>
          <w:rStyle w:val="apple-converted-space"/>
          <w:rFonts w:ascii="Book Antiqua" w:hAnsi="Book Antiqua"/>
        </w:rPr>
        <w:t xml:space="preserve"> </w:t>
      </w:r>
      <w:r>
        <w:rPr>
          <w:rFonts w:ascii="Book Antiqua" w:hAnsi="Book Antiqua"/>
          <w:i/>
          <w:iCs/>
        </w:rPr>
        <w:t>PLoS One</w:t>
      </w:r>
      <w:r>
        <w:rPr>
          <w:rStyle w:val="apple-converted-space"/>
          <w:rFonts w:ascii="Book Antiqua" w:hAnsi="Book Antiqua"/>
        </w:rPr>
        <w:t xml:space="preserve"> </w:t>
      </w:r>
      <w:r>
        <w:rPr>
          <w:rFonts w:ascii="Book Antiqua" w:hAnsi="Book Antiqua"/>
        </w:rPr>
        <w:t>2015;</w:t>
      </w:r>
      <w:r>
        <w:rPr>
          <w:rStyle w:val="apple-converted-space"/>
          <w:rFonts w:ascii="Book Antiqua" w:hAnsi="Book Antiqua"/>
        </w:rPr>
        <w:t xml:space="preserve"> </w:t>
      </w:r>
      <w:r>
        <w:rPr>
          <w:rFonts w:ascii="Book Antiqua" w:hAnsi="Book Antiqua"/>
          <w:b/>
          <w:bCs/>
        </w:rPr>
        <w:t>10</w:t>
      </w:r>
      <w:r>
        <w:rPr>
          <w:rFonts w:ascii="Book Antiqua" w:hAnsi="Book Antiqua"/>
        </w:rPr>
        <w:t>: e0130996 [PMID: 26121640 DOI: 10.1371/journal.pone.0130996]</w:t>
      </w:r>
    </w:p>
    <w:p w14:paraId="39921ED0" w14:textId="77777777" w:rsidR="00A503D8" w:rsidRDefault="00000000">
      <w:pPr>
        <w:pStyle w:val="ac"/>
        <w:adjustRightInd w:val="0"/>
        <w:snapToGrid w:val="0"/>
        <w:spacing w:before="0" w:beforeAutospacing="0" w:after="0" w:afterAutospacing="0" w:line="360" w:lineRule="auto"/>
        <w:jc w:val="both"/>
        <w:rPr>
          <w:rFonts w:ascii="Book Antiqua" w:hAnsi="Book Antiqua"/>
        </w:rPr>
      </w:pPr>
      <w:r>
        <w:rPr>
          <w:rFonts w:ascii="Book Antiqua" w:hAnsi="Book Antiqua"/>
        </w:rPr>
        <w:t>45</w:t>
      </w:r>
      <w:r>
        <w:rPr>
          <w:rStyle w:val="apple-converted-space"/>
          <w:rFonts w:ascii="Book Antiqua" w:hAnsi="Book Antiqua"/>
        </w:rPr>
        <w:t xml:space="preserve"> </w:t>
      </w:r>
      <w:r>
        <w:rPr>
          <w:rFonts w:ascii="Book Antiqua" w:hAnsi="Book Antiqua"/>
          <w:b/>
          <w:bCs/>
        </w:rPr>
        <w:t>Su Q</w:t>
      </w:r>
      <w:r>
        <w:rPr>
          <w:rFonts w:ascii="Book Antiqua" w:hAnsi="Book Antiqua"/>
        </w:rPr>
        <w:t>, Zhu EC, Qu YL, Wang DY, Qu WW, Zhang CG, Wu T, Gao ZH. Serum level of co-expressed hub miRNAs as diagnostic and prognostic biomarkers for pancreatic ductal adenocarcinoma.</w:t>
      </w:r>
      <w:r>
        <w:rPr>
          <w:rStyle w:val="apple-converted-space"/>
          <w:rFonts w:ascii="Book Antiqua" w:hAnsi="Book Antiqua"/>
        </w:rPr>
        <w:t xml:space="preserve"> </w:t>
      </w:r>
      <w:r>
        <w:rPr>
          <w:rFonts w:ascii="Book Antiqua" w:hAnsi="Book Antiqua"/>
          <w:i/>
          <w:iCs/>
        </w:rPr>
        <w:t>J Cancer</w:t>
      </w:r>
      <w:r>
        <w:rPr>
          <w:rStyle w:val="apple-converted-space"/>
          <w:rFonts w:ascii="Book Antiqua" w:hAnsi="Book Antiqua"/>
        </w:rPr>
        <w:t xml:space="preserve"> </w:t>
      </w:r>
      <w:r>
        <w:rPr>
          <w:rFonts w:ascii="Book Antiqua" w:hAnsi="Book Antiqua"/>
        </w:rPr>
        <w:t>2018;</w:t>
      </w:r>
      <w:r>
        <w:rPr>
          <w:rStyle w:val="apple-converted-space"/>
          <w:rFonts w:ascii="Book Antiqua" w:hAnsi="Book Antiqua"/>
        </w:rPr>
        <w:t xml:space="preserve"> </w:t>
      </w:r>
      <w:r>
        <w:rPr>
          <w:rFonts w:ascii="Book Antiqua" w:hAnsi="Book Antiqua"/>
          <w:b/>
          <w:bCs/>
        </w:rPr>
        <w:t>9</w:t>
      </w:r>
      <w:r>
        <w:rPr>
          <w:rFonts w:ascii="Book Antiqua" w:hAnsi="Book Antiqua"/>
        </w:rPr>
        <w:t>: 3991-3999 [PMID: 30410604 DOI: 10.7150/jca.27697]</w:t>
      </w:r>
    </w:p>
    <w:p w14:paraId="35B4EE8D" w14:textId="77777777" w:rsidR="00A503D8" w:rsidRDefault="00000000">
      <w:pPr>
        <w:pStyle w:val="ac"/>
        <w:adjustRightInd w:val="0"/>
        <w:snapToGrid w:val="0"/>
        <w:spacing w:before="0" w:beforeAutospacing="0" w:after="0" w:afterAutospacing="0" w:line="360" w:lineRule="auto"/>
        <w:jc w:val="both"/>
        <w:rPr>
          <w:rFonts w:ascii="Book Antiqua" w:hAnsi="Book Antiqua"/>
        </w:rPr>
      </w:pPr>
      <w:r>
        <w:rPr>
          <w:rFonts w:ascii="Book Antiqua" w:hAnsi="Book Antiqua"/>
        </w:rPr>
        <w:t>46</w:t>
      </w:r>
      <w:r>
        <w:rPr>
          <w:rStyle w:val="apple-converted-space"/>
          <w:rFonts w:ascii="Book Antiqua" w:hAnsi="Book Antiqua"/>
        </w:rPr>
        <w:t xml:space="preserve"> </w:t>
      </w:r>
      <w:r>
        <w:rPr>
          <w:rFonts w:ascii="Book Antiqua" w:hAnsi="Book Antiqua"/>
          <w:b/>
          <w:bCs/>
        </w:rPr>
        <w:t>Martínez-Bosch N</w:t>
      </w:r>
      <w:r>
        <w:rPr>
          <w:rFonts w:ascii="Book Antiqua" w:hAnsi="Book Antiqua"/>
        </w:rPr>
        <w:t>, Cristóbal H, Iglesias M, Gironella M, Barranco L, Visa L, Calafato D, Jiménez-Parrado S, Earl J, Carrato A, Manero-Rupérez N, Moreno M, Morales A, Guerra C, Navarro P, García de Frutos P. Soluble AXL is a novel blood marker for early detection of pancreatic ductal adenocarcinoma and differential diagnosis from chronic pancreatitis.</w:t>
      </w:r>
      <w:r>
        <w:rPr>
          <w:rStyle w:val="apple-converted-space"/>
          <w:rFonts w:ascii="Book Antiqua" w:hAnsi="Book Antiqua"/>
        </w:rPr>
        <w:t xml:space="preserve"> </w:t>
      </w:r>
      <w:r>
        <w:rPr>
          <w:rFonts w:ascii="Book Antiqua" w:hAnsi="Book Antiqua"/>
          <w:i/>
          <w:iCs/>
        </w:rPr>
        <w:t>EBioMedicine</w:t>
      </w:r>
      <w:r>
        <w:rPr>
          <w:rStyle w:val="apple-converted-space"/>
          <w:rFonts w:ascii="Book Antiqua" w:hAnsi="Book Antiqua"/>
        </w:rPr>
        <w:t xml:space="preserve"> </w:t>
      </w:r>
      <w:r>
        <w:rPr>
          <w:rFonts w:ascii="Book Antiqua" w:hAnsi="Book Antiqua"/>
        </w:rPr>
        <w:t>2022;</w:t>
      </w:r>
      <w:r>
        <w:rPr>
          <w:rStyle w:val="apple-converted-space"/>
          <w:rFonts w:ascii="Book Antiqua" w:hAnsi="Book Antiqua"/>
        </w:rPr>
        <w:t xml:space="preserve"> </w:t>
      </w:r>
      <w:r>
        <w:rPr>
          <w:rFonts w:ascii="Book Antiqua" w:hAnsi="Book Antiqua"/>
          <w:b/>
          <w:bCs/>
        </w:rPr>
        <w:t>75</w:t>
      </w:r>
      <w:r>
        <w:rPr>
          <w:rFonts w:ascii="Book Antiqua" w:hAnsi="Book Antiqua"/>
        </w:rPr>
        <w:t>: 103797 [PMID: 34973624 DOI: 10.1016/j.ebiom.2021.103797]</w:t>
      </w:r>
    </w:p>
    <w:p w14:paraId="79305AA8" w14:textId="77777777" w:rsidR="00A503D8" w:rsidRDefault="00000000">
      <w:pPr>
        <w:pStyle w:val="ac"/>
        <w:adjustRightInd w:val="0"/>
        <w:snapToGrid w:val="0"/>
        <w:spacing w:before="0" w:beforeAutospacing="0" w:after="0" w:afterAutospacing="0" w:line="360" w:lineRule="auto"/>
        <w:jc w:val="both"/>
        <w:rPr>
          <w:rFonts w:ascii="Book Antiqua" w:hAnsi="Book Antiqua"/>
        </w:rPr>
      </w:pPr>
      <w:r>
        <w:rPr>
          <w:rFonts w:ascii="Book Antiqua" w:hAnsi="Book Antiqua"/>
        </w:rPr>
        <w:t>47</w:t>
      </w:r>
      <w:r>
        <w:rPr>
          <w:rStyle w:val="apple-converted-space"/>
          <w:rFonts w:ascii="Book Antiqua" w:hAnsi="Book Antiqua"/>
        </w:rPr>
        <w:t xml:space="preserve"> </w:t>
      </w:r>
      <w:r>
        <w:rPr>
          <w:rFonts w:ascii="Book Antiqua" w:hAnsi="Book Antiqua"/>
          <w:b/>
          <w:bCs/>
        </w:rPr>
        <w:t>Weeks ME</w:t>
      </w:r>
      <w:r>
        <w:rPr>
          <w:rFonts w:ascii="Book Antiqua" w:hAnsi="Book Antiqua"/>
        </w:rPr>
        <w:t>, Hariharan D, Petronijevic L, Radon TP, Whiteman HJ, Kocher HM, Timms JF, Lemoine NR, Crnogorac-Jurcevic T. Analysis of the urine proteome in patients with pancreatic ductal adenocarcinoma.</w:t>
      </w:r>
      <w:r>
        <w:rPr>
          <w:rStyle w:val="apple-converted-space"/>
          <w:rFonts w:ascii="Book Antiqua" w:hAnsi="Book Antiqua"/>
        </w:rPr>
        <w:t xml:space="preserve"> </w:t>
      </w:r>
      <w:r>
        <w:rPr>
          <w:rFonts w:ascii="Book Antiqua" w:hAnsi="Book Antiqua"/>
          <w:i/>
          <w:iCs/>
        </w:rPr>
        <w:t>Proteomics Clin Appl</w:t>
      </w:r>
      <w:r>
        <w:rPr>
          <w:rStyle w:val="apple-converted-space"/>
          <w:rFonts w:ascii="Book Antiqua" w:hAnsi="Book Antiqua"/>
        </w:rPr>
        <w:t xml:space="preserve"> </w:t>
      </w:r>
      <w:r>
        <w:rPr>
          <w:rFonts w:ascii="Book Antiqua" w:hAnsi="Book Antiqua"/>
        </w:rPr>
        <w:t>2008;</w:t>
      </w:r>
      <w:r>
        <w:rPr>
          <w:rStyle w:val="apple-converted-space"/>
          <w:rFonts w:ascii="Book Antiqua" w:hAnsi="Book Antiqua"/>
        </w:rPr>
        <w:t xml:space="preserve"> </w:t>
      </w:r>
      <w:r>
        <w:rPr>
          <w:rFonts w:ascii="Book Antiqua" w:hAnsi="Book Antiqua"/>
          <w:b/>
          <w:bCs/>
        </w:rPr>
        <w:t>2</w:t>
      </w:r>
      <w:r>
        <w:rPr>
          <w:rFonts w:ascii="Book Antiqua" w:hAnsi="Book Antiqua"/>
        </w:rPr>
        <w:t>: 1047-1057 [PMID: 21136905 DOI: 10.1002/prca.200780164]</w:t>
      </w:r>
    </w:p>
    <w:p w14:paraId="4F12CB27" w14:textId="77777777" w:rsidR="00A503D8" w:rsidRDefault="00000000">
      <w:pPr>
        <w:pStyle w:val="ac"/>
        <w:adjustRightInd w:val="0"/>
        <w:snapToGrid w:val="0"/>
        <w:spacing w:before="0" w:beforeAutospacing="0" w:after="0" w:afterAutospacing="0" w:line="360" w:lineRule="auto"/>
        <w:jc w:val="both"/>
        <w:rPr>
          <w:rFonts w:ascii="Book Antiqua" w:hAnsi="Book Antiqua"/>
        </w:rPr>
      </w:pPr>
      <w:r>
        <w:rPr>
          <w:rFonts w:ascii="Book Antiqua" w:hAnsi="Book Antiqua"/>
        </w:rPr>
        <w:t>48</w:t>
      </w:r>
      <w:r>
        <w:rPr>
          <w:rStyle w:val="apple-converted-space"/>
          <w:rFonts w:ascii="Book Antiqua" w:hAnsi="Book Antiqua"/>
        </w:rPr>
        <w:t xml:space="preserve"> </w:t>
      </w:r>
      <w:r>
        <w:rPr>
          <w:rFonts w:ascii="Book Antiqua" w:hAnsi="Book Antiqua"/>
          <w:b/>
          <w:bCs/>
        </w:rPr>
        <w:t>Bettegowda C</w:t>
      </w:r>
      <w:r>
        <w:rPr>
          <w:rFonts w:ascii="Book Antiqua" w:hAnsi="Book Antiqua"/>
        </w:rPr>
        <w:t xml:space="preserve">, Sausen M, Leary RJ, Kinde I, Wang Y, Agrawal N, Bartlett BR, Wang H, Luber B, Alani RM, Antonarakis ES, Azad NS, Bardelli A, Brem H, Cameron JL, Lee CC, Fecher LA, Gallia GL, Gibbs P, Le D, Giuntoli RL, Goggins M, Hogarty MD, Holdhoff M, Hong SM, Jiao Y, Juhl HH, Kim JJ, Siravegna G, Laheru DA, Lauricella C, Lim M, Lipson EJ, Marie SK, Netto GJ, Oliner KS, Olivi A, Olsson L, Riggins GJ, Sartore-Bianchi A, Schmidt K, Shih lM, Oba-Shinjo SM, Siena S, Theodorescu D, Tie J, Harkins TT, Veronese S, Wang TL, Weingart JD, Wolfgang CL, Wood LD, Xing D, Hruban RH, Wu J, Allen PJ, Schmidt CM, Choti MA, Velculescu VE, Kinzler KW, Vogelstein B, </w:t>
      </w:r>
      <w:r>
        <w:rPr>
          <w:rFonts w:ascii="Book Antiqua" w:hAnsi="Book Antiqua"/>
        </w:rPr>
        <w:lastRenderedPageBreak/>
        <w:t>Papadopoulos N, Diaz LA Jr. Detection of circulating tumor DNA in early- and late-stage human malignancies.</w:t>
      </w:r>
      <w:r>
        <w:rPr>
          <w:rStyle w:val="apple-converted-space"/>
          <w:rFonts w:ascii="Book Antiqua" w:hAnsi="Book Antiqua"/>
        </w:rPr>
        <w:t xml:space="preserve"> </w:t>
      </w:r>
      <w:r>
        <w:rPr>
          <w:rFonts w:ascii="Book Antiqua" w:hAnsi="Book Antiqua"/>
          <w:i/>
          <w:iCs/>
        </w:rPr>
        <w:t>Sci Transl Med</w:t>
      </w:r>
      <w:r>
        <w:rPr>
          <w:rStyle w:val="apple-converted-space"/>
          <w:rFonts w:ascii="Book Antiqua" w:hAnsi="Book Antiqua"/>
        </w:rPr>
        <w:t xml:space="preserve"> </w:t>
      </w:r>
      <w:r>
        <w:rPr>
          <w:rFonts w:ascii="Book Antiqua" w:hAnsi="Book Antiqua"/>
        </w:rPr>
        <w:t>2014;</w:t>
      </w:r>
      <w:r>
        <w:rPr>
          <w:rStyle w:val="apple-converted-space"/>
          <w:rFonts w:ascii="Book Antiqua" w:hAnsi="Book Antiqua"/>
        </w:rPr>
        <w:t xml:space="preserve"> </w:t>
      </w:r>
      <w:r>
        <w:rPr>
          <w:rFonts w:ascii="Book Antiqua" w:hAnsi="Book Antiqua"/>
          <w:b/>
          <w:bCs/>
        </w:rPr>
        <w:t>6</w:t>
      </w:r>
      <w:r>
        <w:rPr>
          <w:rFonts w:ascii="Book Antiqua" w:hAnsi="Book Antiqua"/>
        </w:rPr>
        <w:t>: 224ra24 [PMID: 24553385 DOI: 10.1126/scitranslmed.3007094]</w:t>
      </w:r>
    </w:p>
    <w:p w14:paraId="1F087535" w14:textId="77777777" w:rsidR="00A503D8" w:rsidRDefault="00000000">
      <w:pPr>
        <w:pStyle w:val="ac"/>
        <w:adjustRightInd w:val="0"/>
        <w:snapToGrid w:val="0"/>
        <w:spacing w:before="0" w:beforeAutospacing="0" w:after="0" w:afterAutospacing="0" w:line="360" w:lineRule="auto"/>
        <w:jc w:val="both"/>
        <w:rPr>
          <w:rFonts w:ascii="Book Antiqua" w:hAnsi="Book Antiqua"/>
        </w:rPr>
      </w:pPr>
      <w:r>
        <w:rPr>
          <w:rFonts w:ascii="Book Antiqua" w:hAnsi="Book Antiqua"/>
        </w:rPr>
        <w:t>49</w:t>
      </w:r>
      <w:r>
        <w:rPr>
          <w:rStyle w:val="apple-converted-space"/>
          <w:rFonts w:ascii="Book Antiqua" w:hAnsi="Book Antiqua"/>
        </w:rPr>
        <w:t xml:space="preserve"> </w:t>
      </w:r>
      <w:r>
        <w:rPr>
          <w:rFonts w:ascii="Book Antiqua" w:hAnsi="Book Antiqua"/>
          <w:b/>
          <w:bCs/>
        </w:rPr>
        <w:t>Leon SA</w:t>
      </w:r>
      <w:r>
        <w:rPr>
          <w:rFonts w:ascii="Book Antiqua" w:hAnsi="Book Antiqua"/>
        </w:rPr>
        <w:t>, Shapiro B, Sklaroff DM, Yaros MJ. Free DNA in the serum of cancer patients and the effect of therapy.</w:t>
      </w:r>
      <w:r>
        <w:rPr>
          <w:rStyle w:val="apple-converted-space"/>
          <w:rFonts w:ascii="Book Antiqua" w:hAnsi="Book Antiqua"/>
        </w:rPr>
        <w:t xml:space="preserve"> </w:t>
      </w:r>
      <w:r>
        <w:rPr>
          <w:rFonts w:ascii="Book Antiqua" w:hAnsi="Book Antiqua"/>
          <w:i/>
          <w:iCs/>
        </w:rPr>
        <w:t>Cancer Res</w:t>
      </w:r>
      <w:r>
        <w:rPr>
          <w:rStyle w:val="apple-converted-space"/>
          <w:rFonts w:ascii="Book Antiqua" w:hAnsi="Book Antiqua"/>
        </w:rPr>
        <w:t xml:space="preserve"> </w:t>
      </w:r>
      <w:r>
        <w:rPr>
          <w:rFonts w:ascii="Book Antiqua" w:hAnsi="Book Antiqua"/>
        </w:rPr>
        <w:t>1977;</w:t>
      </w:r>
      <w:r>
        <w:rPr>
          <w:rStyle w:val="apple-converted-space"/>
          <w:rFonts w:ascii="Book Antiqua" w:hAnsi="Book Antiqua"/>
        </w:rPr>
        <w:t xml:space="preserve"> </w:t>
      </w:r>
      <w:r>
        <w:rPr>
          <w:rFonts w:ascii="Book Antiqua" w:hAnsi="Book Antiqua"/>
          <w:b/>
          <w:bCs/>
        </w:rPr>
        <w:t>37</w:t>
      </w:r>
      <w:r>
        <w:rPr>
          <w:rFonts w:ascii="Book Antiqua" w:hAnsi="Book Antiqua"/>
        </w:rPr>
        <w:t>: 646-650 [PMID: 837366]</w:t>
      </w:r>
    </w:p>
    <w:p w14:paraId="22852429" w14:textId="77777777" w:rsidR="00A503D8" w:rsidRDefault="00000000">
      <w:pPr>
        <w:pStyle w:val="ac"/>
        <w:adjustRightInd w:val="0"/>
        <w:snapToGrid w:val="0"/>
        <w:spacing w:before="0" w:beforeAutospacing="0" w:after="0" w:afterAutospacing="0" w:line="360" w:lineRule="auto"/>
        <w:jc w:val="both"/>
        <w:rPr>
          <w:rFonts w:ascii="Book Antiqua" w:hAnsi="Book Antiqua"/>
        </w:rPr>
      </w:pPr>
      <w:r>
        <w:rPr>
          <w:rFonts w:ascii="Book Antiqua" w:hAnsi="Book Antiqua"/>
        </w:rPr>
        <w:t>50</w:t>
      </w:r>
      <w:r>
        <w:rPr>
          <w:rStyle w:val="apple-converted-space"/>
          <w:rFonts w:ascii="Book Antiqua" w:hAnsi="Book Antiqua"/>
        </w:rPr>
        <w:t xml:space="preserve"> </w:t>
      </w:r>
      <w:r>
        <w:rPr>
          <w:rFonts w:ascii="Book Antiqua" w:hAnsi="Book Antiqua"/>
          <w:b/>
          <w:bCs/>
        </w:rPr>
        <w:t>Shapiro B</w:t>
      </w:r>
      <w:r>
        <w:rPr>
          <w:rFonts w:ascii="Book Antiqua" w:hAnsi="Book Antiqua"/>
        </w:rPr>
        <w:t>, Chakrabarty M, Cohn EM, Leon SA. Determination of circulating DNA levels in patients with benign or malignant gastrointestinal disease.</w:t>
      </w:r>
      <w:r>
        <w:rPr>
          <w:rStyle w:val="apple-converted-space"/>
          <w:rFonts w:ascii="Book Antiqua" w:hAnsi="Book Antiqua"/>
        </w:rPr>
        <w:t xml:space="preserve"> </w:t>
      </w:r>
      <w:r>
        <w:rPr>
          <w:rFonts w:ascii="Book Antiqua" w:hAnsi="Book Antiqua"/>
          <w:i/>
          <w:iCs/>
        </w:rPr>
        <w:t>Cancer</w:t>
      </w:r>
      <w:r>
        <w:rPr>
          <w:rStyle w:val="apple-converted-space"/>
          <w:rFonts w:ascii="Book Antiqua" w:hAnsi="Book Antiqua"/>
        </w:rPr>
        <w:t xml:space="preserve"> </w:t>
      </w:r>
      <w:r>
        <w:rPr>
          <w:rFonts w:ascii="Book Antiqua" w:hAnsi="Book Antiqua"/>
        </w:rPr>
        <w:t>1983;</w:t>
      </w:r>
      <w:r>
        <w:rPr>
          <w:rStyle w:val="apple-converted-space"/>
          <w:rFonts w:ascii="Book Antiqua" w:hAnsi="Book Antiqua"/>
        </w:rPr>
        <w:t xml:space="preserve"> </w:t>
      </w:r>
      <w:r>
        <w:rPr>
          <w:rFonts w:ascii="Book Antiqua" w:hAnsi="Book Antiqua"/>
          <w:b/>
          <w:bCs/>
        </w:rPr>
        <w:t>51</w:t>
      </w:r>
      <w:r>
        <w:rPr>
          <w:rFonts w:ascii="Book Antiqua" w:hAnsi="Book Antiqua"/>
        </w:rPr>
        <w:t>: 2116-2120 [PMID: 6188527 DOI: 10.1002/1097-0142(19830601)51:11&lt;2116::aid-cncr2820511127&gt;3.0.co;2-s]</w:t>
      </w:r>
    </w:p>
    <w:p w14:paraId="68C8EB52" w14:textId="77777777" w:rsidR="00A503D8" w:rsidRDefault="00000000">
      <w:pPr>
        <w:pStyle w:val="ac"/>
        <w:adjustRightInd w:val="0"/>
        <w:snapToGrid w:val="0"/>
        <w:spacing w:before="0" w:beforeAutospacing="0" w:after="0" w:afterAutospacing="0" w:line="360" w:lineRule="auto"/>
        <w:jc w:val="both"/>
        <w:rPr>
          <w:rFonts w:ascii="Book Antiqua" w:hAnsi="Book Antiqua"/>
        </w:rPr>
      </w:pPr>
      <w:r>
        <w:rPr>
          <w:rFonts w:ascii="Book Antiqua" w:hAnsi="Book Antiqua"/>
        </w:rPr>
        <w:t>51</w:t>
      </w:r>
      <w:r>
        <w:rPr>
          <w:rStyle w:val="apple-converted-space"/>
          <w:rFonts w:ascii="Book Antiqua" w:hAnsi="Book Antiqua"/>
        </w:rPr>
        <w:t xml:space="preserve"> </w:t>
      </w:r>
      <w:r>
        <w:rPr>
          <w:rFonts w:ascii="Book Antiqua" w:hAnsi="Book Antiqua"/>
          <w:b/>
          <w:bCs/>
        </w:rPr>
        <w:t>Chang S</w:t>
      </w:r>
      <w:r>
        <w:rPr>
          <w:rFonts w:ascii="Book Antiqua" w:hAnsi="Book Antiqua"/>
        </w:rPr>
        <w:t>, Hur JY, Choi YL, Lee CH, Kim WS. Current status and future perspectives of liquid biopsy in non-small cell lung cancer.</w:t>
      </w:r>
      <w:r>
        <w:rPr>
          <w:rStyle w:val="apple-converted-space"/>
          <w:rFonts w:ascii="Book Antiqua" w:hAnsi="Book Antiqua"/>
        </w:rPr>
        <w:t xml:space="preserve"> </w:t>
      </w:r>
      <w:r>
        <w:rPr>
          <w:rFonts w:ascii="Book Antiqua" w:hAnsi="Book Antiqua"/>
          <w:i/>
          <w:iCs/>
        </w:rPr>
        <w:t>J Pathol Transl Med</w:t>
      </w:r>
      <w:r>
        <w:rPr>
          <w:rStyle w:val="apple-converted-space"/>
          <w:rFonts w:ascii="Book Antiqua" w:hAnsi="Book Antiqua"/>
        </w:rPr>
        <w:t xml:space="preserve"> </w:t>
      </w:r>
      <w:r>
        <w:rPr>
          <w:rFonts w:ascii="Book Antiqua" w:hAnsi="Book Antiqua"/>
        </w:rPr>
        <w:t>2020;</w:t>
      </w:r>
      <w:r>
        <w:rPr>
          <w:rStyle w:val="apple-converted-space"/>
          <w:rFonts w:ascii="Book Antiqua" w:hAnsi="Book Antiqua"/>
        </w:rPr>
        <w:t xml:space="preserve"> </w:t>
      </w:r>
      <w:r>
        <w:rPr>
          <w:rFonts w:ascii="Book Antiqua" w:hAnsi="Book Antiqua"/>
          <w:b/>
          <w:bCs/>
        </w:rPr>
        <w:t>54</w:t>
      </w:r>
      <w:r>
        <w:rPr>
          <w:rFonts w:ascii="Book Antiqua" w:hAnsi="Book Antiqua"/>
        </w:rPr>
        <w:t>: 204-212 [PMID: 32460474 DOI: 10.4132/jptm.2020.02.27]</w:t>
      </w:r>
    </w:p>
    <w:p w14:paraId="7EF88BFE" w14:textId="77777777" w:rsidR="00A503D8" w:rsidRDefault="00000000">
      <w:pPr>
        <w:pStyle w:val="ac"/>
        <w:adjustRightInd w:val="0"/>
        <w:snapToGrid w:val="0"/>
        <w:spacing w:before="0" w:beforeAutospacing="0" w:after="0" w:afterAutospacing="0" w:line="360" w:lineRule="auto"/>
        <w:jc w:val="both"/>
        <w:rPr>
          <w:rFonts w:ascii="Book Antiqua" w:hAnsi="Book Antiqua"/>
        </w:rPr>
      </w:pPr>
      <w:r>
        <w:rPr>
          <w:rFonts w:ascii="Book Antiqua" w:hAnsi="Book Antiqua"/>
        </w:rPr>
        <w:t>52</w:t>
      </w:r>
      <w:r>
        <w:rPr>
          <w:rStyle w:val="apple-converted-space"/>
          <w:rFonts w:ascii="Book Antiqua" w:hAnsi="Book Antiqua"/>
        </w:rPr>
        <w:t xml:space="preserve"> </w:t>
      </w:r>
      <w:r>
        <w:rPr>
          <w:rFonts w:ascii="Book Antiqua" w:hAnsi="Book Antiqua"/>
          <w:b/>
          <w:bCs/>
        </w:rPr>
        <w:t>Thakral D</w:t>
      </w:r>
      <w:r>
        <w:rPr>
          <w:rFonts w:ascii="Book Antiqua" w:hAnsi="Book Antiqua"/>
        </w:rPr>
        <w:t>, Das N, Basnal A, Gupta R. Cell-free DNA for genomic profiling and minimal residual disease monitoring in Myeloma- are we there yet?</w:t>
      </w:r>
      <w:r>
        <w:rPr>
          <w:rStyle w:val="apple-converted-space"/>
          <w:rFonts w:ascii="Book Antiqua" w:hAnsi="Book Antiqua"/>
        </w:rPr>
        <w:t xml:space="preserve"> </w:t>
      </w:r>
      <w:r>
        <w:rPr>
          <w:rFonts w:ascii="Book Antiqua" w:hAnsi="Book Antiqua"/>
          <w:i/>
          <w:iCs/>
        </w:rPr>
        <w:t>Am J Blood Res</w:t>
      </w:r>
      <w:r>
        <w:rPr>
          <w:rFonts w:ascii="Book Antiqua" w:hAnsi="Book Antiqua"/>
        </w:rPr>
        <w:t>2020;</w:t>
      </w:r>
      <w:r>
        <w:rPr>
          <w:rStyle w:val="apple-converted-space"/>
          <w:rFonts w:ascii="Book Antiqua" w:hAnsi="Book Antiqua"/>
        </w:rPr>
        <w:t xml:space="preserve"> </w:t>
      </w:r>
      <w:r>
        <w:rPr>
          <w:rFonts w:ascii="Book Antiqua" w:hAnsi="Book Antiqua"/>
          <w:b/>
          <w:bCs/>
        </w:rPr>
        <w:t>10</w:t>
      </w:r>
      <w:r>
        <w:rPr>
          <w:rFonts w:ascii="Book Antiqua" w:hAnsi="Book Antiqua"/>
        </w:rPr>
        <w:t>: 26-45 [PMID: 32685257]</w:t>
      </w:r>
    </w:p>
    <w:p w14:paraId="201F7BFF" w14:textId="77777777" w:rsidR="00A503D8" w:rsidRDefault="00000000">
      <w:pPr>
        <w:pStyle w:val="ac"/>
        <w:adjustRightInd w:val="0"/>
        <w:snapToGrid w:val="0"/>
        <w:spacing w:before="0" w:beforeAutospacing="0" w:after="0" w:afterAutospacing="0" w:line="360" w:lineRule="auto"/>
        <w:jc w:val="both"/>
        <w:rPr>
          <w:rFonts w:ascii="Book Antiqua" w:hAnsi="Book Antiqua"/>
        </w:rPr>
      </w:pPr>
      <w:r>
        <w:rPr>
          <w:rFonts w:ascii="Book Antiqua" w:hAnsi="Book Antiqua"/>
        </w:rPr>
        <w:t>53</w:t>
      </w:r>
      <w:r>
        <w:rPr>
          <w:rStyle w:val="apple-converted-space"/>
          <w:rFonts w:ascii="Book Antiqua" w:hAnsi="Book Antiqua"/>
        </w:rPr>
        <w:t xml:space="preserve"> </w:t>
      </w:r>
      <w:r>
        <w:rPr>
          <w:rFonts w:ascii="Book Antiqua" w:hAnsi="Book Antiqua"/>
          <w:b/>
          <w:bCs/>
        </w:rPr>
        <w:t>Chatterjee A</w:t>
      </w:r>
      <w:r>
        <w:rPr>
          <w:rFonts w:ascii="Book Antiqua" w:hAnsi="Book Antiqua"/>
        </w:rPr>
        <w:t>, Stockwell PA, Ahn A, Rodger EJ, Leichter AL, Eccles MR. Genome-wide methylation sequencing of paired primary and metastatic cell lines identifies common DNA methylation changes and a role for EBF3 as a candidate epigenetic driver of melanoma metastasis.</w:t>
      </w:r>
      <w:r>
        <w:rPr>
          <w:rStyle w:val="apple-converted-space"/>
          <w:rFonts w:ascii="Book Antiqua" w:hAnsi="Book Antiqua"/>
        </w:rPr>
        <w:t xml:space="preserve"> </w:t>
      </w:r>
      <w:r>
        <w:rPr>
          <w:rFonts w:ascii="Book Antiqua" w:hAnsi="Book Antiqua"/>
          <w:i/>
          <w:iCs/>
        </w:rPr>
        <w:t>Oncotarget</w:t>
      </w:r>
      <w:r>
        <w:rPr>
          <w:rStyle w:val="apple-converted-space"/>
          <w:rFonts w:ascii="Book Antiqua" w:hAnsi="Book Antiqua"/>
        </w:rPr>
        <w:t xml:space="preserve"> </w:t>
      </w:r>
      <w:r>
        <w:rPr>
          <w:rFonts w:ascii="Book Antiqua" w:hAnsi="Book Antiqua"/>
        </w:rPr>
        <w:t>2017;</w:t>
      </w:r>
      <w:r>
        <w:rPr>
          <w:rStyle w:val="apple-converted-space"/>
          <w:rFonts w:ascii="Book Antiqua" w:hAnsi="Book Antiqua"/>
        </w:rPr>
        <w:t xml:space="preserve"> </w:t>
      </w:r>
      <w:r>
        <w:rPr>
          <w:rFonts w:ascii="Book Antiqua" w:hAnsi="Book Antiqua"/>
          <w:b/>
          <w:bCs/>
        </w:rPr>
        <w:t>8</w:t>
      </w:r>
      <w:r>
        <w:rPr>
          <w:rFonts w:ascii="Book Antiqua" w:hAnsi="Book Antiqua"/>
        </w:rPr>
        <w:t>: 6085-6101 [PMID: 28030832 DOI: 10.18632/oncotarget.14042]</w:t>
      </w:r>
    </w:p>
    <w:p w14:paraId="72E4AEB0" w14:textId="77777777" w:rsidR="00A503D8" w:rsidRDefault="00000000">
      <w:pPr>
        <w:pStyle w:val="ac"/>
        <w:adjustRightInd w:val="0"/>
        <w:snapToGrid w:val="0"/>
        <w:spacing w:before="0" w:beforeAutospacing="0" w:after="0" w:afterAutospacing="0" w:line="360" w:lineRule="auto"/>
        <w:jc w:val="both"/>
        <w:rPr>
          <w:rFonts w:ascii="Book Antiqua" w:hAnsi="Book Antiqua"/>
        </w:rPr>
      </w:pPr>
      <w:r>
        <w:rPr>
          <w:rFonts w:ascii="Book Antiqua" w:hAnsi="Book Antiqua"/>
        </w:rPr>
        <w:t>54</w:t>
      </w:r>
      <w:r>
        <w:rPr>
          <w:rStyle w:val="apple-converted-space"/>
          <w:rFonts w:ascii="Book Antiqua" w:hAnsi="Book Antiqua"/>
        </w:rPr>
        <w:t xml:space="preserve"> </w:t>
      </w:r>
      <w:r>
        <w:rPr>
          <w:rFonts w:ascii="Book Antiqua" w:hAnsi="Book Antiqua"/>
          <w:b/>
          <w:bCs/>
        </w:rPr>
        <w:t>Chatterjee A</w:t>
      </w:r>
      <w:r>
        <w:rPr>
          <w:rFonts w:ascii="Book Antiqua" w:hAnsi="Book Antiqua"/>
        </w:rPr>
        <w:t>, Rodger EJ, Eccles MR. Epigenetic drivers of tumourigenesis and cancer metastasis.</w:t>
      </w:r>
      <w:r>
        <w:rPr>
          <w:rStyle w:val="apple-converted-space"/>
          <w:rFonts w:ascii="Book Antiqua" w:hAnsi="Book Antiqua"/>
        </w:rPr>
        <w:t xml:space="preserve"> </w:t>
      </w:r>
      <w:r>
        <w:rPr>
          <w:rFonts w:ascii="Book Antiqua" w:hAnsi="Book Antiqua"/>
          <w:i/>
          <w:iCs/>
        </w:rPr>
        <w:t>Semin Cancer Biol</w:t>
      </w:r>
      <w:r>
        <w:rPr>
          <w:rStyle w:val="apple-converted-space"/>
          <w:rFonts w:ascii="Book Antiqua" w:hAnsi="Book Antiqua"/>
        </w:rPr>
        <w:t xml:space="preserve"> </w:t>
      </w:r>
      <w:r>
        <w:rPr>
          <w:rFonts w:ascii="Book Antiqua" w:hAnsi="Book Antiqua"/>
        </w:rPr>
        <w:t>2018;</w:t>
      </w:r>
      <w:r>
        <w:rPr>
          <w:rStyle w:val="apple-converted-space"/>
          <w:rFonts w:ascii="Book Antiqua" w:hAnsi="Book Antiqua"/>
        </w:rPr>
        <w:t xml:space="preserve"> </w:t>
      </w:r>
      <w:r>
        <w:rPr>
          <w:rFonts w:ascii="Book Antiqua" w:hAnsi="Book Antiqua"/>
          <w:b/>
          <w:bCs/>
        </w:rPr>
        <w:t>51</w:t>
      </w:r>
      <w:r>
        <w:rPr>
          <w:rFonts w:ascii="Book Antiqua" w:hAnsi="Book Antiqua"/>
        </w:rPr>
        <w:t>: 149-159 [PMID: 28807546 DOI: 10.1016/j.semcancer.2017.08.004]</w:t>
      </w:r>
    </w:p>
    <w:p w14:paraId="4A0E99F6" w14:textId="77777777" w:rsidR="00A503D8" w:rsidRDefault="00000000">
      <w:pPr>
        <w:pStyle w:val="ac"/>
        <w:adjustRightInd w:val="0"/>
        <w:snapToGrid w:val="0"/>
        <w:spacing w:before="0" w:beforeAutospacing="0" w:after="0" w:afterAutospacing="0" w:line="360" w:lineRule="auto"/>
        <w:jc w:val="both"/>
        <w:rPr>
          <w:rFonts w:ascii="Book Antiqua" w:hAnsi="Book Antiqua"/>
        </w:rPr>
      </w:pPr>
      <w:r>
        <w:rPr>
          <w:rFonts w:ascii="Book Antiqua" w:hAnsi="Book Antiqua"/>
        </w:rPr>
        <w:t>55</w:t>
      </w:r>
      <w:r>
        <w:rPr>
          <w:rStyle w:val="apple-converted-space"/>
          <w:rFonts w:ascii="Book Antiqua" w:hAnsi="Book Antiqua"/>
        </w:rPr>
        <w:t xml:space="preserve"> </w:t>
      </w:r>
      <w:r>
        <w:rPr>
          <w:rFonts w:ascii="Book Antiqua" w:hAnsi="Book Antiqua"/>
          <w:b/>
          <w:bCs/>
        </w:rPr>
        <w:t>Melnikov AA</w:t>
      </w:r>
      <w:r>
        <w:rPr>
          <w:rFonts w:ascii="Book Antiqua" w:hAnsi="Book Antiqua"/>
        </w:rPr>
        <w:t>, Scholtens D, Talamonti MS, Bentrem DJ, Levenson VV. Methylation profile of circulating plasma DNA in patients with pancreatic cancer.</w:t>
      </w:r>
      <w:r>
        <w:rPr>
          <w:rStyle w:val="apple-converted-space"/>
          <w:rFonts w:ascii="Book Antiqua" w:hAnsi="Book Antiqua"/>
        </w:rPr>
        <w:t xml:space="preserve"> </w:t>
      </w:r>
      <w:r>
        <w:rPr>
          <w:rFonts w:ascii="Book Antiqua" w:hAnsi="Book Antiqua"/>
          <w:i/>
          <w:iCs/>
        </w:rPr>
        <w:t>J Surg Oncol</w:t>
      </w:r>
      <w:r>
        <w:rPr>
          <w:rFonts w:ascii="Book Antiqua" w:hAnsi="Book Antiqua"/>
        </w:rPr>
        <w:t>2009;</w:t>
      </w:r>
      <w:r>
        <w:rPr>
          <w:rStyle w:val="apple-converted-space"/>
          <w:rFonts w:ascii="Book Antiqua" w:hAnsi="Book Antiqua"/>
        </w:rPr>
        <w:t xml:space="preserve"> </w:t>
      </w:r>
      <w:r>
        <w:rPr>
          <w:rFonts w:ascii="Book Antiqua" w:hAnsi="Book Antiqua"/>
          <w:b/>
          <w:bCs/>
        </w:rPr>
        <w:t>99</w:t>
      </w:r>
      <w:r>
        <w:rPr>
          <w:rFonts w:ascii="Book Antiqua" w:hAnsi="Book Antiqua"/>
        </w:rPr>
        <w:t>: 119-122 [PMID: 19065635 DOI: 10.1002/jso.21208]</w:t>
      </w:r>
    </w:p>
    <w:p w14:paraId="2D354E4E" w14:textId="77777777" w:rsidR="00A503D8" w:rsidRDefault="00000000">
      <w:pPr>
        <w:pStyle w:val="ac"/>
        <w:adjustRightInd w:val="0"/>
        <w:snapToGrid w:val="0"/>
        <w:spacing w:before="0" w:beforeAutospacing="0" w:after="0" w:afterAutospacing="0" w:line="360" w:lineRule="auto"/>
        <w:jc w:val="both"/>
        <w:rPr>
          <w:rFonts w:ascii="Book Antiqua" w:hAnsi="Book Antiqua"/>
        </w:rPr>
      </w:pPr>
      <w:r>
        <w:rPr>
          <w:rFonts w:ascii="Book Antiqua" w:hAnsi="Book Antiqua"/>
        </w:rPr>
        <w:t>56</w:t>
      </w:r>
      <w:r>
        <w:rPr>
          <w:rStyle w:val="apple-converted-space"/>
          <w:rFonts w:ascii="Book Antiqua" w:hAnsi="Book Antiqua"/>
        </w:rPr>
        <w:t xml:space="preserve"> </w:t>
      </w:r>
      <w:r>
        <w:rPr>
          <w:rFonts w:ascii="Book Antiqua" w:hAnsi="Book Antiqua"/>
          <w:b/>
          <w:bCs/>
        </w:rPr>
        <w:t>Henriksen SD</w:t>
      </w:r>
      <w:r>
        <w:rPr>
          <w:rFonts w:ascii="Book Antiqua" w:hAnsi="Book Antiqua"/>
        </w:rPr>
        <w:t xml:space="preserve">, Madsen PH, Larsen AC, Johansen MB, Pedersen IS, Krarup H, Thorlacius-Ussing O. Promoter hypermethylation in plasma-derived cell-free DNA as a </w:t>
      </w:r>
      <w:r>
        <w:rPr>
          <w:rFonts w:ascii="Book Antiqua" w:hAnsi="Book Antiqua"/>
        </w:rPr>
        <w:lastRenderedPageBreak/>
        <w:t>prognostic marker for pancreatic adenocarcinoma staging.</w:t>
      </w:r>
      <w:r>
        <w:rPr>
          <w:rStyle w:val="apple-converted-space"/>
          <w:rFonts w:ascii="Book Antiqua" w:hAnsi="Book Antiqua"/>
        </w:rPr>
        <w:t xml:space="preserve"> </w:t>
      </w:r>
      <w:r>
        <w:rPr>
          <w:rFonts w:ascii="Book Antiqua" w:hAnsi="Book Antiqua"/>
          <w:i/>
          <w:iCs/>
        </w:rPr>
        <w:t>Int J Cancer</w:t>
      </w:r>
      <w:r>
        <w:rPr>
          <w:rStyle w:val="apple-converted-space"/>
          <w:rFonts w:ascii="Book Antiqua" w:hAnsi="Book Antiqua"/>
        </w:rPr>
        <w:t xml:space="preserve"> </w:t>
      </w:r>
      <w:r>
        <w:rPr>
          <w:rFonts w:ascii="Book Antiqua" w:hAnsi="Book Antiqua"/>
        </w:rPr>
        <w:t>2017;</w:t>
      </w:r>
      <w:r>
        <w:rPr>
          <w:rStyle w:val="apple-converted-space"/>
          <w:rFonts w:ascii="Book Antiqua" w:hAnsi="Book Antiqua"/>
        </w:rPr>
        <w:t xml:space="preserve"> </w:t>
      </w:r>
      <w:r>
        <w:rPr>
          <w:rFonts w:ascii="Book Antiqua" w:hAnsi="Book Antiqua"/>
          <w:b/>
          <w:bCs/>
        </w:rPr>
        <w:t>141</w:t>
      </w:r>
      <w:r>
        <w:rPr>
          <w:rFonts w:ascii="Book Antiqua" w:hAnsi="Book Antiqua"/>
        </w:rPr>
        <w:t>: 2489-2497 [PMID: 28857158 DOI: 10.1002/ijc.31024]</w:t>
      </w:r>
    </w:p>
    <w:p w14:paraId="7109DB4D" w14:textId="77777777" w:rsidR="00A503D8" w:rsidRDefault="00000000">
      <w:pPr>
        <w:pStyle w:val="ac"/>
        <w:adjustRightInd w:val="0"/>
        <w:snapToGrid w:val="0"/>
        <w:spacing w:before="0" w:beforeAutospacing="0" w:after="0" w:afterAutospacing="0" w:line="360" w:lineRule="auto"/>
        <w:jc w:val="both"/>
        <w:rPr>
          <w:rFonts w:ascii="Book Antiqua" w:hAnsi="Book Antiqua"/>
        </w:rPr>
      </w:pPr>
      <w:r>
        <w:rPr>
          <w:rFonts w:ascii="Book Antiqua" w:hAnsi="Book Antiqua"/>
        </w:rPr>
        <w:t>57</w:t>
      </w:r>
      <w:r>
        <w:rPr>
          <w:rStyle w:val="apple-converted-space"/>
          <w:rFonts w:ascii="Book Antiqua" w:hAnsi="Book Antiqua"/>
        </w:rPr>
        <w:t xml:space="preserve"> </w:t>
      </w:r>
      <w:r>
        <w:rPr>
          <w:rFonts w:ascii="Book Antiqua" w:hAnsi="Book Antiqua"/>
          <w:b/>
          <w:bCs/>
        </w:rPr>
        <w:t>Sato N</w:t>
      </w:r>
      <w:r>
        <w:rPr>
          <w:rFonts w:ascii="Book Antiqua" w:hAnsi="Book Antiqua"/>
        </w:rPr>
        <w:t>, Fukushima N, Maitra A, Matsubayashi H, Yeo CJ, Cameron JL, Hruban RH, Goggins M. Discovery of novel targets for aberrant methylation in pancreatic carcinoma using high-throughput microarrays.</w:t>
      </w:r>
      <w:r>
        <w:rPr>
          <w:rStyle w:val="apple-converted-space"/>
          <w:rFonts w:ascii="Book Antiqua" w:hAnsi="Book Antiqua"/>
        </w:rPr>
        <w:t xml:space="preserve"> </w:t>
      </w:r>
      <w:r>
        <w:rPr>
          <w:rFonts w:ascii="Book Antiqua" w:hAnsi="Book Antiqua"/>
          <w:i/>
          <w:iCs/>
        </w:rPr>
        <w:t>Cancer Res</w:t>
      </w:r>
      <w:r>
        <w:rPr>
          <w:rStyle w:val="apple-converted-space"/>
          <w:rFonts w:ascii="Book Antiqua" w:hAnsi="Book Antiqua"/>
        </w:rPr>
        <w:t xml:space="preserve"> </w:t>
      </w:r>
      <w:r>
        <w:rPr>
          <w:rFonts w:ascii="Book Antiqua" w:hAnsi="Book Antiqua"/>
        </w:rPr>
        <w:t>2003;</w:t>
      </w:r>
      <w:r>
        <w:rPr>
          <w:rStyle w:val="apple-converted-space"/>
          <w:rFonts w:ascii="Book Antiqua" w:hAnsi="Book Antiqua"/>
        </w:rPr>
        <w:t xml:space="preserve"> </w:t>
      </w:r>
      <w:r>
        <w:rPr>
          <w:rFonts w:ascii="Book Antiqua" w:hAnsi="Book Antiqua"/>
          <w:b/>
          <w:bCs/>
        </w:rPr>
        <w:t>63</w:t>
      </w:r>
      <w:r>
        <w:rPr>
          <w:rFonts w:ascii="Book Antiqua" w:hAnsi="Book Antiqua"/>
        </w:rPr>
        <w:t>: 3735-3742 [PMID: 12839967]</w:t>
      </w:r>
    </w:p>
    <w:p w14:paraId="222F186E" w14:textId="77777777" w:rsidR="00A503D8" w:rsidRDefault="00000000">
      <w:pPr>
        <w:pStyle w:val="ac"/>
        <w:adjustRightInd w:val="0"/>
        <w:snapToGrid w:val="0"/>
        <w:spacing w:before="0" w:beforeAutospacing="0" w:after="0" w:afterAutospacing="0" w:line="360" w:lineRule="auto"/>
        <w:jc w:val="both"/>
        <w:rPr>
          <w:rFonts w:ascii="Book Antiqua" w:hAnsi="Book Antiqua"/>
        </w:rPr>
      </w:pPr>
      <w:r>
        <w:rPr>
          <w:rFonts w:ascii="Book Antiqua" w:hAnsi="Book Antiqua"/>
        </w:rPr>
        <w:t>58</w:t>
      </w:r>
      <w:r>
        <w:rPr>
          <w:rStyle w:val="apple-converted-space"/>
          <w:rFonts w:ascii="Book Antiqua" w:hAnsi="Book Antiqua"/>
        </w:rPr>
        <w:t xml:space="preserve"> </w:t>
      </w:r>
      <w:r>
        <w:rPr>
          <w:rFonts w:ascii="Book Antiqua" w:hAnsi="Book Antiqua"/>
          <w:b/>
          <w:bCs/>
        </w:rPr>
        <w:t>Yi JM</w:t>
      </w:r>
      <w:r>
        <w:rPr>
          <w:rFonts w:ascii="Book Antiqua" w:hAnsi="Book Antiqua"/>
        </w:rPr>
        <w:t>, Guzzetta AA, Bailey VJ, Downing SR, Van Neste L, Chiappinelli KB, Keeley BP, Stark A, Herrera A, Wolfgang C, Pappou EP, Iacobuzio-Donahue CA, Goggins MG, Herman JG, Wang TH, Baylin SB, Ahuja N. Novel methylation biomarker panel for the early detection of pancreatic cancer.</w:t>
      </w:r>
      <w:r>
        <w:rPr>
          <w:rStyle w:val="apple-converted-space"/>
          <w:rFonts w:ascii="Book Antiqua" w:hAnsi="Book Antiqua"/>
        </w:rPr>
        <w:t xml:space="preserve"> </w:t>
      </w:r>
      <w:r>
        <w:rPr>
          <w:rFonts w:ascii="Book Antiqua" w:hAnsi="Book Antiqua"/>
          <w:i/>
          <w:iCs/>
        </w:rPr>
        <w:t>Clin Cancer Res</w:t>
      </w:r>
      <w:r>
        <w:rPr>
          <w:rStyle w:val="apple-converted-space"/>
          <w:rFonts w:ascii="Book Antiqua" w:hAnsi="Book Antiqua"/>
        </w:rPr>
        <w:t xml:space="preserve"> </w:t>
      </w:r>
      <w:r>
        <w:rPr>
          <w:rFonts w:ascii="Book Antiqua" w:hAnsi="Book Antiqua"/>
        </w:rPr>
        <w:t>2013;</w:t>
      </w:r>
      <w:r>
        <w:rPr>
          <w:rStyle w:val="apple-converted-space"/>
          <w:rFonts w:ascii="Book Antiqua" w:hAnsi="Book Antiqua"/>
        </w:rPr>
        <w:t xml:space="preserve"> </w:t>
      </w:r>
      <w:r>
        <w:rPr>
          <w:rFonts w:ascii="Book Antiqua" w:hAnsi="Book Antiqua"/>
          <w:b/>
          <w:bCs/>
        </w:rPr>
        <w:t>19</w:t>
      </w:r>
      <w:r>
        <w:rPr>
          <w:rFonts w:ascii="Book Antiqua" w:hAnsi="Book Antiqua"/>
        </w:rPr>
        <w:t>: 6544-6555 [PMID: 24088737 DOI: 10.1158/1078-0432.CCR-12-3224]</w:t>
      </w:r>
    </w:p>
    <w:p w14:paraId="03C8E664" w14:textId="77777777" w:rsidR="00A503D8" w:rsidRDefault="00000000">
      <w:pPr>
        <w:pStyle w:val="ac"/>
        <w:adjustRightInd w:val="0"/>
        <w:snapToGrid w:val="0"/>
        <w:spacing w:before="0" w:beforeAutospacing="0" w:after="0" w:afterAutospacing="0" w:line="360" w:lineRule="auto"/>
        <w:jc w:val="both"/>
        <w:rPr>
          <w:rFonts w:ascii="Book Antiqua" w:hAnsi="Book Antiqua"/>
        </w:rPr>
      </w:pPr>
      <w:r>
        <w:rPr>
          <w:rFonts w:ascii="Book Antiqua" w:hAnsi="Book Antiqua"/>
        </w:rPr>
        <w:t>59</w:t>
      </w:r>
      <w:r>
        <w:rPr>
          <w:rStyle w:val="apple-converted-space"/>
          <w:rFonts w:ascii="Book Antiqua" w:hAnsi="Book Antiqua"/>
        </w:rPr>
        <w:t xml:space="preserve"> </w:t>
      </w:r>
      <w:r>
        <w:rPr>
          <w:rFonts w:ascii="Book Antiqua" w:hAnsi="Book Antiqua"/>
          <w:b/>
          <w:bCs/>
        </w:rPr>
        <w:t>Li S</w:t>
      </w:r>
      <w:r>
        <w:rPr>
          <w:rFonts w:ascii="Book Antiqua" w:hAnsi="Book Antiqua"/>
        </w:rPr>
        <w:t>, Yuan Y, Xiao H, Dai J, Ye Y, Zhang Q, Zhang Z, Jiang Y, Luo J, Hu J, Chen C, Wang G. Discovery and validation of DNA methylation markers for overall survival prognosis in patients with thymic epithelial tumors.</w:t>
      </w:r>
      <w:r>
        <w:rPr>
          <w:rStyle w:val="apple-converted-space"/>
          <w:rFonts w:ascii="Book Antiqua" w:hAnsi="Book Antiqua"/>
        </w:rPr>
        <w:t xml:space="preserve"> </w:t>
      </w:r>
      <w:r>
        <w:rPr>
          <w:rFonts w:ascii="Book Antiqua" w:hAnsi="Book Antiqua"/>
          <w:i/>
          <w:iCs/>
        </w:rPr>
        <w:t>Clin Epigenetics</w:t>
      </w:r>
      <w:r>
        <w:rPr>
          <w:rStyle w:val="apple-converted-space"/>
          <w:rFonts w:ascii="Book Antiqua" w:hAnsi="Book Antiqua"/>
        </w:rPr>
        <w:t xml:space="preserve"> </w:t>
      </w:r>
      <w:r>
        <w:rPr>
          <w:rFonts w:ascii="Book Antiqua" w:hAnsi="Book Antiqua"/>
        </w:rPr>
        <w:t>2019;</w:t>
      </w:r>
      <w:r>
        <w:rPr>
          <w:rStyle w:val="apple-converted-space"/>
          <w:rFonts w:ascii="Book Antiqua" w:hAnsi="Book Antiqua"/>
        </w:rPr>
        <w:t xml:space="preserve"> </w:t>
      </w:r>
      <w:r>
        <w:rPr>
          <w:rFonts w:ascii="Book Antiqua" w:hAnsi="Book Antiqua"/>
          <w:b/>
          <w:bCs/>
        </w:rPr>
        <w:t>11</w:t>
      </w:r>
      <w:r>
        <w:rPr>
          <w:rFonts w:ascii="Book Antiqua" w:hAnsi="Book Antiqua"/>
        </w:rPr>
        <w:t>: 38 [PMID: 30832724 DOI: 10.1186/s13148-019-0619-z]</w:t>
      </w:r>
    </w:p>
    <w:p w14:paraId="4D3B472B" w14:textId="77777777" w:rsidR="00A503D8" w:rsidRDefault="00000000">
      <w:pPr>
        <w:pStyle w:val="ac"/>
        <w:adjustRightInd w:val="0"/>
        <w:snapToGrid w:val="0"/>
        <w:spacing w:before="0" w:beforeAutospacing="0" w:after="0" w:afterAutospacing="0" w:line="360" w:lineRule="auto"/>
        <w:jc w:val="both"/>
        <w:rPr>
          <w:rFonts w:ascii="Book Antiqua" w:hAnsi="Book Antiqua"/>
        </w:rPr>
      </w:pPr>
      <w:r>
        <w:rPr>
          <w:rFonts w:ascii="Book Antiqua" w:hAnsi="Book Antiqua"/>
        </w:rPr>
        <w:t>60</w:t>
      </w:r>
      <w:r>
        <w:rPr>
          <w:rStyle w:val="apple-converted-space"/>
          <w:rFonts w:ascii="Book Antiqua" w:hAnsi="Book Antiqua"/>
        </w:rPr>
        <w:t xml:space="preserve"> </w:t>
      </w:r>
      <w:r>
        <w:rPr>
          <w:rFonts w:ascii="Book Antiqua" w:hAnsi="Book Antiqua"/>
          <w:b/>
          <w:bCs/>
        </w:rPr>
        <w:t>Li XB</w:t>
      </w:r>
      <w:r>
        <w:rPr>
          <w:rFonts w:ascii="Book Antiqua" w:hAnsi="Book Antiqua"/>
        </w:rPr>
        <w:t>, Ma J, Liu ZW, He WF, Li ZZ, Cui M, Hao H, Zhou GP, You L, Wang J, Han XL, Zhao YP. Non-invasive detection of pancreatic cancer by measuring DNA methylation of Basonuclin 1 and Septin 9 in plasma.</w:t>
      </w:r>
      <w:r>
        <w:rPr>
          <w:rStyle w:val="apple-converted-space"/>
          <w:rFonts w:ascii="Book Antiqua" w:hAnsi="Book Antiqua"/>
        </w:rPr>
        <w:t xml:space="preserve"> </w:t>
      </w:r>
      <w:r>
        <w:rPr>
          <w:rFonts w:ascii="Book Antiqua" w:hAnsi="Book Antiqua"/>
          <w:i/>
          <w:iCs/>
        </w:rPr>
        <w:t>Chin Med J (Engl)</w:t>
      </w:r>
      <w:r>
        <w:rPr>
          <w:rStyle w:val="apple-converted-space"/>
          <w:rFonts w:ascii="Book Antiqua" w:hAnsi="Book Antiqua"/>
        </w:rPr>
        <w:t xml:space="preserve"> </w:t>
      </w:r>
      <w:r>
        <w:rPr>
          <w:rFonts w:ascii="Book Antiqua" w:hAnsi="Book Antiqua"/>
        </w:rPr>
        <w:t>2019;</w:t>
      </w:r>
      <w:r>
        <w:rPr>
          <w:rStyle w:val="apple-converted-space"/>
          <w:rFonts w:ascii="Book Antiqua" w:hAnsi="Book Antiqua"/>
        </w:rPr>
        <w:t xml:space="preserve"> </w:t>
      </w:r>
      <w:r>
        <w:rPr>
          <w:rFonts w:ascii="Book Antiqua" w:hAnsi="Book Antiqua"/>
          <w:b/>
          <w:bCs/>
        </w:rPr>
        <w:t>132</w:t>
      </w:r>
      <w:r>
        <w:rPr>
          <w:rFonts w:ascii="Book Antiqua" w:hAnsi="Book Antiqua"/>
        </w:rPr>
        <w:t>: 1504-1506 [PMID: 31205116 DOI: 10.1097/CM9.0000000000000257]</w:t>
      </w:r>
    </w:p>
    <w:p w14:paraId="76262957" w14:textId="77777777" w:rsidR="00A503D8" w:rsidRDefault="00000000">
      <w:pPr>
        <w:pStyle w:val="ac"/>
        <w:adjustRightInd w:val="0"/>
        <w:snapToGrid w:val="0"/>
        <w:spacing w:before="0" w:beforeAutospacing="0" w:after="0" w:afterAutospacing="0" w:line="360" w:lineRule="auto"/>
        <w:jc w:val="both"/>
        <w:rPr>
          <w:rFonts w:ascii="Book Antiqua" w:hAnsi="Book Antiqua"/>
        </w:rPr>
      </w:pPr>
      <w:r>
        <w:rPr>
          <w:rFonts w:ascii="Book Antiqua" w:hAnsi="Book Antiqua"/>
        </w:rPr>
        <w:t>61</w:t>
      </w:r>
      <w:r>
        <w:rPr>
          <w:rStyle w:val="apple-converted-space"/>
          <w:rFonts w:ascii="Book Antiqua" w:hAnsi="Book Antiqua"/>
        </w:rPr>
        <w:t xml:space="preserve"> </w:t>
      </w:r>
      <w:r>
        <w:rPr>
          <w:rFonts w:ascii="Book Antiqua" w:hAnsi="Book Antiqua"/>
          <w:b/>
          <w:bCs/>
        </w:rPr>
        <w:t>Rodger EJ</w:t>
      </w:r>
      <w:r>
        <w:rPr>
          <w:rFonts w:ascii="Book Antiqua" w:hAnsi="Book Antiqua"/>
        </w:rPr>
        <w:t>, Chatterjee A, Morison IM. 5-hydroxymethylcytosine: a potential therapeutic target in cancer.</w:t>
      </w:r>
      <w:r>
        <w:rPr>
          <w:rStyle w:val="apple-converted-space"/>
          <w:rFonts w:ascii="Book Antiqua" w:hAnsi="Book Antiqua"/>
        </w:rPr>
        <w:t xml:space="preserve"> </w:t>
      </w:r>
      <w:r>
        <w:rPr>
          <w:rFonts w:ascii="Book Antiqua" w:hAnsi="Book Antiqua"/>
          <w:i/>
          <w:iCs/>
        </w:rPr>
        <w:t>Epigenomics</w:t>
      </w:r>
      <w:r>
        <w:rPr>
          <w:rStyle w:val="apple-converted-space"/>
          <w:rFonts w:ascii="Book Antiqua" w:hAnsi="Book Antiqua"/>
        </w:rPr>
        <w:t xml:space="preserve"> </w:t>
      </w:r>
      <w:r>
        <w:rPr>
          <w:rFonts w:ascii="Book Antiqua" w:hAnsi="Book Antiqua"/>
        </w:rPr>
        <w:t>2014;</w:t>
      </w:r>
      <w:r>
        <w:rPr>
          <w:rStyle w:val="apple-converted-space"/>
          <w:rFonts w:ascii="Book Antiqua" w:hAnsi="Book Antiqua"/>
        </w:rPr>
        <w:t xml:space="preserve"> </w:t>
      </w:r>
      <w:r>
        <w:rPr>
          <w:rFonts w:ascii="Book Antiqua" w:hAnsi="Book Antiqua"/>
          <w:b/>
          <w:bCs/>
        </w:rPr>
        <w:t>6</w:t>
      </w:r>
      <w:r>
        <w:rPr>
          <w:rFonts w:ascii="Book Antiqua" w:hAnsi="Book Antiqua"/>
        </w:rPr>
        <w:t>: 503-514 [PMID: 25431943 DOI: 10.2217/epi.14.39]</w:t>
      </w:r>
    </w:p>
    <w:p w14:paraId="310CDDF3" w14:textId="77777777" w:rsidR="00A503D8" w:rsidRDefault="00000000">
      <w:pPr>
        <w:pStyle w:val="ac"/>
        <w:adjustRightInd w:val="0"/>
        <w:snapToGrid w:val="0"/>
        <w:spacing w:before="0" w:beforeAutospacing="0" w:after="0" w:afterAutospacing="0" w:line="360" w:lineRule="auto"/>
        <w:jc w:val="both"/>
        <w:rPr>
          <w:rFonts w:ascii="Book Antiqua" w:hAnsi="Book Antiqua"/>
        </w:rPr>
      </w:pPr>
      <w:r>
        <w:rPr>
          <w:rFonts w:ascii="Book Antiqua" w:hAnsi="Book Antiqua"/>
        </w:rPr>
        <w:t>62</w:t>
      </w:r>
      <w:r>
        <w:rPr>
          <w:rStyle w:val="apple-converted-space"/>
          <w:rFonts w:ascii="Book Antiqua" w:hAnsi="Book Antiqua"/>
        </w:rPr>
        <w:t xml:space="preserve"> </w:t>
      </w:r>
      <w:r>
        <w:rPr>
          <w:rFonts w:ascii="Book Antiqua" w:hAnsi="Book Antiqua"/>
          <w:b/>
          <w:bCs/>
        </w:rPr>
        <w:t>Cao F</w:t>
      </w:r>
      <w:r>
        <w:rPr>
          <w:rFonts w:ascii="Book Antiqua" w:hAnsi="Book Antiqua"/>
        </w:rPr>
        <w:t>, Wei A, Hu X, He Y, Zhang J, Xia L, Tu K, Yuan J, Guo Z, Liu H, Xie D, Li A. Integrated epigenetic biomarkers in circulating cell-free DNA as a robust classifier for pancreatic cancer.</w:t>
      </w:r>
      <w:r>
        <w:rPr>
          <w:rStyle w:val="apple-converted-space"/>
          <w:rFonts w:ascii="Book Antiqua" w:hAnsi="Book Antiqua"/>
        </w:rPr>
        <w:t xml:space="preserve"> </w:t>
      </w:r>
      <w:r>
        <w:rPr>
          <w:rFonts w:ascii="Book Antiqua" w:hAnsi="Book Antiqua"/>
          <w:i/>
          <w:iCs/>
        </w:rPr>
        <w:t>Clin Epigenetics</w:t>
      </w:r>
      <w:r>
        <w:rPr>
          <w:rStyle w:val="apple-converted-space"/>
          <w:rFonts w:ascii="Book Antiqua" w:hAnsi="Book Antiqua"/>
        </w:rPr>
        <w:t xml:space="preserve"> </w:t>
      </w:r>
      <w:r>
        <w:rPr>
          <w:rFonts w:ascii="Book Antiqua" w:hAnsi="Book Antiqua"/>
        </w:rPr>
        <w:t>2020;</w:t>
      </w:r>
      <w:r>
        <w:rPr>
          <w:rStyle w:val="apple-converted-space"/>
          <w:rFonts w:ascii="Book Antiqua" w:hAnsi="Book Antiqua"/>
        </w:rPr>
        <w:t xml:space="preserve"> </w:t>
      </w:r>
      <w:r>
        <w:rPr>
          <w:rFonts w:ascii="Book Antiqua" w:hAnsi="Book Antiqua"/>
          <w:b/>
          <w:bCs/>
        </w:rPr>
        <w:t>12</w:t>
      </w:r>
      <w:r>
        <w:rPr>
          <w:rFonts w:ascii="Book Antiqua" w:hAnsi="Book Antiqua"/>
        </w:rPr>
        <w:t>: 112 [PMID: 32703318 DOI: 10.1186/s13148-020-00898-2]</w:t>
      </w:r>
    </w:p>
    <w:p w14:paraId="55AB8A1E" w14:textId="77777777" w:rsidR="00A503D8" w:rsidRDefault="00000000">
      <w:pPr>
        <w:pStyle w:val="ac"/>
        <w:adjustRightInd w:val="0"/>
        <w:snapToGrid w:val="0"/>
        <w:spacing w:before="0" w:beforeAutospacing="0" w:after="0" w:afterAutospacing="0" w:line="360" w:lineRule="auto"/>
        <w:jc w:val="both"/>
        <w:rPr>
          <w:rFonts w:ascii="Book Antiqua" w:hAnsi="Book Antiqua"/>
        </w:rPr>
      </w:pPr>
      <w:r>
        <w:rPr>
          <w:rFonts w:ascii="Book Antiqua" w:hAnsi="Book Antiqua"/>
        </w:rPr>
        <w:t>63</w:t>
      </w:r>
      <w:r>
        <w:rPr>
          <w:rStyle w:val="apple-converted-space"/>
          <w:rFonts w:ascii="Book Antiqua" w:hAnsi="Book Antiqua"/>
        </w:rPr>
        <w:t xml:space="preserve"> </w:t>
      </w:r>
      <w:r>
        <w:rPr>
          <w:rFonts w:ascii="Book Antiqua" w:hAnsi="Book Antiqua"/>
          <w:b/>
          <w:bCs/>
        </w:rPr>
        <w:t>Cohen JD</w:t>
      </w:r>
      <w:r>
        <w:rPr>
          <w:rFonts w:ascii="Book Antiqua" w:hAnsi="Book Antiqua"/>
        </w:rPr>
        <w:t xml:space="preserve">, Javed AA, Thoburn C, Wong F, Tie J, Gibbs P, Schmidt CM, Yip-Schneider MT, Allen PJ, Schattner M, Brand RE, Singhi AD, Petersen GM, Hong SM, Kim SC, Falconi M, Doglioni C, Weiss MJ, Ahuja N, He J, Makary MA, Maitra A, Hanash SM, Dal Molin M, Wang Y, Li L, Ptak J, Dobbyn L, Schaefer J, Silliman N, Popoli M, Goggins MG, Hruban </w:t>
      </w:r>
      <w:r>
        <w:rPr>
          <w:rFonts w:ascii="Book Antiqua" w:hAnsi="Book Antiqua"/>
        </w:rPr>
        <w:lastRenderedPageBreak/>
        <w:t>RH, Wolfgang CL, Klein AP, Tomasetti C, Papadopoulos N, Kinzler KW, Vogelstein B, Lennon AM. Combined circulating tumor DNA and protein biomarker-based liquid biopsy for the earlier detection of pancreatic cancers.</w:t>
      </w:r>
      <w:r>
        <w:rPr>
          <w:rStyle w:val="apple-converted-space"/>
          <w:rFonts w:ascii="Book Antiqua" w:hAnsi="Book Antiqua"/>
        </w:rPr>
        <w:t xml:space="preserve"> </w:t>
      </w:r>
      <w:r>
        <w:rPr>
          <w:rFonts w:ascii="Book Antiqua" w:hAnsi="Book Antiqua"/>
          <w:i/>
          <w:iCs/>
        </w:rPr>
        <w:t>Proc Natl Acad Sci U S A</w:t>
      </w:r>
      <w:r>
        <w:rPr>
          <w:rStyle w:val="apple-converted-space"/>
          <w:rFonts w:ascii="Book Antiqua" w:hAnsi="Book Antiqua"/>
        </w:rPr>
        <w:t xml:space="preserve"> </w:t>
      </w:r>
      <w:r>
        <w:rPr>
          <w:rFonts w:ascii="Book Antiqua" w:hAnsi="Book Antiqua"/>
        </w:rPr>
        <w:t>2017;</w:t>
      </w:r>
      <w:r>
        <w:rPr>
          <w:rStyle w:val="apple-converted-space"/>
          <w:rFonts w:ascii="Book Antiqua" w:hAnsi="Book Antiqua"/>
        </w:rPr>
        <w:t xml:space="preserve"> </w:t>
      </w:r>
      <w:r>
        <w:rPr>
          <w:rFonts w:ascii="Book Antiqua" w:hAnsi="Book Antiqua"/>
          <w:b/>
          <w:bCs/>
        </w:rPr>
        <w:t>114</w:t>
      </w:r>
      <w:r>
        <w:rPr>
          <w:rFonts w:ascii="Book Antiqua" w:hAnsi="Book Antiqua"/>
        </w:rPr>
        <w:t>: 10202-10207 [PMID: 28874546 DOI: 10.1073/pnas.1704961114]</w:t>
      </w:r>
    </w:p>
    <w:p w14:paraId="30DE8EBF" w14:textId="77777777" w:rsidR="00A503D8" w:rsidRDefault="00000000">
      <w:pPr>
        <w:pStyle w:val="ac"/>
        <w:adjustRightInd w:val="0"/>
        <w:snapToGrid w:val="0"/>
        <w:spacing w:before="0" w:beforeAutospacing="0" w:after="0" w:afterAutospacing="0" w:line="360" w:lineRule="auto"/>
        <w:jc w:val="both"/>
        <w:rPr>
          <w:rFonts w:ascii="Book Antiqua" w:hAnsi="Book Antiqua"/>
        </w:rPr>
      </w:pPr>
      <w:r>
        <w:rPr>
          <w:rFonts w:ascii="Book Antiqua" w:hAnsi="Book Antiqua"/>
        </w:rPr>
        <w:t>64</w:t>
      </w:r>
      <w:r>
        <w:rPr>
          <w:rStyle w:val="apple-converted-space"/>
          <w:rFonts w:ascii="Book Antiqua" w:hAnsi="Book Antiqua"/>
        </w:rPr>
        <w:t xml:space="preserve"> </w:t>
      </w:r>
      <w:r>
        <w:rPr>
          <w:rFonts w:ascii="Book Antiqua" w:hAnsi="Book Antiqua"/>
          <w:b/>
          <w:bCs/>
        </w:rPr>
        <w:t>Kim JE</w:t>
      </w:r>
      <w:r>
        <w:rPr>
          <w:rFonts w:ascii="Book Antiqua" w:hAnsi="Book Antiqua"/>
        </w:rPr>
        <w:t>, Lee KT, Lee JK, Paik SW, Rhee JC, Choi KW. Clinical usefulness of carbohydrate antigen 19-9 as a screening test for pancreatic cancer in an asymptomatic population.</w:t>
      </w:r>
      <w:r>
        <w:rPr>
          <w:rStyle w:val="apple-converted-space"/>
          <w:rFonts w:ascii="Book Antiqua" w:hAnsi="Book Antiqua"/>
        </w:rPr>
        <w:t xml:space="preserve"> </w:t>
      </w:r>
      <w:r>
        <w:rPr>
          <w:rFonts w:ascii="Book Antiqua" w:hAnsi="Book Antiqua"/>
          <w:i/>
          <w:iCs/>
        </w:rPr>
        <w:t>J Gastroenterol Hepatol</w:t>
      </w:r>
      <w:r>
        <w:rPr>
          <w:rStyle w:val="apple-converted-space"/>
          <w:rFonts w:ascii="Book Antiqua" w:hAnsi="Book Antiqua"/>
        </w:rPr>
        <w:t xml:space="preserve"> </w:t>
      </w:r>
      <w:r>
        <w:rPr>
          <w:rFonts w:ascii="Book Antiqua" w:hAnsi="Book Antiqua"/>
        </w:rPr>
        <w:t>2004;</w:t>
      </w:r>
      <w:r>
        <w:rPr>
          <w:rStyle w:val="apple-converted-space"/>
          <w:rFonts w:ascii="Book Antiqua" w:hAnsi="Book Antiqua"/>
        </w:rPr>
        <w:t xml:space="preserve"> </w:t>
      </w:r>
      <w:r>
        <w:rPr>
          <w:rFonts w:ascii="Book Antiqua" w:hAnsi="Book Antiqua"/>
          <w:b/>
          <w:bCs/>
        </w:rPr>
        <w:t>19</w:t>
      </w:r>
      <w:r>
        <w:rPr>
          <w:rFonts w:ascii="Book Antiqua" w:hAnsi="Book Antiqua"/>
        </w:rPr>
        <w:t>: 182-186 [PMID: 14731128 DOI: 10.1111/j.1440-1746.2004.03219.x]</w:t>
      </w:r>
    </w:p>
    <w:p w14:paraId="6516F3CD" w14:textId="77777777" w:rsidR="00A503D8" w:rsidRDefault="00000000">
      <w:pPr>
        <w:pStyle w:val="ac"/>
        <w:adjustRightInd w:val="0"/>
        <w:snapToGrid w:val="0"/>
        <w:spacing w:before="0" w:beforeAutospacing="0" w:after="0" w:afterAutospacing="0" w:line="360" w:lineRule="auto"/>
        <w:jc w:val="both"/>
        <w:rPr>
          <w:rFonts w:ascii="Book Antiqua" w:hAnsi="Book Antiqua"/>
        </w:rPr>
      </w:pPr>
      <w:r>
        <w:rPr>
          <w:rFonts w:ascii="Book Antiqua" w:hAnsi="Book Antiqua"/>
        </w:rPr>
        <w:t>65</w:t>
      </w:r>
      <w:r>
        <w:rPr>
          <w:rStyle w:val="apple-converted-space"/>
          <w:rFonts w:ascii="Book Antiqua" w:hAnsi="Book Antiqua"/>
        </w:rPr>
        <w:t xml:space="preserve"> </w:t>
      </w:r>
      <w:r>
        <w:rPr>
          <w:rFonts w:ascii="Book Antiqua" w:hAnsi="Book Antiqua"/>
          <w:b/>
          <w:bCs/>
        </w:rPr>
        <w:t>Mohan S</w:t>
      </w:r>
      <w:r>
        <w:rPr>
          <w:rFonts w:ascii="Book Antiqua" w:hAnsi="Book Antiqua"/>
        </w:rPr>
        <w:t>, Ayub M, Rothwell DG, Gulati S, Kilerci B, Hollebecque A, Sun Leong H, Smith NK, Sahoo S, Descamps T, Zhou C, Hubner RA, McNamara MG, Lamarca A, Valle JW, Dive C, Brady G. Analysis of circulating cell-free DNA identifies KRAS copy number gain and mutation as a novel prognostic marker in Pancreatic cancer.</w:t>
      </w:r>
      <w:r>
        <w:rPr>
          <w:rStyle w:val="apple-converted-space"/>
          <w:rFonts w:ascii="Book Antiqua" w:hAnsi="Book Antiqua"/>
        </w:rPr>
        <w:t xml:space="preserve"> </w:t>
      </w:r>
      <w:r>
        <w:rPr>
          <w:rFonts w:ascii="Book Antiqua" w:hAnsi="Book Antiqua"/>
          <w:i/>
          <w:iCs/>
        </w:rPr>
        <w:t>Sci Rep</w:t>
      </w:r>
      <w:r>
        <w:rPr>
          <w:rStyle w:val="apple-converted-space"/>
          <w:rFonts w:ascii="Book Antiqua" w:hAnsi="Book Antiqua"/>
        </w:rPr>
        <w:t xml:space="preserve"> </w:t>
      </w:r>
      <w:r>
        <w:rPr>
          <w:rFonts w:ascii="Book Antiqua" w:hAnsi="Book Antiqua"/>
        </w:rPr>
        <w:t>2019;</w:t>
      </w:r>
      <w:r>
        <w:rPr>
          <w:rStyle w:val="apple-converted-space"/>
          <w:rFonts w:ascii="Book Antiqua" w:hAnsi="Book Antiqua"/>
        </w:rPr>
        <w:t xml:space="preserve"> </w:t>
      </w:r>
      <w:r>
        <w:rPr>
          <w:rFonts w:ascii="Book Antiqua" w:hAnsi="Book Antiqua"/>
          <w:b/>
          <w:bCs/>
        </w:rPr>
        <w:t>9</w:t>
      </w:r>
      <w:r>
        <w:rPr>
          <w:rFonts w:ascii="Book Antiqua" w:hAnsi="Book Antiqua"/>
        </w:rPr>
        <w:t>: 11610 [PMID: 31406261 DOI: 10.1038/s41598-019-47489-7]</w:t>
      </w:r>
    </w:p>
    <w:p w14:paraId="3C93E513" w14:textId="77777777" w:rsidR="00A503D8" w:rsidRDefault="00000000">
      <w:pPr>
        <w:pStyle w:val="ac"/>
        <w:adjustRightInd w:val="0"/>
        <w:snapToGrid w:val="0"/>
        <w:spacing w:before="0" w:beforeAutospacing="0" w:after="0" w:afterAutospacing="0" w:line="360" w:lineRule="auto"/>
        <w:jc w:val="both"/>
        <w:rPr>
          <w:rFonts w:ascii="Book Antiqua" w:hAnsi="Book Antiqua"/>
        </w:rPr>
      </w:pPr>
      <w:r>
        <w:rPr>
          <w:rFonts w:ascii="Book Antiqua" w:hAnsi="Book Antiqua"/>
        </w:rPr>
        <w:t>66</w:t>
      </w:r>
      <w:r>
        <w:rPr>
          <w:rStyle w:val="apple-converted-space"/>
          <w:rFonts w:ascii="Book Antiqua" w:hAnsi="Book Antiqua"/>
        </w:rPr>
        <w:t xml:space="preserve"> </w:t>
      </w:r>
      <w:r>
        <w:rPr>
          <w:rFonts w:ascii="Book Antiqua" w:hAnsi="Book Antiqua"/>
          <w:b/>
          <w:bCs/>
        </w:rPr>
        <w:t>Fukutake N</w:t>
      </w:r>
      <w:r>
        <w:rPr>
          <w:rFonts w:ascii="Book Antiqua" w:hAnsi="Book Antiqua"/>
        </w:rPr>
        <w:t>, Ueno M, Hiraoka N, Shimada K, Shiraishi K, Saruki N, Ito T, Yamakado M, Ono N, Imaizumi A, Kikuchi S, Yamamoto H, Katayama K. A Novel Multivariate Index for Pancreatic Cancer Detection Based On the Plasma Free Amino Acid Profile.</w:t>
      </w:r>
      <w:r>
        <w:rPr>
          <w:rStyle w:val="apple-converted-space"/>
          <w:rFonts w:ascii="Book Antiqua" w:hAnsi="Book Antiqua"/>
        </w:rPr>
        <w:t xml:space="preserve"> </w:t>
      </w:r>
      <w:r>
        <w:rPr>
          <w:rFonts w:ascii="Book Antiqua" w:hAnsi="Book Antiqua"/>
          <w:i/>
          <w:iCs/>
        </w:rPr>
        <w:t>PLoS One</w:t>
      </w:r>
      <w:r>
        <w:rPr>
          <w:rStyle w:val="apple-converted-space"/>
          <w:rFonts w:ascii="Book Antiqua" w:hAnsi="Book Antiqua"/>
        </w:rPr>
        <w:t xml:space="preserve"> </w:t>
      </w:r>
      <w:r>
        <w:rPr>
          <w:rFonts w:ascii="Book Antiqua" w:hAnsi="Book Antiqua"/>
        </w:rPr>
        <w:t>2015;</w:t>
      </w:r>
      <w:r>
        <w:rPr>
          <w:rStyle w:val="apple-converted-space"/>
          <w:rFonts w:ascii="Book Antiqua" w:hAnsi="Book Antiqua"/>
        </w:rPr>
        <w:t xml:space="preserve"> </w:t>
      </w:r>
      <w:r>
        <w:rPr>
          <w:rFonts w:ascii="Book Antiqua" w:hAnsi="Book Antiqua"/>
          <w:b/>
          <w:bCs/>
        </w:rPr>
        <w:t>10</w:t>
      </w:r>
      <w:r>
        <w:rPr>
          <w:rFonts w:ascii="Book Antiqua" w:hAnsi="Book Antiqua"/>
        </w:rPr>
        <w:t>: e0132223 [PMID: 26133769 DOI: 10.1371/journal.pone.0132223]</w:t>
      </w:r>
    </w:p>
    <w:p w14:paraId="10C7EF6F" w14:textId="77777777" w:rsidR="00A503D8" w:rsidRDefault="00000000">
      <w:pPr>
        <w:pStyle w:val="ac"/>
        <w:adjustRightInd w:val="0"/>
        <w:snapToGrid w:val="0"/>
        <w:spacing w:before="0" w:beforeAutospacing="0" w:after="0" w:afterAutospacing="0" w:line="360" w:lineRule="auto"/>
        <w:jc w:val="both"/>
        <w:rPr>
          <w:rFonts w:ascii="Book Antiqua" w:hAnsi="Book Antiqua"/>
        </w:rPr>
      </w:pPr>
      <w:r>
        <w:rPr>
          <w:rFonts w:ascii="Book Antiqua" w:hAnsi="Book Antiqua"/>
        </w:rPr>
        <w:t>67</w:t>
      </w:r>
      <w:r>
        <w:rPr>
          <w:rStyle w:val="apple-converted-space"/>
          <w:rFonts w:ascii="Book Antiqua" w:hAnsi="Book Antiqua"/>
        </w:rPr>
        <w:t xml:space="preserve"> </w:t>
      </w:r>
      <w:r>
        <w:rPr>
          <w:rFonts w:ascii="Book Antiqua" w:hAnsi="Book Antiqua"/>
          <w:b/>
          <w:bCs/>
        </w:rPr>
        <w:t>Sun L</w:t>
      </w:r>
      <w:r>
        <w:rPr>
          <w:rFonts w:ascii="Book Antiqua" w:hAnsi="Book Antiqua"/>
        </w:rPr>
        <w:t>, Burnett J, Guo C, Xie Y, Pan J, Yang Z, Ran Y, Sun D. CPA4 is a promising diagnostic serum biomarker for pancreatic cancer.</w:t>
      </w:r>
      <w:r>
        <w:rPr>
          <w:rStyle w:val="apple-converted-space"/>
          <w:rFonts w:ascii="Book Antiqua" w:hAnsi="Book Antiqua"/>
        </w:rPr>
        <w:t xml:space="preserve"> </w:t>
      </w:r>
      <w:r>
        <w:rPr>
          <w:rFonts w:ascii="Book Antiqua" w:hAnsi="Book Antiqua"/>
          <w:i/>
          <w:iCs/>
        </w:rPr>
        <w:t>Am J Cancer Res</w:t>
      </w:r>
      <w:r>
        <w:rPr>
          <w:rStyle w:val="apple-converted-space"/>
          <w:rFonts w:ascii="Book Antiqua" w:hAnsi="Book Antiqua"/>
        </w:rPr>
        <w:t xml:space="preserve"> </w:t>
      </w:r>
      <w:r>
        <w:rPr>
          <w:rFonts w:ascii="Book Antiqua" w:hAnsi="Book Antiqua"/>
        </w:rPr>
        <w:t>2016;</w:t>
      </w:r>
      <w:r>
        <w:rPr>
          <w:rStyle w:val="apple-converted-space"/>
          <w:rFonts w:ascii="Book Antiqua" w:hAnsi="Book Antiqua"/>
        </w:rPr>
        <w:t xml:space="preserve"> </w:t>
      </w:r>
      <w:r>
        <w:rPr>
          <w:rFonts w:ascii="Book Antiqua" w:hAnsi="Book Antiqua"/>
          <w:b/>
          <w:bCs/>
        </w:rPr>
        <w:t>6</w:t>
      </w:r>
      <w:r>
        <w:rPr>
          <w:rFonts w:ascii="Book Antiqua" w:hAnsi="Book Antiqua"/>
        </w:rPr>
        <w:t>: 91-96 [PMID: 27073726]</w:t>
      </w:r>
    </w:p>
    <w:p w14:paraId="61392D85" w14:textId="77777777" w:rsidR="00A503D8" w:rsidRDefault="00000000">
      <w:pPr>
        <w:pStyle w:val="ac"/>
        <w:adjustRightInd w:val="0"/>
        <w:snapToGrid w:val="0"/>
        <w:spacing w:before="0" w:beforeAutospacing="0" w:after="0" w:afterAutospacing="0" w:line="360" w:lineRule="auto"/>
        <w:jc w:val="both"/>
        <w:rPr>
          <w:rFonts w:ascii="Book Antiqua" w:hAnsi="Book Antiqua"/>
        </w:rPr>
      </w:pPr>
      <w:r>
        <w:rPr>
          <w:rFonts w:ascii="Book Antiqua" w:hAnsi="Book Antiqua"/>
        </w:rPr>
        <w:t>68</w:t>
      </w:r>
      <w:r>
        <w:rPr>
          <w:rStyle w:val="apple-converted-space"/>
          <w:rFonts w:ascii="Book Antiqua" w:hAnsi="Book Antiqua"/>
        </w:rPr>
        <w:t xml:space="preserve"> </w:t>
      </w:r>
      <w:r>
        <w:rPr>
          <w:rFonts w:ascii="Book Antiqua" w:hAnsi="Book Antiqua"/>
          <w:b/>
          <w:bCs/>
        </w:rPr>
        <w:t>Barratt J</w:t>
      </w:r>
      <w:r>
        <w:rPr>
          <w:rFonts w:ascii="Book Antiqua" w:hAnsi="Book Antiqua"/>
        </w:rPr>
        <w:t>, Topham P. Urine proteomics: the present and future of measuring urinary protein components in disease.</w:t>
      </w:r>
      <w:r>
        <w:rPr>
          <w:rStyle w:val="apple-converted-space"/>
          <w:rFonts w:ascii="Book Antiqua" w:hAnsi="Book Antiqua"/>
        </w:rPr>
        <w:t xml:space="preserve"> </w:t>
      </w:r>
      <w:r>
        <w:rPr>
          <w:rFonts w:ascii="Book Antiqua" w:hAnsi="Book Antiqua"/>
          <w:i/>
          <w:iCs/>
        </w:rPr>
        <w:t>CMAJ</w:t>
      </w:r>
      <w:r>
        <w:rPr>
          <w:rStyle w:val="apple-converted-space"/>
          <w:rFonts w:ascii="Book Antiqua" w:hAnsi="Book Antiqua"/>
        </w:rPr>
        <w:t xml:space="preserve"> </w:t>
      </w:r>
      <w:r>
        <w:rPr>
          <w:rFonts w:ascii="Book Antiqua" w:hAnsi="Book Antiqua"/>
        </w:rPr>
        <w:t>2007;</w:t>
      </w:r>
      <w:r>
        <w:rPr>
          <w:rStyle w:val="apple-converted-space"/>
          <w:rFonts w:ascii="Book Antiqua" w:hAnsi="Book Antiqua"/>
        </w:rPr>
        <w:t xml:space="preserve"> </w:t>
      </w:r>
      <w:r>
        <w:rPr>
          <w:rFonts w:ascii="Book Antiqua" w:hAnsi="Book Antiqua"/>
          <w:b/>
          <w:bCs/>
        </w:rPr>
        <w:t>177</w:t>
      </w:r>
      <w:r>
        <w:rPr>
          <w:rFonts w:ascii="Book Antiqua" w:hAnsi="Book Antiqua"/>
        </w:rPr>
        <w:t>: 361-368 [PMID: 17698825 DOI: 10.1503/cmaj.061590]</w:t>
      </w:r>
    </w:p>
    <w:p w14:paraId="699429FF" w14:textId="77777777" w:rsidR="00A503D8" w:rsidRDefault="00000000">
      <w:pPr>
        <w:pStyle w:val="ac"/>
        <w:adjustRightInd w:val="0"/>
        <w:snapToGrid w:val="0"/>
        <w:spacing w:before="0" w:beforeAutospacing="0" w:after="0" w:afterAutospacing="0" w:line="360" w:lineRule="auto"/>
        <w:jc w:val="both"/>
        <w:rPr>
          <w:rFonts w:ascii="Book Antiqua" w:hAnsi="Book Antiqua"/>
        </w:rPr>
      </w:pPr>
      <w:r>
        <w:rPr>
          <w:rFonts w:ascii="Book Antiqua" w:hAnsi="Book Antiqua"/>
        </w:rPr>
        <w:t>69</w:t>
      </w:r>
      <w:r>
        <w:rPr>
          <w:rStyle w:val="apple-converted-space"/>
          <w:rFonts w:ascii="Book Antiqua" w:hAnsi="Book Antiqua"/>
        </w:rPr>
        <w:t xml:space="preserve"> </w:t>
      </w:r>
      <w:r>
        <w:rPr>
          <w:rFonts w:ascii="Book Antiqua" w:hAnsi="Book Antiqua"/>
          <w:b/>
          <w:bCs/>
        </w:rPr>
        <w:t>Schaub S</w:t>
      </w:r>
      <w:r>
        <w:rPr>
          <w:rFonts w:ascii="Book Antiqua" w:hAnsi="Book Antiqua"/>
        </w:rPr>
        <w:t>, Wilkins J, Weiler T, Sangster K, Rush D, Nickerson P. Urine protein profiling with surface-enhanced laser-desorption/ionization time-of-flight mass spectrometry.</w:t>
      </w:r>
      <w:r>
        <w:rPr>
          <w:rStyle w:val="apple-converted-space"/>
          <w:rFonts w:ascii="Book Antiqua" w:hAnsi="Book Antiqua"/>
        </w:rPr>
        <w:t xml:space="preserve"> </w:t>
      </w:r>
      <w:r>
        <w:rPr>
          <w:rFonts w:ascii="Book Antiqua" w:hAnsi="Book Antiqua"/>
          <w:i/>
          <w:iCs/>
        </w:rPr>
        <w:t>Kidney Int</w:t>
      </w:r>
      <w:r>
        <w:rPr>
          <w:rStyle w:val="apple-converted-space"/>
          <w:rFonts w:ascii="Book Antiqua" w:hAnsi="Book Antiqua"/>
        </w:rPr>
        <w:t xml:space="preserve"> </w:t>
      </w:r>
      <w:r>
        <w:rPr>
          <w:rFonts w:ascii="Book Antiqua" w:hAnsi="Book Antiqua"/>
        </w:rPr>
        <w:t>2004;</w:t>
      </w:r>
      <w:r>
        <w:rPr>
          <w:rStyle w:val="apple-converted-space"/>
          <w:rFonts w:ascii="Book Antiqua" w:hAnsi="Book Antiqua"/>
        </w:rPr>
        <w:t xml:space="preserve"> </w:t>
      </w:r>
      <w:r>
        <w:rPr>
          <w:rFonts w:ascii="Book Antiqua" w:hAnsi="Book Antiqua"/>
          <w:b/>
          <w:bCs/>
        </w:rPr>
        <w:t>65</w:t>
      </w:r>
      <w:r>
        <w:rPr>
          <w:rFonts w:ascii="Book Antiqua" w:hAnsi="Book Antiqua"/>
        </w:rPr>
        <w:t>: 323-332 [PMID: 14675066 DOI: 10.1111/j.1523-1755.2004.00352.x]</w:t>
      </w:r>
    </w:p>
    <w:p w14:paraId="741BFDF1" w14:textId="77777777" w:rsidR="00A503D8" w:rsidRDefault="00000000">
      <w:pPr>
        <w:pStyle w:val="ac"/>
        <w:adjustRightInd w:val="0"/>
        <w:snapToGrid w:val="0"/>
        <w:spacing w:before="0" w:beforeAutospacing="0" w:after="0" w:afterAutospacing="0" w:line="360" w:lineRule="auto"/>
        <w:jc w:val="both"/>
        <w:rPr>
          <w:rFonts w:ascii="Book Antiqua" w:hAnsi="Book Antiqua"/>
        </w:rPr>
      </w:pPr>
      <w:r>
        <w:rPr>
          <w:rFonts w:ascii="Book Antiqua" w:hAnsi="Book Antiqua"/>
        </w:rPr>
        <w:t>70</w:t>
      </w:r>
      <w:r>
        <w:rPr>
          <w:rStyle w:val="apple-converted-space"/>
          <w:rFonts w:ascii="Book Antiqua" w:hAnsi="Book Antiqua"/>
        </w:rPr>
        <w:t xml:space="preserve"> </w:t>
      </w:r>
      <w:r>
        <w:rPr>
          <w:rFonts w:ascii="Book Antiqua" w:hAnsi="Book Antiqua"/>
          <w:b/>
          <w:bCs/>
        </w:rPr>
        <w:t>Poruk KE</w:t>
      </w:r>
      <w:r>
        <w:rPr>
          <w:rFonts w:ascii="Book Antiqua" w:hAnsi="Book Antiqua"/>
        </w:rPr>
        <w:t xml:space="preserve">, Firpo MA, Scaife CL, Adler DG, Emerson LL, Boucher KM, Mulvihill SJ. Serum osteopontin and tissue inhibitor of metalloproteinase 1 as diagnostic and </w:t>
      </w:r>
      <w:r>
        <w:rPr>
          <w:rFonts w:ascii="Book Antiqua" w:hAnsi="Book Antiqua"/>
        </w:rPr>
        <w:lastRenderedPageBreak/>
        <w:t>prognostic biomarkers for pancreatic adenocarcinoma.</w:t>
      </w:r>
      <w:r>
        <w:rPr>
          <w:rStyle w:val="apple-converted-space"/>
          <w:rFonts w:ascii="Book Antiqua" w:hAnsi="Book Antiqua"/>
        </w:rPr>
        <w:t xml:space="preserve"> </w:t>
      </w:r>
      <w:r>
        <w:rPr>
          <w:rFonts w:ascii="Book Antiqua" w:hAnsi="Book Antiqua"/>
          <w:i/>
          <w:iCs/>
        </w:rPr>
        <w:t>Pancreas</w:t>
      </w:r>
      <w:r>
        <w:rPr>
          <w:rStyle w:val="apple-converted-space"/>
          <w:rFonts w:ascii="Book Antiqua" w:hAnsi="Book Antiqua"/>
        </w:rPr>
        <w:t xml:space="preserve"> </w:t>
      </w:r>
      <w:r>
        <w:rPr>
          <w:rFonts w:ascii="Book Antiqua" w:hAnsi="Book Antiqua"/>
        </w:rPr>
        <w:t>2013;</w:t>
      </w:r>
      <w:r>
        <w:rPr>
          <w:rStyle w:val="apple-converted-space"/>
          <w:rFonts w:ascii="Book Antiqua" w:hAnsi="Book Antiqua"/>
        </w:rPr>
        <w:t xml:space="preserve"> </w:t>
      </w:r>
      <w:r>
        <w:rPr>
          <w:rFonts w:ascii="Book Antiqua" w:hAnsi="Book Antiqua"/>
          <w:b/>
          <w:bCs/>
        </w:rPr>
        <w:t>42</w:t>
      </w:r>
      <w:r>
        <w:rPr>
          <w:rFonts w:ascii="Book Antiqua" w:hAnsi="Book Antiqua"/>
        </w:rPr>
        <w:t>: 193-197 [PMID: 23407481 DOI: 10.1097/MPA.0b013e31825e354d]</w:t>
      </w:r>
    </w:p>
    <w:p w14:paraId="70E9EC60" w14:textId="77777777" w:rsidR="00A503D8" w:rsidRDefault="00000000">
      <w:pPr>
        <w:pStyle w:val="ac"/>
        <w:adjustRightInd w:val="0"/>
        <w:snapToGrid w:val="0"/>
        <w:spacing w:before="0" w:beforeAutospacing="0" w:after="0" w:afterAutospacing="0" w:line="360" w:lineRule="auto"/>
        <w:jc w:val="both"/>
        <w:rPr>
          <w:rFonts w:ascii="Book Antiqua" w:hAnsi="Book Antiqua"/>
        </w:rPr>
      </w:pPr>
      <w:r>
        <w:rPr>
          <w:rFonts w:ascii="Book Antiqua" w:hAnsi="Book Antiqua"/>
        </w:rPr>
        <w:t>71</w:t>
      </w:r>
      <w:r>
        <w:rPr>
          <w:rStyle w:val="apple-converted-space"/>
          <w:rFonts w:ascii="Book Antiqua" w:hAnsi="Book Antiqua"/>
        </w:rPr>
        <w:t xml:space="preserve"> </w:t>
      </w:r>
      <w:r>
        <w:rPr>
          <w:rFonts w:ascii="Book Antiqua" w:hAnsi="Book Antiqua"/>
          <w:b/>
          <w:bCs/>
        </w:rPr>
        <w:t>Zhivkova-Galunska M</w:t>
      </w:r>
      <w:r>
        <w:rPr>
          <w:rFonts w:ascii="Book Antiqua" w:hAnsi="Book Antiqua"/>
        </w:rPr>
        <w:t>, Adwan H, Eyol E, Kleeff J, Kolb A, Bergmann F, Berger MR. Osteopontin but not osteonectin favors the metastatic growth of pancreatic cancer cell lines.</w:t>
      </w:r>
      <w:r>
        <w:rPr>
          <w:rStyle w:val="apple-converted-space"/>
          <w:rFonts w:ascii="Book Antiqua" w:hAnsi="Book Antiqua"/>
        </w:rPr>
        <w:t xml:space="preserve"> </w:t>
      </w:r>
      <w:r>
        <w:rPr>
          <w:rFonts w:ascii="Book Antiqua" w:hAnsi="Book Antiqua"/>
          <w:i/>
          <w:iCs/>
        </w:rPr>
        <w:t>Cancer Biol Ther</w:t>
      </w:r>
      <w:r>
        <w:rPr>
          <w:rStyle w:val="apple-converted-space"/>
          <w:rFonts w:ascii="Book Antiqua" w:hAnsi="Book Antiqua"/>
        </w:rPr>
        <w:t xml:space="preserve"> </w:t>
      </w:r>
      <w:r>
        <w:rPr>
          <w:rFonts w:ascii="Book Antiqua" w:hAnsi="Book Antiqua"/>
        </w:rPr>
        <w:t>2010;</w:t>
      </w:r>
      <w:r>
        <w:rPr>
          <w:rStyle w:val="apple-converted-space"/>
          <w:rFonts w:ascii="Book Antiqua" w:hAnsi="Book Antiqua"/>
        </w:rPr>
        <w:t xml:space="preserve"> </w:t>
      </w:r>
      <w:r>
        <w:rPr>
          <w:rFonts w:ascii="Book Antiqua" w:hAnsi="Book Antiqua"/>
          <w:b/>
          <w:bCs/>
        </w:rPr>
        <w:t>10</w:t>
      </w:r>
      <w:r>
        <w:rPr>
          <w:rFonts w:ascii="Book Antiqua" w:hAnsi="Book Antiqua"/>
        </w:rPr>
        <w:t>: 54-64 [PMID: 20495387 DOI: 10.4161/cbt.10.1.12161]</w:t>
      </w:r>
    </w:p>
    <w:p w14:paraId="591E1962" w14:textId="77777777" w:rsidR="00A503D8" w:rsidRDefault="00000000">
      <w:pPr>
        <w:pStyle w:val="ac"/>
        <w:adjustRightInd w:val="0"/>
        <w:snapToGrid w:val="0"/>
        <w:spacing w:before="0" w:beforeAutospacing="0" w:after="0" w:afterAutospacing="0" w:line="360" w:lineRule="auto"/>
        <w:jc w:val="both"/>
        <w:rPr>
          <w:rFonts w:ascii="Book Antiqua" w:hAnsi="Book Antiqua"/>
        </w:rPr>
      </w:pPr>
      <w:r>
        <w:rPr>
          <w:rFonts w:ascii="Book Antiqua" w:hAnsi="Book Antiqua"/>
        </w:rPr>
        <w:t>72</w:t>
      </w:r>
      <w:r>
        <w:rPr>
          <w:rStyle w:val="apple-converted-space"/>
          <w:rFonts w:ascii="Book Antiqua" w:hAnsi="Book Antiqua"/>
        </w:rPr>
        <w:t xml:space="preserve"> </w:t>
      </w:r>
      <w:r>
        <w:rPr>
          <w:rFonts w:ascii="Book Antiqua" w:hAnsi="Book Antiqua"/>
          <w:b/>
          <w:bCs/>
        </w:rPr>
        <w:t>Fahrmann JF</w:t>
      </w:r>
      <w:r>
        <w:rPr>
          <w:rFonts w:ascii="Book Antiqua" w:hAnsi="Book Antiqua"/>
        </w:rPr>
        <w:t>, Bantis LE, Capello M, Scelo G, Dennison JB, Patel N, Murage E, Vykoukal J, Kundnani DL, Foretova L, Fabianova E, Holcatova I, Janout V, Feng Z, Yip-Schneider M, Zhang J, Brand R, Taguchi A, Maitra A, Brennan P, Max Schmidt C, Hanash S. A Plasma-Derived Protein-Metabolite Multiplexed Panel for Early-Stage Pancreatic Cancer.</w:t>
      </w:r>
      <w:r>
        <w:rPr>
          <w:rStyle w:val="apple-converted-space"/>
          <w:rFonts w:ascii="Book Antiqua" w:hAnsi="Book Antiqua"/>
        </w:rPr>
        <w:t xml:space="preserve"> </w:t>
      </w:r>
      <w:r>
        <w:rPr>
          <w:rFonts w:ascii="Book Antiqua" w:hAnsi="Book Antiqua"/>
          <w:i/>
          <w:iCs/>
        </w:rPr>
        <w:t>J Natl Cancer Inst</w:t>
      </w:r>
      <w:r>
        <w:rPr>
          <w:rStyle w:val="apple-converted-space"/>
          <w:rFonts w:ascii="Book Antiqua" w:hAnsi="Book Antiqua"/>
        </w:rPr>
        <w:t xml:space="preserve"> </w:t>
      </w:r>
      <w:r>
        <w:rPr>
          <w:rFonts w:ascii="Book Antiqua" w:hAnsi="Book Antiqua"/>
        </w:rPr>
        <w:t>2019;</w:t>
      </w:r>
      <w:r>
        <w:rPr>
          <w:rStyle w:val="apple-converted-space"/>
          <w:rFonts w:ascii="Book Antiqua" w:hAnsi="Book Antiqua"/>
        </w:rPr>
        <w:t xml:space="preserve"> </w:t>
      </w:r>
      <w:r>
        <w:rPr>
          <w:rFonts w:ascii="Book Antiqua" w:hAnsi="Book Antiqua"/>
          <w:b/>
          <w:bCs/>
        </w:rPr>
        <w:t>111</w:t>
      </w:r>
      <w:r>
        <w:rPr>
          <w:rFonts w:ascii="Book Antiqua" w:hAnsi="Book Antiqua"/>
        </w:rPr>
        <w:t>: 372-379 [PMID: 30137376 DOI: 10.1093/jnci/djy126]</w:t>
      </w:r>
    </w:p>
    <w:p w14:paraId="72C09DD7" w14:textId="77777777" w:rsidR="00A503D8" w:rsidRDefault="00000000">
      <w:pPr>
        <w:pStyle w:val="ac"/>
        <w:adjustRightInd w:val="0"/>
        <w:snapToGrid w:val="0"/>
        <w:spacing w:before="0" w:beforeAutospacing="0" w:after="0" w:afterAutospacing="0" w:line="360" w:lineRule="auto"/>
        <w:jc w:val="both"/>
        <w:rPr>
          <w:rFonts w:ascii="Book Antiqua" w:hAnsi="Book Antiqua"/>
        </w:rPr>
      </w:pPr>
      <w:r>
        <w:rPr>
          <w:rFonts w:ascii="Book Antiqua" w:hAnsi="Book Antiqua"/>
        </w:rPr>
        <w:t>73</w:t>
      </w:r>
      <w:r>
        <w:rPr>
          <w:rStyle w:val="apple-converted-space"/>
          <w:rFonts w:ascii="Book Antiqua" w:hAnsi="Book Antiqua"/>
        </w:rPr>
        <w:t xml:space="preserve"> </w:t>
      </w:r>
      <w:r>
        <w:rPr>
          <w:rFonts w:ascii="Book Antiqua" w:hAnsi="Book Antiqua"/>
          <w:b/>
          <w:bCs/>
        </w:rPr>
        <w:t>Radon TP</w:t>
      </w:r>
      <w:r>
        <w:rPr>
          <w:rFonts w:ascii="Book Antiqua" w:hAnsi="Book Antiqua"/>
        </w:rPr>
        <w:t>, Massat NJ, Jones R, Alrawashdeh W, Dumartin L, Ennis D, Duffy SW, Kocher HM, Pereira SP, Guarner posthumous L, Murta-Nascimento C, Real FX, Malats N, Neoptolemos J, Costello E, Greenhalf W, Lemoine NR, Crnogorac-Jurcevic T. Identification of a Three-Biomarker Panel in Urine for Early Detection of Pancreatic Adenocarcinoma.</w:t>
      </w:r>
      <w:r>
        <w:rPr>
          <w:rStyle w:val="apple-converted-space"/>
          <w:rFonts w:ascii="Book Antiqua" w:hAnsi="Book Antiqua"/>
        </w:rPr>
        <w:t xml:space="preserve"> </w:t>
      </w:r>
      <w:r>
        <w:rPr>
          <w:rFonts w:ascii="Book Antiqua" w:hAnsi="Book Antiqua"/>
          <w:i/>
          <w:iCs/>
        </w:rPr>
        <w:t>Clin Cancer Res</w:t>
      </w:r>
      <w:r>
        <w:rPr>
          <w:rStyle w:val="apple-converted-space"/>
          <w:rFonts w:ascii="Book Antiqua" w:hAnsi="Book Antiqua"/>
        </w:rPr>
        <w:t xml:space="preserve"> </w:t>
      </w:r>
      <w:r>
        <w:rPr>
          <w:rFonts w:ascii="Book Antiqua" w:hAnsi="Book Antiqua"/>
        </w:rPr>
        <w:t>2015;</w:t>
      </w:r>
      <w:r>
        <w:rPr>
          <w:rStyle w:val="apple-converted-space"/>
          <w:rFonts w:ascii="Book Antiqua" w:hAnsi="Book Antiqua"/>
        </w:rPr>
        <w:t xml:space="preserve"> </w:t>
      </w:r>
      <w:r>
        <w:rPr>
          <w:rFonts w:ascii="Book Antiqua" w:hAnsi="Book Antiqua"/>
          <w:b/>
          <w:bCs/>
        </w:rPr>
        <w:t>21</w:t>
      </w:r>
      <w:r>
        <w:rPr>
          <w:rFonts w:ascii="Book Antiqua" w:hAnsi="Book Antiqua"/>
        </w:rPr>
        <w:t>: 3512-3521 [PMID: 26240291 DOI: 10.1158/1078-0432.CCR-14-2467]</w:t>
      </w:r>
    </w:p>
    <w:p w14:paraId="627427C1" w14:textId="77777777" w:rsidR="00A503D8" w:rsidRDefault="00000000">
      <w:pPr>
        <w:pStyle w:val="ac"/>
        <w:adjustRightInd w:val="0"/>
        <w:snapToGrid w:val="0"/>
        <w:spacing w:before="0" w:beforeAutospacing="0" w:after="0" w:afterAutospacing="0" w:line="360" w:lineRule="auto"/>
        <w:jc w:val="both"/>
        <w:rPr>
          <w:rFonts w:ascii="Book Antiqua" w:hAnsi="Book Antiqua"/>
        </w:rPr>
      </w:pPr>
      <w:r>
        <w:rPr>
          <w:rFonts w:ascii="Book Antiqua" w:hAnsi="Book Antiqua"/>
        </w:rPr>
        <w:t>74</w:t>
      </w:r>
      <w:r>
        <w:rPr>
          <w:rStyle w:val="apple-converted-space"/>
          <w:rFonts w:ascii="Book Antiqua" w:hAnsi="Book Antiqua"/>
        </w:rPr>
        <w:t xml:space="preserve"> </w:t>
      </w:r>
      <w:r>
        <w:rPr>
          <w:rFonts w:ascii="Book Antiqua" w:hAnsi="Book Antiqua"/>
          <w:b/>
          <w:bCs/>
        </w:rPr>
        <w:t>Kaur S</w:t>
      </w:r>
      <w:r>
        <w:rPr>
          <w:rFonts w:ascii="Book Antiqua" w:hAnsi="Book Antiqua"/>
        </w:rPr>
        <w:t>, Smith LM, Patel A, Menning M, Watley DC, Malik SS, Krishn SR, Mallya K, Aithal A, Sasson AR, Johansson SL, Jain M, Singh S, Guha S, Are C, Raimondo M, Hollingsworth MA, Brand RE, Batra SK. A Combination of MUC5AC and CA19-9 Improves the Diagnosis of Pancreatic Cancer: A Multicenter Study.</w:t>
      </w:r>
      <w:r>
        <w:rPr>
          <w:rStyle w:val="apple-converted-space"/>
          <w:rFonts w:ascii="Book Antiqua" w:hAnsi="Book Antiqua"/>
        </w:rPr>
        <w:t xml:space="preserve"> </w:t>
      </w:r>
      <w:r>
        <w:rPr>
          <w:rFonts w:ascii="Book Antiqua" w:hAnsi="Book Antiqua"/>
          <w:i/>
          <w:iCs/>
        </w:rPr>
        <w:t>Am J Gastroenterol</w:t>
      </w:r>
      <w:r>
        <w:rPr>
          <w:rFonts w:ascii="Book Antiqua" w:hAnsi="Book Antiqua"/>
        </w:rPr>
        <w:t>2017;</w:t>
      </w:r>
      <w:r>
        <w:rPr>
          <w:rStyle w:val="apple-converted-space"/>
          <w:rFonts w:ascii="Book Antiqua" w:hAnsi="Book Antiqua"/>
        </w:rPr>
        <w:t xml:space="preserve"> </w:t>
      </w:r>
      <w:r>
        <w:rPr>
          <w:rFonts w:ascii="Book Antiqua" w:hAnsi="Book Antiqua"/>
          <w:b/>
          <w:bCs/>
        </w:rPr>
        <w:t>112</w:t>
      </w:r>
      <w:r>
        <w:rPr>
          <w:rFonts w:ascii="Book Antiqua" w:hAnsi="Book Antiqua"/>
        </w:rPr>
        <w:t>: 172-183 [PMID: 27845339 DOI: 10.1038/ajg.2016.482]</w:t>
      </w:r>
    </w:p>
    <w:p w14:paraId="1D2611A0" w14:textId="77777777" w:rsidR="00A503D8" w:rsidRDefault="00000000">
      <w:pPr>
        <w:pStyle w:val="ac"/>
        <w:adjustRightInd w:val="0"/>
        <w:snapToGrid w:val="0"/>
        <w:spacing w:before="0" w:beforeAutospacing="0" w:after="0" w:afterAutospacing="0" w:line="360" w:lineRule="auto"/>
        <w:jc w:val="both"/>
        <w:rPr>
          <w:rFonts w:ascii="Book Antiqua" w:hAnsi="Book Antiqua"/>
        </w:rPr>
      </w:pPr>
      <w:r>
        <w:rPr>
          <w:rFonts w:ascii="Book Antiqua" w:hAnsi="Book Antiqua"/>
        </w:rPr>
        <w:t>75</w:t>
      </w:r>
      <w:r>
        <w:rPr>
          <w:rStyle w:val="apple-converted-space"/>
          <w:rFonts w:ascii="Book Antiqua" w:hAnsi="Book Antiqua"/>
        </w:rPr>
        <w:t xml:space="preserve"> </w:t>
      </w:r>
      <w:r>
        <w:rPr>
          <w:rFonts w:ascii="Book Antiqua" w:hAnsi="Book Antiqua"/>
          <w:b/>
          <w:bCs/>
        </w:rPr>
        <w:t>Terai K</w:t>
      </w:r>
      <w:r>
        <w:rPr>
          <w:rFonts w:ascii="Book Antiqua" w:hAnsi="Book Antiqua"/>
        </w:rPr>
        <w:t>, Jiang M, Tokuyama W, Murano T, Takada N, Fujimura K, Ebinuma H, Kishimoto T, Hiruta N, Schneider WJ, Bujo H. Levels of soluble LR11/SorLA are highly increased in the bile of patients with biliary tract and pancreatic cancers.</w:t>
      </w:r>
      <w:r>
        <w:rPr>
          <w:rStyle w:val="apple-converted-space"/>
          <w:rFonts w:ascii="Book Antiqua" w:hAnsi="Book Antiqua"/>
        </w:rPr>
        <w:t xml:space="preserve"> </w:t>
      </w:r>
      <w:r>
        <w:rPr>
          <w:rFonts w:ascii="Book Antiqua" w:hAnsi="Book Antiqua"/>
          <w:i/>
          <w:iCs/>
        </w:rPr>
        <w:t>Clin Chim Acta</w:t>
      </w:r>
      <w:r>
        <w:rPr>
          <w:rStyle w:val="apple-converted-space"/>
          <w:rFonts w:ascii="Book Antiqua" w:hAnsi="Book Antiqua"/>
        </w:rPr>
        <w:t xml:space="preserve"> </w:t>
      </w:r>
      <w:r>
        <w:rPr>
          <w:rFonts w:ascii="Book Antiqua" w:hAnsi="Book Antiqua"/>
        </w:rPr>
        <w:t>2016;</w:t>
      </w:r>
      <w:r>
        <w:rPr>
          <w:rStyle w:val="apple-converted-space"/>
          <w:rFonts w:ascii="Book Antiqua" w:hAnsi="Book Antiqua"/>
        </w:rPr>
        <w:t xml:space="preserve"> </w:t>
      </w:r>
      <w:r>
        <w:rPr>
          <w:rFonts w:ascii="Book Antiqua" w:hAnsi="Book Antiqua"/>
          <w:b/>
          <w:bCs/>
        </w:rPr>
        <w:t>457</w:t>
      </w:r>
      <w:r>
        <w:rPr>
          <w:rFonts w:ascii="Book Antiqua" w:hAnsi="Book Antiqua"/>
        </w:rPr>
        <w:t>: 130-136 [PMID: 27079357 DOI: 10.1016/j.cca.2016.04.010]</w:t>
      </w:r>
    </w:p>
    <w:p w14:paraId="587ED9ED" w14:textId="77777777" w:rsidR="00A503D8" w:rsidRDefault="00000000">
      <w:pPr>
        <w:pStyle w:val="ac"/>
        <w:adjustRightInd w:val="0"/>
        <w:snapToGrid w:val="0"/>
        <w:spacing w:before="0" w:beforeAutospacing="0" w:after="0" w:afterAutospacing="0" w:line="360" w:lineRule="auto"/>
        <w:jc w:val="both"/>
        <w:rPr>
          <w:rFonts w:ascii="Book Antiqua" w:hAnsi="Book Antiqua"/>
        </w:rPr>
      </w:pPr>
      <w:r>
        <w:rPr>
          <w:rFonts w:ascii="Book Antiqua" w:hAnsi="Book Antiqua"/>
        </w:rPr>
        <w:t>76</w:t>
      </w:r>
      <w:r>
        <w:rPr>
          <w:rStyle w:val="apple-converted-space"/>
          <w:rFonts w:ascii="Book Antiqua" w:hAnsi="Book Antiqua"/>
        </w:rPr>
        <w:t xml:space="preserve"> </w:t>
      </w:r>
      <w:r>
        <w:rPr>
          <w:rFonts w:ascii="Book Antiqua" w:hAnsi="Book Antiqua"/>
          <w:b/>
          <w:bCs/>
        </w:rPr>
        <w:t>Ansari D</w:t>
      </w:r>
      <w:r>
        <w:rPr>
          <w:rFonts w:ascii="Book Antiqua" w:hAnsi="Book Antiqua"/>
        </w:rPr>
        <w:t>, Torén W, Zhou Q, Hu D, Andersson R. Proteomic and genomic profiling of pancreatic cancer.</w:t>
      </w:r>
      <w:r>
        <w:rPr>
          <w:rStyle w:val="apple-converted-space"/>
          <w:rFonts w:ascii="Book Antiqua" w:hAnsi="Book Antiqua"/>
        </w:rPr>
        <w:t xml:space="preserve"> </w:t>
      </w:r>
      <w:r>
        <w:rPr>
          <w:rFonts w:ascii="Book Antiqua" w:hAnsi="Book Antiqua"/>
          <w:i/>
          <w:iCs/>
        </w:rPr>
        <w:t>Cell Biol Toxicol</w:t>
      </w:r>
      <w:r>
        <w:rPr>
          <w:rStyle w:val="apple-converted-space"/>
          <w:rFonts w:ascii="Book Antiqua" w:hAnsi="Book Antiqua"/>
        </w:rPr>
        <w:t xml:space="preserve"> </w:t>
      </w:r>
      <w:r>
        <w:rPr>
          <w:rFonts w:ascii="Book Antiqua" w:hAnsi="Book Antiqua"/>
        </w:rPr>
        <w:t>2019;</w:t>
      </w:r>
      <w:r>
        <w:rPr>
          <w:rStyle w:val="apple-converted-space"/>
          <w:rFonts w:ascii="Book Antiqua" w:hAnsi="Book Antiqua"/>
        </w:rPr>
        <w:t xml:space="preserve"> </w:t>
      </w:r>
      <w:r>
        <w:rPr>
          <w:rFonts w:ascii="Book Antiqua" w:hAnsi="Book Antiqua"/>
          <w:b/>
          <w:bCs/>
        </w:rPr>
        <w:t>35</w:t>
      </w:r>
      <w:r>
        <w:rPr>
          <w:rFonts w:ascii="Book Antiqua" w:hAnsi="Book Antiqua"/>
        </w:rPr>
        <w:t>: 333-343 [PMID: 30771135 DOI: 10.1007/s10565-019-09465-9]</w:t>
      </w:r>
    </w:p>
    <w:p w14:paraId="157B38C9" w14:textId="77777777" w:rsidR="00A503D8" w:rsidRDefault="00000000">
      <w:pPr>
        <w:pStyle w:val="ac"/>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77</w:t>
      </w:r>
      <w:r>
        <w:rPr>
          <w:rStyle w:val="apple-converted-space"/>
          <w:rFonts w:ascii="Book Antiqua" w:hAnsi="Book Antiqua"/>
        </w:rPr>
        <w:t xml:space="preserve"> </w:t>
      </w:r>
      <w:r>
        <w:rPr>
          <w:rFonts w:ascii="Book Antiqua" w:hAnsi="Book Antiqua"/>
          <w:b/>
          <w:bCs/>
        </w:rPr>
        <w:t>Gu YL</w:t>
      </w:r>
      <w:r>
        <w:rPr>
          <w:rFonts w:ascii="Book Antiqua" w:hAnsi="Book Antiqua"/>
        </w:rPr>
        <w:t>, Lan C, Pei H, Yang SN, Liu YF, Xiao LL. Applicative Value of Serum CA19-9, CEA, CA125 and CA242 in Diagnosis and Prognosis for Patients with Pancreatic Cancer Treated by Concurrent Chemoradiotherapy.</w:t>
      </w:r>
      <w:r>
        <w:rPr>
          <w:rStyle w:val="apple-converted-space"/>
          <w:rFonts w:ascii="Book Antiqua" w:hAnsi="Book Antiqua"/>
        </w:rPr>
        <w:t xml:space="preserve"> </w:t>
      </w:r>
      <w:r>
        <w:rPr>
          <w:rFonts w:ascii="Book Antiqua" w:hAnsi="Book Antiqua"/>
          <w:i/>
          <w:iCs/>
        </w:rPr>
        <w:t>Asian Pac J Cancer Prev</w:t>
      </w:r>
      <w:r>
        <w:rPr>
          <w:rStyle w:val="apple-converted-space"/>
          <w:rFonts w:ascii="Book Antiqua" w:hAnsi="Book Antiqua"/>
        </w:rPr>
        <w:t xml:space="preserve"> </w:t>
      </w:r>
      <w:r>
        <w:rPr>
          <w:rFonts w:ascii="Book Antiqua" w:hAnsi="Book Antiqua"/>
        </w:rPr>
        <w:t>2015;</w:t>
      </w:r>
      <w:r>
        <w:rPr>
          <w:rStyle w:val="apple-converted-space"/>
          <w:rFonts w:ascii="Book Antiqua" w:hAnsi="Book Antiqua"/>
        </w:rPr>
        <w:t xml:space="preserve"> </w:t>
      </w:r>
      <w:r>
        <w:rPr>
          <w:rFonts w:ascii="Book Antiqua" w:hAnsi="Book Antiqua"/>
          <w:b/>
          <w:bCs/>
        </w:rPr>
        <w:t>16</w:t>
      </w:r>
      <w:r>
        <w:rPr>
          <w:rFonts w:ascii="Book Antiqua" w:hAnsi="Book Antiqua"/>
        </w:rPr>
        <w:t>: 6569-6573 [PMID: 26434876 DOI: 10.7314/apjcp.2015.16.15.6569]</w:t>
      </w:r>
    </w:p>
    <w:p w14:paraId="333E28C6" w14:textId="77777777" w:rsidR="00A503D8" w:rsidRDefault="00000000">
      <w:pPr>
        <w:pStyle w:val="ac"/>
        <w:adjustRightInd w:val="0"/>
        <w:snapToGrid w:val="0"/>
        <w:spacing w:before="0" w:beforeAutospacing="0" w:after="0" w:afterAutospacing="0" w:line="360" w:lineRule="auto"/>
        <w:jc w:val="both"/>
        <w:rPr>
          <w:rFonts w:ascii="Book Antiqua" w:hAnsi="Book Antiqua"/>
        </w:rPr>
      </w:pPr>
      <w:r>
        <w:rPr>
          <w:rFonts w:ascii="Book Antiqua" w:hAnsi="Book Antiqua"/>
        </w:rPr>
        <w:t>78</w:t>
      </w:r>
      <w:r>
        <w:rPr>
          <w:rStyle w:val="apple-converted-space"/>
          <w:rFonts w:ascii="Book Antiqua" w:hAnsi="Book Antiqua"/>
        </w:rPr>
        <w:t xml:space="preserve"> </w:t>
      </w:r>
      <w:r>
        <w:rPr>
          <w:rFonts w:ascii="Book Antiqua" w:hAnsi="Book Antiqua"/>
          <w:b/>
          <w:bCs/>
        </w:rPr>
        <w:t>Melo SA</w:t>
      </w:r>
      <w:r>
        <w:rPr>
          <w:rFonts w:ascii="Book Antiqua" w:hAnsi="Book Antiqua"/>
        </w:rPr>
        <w:t>, Luecke LB, Kahlert C, Fernandez AF, Gammon ST, Kaye J, LeBleu VS, Mittendorf EA, Weitz J, Rahbari N, Reissfelder C, Pilarsky C, Fraga MF, Piwnica-Worms D, Kalluri R. Glypican-1 identifies cancer exosomes and detects early pancreatic cancer.</w:t>
      </w:r>
      <w:r>
        <w:rPr>
          <w:rStyle w:val="apple-converted-space"/>
          <w:rFonts w:ascii="Book Antiqua" w:hAnsi="Book Antiqua"/>
        </w:rPr>
        <w:t xml:space="preserve"> </w:t>
      </w:r>
      <w:r>
        <w:rPr>
          <w:rFonts w:ascii="Book Antiqua" w:hAnsi="Book Antiqua"/>
          <w:i/>
          <w:iCs/>
        </w:rPr>
        <w:t>Nature</w:t>
      </w:r>
      <w:r>
        <w:rPr>
          <w:rStyle w:val="apple-converted-space"/>
          <w:rFonts w:ascii="Book Antiqua" w:hAnsi="Book Antiqua"/>
        </w:rPr>
        <w:t xml:space="preserve"> </w:t>
      </w:r>
      <w:r>
        <w:rPr>
          <w:rFonts w:ascii="Book Antiqua" w:hAnsi="Book Antiqua"/>
        </w:rPr>
        <w:t>2015;</w:t>
      </w:r>
      <w:r>
        <w:rPr>
          <w:rStyle w:val="apple-converted-space"/>
          <w:rFonts w:ascii="Book Antiqua" w:hAnsi="Book Antiqua"/>
        </w:rPr>
        <w:t xml:space="preserve"> </w:t>
      </w:r>
      <w:r>
        <w:rPr>
          <w:rFonts w:ascii="Book Antiqua" w:hAnsi="Book Antiqua"/>
          <w:b/>
          <w:bCs/>
        </w:rPr>
        <w:t>523</w:t>
      </w:r>
      <w:r>
        <w:rPr>
          <w:rFonts w:ascii="Book Antiqua" w:hAnsi="Book Antiqua"/>
        </w:rPr>
        <w:t>: 177-182 [PMID: 26106858 DOI: 10.1038/nature14581]</w:t>
      </w:r>
    </w:p>
    <w:p w14:paraId="72AEFEC8" w14:textId="77777777" w:rsidR="00A503D8" w:rsidRDefault="00000000">
      <w:pPr>
        <w:pStyle w:val="ac"/>
        <w:adjustRightInd w:val="0"/>
        <w:snapToGrid w:val="0"/>
        <w:spacing w:before="0" w:beforeAutospacing="0" w:after="0" w:afterAutospacing="0" w:line="360" w:lineRule="auto"/>
        <w:jc w:val="both"/>
        <w:rPr>
          <w:rFonts w:ascii="Book Antiqua" w:hAnsi="Book Antiqua"/>
        </w:rPr>
      </w:pPr>
      <w:r>
        <w:rPr>
          <w:rFonts w:ascii="Book Antiqua" w:hAnsi="Book Antiqua"/>
        </w:rPr>
        <w:t>79</w:t>
      </w:r>
      <w:r>
        <w:rPr>
          <w:rStyle w:val="apple-converted-space"/>
          <w:rFonts w:ascii="Book Antiqua" w:hAnsi="Book Antiqua"/>
        </w:rPr>
        <w:t xml:space="preserve"> </w:t>
      </w:r>
      <w:r>
        <w:rPr>
          <w:rFonts w:ascii="Book Antiqua" w:hAnsi="Book Antiqua"/>
          <w:b/>
          <w:bCs/>
        </w:rPr>
        <w:t>Tsui NB</w:t>
      </w:r>
      <w:r>
        <w:rPr>
          <w:rFonts w:ascii="Book Antiqua" w:hAnsi="Book Antiqua"/>
        </w:rPr>
        <w:t>, Ng EK, Lo YM. Stability of endogenous and added RNA in blood specimens, serum, and plasma.</w:t>
      </w:r>
      <w:r>
        <w:rPr>
          <w:rStyle w:val="apple-converted-space"/>
          <w:rFonts w:ascii="Book Antiqua" w:hAnsi="Book Antiqua"/>
        </w:rPr>
        <w:t xml:space="preserve"> </w:t>
      </w:r>
      <w:r>
        <w:rPr>
          <w:rFonts w:ascii="Book Antiqua" w:hAnsi="Book Antiqua"/>
          <w:i/>
          <w:iCs/>
        </w:rPr>
        <w:t>Clin Chem</w:t>
      </w:r>
      <w:r>
        <w:rPr>
          <w:rStyle w:val="apple-converted-space"/>
          <w:rFonts w:ascii="Book Antiqua" w:hAnsi="Book Antiqua"/>
        </w:rPr>
        <w:t xml:space="preserve"> </w:t>
      </w:r>
      <w:r>
        <w:rPr>
          <w:rFonts w:ascii="Book Antiqua" w:hAnsi="Book Antiqua"/>
        </w:rPr>
        <w:t>2002;</w:t>
      </w:r>
      <w:r>
        <w:rPr>
          <w:rStyle w:val="apple-converted-space"/>
          <w:rFonts w:ascii="Book Antiqua" w:hAnsi="Book Antiqua"/>
        </w:rPr>
        <w:t xml:space="preserve"> </w:t>
      </w:r>
      <w:r>
        <w:rPr>
          <w:rFonts w:ascii="Book Antiqua" w:hAnsi="Book Antiqua"/>
          <w:b/>
          <w:bCs/>
        </w:rPr>
        <w:t>48</w:t>
      </w:r>
      <w:r>
        <w:rPr>
          <w:rFonts w:ascii="Book Antiqua" w:hAnsi="Book Antiqua"/>
        </w:rPr>
        <w:t>: 1647-1653 [PMID: 12324479]</w:t>
      </w:r>
    </w:p>
    <w:p w14:paraId="3E712A1B" w14:textId="77777777" w:rsidR="00A503D8" w:rsidRDefault="00000000">
      <w:pPr>
        <w:pStyle w:val="ac"/>
        <w:adjustRightInd w:val="0"/>
        <w:snapToGrid w:val="0"/>
        <w:spacing w:before="0" w:beforeAutospacing="0" w:after="0" w:afterAutospacing="0" w:line="360" w:lineRule="auto"/>
        <w:jc w:val="both"/>
        <w:rPr>
          <w:rFonts w:ascii="Book Antiqua" w:hAnsi="Book Antiqua"/>
        </w:rPr>
      </w:pPr>
      <w:r>
        <w:rPr>
          <w:rFonts w:ascii="Book Antiqua" w:hAnsi="Book Antiqua"/>
        </w:rPr>
        <w:t>80</w:t>
      </w:r>
      <w:r>
        <w:rPr>
          <w:rStyle w:val="apple-converted-space"/>
          <w:rFonts w:ascii="Book Antiqua" w:hAnsi="Book Antiqua"/>
        </w:rPr>
        <w:t xml:space="preserve"> </w:t>
      </w:r>
      <w:r>
        <w:rPr>
          <w:rFonts w:ascii="Book Antiqua" w:hAnsi="Book Antiqua"/>
          <w:b/>
          <w:bCs/>
        </w:rPr>
        <w:t>Ma R</w:t>
      </w:r>
      <w:r>
        <w:rPr>
          <w:rFonts w:ascii="Book Antiqua" w:hAnsi="Book Antiqua"/>
        </w:rPr>
        <w:t>, Jiang T, Kang X. Circulating microRNAs in cancer: origin, function and application.</w:t>
      </w:r>
      <w:r>
        <w:rPr>
          <w:rStyle w:val="apple-converted-space"/>
          <w:rFonts w:ascii="Book Antiqua" w:hAnsi="Book Antiqua"/>
        </w:rPr>
        <w:t xml:space="preserve"> </w:t>
      </w:r>
      <w:r>
        <w:rPr>
          <w:rFonts w:ascii="Book Antiqua" w:hAnsi="Book Antiqua"/>
          <w:i/>
          <w:iCs/>
        </w:rPr>
        <w:t>J Exp Clin Cancer Res</w:t>
      </w:r>
      <w:r>
        <w:rPr>
          <w:rStyle w:val="apple-converted-space"/>
          <w:rFonts w:ascii="Book Antiqua" w:hAnsi="Book Antiqua"/>
        </w:rPr>
        <w:t xml:space="preserve"> </w:t>
      </w:r>
      <w:r>
        <w:rPr>
          <w:rFonts w:ascii="Book Antiqua" w:hAnsi="Book Antiqua"/>
        </w:rPr>
        <w:t>2012;</w:t>
      </w:r>
      <w:r>
        <w:rPr>
          <w:rStyle w:val="apple-converted-space"/>
          <w:rFonts w:ascii="Book Antiqua" w:hAnsi="Book Antiqua"/>
        </w:rPr>
        <w:t xml:space="preserve"> </w:t>
      </w:r>
      <w:r>
        <w:rPr>
          <w:rFonts w:ascii="Book Antiqua" w:hAnsi="Book Antiqua"/>
          <w:b/>
          <w:bCs/>
        </w:rPr>
        <w:t>31</w:t>
      </w:r>
      <w:r>
        <w:rPr>
          <w:rFonts w:ascii="Book Antiqua" w:hAnsi="Book Antiqua"/>
        </w:rPr>
        <w:t>: 38 [PMID: 22546315 DOI: 10.1186/1756-9966-31-38]</w:t>
      </w:r>
    </w:p>
    <w:p w14:paraId="16691392" w14:textId="77777777" w:rsidR="00A503D8" w:rsidRDefault="00000000">
      <w:pPr>
        <w:pStyle w:val="ac"/>
        <w:adjustRightInd w:val="0"/>
        <w:snapToGrid w:val="0"/>
        <w:spacing w:before="0" w:beforeAutospacing="0" w:after="0" w:afterAutospacing="0" w:line="360" w:lineRule="auto"/>
        <w:jc w:val="both"/>
        <w:rPr>
          <w:rFonts w:ascii="Book Antiqua" w:hAnsi="Book Antiqua"/>
        </w:rPr>
      </w:pPr>
      <w:r>
        <w:rPr>
          <w:rFonts w:ascii="Book Antiqua" w:hAnsi="Book Antiqua"/>
        </w:rPr>
        <w:t>81</w:t>
      </w:r>
      <w:r>
        <w:rPr>
          <w:rStyle w:val="apple-converted-space"/>
          <w:rFonts w:ascii="Book Antiqua" w:hAnsi="Book Antiqua"/>
        </w:rPr>
        <w:t xml:space="preserve"> </w:t>
      </w:r>
      <w:r>
        <w:rPr>
          <w:rFonts w:ascii="Book Antiqua" w:hAnsi="Book Antiqua"/>
          <w:b/>
          <w:bCs/>
        </w:rPr>
        <w:t>Samos J</w:t>
      </w:r>
      <w:r>
        <w:rPr>
          <w:rFonts w:ascii="Book Antiqua" w:hAnsi="Book Antiqua"/>
        </w:rPr>
        <w:t>, García-Olmo DC, Picazo MG, Rubio-Vitaller A, García-Olmo D. Circulating nucleic acids in plasma/serum and tumor progression: are apoptotic bodies involved? An experimental study in a rat cancer model.</w:t>
      </w:r>
      <w:r>
        <w:rPr>
          <w:rStyle w:val="apple-converted-space"/>
          <w:rFonts w:ascii="Book Antiqua" w:hAnsi="Book Antiqua"/>
        </w:rPr>
        <w:t xml:space="preserve"> </w:t>
      </w:r>
      <w:r>
        <w:rPr>
          <w:rFonts w:ascii="Book Antiqua" w:hAnsi="Book Antiqua"/>
          <w:i/>
          <w:iCs/>
        </w:rPr>
        <w:t>Ann N Y Acad Sci</w:t>
      </w:r>
      <w:r>
        <w:rPr>
          <w:rStyle w:val="apple-converted-space"/>
          <w:rFonts w:ascii="Book Antiqua" w:hAnsi="Book Antiqua"/>
        </w:rPr>
        <w:t xml:space="preserve"> </w:t>
      </w:r>
      <w:r>
        <w:rPr>
          <w:rFonts w:ascii="Book Antiqua" w:hAnsi="Book Antiqua"/>
        </w:rPr>
        <w:t>2006;</w:t>
      </w:r>
      <w:r>
        <w:rPr>
          <w:rStyle w:val="apple-converted-space"/>
          <w:rFonts w:ascii="Book Antiqua" w:hAnsi="Book Antiqua"/>
        </w:rPr>
        <w:t xml:space="preserve"> </w:t>
      </w:r>
      <w:r>
        <w:rPr>
          <w:rFonts w:ascii="Book Antiqua" w:hAnsi="Book Antiqua"/>
          <w:b/>
          <w:bCs/>
        </w:rPr>
        <w:t>1075</w:t>
      </w:r>
      <w:r>
        <w:rPr>
          <w:rFonts w:ascii="Book Antiqua" w:hAnsi="Book Antiqua"/>
        </w:rPr>
        <w:t>: 165-173 [PMID: 17108207 DOI: 10.1196/annals.1368.022]</w:t>
      </w:r>
    </w:p>
    <w:p w14:paraId="58207FA2" w14:textId="77777777" w:rsidR="00A503D8" w:rsidRDefault="00000000">
      <w:pPr>
        <w:pStyle w:val="ac"/>
        <w:adjustRightInd w:val="0"/>
        <w:snapToGrid w:val="0"/>
        <w:spacing w:before="0" w:beforeAutospacing="0" w:after="0" w:afterAutospacing="0" w:line="360" w:lineRule="auto"/>
        <w:jc w:val="both"/>
        <w:rPr>
          <w:rFonts w:ascii="Book Antiqua" w:hAnsi="Book Antiqua"/>
        </w:rPr>
      </w:pPr>
      <w:r>
        <w:rPr>
          <w:rFonts w:ascii="Book Antiqua" w:hAnsi="Book Antiqua"/>
        </w:rPr>
        <w:t>82</w:t>
      </w:r>
      <w:r>
        <w:rPr>
          <w:rStyle w:val="apple-converted-space"/>
          <w:rFonts w:ascii="Book Antiqua" w:hAnsi="Book Antiqua"/>
        </w:rPr>
        <w:t xml:space="preserve"> </w:t>
      </w:r>
      <w:r>
        <w:rPr>
          <w:rFonts w:ascii="Book Antiqua" w:hAnsi="Book Antiqua"/>
          <w:b/>
          <w:bCs/>
        </w:rPr>
        <w:t>Sato-Kuwabara Y</w:t>
      </w:r>
      <w:r>
        <w:rPr>
          <w:rFonts w:ascii="Book Antiqua" w:hAnsi="Book Antiqua"/>
        </w:rPr>
        <w:t>, Melo SA, Soares FA, Calin GA. The fusion of two worlds: non-coding RNAs and extracellular vesicles--diagnostic and therapeutic implications (Review).</w:t>
      </w:r>
      <w:r>
        <w:rPr>
          <w:rStyle w:val="apple-converted-space"/>
          <w:rFonts w:ascii="Book Antiqua" w:hAnsi="Book Antiqua"/>
        </w:rPr>
        <w:t xml:space="preserve"> </w:t>
      </w:r>
      <w:r>
        <w:rPr>
          <w:rFonts w:ascii="Book Antiqua" w:hAnsi="Book Antiqua"/>
          <w:i/>
          <w:iCs/>
        </w:rPr>
        <w:t>Int J Oncol</w:t>
      </w:r>
      <w:r>
        <w:rPr>
          <w:rStyle w:val="apple-converted-space"/>
          <w:rFonts w:ascii="Book Antiqua" w:hAnsi="Book Antiqua"/>
        </w:rPr>
        <w:t xml:space="preserve"> </w:t>
      </w:r>
      <w:r>
        <w:rPr>
          <w:rFonts w:ascii="Book Antiqua" w:hAnsi="Book Antiqua"/>
        </w:rPr>
        <w:t>2015;</w:t>
      </w:r>
      <w:r>
        <w:rPr>
          <w:rStyle w:val="apple-converted-space"/>
          <w:rFonts w:ascii="Book Antiqua" w:hAnsi="Book Antiqua"/>
        </w:rPr>
        <w:t xml:space="preserve"> </w:t>
      </w:r>
      <w:r>
        <w:rPr>
          <w:rFonts w:ascii="Book Antiqua" w:hAnsi="Book Antiqua"/>
          <w:b/>
          <w:bCs/>
        </w:rPr>
        <w:t>46</w:t>
      </w:r>
      <w:r>
        <w:rPr>
          <w:rFonts w:ascii="Book Antiqua" w:hAnsi="Book Antiqua"/>
        </w:rPr>
        <w:t>: 17-27 [PMID: 25338714 DOI: 10.3892/ijo.2014.2712]</w:t>
      </w:r>
    </w:p>
    <w:p w14:paraId="71CD6182" w14:textId="77777777" w:rsidR="00A503D8" w:rsidRDefault="00000000">
      <w:pPr>
        <w:pStyle w:val="ac"/>
        <w:adjustRightInd w:val="0"/>
        <w:snapToGrid w:val="0"/>
        <w:spacing w:before="0" w:beforeAutospacing="0" w:after="0" w:afterAutospacing="0" w:line="360" w:lineRule="auto"/>
        <w:jc w:val="both"/>
        <w:rPr>
          <w:rFonts w:ascii="Book Antiqua" w:hAnsi="Book Antiqua"/>
        </w:rPr>
      </w:pPr>
      <w:r>
        <w:rPr>
          <w:rFonts w:ascii="Book Antiqua" w:hAnsi="Book Antiqua"/>
        </w:rPr>
        <w:t>83</w:t>
      </w:r>
      <w:r>
        <w:rPr>
          <w:rStyle w:val="apple-converted-space"/>
          <w:rFonts w:ascii="Book Antiqua" w:hAnsi="Book Antiqua"/>
        </w:rPr>
        <w:t xml:space="preserve"> </w:t>
      </w:r>
      <w:r>
        <w:rPr>
          <w:rFonts w:ascii="Book Antiqua" w:hAnsi="Book Antiqua"/>
          <w:b/>
          <w:bCs/>
        </w:rPr>
        <w:t>Arroyo JD</w:t>
      </w:r>
      <w:r>
        <w:rPr>
          <w:rFonts w:ascii="Book Antiqua" w:hAnsi="Book Antiqua"/>
        </w:rPr>
        <w:t>, Chevillet JR, Kroh EM, Ruf IK, Pritchard CC, Gibson DF, Mitchell PS, Bennett CF, Pogosova-Agadjanyan EL, Stirewalt DL, Tait JF, Tewari M. Argonaute2 complexes carry a population of circulating microRNAs independent of vesicles in human plasma.</w:t>
      </w:r>
      <w:r>
        <w:rPr>
          <w:rStyle w:val="apple-converted-space"/>
          <w:rFonts w:ascii="Book Antiqua" w:hAnsi="Book Antiqua"/>
        </w:rPr>
        <w:t xml:space="preserve"> </w:t>
      </w:r>
      <w:r>
        <w:rPr>
          <w:rFonts w:ascii="Book Antiqua" w:hAnsi="Book Antiqua"/>
          <w:i/>
          <w:iCs/>
        </w:rPr>
        <w:t>Proc Natl Acad Sci U S A</w:t>
      </w:r>
      <w:r>
        <w:rPr>
          <w:rStyle w:val="apple-converted-space"/>
          <w:rFonts w:ascii="Book Antiqua" w:hAnsi="Book Antiqua"/>
        </w:rPr>
        <w:t xml:space="preserve"> </w:t>
      </w:r>
      <w:r>
        <w:rPr>
          <w:rFonts w:ascii="Book Antiqua" w:hAnsi="Book Antiqua"/>
        </w:rPr>
        <w:t>2011;</w:t>
      </w:r>
      <w:r>
        <w:rPr>
          <w:rStyle w:val="apple-converted-space"/>
          <w:rFonts w:ascii="Book Antiqua" w:hAnsi="Book Antiqua"/>
        </w:rPr>
        <w:t xml:space="preserve"> </w:t>
      </w:r>
      <w:r>
        <w:rPr>
          <w:rFonts w:ascii="Book Antiqua" w:hAnsi="Book Antiqua"/>
          <w:b/>
          <w:bCs/>
        </w:rPr>
        <w:t>108</w:t>
      </w:r>
      <w:r>
        <w:rPr>
          <w:rFonts w:ascii="Book Antiqua" w:hAnsi="Book Antiqua"/>
        </w:rPr>
        <w:t>: 5003-5008 [PMID: 21383194 DOI: 10.1073/pnas.1019055108]</w:t>
      </w:r>
    </w:p>
    <w:p w14:paraId="6F22BB80" w14:textId="77777777" w:rsidR="00A503D8" w:rsidRDefault="00000000">
      <w:pPr>
        <w:pStyle w:val="ac"/>
        <w:adjustRightInd w:val="0"/>
        <w:snapToGrid w:val="0"/>
        <w:spacing w:before="0" w:beforeAutospacing="0" w:after="0" w:afterAutospacing="0" w:line="360" w:lineRule="auto"/>
        <w:jc w:val="both"/>
        <w:rPr>
          <w:rFonts w:ascii="Book Antiqua" w:hAnsi="Book Antiqua"/>
        </w:rPr>
      </w:pPr>
      <w:r>
        <w:rPr>
          <w:rFonts w:ascii="Book Antiqua" w:hAnsi="Book Antiqua"/>
        </w:rPr>
        <w:t>84</w:t>
      </w:r>
      <w:r>
        <w:rPr>
          <w:rStyle w:val="apple-converted-space"/>
          <w:rFonts w:ascii="Book Antiqua" w:hAnsi="Book Antiqua"/>
        </w:rPr>
        <w:t xml:space="preserve"> </w:t>
      </w:r>
      <w:r>
        <w:rPr>
          <w:rFonts w:ascii="Book Antiqua" w:hAnsi="Book Antiqua"/>
          <w:b/>
          <w:bCs/>
        </w:rPr>
        <w:t>Ji P</w:t>
      </w:r>
      <w:r>
        <w:rPr>
          <w:rFonts w:ascii="Book Antiqua" w:hAnsi="Book Antiqua"/>
        </w:rPr>
        <w:t>, Diederichs S, Wang W, Böing S, Metzger R, Schneider PM, Tidow N, Brandt B, Buerger H, Bulk E, Thomas M, Berdel WE, Serve H, Müller-Tidow C. MALAT-1, a novel noncoding RNA, and thymosin beta4 predict metastasis and survival in early-stage non-</w:t>
      </w:r>
      <w:r>
        <w:rPr>
          <w:rFonts w:ascii="Book Antiqua" w:hAnsi="Book Antiqua"/>
        </w:rPr>
        <w:lastRenderedPageBreak/>
        <w:t>small cell lung cancer.</w:t>
      </w:r>
      <w:r>
        <w:rPr>
          <w:rStyle w:val="apple-converted-space"/>
          <w:rFonts w:ascii="Book Antiqua" w:hAnsi="Book Antiqua"/>
        </w:rPr>
        <w:t xml:space="preserve"> </w:t>
      </w:r>
      <w:r>
        <w:rPr>
          <w:rFonts w:ascii="Book Antiqua" w:hAnsi="Book Antiqua"/>
          <w:i/>
          <w:iCs/>
        </w:rPr>
        <w:t>Oncogene</w:t>
      </w:r>
      <w:r>
        <w:rPr>
          <w:rStyle w:val="apple-converted-space"/>
          <w:rFonts w:ascii="Book Antiqua" w:hAnsi="Book Antiqua"/>
        </w:rPr>
        <w:t xml:space="preserve"> </w:t>
      </w:r>
      <w:r>
        <w:rPr>
          <w:rFonts w:ascii="Book Antiqua" w:hAnsi="Book Antiqua"/>
        </w:rPr>
        <w:t>2003;</w:t>
      </w:r>
      <w:r>
        <w:rPr>
          <w:rStyle w:val="apple-converted-space"/>
          <w:rFonts w:ascii="Book Antiqua" w:hAnsi="Book Antiqua"/>
        </w:rPr>
        <w:t xml:space="preserve"> </w:t>
      </w:r>
      <w:r>
        <w:rPr>
          <w:rFonts w:ascii="Book Antiqua" w:hAnsi="Book Antiqua"/>
          <w:b/>
          <w:bCs/>
        </w:rPr>
        <w:t>22</w:t>
      </w:r>
      <w:r>
        <w:rPr>
          <w:rFonts w:ascii="Book Antiqua" w:hAnsi="Book Antiqua"/>
        </w:rPr>
        <w:t>: 8031-8041 [PMID: 12970751 DOI: 10.1038/sj.onc.1206928]</w:t>
      </w:r>
    </w:p>
    <w:p w14:paraId="22800055" w14:textId="77777777" w:rsidR="00A503D8" w:rsidRDefault="00000000">
      <w:pPr>
        <w:pStyle w:val="ac"/>
        <w:adjustRightInd w:val="0"/>
        <w:snapToGrid w:val="0"/>
        <w:spacing w:before="0" w:beforeAutospacing="0" w:after="0" w:afterAutospacing="0" w:line="360" w:lineRule="auto"/>
        <w:jc w:val="both"/>
        <w:rPr>
          <w:rFonts w:ascii="Book Antiqua" w:hAnsi="Book Antiqua"/>
        </w:rPr>
      </w:pPr>
      <w:r>
        <w:rPr>
          <w:rFonts w:ascii="Book Antiqua" w:hAnsi="Book Antiqua"/>
        </w:rPr>
        <w:t>85</w:t>
      </w:r>
      <w:r>
        <w:rPr>
          <w:rStyle w:val="apple-converted-space"/>
          <w:rFonts w:ascii="Book Antiqua" w:hAnsi="Book Antiqua"/>
        </w:rPr>
        <w:t xml:space="preserve"> </w:t>
      </w:r>
      <w:r>
        <w:rPr>
          <w:rFonts w:ascii="Book Antiqua" w:hAnsi="Book Antiqua"/>
          <w:b/>
          <w:bCs/>
        </w:rPr>
        <w:t>Saha B</w:t>
      </w:r>
      <w:r>
        <w:rPr>
          <w:rFonts w:ascii="Book Antiqua" w:hAnsi="Book Antiqua"/>
        </w:rPr>
        <w:t>, Chhatriya B, Pramanick S, Goswami S. Bioinformatic Analysis and Integration of Transcriptome and Proteome Results Identify Key Coding and Noncoding Genes Predicting Malignancy in Intraductal Papillary Mucinous Neoplasms of the Pancreas.</w:t>
      </w:r>
      <w:r>
        <w:rPr>
          <w:rStyle w:val="apple-converted-space"/>
          <w:rFonts w:ascii="Book Antiqua" w:hAnsi="Book Antiqua"/>
        </w:rPr>
        <w:t xml:space="preserve"> </w:t>
      </w:r>
      <w:r>
        <w:rPr>
          <w:rFonts w:ascii="Book Antiqua" w:hAnsi="Book Antiqua"/>
          <w:i/>
          <w:iCs/>
        </w:rPr>
        <w:t>Biomed Res Int</w:t>
      </w:r>
      <w:r>
        <w:rPr>
          <w:rStyle w:val="apple-converted-space"/>
          <w:rFonts w:ascii="Book Antiqua" w:hAnsi="Book Antiqua"/>
        </w:rPr>
        <w:t xml:space="preserve"> </w:t>
      </w:r>
      <w:r>
        <w:rPr>
          <w:rFonts w:ascii="Book Antiqua" w:hAnsi="Book Antiqua"/>
        </w:rPr>
        <w:t>2021;</w:t>
      </w:r>
      <w:r>
        <w:rPr>
          <w:rStyle w:val="apple-converted-space"/>
          <w:rFonts w:ascii="Book Antiqua" w:hAnsi="Book Antiqua"/>
        </w:rPr>
        <w:t xml:space="preserve"> </w:t>
      </w:r>
      <w:r>
        <w:rPr>
          <w:rFonts w:ascii="Book Antiqua" w:hAnsi="Book Antiqua"/>
          <w:b/>
          <w:bCs/>
        </w:rPr>
        <w:t>2021</w:t>
      </w:r>
      <w:r>
        <w:rPr>
          <w:rFonts w:ascii="Book Antiqua" w:hAnsi="Book Antiqua"/>
        </w:rPr>
        <w:t>: 1056622 [PMID: 34790815 DOI: 10.1155/2021/1056622]</w:t>
      </w:r>
    </w:p>
    <w:p w14:paraId="239986D6" w14:textId="77777777" w:rsidR="00A503D8" w:rsidRDefault="00000000">
      <w:pPr>
        <w:pStyle w:val="ac"/>
        <w:adjustRightInd w:val="0"/>
        <w:snapToGrid w:val="0"/>
        <w:spacing w:before="0" w:beforeAutospacing="0" w:after="0" w:afterAutospacing="0" w:line="360" w:lineRule="auto"/>
        <w:jc w:val="both"/>
        <w:rPr>
          <w:rFonts w:ascii="Book Antiqua" w:hAnsi="Book Antiqua"/>
        </w:rPr>
      </w:pPr>
      <w:r>
        <w:rPr>
          <w:rFonts w:ascii="Book Antiqua" w:hAnsi="Book Antiqua"/>
        </w:rPr>
        <w:t>86</w:t>
      </w:r>
      <w:r>
        <w:rPr>
          <w:rStyle w:val="apple-converted-space"/>
          <w:rFonts w:ascii="Book Antiqua" w:hAnsi="Book Antiqua"/>
        </w:rPr>
        <w:t xml:space="preserve"> </w:t>
      </w:r>
      <w:r>
        <w:rPr>
          <w:rFonts w:ascii="Book Antiqua" w:hAnsi="Book Antiqua"/>
          <w:b/>
          <w:bCs/>
        </w:rPr>
        <w:t>Kishikawa T</w:t>
      </w:r>
      <w:r>
        <w:rPr>
          <w:rFonts w:ascii="Book Antiqua" w:hAnsi="Book Antiqua"/>
        </w:rPr>
        <w:t>, Otsuka M, Ohno M, Yoshikawa T, Takata A, Koike K. Circulating RNAs as new biomarkers for detecting pancreatic cancer.</w:t>
      </w:r>
      <w:r>
        <w:rPr>
          <w:rStyle w:val="apple-converted-space"/>
          <w:rFonts w:ascii="Book Antiqua" w:hAnsi="Book Antiqua"/>
        </w:rPr>
        <w:t xml:space="preserve"> </w:t>
      </w:r>
      <w:r>
        <w:rPr>
          <w:rFonts w:ascii="Book Antiqua" w:hAnsi="Book Antiqua"/>
          <w:i/>
          <w:iCs/>
        </w:rPr>
        <w:t>World J Gastroenterol</w:t>
      </w:r>
      <w:r>
        <w:rPr>
          <w:rStyle w:val="apple-converted-space"/>
          <w:rFonts w:ascii="Book Antiqua" w:hAnsi="Book Antiqua"/>
        </w:rPr>
        <w:t xml:space="preserve"> </w:t>
      </w:r>
      <w:r>
        <w:rPr>
          <w:rFonts w:ascii="Book Antiqua" w:hAnsi="Book Antiqua"/>
        </w:rPr>
        <w:t>2015;</w:t>
      </w:r>
      <w:r>
        <w:rPr>
          <w:rStyle w:val="apple-converted-space"/>
          <w:rFonts w:ascii="Book Antiqua" w:hAnsi="Book Antiqua"/>
        </w:rPr>
        <w:t xml:space="preserve"> </w:t>
      </w:r>
      <w:r>
        <w:rPr>
          <w:rFonts w:ascii="Book Antiqua" w:hAnsi="Book Antiqua"/>
          <w:b/>
          <w:bCs/>
        </w:rPr>
        <w:t>21</w:t>
      </w:r>
      <w:r>
        <w:rPr>
          <w:rFonts w:ascii="Book Antiqua" w:hAnsi="Book Antiqua"/>
        </w:rPr>
        <w:t>: 8527-8540 [PMID: 26229396 DOI: 10.3748/wjg.v21.i28.8527]</w:t>
      </w:r>
    </w:p>
    <w:p w14:paraId="53D67DEF" w14:textId="77777777" w:rsidR="00A503D8" w:rsidRDefault="00000000">
      <w:pPr>
        <w:pStyle w:val="ac"/>
        <w:adjustRightInd w:val="0"/>
        <w:snapToGrid w:val="0"/>
        <w:spacing w:before="0" w:beforeAutospacing="0" w:after="0" w:afterAutospacing="0" w:line="360" w:lineRule="auto"/>
        <w:jc w:val="both"/>
        <w:rPr>
          <w:rFonts w:ascii="Book Antiqua" w:hAnsi="Book Antiqua"/>
        </w:rPr>
      </w:pPr>
      <w:r>
        <w:rPr>
          <w:rFonts w:ascii="Book Antiqua" w:hAnsi="Book Antiqua"/>
        </w:rPr>
        <w:t>87</w:t>
      </w:r>
      <w:r>
        <w:rPr>
          <w:rStyle w:val="apple-converted-space"/>
          <w:rFonts w:ascii="Book Antiqua" w:hAnsi="Book Antiqua"/>
        </w:rPr>
        <w:t xml:space="preserve"> </w:t>
      </w:r>
      <w:r>
        <w:rPr>
          <w:rFonts w:ascii="Book Antiqua" w:hAnsi="Book Antiqua"/>
          <w:b/>
          <w:bCs/>
        </w:rPr>
        <w:t>Chhatriya B</w:t>
      </w:r>
      <w:r>
        <w:rPr>
          <w:rFonts w:ascii="Book Antiqua" w:hAnsi="Book Antiqua"/>
        </w:rPr>
        <w:t>, Mukherjee M, Ray S, Sarkar P, Chatterjee S, Nath D, Das K, Goswami S. Comparison of tumour and serum specific microRNA changes dissecting their role in pancreatic ductal adenocarcinoma: a meta-analysis.</w:t>
      </w:r>
      <w:r>
        <w:rPr>
          <w:rStyle w:val="apple-converted-space"/>
          <w:rFonts w:ascii="Book Antiqua" w:hAnsi="Book Antiqua"/>
        </w:rPr>
        <w:t xml:space="preserve"> </w:t>
      </w:r>
      <w:r>
        <w:rPr>
          <w:rFonts w:ascii="Book Antiqua" w:hAnsi="Book Antiqua"/>
          <w:i/>
          <w:iCs/>
        </w:rPr>
        <w:t>BMC Cancer</w:t>
      </w:r>
      <w:r>
        <w:rPr>
          <w:rStyle w:val="apple-converted-space"/>
          <w:rFonts w:ascii="Book Antiqua" w:hAnsi="Book Antiqua"/>
        </w:rPr>
        <w:t xml:space="preserve"> </w:t>
      </w:r>
      <w:r>
        <w:rPr>
          <w:rFonts w:ascii="Book Antiqua" w:hAnsi="Book Antiqua"/>
        </w:rPr>
        <w:t>2019;</w:t>
      </w:r>
      <w:r>
        <w:rPr>
          <w:rStyle w:val="apple-converted-space"/>
          <w:rFonts w:ascii="Book Antiqua" w:hAnsi="Book Antiqua"/>
        </w:rPr>
        <w:t xml:space="preserve"> </w:t>
      </w:r>
      <w:r>
        <w:rPr>
          <w:rFonts w:ascii="Book Antiqua" w:hAnsi="Book Antiqua"/>
          <w:b/>
          <w:bCs/>
        </w:rPr>
        <w:t>19</w:t>
      </w:r>
      <w:r>
        <w:rPr>
          <w:rFonts w:ascii="Book Antiqua" w:hAnsi="Book Antiqua"/>
        </w:rPr>
        <w:t>: 1175 [PMID: 31795960 DOI: 10.1186/s12885-019-6380-z]</w:t>
      </w:r>
    </w:p>
    <w:p w14:paraId="66AA0A85" w14:textId="77777777" w:rsidR="00A503D8" w:rsidRDefault="00000000">
      <w:pPr>
        <w:pStyle w:val="ac"/>
        <w:adjustRightInd w:val="0"/>
        <w:snapToGrid w:val="0"/>
        <w:spacing w:before="0" w:beforeAutospacing="0" w:after="0" w:afterAutospacing="0" w:line="360" w:lineRule="auto"/>
        <w:jc w:val="both"/>
        <w:rPr>
          <w:rFonts w:ascii="Book Antiqua" w:hAnsi="Book Antiqua"/>
        </w:rPr>
      </w:pPr>
      <w:r>
        <w:rPr>
          <w:rFonts w:ascii="Book Antiqua" w:hAnsi="Book Antiqua"/>
        </w:rPr>
        <w:t>88</w:t>
      </w:r>
      <w:r>
        <w:rPr>
          <w:rStyle w:val="apple-converted-space"/>
          <w:rFonts w:ascii="Book Antiqua" w:hAnsi="Book Antiqua"/>
        </w:rPr>
        <w:t xml:space="preserve"> </w:t>
      </w:r>
      <w:r>
        <w:rPr>
          <w:rFonts w:ascii="Book Antiqua" w:hAnsi="Book Antiqua"/>
          <w:b/>
          <w:bCs/>
        </w:rPr>
        <w:t>Funaki NO</w:t>
      </w:r>
      <w:r>
        <w:rPr>
          <w:rFonts w:ascii="Book Antiqua" w:hAnsi="Book Antiqua"/>
        </w:rPr>
        <w:t>, Tanaka J, Kasamatsu T, Ohshio G, Hosotani R, Okino T, Imamura M. Identification of carcinoembryonic antigen mRNA in circulating peripheral blood of pancreatic carcinoma and gastric carcinoma patients.</w:t>
      </w:r>
      <w:r>
        <w:rPr>
          <w:rStyle w:val="apple-converted-space"/>
          <w:rFonts w:ascii="Book Antiqua" w:hAnsi="Book Antiqua"/>
        </w:rPr>
        <w:t xml:space="preserve"> </w:t>
      </w:r>
      <w:r>
        <w:rPr>
          <w:rFonts w:ascii="Book Antiqua" w:hAnsi="Book Antiqua"/>
          <w:i/>
          <w:iCs/>
        </w:rPr>
        <w:t>Life Sci</w:t>
      </w:r>
      <w:r>
        <w:rPr>
          <w:rStyle w:val="apple-converted-space"/>
          <w:rFonts w:ascii="Book Antiqua" w:hAnsi="Book Antiqua"/>
        </w:rPr>
        <w:t xml:space="preserve"> </w:t>
      </w:r>
      <w:r>
        <w:rPr>
          <w:rFonts w:ascii="Book Antiqua" w:hAnsi="Book Antiqua"/>
        </w:rPr>
        <w:t>1996;</w:t>
      </w:r>
      <w:r>
        <w:rPr>
          <w:rStyle w:val="apple-converted-space"/>
          <w:rFonts w:ascii="Book Antiqua" w:hAnsi="Book Antiqua"/>
        </w:rPr>
        <w:t xml:space="preserve"> </w:t>
      </w:r>
      <w:r>
        <w:rPr>
          <w:rFonts w:ascii="Book Antiqua" w:hAnsi="Book Antiqua"/>
          <w:b/>
          <w:bCs/>
        </w:rPr>
        <w:t>59</w:t>
      </w:r>
      <w:r>
        <w:rPr>
          <w:rFonts w:ascii="Book Antiqua" w:hAnsi="Book Antiqua"/>
        </w:rPr>
        <w:t>: 2187-2199 [PMID: 8950323 DOI: 10.1016/s0024-3205(96)00576-0]</w:t>
      </w:r>
    </w:p>
    <w:p w14:paraId="24628236" w14:textId="77777777" w:rsidR="00A503D8" w:rsidRDefault="00000000">
      <w:pPr>
        <w:pStyle w:val="ac"/>
        <w:adjustRightInd w:val="0"/>
        <w:snapToGrid w:val="0"/>
        <w:spacing w:before="0" w:beforeAutospacing="0" w:after="0" w:afterAutospacing="0" w:line="360" w:lineRule="auto"/>
        <w:jc w:val="both"/>
        <w:rPr>
          <w:rFonts w:ascii="Book Antiqua" w:hAnsi="Book Antiqua"/>
        </w:rPr>
      </w:pPr>
      <w:r>
        <w:rPr>
          <w:rFonts w:ascii="Book Antiqua" w:hAnsi="Book Antiqua"/>
        </w:rPr>
        <w:t>89</w:t>
      </w:r>
      <w:r>
        <w:rPr>
          <w:rStyle w:val="apple-converted-space"/>
          <w:rFonts w:ascii="Book Antiqua" w:hAnsi="Book Antiqua"/>
        </w:rPr>
        <w:t xml:space="preserve"> </w:t>
      </w:r>
      <w:r>
        <w:rPr>
          <w:rFonts w:ascii="Book Antiqua" w:hAnsi="Book Antiqua"/>
          <w:b/>
          <w:bCs/>
        </w:rPr>
        <w:t>Clarke LE</w:t>
      </w:r>
      <w:r>
        <w:rPr>
          <w:rFonts w:ascii="Book Antiqua" w:hAnsi="Book Antiqua"/>
        </w:rPr>
        <w:t>, Leitzel K, Smith J, Ali SM, Lipton A. Epidermal growth factor receptor mRNA in peripheral blood of patients with pancreatic, lung, and colon carcinomas detected by RT-PCR.</w:t>
      </w:r>
      <w:r>
        <w:rPr>
          <w:rStyle w:val="apple-converted-space"/>
          <w:rFonts w:ascii="Book Antiqua" w:hAnsi="Book Antiqua"/>
        </w:rPr>
        <w:t xml:space="preserve"> </w:t>
      </w:r>
      <w:r>
        <w:rPr>
          <w:rFonts w:ascii="Book Antiqua" w:hAnsi="Book Antiqua"/>
          <w:i/>
          <w:iCs/>
        </w:rPr>
        <w:t>Int J Oncol</w:t>
      </w:r>
      <w:r>
        <w:rPr>
          <w:rStyle w:val="apple-converted-space"/>
          <w:rFonts w:ascii="Book Antiqua" w:hAnsi="Book Antiqua"/>
        </w:rPr>
        <w:t xml:space="preserve"> </w:t>
      </w:r>
      <w:r>
        <w:rPr>
          <w:rFonts w:ascii="Book Antiqua" w:hAnsi="Book Antiqua"/>
        </w:rPr>
        <w:t>2003;</w:t>
      </w:r>
      <w:r>
        <w:rPr>
          <w:rStyle w:val="apple-converted-space"/>
          <w:rFonts w:ascii="Book Antiqua" w:hAnsi="Book Antiqua"/>
        </w:rPr>
        <w:t xml:space="preserve"> </w:t>
      </w:r>
      <w:r>
        <w:rPr>
          <w:rFonts w:ascii="Book Antiqua" w:hAnsi="Book Antiqua"/>
          <w:b/>
          <w:bCs/>
        </w:rPr>
        <w:t>22</w:t>
      </w:r>
      <w:r>
        <w:rPr>
          <w:rFonts w:ascii="Book Antiqua" w:hAnsi="Book Antiqua"/>
        </w:rPr>
        <w:t>: 425-430 [PMID: 12527944]</w:t>
      </w:r>
    </w:p>
    <w:p w14:paraId="722A08B0" w14:textId="77777777" w:rsidR="00A503D8" w:rsidRDefault="00000000">
      <w:pPr>
        <w:pStyle w:val="ac"/>
        <w:adjustRightInd w:val="0"/>
        <w:snapToGrid w:val="0"/>
        <w:spacing w:before="0" w:beforeAutospacing="0" w:after="0" w:afterAutospacing="0" w:line="360" w:lineRule="auto"/>
        <w:jc w:val="both"/>
        <w:rPr>
          <w:rFonts w:ascii="Book Antiqua" w:hAnsi="Book Antiqua"/>
        </w:rPr>
      </w:pPr>
      <w:r>
        <w:rPr>
          <w:rFonts w:ascii="Book Antiqua" w:hAnsi="Book Antiqua"/>
        </w:rPr>
        <w:t>90</w:t>
      </w:r>
      <w:r>
        <w:rPr>
          <w:rStyle w:val="apple-converted-space"/>
          <w:rFonts w:ascii="Book Antiqua" w:hAnsi="Book Antiqua"/>
        </w:rPr>
        <w:t xml:space="preserve"> </w:t>
      </w:r>
      <w:r>
        <w:rPr>
          <w:rFonts w:ascii="Book Antiqua" w:hAnsi="Book Antiqua"/>
          <w:b/>
          <w:bCs/>
        </w:rPr>
        <w:t>Kang CY</w:t>
      </w:r>
      <w:r>
        <w:rPr>
          <w:rFonts w:ascii="Book Antiqua" w:hAnsi="Book Antiqua"/>
        </w:rPr>
        <w:t>, Wang J, Axell-House D, Soni P, Chu ML, Chipitsyna G, Sarosiek K, Sendecki J, Hyslop T, Al-Zoubi M, Yeo CJ, Arafat HA. Clinical significance of serum COL6A3 in pancreatic ductal adenocarcinoma.</w:t>
      </w:r>
      <w:r>
        <w:rPr>
          <w:rStyle w:val="apple-converted-space"/>
          <w:rFonts w:ascii="Book Antiqua" w:hAnsi="Book Antiqua"/>
        </w:rPr>
        <w:t xml:space="preserve"> </w:t>
      </w:r>
      <w:r>
        <w:rPr>
          <w:rFonts w:ascii="Book Antiqua" w:hAnsi="Book Antiqua"/>
          <w:i/>
          <w:iCs/>
        </w:rPr>
        <w:t>J Gastrointest Surg</w:t>
      </w:r>
      <w:r>
        <w:rPr>
          <w:rStyle w:val="apple-converted-space"/>
          <w:rFonts w:ascii="Book Antiqua" w:hAnsi="Book Antiqua"/>
        </w:rPr>
        <w:t xml:space="preserve"> </w:t>
      </w:r>
      <w:r>
        <w:rPr>
          <w:rFonts w:ascii="Book Antiqua" w:hAnsi="Book Antiqua"/>
        </w:rPr>
        <w:t>2014;</w:t>
      </w:r>
      <w:r>
        <w:rPr>
          <w:rStyle w:val="apple-converted-space"/>
          <w:rFonts w:ascii="Book Antiqua" w:hAnsi="Book Antiqua"/>
        </w:rPr>
        <w:t xml:space="preserve"> </w:t>
      </w:r>
      <w:r>
        <w:rPr>
          <w:rFonts w:ascii="Book Antiqua" w:hAnsi="Book Antiqua"/>
          <w:b/>
          <w:bCs/>
        </w:rPr>
        <w:t>18</w:t>
      </w:r>
      <w:r>
        <w:rPr>
          <w:rFonts w:ascii="Book Antiqua" w:hAnsi="Book Antiqua"/>
        </w:rPr>
        <w:t>: 7-15 [PMID: 24002763 DOI: 10.1007/s11605-013-2326-y]</w:t>
      </w:r>
    </w:p>
    <w:p w14:paraId="519C352F" w14:textId="77777777" w:rsidR="00A503D8" w:rsidRDefault="00000000">
      <w:pPr>
        <w:pStyle w:val="ac"/>
        <w:adjustRightInd w:val="0"/>
        <w:snapToGrid w:val="0"/>
        <w:spacing w:before="0" w:beforeAutospacing="0" w:after="0" w:afterAutospacing="0" w:line="360" w:lineRule="auto"/>
        <w:jc w:val="both"/>
        <w:rPr>
          <w:rFonts w:ascii="Book Antiqua" w:hAnsi="Book Antiqua"/>
        </w:rPr>
      </w:pPr>
      <w:r>
        <w:rPr>
          <w:rFonts w:ascii="Book Antiqua" w:hAnsi="Book Antiqua"/>
        </w:rPr>
        <w:t>91</w:t>
      </w:r>
      <w:r>
        <w:rPr>
          <w:rStyle w:val="apple-converted-space"/>
          <w:rFonts w:ascii="Book Antiqua" w:hAnsi="Book Antiqua"/>
        </w:rPr>
        <w:t xml:space="preserve"> </w:t>
      </w:r>
      <w:r>
        <w:rPr>
          <w:rFonts w:ascii="Book Antiqua" w:hAnsi="Book Antiqua"/>
          <w:b/>
          <w:bCs/>
        </w:rPr>
        <w:t>Chang TC</w:t>
      </w:r>
      <w:r>
        <w:rPr>
          <w:rFonts w:ascii="Book Antiqua" w:hAnsi="Book Antiqua"/>
        </w:rPr>
        <w:t>, Wentzel EA, Kent OA, Ramachandran K, Mullendore M, Lee KH, Feldmann G, Yamakuchi M, Ferlito M, Lowenstein CJ, Arking DE, Beer MA, Maitra A, Mendell JT. Transactivation of miR-34a by p53 broadly influences gene expression and promotes apoptosis.</w:t>
      </w:r>
      <w:r>
        <w:rPr>
          <w:rStyle w:val="apple-converted-space"/>
          <w:rFonts w:ascii="Book Antiqua" w:hAnsi="Book Antiqua"/>
        </w:rPr>
        <w:t xml:space="preserve"> </w:t>
      </w:r>
      <w:r>
        <w:rPr>
          <w:rFonts w:ascii="Book Antiqua" w:hAnsi="Book Antiqua"/>
          <w:i/>
          <w:iCs/>
        </w:rPr>
        <w:t>Mol Cell</w:t>
      </w:r>
      <w:r>
        <w:rPr>
          <w:rStyle w:val="apple-converted-space"/>
          <w:rFonts w:ascii="Book Antiqua" w:hAnsi="Book Antiqua"/>
        </w:rPr>
        <w:t xml:space="preserve"> </w:t>
      </w:r>
      <w:r>
        <w:rPr>
          <w:rFonts w:ascii="Book Antiqua" w:hAnsi="Book Antiqua"/>
        </w:rPr>
        <w:t>2007;</w:t>
      </w:r>
      <w:r>
        <w:rPr>
          <w:rStyle w:val="apple-converted-space"/>
          <w:rFonts w:ascii="Book Antiqua" w:hAnsi="Book Antiqua"/>
        </w:rPr>
        <w:t xml:space="preserve"> </w:t>
      </w:r>
      <w:r>
        <w:rPr>
          <w:rFonts w:ascii="Book Antiqua" w:hAnsi="Book Antiqua"/>
          <w:b/>
          <w:bCs/>
        </w:rPr>
        <w:t>26</w:t>
      </w:r>
      <w:r>
        <w:rPr>
          <w:rFonts w:ascii="Book Antiqua" w:hAnsi="Book Antiqua"/>
        </w:rPr>
        <w:t>: 745-752 [PMID: 17540599 DOI: 10.1016/j.molcel.2007.05.010]</w:t>
      </w:r>
    </w:p>
    <w:p w14:paraId="70B11F9E" w14:textId="77777777" w:rsidR="00A503D8" w:rsidRDefault="00000000">
      <w:pPr>
        <w:pStyle w:val="ac"/>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92</w:t>
      </w:r>
      <w:r>
        <w:rPr>
          <w:rStyle w:val="apple-converted-space"/>
          <w:rFonts w:ascii="Book Antiqua" w:hAnsi="Book Antiqua"/>
        </w:rPr>
        <w:t xml:space="preserve"> </w:t>
      </w:r>
      <w:r>
        <w:rPr>
          <w:rFonts w:ascii="Book Antiqua" w:hAnsi="Book Antiqua"/>
          <w:b/>
          <w:bCs/>
        </w:rPr>
        <w:t>Habbe N</w:t>
      </w:r>
      <w:r>
        <w:rPr>
          <w:rFonts w:ascii="Book Antiqua" w:hAnsi="Book Antiqua"/>
        </w:rPr>
        <w:t>, Koorstra JB, Mendell JT, Offerhaus GJ, Ryu JK, Feldmann G, Mullendore ME, Goggins MG, Hong SM, Maitra A. MicroRNA miR-155 is a biomarker of early pancreatic neoplasia.</w:t>
      </w:r>
      <w:r>
        <w:rPr>
          <w:rStyle w:val="apple-converted-space"/>
          <w:rFonts w:ascii="Book Antiqua" w:hAnsi="Book Antiqua"/>
        </w:rPr>
        <w:t xml:space="preserve"> </w:t>
      </w:r>
      <w:r>
        <w:rPr>
          <w:rFonts w:ascii="Book Antiqua" w:hAnsi="Book Antiqua"/>
          <w:i/>
          <w:iCs/>
        </w:rPr>
        <w:t>Cancer Biol Ther</w:t>
      </w:r>
      <w:r>
        <w:rPr>
          <w:rStyle w:val="apple-converted-space"/>
          <w:rFonts w:ascii="Book Antiqua" w:hAnsi="Book Antiqua"/>
        </w:rPr>
        <w:t xml:space="preserve"> </w:t>
      </w:r>
      <w:r>
        <w:rPr>
          <w:rFonts w:ascii="Book Antiqua" w:hAnsi="Book Antiqua"/>
        </w:rPr>
        <w:t>2009;</w:t>
      </w:r>
      <w:r>
        <w:rPr>
          <w:rStyle w:val="apple-converted-space"/>
          <w:rFonts w:ascii="Book Antiqua" w:hAnsi="Book Antiqua"/>
        </w:rPr>
        <w:t xml:space="preserve"> </w:t>
      </w:r>
      <w:r>
        <w:rPr>
          <w:rFonts w:ascii="Book Antiqua" w:hAnsi="Book Antiqua"/>
          <w:b/>
          <w:bCs/>
        </w:rPr>
        <w:t>8</w:t>
      </w:r>
      <w:r>
        <w:rPr>
          <w:rFonts w:ascii="Book Antiqua" w:hAnsi="Book Antiqua"/>
        </w:rPr>
        <w:t>: 340-346 [PMID: 19106647 DOI: 10.4161/cbt.8.4.7338]</w:t>
      </w:r>
    </w:p>
    <w:p w14:paraId="5616DE8B" w14:textId="77777777" w:rsidR="00A503D8" w:rsidRDefault="00000000">
      <w:pPr>
        <w:pStyle w:val="ac"/>
        <w:adjustRightInd w:val="0"/>
        <w:snapToGrid w:val="0"/>
        <w:spacing w:before="0" w:beforeAutospacing="0" w:after="0" w:afterAutospacing="0" w:line="360" w:lineRule="auto"/>
        <w:jc w:val="both"/>
        <w:rPr>
          <w:rFonts w:ascii="Book Antiqua" w:hAnsi="Book Antiqua"/>
        </w:rPr>
      </w:pPr>
      <w:r>
        <w:rPr>
          <w:rFonts w:ascii="Book Antiqua" w:hAnsi="Book Antiqua"/>
        </w:rPr>
        <w:t>93</w:t>
      </w:r>
      <w:r>
        <w:rPr>
          <w:rStyle w:val="apple-converted-space"/>
          <w:rFonts w:ascii="Book Antiqua" w:hAnsi="Book Antiqua"/>
        </w:rPr>
        <w:t xml:space="preserve"> </w:t>
      </w:r>
      <w:r>
        <w:rPr>
          <w:rFonts w:ascii="Book Antiqua" w:hAnsi="Book Antiqua"/>
          <w:b/>
          <w:bCs/>
        </w:rPr>
        <w:t>Yang JY</w:t>
      </w:r>
      <w:r>
        <w:rPr>
          <w:rFonts w:ascii="Book Antiqua" w:hAnsi="Book Antiqua"/>
        </w:rPr>
        <w:t>, Sun YW, Liu DJ, Zhang JF, Li J, Hua R. MicroRNAs in stool samples as potential screening biomarkers for pancreatic ductal adenocarcinoma cancer.</w:t>
      </w:r>
      <w:r>
        <w:rPr>
          <w:rStyle w:val="apple-converted-space"/>
          <w:rFonts w:ascii="Book Antiqua" w:hAnsi="Book Antiqua"/>
        </w:rPr>
        <w:t xml:space="preserve"> </w:t>
      </w:r>
      <w:r>
        <w:rPr>
          <w:rFonts w:ascii="Book Antiqua" w:hAnsi="Book Antiqua"/>
          <w:i/>
          <w:iCs/>
        </w:rPr>
        <w:t>Am J Cancer Res</w:t>
      </w:r>
      <w:r>
        <w:rPr>
          <w:rStyle w:val="apple-converted-space"/>
          <w:rFonts w:ascii="Book Antiqua" w:hAnsi="Book Antiqua"/>
        </w:rPr>
        <w:t xml:space="preserve"> </w:t>
      </w:r>
      <w:r>
        <w:rPr>
          <w:rFonts w:ascii="Book Antiqua" w:hAnsi="Book Antiqua"/>
        </w:rPr>
        <w:t>2014;</w:t>
      </w:r>
      <w:r>
        <w:rPr>
          <w:rStyle w:val="apple-converted-space"/>
          <w:rFonts w:ascii="Book Antiqua" w:hAnsi="Book Antiqua"/>
        </w:rPr>
        <w:t xml:space="preserve"> </w:t>
      </w:r>
      <w:r>
        <w:rPr>
          <w:rFonts w:ascii="Book Antiqua" w:hAnsi="Book Antiqua"/>
          <w:b/>
          <w:bCs/>
        </w:rPr>
        <w:t>4</w:t>
      </w:r>
      <w:r>
        <w:rPr>
          <w:rFonts w:ascii="Book Antiqua" w:hAnsi="Book Antiqua"/>
        </w:rPr>
        <w:t>: 663-673 [PMID: 25520858]</w:t>
      </w:r>
    </w:p>
    <w:p w14:paraId="466454EF" w14:textId="77777777" w:rsidR="00A503D8" w:rsidRDefault="00000000">
      <w:pPr>
        <w:pStyle w:val="ac"/>
        <w:adjustRightInd w:val="0"/>
        <w:snapToGrid w:val="0"/>
        <w:spacing w:before="0" w:beforeAutospacing="0" w:after="0" w:afterAutospacing="0" w:line="360" w:lineRule="auto"/>
        <w:jc w:val="both"/>
        <w:rPr>
          <w:rFonts w:ascii="Book Antiqua" w:hAnsi="Book Antiqua"/>
        </w:rPr>
      </w:pPr>
      <w:r>
        <w:rPr>
          <w:rFonts w:ascii="Book Antiqua" w:hAnsi="Book Antiqua"/>
        </w:rPr>
        <w:t>94</w:t>
      </w:r>
      <w:r>
        <w:rPr>
          <w:rStyle w:val="apple-converted-space"/>
          <w:rFonts w:ascii="Book Antiqua" w:hAnsi="Book Antiqua"/>
        </w:rPr>
        <w:t xml:space="preserve"> </w:t>
      </w:r>
      <w:r>
        <w:rPr>
          <w:rFonts w:ascii="Book Antiqua" w:hAnsi="Book Antiqua"/>
          <w:b/>
          <w:bCs/>
        </w:rPr>
        <w:t>Jiang P</w:t>
      </w:r>
      <w:r>
        <w:rPr>
          <w:rFonts w:ascii="Book Antiqua" w:hAnsi="Book Antiqua"/>
        </w:rPr>
        <w:t>, Yin Y, Wu Y, Sun Z. Silencing of long non-coding RNA SNHG15 suppresses proliferation, migration and invasion of pancreatic cancer cells by regulating the microRNA-345-5p/RAB27B axis.</w:t>
      </w:r>
      <w:r>
        <w:rPr>
          <w:rStyle w:val="apple-converted-space"/>
          <w:rFonts w:ascii="Book Antiqua" w:hAnsi="Book Antiqua"/>
        </w:rPr>
        <w:t xml:space="preserve"> </w:t>
      </w:r>
      <w:r>
        <w:rPr>
          <w:rFonts w:ascii="Book Antiqua" w:hAnsi="Book Antiqua"/>
          <w:i/>
          <w:iCs/>
        </w:rPr>
        <w:t>Exp Ther Med</w:t>
      </w:r>
      <w:r>
        <w:rPr>
          <w:rStyle w:val="apple-converted-space"/>
          <w:rFonts w:ascii="Book Antiqua" w:hAnsi="Book Antiqua"/>
        </w:rPr>
        <w:t xml:space="preserve"> </w:t>
      </w:r>
      <w:r>
        <w:rPr>
          <w:rFonts w:ascii="Book Antiqua" w:hAnsi="Book Antiqua"/>
        </w:rPr>
        <w:t>2021;</w:t>
      </w:r>
      <w:r>
        <w:rPr>
          <w:rStyle w:val="apple-converted-space"/>
          <w:rFonts w:ascii="Book Antiqua" w:hAnsi="Book Antiqua"/>
        </w:rPr>
        <w:t xml:space="preserve"> </w:t>
      </w:r>
      <w:r>
        <w:rPr>
          <w:rFonts w:ascii="Book Antiqua" w:hAnsi="Book Antiqua"/>
          <w:b/>
          <w:bCs/>
        </w:rPr>
        <w:t>22</w:t>
      </w:r>
      <w:r>
        <w:rPr>
          <w:rFonts w:ascii="Book Antiqua" w:hAnsi="Book Antiqua"/>
        </w:rPr>
        <w:t>: 1273 [PMID: 34594410 DOI: 10.3892/etm.2021.10708]</w:t>
      </w:r>
    </w:p>
    <w:p w14:paraId="121B37E2" w14:textId="77777777" w:rsidR="00A503D8" w:rsidRDefault="00000000">
      <w:pPr>
        <w:pStyle w:val="ac"/>
        <w:adjustRightInd w:val="0"/>
        <w:snapToGrid w:val="0"/>
        <w:spacing w:before="0" w:beforeAutospacing="0" w:after="0" w:afterAutospacing="0" w:line="360" w:lineRule="auto"/>
        <w:jc w:val="both"/>
        <w:rPr>
          <w:rFonts w:ascii="Book Antiqua" w:hAnsi="Book Antiqua"/>
        </w:rPr>
      </w:pPr>
      <w:r>
        <w:rPr>
          <w:rFonts w:ascii="Book Antiqua" w:hAnsi="Book Antiqua"/>
        </w:rPr>
        <w:t>95</w:t>
      </w:r>
      <w:r>
        <w:rPr>
          <w:rStyle w:val="apple-converted-space"/>
          <w:rFonts w:ascii="Book Antiqua" w:hAnsi="Book Antiqua"/>
        </w:rPr>
        <w:t xml:space="preserve"> </w:t>
      </w:r>
      <w:r>
        <w:rPr>
          <w:rFonts w:ascii="Book Antiqua" w:hAnsi="Book Antiqua"/>
          <w:b/>
          <w:bCs/>
        </w:rPr>
        <w:t>Liao J</w:t>
      </w:r>
      <w:r>
        <w:rPr>
          <w:rFonts w:ascii="Book Antiqua" w:hAnsi="Book Antiqua"/>
        </w:rPr>
        <w:t>, Yu L, Mei Y, Guarnera M, Shen J, Li R, Liu Z, Jiang F. Small nucleolar RNA signatures as biomarkers for non-small-cell lung cancer.</w:t>
      </w:r>
      <w:r>
        <w:rPr>
          <w:rStyle w:val="apple-converted-space"/>
          <w:rFonts w:ascii="Book Antiqua" w:hAnsi="Book Antiqua"/>
        </w:rPr>
        <w:t xml:space="preserve"> </w:t>
      </w:r>
      <w:r>
        <w:rPr>
          <w:rFonts w:ascii="Book Antiqua" w:hAnsi="Book Antiqua"/>
          <w:i/>
          <w:iCs/>
        </w:rPr>
        <w:t>Mol Cancer</w:t>
      </w:r>
      <w:r>
        <w:rPr>
          <w:rStyle w:val="apple-converted-space"/>
          <w:rFonts w:ascii="Book Antiqua" w:hAnsi="Book Antiqua"/>
        </w:rPr>
        <w:t xml:space="preserve"> </w:t>
      </w:r>
      <w:r>
        <w:rPr>
          <w:rFonts w:ascii="Book Antiqua" w:hAnsi="Book Antiqua"/>
        </w:rPr>
        <w:t>2010;</w:t>
      </w:r>
      <w:r>
        <w:rPr>
          <w:rStyle w:val="apple-converted-space"/>
          <w:rFonts w:ascii="Book Antiqua" w:hAnsi="Book Antiqua"/>
        </w:rPr>
        <w:t xml:space="preserve"> </w:t>
      </w:r>
      <w:r>
        <w:rPr>
          <w:rFonts w:ascii="Book Antiqua" w:hAnsi="Book Antiqua"/>
          <w:b/>
          <w:bCs/>
        </w:rPr>
        <w:t>9</w:t>
      </w:r>
      <w:r>
        <w:rPr>
          <w:rFonts w:ascii="Book Antiqua" w:hAnsi="Book Antiqua"/>
        </w:rPr>
        <w:t>: 198 [PMID: 20663213 DOI: 10.1186/1476-4598-9-198]</w:t>
      </w:r>
    </w:p>
    <w:p w14:paraId="393B9186" w14:textId="77777777" w:rsidR="00A503D8" w:rsidRDefault="00000000">
      <w:pPr>
        <w:pStyle w:val="ac"/>
        <w:adjustRightInd w:val="0"/>
        <w:snapToGrid w:val="0"/>
        <w:spacing w:before="0" w:beforeAutospacing="0" w:after="0" w:afterAutospacing="0" w:line="360" w:lineRule="auto"/>
        <w:jc w:val="both"/>
        <w:rPr>
          <w:rFonts w:ascii="Book Antiqua" w:hAnsi="Book Antiqua"/>
        </w:rPr>
      </w:pPr>
      <w:r>
        <w:rPr>
          <w:rFonts w:ascii="Book Antiqua" w:hAnsi="Book Antiqua"/>
        </w:rPr>
        <w:t>96</w:t>
      </w:r>
      <w:r>
        <w:rPr>
          <w:rStyle w:val="apple-converted-space"/>
          <w:rFonts w:ascii="Book Antiqua" w:hAnsi="Book Antiqua"/>
        </w:rPr>
        <w:t xml:space="preserve"> </w:t>
      </w:r>
      <w:r>
        <w:rPr>
          <w:rFonts w:ascii="Book Antiqua" w:hAnsi="Book Antiqua"/>
          <w:b/>
          <w:bCs/>
        </w:rPr>
        <w:t>Wang H</w:t>
      </w:r>
      <w:r>
        <w:rPr>
          <w:rFonts w:ascii="Book Antiqua" w:hAnsi="Book Antiqua"/>
        </w:rPr>
        <w:t>, Yin F, Yuan F, Men Y, Deng M, Liu Y, Li Q. Pancreatic cancer differential methylation atlas in blood, peri-carcinomatous and diseased tissue.</w:t>
      </w:r>
      <w:r>
        <w:rPr>
          <w:rStyle w:val="apple-converted-space"/>
          <w:rFonts w:ascii="Book Antiqua" w:hAnsi="Book Antiqua"/>
        </w:rPr>
        <w:t xml:space="preserve"> </w:t>
      </w:r>
      <w:r>
        <w:rPr>
          <w:rFonts w:ascii="Book Antiqua" w:hAnsi="Book Antiqua"/>
          <w:i/>
          <w:iCs/>
        </w:rPr>
        <w:t>Transl Cancer Res</w:t>
      </w:r>
      <w:r>
        <w:rPr>
          <w:rStyle w:val="apple-converted-space"/>
          <w:rFonts w:ascii="Book Antiqua" w:hAnsi="Book Antiqua"/>
        </w:rPr>
        <w:t xml:space="preserve"> </w:t>
      </w:r>
      <w:r>
        <w:rPr>
          <w:rFonts w:ascii="Book Antiqua" w:hAnsi="Book Antiqua"/>
        </w:rPr>
        <w:t>2020;</w:t>
      </w:r>
      <w:r>
        <w:rPr>
          <w:rStyle w:val="apple-converted-space"/>
          <w:rFonts w:ascii="Book Antiqua" w:hAnsi="Book Antiqua"/>
        </w:rPr>
        <w:t xml:space="preserve"> </w:t>
      </w:r>
      <w:r>
        <w:rPr>
          <w:rFonts w:ascii="Book Antiqua" w:hAnsi="Book Antiqua"/>
          <w:b/>
          <w:bCs/>
        </w:rPr>
        <w:t>9</w:t>
      </w:r>
      <w:r>
        <w:rPr>
          <w:rFonts w:ascii="Book Antiqua" w:hAnsi="Book Antiqua"/>
        </w:rPr>
        <w:t>: 421-431 [PMID: 35117387 DOI: 10.21037/tcr.2019.11.26]</w:t>
      </w:r>
    </w:p>
    <w:p w14:paraId="3D4A92E7" w14:textId="77777777" w:rsidR="00A503D8" w:rsidRDefault="00000000">
      <w:pPr>
        <w:pStyle w:val="ac"/>
        <w:adjustRightInd w:val="0"/>
        <w:snapToGrid w:val="0"/>
        <w:spacing w:before="0" w:beforeAutospacing="0" w:after="0" w:afterAutospacing="0" w:line="360" w:lineRule="auto"/>
        <w:jc w:val="both"/>
        <w:rPr>
          <w:rFonts w:ascii="Book Antiqua" w:hAnsi="Book Antiqua"/>
        </w:rPr>
      </w:pPr>
      <w:r>
        <w:rPr>
          <w:rFonts w:ascii="Book Antiqua" w:hAnsi="Book Antiqua"/>
        </w:rPr>
        <w:t>97</w:t>
      </w:r>
      <w:r>
        <w:rPr>
          <w:rStyle w:val="apple-converted-space"/>
          <w:rFonts w:ascii="Book Antiqua" w:hAnsi="Book Antiqua"/>
        </w:rPr>
        <w:t xml:space="preserve"> </w:t>
      </w:r>
      <w:r>
        <w:rPr>
          <w:rFonts w:ascii="Book Antiqua" w:hAnsi="Book Antiqua"/>
          <w:b/>
          <w:bCs/>
        </w:rPr>
        <w:t>Liu J</w:t>
      </w:r>
      <w:r>
        <w:rPr>
          <w:rFonts w:ascii="Book Antiqua" w:hAnsi="Book Antiqua"/>
        </w:rPr>
        <w:t>, Gao J, Du Y, Li Z, Ren Y, Gu J, Wang X, Gong Y, Wang W, Kong X. Combination of plasma microRNAs with serum CA19-9 for early detection of pancreatic cancer.</w:t>
      </w:r>
      <w:r>
        <w:rPr>
          <w:rStyle w:val="apple-converted-space"/>
          <w:rFonts w:ascii="Book Antiqua" w:hAnsi="Book Antiqua"/>
        </w:rPr>
        <w:t xml:space="preserve"> </w:t>
      </w:r>
      <w:r>
        <w:rPr>
          <w:rFonts w:ascii="Book Antiqua" w:hAnsi="Book Antiqua"/>
          <w:i/>
          <w:iCs/>
        </w:rPr>
        <w:t>Int J Cancer</w:t>
      </w:r>
      <w:r>
        <w:rPr>
          <w:rStyle w:val="apple-converted-space"/>
          <w:rFonts w:ascii="Book Antiqua" w:hAnsi="Book Antiqua"/>
        </w:rPr>
        <w:t xml:space="preserve"> </w:t>
      </w:r>
      <w:r>
        <w:rPr>
          <w:rFonts w:ascii="Book Antiqua" w:hAnsi="Book Antiqua"/>
        </w:rPr>
        <w:t>2012;</w:t>
      </w:r>
      <w:r>
        <w:rPr>
          <w:rStyle w:val="apple-converted-space"/>
          <w:rFonts w:ascii="Book Antiqua" w:hAnsi="Book Antiqua"/>
        </w:rPr>
        <w:t xml:space="preserve"> </w:t>
      </w:r>
      <w:r>
        <w:rPr>
          <w:rFonts w:ascii="Book Antiqua" w:hAnsi="Book Antiqua"/>
          <w:b/>
          <w:bCs/>
        </w:rPr>
        <w:t>131</w:t>
      </w:r>
      <w:r>
        <w:rPr>
          <w:rFonts w:ascii="Book Antiqua" w:hAnsi="Book Antiqua"/>
        </w:rPr>
        <w:t>: 683-691 [PMID: 21913185 DOI: 10.1002/ijc.26422]</w:t>
      </w:r>
    </w:p>
    <w:p w14:paraId="70F27DDC" w14:textId="77777777" w:rsidR="00A503D8" w:rsidRDefault="00000000">
      <w:pPr>
        <w:pStyle w:val="ac"/>
        <w:adjustRightInd w:val="0"/>
        <w:snapToGrid w:val="0"/>
        <w:spacing w:before="0" w:beforeAutospacing="0" w:after="0" w:afterAutospacing="0" w:line="360" w:lineRule="auto"/>
        <w:jc w:val="both"/>
        <w:rPr>
          <w:rFonts w:ascii="Book Antiqua" w:hAnsi="Book Antiqua"/>
        </w:rPr>
      </w:pPr>
      <w:r>
        <w:rPr>
          <w:rFonts w:ascii="Book Antiqua" w:hAnsi="Book Antiqua"/>
        </w:rPr>
        <w:t>98</w:t>
      </w:r>
      <w:r>
        <w:rPr>
          <w:rStyle w:val="apple-converted-space"/>
          <w:rFonts w:ascii="Book Antiqua" w:hAnsi="Book Antiqua"/>
        </w:rPr>
        <w:t xml:space="preserve"> </w:t>
      </w:r>
      <w:r>
        <w:rPr>
          <w:rFonts w:ascii="Book Antiqua" w:hAnsi="Book Antiqua"/>
          <w:b/>
          <w:bCs/>
        </w:rPr>
        <w:t>Tang Q</w:t>
      </w:r>
      <w:r>
        <w:rPr>
          <w:rFonts w:ascii="Book Antiqua" w:hAnsi="Book Antiqua"/>
        </w:rPr>
        <w:t>, Ni Z, Cheng Z, Xu J, Yu H, Yin P. Three circulating long non-coding RNAs act as biomarkers for predicting NSCLC.</w:t>
      </w:r>
      <w:r>
        <w:rPr>
          <w:rStyle w:val="apple-converted-space"/>
          <w:rFonts w:ascii="Book Antiqua" w:hAnsi="Book Antiqua"/>
        </w:rPr>
        <w:t xml:space="preserve"> </w:t>
      </w:r>
      <w:r>
        <w:rPr>
          <w:rFonts w:ascii="Book Antiqua" w:hAnsi="Book Antiqua"/>
          <w:i/>
          <w:iCs/>
        </w:rPr>
        <w:t>Cell Physiol Biochem</w:t>
      </w:r>
      <w:r>
        <w:rPr>
          <w:rStyle w:val="apple-converted-space"/>
          <w:rFonts w:ascii="Book Antiqua" w:hAnsi="Book Antiqua"/>
        </w:rPr>
        <w:t xml:space="preserve"> </w:t>
      </w:r>
      <w:r>
        <w:rPr>
          <w:rFonts w:ascii="Book Antiqua" w:hAnsi="Book Antiqua"/>
        </w:rPr>
        <w:t>2015;</w:t>
      </w:r>
      <w:r>
        <w:rPr>
          <w:rStyle w:val="apple-converted-space"/>
          <w:rFonts w:ascii="Book Antiqua" w:hAnsi="Book Antiqua"/>
        </w:rPr>
        <w:t xml:space="preserve"> </w:t>
      </w:r>
      <w:r>
        <w:rPr>
          <w:rFonts w:ascii="Book Antiqua" w:hAnsi="Book Antiqua"/>
          <w:b/>
          <w:bCs/>
        </w:rPr>
        <w:t>37</w:t>
      </w:r>
      <w:r>
        <w:rPr>
          <w:rFonts w:ascii="Book Antiqua" w:hAnsi="Book Antiqua"/>
        </w:rPr>
        <w:t>: 1002-1009 [PMID: 26393913 DOI: 10.1159/000430226]</w:t>
      </w:r>
    </w:p>
    <w:p w14:paraId="21D347E0" w14:textId="77777777" w:rsidR="00A503D8" w:rsidRDefault="00000000">
      <w:pPr>
        <w:pStyle w:val="ac"/>
        <w:adjustRightInd w:val="0"/>
        <w:snapToGrid w:val="0"/>
        <w:spacing w:before="0" w:beforeAutospacing="0" w:after="0" w:afterAutospacing="0" w:line="360" w:lineRule="auto"/>
        <w:jc w:val="both"/>
        <w:rPr>
          <w:rFonts w:ascii="Book Antiqua" w:hAnsi="Book Antiqua"/>
        </w:rPr>
      </w:pPr>
      <w:r>
        <w:rPr>
          <w:rFonts w:ascii="Book Antiqua" w:hAnsi="Book Antiqua"/>
        </w:rPr>
        <w:t>99</w:t>
      </w:r>
      <w:r>
        <w:rPr>
          <w:rStyle w:val="apple-converted-space"/>
          <w:rFonts w:ascii="Book Antiqua" w:hAnsi="Book Antiqua"/>
        </w:rPr>
        <w:t xml:space="preserve"> </w:t>
      </w:r>
      <w:r>
        <w:rPr>
          <w:rFonts w:ascii="Book Antiqua" w:hAnsi="Book Antiqua"/>
          <w:b/>
          <w:bCs/>
        </w:rPr>
        <w:t>Anfossi S</w:t>
      </w:r>
      <w:r>
        <w:rPr>
          <w:rFonts w:ascii="Book Antiqua" w:hAnsi="Book Antiqua"/>
        </w:rPr>
        <w:t>, Babayan A, Pantel K, Calin GA. Clinical utility of circulating non-coding RNAs - an update.</w:t>
      </w:r>
      <w:r>
        <w:rPr>
          <w:rStyle w:val="apple-converted-space"/>
          <w:rFonts w:ascii="Book Antiqua" w:hAnsi="Book Antiqua"/>
        </w:rPr>
        <w:t xml:space="preserve"> </w:t>
      </w:r>
      <w:r>
        <w:rPr>
          <w:rFonts w:ascii="Book Antiqua" w:hAnsi="Book Antiqua"/>
          <w:i/>
          <w:iCs/>
        </w:rPr>
        <w:t>Nat Rev Clin Oncol</w:t>
      </w:r>
      <w:r>
        <w:rPr>
          <w:rStyle w:val="apple-converted-space"/>
          <w:rFonts w:ascii="Book Antiqua" w:hAnsi="Book Antiqua"/>
        </w:rPr>
        <w:t xml:space="preserve"> </w:t>
      </w:r>
      <w:r>
        <w:rPr>
          <w:rFonts w:ascii="Book Antiqua" w:hAnsi="Book Antiqua"/>
        </w:rPr>
        <w:t>2018;</w:t>
      </w:r>
      <w:r>
        <w:rPr>
          <w:rStyle w:val="apple-converted-space"/>
          <w:rFonts w:ascii="Book Antiqua" w:hAnsi="Book Antiqua"/>
        </w:rPr>
        <w:t xml:space="preserve"> </w:t>
      </w:r>
      <w:r>
        <w:rPr>
          <w:rFonts w:ascii="Book Antiqua" w:hAnsi="Book Antiqua"/>
          <w:b/>
          <w:bCs/>
        </w:rPr>
        <w:t>15</w:t>
      </w:r>
      <w:r>
        <w:rPr>
          <w:rFonts w:ascii="Book Antiqua" w:hAnsi="Book Antiqua"/>
        </w:rPr>
        <w:t>: 541-563 [PMID: 29784926 DOI: 10.1038/s41571-018-0035-x]</w:t>
      </w:r>
    </w:p>
    <w:p w14:paraId="41792608" w14:textId="77777777" w:rsidR="00A503D8" w:rsidRDefault="00000000">
      <w:pPr>
        <w:pStyle w:val="ac"/>
        <w:adjustRightInd w:val="0"/>
        <w:snapToGrid w:val="0"/>
        <w:spacing w:before="0" w:beforeAutospacing="0" w:after="0" w:afterAutospacing="0" w:line="360" w:lineRule="auto"/>
        <w:jc w:val="both"/>
        <w:rPr>
          <w:rFonts w:ascii="Book Antiqua" w:hAnsi="Book Antiqua"/>
        </w:rPr>
      </w:pPr>
      <w:r>
        <w:rPr>
          <w:rFonts w:ascii="Book Antiqua" w:hAnsi="Book Antiqua"/>
        </w:rPr>
        <w:t>100</w:t>
      </w:r>
      <w:r>
        <w:rPr>
          <w:rStyle w:val="apple-converted-space"/>
          <w:rFonts w:ascii="Book Antiqua" w:hAnsi="Book Antiqua"/>
        </w:rPr>
        <w:t xml:space="preserve"> </w:t>
      </w:r>
      <w:r>
        <w:rPr>
          <w:rFonts w:ascii="Book Antiqua" w:hAnsi="Book Antiqua"/>
          <w:b/>
          <w:bCs/>
        </w:rPr>
        <w:t>Anfossi S</w:t>
      </w:r>
      <w:r>
        <w:rPr>
          <w:rFonts w:ascii="Book Antiqua" w:hAnsi="Book Antiqua"/>
        </w:rPr>
        <w:t xml:space="preserve">, Giordano A, Gao H, Cohen EN, Tin S, Wu Q, Garza RJ, Debeb BG, Alvarez RH, Valero V, Hortobagyi GN, Calin GA, Ueno NT, Woodward WA, Reuben JM. High serum miR-19a levels are associated with inflammatory breast cancer and are predictive </w:t>
      </w:r>
      <w:r>
        <w:rPr>
          <w:rFonts w:ascii="Book Antiqua" w:hAnsi="Book Antiqua"/>
        </w:rPr>
        <w:lastRenderedPageBreak/>
        <w:t>of favorable clinical outcome in patients with metastatic HER2+ inflammatory breast cancer.</w:t>
      </w:r>
      <w:r>
        <w:rPr>
          <w:rStyle w:val="apple-converted-space"/>
          <w:rFonts w:ascii="Book Antiqua" w:hAnsi="Book Antiqua"/>
        </w:rPr>
        <w:t xml:space="preserve"> </w:t>
      </w:r>
      <w:r>
        <w:rPr>
          <w:rFonts w:ascii="Book Antiqua" w:hAnsi="Book Antiqua"/>
          <w:i/>
          <w:iCs/>
        </w:rPr>
        <w:t>PLoS One</w:t>
      </w:r>
      <w:r>
        <w:rPr>
          <w:rStyle w:val="apple-converted-space"/>
          <w:rFonts w:ascii="Book Antiqua" w:hAnsi="Book Antiqua"/>
        </w:rPr>
        <w:t xml:space="preserve"> </w:t>
      </w:r>
      <w:r>
        <w:rPr>
          <w:rFonts w:ascii="Book Antiqua" w:hAnsi="Book Antiqua"/>
        </w:rPr>
        <w:t>2014;</w:t>
      </w:r>
      <w:r>
        <w:rPr>
          <w:rStyle w:val="apple-converted-space"/>
          <w:rFonts w:ascii="Book Antiqua" w:hAnsi="Book Antiqua"/>
        </w:rPr>
        <w:t xml:space="preserve"> </w:t>
      </w:r>
      <w:r>
        <w:rPr>
          <w:rFonts w:ascii="Book Antiqua" w:hAnsi="Book Antiqua"/>
          <w:b/>
          <w:bCs/>
        </w:rPr>
        <w:t>9</w:t>
      </w:r>
      <w:r>
        <w:rPr>
          <w:rFonts w:ascii="Book Antiqua" w:hAnsi="Book Antiqua"/>
        </w:rPr>
        <w:t>: e83113 [PMID: 24416156 DOI: 10.1371/journal.pone.0083113]</w:t>
      </w:r>
    </w:p>
    <w:p w14:paraId="5FB4C996" w14:textId="77777777" w:rsidR="00A503D8" w:rsidRDefault="00000000">
      <w:pPr>
        <w:pStyle w:val="ac"/>
        <w:adjustRightInd w:val="0"/>
        <w:snapToGrid w:val="0"/>
        <w:spacing w:before="0" w:beforeAutospacing="0" w:after="0" w:afterAutospacing="0" w:line="360" w:lineRule="auto"/>
        <w:jc w:val="both"/>
        <w:rPr>
          <w:rFonts w:ascii="Book Antiqua" w:hAnsi="Book Antiqua"/>
        </w:rPr>
      </w:pPr>
      <w:r>
        <w:rPr>
          <w:rFonts w:ascii="Book Antiqua" w:hAnsi="Book Antiqua"/>
        </w:rPr>
        <w:t>101</w:t>
      </w:r>
      <w:r>
        <w:rPr>
          <w:rStyle w:val="apple-converted-space"/>
          <w:rFonts w:ascii="Book Antiqua" w:hAnsi="Book Antiqua"/>
        </w:rPr>
        <w:t xml:space="preserve"> </w:t>
      </w:r>
      <w:r>
        <w:rPr>
          <w:rFonts w:ascii="Book Antiqua" w:hAnsi="Book Antiqua"/>
          <w:b/>
          <w:bCs/>
        </w:rPr>
        <w:t>Kamińska K</w:t>
      </w:r>
      <w:r>
        <w:rPr>
          <w:rFonts w:ascii="Book Antiqua" w:hAnsi="Book Antiqua"/>
        </w:rPr>
        <w:t>, Nalejska E, Kubiak M, Wojtysiak J, Żołna Ł, Kowalewski J, Lewandowska MA. Prognostic and Predictive Epigenetic Biomarkers in Oncology.</w:t>
      </w:r>
      <w:r>
        <w:rPr>
          <w:rStyle w:val="apple-converted-space"/>
          <w:rFonts w:ascii="Book Antiqua" w:hAnsi="Book Antiqua"/>
        </w:rPr>
        <w:t xml:space="preserve"> </w:t>
      </w:r>
      <w:r>
        <w:rPr>
          <w:rFonts w:ascii="Book Antiqua" w:hAnsi="Book Antiqua"/>
          <w:i/>
          <w:iCs/>
        </w:rPr>
        <w:t>Mol Diagn Ther</w:t>
      </w:r>
      <w:r>
        <w:rPr>
          <w:rStyle w:val="apple-converted-space"/>
          <w:rFonts w:ascii="Book Antiqua" w:hAnsi="Book Antiqua"/>
        </w:rPr>
        <w:t xml:space="preserve"> </w:t>
      </w:r>
      <w:r>
        <w:rPr>
          <w:rFonts w:ascii="Book Antiqua" w:hAnsi="Book Antiqua"/>
        </w:rPr>
        <w:t>2019;</w:t>
      </w:r>
      <w:r>
        <w:rPr>
          <w:rStyle w:val="apple-converted-space"/>
          <w:rFonts w:ascii="Book Antiqua" w:hAnsi="Book Antiqua"/>
        </w:rPr>
        <w:t xml:space="preserve"> </w:t>
      </w:r>
      <w:r>
        <w:rPr>
          <w:rFonts w:ascii="Book Antiqua" w:hAnsi="Book Antiqua"/>
          <w:b/>
          <w:bCs/>
        </w:rPr>
        <w:t>23</w:t>
      </w:r>
      <w:r>
        <w:rPr>
          <w:rFonts w:ascii="Book Antiqua" w:hAnsi="Book Antiqua"/>
        </w:rPr>
        <w:t>: 83-95 [PMID: 30523565 DOI: 10.1007/s40291-018-0371-7]</w:t>
      </w:r>
    </w:p>
    <w:p w14:paraId="35A660AD" w14:textId="77777777" w:rsidR="00A503D8" w:rsidRDefault="00000000">
      <w:pPr>
        <w:pStyle w:val="ac"/>
        <w:adjustRightInd w:val="0"/>
        <w:snapToGrid w:val="0"/>
        <w:spacing w:before="0" w:beforeAutospacing="0" w:after="0" w:afterAutospacing="0" w:line="360" w:lineRule="auto"/>
        <w:jc w:val="both"/>
        <w:rPr>
          <w:rFonts w:ascii="Book Antiqua" w:hAnsi="Book Antiqua"/>
        </w:rPr>
      </w:pPr>
      <w:r>
        <w:rPr>
          <w:rFonts w:ascii="Book Antiqua" w:hAnsi="Book Antiqua"/>
        </w:rPr>
        <w:t>102</w:t>
      </w:r>
      <w:r>
        <w:rPr>
          <w:rStyle w:val="apple-converted-space"/>
          <w:rFonts w:ascii="Book Antiqua" w:hAnsi="Book Antiqua"/>
        </w:rPr>
        <w:t xml:space="preserve"> </w:t>
      </w:r>
      <w:r>
        <w:rPr>
          <w:rFonts w:ascii="Book Antiqua" w:hAnsi="Book Antiqua"/>
          <w:b/>
          <w:bCs/>
        </w:rPr>
        <w:t>Akamatsu M</w:t>
      </w:r>
      <w:r>
        <w:rPr>
          <w:rFonts w:ascii="Book Antiqua" w:hAnsi="Book Antiqua"/>
        </w:rPr>
        <w:t>, Makino N, Ikeda Y, Matsuda A, Ito M, Kakizaki Y, Saito Y, Ishizawa T, Kobayashi T, Furukawa T, Ueno Y. Specific MAPK-Associated MicroRNAs in Serum Differentiate Pancreatic Cancer from Autoimmune Pancreatitis.</w:t>
      </w:r>
      <w:r>
        <w:rPr>
          <w:rStyle w:val="apple-converted-space"/>
          <w:rFonts w:ascii="Book Antiqua" w:hAnsi="Book Antiqua"/>
        </w:rPr>
        <w:t xml:space="preserve"> </w:t>
      </w:r>
      <w:r>
        <w:rPr>
          <w:rFonts w:ascii="Book Antiqua" w:hAnsi="Book Antiqua"/>
          <w:i/>
          <w:iCs/>
        </w:rPr>
        <w:t>PLoS One</w:t>
      </w:r>
      <w:r>
        <w:rPr>
          <w:rStyle w:val="apple-converted-space"/>
          <w:rFonts w:ascii="Book Antiqua" w:hAnsi="Book Antiqua"/>
        </w:rPr>
        <w:t xml:space="preserve"> </w:t>
      </w:r>
      <w:r>
        <w:rPr>
          <w:rFonts w:ascii="Book Antiqua" w:hAnsi="Book Antiqua"/>
        </w:rPr>
        <w:t>2016;</w:t>
      </w:r>
      <w:r>
        <w:rPr>
          <w:rStyle w:val="apple-converted-space"/>
          <w:rFonts w:ascii="Book Antiqua" w:hAnsi="Book Antiqua"/>
        </w:rPr>
        <w:t xml:space="preserve"> </w:t>
      </w:r>
      <w:r>
        <w:rPr>
          <w:rFonts w:ascii="Book Antiqua" w:hAnsi="Book Antiqua"/>
          <w:b/>
          <w:bCs/>
        </w:rPr>
        <w:t>11</w:t>
      </w:r>
      <w:r>
        <w:rPr>
          <w:rFonts w:ascii="Book Antiqua" w:hAnsi="Book Antiqua"/>
        </w:rPr>
        <w:t>: e0158669 [PMID: 27380024 DOI: 10.1371/journal.pone.0158669]</w:t>
      </w:r>
    </w:p>
    <w:p w14:paraId="4AD796E0" w14:textId="77777777" w:rsidR="00A503D8" w:rsidRDefault="00000000">
      <w:pPr>
        <w:pStyle w:val="ac"/>
        <w:adjustRightInd w:val="0"/>
        <w:snapToGrid w:val="0"/>
        <w:spacing w:before="0" w:beforeAutospacing="0" w:after="0" w:afterAutospacing="0" w:line="360" w:lineRule="auto"/>
        <w:jc w:val="both"/>
        <w:rPr>
          <w:rFonts w:ascii="Book Antiqua" w:hAnsi="Book Antiqua"/>
        </w:rPr>
      </w:pPr>
      <w:r>
        <w:rPr>
          <w:rFonts w:ascii="Book Antiqua" w:hAnsi="Book Antiqua"/>
        </w:rPr>
        <w:t>103</w:t>
      </w:r>
      <w:r>
        <w:rPr>
          <w:rStyle w:val="apple-converted-space"/>
          <w:rFonts w:ascii="Book Antiqua" w:hAnsi="Book Antiqua"/>
        </w:rPr>
        <w:t xml:space="preserve"> </w:t>
      </w:r>
      <w:r>
        <w:rPr>
          <w:rFonts w:ascii="Book Antiqua" w:hAnsi="Book Antiqua"/>
          <w:b/>
          <w:bCs/>
        </w:rPr>
        <w:t>Li L</w:t>
      </w:r>
      <w:r>
        <w:rPr>
          <w:rFonts w:ascii="Book Antiqua" w:hAnsi="Book Antiqua"/>
        </w:rPr>
        <w:t>, Zhang GQ, Chen H, Zhao ZJ, Chen HZ, Liu H, Wang G, Jia YH, Pan SH, Kong R, Wang YW, Sun B. Plasma and tumor levels of Linc-pint are diagnostic and prognostic biomarkers for pancreatic cancer.</w:t>
      </w:r>
      <w:r>
        <w:rPr>
          <w:rStyle w:val="apple-converted-space"/>
          <w:rFonts w:ascii="Book Antiqua" w:hAnsi="Book Antiqua"/>
        </w:rPr>
        <w:t xml:space="preserve"> </w:t>
      </w:r>
      <w:r>
        <w:rPr>
          <w:rFonts w:ascii="Book Antiqua" w:hAnsi="Book Antiqua"/>
          <w:i/>
          <w:iCs/>
        </w:rPr>
        <w:t>Oncotarget</w:t>
      </w:r>
      <w:r>
        <w:rPr>
          <w:rStyle w:val="apple-converted-space"/>
          <w:rFonts w:ascii="Book Antiqua" w:hAnsi="Book Antiqua"/>
        </w:rPr>
        <w:t xml:space="preserve"> </w:t>
      </w:r>
      <w:r>
        <w:rPr>
          <w:rFonts w:ascii="Book Antiqua" w:hAnsi="Book Antiqua"/>
        </w:rPr>
        <w:t>2016;</w:t>
      </w:r>
      <w:r>
        <w:rPr>
          <w:rStyle w:val="apple-converted-space"/>
          <w:rFonts w:ascii="Book Antiqua" w:hAnsi="Book Antiqua"/>
        </w:rPr>
        <w:t xml:space="preserve"> </w:t>
      </w:r>
      <w:r>
        <w:rPr>
          <w:rFonts w:ascii="Book Antiqua" w:hAnsi="Book Antiqua"/>
          <w:b/>
          <w:bCs/>
        </w:rPr>
        <w:t>7</w:t>
      </w:r>
      <w:r>
        <w:rPr>
          <w:rFonts w:ascii="Book Antiqua" w:hAnsi="Book Antiqua"/>
        </w:rPr>
        <w:t>: 71773-71781 [PMID: 27708234 DOI: 10.18632/oncotarget.12365]</w:t>
      </w:r>
    </w:p>
    <w:p w14:paraId="4BC3FAE6" w14:textId="77777777" w:rsidR="00A503D8" w:rsidRDefault="00000000">
      <w:pPr>
        <w:pStyle w:val="ac"/>
        <w:adjustRightInd w:val="0"/>
        <w:snapToGrid w:val="0"/>
        <w:spacing w:before="0" w:beforeAutospacing="0" w:after="0" w:afterAutospacing="0" w:line="360" w:lineRule="auto"/>
        <w:jc w:val="both"/>
        <w:rPr>
          <w:rFonts w:ascii="Book Antiqua" w:hAnsi="Book Antiqua"/>
        </w:rPr>
      </w:pPr>
      <w:r>
        <w:rPr>
          <w:rFonts w:ascii="Book Antiqua" w:hAnsi="Book Antiqua"/>
        </w:rPr>
        <w:t>104</w:t>
      </w:r>
      <w:r>
        <w:rPr>
          <w:rStyle w:val="apple-converted-space"/>
          <w:rFonts w:ascii="Book Antiqua" w:hAnsi="Book Antiqua"/>
        </w:rPr>
        <w:t xml:space="preserve"> </w:t>
      </w:r>
      <w:r>
        <w:rPr>
          <w:rFonts w:ascii="Book Antiqua" w:hAnsi="Book Antiqua"/>
          <w:b/>
          <w:bCs/>
        </w:rPr>
        <w:t>Karandish F</w:t>
      </w:r>
      <w:r>
        <w:rPr>
          <w:rFonts w:ascii="Book Antiqua" w:hAnsi="Book Antiqua"/>
        </w:rPr>
        <w:t>, Mallik S. Biomarkers and Targeted Therapy in Pancreatic Cancer.</w:t>
      </w:r>
      <w:r>
        <w:rPr>
          <w:rStyle w:val="apple-converted-space"/>
          <w:rFonts w:ascii="Book Antiqua" w:hAnsi="Book Antiqua"/>
        </w:rPr>
        <w:t xml:space="preserve"> </w:t>
      </w:r>
      <w:r>
        <w:rPr>
          <w:rFonts w:ascii="Book Antiqua" w:hAnsi="Book Antiqua"/>
          <w:i/>
          <w:iCs/>
        </w:rPr>
        <w:t>Biomark Cancer</w:t>
      </w:r>
      <w:r>
        <w:rPr>
          <w:rStyle w:val="apple-converted-space"/>
          <w:rFonts w:ascii="Book Antiqua" w:hAnsi="Book Antiqua"/>
        </w:rPr>
        <w:t xml:space="preserve"> </w:t>
      </w:r>
      <w:r>
        <w:rPr>
          <w:rFonts w:ascii="Book Antiqua" w:hAnsi="Book Antiqua"/>
        </w:rPr>
        <w:t>2016;</w:t>
      </w:r>
      <w:r>
        <w:rPr>
          <w:rStyle w:val="apple-converted-space"/>
          <w:rFonts w:ascii="Book Antiqua" w:hAnsi="Book Antiqua"/>
        </w:rPr>
        <w:t xml:space="preserve"> </w:t>
      </w:r>
      <w:r>
        <w:rPr>
          <w:rFonts w:ascii="Book Antiqua" w:hAnsi="Book Antiqua"/>
          <w:b/>
          <w:bCs/>
        </w:rPr>
        <w:t>8</w:t>
      </w:r>
      <w:r>
        <w:rPr>
          <w:rFonts w:ascii="Book Antiqua" w:hAnsi="Book Antiqua"/>
        </w:rPr>
        <w:t>: 27-35 [PMID: 27147897 DOI: 10.4137/BiC.s34414]</w:t>
      </w:r>
    </w:p>
    <w:p w14:paraId="387D1622" w14:textId="77777777" w:rsidR="00A503D8" w:rsidRDefault="00000000">
      <w:pPr>
        <w:pStyle w:val="ac"/>
        <w:adjustRightInd w:val="0"/>
        <w:snapToGrid w:val="0"/>
        <w:spacing w:before="0" w:beforeAutospacing="0" w:after="0" w:afterAutospacing="0" w:line="360" w:lineRule="auto"/>
        <w:jc w:val="both"/>
        <w:rPr>
          <w:rFonts w:ascii="Book Antiqua" w:hAnsi="Book Antiqua"/>
        </w:rPr>
      </w:pPr>
      <w:r>
        <w:rPr>
          <w:rFonts w:ascii="Book Antiqua" w:hAnsi="Book Antiqua"/>
        </w:rPr>
        <w:t>105</w:t>
      </w:r>
      <w:r>
        <w:rPr>
          <w:rStyle w:val="apple-converted-space"/>
          <w:rFonts w:ascii="Book Antiqua" w:hAnsi="Book Antiqua"/>
        </w:rPr>
        <w:t xml:space="preserve"> </w:t>
      </w:r>
      <w:r>
        <w:rPr>
          <w:rFonts w:ascii="Book Antiqua" w:hAnsi="Book Antiqua"/>
          <w:b/>
          <w:bCs/>
        </w:rPr>
        <w:t>Jia X</w:t>
      </w:r>
      <w:r>
        <w:rPr>
          <w:rFonts w:ascii="Book Antiqua" w:hAnsi="Book Antiqua"/>
        </w:rPr>
        <w:t>, Wang X, Guo X, Ji J, Lou G, Zhao J, Zhou W, Guo M, Zhang M, Li C, Tai S, Yu S. MicroRNA-124: An emerging therapeutic target in cancer.</w:t>
      </w:r>
      <w:r>
        <w:rPr>
          <w:rStyle w:val="apple-converted-space"/>
          <w:rFonts w:ascii="Book Antiqua" w:hAnsi="Book Antiqua"/>
        </w:rPr>
        <w:t xml:space="preserve"> </w:t>
      </w:r>
      <w:r>
        <w:rPr>
          <w:rFonts w:ascii="Book Antiqua" w:hAnsi="Book Antiqua"/>
          <w:i/>
          <w:iCs/>
        </w:rPr>
        <w:t>Cancer Med</w:t>
      </w:r>
      <w:r>
        <w:rPr>
          <w:rFonts w:ascii="Book Antiqua" w:hAnsi="Book Antiqua"/>
        </w:rPr>
        <w:t>2019;</w:t>
      </w:r>
      <w:r>
        <w:rPr>
          <w:rStyle w:val="apple-converted-space"/>
          <w:rFonts w:ascii="Book Antiqua" w:hAnsi="Book Antiqua"/>
        </w:rPr>
        <w:t xml:space="preserve"> </w:t>
      </w:r>
      <w:r>
        <w:rPr>
          <w:rFonts w:ascii="Book Antiqua" w:hAnsi="Book Antiqua"/>
          <w:b/>
          <w:bCs/>
        </w:rPr>
        <w:t>8</w:t>
      </w:r>
      <w:r>
        <w:rPr>
          <w:rFonts w:ascii="Book Antiqua" w:hAnsi="Book Antiqua"/>
        </w:rPr>
        <w:t>: 5638-5650 [PMID: 31389160 DOI: 10.1002/cam4.2489]</w:t>
      </w:r>
    </w:p>
    <w:p w14:paraId="31C6E241" w14:textId="77777777" w:rsidR="00A503D8" w:rsidRDefault="00000000">
      <w:pPr>
        <w:pStyle w:val="ac"/>
        <w:adjustRightInd w:val="0"/>
        <w:snapToGrid w:val="0"/>
        <w:spacing w:before="0" w:beforeAutospacing="0" w:after="0" w:afterAutospacing="0" w:line="360" w:lineRule="auto"/>
        <w:jc w:val="both"/>
        <w:rPr>
          <w:rFonts w:ascii="Book Antiqua" w:hAnsi="Book Antiqua"/>
        </w:rPr>
      </w:pPr>
      <w:r>
        <w:rPr>
          <w:rFonts w:ascii="Book Antiqua" w:hAnsi="Book Antiqua"/>
        </w:rPr>
        <w:t>106</w:t>
      </w:r>
      <w:r>
        <w:rPr>
          <w:rStyle w:val="apple-converted-space"/>
          <w:rFonts w:ascii="Book Antiqua" w:hAnsi="Book Antiqua"/>
        </w:rPr>
        <w:t xml:space="preserve"> </w:t>
      </w:r>
      <w:r>
        <w:rPr>
          <w:rFonts w:ascii="Book Antiqua" w:hAnsi="Book Antiqua"/>
          <w:b/>
          <w:bCs/>
        </w:rPr>
        <w:t>Wellner U</w:t>
      </w:r>
      <w:r>
        <w:rPr>
          <w:rFonts w:ascii="Book Antiqua" w:hAnsi="Book Antiqua"/>
        </w:rPr>
        <w:t>, Schubert J, Burk UC, Schmalhofer O, Zhu F, Sonntag A, Waldvogel B, Vannier C, Darling D, zur Hausen A, Brunton VG, Morton J, Sansom O, Schüler J, Stemmler MP, Herzberger C, Hopt U, Keck T, Brabletz S, Brabletz T. The EMT-activator ZEB1 promotes tumorigenicity by repressing stemness-inhibiting microRNAs.</w:t>
      </w:r>
      <w:r>
        <w:rPr>
          <w:rStyle w:val="apple-converted-space"/>
          <w:rFonts w:ascii="Book Antiqua" w:hAnsi="Book Antiqua"/>
        </w:rPr>
        <w:t xml:space="preserve"> </w:t>
      </w:r>
      <w:r>
        <w:rPr>
          <w:rFonts w:ascii="Book Antiqua" w:hAnsi="Book Antiqua"/>
          <w:i/>
          <w:iCs/>
        </w:rPr>
        <w:t>Nat Cell Biol</w:t>
      </w:r>
      <w:r>
        <w:rPr>
          <w:rStyle w:val="apple-converted-space"/>
          <w:rFonts w:ascii="Book Antiqua" w:hAnsi="Book Antiqua"/>
        </w:rPr>
        <w:t xml:space="preserve"> </w:t>
      </w:r>
      <w:r>
        <w:rPr>
          <w:rFonts w:ascii="Book Antiqua" w:hAnsi="Book Antiqua"/>
        </w:rPr>
        <w:t>2009;</w:t>
      </w:r>
      <w:r>
        <w:rPr>
          <w:rStyle w:val="apple-converted-space"/>
          <w:rFonts w:ascii="Book Antiqua" w:hAnsi="Book Antiqua"/>
        </w:rPr>
        <w:t xml:space="preserve"> </w:t>
      </w:r>
      <w:r>
        <w:rPr>
          <w:rFonts w:ascii="Book Antiqua" w:hAnsi="Book Antiqua"/>
          <w:b/>
          <w:bCs/>
        </w:rPr>
        <w:t>11</w:t>
      </w:r>
      <w:r>
        <w:rPr>
          <w:rFonts w:ascii="Book Antiqua" w:hAnsi="Book Antiqua"/>
        </w:rPr>
        <w:t>: 1487-1495 [PMID: 19935649 DOI: 10.1038/ncb1998]</w:t>
      </w:r>
    </w:p>
    <w:p w14:paraId="35E2B187" w14:textId="77777777" w:rsidR="00A503D8" w:rsidRDefault="00000000">
      <w:pPr>
        <w:pStyle w:val="ac"/>
        <w:adjustRightInd w:val="0"/>
        <w:snapToGrid w:val="0"/>
        <w:spacing w:before="0" w:beforeAutospacing="0" w:after="0" w:afterAutospacing="0" w:line="360" w:lineRule="auto"/>
        <w:jc w:val="both"/>
        <w:rPr>
          <w:rFonts w:ascii="Book Antiqua" w:hAnsi="Book Antiqua"/>
        </w:rPr>
      </w:pPr>
      <w:r>
        <w:rPr>
          <w:rFonts w:ascii="Book Antiqua" w:hAnsi="Book Antiqua"/>
        </w:rPr>
        <w:t>107</w:t>
      </w:r>
      <w:r>
        <w:rPr>
          <w:rStyle w:val="apple-converted-space"/>
          <w:rFonts w:ascii="Book Antiqua" w:hAnsi="Book Antiqua"/>
        </w:rPr>
        <w:t xml:space="preserve"> </w:t>
      </w:r>
      <w:r>
        <w:rPr>
          <w:rFonts w:ascii="Book Antiqua" w:hAnsi="Book Antiqua"/>
          <w:b/>
          <w:bCs/>
        </w:rPr>
        <w:t>Wang P</w:t>
      </w:r>
      <w:r>
        <w:rPr>
          <w:rFonts w:ascii="Book Antiqua" w:hAnsi="Book Antiqua"/>
        </w:rPr>
        <w:t>, Chen L, Zhang J, Chen H, Fan J, Wang K, Luo J, Chen Z, Meng Z, Liu L. Methylation-mediated silencing of the miR-124 genes facilitates pancreatic cancer progression and metastasis by targeting Rac1.</w:t>
      </w:r>
      <w:r>
        <w:rPr>
          <w:rStyle w:val="apple-converted-space"/>
          <w:rFonts w:ascii="Book Antiqua" w:hAnsi="Book Antiqua"/>
        </w:rPr>
        <w:t xml:space="preserve"> </w:t>
      </w:r>
      <w:r>
        <w:rPr>
          <w:rFonts w:ascii="Book Antiqua" w:hAnsi="Book Antiqua"/>
          <w:i/>
          <w:iCs/>
        </w:rPr>
        <w:t>Oncogene</w:t>
      </w:r>
      <w:r>
        <w:rPr>
          <w:rStyle w:val="apple-converted-space"/>
          <w:rFonts w:ascii="Book Antiqua" w:hAnsi="Book Antiqua"/>
        </w:rPr>
        <w:t xml:space="preserve"> </w:t>
      </w:r>
      <w:r>
        <w:rPr>
          <w:rFonts w:ascii="Book Antiqua" w:hAnsi="Book Antiqua"/>
        </w:rPr>
        <w:t>2014;</w:t>
      </w:r>
      <w:r>
        <w:rPr>
          <w:rStyle w:val="apple-converted-space"/>
          <w:rFonts w:ascii="Book Antiqua" w:hAnsi="Book Antiqua"/>
        </w:rPr>
        <w:t xml:space="preserve"> </w:t>
      </w:r>
      <w:r>
        <w:rPr>
          <w:rFonts w:ascii="Book Antiqua" w:hAnsi="Book Antiqua"/>
          <w:b/>
          <w:bCs/>
        </w:rPr>
        <w:t>33</w:t>
      </w:r>
      <w:r>
        <w:rPr>
          <w:rFonts w:ascii="Book Antiqua" w:hAnsi="Book Antiqua"/>
        </w:rPr>
        <w:t>: 514-524 [PMID: 23334332 DOI: 10.1038/onc.2012.598]</w:t>
      </w:r>
    </w:p>
    <w:p w14:paraId="54C160AF" w14:textId="77777777" w:rsidR="00A503D8" w:rsidRDefault="00000000">
      <w:pPr>
        <w:pStyle w:val="ac"/>
        <w:adjustRightInd w:val="0"/>
        <w:snapToGrid w:val="0"/>
        <w:spacing w:before="0" w:beforeAutospacing="0" w:after="0" w:afterAutospacing="0" w:line="360" w:lineRule="auto"/>
        <w:jc w:val="both"/>
        <w:rPr>
          <w:rFonts w:ascii="Book Antiqua" w:hAnsi="Book Antiqua"/>
        </w:rPr>
      </w:pPr>
      <w:r>
        <w:rPr>
          <w:rFonts w:ascii="Book Antiqua" w:hAnsi="Book Antiqua"/>
        </w:rPr>
        <w:t>108</w:t>
      </w:r>
      <w:r>
        <w:rPr>
          <w:rStyle w:val="apple-converted-space"/>
          <w:rFonts w:ascii="Book Antiqua" w:hAnsi="Book Antiqua"/>
        </w:rPr>
        <w:t xml:space="preserve"> </w:t>
      </w:r>
      <w:r>
        <w:rPr>
          <w:rFonts w:ascii="Book Antiqua" w:hAnsi="Book Antiqua"/>
          <w:b/>
          <w:bCs/>
        </w:rPr>
        <w:t>Marín-Béjar O</w:t>
      </w:r>
      <w:r>
        <w:rPr>
          <w:rFonts w:ascii="Book Antiqua" w:hAnsi="Book Antiqua"/>
        </w:rPr>
        <w:t xml:space="preserve">, Marchese FP, Athie A, Sánchez Y, González J, Segura V, Huang L, Moreno I, Navarro A, Monzó M, García-Foncillas J, Rinn JL, Guo S, Huarte M. Pint </w:t>
      </w:r>
      <w:r>
        <w:rPr>
          <w:rFonts w:ascii="Book Antiqua" w:hAnsi="Book Antiqua"/>
        </w:rPr>
        <w:lastRenderedPageBreak/>
        <w:t>lincRNA connects the p53 pathway with epigenetic silencing by the Polycomb repressive complex 2.</w:t>
      </w:r>
      <w:r>
        <w:rPr>
          <w:rStyle w:val="apple-converted-space"/>
          <w:rFonts w:ascii="Book Antiqua" w:hAnsi="Book Antiqua"/>
        </w:rPr>
        <w:t xml:space="preserve"> </w:t>
      </w:r>
      <w:r>
        <w:rPr>
          <w:rFonts w:ascii="Book Antiqua" w:hAnsi="Book Antiqua"/>
          <w:i/>
          <w:iCs/>
        </w:rPr>
        <w:t>Genome Biol</w:t>
      </w:r>
      <w:r>
        <w:rPr>
          <w:rStyle w:val="apple-converted-space"/>
          <w:rFonts w:ascii="Book Antiqua" w:hAnsi="Book Antiqua"/>
        </w:rPr>
        <w:t xml:space="preserve"> </w:t>
      </w:r>
      <w:r>
        <w:rPr>
          <w:rFonts w:ascii="Book Antiqua" w:hAnsi="Book Antiqua"/>
        </w:rPr>
        <w:t>2013;</w:t>
      </w:r>
      <w:r>
        <w:rPr>
          <w:rStyle w:val="apple-converted-space"/>
          <w:rFonts w:ascii="Book Antiqua" w:hAnsi="Book Antiqua"/>
        </w:rPr>
        <w:t xml:space="preserve"> </w:t>
      </w:r>
      <w:r>
        <w:rPr>
          <w:rFonts w:ascii="Book Antiqua" w:hAnsi="Book Antiqua"/>
          <w:b/>
          <w:bCs/>
        </w:rPr>
        <w:t>14</w:t>
      </w:r>
      <w:r>
        <w:rPr>
          <w:rFonts w:ascii="Book Antiqua" w:hAnsi="Book Antiqua"/>
        </w:rPr>
        <w:t>: R104 [PMID: 24070194 DOI: 10.1186/gb-2013-14-9-r104]</w:t>
      </w:r>
    </w:p>
    <w:p w14:paraId="19A6EED8" w14:textId="77777777" w:rsidR="00A503D8" w:rsidRDefault="00000000">
      <w:pPr>
        <w:pStyle w:val="ac"/>
        <w:adjustRightInd w:val="0"/>
        <w:snapToGrid w:val="0"/>
        <w:spacing w:before="0" w:beforeAutospacing="0" w:after="0" w:afterAutospacing="0" w:line="360" w:lineRule="auto"/>
        <w:jc w:val="both"/>
        <w:rPr>
          <w:rFonts w:ascii="Book Antiqua" w:hAnsi="Book Antiqua"/>
        </w:rPr>
      </w:pPr>
      <w:r>
        <w:rPr>
          <w:rFonts w:ascii="Book Antiqua" w:hAnsi="Book Antiqua"/>
        </w:rPr>
        <w:t>109</w:t>
      </w:r>
      <w:r>
        <w:rPr>
          <w:rStyle w:val="apple-converted-space"/>
          <w:rFonts w:ascii="Book Antiqua" w:hAnsi="Book Antiqua"/>
        </w:rPr>
        <w:t xml:space="preserve"> </w:t>
      </w:r>
      <w:r>
        <w:rPr>
          <w:rFonts w:ascii="Book Antiqua" w:hAnsi="Book Antiqua"/>
          <w:b/>
          <w:bCs/>
        </w:rPr>
        <w:t>Zheng S</w:t>
      </w:r>
      <w:r>
        <w:rPr>
          <w:rFonts w:ascii="Book Antiqua" w:hAnsi="Book Antiqua"/>
        </w:rPr>
        <w:t>, Chen H, Wang Y, Gao W, Fu Z, Zhou Q, Jiang Y, Lin Q, Tan L, Ye H, Zhao X, Luo Y, Li G, Ye L, Liu Y, Li W, Li Z, Chen R. Long non-coding RNA LOC389641 promotes progression of pancreatic ductal adenocarcinoma and increases cell invasion by regulating E-cadherin in a TNFRSF10A-related manner.</w:t>
      </w:r>
      <w:r>
        <w:rPr>
          <w:rStyle w:val="apple-converted-space"/>
          <w:rFonts w:ascii="Book Antiqua" w:hAnsi="Book Antiqua"/>
        </w:rPr>
        <w:t xml:space="preserve"> </w:t>
      </w:r>
      <w:r>
        <w:rPr>
          <w:rFonts w:ascii="Book Antiqua" w:hAnsi="Book Antiqua"/>
          <w:i/>
          <w:iCs/>
        </w:rPr>
        <w:t>Cancer Lett</w:t>
      </w:r>
      <w:r>
        <w:rPr>
          <w:rStyle w:val="apple-converted-space"/>
          <w:rFonts w:ascii="Book Antiqua" w:hAnsi="Book Antiqua"/>
        </w:rPr>
        <w:t xml:space="preserve"> </w:t>
      </w:r>
      <w:r>
        <w:rPr>
          <w:rFonts w:ascii="Book Antiqua" w:hAnsi="Book Antiqua"/>
        </w:rPr>
        <w:t>2016;</w:t>
      </w:r>
      <w:r>
        <w:rPr>
          <w:rStyle w:val="apple-converted-space"/>
          <w:rFonts w:ascii="Book Antiqua" w:hAnsi="Book Antiqua"/>
        </w:rPr>
        <w:t xml:space="preserve"> </w:t>
      </w:r>
      <w:r>
        <w:rPr>
          <w:rFonts w:ascii="Book Antiqua" w:hAnsi="Book Antiqua"/>
          <w:b/>
          <w:bCs/>
        </w:rPr>
        <w:t>371</w:t>
      </w:r>
      <w:r>
        <w:rPr>
          <w:rFonts w:ascii="Book Antiqua" w:hAnsi="Book Antiqua"/>
        </w:rPr>
        <w:t>: 354-365 [PMID: 26708505 DOI: 10.1016/j.canlet.2015.12.010]</w:t>
      </w:r>
    </w:p>
    <w:p w14:paraId="3425A312" w14:textId="77777777" w:rsidR="00A503D8" w:rsidRDefault="00000000">
      <w:pPr>
        <w:pStyle w:val="ac"/>
        <w:adjustRightInd w:val="0"/>
        <w:snapToGrid w:val="0"/>
        <w:spacing w:before="0" w:beforeAutospacing="0" w:after="0" w:afterAutospacing="0" w:line="360" w:lineRule="auto"/>
        <w:jc w:val="both"/>
        <w:rPr>
          <w:rFonts w:ascii="Book Antiqua" w:hAnsi="Book Antiqua"/>
        </w:rPr>
      </w:pPr>
      <w:r>
        <w:rPr>
          <w:rFonts w:ascii="Book Antiqua" w:hAnsi="Book Antiqua"/>
        </w:rPr>
        <w:t>110</w:t>
      </w:r>
      <w:r>
        <w:rPr>
          <w:rStyle w:val="apple-converted-space"/>
          <w:rFonts w:ascii="Book Antiqua" w:hAnsi="Book Antiqua"/>
        </w:rPr>
        <w:t xml:space="preserve"> </w:t>
      </w:r>
      <w:r>
        <w:rPr>
          <w:rFonts w:ascii="Book Antiqua" w:hAnsi="Book Antiqua"/>
          <w:b/>
          <w:bCs/>
        </w:rPr>
        <w:t>Yu S</w:t>
      </w:r>
      <w:r>
        <w:rPr>
          <w:rFonts w:ascii="Book Antiqua" w:hAnsi="Book Antiqua"/>
        </w:rPr>
        <w:t>, Li Y, Liao Z, Wang Z, Wang Z, Li Y, Qian L, Zhao J, Zong H, Kang B, Zou WB, Chen K, He X, Meng Z, Chen Z, Huang S, Wang P. Plasma extracellular vesicle long RNA profiling identifies a diagnostic signature for the detection of pancreatic ductal adenocarcinoma.</w:t>
      </w:r>
      <w:r>
        <w:rPr>
          <w:rStyle w:val="apple-converted-space"/>
          <w:rFonts w:ascii="Book Antiqua" w:hAnsi="Book Antiqua"/>
        </w:rPr>
        <w:t xml:space="preserve"> </w:t>
      </w:r>
      <w:r>
        <w:rPr>
          <w:rFonts w:ascii="Book Antiqua" w:hAnsi="Book Antiqua"/>
          <w:i/>
          <w:iCs/>
        </w:rPr>
        <w:t>Gut</w:t>
      </w:r>
      <w:r>
        <w:rPr>
          <w:rStyle w:val="apple-converted-space"/>
          <w:rFonts w:ascii="Book Antiqua" w:hAnsi="Book Antiqua"/>
        </w:rPr>
        <w:t xml:space="preserve"> </w:t>
      </w:r>
      <w:r>
        <w:rPr>
          <w:rFonts w:ascii="Book Antiqua" w:hAnsi="Book Antiqua"/>
        </w:rPr>
        <w:t>2020;</w:t>
      </w:r>
      <w:r>
        <w:rPr>
          <w:rStyle w:val="apple-converted-space"/>
          <w:rFonts w:ascii="Book Antiqua" w:hAnsi="Book Antiqua"/>
        </w:rPr>
        <w:t xml:space="preserve"> </w:t>
      </w:r>
      <w:r>
        <w:rPr>
          <w:rFonts w:ascii="Book Antiqua" w:hAnsi="Book Antiqua"/>
          <w:b/>
          <w:bCs/>
        </w:rPr>
        <w:t>69</w:t>
      </w:r>
      <w:r>
        <w:rPr>
          <w:rFonts w:ascii="Book Antiqua" w:hAnsi="Book Antiqua"/>
        </w:rPr>
        <w:t>: 540-550 [PMID: 31562239 DOI: 10.1136/gutjnl-2019-318860]</w:t>
      </w:r>
    </w:p>
    <w:p w14:paraId="22EDB1C6" w14:textId="77777777" w:rsidR="00A503D8" w:rsidRDefault="00000000">
      <w:pPr>
        <w:pStyle w:val="ac"/>
        <w:adjustRightInd w:val="0"/>
        <w:snapToGrid w:val="0"/>
        <w:spacing w:before="0" w:beforeAutospacing="0" w:after="0" w:afterAutospacing="0" w:line="360" w:lineRule="auto"/>
        <w:jc w:val="both"/>
        <w:rPr>
          <w:rFonts w:ascii="Book Antiqua" w:hAnsi="Book Antiqua"/>
        </w:rPr>
      </w:pPr>
      <w:r>
        <w:rPr>
          <w:rFonts w:ascii="Book Antiqua" w:hAnsi="Book Antiqua"/>
        </w:rPr>
        <w:t>111</w:t>
      </w:r>
      <w:r>
        <w:rPr>
          <w:rStyle w:val="apple-converted-space"/>
          <w:rFonts w:ascii="Book Antiqua" w:hAnsi="Book Antiqua"/>
        </w:rPr>
        <w:t xml:space="preserve"> </w:t>
      </w:r>
      <w:r>
        <w:rPr>
          <w:rFonts w:ascii="Book Antiqua" w:hAnsi="Book Antiqua"/>
          <w:b/>
          <w:bCs/>
        </w:rPr>
        <w:t>Rong Z</w:t>
      </w:r>
      <w:r>
        <w:rPr>
          <w:rFonts w:ascii="Book Antiqua" w:hAnsi="Book Antiqua"/>
        </w:rPr>
        <w:t>, Xu J, Shi S, Tan Z, Meng Q, Hua J, Liu J, Zhang B, Wang W, Yu X, Liang C. Circular RNA in pancreatic cancer: a novel avenue for the roles of diagnosis and treatment.</w:t>
      </w:r>
      <w:r>
        <w:rPr>
          <w:rStyle w:val="apple-converted-space"/>
          <w:rFonts w:ascii="Book Antiqua" w:hAnsi="Book Antiqua"/>
        </w:rPr>
        <w:t xml:space="preserve"> </w:t>
      </w:r>
      <w:r>
        <w:rPr>
          <w:rFonts w:ascii="Book Antiqua" w:hAnsi="Book Antiqua"/>
          <w:i/>
          <w:iCs/>
        </w:rPr>
        <w:t>Theranostics</w:t>
      </w:r>
      <w:r>
        <w:rPr>
          <w:rStyle w:val="apple-converted-space"/>
          <w:rFonts w:ascii="Book Antiqua" w:hAnsi="Book Antiqua"/>
        </w:rPr>
        <w:t xml:space="preserve"> </w:t>
      </w:r>
      <w:r>
        <w:rPr>
          <w:rFonts w:ascii="Book Antiqua" w:hAnsi="Book Antiqua"/>
        </w:rPr>
        <w:t>2021;</w:t>
      </w:r>
      <w:r>
        <w:rPr>
          <w:rStyle w:val="apple-converted-space"/>
          <w:rFonts w:ascii="Book Antiqua" w:hAnsi="Book Antiqua"/>
        </w:rPr>
        <w:t xml:space="preserve"> </w:t>
      </w:r>
      <w:r>
        <w:rPr>
          <w:rFonts w:ascii="Book Antiqua" w:hAnsi="Book Antiqua"/>
          <w:b/>
          <w:bCs/>
        </w:rPr>
        <w:t>11</w:t>
      </w:r>
      <w:r>
        <w:rPr>
          <w:rFonts w:ascii="Book Antiqua" w:hAnsi="Book Antiqua"/>
        </w:rPr>
        <w:t>: 2755-2769 [PMID: 33456571 DOI: 10.7150/thno.56174]</w:t>
      </w:r>
    </w:p>
    <w:p w14:paraId="13C9B04E" w14:textId="77777777" w:rsidR="00A503D8" w:rsidRDefault="00000000">
      <w:pPr>
        <w:pStyle w:val="ac"/>
        <w:adjustRightInd w:val="0"/>
        <w:snapToGrid w:val="0"/>
        <w:spacing w:before="0" w:beforeAutospacing="0" w:after="0" w:afterAutospacing="0" w:line="360" w:lineRule="auto"/>
        <w:jc w:val="both"/>
        <w:rPr>
          <w:rFonts w:ascii="Book Antiqua" w:hAnsi="Book Antiqua"/>
        </w:rPr>
      </w:pPr>
      <w:r>
        <w:rPr>
          <w:rFonts w:ascii="Book Antiqua" w:hAnsi="Book Antiqua"/>
        </w:rPr>
        <w:t>112</w:t>
      </w:r>
      <w:r>
        <w:rPr>
          <w:rStyle w:val="apple-converted-space"/>
          <w:rFonts w:ascii="Book Antiqua" w:hAnsi="Book Antiqua"/>
        </w:rPr>
        <w:t xml:space="preserve"> </w:t>
      </w:r>
      <w:r>
        <w:rPr>
          <w:rFonts w:ascii="Book Antiqua" w:hAnsi="Book Antiqua"/>
          <w:b/>
          <w:bCs/>
        </w:rPr>
        <w:t>Hogendorf P</w:t>
      </w:r>
      <w:r>
        <w:rPr>
          <w:rFonts w:ascii="Book Antiqua" w:hAnsi="Book Antiqua"/>
        </w:rPr>
        <w:t>, Durczyński A, Skulimowski A, Kumor A, Poznańska G, Strzelczyk J. Neutrophil Gelatinase-Associated Lipocalin (NGAL) concentration in urine is superior to CA19-9 and Ca 125 in differentiation of pancreatic mass: Preliminary report.</w:t>
      </w:r>
      <w:r>
        <w:rPr>
          <w:rStyle w:val="apple-converted-space"/>
          <w:rFonts w:ascii="Book Antiqua" w:hAnsi="Book Antiqua"/>
        </w:rPr>
        <w:t xml:space="preserve"> </w:t>
      </w:r>
      <w:r>
        <w:rPr>
          <w:rFonts w:ascii="Book Antiqua" w:hAnsi="Book Antiqua"/>
          <w:i/>
          <w:iCs/>
        </w:rPr>
        <w:t>Cancer Biomark</w:t>
      </w:r>
      <w:r>
        <w:rPr>
          <w:rStyle w:val="apple-converted-space"/>
          <w:rFonts w:ascii="Book Antiqua" w:hAnsi="Book Antiqua"/>
        </w:rPr>
        <w:t xml:space="preserve"> </w:t>
      </w:r>
      <w:r>
        <w:rPr>
          <w:rFonts w:ascii="Book Antiqua" w:hAnsi="Book Antiqua"/>
        </w:rPr>
        <w:t>2016;</w:t>
      </w:r>
      <w:r>
        <w:rPr>
          <w:rStyle w:val="apple-converted-space"/>
          <w:rFonts w:ascii="Book Antiqua" w:hAnsi="Book Antiqua"/>
        </w:rPr>
        <w:t xml:space="preserve"> </w:t>
      </w:r>
      <w:r>
        <w:rPr>
          <w:rFonts w:ascii="Book Antiqua" w:hAnsi="Book Antiqua"/>
          <w:b/>
          <w:bCs/>
        </w:rPr>
        <w:t>16</w:t>
      </w:r>
      <w:r>
        <w:rPr>
          <w:rFonts w:ascii="Book Antiqua" w:hAnsi="Book Antiqua"/>
        </w:rPr>
        <w:t>: 537-543 [PMID: 27002756 DOI: 10.3233/CBM-160595]</w:t>
      </w:r>
    </w:p>
    <w:p w14:paraId="3B7D5CBB" w14:textId="77777777" w:rsidR="00A503D8" w:rsidRDefault="00000000">
      <w:pPr>
        <w:pStyle w:val="ac"/>
        <w:adjustRightInd w:val="0"/>
        <w:snapToGrid w:val="0"/>
        <w:spacing w:before="0" w:beforeAutospacing="0" w:after="0" w:afterAutospacing="0" w:line="360" w:lineRule="auto"/>
        <w:jc w:val="both"/>
        <w:rPr>
          <w:rFonts w:ascii="Book Antiqua" w:hAnsi="Book Antiqua"/>
        </w:rPr>
      </w:pPr>
      <w:r>
        <w:rPr>
          <w:rFonts w:ascii="Book Antiqua" w:hAnsi="Book Antiqua"/>
        </w:rPr>
        <w:t>113</w:t>
      </w:r>
      <w:r>
        <w:rPr>
          <w:rStyle w:val="apple-converted-space"/>
          <w:rFonts w:ascii="Book Antiqua" w:hAnsi="Book Antiqua"/>
        </w:rPr>
        <w:t xml:space="preserve"> </w:t>
      </w:r>
      <w:r>
        <w:rPr>
          <w:rFonts w:ascii="Book Antiqua" w:hAnsi="Book Antiqua"/>
          <w:b/>
          <w:bCs/>
        </w:rPr>
        <w:t>Park WG</w:t>
      </w:r>
      <w:r>
        <w:rPr>
          <w:rFonts w:ascii="Book Antiqua" w:hAnsi="Book Antiqua"/>
        </w:rPr>
        <w:t>, Li L, Appana S, Wei W, Stello K, Andersen DK, Hughes SJ, Whitcomb DC, Brand RE, Yadav D, Habtezion A; Consortium for the Study of Chronic Pancreatitis, Diabetes, and Pancreatic Cancer. Unique circulating immune signatures for recurrent acute pancreatitis, chronic pancreatitis and pancreatic cancer: A pilot study of these conditions with and without diabetes.</w:t>
      </w:r>
      <w:r>
        <w:rPr>
          <w:rStyle w:val="apple-converted-space"/>
          <w:rFonts w:ascii="Book Antiqua" w:hAnsi="Book Antiqua"/>
        </w:rPr>
        <w:t xml:space="preserve"> </w:t>
      </w:r>
      <w:r>
        <w:rPr>
          <w:rFonts w:ascii="Book Antiqua" w:hAnsi="Book Antiqua"/>
          <w:i/>
          <w:iCs/>
        </w:rPr>
        <w:t>Pancreatology</w:t>
      </w:r>
      <w:r>
        <w:rPr>
          <w:rStyle w:val="apple-converted-space"/>
          <w:rFonts w:ascii="Book Antiqua" w:hAnsi="Book Antiqua"/>
        </w:rPr>
        <w:t xml:space="preserve"> </w:t>
      </w:r>
      <w:r>
        <w:rPr>
          <w:rFonts w:ascii="Book Antiqua" w:hAnsi="Book Antiqua"/>
        </w:rPr>
        <w:t>2020;</w:t>
      </w:r>
      <w:r>
        <w:rPr>
          <w:rStyle w:val="apple-converted-space"/>
          <w:rFonts w:ascii="Book Antiqua" w:hAnsi="Book Antiqua"/>
        </w:rPr>
        <w:t xml:space="preserve"> </w:t>
      </w:r>
      <w:r>
        <w:rPr>
          <w:rFonts w:ascii="Book Antiqua" w:hAnsi="Book Antiqua"/>
          <w:b/>
          <w:bCs/>
        </w:rPr>
        <w:t>20</w:t>
      </w:r>
      <w:r>
        <w:rPr>
          <w:rFonts w:ascii="Book Antiqua" w:hAnsi="Book Antiqua"/>
        </w:rPr>
        <w:t>: 51-59 [PMID: 31791885 DOI: 10.1016/j.pan.2019.11.008]</w:t>
      </w:r>
    </w:p>
    <w:p w14:paraId="535B34D8" w14:textId="77777777" w:rsidR="00A503D8" w:rsidRDefault="00000000">
      <w:pPr>
        <w:pStyle w:val="ac"/>
        <w:adjustRightInd w:val="0"/>
        <w:snapToGrid w:val="0"/>
        <w:spacing w:before="0" w:beforeAutospacing="0" w:after="0" w:afterAutospacing="0" w:line="360" w:lineRule="auto"/>
        <w:jc w:val="both"/>
        <w:rPr>
          <w:rFonts w:ascii="Book Antiqua" w:hAnsi="Book Antiqua"/>
        </w:rPr>
      </w:pPr>
      <w:r>
        <w:rPr>
          <w:rFonts w:ascii="Book Antiqua" w:hAnsi="Book Antiqua"/>
        </w:rPr>
        <w:t>114</w:t>
      </w:r>
      <w:r>
        <w:rPr>
          <w:rStyle w:val="apple-converted-space"/>
          <w:rFonts w:ascii="Book Antiqua" w:hAnsi="Book Antiqua"/>
        </w:rPr>
        <w:t xml:space="preserve"> </w:t>
      </w:r>
      <w:r>
        <w:rPr>
          <w:rFonts w:ascii="Book Antiqua" w:hAnsi="Book Antiqua"/>
          <w:b/>
          <w:bCs/>
        </w:rPr>
        <w:t>Lee B</w:t>
      </w:r>
      <w:r>
        <w:rPr>
          <w:rFonts w:ascii="Book Antiqua" w:hAnsi="Book Antiqua"/>
        </w:rPr>
        <w:t>, Gibbs P. Inflammation, Biomarkers and Immuno-Oncology Pathways in Pancreatic Cancer.</w:t>
      </w:r>
      <w:r>
        <w:rPr>
          <w:rStyle w:val="apple-converted-space"/>
          <w:rFonts w:ascii="Book Antiqua" w:hAnsi="Book Antiqua"/>
        </w:rPr>
        <w:t xml:space="preserve"> </w:t>
      </w:r>
      <w:r>
        <w:rPr>
          <w:rFonts w:ascii="Book Antiqua" w:hAnsi="Book Antiqua"/>
          <w:i/>
          <w:iCs/>
        </w:rPr>
        <w:t>J Pers Med</w:t>
      </w:r>
      <w:r>
        <w:rPr>
          <w:rStyle w:val="apple-converted-space"/>
          <w:rFonts w:ascii="Book Antiqua" w:hAnsi="Book Antiqua"/>
        </w:rPr>
        <w:t xml:space="preserve"> </w:t>
      </w:r>
      <w:r>
        <w:rPr>
          <w:rFonts w:ascii="Book Antiqua" w:hAnsi="Book Antiqua"/>
        </w:rPr>
        <w:t>2019;</w:t>
      </w:r>
      <w:r>
        <w:rPr>
          <w:rStyle w:val="apple-converted-space"/>
          <w:rFonts w:ascii="Book Antiqua" w:hAnsi="Book Antiqua"/>
        </w:rPr>
        <w:t xml:space="preserve"> </w:t>
      </w:r>
      <w:r>
        <w:rPr>
          <w:rFonts w:ascii="Book Antiqua" w:hAnsi="Book Antiqua"/>
          <w:b/>
          <w:bCs/>
        </w:rPr>
        <w:t>9</w:t>
      </w:r>
      <w:r>
        <w:rPr>
          <w:rStyle w:val="apple-converted-space"/>
          <w:rFonts w:ascii="Book Antiqua" w:hAnsi="Book Antiqua"/>
        </w:rPr>
        <w:t xml:space="preserve"> </w:t>
      </w:r>
      <w:r>
        <w:rPr>
          <w:rFonts w:ascii="Book Antiqua" w:hAnsi="Book Antiqua"/>
        </w:rPr>
        <w:t>[PMID: 31035449 DOI: 10.3390/jpm9020020]</w:t>
      </w:r>
    </w:p>
    <w:p w14:paraId="6D07242C" w14:textId="77777777" w:rsidR="00A503D8" w:rsidRDefault="00000000">
      <w:pPr>
        <w:pStyle w:val="ac"/>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115</w:t>
      </w:r>
      <w:r>
        <w:rPr>
          <w:rStyle w:val="apple-converted-space"/>
          <w:rFonts w:ascii="Book Antiqua" w:hAnsi="Book Antiqua"/>
        </w:rPr>
        <w:t xml:space="preserve"> </w:t>
      </w:r>
      <w:r>
        <w:rPr>
          <w:rFonts w:ascii="Book Antiqua" w:hAnsi="Book Antiqua"/>
          <w:b/>
          <w:bCs/>
        </w:rPr>
        <w:t>Brosens LA</w:t>
      </w:r>
      <w:r>
        <w:rPr>
          <w:rFonts w:ascii="Book Antiqua" w:hAnsi="Book Antiqua"/>
        </w:rPr>
        <w:t>, Hackeng WM, Offerhaus GJ, Hruban RH, Wood LD. Pancreatic adenocarcinoma pathology: changing "landscape".</w:t>
      </w:r>
      <w:r>
        <w:rPr>
          <w:rStyle w:val="apple-converted-space"/>
          <w:rFonts w:ascii="Book Antiqua" w:hAnsi="Book Antiqua"/>
        </w:rPr>
        <w:t xml:space="preserve"> </w:t>
      </w:r>
      <w:r>
        <w:rPr>
          <w:rFonts w:ascii="Book Antiqua" w:hAnsi="Book Antiqua"/>
          <w:i/>
          <w:iCs/>
        </w:rPr>
        <w:t>J Gastrointest Oncol</w:t>
      </w:r>
      <w:r>
        <w:rPr>
          <w:rStyle w:val="apple-converted-space"/>
          <w:rFonts w:ascii="Book Antiqua" w:hAnsi="Book Antiqua"/>
        </w:rPr>
        <w:t xml:space="preserve"> </w:t>
      </w:r>
      <w:r>
        <w:rPr>
          <w:rFonts w:ascii="Book Antiqua" w:hAnsi="Book Antiqua"/>
        </w:rPr>
        <w:t>2015;</w:t>
      </w:r>
      <w:r>
        <w:rPr>
          <w:rStyle w:val="apple-converted-space"/>
          <w:rFonts w:ascii="Book Antiqua" w:hAnsi="Book Antiqua"/>
        </w:rPr>
        <w:t xml:space="preserve"> </w:t>
      </w:r>
      <w:r>
        <w:rPr>
          <w:rFonts w:ascii="Book Antiqua" w:hAnsi="Book Antiqua"/>
          <w:b/>
          <w:bCs/>
        </w:rPr>
        <w:t>6</w:t>
      </w:r>
      <w:r>
        <w:rPr>
          <w:rFonts w:ascii="Book Antiqua" w:hAnsi="Book Antiqua"/>
        </w:rPr>
        <w:t>: 358-374 [PMID: 26261723 DOI: 10.3978/j.issn.2078-6891.2015.032]</w:t>
      </w:r>
    </w:p>
    <w:p w14:paraId="4603A6CB" w14:textId="77777777" w:rsidR="00A503D8" w:rsidRDefault="00000000">
      <w:pPr>
        <w:pStyle w:val="ac"/>
        <w:adjustRightInd w:val="0"/>
        <w:snapToGrid w:val="0"/>
        <w:spacing w:before="0" w:beforeAutospacing="0" w:after="0" w:afterAutospacing="0" w:line="360" w:lineRule="auto"/>
        <w:jc w:val="both"/>
        <w:rPr>
          <w:rFonts w:ascii="Book Antiqua" w:hAnsi="Book Antiqua"/>
        </w:rPr>
      </w:pPr>
      <w:r>
        <w:rPr>
          <w:rFonts w:ascii="Book Antiqua" w:hAnsi="Book Antiqua"/>
        </w:rPr>
        <w:t>116</w:t>
      </w:r>
      <w:r>
        <w:rPr>
          <w:rStyle w:val="apple-converted-space"/>
          <w:rFonts w:ascii="Book Antiqua" w:hAnsi="Book Antiqua"/>
        </w:rPr>
        <w:t xml:space="preserve"> </w:t>
      </w:r>
      <w:r>
        <w:rPr>
          <w:rFonts w:ascii="Book Antiqua" w:hAnsi="Book Antiqua"/>
          <w:b/>
          <w:bCs/>
        </w:rPr>
        <w:t>Alexandrov LB</w:t>
      </w:r>
      <w:r>
        <w:rPr>
          <w:rFonts w:ascii="Book Antiqua" w:hAnsi="Book Antiqua"/>
        </w:rPr>
        <w:t>, Nik-Zainal S, Wedge DC, Aparicio SA, Behjati S, Biankin AV, Bignell GR, Bolli N, Borg A, Børresen-Dale AL, Boyault S, Burkhardt B, Butler AP, Caldas C, Davies HR, Desmedt C, Eils R, Eyfjörd JE, Foekens JA, Greaves M, Hosoda F, Hutter B, Ilicic T, Imbeaud S, Imielinski M, Jäger N, Jones DT, Jones D, Knappskog S, Kool M, Lakhani SR, López-Otín C, Martin S, Munshi NC, Nakamura H, Northcott PA, Pajic M, Papaemmanuil E, Paradiso A, Pearson JV, Puente XS, Raine K, Ramakrishna M, Richardson AL, Richter J, Rosenstiel P, Schlesner M, Schumacher TN, Span PN, Teague JW, Totoki Y, Tutt AN, Valdés-Mas R, van Buuren MM, van 't Veer L, Vincent-Salomon A, Waddell N, Yates LR; Australian Pancreatic Cancer Genome Initiative; ICGC Breast Cancer Consortium; ICGC MMML-Seq Consortium; ICGC PedBrain, Zucman-Rossi J, Futreal PA, McDermott U, Lichter P, Meyerson M, Grimmond SM, Siebert R, Campo E, Shibata T, Pfister SM, Campbell PJ, Stratton MR. Signatures of mutational processes in human cancer.</w:t>
      </w:r>
      <w:r>
        <w:rPr>
          <w:rStyle w:val="apple-converted-space"/>
          <w:rFonts w:ascii="Book Antiqua" w:hAnsi="Book Antiqua"/>
        </w:rPr>
        <w:t xml:space="preserve"> </w:t>
      </w:r>
      <w:r>
        <w:rPr>
          <w:rFonts w:ascii="Book Antiqua" w:hAnsi="Book Antiqua"/>
          <w:i/>
          <w:iCs/>
        </w:rPr>
        <w:t>Nature</w:t>
      </w:r>
      <w:r>
        <w:rPr>
          <w:rStyle w:val="apple-converted-space"/>
          <w:rFonts w:ascii="Book Antiqua" w:hAnsi="Book Antiqua"/>
        </w:rPr>
        <w:t xml:space="preserve"> </w:t>
      </w:r>
      <w:r>
        <w:rPr>
          <w:rFonts w:ascii="Book Antiqua" w:hAnsi="Book Antiqua"/>
        </w:rPr>
        <w:t>2013;</w:t>
      </w:r>
      <w:r>
        <w:rPr>
          <w:rStyle w:val="apple-converted-space"/>
          <w:rFonts w:ascii="Book Antiqua" w:hAnsi="Book Antiqua"/>
        </w:rPr>
        <w:t xml:space="preserve"> </w:t>
      </w:r>
      <w:r>
        <w:rPr>
          <w:rFonts w:ascii="Book Antiqua" w:hAnsi="Book Antiqua"/>
          <w:b/>
          <w:bCs/>
        </w:rPr>
        <w:t>500</w:t>
      </w:r>
      <w:r>
        <w:rPr>
          <w:rFonts w:ascii="Book Antiqua" w:hAnsi="Book Antiqua"/>
        </w:rPr>
        <w:t>: 415-421 [PMID: 23945592 DOI: 10.1038/nature12477]</w:t>
      </w:r>
    </w:p>
    <w:p w14:paraId="15228880" w14:textId="77777777" w:rsidR="00A503D8" w:rsidRDefault="00000000">
      <w:pPr>
        <w:pStyle w:val="ac"/>
        <w:adjustRightInd w:val="0"/>
        <w:snapToGrid w:val="0"/>
        <w:spacing w:before="0" w:beforeAutospacing="0" w:after="0" w:afterAutospacing="0" w:line="360" w:lineRule="auto"/>
        <w:jc w:val="both"/>
        <w:rPr>
          <w:rFonts w:ascii="Book Antiqua" w:hAnsi="Book Antiqua"/>
        </w:rPr>
      </w:pPr>
      <w:r>
        <w:rPr>
          <w:rFonts w:ascii="Book Antiqua" w:hAnsi="Book Antiqua"/>
        </w:rPr>
        <w:t>117</w:t>
      </w:r>
      <w:r>
        <w:rPr>
          <w:rStyle w:val="apple-converted-space"/>
          <w:rFonts w:ascii="Book Antiqua" w:hAnsi="Book Antiqua"/>
        </w:rPr>
        <w:t xml:space="preserve"> </w:t>
      </w:r>
      <w:r>
        <w:rPr>
          <w:rFonts w:ascii="Book Antiqua" w:hAnsi="Book Antiqua"/>
          <w:b/>
          <w:bCs/>
        </w:rPr>
        <w:t>Thorsson V</w:t>
      </w:r>
      <w:r>
        <w:rPr>
          <w:rFonts w:ascii="Book Antiqua" w:hAnsi="Book Antiqua"/>
        </w:rPr>
        <w:t>, Gibbs DL, Brown SD, Wolf D, Bortone DS, Ou Yang TH, Porta-Pardo E, Gao GF, Plaisier CL, Eddy JA, Ziv E, Culhane AC, Paull EO, Sivakumar IKA, Gentles AJ, Malhotra R, Farshidfar F, Colaprico A, Parker JS, Mose LE, Vo NS, Liu J, Liu Y, Rader J, Dhankani V, Reynolds SM, Bowlby R, Califano A, Cherniack AD, Anastassiou D, Bedognetti D, Mokrab Y, Newman AM, Rao A, Chen K, Krasnitz A, Hu H, Malta TM, Noushmehr H, Pedamallu CS, Bullman S, Ojesina AI, Lamb A, Zhou W, Shen H, Choueiri TK, Weinstein JN, Guinney J, Saltz J, Holt RA, Rabkin CS; Cancer Genome Atlas Research Network, Lazar AJ, Serody JS, Demicco EG, Disis ML, Vincent BG, Shmulevich I. The Immune Landscape of Cancer.</w:t>
      </w:r>
      <w:r>
        <w:rPr>
          <w:rStyle w:val="apple-converted-space"/>
          <w:rFonts w:ascii="Book Antiqua" w:hAnsi="Book Antiqua"/>
        </w:rPr>
        <w:t xml:space="preserve"> </w:t>
      </w:r>
      <w:r>
        <w:rPr>
          <w:rFonts w:ascii="Book Antiqua" w:hAnsi="Book Antiqua"/>
          <w:i/>
          <w:iCs/>
        </w:rPr>
        <w:t>Immunity</w:t>
      </w:r>
      <w:r>
        <w:rPr>
          <w:rStyle w:val="apple-converted-space"/>
          <w:rFonts w:ascii="Book Antiqua" w:hAnsi="Book Antiqua"/>
        </w:rPr>
        <w:t xml:space="preserve"> </w:t>
      </w:r>
      <w:r>
        <w:rPr>
          <w:rFonts w:ascii="Book Antiqua" w:hAnsi="Book Antiqua"/>
        </w:rPr>
        <w:t>2018;</w:t>
      </w:r>
      <w:r>
        <w:rPr>
          <w:rStyle w:val="apple-converted-space"/>
          <w:rFonts w:ascii="Book Antiqua" w:hAnsi="Book Antiqua"/>
        </w:rPr>
        <w:t xml:space="preserve"> </w:t>
      </w:r>
      <w:r>
        <w:rPr>
          <w:rFonts w:ascii="Book Antiqua" w:hAnsi="Book Antiqua"/>
          <w:b/>
          <w:bCs/>
        </w:rPr>
        <w:t>48</w:t>
      </w:r>
      <w:r>
        <w:rPr>
          <w:rFonts w:ascii="Book Antiqua" w:hAnsi="Book Antiqua"/>
        </w:rPr>
        <w:t>: 812-830.e14 [PMID: 29628290 DOI: 10.1016/j.immuni.2018.03.023]</w:t>
      </w:r>
    </w:p>
    <w:p w14:paraId="68DB464D" w14:textId="77777777" w:rsidR="00A503D8" w:rsidRDefault="00000000">
      <w:pPr>
        <w:pStyle w:val="ac"/>
        <w:adjustRightInd w:val="0"/>
        <w:snapToGrid w:val="0"/>
        <w:spacing w:before="0" w:beforeAutospacing="0" w:after="0" w:afterAutospacing="0" w:line="360" w:lineRule="auto"/>
        <w:jc w:val="both"/>
        <w:rPr>
          <w:rFonts w:ascii="Book Antiqua" w:hAnsi="Book Antiqua"/>
        </w:rPr>
      </w:pPr>
      <w:r>
        <w:rPr>
          <w:rFonts w:ascii="Book Antiqua" w:hAnsi="Book Antiqua"/>
        </w:rPr>
        <w:t>118</w:t>
      </w:r>
      <w:r>
        <w:rPr>
          <w:rStyle w:val="apple-converted-space"/>
          <w:rFonts w:ascii="Book Antiqua" w:hAnsi="Book Antiqua"/>
        </w:rPr>
        <w:t xml:space="preserve"> </w:t>
      </w:r>
      <w:r>
        <w:rPr>
          <w:rFonts w:ascii="Book Antiqua" w:hAnsi="Book Antiqua"/>
          <w:b/>
          <w:bCs/>
        </w:rPr>
        <w:t>Tewari N</w:t>
      </w:r>
      <w:r>
        <w:rPr>
          <w:rFonts w:ascii="Book Antiqua" w:hAnsi="Book Antiqua"/>
        </w:rPr>
        <w:t xml:space="preserve">, Zaitoun AM, Arora A, Madhusudan S, Ilyas M, Lobo DN. The presence of tumour-associated lymphocytes confers a good prognosis in pancreatic ductal </w:t>
      </w:r>
      <w:r>
        <w:rPr>
          <w:rFonts w:ascii="Book Antiqua" w:hAnsi="Book Antiqua"/>
        </w:rPr>
        <w:lastRenderedPageBreak/>
        <w:t>adenocarcinoma: an immunohistochemical study of tissue microarrays.</w:t>
      </w:r>
      <w:r>
        <w:rPr>
          <w:rStyle w:val="apple-converted-space"/>
          <w:rFonts w:ascii="Book Antiqua" w:hAnsi="Book Antiqua"/>
        </w:rPr>
        <w:t xml:space="preserve"> </w:t>
      </w:r>
      <w:r>
        <w:rPr>
          <w:rFonts w:ascii="Book Antiqua" w:hAnsi="Book Antiqua"/>
          <w:i/>
          <w:iCs/>
        </w:rPr>
        <w:t>BMC Cancer</w:t>
      </w:r>
      <w:r>
        <w:rPr>
          <w:rStyle w:val="apple-converted-space"/>
          <w:rFonts w:ascii="Book Antiqua" w:hAnsi="Book Antiqua"/>
        </w:rPr>
        <w:t xml:space="preserve"> </w:t>
      </w:r>
      <w:r>
        <w:rPr>
          <w:rFonts w:ascii="Book Antiqua" w:hAnsi="Book Antiqua"/>
        </w:rPr>
        <w:t>2013;</w:t>
      </w:r>
      <w:r>
        <w:rPr>
          <w:rStyle w:val="apple-converted-space"/>
          <w:rFonts w:ascii="Book Antiqua" w:hAnsi="Book Antiqua"/>
        </w:rPr>
        <w:t xml:space="preserve"> </w:t>
      </w:r>
      <w:r>
        <w:rPr>
          <w:rFonts w:ascii="Book Antiqua" w:hAnsi="Book Antiqua"/>
          <w:b/>
          <w:bCs/>
        </w:rPr>
        <w:t>13</w:t>
      </w:r>
      <w:r>
        <w:rPr>
          <w:rFonts w:ascii="Book Antiqua" w:hAnsi="Book Antiqua"/>
        </w:rPr>
        <w:t>: 436 [PMID: 24063854 DOI: 10.1186/1471-2407-13-436]</w:t>
      </w:r>
    </w:p>
    <w:p w14:paraId="3F24F3D4" w14:textId="77777777" w:rsidR="00A503D8" w:rsidRDefault="00000000">
      <w:pPr>
        <w:pStyle w:val="ac"/>
        <w:adjustRightInd w:val="0"/>
        <w:snapToGrid w:val="0"/>
        <w:spacing w:before="0" w:beforeAutospacing="0" w:after="0" w:afterAutospacing="0" w:line="360" w:lineRule="auto"/>
        <w:jc w:val="both"/>
        <w:rPr>
          <w:rFonts w:ascii="Book Antiqua" w:hAnsi="Book Antiqua"/>
        </w:rPr>
      </w:pPr>
      <w:r>
        <w:rPr>
          <w:rFonts w:ascii="Book Antiqua" w:hAnsi="Book Antiqua"/>
        </w:rPr>
        <w:t>119</w:t>
      </w:r>
      <w:r>
        <w:rPr>
          <w:rStyle w:val="apple-converted-space"/>
          <w:rFonts w:ascii="Book Antiqua" w:hAnsi="Book Antiqua"/>
        </w:rPr>
        <w:t xml:space="preserve"> </w:t>
      </w:r>
      <w:r>
        <w:rPr>
          <w:rFonts w:ascii="Book Antiqua" w:hAnsi="Book Antiqua"/>
          <w:b/>
          <w:bCs/>
        </w:rPr>
        <w:t>Ryschich E</w:t>
      </w:r>
      <w:r>
        <w:rPr>
          <w:rFonts w:ascii="Book Antiqua" w:hAnsi="Book Antiqua"/>
        </w:rPr>
        <w:t>, Nötzel T, Hinz U, Autschbach F, Ferguson J, Simon I, Weitz J, Fröhlich B, Klar E, Büchler MW, Schmidt J. Control of T-cell-mediated immune response by HLA class I in human pancreatic carcinoma.</w:t>
      </w:r>
      <w:r>
        <w:rPr>
          <w:rStyle w:val="apple-converted-space"/>
          <w:rFonts w:ascii="Book Antiqua" w:hAnsi="Book Antiqua"/>
        </w:rPr>
        <w:t xml:space="preserve"> </w:t>
      </w:r>
      <w:r>
        <w:rPr>
          <w:rFonts w:ascii="Book Antiqua" w:hAnsi="Book Antiqua"/>
          <w:i/>
          <w:iCs/>
        </w:rPr>
        <w:t>Clin Cancer Res</w:t>
      </w:r>
      <w:r>
        <w:rPr>
          <w:rStyle w:val="apple-converted-space"/>
          <w:rFonts w:ascii="Book Antiqua" w:hAnsi="Book Antiqua"/>
        </w:rPr>
        <w:t xml:space="preserve"> </w:t>
      </w:r>
      <w:r>
        <w:rPr>
          <w:rFonts w:ascii="Book Antiqua" w:hAnsi="Book Antiqua"/>
        </w:rPr>
        <w:t>2005;</w:t>
      </w:r>
      <w:r>
        <w:rPr>
          <w:rStyle w:val="apple-converted-space"/>
          <w:rFonts w:ascii="Book Antiqua" w:hAnsi="Book Antiqua"/>
        </w:rPr>
        <w:t xml:space="preserve"> </w:t>
      </w:r>
      <w:r>
        <w:rPr>
          <w:rFonts w:ascii="Book Antiqua" w:hAnsi="Book Antiqua"/>
          <w:b/>
          <w:bCs/>
        </w:rPr>
        <w:t>11</w:t>
      </w:r>
      <w:r>
        <w:rPr>
          <w:rFonts w:ascii="Book Antiqua" w:hAnsi="Book Antiqua"/>
        </w:rPr>
        <w:t>: 498-504 [PMID: 15701833]</w:t>
      </w:r>
    </w:p>
    <w:p w14:paraId="07AAEF86" w14:textId="77777777" w:rsidR="00A503D8" w:rsidRDefault="00000000">
      <w:pPr>
        <w:pStyle w:val="ac"/>
        <w:adjustRightInd w:val="0"/>
        <w:snapToGrid w:val="0"/>
        <w:spacing w:before="0" w:beforeAutospacing="0" w:after="0" w:afterAutospacing="0" w:line="360" w:lineRule="auto"/>
        <w:jc w:val="both"/>
        <w:rPr>
          <w:rFonts w:ascii="Book Antiqua" w:hAnsi="Book Antiqua"/>
        </w:rPr>
      </w:pPr>
      <w:r>
        <w:rPr>
          <w:rFonts w:ascii="Book Antiqua" w:hAnsi="Book Antiqua"/>
        </w:rPr>
        <w:t>120</w:t>
      </w:r>
      <w:r>
        <w:rPr>
          <w:rStyle w:val="apple-converted-space"/>
          <w:rFonts w:ascii="Book Antiqua" w:hAnsi="Book Antiqua"/>
        </w:rPr>
        <w:t xml:space="preserve"> </w:t>
      </w:r>
      <w:r>
        <w:rPr>
          <w:rFonts w:ascii="Book Antiqua" w:hAnsi="Book Antiqua"/>
          <w:b/>
          <w:bCs/>
        </w:rPr>
        <w:t>Di Federico A</w:t>
      </w:r>
      <w:r>
        <w:rPr>
          <w:rFonts w:ascii="Book Antiqua" w:hAnsi="Book Antiqua"/>
        </w:rPr>
        <w:t>, Mosca M, Pagani R, Carloni R, Frega G, De Giglio A, Rizzo A, Ricci D, Tavolari S, Di Marco M, Palloni A, Brandi G. Immunotherapy in Pancreatic Cancer: Why Do We Keep Failing? A Focus on Tumor Immune Microenvironment, Predictive Biomarkers and Treatment Outcomes.</w:t>
      </w:r>
      <w:r>
        <w:rPr>
          <w:rStyle w:val="apple-converted-space"/>
          <w:rFonts w:ascii="Book Antiqua" w:hAnsi="Book Antiqua"/>
        </w:rPr>
        <w:t xml:space="preserve"> </w:t>
      </w:r>
      <w:r>
        <w:rPr>
          <w:rFonts w:ascii="Book Antiqua" w:hAnsi="Book Antiqua"/>
          <w:i/>
          <w:iCs/>
        </w:rPr>
        <w:t>Cancers (Basel)</w:t>
      </w:r>
      <w:r>
        <w:rPr>
          <w:rStyle w:val="apple-converted-space"/>
          <w:rFonts w:ascii="Book Antiqua" w:hAnsi="Book Antiqua"/>
        </w:rPr>
        <w:t xml:space="preserve"> </w:t>
      </w:r>
      <w:r>
        <w:rPr>
          <w:rFonts w:ascii="Book Antiqua" w:hAnsi="Book Antiqua"/>
        </w:rPr>
        <w:t>2022;</w:t>
      </w:r>
      <w:r>
        <w:rPr>
          <w:rStyle w:val="apple-converted-space"/>
          <w:rFonts w:ascii="Book Antiqua" w:hAnsi="Book Antiqua"/>
        </w:rPr>
        <w:t xml:space="preserve"> </w:t>
      </w:r>
      <w:r>
        <w:rPr>
          <w:rFonts w:ascii="Book Antiqua" w:hAnsi="Book Antiqua"/>
          <w:b/>
          <w:bCs/>
        </w:rPr>
        <w:t>14</w:t>
      </w:r>
      <w:r>
        <w:rPr>
          <w:rStyle w:val="apple-converted-space"/>
          <w:rFonts w:ascii="Book Antiqua" w:hAnsi="Book Antiqua"/>
        </w:rPr>
        <w:t xml:space="preserve"> </w:t>
      </w:r>
      <w:r>
        <w:rPr>
          <w:rFonts w:ascii="Book Antiqua" w:hAnsi="Book Antiqua"/>
        </w:rPr>
        <w:t>[PMID: 35626033 DOI: 10.3390/cancers14102429]</w:t>
      </w:r>
    </w:p>
    <w:p w14:paraId="43B3A38C" w14:textId="77777777" w:rsidR="00A503D8" w:rsidRDefault="00000000">
      <w:pPr>
        <w:pStyle w:val="ac"/>
        <w:adjustRightInd w:val="0"/>
        <w:snapToGrid w:val="0"/>
        <w:spacing w:before="0" w:beforeAutospacing="0" w:after="0" w:afterAutospacing="0" w:line="360" w:lineRule="auto"/>
        <w:jc w:val="both"/>
        <w:rPr>
          <w:rFonts w:ascii="Book Antiqua" w:hAnsi="Book Antiqua"/>
        </w:rPr>
      </w:pPr>
      <w:r>
        <w:rPr>
          <w:rFonts w:ascii="Book Antiqua" w:hAnsi="Book Antiqua"/>
        </w:rPr>
        <w:t>121</w:t>
      </w:r>
      <w:r>
        <w:rPr>
          <w:rStyle w:val="apple-converted-space"/>
          <w:rFonts w:ascii="Book Antiqua" w:hAnsi="Book Antiqua"/>
        </w:rPr>
        <w:t xml:space="preserve"> </w:t>
      </w:r>
      <w:r>
        <w:rPr>
          <w:rFonts w:ascii="Book Antiqua" w:hAnsi="Book Antiqua"/>
          <w:b/>
          <w:bCs/>
        </w:rPr>
        <w:t>Karamitopoulou E</w:t>
      </w:r>
      <w:r>
        <w:rPr>
          <w:rFonts w:ascii="Book Antiqua" w:hAnsi="Book Antiqua"/>
        </w:rPr>
        <w:t>, Andreou A, Pahud de Mortanges A, Tinguely M, Gloor B, Perren A. PD-1/PD-L1-Associated Immunoarchitectural Patterns Stratify Pancreatic Cancer Patients into Prognostic/Predictive Subgroups.</w:t>
      </w:r>
      <w:r>
        <w:rPr>
          <w:rStyle w:val="apple-converted-space"/>
          <w:rFonts w:ascii="Book Antiqua" w:hAnsi="Book Antiqua"/>
        </w:rPr>
        <w:t xml:space="preserve"> </w:t>
      </w:r>
      <w:r>
        <w:rPr>
          <w:rFonts w:ascii="Book Antiqua" w:hAnsi="Book Antiqua"/>
          <w:i/>
          <w:iCs/>
        </w:rPr>
        <w:t>Cancer Immunol Res</w:t>
      </w:r>
      <w:r>
        <w:rPr>
          <w:rStyle w:val="apple-converted-space"/>
          <w:rFonts w:ascii="Book Antiqua" w:hAnsi="Book Antiqua"/>
        </w:rPr>
        <w:t xml:space="preserve"> </w:t>
      </w:r>
      <w:r>
        <w:rPr>
          <w:rFonts w:ascii="Book Antiqua" w:hAnsi="Book Antiqua"/>
        </w:rPr>
        <w:t>2021;</w:t>
      </w:r>
      <w:r>
        <w:rPr>
          <w:rStyle w:val="apple-converted-space"/>
          <w:rFonts w:ascii="Book Antiqua" w:hAnsi="Book Antiqua"/>
        </w:rPr>
        <w:t xml:space="preserve"> </w:t>
      </w:r>
      <w:r>
        <w:rPr>
          <w:rFonts w:ascii="Book Antiqua" w:hAnsi="Book Antiqua"/>
          <w:b/>
          <w:bCs/>
        </w:rPr>
        <w:t>9</w:t>
      </w:r>
      <w:r>
        <w:rPr>
          <w:rFonts w:ascii="Book Antiqua" w:hAnsi="Book Antiqua"/>
        </w:rPr>
        <w:t>: 1439-1450 [PMID: 34526323 DOI: 10.1158/2326-6066.CIR-21-0144]</w:t>
      </w:r>
    </w:p>
    <w:p w14:paraId="5D9610B8" w14:textId="77777777" w:rsidR="00A503D8" w:rsidRDefault="00000000">
      <w:pPr>
        <w:pStyle w:val="ac"/>
        <w:adjustRightInd w:val="0"/>
        <w:snapToGrid w:val="0"/>
        <w:spacing w:before="0" w:beforeAutospacing="0" w:after="0" w:afterAutospacing="0" w:line="360" w:lineRule="auto"/>
        <w:jc w:val="both"/>
        <w:rPr>
          <w:rFonts w:ascii="Book Antiqua" w:hAnsi="Book Antiqua"/>
        </w:rPr>
      </w:pPr>
      <w:r>
        <w:rPr>
          <w:rFonts w:ascii="Book Antiqua" w:hAnsi="Book Antiqua"/>
        </w:rPr>
        <w:t>122</w:t>
      </w:r>
      <w:r>
        <w:rPr>
          <w:rStyle w:val="apple-converted-space"/>
          <w:rFonts w:ascii="Book Antiqua" w:hAnsi="Book Antiqua"/>
        </w:rPr>
        <w:t xml:space="preserve"> </w:t>
      </w:r>
      <w:r>
        <w:rPr>
          <w:rFonts w:ascii="Book Antiqua" w:hAnsi="Book Antiqua"/>
          <w:b/>
          <w:bCs/>
        </w:rPr>
        <w:t>Fernández-Carballo BL</w:t>
      </w:r>
      <w:r>
        <w:rPr>
          <w:rFonts w:ascii="Book Antiqua" w:hAnsi="Book Antiqua"/>
        </w:rPr>
        <w:t>, Broger T, Wyss R, Banaei N, Denkinger CM. Toward the Development of a Circulating Free DNA-Based In Vitro Diagnostic Test for Infectious Diseases: a Review of Evidence for Tuberculosis.</w:t>
      </w:r>
      <w:r>
        <w:rPr>
          <w:rStyle w:val="apple-converted-space"/>
          <w:rFonts w:ascii="Book Antiqua" w:hAnsi="Book Antiqua"/>
        </w:rPr>
        <w:t xml:space="preserve"> </w:t>
      </w:r>
      <w:r>
        <w:rPr>
          <w:rFonts w:ascii="Book Antiqua" w:hAnsi="Book Antiqua"/>
          <w:i/>
          <w:iCs/>
        </w:rPr>
        <w:t>J Clin Microbiol</w:t>
      </w:r>
      <w:r>
        <w:rPr>
          <w:rStyle w:val="apple-converted-space"/>
          <w:rFonts w:ascii="Book Antiqua" w:hAnsi="Book Antiqua"/>
        </w:rPr>
        <w:t xml:space="preserve"> </w:t>
      </w:r>
      <w:r>
        <w:rPr>
          <w:rFonts w:ascii="Book Antiqua" w:hAnsi="Book Antiqua"/>
        </w:rPr>
        <w:t>2019;</w:t>
      </w:r>
      <w:r>
        <w:rPr>
          <w:rStyle w:val="apple-converted-space"/>
          <w:rFonts w:ascii="Book Antiqua" w:hAnsi="Book Antiqua"/>
        </w:rPr>
        <w:t xml:space="preserve"> </w:t>
      </w:r>
      <w:r>
        <w:rPr>
          <w:rFonts w:ascii="Book Antiqua" w:hAnsi="Book Antiqua"/>
          <w:b/>
          <w:bCs/>
        </w:rPr>
        <w:t>57</w:t>
      </w:r>
      <w:r>
        <w:rPr>
          <w:rStyle w:val="apple-converted-space"/>
          <w:rFonts w:ascii="Book Antiqua" w:hAnsi="Book Antiqua"/>
        </w:rPr>
        <w:t xml:space="preserve"> </w:t>
      </w:r>
      <w:r>
        <w:rPr>
          <w:rFonts w:ascii="Book Antiqua" w:hAnsi="Book Antiqua"/>
        </w:rPr>
        <w:t>[PMID: 30404942 DOI: 10.1128/JCM.01234-18]</w:t>
      </w:r>
    </w:p>
    <w:p w14:paraId="610C3B08" w14:textId="77777777" w:rsidR="00A503D8" w:rsidRDefault="00000000">
      <w:pPr>
        <w:pStyle w:val="ac"/>
        <w:adjustRightInd w:val="0"/>
        <w:snapToGrid w:val="0"/>
        <w:spacing w:before="0" w:beforeAutospacing="0" w:after="0" w:afterAutospacing="0" w:line="360" w:lineRule="auto"/>
        <w:jc w:val="both"/>
        <w:rPr>
          <w:rFonts w:ascii="Book Antiqua" w:hAnsi="Book Antiqua"/>
        </w:rPr>
      </w:pPr>
      <w:r>
        <w:rPr>
          <w:rFonts w:ascii="Book Antiqua" w:hAnsi="Book Antiqua"/>
        </w:rPr>
        <w:t>123</w:t>
      </w:r>
      <w:r>
        <w:rPr>
          <w:rStyle w:val="apple-converted-space"/>
          <w:rFonts w:ascii="Book Antiqua" w:hAnsi="Book Antiqua"/>
        </w:rPr>
        <w:t xml:space="preserve"> </w:t>
      </w:r>
      <w:r>
        <w:rPr>
          <w:rFonts w:ascii="Book Antiqua" w:hAnsi="Book Antiqua"/>
          <w:b/>
          <w:bCs/>
        </w:rPr>
        <w:t>Sitek B</w:t>
      </w:r>
      <w:r>
        <w:rPr>
          <w:rFonts w:ascii="Book Antiqua" w:hAnsi="Book Antiqua"/>
        </w:rPr>
        <w:t>, Sipos B, Alkatout I, Poschmann G, Stephan C, Schulenborg T, Marcus K, Lüttges J, Dittert DD, Baretton G, Schmiegel W, Hahn SA, Klöppel G, Meyer HE, Stühler K. Analysis of the pancreatic tumor progression by a quantitative proteomic approach and immunhistochemical validation.</w:t>
      </w:r>
      <w:r>
        <w:rPr>
          <w:rStyle w:val="apple-converted-space"/>
          <w:rFonts w:ascii="Book Antiqua" w:hAnsi="Book Antiqua"/>
        </w:rPr>
        <w:t xml:space="preserve"> </w:t>
      </w:r>
      <w:r>
        <w:rPr>
          <w:rFonts w:ascii="Book Antiqua" w:hAnsi="Book Antiqua"/>
          <w:i/>
          <w:iCs/>
        </w:rPr>
        <w:t>J Proteome Res</w:t>
      </w:r>
      <w:r>
        <w:rPr>
          <w:rStyle w:val="apple-converted-space"/>
          <w:rFonts w:ascii="Book Antiqua" w:hAnsi="Book Antiqua"/>
        </w:rPr>
        <w:t xml:space="preserve"> </w:t>
      </w:r>
      <w:r>
        <w:rPr>
          <w:rFonts w:ascii="Book Antiqua" w:hAnsi="Book Antiqua"/>
        </w:rPr>
        <w:t>2009;</w:t>
      </w:r>
      <w:r>
        <w:rPr>
          <w:rStyle w:val="apple-converted-space"/>
          <w:rFonts w:ascii="Book Antiqua" w:hAnsi="Book Antiqua"/>
        </w:rPr>
        <w:t xml:space="preserve"> </w:t>
      </w:r>
      <w:r>
        <w:rPr>
          <w:rFonts w:ascii="Book Antiqua" w:hAnsi="Book Antiqua"/>
          <w:b/>
          <w:bCs/>
        </w:rPr>
        <w:t>8</w:t>
      </w:r>
      <w:r>
        <w:rPr>
          <w:rFonts w:ascii="Book Antiqua" w:hAnsi="Book Antiqua"/>
        </w:rPr>
        <w:t>: 1647-1656 [PMID: 19714807 DOI: 10.1021/pr800890j]</w:t>
      </w:r>
    </w:p>
    <w:p w14:paraId="2D419A18" w14:textId="77777777" w:rsidR="00A503D8" w:rsidRDefault="00A503D8">
      <w:pPr>
        <w:spacing w:line="360" w:lineRule="auto"/>
        <w:jc w:val="both"/>
        <w:rPr>
          <w:rFonts w:ascii="Book Antiqua" w:hAnsi="Book Antiqua"/>
        </w:rPr>
      </w:pPr>
    </w:p>
    <w:p w14:paraId="3A813E8F" w14:textId="77777777" w:rsidR="00A503D8" w:rsidRDefault="00000000">
      <w:pPr>
        <w:spacing w:line="360" w:lineRule="auto"/>
        <w:jc w:val="both"/>
        <w:rPr>
          <w:rFonts w:ascii="Book Antiqua" w:hAnsi="Book Antiqua"/>
        </w:rPr>
      </w:pPr>
      <w:r>
        <w:rPr>
          <w:rFonts w:ascii="Book Antiqua" w:eastAsia="Book Antiqua" w:hAnsi="Book Antiqua" w:cs="Book Antiqua"/>
          <w:b/>
          <w:color w:val="000000"/>
        </w:rPr>
        <w:t>Footnotes</w:t>
      </w:r>
    </w:p>
    <w:p w14:paraId="0B49C074" w14:textId="320EE786" w:rsidR="00A503D8" w:rsidRDefault="00000000">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The authors declare no conflicts of interest.</w:t>
      </w:r>
    </w:p>
    <w:p w14:paraId="2768E714" w14:textId="77777777" w:rsidR="00A503D8" w:rsidRDefault="00A503D8">
      <w:pPr>
        <w:spacing w:line="360" w:lineRule="auto"/>
        <w:jc w:val="both"/>
        <w:rPr>
          <w:rFonts w:ascii="Book Antiqua" w:hAnsi="Book Antiqua"/>
        </w:rPr>
      </w:pPr>
    </w:p>
    <w:p w14:paraId="7E75A1EF" w14:textId="77777777" w:rsidR="00A503D8" w:rsidRDefault="00000000">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w:t>
      </w:r>
      <w:r>
        <w:rPr>
          <w:rFonts w:ascii="Book Antiqua" w:eastAsia="Book Antiqua" w:hAnsi="Book Antiqua" w:cs="Book Antiqua"/>
        </w:rPr>
        <w:lastRenderedPageBreak/>
        <w:t>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1D24C75" w14:textId="77777777" w:rsidR="00A503D8" w:rsidRDefault="00A503D8">
      <w:pPr>
        <w:spacing w:line="360" w:lineRule="auto"/>
        <w:jc w:val="both"/>
        <w:rPr>
          <w:rFonts w:ascii="Book Antiqua" w:hAnsi="Book Antiqua"/>
        </w:rPr>
      </w:pPr>
    </w:p>
    <w:p w14:paraId="7BCBD714" w14:textId="215F2A18" w:rsidR="00A503D8" w:rsidRDefault="00000000">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r w:rsidR="008C7E99">
        <w:rPr>
          <w:rFonts w:ascii="Book Antiqua" w:eastAsia="Book Antiqua" w:hAnsi="Book Antiqua" w:cs="Book Antiqua"/>
        </w:rPr>
        <w:t>.</w:t>
      </w:r>
    </w:p>
    <w:p w14:paraId="56070B69" w14:textId="77777777" w:rsidR="00A503D8"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674D9056" w14:textId="77777777" w:rsidR="00A503D8" w:rsidRDefault="00A503D8">
      <w:pPr>
        <w:spacing w:line="360" w:lineRule="auto"/>
        <w:jc w:val="both"/>
        <w:rPr>
          <w:rFonts w:ascii="Book Antiqua" w:hAnsi="Book Antiqua"/>
        </w:rPr>
      </w:pPr>
    </w:p>
    <w:p w14:paraId="25A7213D" w14:textId="77777777" w:rsidR="00A503D8"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November 28, 2022</w:t>
      </w:r>
    </w:p>
    <w:p w14:paraId="17B2ED84" w14:textId="77777777" w:rsidR="00A503D8" w:rsidRDefault="0000000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January 11, 2023</w:t>
      </w:r>
    </w:p>
    <w:p w14:paraId="464E97F3" w14:textId="25D8A50F" w:rsidR="00A503D8" w:rsidRDefault="00000000">
      <w:pPr>
        <w:spacing w:line="360" w:lineRule="auto"/>
        <w:jc w:val="both"/>
        <w:rPr>
          <w:rFonts w:ascii="Book Antiqua" w:hAnsi="Book Antiqua"/>
        </w:rPr>
      </w:pPr>
      <w:r>
        <w:rPr>
          <w:rFonts w:ascii="Book Antiqua" w:eastAsia="Book Antiqua" w:hAnsi="Book Antiqua" w:cs="Book Antiqua"/>
          <w:b/>
          <w:color w:val="000000"/>
        </w:rPr>
        <w:t xml:space="preserve">Article in press: </w:t>
      </w:r>
      <w:r w:rsidR="003B4983" w:rsidRPr="002A39AF">
        <w:rPr>
          <w:rFonts w:ascii="Book Antiqua" w:eastAsia="Book Antiqua" w:hAnsi="Book Antiqua" w:cs="Book Antiqua"/>
        </w:rPr>
        <w:t>March 15, 2023</w:t>
      </w:r>
    </w:p>
    <w:p w14:paraId="50282B8E" w14:textId="77777777" w:rsidR="00A503D8" w:rsidRDefault="00A503D8">
      <w:pPr>
        <w:spacing w:line="360" w:lineRule="auto"/>
        <w:jc w:val="both"/>
        <w:rPr>
          <w:rFonts w:ascii="Book Antiqua" w:hAnsi="Book Antiqua"/>
        </w:rPr>
      </w:pPr>
    </w:p>
    <w:p w14:paraId="301BBE1A" w14:textId="77777777" w:rsidR="00A503D8" w:rsidRDefault="00000000">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Gastroenterology and hepatology</w:t>
      </w:r>
    </w:p>
    <w:p w14:paraId="3358CB48" w14:textId="77777777" w:rsidR="00A503D8" w:rsidRDefault="00000000">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India</w:t>
      </w:r>
    </w:p>
    <w:p w14:paraId="707B48D8" w14:textId="77777777" w:rsidR="00A503D8" w:rsidRDefault="00000000">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44A66F71" w14:textId="77777777" w:rsidR="00A503D8" w:rsidRDefault="00000000">
      <w:pPr>
        <w:spacing w:line="360" w:lineRule="auto"/>
        <w:jc w:val="both"/>
        <w:rPr>
          <w:rFonts w:ascii="Book Antiqua" w:hAnsi="Book Antiqua"/>
        </w:rPr>
      </w:pPr>
      <w:r>
        <w:rPr>
          <w:rFonts w:ascii="Book Antiqua" w:eastAsia="Book Antiqua" w:hAnsi="Book Antiqua" w:cs="Book Antiqua"/>
        </w:rPr>
        <w:t>Grade A (Excellent): A</w:t>
      </w:r>
    </w:p>
    <w:p w14:paraId="400E2E53" w14:textId="77777777" w:rsidR="00A503D8" w:rsidRDefault="00000000">
      <w:pPr>
        <w:spacing w:line="360" w:lineRule="auto"/>
        <w:jc w:val="both"/>
        <w:rPr>
          <w:rFonts w:ascii="Book Antiqua" w:hAnsi="Book Antiqua"/>
        </w:rPr>
      </w:pPr>
      <w:r>
        <w:rPr>
          <w:rFonts w:ascii="Book Antiqua" w:eastAsia="Book Antiqua" w:hAnsi="Book Antiqua" w:cs="Book Antiqua"/>
        </w:rPr>
        <w:t>Grade B (Very good): B</w:t>
      </w:r>
    </w:p>
    <w:p w14:paraId="7B13EBAF" w14:textId="77777777" w:rsidR="00A503D8" w:rsidRDefault="00000000">
      <w:pPr>
        <w:spacing w:line="360" w:lineRule="auto"/>
        <w:jc w:val="both"/>
        <w:rPr>
          <w:rFonts w:ascii="Book Antiqua" w:hAnsi="Book Antiqua"/>
        </w:rPr>
      </w:pPr>
      <w:r>
        <w:rPr>
          <w:rFonts w:ascii="Book Antiqua" w:eastAsia="Book Antiqua" w:hAnsi="Book Antiqua" w:cs="Book Antiqua"/>
        </w:rPr>
        <w:t>Grade C (Good): 0</w:t>
      </w:r>
    </w:p>
    <w:p w14:paraId="464587FE" w14:textId="77777777" w:rsidR="00A503D8" w:rsidRDefault="00000000">
      <w:pPr>
        <w:spacing w:line="360" w:lineRule="auto"/>
        <w:jc w:val="both"/>
        <w:rPr>
          <w:rFonts w:ascii="Book Antiqua" w:hAnsi="Book Antiqua"/>
        </w:rPr>
      </w:pPr>
      <w:r>
        <w:rPr>
          <w:rFonts w:ascii="Book Antiqua" w:eastAsia="Book Antiqua" w:hAnsi="Book Antiqua" w:cs="Book Antiqua"/>
        </w:rPr>
        <w:t>Grade D (Fair): 0</w:t>
      </w:r>
    </w:p>
    <w:p w14:paraId="747EF901" w14:textId="77777777" w:rsidR="00A503D8" w:rsidRDefault="00000000">
      <w:pPr>
        <w:spacing w:line="360" w:lineRule="auto"/>
        <w:jc w:val="both"/>
        <w:rPr>
          <w:rFonts w:ascii="Book Antiqua" w:hAnsi="Book Antiqua"/>
        </w:rPr>
      </w:pPr>
      <w:r>
        <w:rPr>
          <w:rFonts w:ascii="Book Antiqua" w:eastAsia="Book Antiqua" w:hAnsi="Book Antiqua" w:cs="Book Antiqua"/>
        </w:rPr>
        <w:t>Grade E (Poor): 0</w:t>
      </w:r>
    </w:p>
    <w:p w14:paraId="4623A47B" w14:textId="77777777" w:rsidR="00A503D8" w:rsidRDefault="00A503D8">
      <w:pPr>
        <w:spacing w:line="360" w:lineRule="auto"/>
        <w:jc w:val="both"/>
        <w:rPr>
          <w:rFonts w:ascii="Book Antiqua" w:hAnsi="Book Antiqua"/>
        </w:rPr>
      </w:pPr>
    </w:p>
    <w:p w14:paraId="6069EC1B" w14:textId="30BD7EEB" w:rsidR="00A503D8" w:rsidRDefault="00000000">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Białek Ł, Poland; Wang XB, China</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Zhang H</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 xml:space="preserve">Filipodia </w:t>
      </w:r>
      <w:r>
        <w:rPr>
          <w:rFonts w:ascii="Book Antiqua" w:eastAsia="Book Antiqua" w:hAnsi="Book Antiqua" w:cs="Book Antiqua"/>
          <w:b/>
          <w:color w:val="000000"/>
        </w:rPr>
        <w:t xml:space="preserve">P-Editor: </w:t>
      </w:r>
      <w:r>
        <w:rPr>
          <w:rFonts w:ascii="Book Antiqua" w:eastAsia="Book Antiqua" w:hAnsi="Book Antiqua" w:cs="Book Antiqua"/>
          <w:bCs/>
          <w:color w:val="000000"/>
        </w:rPr>
        <w:t>Zhang H</w:t>
      </w:r>
    </w:p>
    <w:p w14:paraId="5A93B773" w14:textId="77777777" w:rsidR="00A503D8" w:rsidRDefault="00A503D8">
      <w:pPr>
        <w:spacing w:line="360" w:lineRule="auto"/>
        <w:jc w:val="both"/>
        <w:rPr>
          <w:rFonts w:ascii="Book Antiqua" w:hAnsi="Book Antiqua"/>
        </w:rPr>
      </w:pPr>
    </w:p>
    <w:p w14:paraId="34EA3ED9" w14:textId="77777777" w:rsidR="00A503D8" w:rsidRDefault="00000000">
      <w:pPr>
        <w:spacing w:line="360" w:lineRule="auto"/>
        <w:jc w:val="both"/>
        <w:rPr>
          <w:rFonts w:ascii="Book Antiqua" w:hAnsi="Book Antiqua"/>
          <w:b/>
          <w:bCs/>
        </w:rPr>
      </w:pPr>
      <w:r>
        <w:rPr>
          <w:rFonts w:ascii="Book Antiqua" w:eastAsia="Book Antiqua" w:hAnsi="Book Antiqua" w:cs="Book Antiqua"/>
          <w:b/>
          <w:bCs/>
          <w:color w:val="000000"/>
        </w:rPr>
        <w:t>Table 1 Cell free DNA involved in pancreatic cancer diagnostic and prognostics</w:t>
      </w:r>
    </w:p>
    <w:tbl>
      <w:tblPr>
        <w:tblW w:w="0" w:type="auto"/>
        <w:tblInd w:w="118" w:type="dxa"/>
        <w:tblBorders>
          <w:top w:val="single" w:sz="4" w:space="0" w:color="auto"/>
          <w:bottom w:val="single" w:sz="4" w:space="0" w:color="auto"/>
        </w:tblBorders>
        <w:tblCellMar>
          <w:top w:w="15" w:type="dxa"/>
        </w:tblCellMar>
        <w:tblLook w:val="04A0" w:firstRow="1" w:lastRow="0" w:firstColumn="1" w:lastColumn="0" w:noHBand="0" w:noVBand="1"/>
      </w:tblPr>
      <w:tblGrid>
        <w:gridCol w:w="2050"/>
        <w:gridCol w:w="1247"/>
        <w:gridCol w:w="1864"/>
        <w:gridCol w:w="1863"/>
      </w:tblGrid>
      <w:tr w:rsidR="00A503D8" w14:paraId="7396B4FD" w14:textId="77777777">
        <w:tc>
          <w:tcPr>
            <w:tcW w:w="0" w:type="auto"/>
            <w:tcBorders>
              <w:top w:val="single" w:sz="4" w:space="0" w:color="auto"/>
              <w:bottom w:val="single" w:sz="4" w:space="0" w:color="auto"/>
            </w:tcBorders>
            <w:shd w:val="clear" w:color="auto" w:fill="auto"/>
          </w:tcPr>
          <w:p w14:paraId="1979E19A" w14:textId="77777777" w:rsidR="00A503D8" w:rsidRDefault="00000000">
            <w:pPr>
              <w:adjustRightInd w:val="0"/>
              <w:snapToGrid w:val="0"/>
              <w:spacing w:line="360" w:lineRule="auto"/>
              <w:jc w:val="both"/>
              <w:rPr>
                <w:rFonts w:ascii="Book Antiqua" w:eastAsia="等线" w:hAnsi="Book Antiqua" w:cs="宋体"/>
                <w:b/>
                <w:bCs/>
                <w:color w:val="000000"/>
                <w:lang w:eastAsia="zh-CN"/>
              </w:rPr>
            </w:pPr>
            <w:r>
              <w:rPr>
                <w:rFonts w:ascii="Book Antiqua" w:eastAsia="等线" w:hAnsi="Book Antiqua" w:cs="宋体"/>
                <w:b/>
                <w:bCs/>
                <w:color w:val="000000"/>
                <w:lang w:eastAsia="zh-CN"/>
              </w:rPr>
              <w:t>Target candidate</w:t>
            </w:r>
          </w:p>
        </w:tc>
        <w:tc>
          <w:tcPr>
            <w:tcW w:w="0" w:type="auto"/>
            <w:tcBorders>
              <w:top w:val="single" w:sz="4" w:space="0" w:color="auto"/>
              <w:bottom w:val="single" w:sz="4" w:space="0" w:color="auto"/>
            </w:tcBorders>
            <w:shd w:val="clear" w:color="auto" w:fill="auto"/>
          </w:tcPr>
          <w:p w14:paraId="73D09175" w14:textId="77777777" w:rsidR="00A503D8" w:rsidRDefault="00000000">
            <w:pPr>
              <w:adjustRightInd w:val="0"/>
              <w:snapToGrid w:val="0"/>
              <w:spacing w:line="360" w:lineRule="auto"/>
              <w:jc w:val="both"/>
              <w:rPr>
                <w:rFonts w:ascii="Book Antiqua" w:eastAsia="等线" w:hAnsi="Book Antiqua" w:cs="宋体"/>
                <w:b/>
                <w:bCs/>
                <w:color w:val="000000"/>
                <w:lang w:eastAsia="zh-CN"/>
              </w:rPr>
            </w:pPr>
            <w:r>
              <w:rPr>
                <w:rFonts w:ascii="Book Antiqua" w:eastAsia="等线" w:hAnsi="Book Antiqua" w:cs="宋体"/>
                <w:b/>
                <w:bCs/>
                <w:color w:val="000000"/>
                <w:lang w:eastAsia="zh-CN"/>
              </w:rPr>
              <w:t>Up/down</w:t>
            </w:r>
          </w:p>
        </w:tc>
        <w:tc>
          <w:tcPr>
            <w:tcW w:w="0" w:type="auto"/>
            <w:tcBorders>
              <w:top w:val="single" w:sz="4" w:space="0" w:color="auto"/>
              <w:bottom w:val="single" w:sz="4" w:space="0" w:color="auto"/>
            </w:tcBorders>
            <w:shd w:val="clear" w:color="auto" w:fill="auto"/>
          </w:tcPr>
          <w:p w14:paraId="23691E68" w14:textId="77777777" w:rsidR="00A503D8" w:rsidRDefault="00000000">
            <w:pPr>
              <w:adjustRightInd w:val="0"/>
              <w:snapToGrid w:val="0"/>
              <w:spacing w:line="360" w:lineRule="auto"/>
              <w:jc w:val="both"/>
              <w:rPr>
                <w:rFonts w:ascii="Book Antiqua" w:eastAsia="等线" w:hAnsi="Book Antiqua" w:cs="宋体"/>
                <w:b/>
                <w:bCs/>
                <w:color w:val="000000"/>
                <w:lang w:eastAsia="zh-CN"/>
              </w:rPr>
            </w:pPr>
            <w:r>
              <w:rPr>
                <w:rFonts w:ascii="Book Antiqua" w:eastAsia="等线" w:hAnsi="Book Antiqua" w:cs="宋体"/>
                <w:b/>
                <w:bCs/>
                <w:color w:val="000000"/>
                <w:lang w:eastAsia="zh-CN"/>
              </w:rPr>
              <w:t>Sample</w:t>
            </w:r>
          </w:p>
        </w:tc>
        <w:tc>
          <w:tcPr>
            <w:tcW w:w="0" w:type="auto"/>
            <w:tcBorders>
              <w:top w:val="single" w:sz="4" w:space="0" w:color="auto"/>
              <w:bottom w:val="single" w:sz="4" w:space="0" w:color="auto"/>
            </w:tcBorders>
            <w:shd w:val="clear" w:color="auto" w:fill="auto"/>
          </w:tcPr>
          <w:p w14:paraId="12C03AA6" w14:textId="77777777" w:rsidR="00A503D8" w:rsidRDefault="00000000">
            <w:pPr>
              <w:adjustRightInd w:val="0"/>
              <w:snapToGrid w:val="0"/>
              <w:spacing w:line="360" w:lineRule="auto"/>
              <w:jc w:val="both"/>
              <w:rPr>
                <w:rFonts w:ascii="Book Antiqua" w:eastAsia="等线" w:hAnsi="Book Antiqua" w:cs="宋体"/>
                <w:b/>
                <w:bCs/>
                <w:i/>
                <w:iCs/>
                <w:color w:val="000000"/>
                <w:lang w:eastAsia="zh-CN"/>
              </w:rPr>
            </w:pPr>
            <w:r>
              <w:rPr>
                <w:rFonts w:ascii="Book Antiqua" w:eastAsia="等线" w:hAnsi="Book Antiqua" w:cs="宋体"/>
                <w:b/>
                <w:bCs/>
                <w:color w:val="000000"/>
                <w:lang w:eastAsia="zh-CN"/>
              </w:rPr>
              <w:t>Potential value</w:t>
            </w:r>
          </w:p>
        </w:tc>
      </w:tr>
      <w:tr w:rsidR="00A503D8" w14:paraId="522C1743" w14:textId="77777777">
        <w:tc>
          <w:tcPr>
            <w:tcW w:w="0" w:type="auto"/>
            <w:tcBorders>
              <w:top w:val="single" w:sz="4" w:space="0" w:color="auto"/>
            </w:tcBorders>
            <w:shd w:val="clear" w:color="auto" w:fill="auto"/>
          </w:tcPr>
          <w:p w14:paraId="77AA4112" w14:textId="77777777" w:rsidR="00A503D8" w:rsidRDefault="00000000">
            <w:pPr>
              <w:adjustRightInd w:val="0"/>
              <w:snapToGrid w:val="0"/>
              <w:spacing w:line="360" w:lineRule="auto"/>
              <w:jc w:val="both"/>
              <w:rPr>
                <w:rFonts w:ascii="Book Antiqua" w:eastAsia="等线" w:hAnsi="Book Antiqua" w:cs="宋体"/>
                <w:color w:val="000000"/>
                <w:lang w:eastAsia="zh-CN"/>
              </w:rPr>
            </w:pPr>
            <w:r w:rsidRPr="002A39AF">
              <w:rPr>
                <w:rFonts w:ascii="Book Antiqua" w:eastAsia="等线" w:hAnsi="Book Antiqua" w:cs="宋体"/>
                <w:i/>
                <w:iCs/>
                <w:color w:val="000000"/>
                <w:lang w:eastAsia="zh-CN"/>
              </w:rPr>
              <w:t>CEA</w:t>
            </w:r>
            <w:r>
              <w:rPr>
                <w:rFonts w:ascii="Book Antiqua" w:eastAsia="等线" w:hAnsi="Book Antiqua" w:cs="宋体"/>
                <w:color w:val="000000"/>
                <w:lang w:eastAsia="zh-CN"/>
              </w:rPr>
              <w:t xml:space="preserve"> mRNA</w:t>
            </w:r>
          </w:p>
        </w:tc>
        <w:tc>
          <w:tcPr>
            <w:tcW w:w="0" w:type="auto"/>
            <w:tcBorders>
              <w:top w:val="single" w:sz="4" w:space="0" w:color="auto"/>
            </w:tcBorders>
            <w:shd w:val="clear" w:color="auto" w:fill="auto"/>
          </w:tcPr>
          <w:p w14:paraId="598F56C9"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Up</w:t>
            </w:r>
          </w:p>
        </w:tc>
        <w:tc>
          <w:tcPr>
            <w:tcW w:w="0" w:type="auto"/>
            <w:tcBorders>
              <w:top w:val="single" w:sz="4" w:space="0" w:color="auto"/>
            </w:tcBorders>
            <w:shd w:val="clear" w:color="auto" w:fill="auto"/>
          </w:tcPr>
          <w:p w14:paraId="6B01319C"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Whole blood</w:t>
            </w:r>
          </w:p>
        </w:tc>
        <w:tc>
          <w:tcPr>
            <w:tcW w:w="0" w:type="auto"/>
            <w:tcBorders>
              <w:top w:val="single" w:sz="4" w:space="0" w:color="auto"/>
            </w:tcBorders>
            <w:shd w:val="clear" w:color="auto" w:fill="auto"/>
          </w:tcPr>
          <w:p w14:paraId="27D930A6"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D</w:t>
            </w:r>
          </w:p>
        </w:tc>
      </w:tr>
      <w:tr w:rsidR="00A503D8" w14:paraId="266784FC" w14:textId="77777777">
        <w:tc>
          <w:tcPr>
            <w:tcW w:w="0" w:type="auto"/>
            <w:shd w:val="clear" w:color="auto" w:fill="auto"/>
          </w:tcPr>
          <w:p w14:paraId="00853FB5" w14:textId="77777777" w:rsidR="00A503D8" w:rsidRDefault="00000000">
            <w:pPr>
              <w:adjustRightInd w:val="0"/>
              <w:snapToGrid w:val="0"/>
              <w:spacing w:line="360" w:lineRule="auto"/>
              <w:jc w:val="both"/>
              <w:rPr>
                <w:rFonts w:ascii="Book Antiqua" w:eastAsia="等线" w:hAnsi="Book Antiqua" w:cs="宋体"/>
                <w:color w:val="000000"/>
                <w:lang w:eastAsia="zh-CN"/>
              </w:rPr>
            </w:pPr>
            <w:r w:rsidRPr="002A39AF">
              <w:rPr>
                <w:rFonts w:ascii="Book Antiqua" w:eastAsia="等线" w:hAnsi="Book Antiqua" w:cs="宋体"/>
                <w:i/>
                <w:iCs/>
                <w:color w:val="000000"/>
                <w:lang w:eastAsia="zh-CN"/>
              </w:rPr>
              <w:t>EGFR</w:t>
            </w:r>
            <w:r>
              <w:rPr>
                <w:rFonts w:ascii="Book Antiqua" w:eastAsia="等线" w:hAnsi="Book Antiqua" w:cs="宋体"/>
                <w:color w:val="000000"/>
                <w:lang w:eastAsia="zh-CN"/>
              </w:rPr>
              <w:t xml:space="preserve"> mRNA</w:t>
            </w:r>
          </w:p>
        </w:tc>
        <w:tc>
          <w:tcPr>
            <w:tcW w:w="0" w:type="auto"/>
            <w:shd w:val="clear" w:color="auto" w:fill="auto"/>
          </w:tcPr>
          <w:p w14:paraId="12E9B87B"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Up</w:t>
            </w:r>
          </w:p>
        </w:tc>
        <w:tc>
          <w:tcPr>
            <w:tcW w:w="0" w:type="auto"/>
            <w:shd w:val="clear" w:color="auto" w:fill="auto"/>
          </w:tcPr>
          <w:p w14:paraId="2B57033A"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Serum</w:t>
            </w:r>
          </w:p>
        </w:tc>
        <w:tc>
          <w:tcPr>
            <w:tcW w:w="0" w:type="auto"/>
            <w:shd w:val="clear" w:color="auto" w:fill="auto"/>
          </w:tcPr>
          <w:p w14:paraId="4423A46B"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D</w:t>
            </w:r>
          </w:p>
        </w:tc>
      </w:tr>
      <w:tr w:rsidR="00A503D8" w14:paraId="17154B62" w14:textId="77777777">
        <w:tc>
          <w:tcPr>
            <w:tcW w:w="0" w:type="auto"/>
            <w:shd w:val="clear" w:color="auto" w:fill="auto"/>
          </w:tcPr>
          <w:p w14:paraId="6C658D1D" w14:textId="77777777" w:rsidR="00A503D8" w:rsidRDefault="00000000">
            <w:pPr>
              <w:adjustRightInd w:val="0"/>
              <w:snapToGrid w:val="0"/>
              <w:spacing w:line="360" w:lineRule="auto"/>
              <w:jc w:val="both"/>
              <w:rPr>
                <w:rFonts w:ascii="Book Antiqua" w:eastAsia="等线" w:hAnsi="Book Antiqua" w:cs="宋体"/>
                <w:color w:val="000000"/>
                <w:lang w:eastAsia="zh-CN"/>
              </w:rPr>
            </w:pPr>
            <w:r w:rsidRPr="002A39AF">
              <w:rPr>
                <w:rFonts w:ascii="Book Antiqua" w:eastAsia="等线" w:hAnsi="Book Antiqua" w:cs="宋体"/>
                <w:i/>
                <w:iCs/>
                <w:color w:val="000000"/>
                <w:lang w:eastAsia="zh-CN"/>
              </w:rPr>
              <w:lastRenderedPageBreak/>
              <w:t>4GnT</w:t>
            </w:r>
            <w:r>
              <w:rPr>
                <w:rFonts w:ascii="Book Antiqua" w:eastAsia="等线" w:hAnsi="Book Antiqua" w:cs="宋体"/>
                <w:color w:val="000000"/>
                <w:lang w:eastAsia="zh-CN"/>
              </w:rPr>
              <w:t xml:space="preserve"> mRNA</w:t>
            </w:r>
          </w:p>
        </w:tc>
        <w:tc>
          <w:tcPr>
            <w:tcW w:w="0" w:type="auto"/>
            <w:shd w:val="clear" w:color="auto" w:fill="auto"/>
          </w:tcPr>
          <w:p w14:paraId="0EE37C03"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Up</w:t>
            </w:r>
          </w:p>
        </w:tc>
        <w:tc>
          <w:tcPr>
            <w:tcW w:w="0" w:type="auto"/>
            <w:shd w:val="clear" w:color="auto" w:fill="auto"/>
          </w:tcPr>
          <w:p w14:paraId="481936E9"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Whole blood</w:t>
            </w:r>
          </w:p>
        </w:tc>
        <w:tc>
          <w:tcPr>
            <w:tcW w:w="0" w:type="auto"/>
            <w:shd w:val="clear" w:color="auto" w:fill="auto"/>
          </w:tcPr>
          <w:p w14:paraId="0A5C6EDA"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D</w:t>
            </w:r>
          </w:p>
        </w:tc>
      </w:tr>
      <w:tr w:rsidR="00A503D8" w14:paraId="0DA93FD8" w14:textId="77777777">
        <w:tc>
          <w:tcPr>
            <w:tcW w:w="0" w:type="auto"/>
            <w:shd w:val="clear" w:color="auto" w:fill="auto"/>
          </w:tcPr>
          <w:p w14:paraId="26F9AC32" w14:textId="4B4C3F60" w:rsidR="00A503D8" w:rsidRDefault="00000000">
            <w:pPr>
              <w:adjustRightInd w:val="0"/>
              <w:snapToGrid w:val="0"/>
              <w:spacing w:line="360" w:lineRule="auto"/>
              <w:jc w:val="both"/>
              <w:rPr>
                <w:rFonts w:ascii="Book Antiqua" w:eastAsia="等线" w:hAnsi="Book Antiqua" w:cs="宋体"/>
                <w:color w:val="000000"/>
                <w:lang w:eastAsia="zh-CN"/>
              </w:rPr>
            </w:pPr>
            <w:r w:rsidRPr="002A39AF">
              <w:rPr>
                <w:rFonts w:ascii="Book Antiqua" w:eastAsia="等线" w:hAnsi="Book Antiqua" w:cs="宋体"/>
                <w:i/>
                <w:iCs/>
                <w:color w:val="000000"/>
                <w:lang w:eastAsia="zh-CN"/>
              </w:rPr>
              <w:t>COL6A3</w:t>
            </w:r>
            <w:r>
              <w:rPr>
                <w:rFonts w:ascii="Book Antiqua" w:eastAsia="等线" w:hAnsi="Book Antiqua" w:cs="宋体"/>
                <w:color w:val="000000"/>
                <w:lang w:eastAsia="zh-CN"/>
              </w:rPr>
              <w:t xml:space="preserve"> mRNA</w:t>
            </w:r>
          </w:p>
        </w:tc>
        <w:tc>
          <w:tcPr>
            <w:tcW w:w="0" w:type="auto"/>
            <w:shd w:val="clear" w:color="auto" w:fill="auto"/>
          </w:tcPr>
          <w:p w14:paraId="534FB97A"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Up</w:t>
            </w:r>
          </w:p>
        </w:tc>
        <w:tc>
          <w:tcPr>
            <w:tcW w:w="0" w:type="auto"/>
            <w:shd w:val="clear" w:color="auto" w:fill="auto"/>
          </w:tcPr>
          <w:p w14:paraId="348B69D1"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Serum</w:t>
            </w:r>
          </w:p>
        </w:tc>
        <w:tc>
          <w:tcPr>
            <w:tcW w:w="0" w:type="auto"/>
            <w:shd w:val="clear" w:color="auto" w:fill="auto"/>
          </w:tcPr>
          <w:p w14:paraId="6367515D"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D/P</w:t>
            </w:r>
          </w:p>
        </w:tc>
      </w:tr>
      <w:tr w:rsidR="00A503D8" w14:paraId="51032C9F" w14:textId="77777777">
        <w:tc>
          <w:tcPr>
            <w:tcW w:w="0" w:type="auto"/>
            <w:shd w:val="clear" w:color="auto" w:fill="auto"/>
          </w:tcPr>
          <w:p w14:paraId="3102F9E4"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Mir-155</w:t>
            </w:r>
          </w:p>
        </w:tc>
        <w:tc>
          <w:tcPr>
            <w:tcW w:w="0" w:type="auto"/>
            <w:shd w:val="clear" w:color="auto" w:fill="auto"/>
          </w:tcPr>
          <w:p w14:paraId="5A39710D"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Up</w:t>
            </w:r>
          </w:p>
        </w:tc>
        <w:tc>
          <w:tcPr>
            <w:tcW w:w="0" w:type="auto"/>
            <w:shd w:val="clear" w:color="auto" w:fill="auto"/>
          </w:tcPr>
          <w:p w14:paraId="68B2D5AA"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Plasma</w:t>
            </w:r>
          </w:p>
        </w:tc>
        <w:tc>
          <w:tcPr>
            <w:tcW w:w="0" w:type="auto"/>
            <w:shd w:val="clear" w:color="auto" w:fill="auto"/>
          </w:tcPr>
          <w:p w14:paraId="2FBBC1B6"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D</w:t>
            </w:r>
          </w:p>
        </w:tc>
      </w:tr>
      <w:tr w:rsidR="00A503D8" w14:paraId="3E02CE84" w14:textId="77777777">
        <w:tc>
          <w:tcPr>
            <w:tcW w:w="0" w:type="auto"/>
            <w:shd w:val="clear" w:color="auto" w:fill="auto"/>
          </w:tcPr>
          <w:p w14:paraId="01D3B0DF"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miR-196a</w:t>
            </w:r>
          </w:p>
        </w:tc>
        <w:tc>
          <w:tcPr>
            <w:tcW w:w="0" w:type="auto"/>
            <w:shd w:val="clear" w:color="auto" w:fill="auto"/>
          </w:tcPr>
          <w:p w14:paraId="31351E13"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Up</w:t>
            </w:r>
          </w:p>
        </w:tc>
        <w:tc>
          <w:tcPr>
            <w:tcW w:w="0" w:type="auto"/>
            <w:shd w:val="clear" w:color="auto" w:fill="auto"/>
          </w:tcPr>
          <w:p w14:paraId="5DCF882F"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Plasma</w:t>
            </w:r>
          </w:p>
        </w:tc>
        <w:tc>
          <w:tcPr>
            <w:tcW w:w="0" w:type="auto"/>
            <w:shd w:val="clear" w:color="auto" w:fill="auto"/>
          </w:tcPr>
          <w:p w14:paraId="7DA85647"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D</w:t>
            </w:r>
          </w:p>
        </w:tc>
      </w:tr>
      <w:tr w:rsidR="00A503D8" w14:paraId="3D1555C6" w14:textId="77777777">
        <w:tc>
          <w:tcPr>
            <w:tcW w:w="0" w:type="auto"/>
            <w:shd w:val="clear" w:color="auto" w:fill="auto"/>
          </w:tcPr>
          <w:p w14:paraId="0CB96703"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miR-21</w:t>
            </w:r>
          </w:p>
        </w:tc>
        <w:tc>
          <w:tcPr>
            <w:tcW w:w="0" w:type="auto"/>
            <w:shd w:val="clear" w:color="auto" w:fill="auto"/>
          </w:tcPr>
          <w:p w14:paraId="3FB19563"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Up</w:t>
            </w:r>
          </w:p>
        </w:tc>
        <w:tc>
          <w:tcPr>
            <w:tcW w:w="0" w:type="auto"/>
            <w:shd w:val="clear" w:color="auto" w:fill="auto"/>
          </w:tcPr>
          <w:p w14:paraId="1ABCD2C1"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Plasma</w:t>
            </w:r>
          </w:p>
        </w:tc>
        <w:tc>
          <w:tcPr>
            <w:tcW w:w="0" w:type="auto"/>
            <w:shd w:val="clear" w:color="auto" w:fill="auto"/>
          </w:tcPr>
          <w:p w14:paraId="58EDFD25"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D</w:t>
            </w:r>
          </w:p>
        </w:tc>
      </w:tr>
      <w:tr w:rsidR="00A503D8" w14:paraId="42BADA32" w14:textId="77777777">
        <w:tc>
          <w:tcPr>
            <w:tcW w:w="0" w:type="auto"/>
            <w:shd w:val="clear" w:color="auto" w:fill="auto"/>
          </w:tcPr>
          <w:p w14:paraId="768864E4"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miR-210</w:t>
            </w:r>
          </w:p>
        </w:tc>
        <w:tc>
          <w:tcPr>
            <w:tcW w:w="0" w:type="auto"/>
            <w:shd w:val="clear" w:color="auto" w:fill="auto"/>
          </w:tcPr>
          <w:p w14:paraId="69938878"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Up</w:t>
            </w:r>
          </w:p>
        </w:tc>
        <w:tc>
          <w:tcPr>
            <w:tcW w:w="0" w:type="auto"/>
            <w:shd w:val="clear" w:color="auto" w:fill="auto"/>
          </w:tcPr>
          <w:p w14:paraId="5BE7575B"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Plasma</w:t>
            </w:r>
          </w:p>
        </w:tc>
        <w:tc>
          <w:tcPr>
            <w:tcW w:w="0" w:type="auto"/>
            <w:shd w:val="clear" w:color="auto" w:fill="auto"/>
          </w:tcPr>
          <w:p w14:paraId="550F3040"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D</w:t>
            </w:r>
          </w:p>
        </w:tc>
      </w:tr>
      <w:tr w:rsidR="00A503D8" w14:paraId="318D2FE8" w14:textId="77777777">
        <w:tc>
          <w:tcPr>
            <w:tcW w:w="0" w:type="auto"/>
            <w:shd w:val="clear" w:color="auto" w:fill="auto"/>
          </w:tcPr>
          <w:p w14:paraId="15518CEE"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miR-155</w:t>
            </w:r>
          </w:p>
        </w:tc>
        <w:tc>
          <w:tcPr>
            <w:tcW w:w="0" w:type="auto"/>
            <w:shd w:val="clear" w:color="auto" w:fill="auto"/>
          </w:tcPr>
          <w:p w14:paraId="749834FD"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Up</w:t>
            </w:r>
          </w:p>
        </w:tc>
        <w:tc>
          <w:tcPr>
            <w:tcW w:w="0" w:type="auto"/>
            <w:shd w:val="clear" w:color="auto" w:fill="auto"/>
          </w:tcPr>
          <w:p w14:paraId="0E35C666"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Pancreatic juice</w:t>
            </w:r>
          </w:p>
        </w:tc>
        <w:tc>
          <w:tcPr>
            <w:tcW w:w="0" w:type="auto"/>
            <w:shd w:val="clear" w:color="auto" w:fill="auto"/>
          </w:tcPr>
          <w:p w14:paraId="4008ED87"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D</w:t>
            </w:r>
          </w:p>
        </w:tc>
      </w:tr>
      <w:tr w:rsidR="00A503D8" w14:paraId="1F2675B5" w14:textId="77777777">
        <w:tc>
          <w:tcPr>
            <w:tcW w:w="0" w:type="auto"/>
            <w:shd w:val="clear" w:color="auto" w:fill="auto"/>
          </w:tcPr>
          <w:p w14:paraId="1073A549"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miR-21</w:t>
            </w:r>
          </w:p>
        </w:tc>
        <w:tc>
          <w:tcPr>
            <w:tcW w:w="0" w:type="auto"/>
            <w:shd w:val="clear" w:color="auto" w:fill="auto"/>
          </w:tcPr>
          <w:p w14:paraId="3F98985E"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Up</w:t>
            </w:r>
          </w:p>
        </w:tc>
        <w:tc>
          <w:tcPr>
            <w:tcW w:w="0" w:type="auto"/>
            <w:shd w:val="clear" w:color="auto" w:fill="auto"/>
          </w:tcPr>
          <w:p w14:paraId="5C1A267D"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Plasma</w:t>
            </w:r>
          </w:p>
        </w:tc>
        <w:tc>
          <w:tcPr>
            <w:tcW w:w="0" w:type="auto"/>
            <w:shd w:val="clear" w:color="auto" w:fill="auto"/>
          </w:tcPr>
          <w:p w14:paraId="7243692A"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D</w:t>
            </w:r>
          </w:p>
        </w:tc>
      </w:tr>
      <w:tr w:rsidR="00A503D8" w14:paraId="2753DD12" w14:textId="77777777">
        <w:tc>
          <w:tcPr>
            <w:tcW w:w="0" w:type="auto"/>
            <w:shd w:val="clear" w:color="auto" w:fill="auto"/>
          </w:tcPr>
          <w:p w14:paraId="217E6790"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miR-196a</w:t>
            </w:r>
          </w:p>
        </w:tc>
        <w:tc>
          <w:tcPr>
            <w:tcW w:w="0" w:type="auto"/>
            <w:shd w:val="clear" w:color="auto" w:fill="auto"/>
          </w:tcPr>
          <w:p w14:paraId="0957CBBE"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Up</w:t>
            </w:r>
          </w:p>
        </w:tc>
        <w:tc>
          <w:tcPr>
            <w:tcW w:w="0" w:type="auto"/>
            <w:shd w:val="clear" w:color="auto" w:fill="auto"/>
          </w:tcPr>
          <w:p w14:paraId="082FF5FE"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Serum</w:t>
            </w:r>
          </w:p>
        </w:tc>
        <w:tc>
          <w:tcPr>
            <w:tcW w:w="0" w:type="auto"/>
            <w:shd w:val="clear" w:color="auto" w:fill="auto"/>
          </w:tcPr>
          <w:p w14:paraId="32FCCD11"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D/P</w:t>
            </w:r>
          </w:p>
        </w:tc>
      </w:tr>
      <w:tr w:rsidR="00A503D8" w14:paraId="1C1D9025" w14:textId="77777777">
        <w:tc>
          <w:tcPr>
            <w:tcW w:w="0" w:type="auto"/>
            <w:shd w:val="clear" w:color="auto" w:fill="auto"/>
          </w:tcPr>
          <w:p w14:paraId="5754B17D"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miR-200a</w:t>
            </w:r>
          </w:p>
        </w:tc>
        <w:tc>
          <w:tcPr>
            <w:tcW w:w="0" w:type="auto"/>
            <w:shd w:val="clear" w:color="auto" w:fill="auto"/>
          </w:tcPr>
          <w:p w14:paraId="6729D9DB"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Up</w:t>
            </w:r>
          </w:p>
        </w:tc>
        <w:tc>
          <w:tcPr>
            <w:tcW w:w="0" w:type="auto"/>
            <w:shd w:val="clear" w:color="auto" w:fill="auto"/>
          </w:tcPr>
          <w:p w14:paraId="4B979168"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Serum</w:t>
            </w:r>
          </w:p>
        </w:tc>
        <w:tc>
          <w:tcPr>
            <w:tcW w:w="0" w:type="auto"/>
            <w:shd w:val="clear" w:color="auto" w:fill="auto"/>
          </w:tcPr>
          <w:p w14:paraId="10B21D5F"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D</w:t>
            </w:r>
          </w:p>
        </w:tc>
      </w:tr>
      <w:tr w:rsidR="00A503D8" w14:paraId="65E66543" w14:textId="77777777">
        <w:tc>
          <w:tcPr>
            <w:tcW w:w="0" w:type="auto"/>
            <w:shd w:val="clear" w:color="auto" w:fill="auto"/>
          </w:tcPr>
          <w:p w14:paraId="352F8B9F"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miR-200b</w:t>
            </w:r>
          </w:p>
        </w:tc>
        <w:tc>
          <w:tcPr>
            <w:tcW w:w="0" w:type="auto"/>
            <w:shd w:val="clear" w:color="auto" w:fill="auto"/>
          </w:tcPr>
          <w:p w14:paraId="7C0C24BB"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Up</w:t>
            </w:r>
          </w:p>
        </w:tc>
        <w:tc>
          <w:tcPr>
            <w:tcW w:w="0" w:type="auto"/>
            <w:shd w:val="clear" w:color="auto" w:fill="auto"/>
          </w:tcPr>
          <w:p w14:paraId="78EA0F31"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Plasma</w:t>
            </w:r>
          </w:p>
        </w:tc>
        <w:tc>
          <w:tcPr>
            <w:tcW w:w="0" w:type="auto"/>
            <w:shd w:val="clear" w:color="auto" w:fill="auto"/>
          </w:tcPr>
          <w:p w14:paraId="4655D558"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D</w:t>
            </w:r>
          </w:p>
        </w:tc>
      </w:tr>
      <w:tr w:rsidR="00A503D8" w14:paraId="243F8391" w14:textId="77777777">
        <w:tc>
          <w:tcPr>
            <w:tcW w:w="0" w:type="auto"/>
            <w:shd w:val="clear" w:color="auto" w:fill="auto"/>
          </w:tcPr>
          <w:p w14:paraId="52C7A271"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miR-210</w:t>
            </w:r>
          </w:p>
        </w:tc>
        <w:tc>
          <w:tcPr>
            <w:tcW w:w="0" w:type="auto"/>
            <w:shd w:val="clear" w:color="auto" w:fill="auto"/>
          </w:tcPr>
          <w:p w14:paraId="4FAFA07E"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Up</w:t>
            </w:r>
          </w:p>
        </w:tc>
        <w:tc>
          <w:tcPr>
            <w:tcW w:w="0" w:type="auto"/>
            <w:shd w:val="clear" w:color="auto" w:fill="auto"/>
          </w:tcPr>
          <w:p w14:paraId="1FACDAA4"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Plasma</w:t>
            </w:r>
          </w:p>
        </w:tc>
        <w:tc>
          <w:tcPr>
            <w:tcW w:w="0" w:type="auto"/>
            <w:shd w:val="clear" w:color="auto" w:fill="auto"/>
          </w:tcPr>
          <w:p w14:paraId="454C8963"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D</w:t>
            </w:r>
          </w:p>
        </w:tc>
      </w:tr>
      <w:tr w:rsidR="00A503D8" w14:paraId="6E97DC48" w14:textId="77777777">
        <w:tc>
          <w:tcPr>
            <w:tcW w:w="0" w:type="auto"/>
            <w:shd w:val="clear" w:color="auto" w:fill="auto"/>
          </w:tcPr>
          <w:p w14:paraId="33A71B08"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miR-18a</w:t>
            </w:r>
          </w:p>
        </w:tc>
        <w:tc>
          <w:tcPr>
            <w:tcW w:w="0" w:type="auto"/>
            <w:shd w:val="clear" w:color="auto" w:fill="auto"/>
          </w:tcPr>
          <w:p w14:paraId="2CC4D514"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Up</w:t>
            </w:r>
          </w:p>
        </w:tc>
        <w:tc>
          <w:tcPr>
            <w:tcW w:w="0" w:type="auto"/>
            <w:shd w:val="clear" w:color="auto" w:fill="auto"/>
          </w:tcPr>
          <w:p w14:paraId="162F2B92"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Plasma</w:t>
            </w:r>
          </w:p>
        </w:tc>
        <w:tc>
          <w:tcPr>
            <w:tcW w:w="0" w:type="auto"/>
            <w:shd w:val="clear" w:color="auto" w:fill="auto"/>
          </w:tcPr>
          <w:p w14:paraId="2AA74892"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D/T</w:t>
            </w:r>
          </w:p>
        </w:tc>
      </w:tr>
      <w:tr w:rsidR="00A503D8" w14:paraId="43F5DBF2" w14:textId="77777777">
        <w:tc>
          <w:tcPr>
            <w:tcW w:w="0" w:type="auto"/>
            <w:shd w:val="clear" w:color="auto" w:fill="auto"/>
          </w:tcPr>
          <w:p w14:paraId="52EAAECA"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miR-16</w:t>
            </w:r>
          </w:p>
        </w:tc>
        <w:tc>
          <w:tcPr>
            <w:tcW w:w="0" w:type="auto"/>
            <w:shd w:val="clear" w:color="auto" w:fill="auto"/>
          </w:tcPr>
          <w:p w14:paraId="1040664F"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Up</w:t>
            </w:r>
          </w:p>
        </w:tc>
        <w:tc>
          <w:tcPr>
            <w:tcW w:w="0" w:type="auto"/>
            <w:shd w:val="clear" w:color="auto" w:fill="auto"/>
          </w:tcPr>
          <w:p w14:paraId="11A19FE5"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Plasma</w:t>
            </w:r>
          </w:p>
        </w:tc>
        <w:tc>
          <w:tcPr>
            <w:tcW w:w="0" w:type="auto"/>
            <w:shd w:val="clear" w:color="auto" w:fill="auto"/>
          </w:tcPr>
          <w:p w14:paraId="007FDAB4"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D</w:t>
            </w:r>
          </w:p>
        </w:tc>
      </w:tr>
      <w:tr w:rsidR="00A503D8" w14:paraId="21920E34" w14:textId="77777777">
        <w:tc>
          <w:tcPr>
            <w:tcW w:w="0" w:type="auto"/>
            <w:shd w:val="clear" w:color="auto" w:fill="auto"/>
          </w:tcPr>
          <w:p w14:paraId="4A03A15D"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miR-196a</w:t>
            </w:r>
          </w:p>
        </w:tc>
        <w:tc>
          <w:tcPr>
            <w:tcW w:w="0" w:type="auto"/>
            <w:shd w:val="clear" w:color="auto" w:fill="auto"/>
          </w:tcPr>
          <w:p w14:paraId="085258E9"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Up</w:t>
            </w:r>
          </w:p>
        </w:tc>
        <w:tc>
          <w:tcPr>
            <w:tcW w:w="0" w:type="auto"/>
            <w:shd w:val="clear" w:color="auto" w:fill="auto"/>
          </w:tcPr>
          <w:p w14:paraId="5A299A3D"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Plasma</w:t>
            </w:r>
          </w:p>
        </w:tc>
        <w:tc>
          <w:tcPr>
            <w:tcW w:w="0" w:type="auto"/>
            <w:shd w:val="clear" w:color="auto" w:fill="auto"/>
          </w:tcPr>
          <w:p w14:paraId="090F0DD3"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D</w:t>
            </w:r>
          </w:p>
        </w:tc>
      </w:tr>
      <w:tr w:rsidR="00A503D8" w14:paraId="18180981" w14:textId="77777777">
        <w:tc>
          <w:tcPr>
            <w:tcW w:w="0" w:type="auto"/>
            <w:shd w:val="clear" w:color="auto" w:fill="auto"/>
          </w:tcPr>
          <w:p w14:paraId="7B379D5B"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miR-185</w:t>
            </w:r>
          </w:p>
        </w:tc>
        <w:tc>
          <w:tcPr>
            <w:tcW w:w="0" w:type="auto"/>
            <w:shd w:val="clear" w:color="auto" w:fill="auto"/>
          </w:tcPr>
          <w:p w14:paraId="1F9C9C4E"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Up</w:t>
            </w:r>
          </w:p>
        </w:tc>
        <w:tc>
          <w:tcPr>
            <w:tcW w:w="0" w:type="auto"/>
            <w:shd w:val="clear" w:color="auto" w:fill="auto"/>
          </w:tcPr>
          <w:p w14:paraId="562513B5"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Serum</w:t>
            </w:r>
          </w:p>
        </w:tc>
        <w:tc>
          <w:tcPr>
            <w:tcW w:w="0" w:type="auto"/>
            <w:shd w:val="clear" w:color="auto" w:fill="auto"/>
          </w:tcPr>
          <w:p w14:paraId="6771E982"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D</w:t>
            </w:r>
          </w:p>
        </w:tc>
      </w:tr>
      <w:tr w:rsidR="00A503D8" w14:paraId="4051335C" w14:textId="77777777">
        <w:tc>
          <w:tcPr>
            <w:tcW w:w="0" w:type="auto"/>
            <w:shd w:val="clear" w:color="auto" w:fill="auto"/>
          </w:tcPr>
          <w:p w14:paraId="6D315534"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miR-191</w:t>
            </w:r>
          </w:p>
        </w:tc>
        <w:tc>
          <w:tcPr>
            <w:tcW w:w="0" w:type="auto"/>
            <w:shd w:val="clear" w:color="auto" w:fill="auto"/>
          </w:tcPr>
          <w:p w14:paraId="189EA6B3"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Up</w:t>
            </w:r>
          </w:p>
        </w:tc>
        <w:tc>
          <w:tcPr>
            <w:tcW w:w="0" w:type="auto"/>
            <w:shd w:val="clear" w:color="auto" w:fill="auto"/>
          </w:tcPr>
          <w:p w14:paraId="196DEFC8"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Serum</w:t>
            </w:r>
          </w:p>
        </w:tc>
        <w:tc>
          <w:tcPr>
            <w:tcW w:w="0" w:type="auto"/>
            <w:shd w:val="clear" w:color="auto" w:fill="auto"/>
          </w:tcPr>
          <w:p w14:paraId="29947B76"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D</w:t>
            </w:r>
          </w:p>
        </w:tc>
      </w:tr>
      <w:tr w:rsidR="00A503D8" w14:paraId="78504AFF" w14:textId="77777777">
        <w:tc>
          <w:tcPr>
            <w:tcW w:w="0" w:type="auto"/>
            <w:shd w:val="clear" w:color="auto" w:fill="auto"/>
          </w:tcPr>
          <w:p w14:paraId="062C33EE"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miR-20a</w:t>
            </w:r>
          </w:p>
        </w:tc>
        <w:tc>
          <w:tcPr>
            <w:tcW w:w="0" w:type="auto"/>
            <w:shd w:val="clear" w:color="auto" w:fill="auto"/>
          </w:tcPr>
          <w:p w14:paraId="68D0ED54"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Up</w:t>
            </w:r>
          </w:p>
        </w:tc>
        <w:tc>
          <w:tcPr>
            <w:tcW w:w="0" w:type="auto"/>
            <w:shd w:val="clear" w:color="auto" w:fill="auto"/>
          </w:tcPr>
          <w:p w14:paraId="322D8E60"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Serum</w:t>
            </w:r>
          </w:p>
        </w:tc>
        <w:tc>
          <w:tcPr>
            <w:tcW w:w="0" w:type="auto"/>
            <w:shd w:val="clear" w:color="auto" w:fill="auto"/>
          </w:tcPr>
          <w:p w14:paraId="18BBD111"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D</w:t>
            </w:r>
          </w:p>
        </w:tc>
      </w:tr>
      <w:tr w:rsidR="00A503D8" w14:paraId="6DF618EB" w14:textId="77777777">
        <w:tc>
          <w:tcPr>
            <w:tcW w:w="0" w:type="auto"/>
            <w:shd w:val="clear" w:color="auto" w:fill="auto"/>
          </w:tcPr>
          <w:p w14:paraId="3B59FFF7"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miR-21</w:t>
            </w:r>
          </w:p>
        </w:tc>
        <w:tc>
          <w:tcPr>
            <w:tcW w:w="0" w:type="auto"/>
            <w:shd w:val="clear" w:color="auto" w:fill="auto"/>
          </w:tcPr>
          <w:p w14:paraId="06BD6CCB"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Up</w:t>
            </w:r>
          </w:p>
        </w:tc>
        <w:tc>
          <w:tcPr>
            <w:tcW w:w="0" w:type="auto"/>
            <w:shd w:val="clear" w:color="auto" w:fill="auto"/>
          </w:tcPr>
          <w:p w14:paraId="2C0354DB"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Serum</w:t>
            </w:r>
          </w:p>
        </w:tc>
        <w:tc>
          <w:tcPr>
            <w:tcW w:w="0" w:type="auto"/>
            <w:shd w:val="clear" w:color="auto" w:fill="auto"/>
          </w:tcPr>
          <w:p w14:paraId="16DB1660"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D/P</w:t>
            </w:r>
          </w:p>
        </w:tc>
      </w:tr>
      <w:tr w:rsidR="00A503D8" w14:paraId="53F525D2" w14:textId="77777777">
        <w:tc>
          <w:tcPr>
            <w:tcW w:w="0" w:type="auto"/>
            <w:shd w:val="clear" w:color="auto" w:fill="auto"/>
          </w:tcPr>
          <w:p w14:paraId="1526EA7B"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miR-24</w:t>
            </w:r>
          </w:p>
        </w:tc>
        <w:tc>
          <w:tcPr>
            <w:tcW w:w="0" w:type="auto"/>
            <w:shd w:val="clear" w:color="auto" w:fill="auto"/>
          </w:tcPr>
          <w:p w14:paraId="10FE34F2"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Up</w:t>
            </w:r>
          </w:p>
        </w:tc>
        <w:tc>
          <w:tcPr>
            <w:tcW w:w="0" w:type="auto"/>
            <w:shd w:val="clear" w:color="auto" w:fill="auto"/>
          </w:tcPr>
          <w:p w14:paraId="0341ED9A"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Serum</w:t>
            </w:r>
          </w:p>
        </w:tc>
        <w:tc>
          <w:tcPr>
            <w:tcW w:w="0" w:type="auto"/>
            <w:shd w:val="clear" w:color="auto" w:fill="auto"/>
          </w:tcPr>
          <w:p w14:paraId="1344DD94"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D</w:t>
            </w:r>
          </w:p>
        </w:tc>
      </w:tr>
      <w:tr w:rsidR="00A503D8" w14:paraId="4814DD18" w14:textId="77777777">
        <w:tc>
          <w:tcPr>
            <w:tcW w:w="0" w:type="auto"/>
            <w:shd w:val="clear" w:color="auto" w:fill="auto"/>
          </w:tcPr>
          <w:p w14:paraId="7EB8DCD3"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miR-25</w:t>
            </w:r>
          </w:p>
        </w:tc>
        <w:tc>
          <w:tcPr>
            <w:tcW w:w="0" w:type="auto"/>
            <w:shd w:val="clear" w:color="auto" w:fill="auto"/>
          </w:tcPr>
          <w:p w14:paraId="14FC8E4E"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Up</w:t>
            </w:r>
          </w:p>
        </w:tc>
        <w:tc>
          <w:tcPr>
            <w:tcW w:w="0" w:type="auto"/>
            <w:shd w:val="clear" w:color="auto" w:fill="auto"/>
          </w:tcPr>
          <w:p w14:paraId="37EBFF5B"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Serum</w:t>
            </w:r>
          </w:p>
        </w:tc>
        <w:tc>
          <w:tcPr>
            <w:tcW w:w="0" w:type="auto"/>
            <w:shd w:val="clear" w:color="auto" w:fill="auto"/>
          </w:tcPr>
          <w:p w14:paraId="73B028A9"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D</w:t>
            </w:r>
          </w:p>
        </w:tc>
      </w:tr>
      <w:tr w:rsidR="00A503D8" w14:paraId="338BAF26" w14:textId="77777777">
        <w:tc>
          <w:tcPr>
            <w:tcW w:w="0" w:type="auto"/>
            <w:shd w:val="clear" w:color="auto" w:fill="auto"/>
          </w:tcPr>
          <w:p w14:paraId="6372CBBE"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miR-99a</w:t>
            </w:r>
          </w:p>
        </w:tc>
        <w:tc>
          <w:tcPr>
            <w:tcW w:w="0" w:type="auto"/>
            <w:shd w:val="clear" w:color="auto" w:fill="auto"/>
          </w:tcPr>
          <w:p w14:paraId="45FF12B0"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Up</w:t>
            </w:r>
          </w:p>
        </w:tc>
        <w:tc>
          <w:tcPr>
            <w:tcW w:w="0" w:type="auto"/>
            <w:shd w:val="clear" w:color="auto" w:fill="auto"/>
          </w:tcPr>
          <w:p w14:paraId="657CBB88"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Serum</w:t>
            </w:r>
          </w:p>
        </w:tc>
        <w:tc>
          <w:tcPr>
            <w:tcW w:w="0" w:type="auto"/>
            <w:shd w:val="clear" w:color="auto" w:fill="auto"/>
          </w:tcPr>
          <w:p w14:paraId="7D334930"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D</w:t>
            </w:r>
          </w:p>
        </w:tc>
      </w:tr>
      <w:tr w:rsidR="00A503D8" w14:paraId="35FB2F8F" w14:textId="77777777">
        <w:tc>
          <w:tcPr>
            <w:tcW w:w="0" w:type="auto"/>
            <w:shd w:val="clear" w:color="auto" w:fill="auto"/>
          </w:tcPr>
          <w:p w14:paraId="10CB1043"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miR-1290</w:t>
            </w:r>
          </w:p>
        </w:tc>
        <w:tc>
          <w:tcPr>
            <w:tcW w:w="0" w:type="auto"/>
            <w:shd w:val="clear" w:color="auto" w:fill="auto"/>
          </w:tcPr>
          <w:p w14:paraId="593B8A71"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Up</w:t>
            </w:r>
          </w:p>
        </w:tc>
        <w:tc>
          <w:tcPr>
            <w:tcW w:w="0" w:type="auto"/>
            <w:shd w:val="clear" w:color="auto" w:fill="auto"/>
          </w:tcPr>
          <w:p w14:paraId="5C3B026A"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Serum</w:t>
            </w:r>
          </w:p>
        </w:tc>
        <w:tc>
          <w:tcPr>
            <w:tcW w:w="0" w:type="auto"/>
            <w:shd w:val="clear" w:color="auto" w:fill="auto"/>
          </w:tcPr>
          <w:p w14:paraId="5ED895E4"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D</w:t>
            </w:r>
          </w:p>
        </w:tc>
      </w:tr>
      <w:tr w:rsidR="00A503D8" w14:paraId="22A3CF23" w14:textId="77777777">
        <w:tc>
          <w:tcPr>
            <w:tcW w:w="0" w:type="auto"/>
            <w:shd w:val="clear" w:color="auto" w:fill="auto"/>
          </w:tcPr>
          <w:p w14:paraId="005C51BA"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miR-221</w:t>
            </w:r>
          </w:p>
        </w:tc>
        <w:tc>
          <w:tcPr>
            <w:tcW w:w="0" w:type="auto"/>
            <w:shd w:val="clear" w:color="auto" w:fill="auto"/>
          </w:tcPr>
          <w:p w14:paraId="70B7F8B3"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Up</w:t>
            </w:r>
          </w:p>
        </w:tc>
        <w:tc>
          <w:tcPr>
            <w:tcW w:w="0" w:type="auto"/>
            <w:shd w:val="clear" w:color="auto" w:fill="auto"/>
          </w:tcPr>
          <w:p w14:paraId="5CCCEAB5"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Plasma</w:t>
            </w:r>
          </w:p>
        </w:tc>
        <w:tc>
          <w:tcPr>
            <w:tcW w:w="0" w:type="auto"/>
            <w:shd w:val="clear" w:color="auto" w:fill="auto"/>
          </w:tcPr>
          <w:p w14:paraId="3C54F766"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D/T/P</w:t>
            </w:r>
          </w:p>
        </w:tc>
      </w:tr>
      <w:tr w:rsidR="00A503D8" w14:paraId="07B24D98" w14:textId="77777777">
        <w:tc>
          <w:tcPr>
            <w:tcW w:w="0" w:type="auto"/>
            <w:shd w:val="clear" w:color="auto" w:fill="auto"/>
          </w:tcPr>
          <w:p w14:paraId="014E2558"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miR-375</w:t>
            </w:r>
          </w:p>
        </w:tc>
        <w:tc>
          <w:tcPr>
            <w:tcW w:w="0" w:type="auto"/>
            <w:shd w:val="clear" w:color="auto" w:fill="auto"/>
          </w:tcPr>
          <w:p w14:paraId="2DFB5A37"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Down</w:t>
            </w:r>
          </w:p>
        </w:tc>
        <w:tc>
          <w:tcPr>
            <w:tcW w:w="0" w:type="auto"/>
            <w:shd w:val="clear" w:color="auto" w:fill="auto"/>
          </w:tcPr>
          <w:p w14:paraId="1EC0C122"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Plasma</w:t>
            </w:r>
          </w:p>
        </w:tc>
        <w:tc>
          <w:tcPr>
            <w:tcW w:w="0" w:type="auto"/>
            <w:shd w:val="clear" w:color="auto" w:fill="auto"/>
          </w:tcPr>
          <w:p w14:paraId="63BDE976"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D/T/P</w:t>
            </w:r>
          </w:p>
        </w:tc>
      </w:tr>
      <w:tr w:rsidR="00A503D8" w14:paraId="362FD1F2" w14:textId="77777777">
        <w:tc>
          <w:tcPr>
            <w:tcW w:w="0" w:type="auto"/>
            <w:shd w:val="clear" w:color="auto" w:fill="auto"/>
          </w:tcPr>
          <w:p w14:paraId="5E57636F"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miR-375</w:t>
            </w:r>
          </w:p>
        </w:tc>
        <w:tc>
          <w:tcPr>
            <w:tcW w:w="0" w:type="auto"/>
            <w:shd w:val="clear" w:color="auto" w:fill="auto"/>
          </w:tcPr>
          <w:p w14:paraId="598E8166"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Up</w:t>
            </w:r>
          </w:p>
        </w:tc>
        <w:tc>
          <w:tcPr>
            <w:tcW w:w="0" w:type="auto"/>
            <w:shd w:val="clear" w:color="auto" w:fill="auto"/>
          </w:tcPr>
          <w:p w14:paraId="4B070B5B"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Plasma</w:t>
            </w:r>
          </w:p>
        </w:tc>
        <w:tc>
          <w:tcPr>
            <w:tcW w:w="0" w:type="auto"/>
            <w:shd w:val="clear" w:color="auto" w:fill="auto"/>
          </w:tcPr>
          <w:p w14:paraId="684B9213"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D</w:t>
            </w:r>
          </w:p>
        </w:tc>
      </w:tr>
      <w:tr w:rsidR="00A503D8" w14:paraId="26592F6D" w14:textId="77777777">
        <w:tc>
          <w:tcPr>
            <w:tcW w:w="0" w:type="auto"/>
            <w:shd w:val="clear" w:color="auto" w:fill="auto"/>
          </w:tcPr>
          <w:p w14:paraId="63961218"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miR-27a3p</w:t>
            </w:r>
          </w:p>
        </w:tc>
        <w:tc>
          <w:tcPr>
            <w:tcW w:w="0" w:type="auto"/>
            <w:shd w:val="clear" w:color="auto" w:fill="auto"/>
          </w:tcPr>
          <w:p w14:paraId="0F41131D"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Up</w:t>
            </w:r>
          </w:p>
        </w:tc>
        <w:tc>
          <w:tcPr>
            <w:tcW w:w="0" w:type="auto"/>
            <w:shd w:val="clear" w:color="auto" w:fill="auto"/>
          </w:tcPr>
          <w:p w14:paraId="4E8704B2"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Whole blood</w:t>
            </w:r>
          </w:p>
        </w:tc>
        <w:tc>
          <w:tcPr>
            <w:tcW w:w="0" w:type="auto"/>
            <w:shd w:val="clear" w:color="auto" w:fill="auto"/>
          </w:tcPr>
          <w:p w14:paraId="2CCBED3E"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D</w:t>
            </w:r>
          </w:p>
        </w:tc>
      </w:tr>
      <w:tr w:rsidR="00A503D8" w14:paraId="1EF37382" w14:textId="77777777">
        <w:tc>
          <w:tcPr>
            <w:tcW w:w="0" w:type="auto"/>
            <w:shd w:val="clear" w:color="auto" w:fill="auto"/>
          </w:tcPr>
          <w:p w14:paraId="467D4283"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lastRenderedPageBreak/>
              <w:t>miR-196a</w:t>
            </w:r>
          </w:p>
        </w:tc>
        <w:tc>
          <w:tcPr>
            <w:tcW w:w="0" w:type="auto"/>
            <w:shd w:val="clear" w:color="auto" w:fill="auto"/>
          </w:tcPr>
          <w:p w14:paraId="4E6D743B"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Up</w:t>
            </w:r>
          </w:p>
        </w:tc>
        <w:tc>
          <w:tcPr>
            <w:tcW w:w="0" w:type="auto"/>
            <w:shd w:val="clear" w:color="auto" w:fill="auto"/>
          </w:tcPr>
          <w:p w14:paraId="5810D0B3"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Serum</w:t>
            </w:r>
          </w:p>
        </w:tc>
        <w:tc>
          <w:tcPr>
            <w:tcW w:w="0" w:type="auto"/>
            <w:shd w:val="clear" w:color="auto" w:fill="auto"/>
          </w:tcPr>
          <w:p w14:paraId="182357FE"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D</w:t>
            </w:r>
          </w:p>
        </w:tc>
      </w:tr>
      <w:tr w:rsidR="00A503D8" w14:paraId="17F2E59F" w14:textId="77777777">
        <w:tc>
          <w:tcPr>
            <w:tcW w:w="0" w:type="auto"/>
            <w:shd w:val="clear" w:color="auto" w:fill="auto"/>
          </w:tcPr>
          <w:p w14:paraId="7CA2F998"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miR-196b</w:t>
            </w:r>
          </w:p>
        </w:tc>
        <w:tc>
          <w:tcPr>
            <w:tcW w:w="0" w:type="auto"/>
            <w:shd w:val="clear" w:color="auto" w:fill="auto"/>
          </w:tcPr>
          <w:p w14:paraId="134E4557"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Up</w:t>
            </w:r>
          </w:p>
        </w:tc>
        <w:tc>
          <w:tcPr>
            <w:tcW w:w="0" w:type="auto"/>
            <w:shd w:val="clear" w:color="auto" w:fill="auto"/>
          </w:tcPr>
          <w:p w14:paraId="3CC6DDAB"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Serum</w:t>
            </w:r>
          </w:p>
        </w:tc>
        <w:tc>
          <w:tcPr>
            <w:tcW w:w="0" w:type="auto"/>
            <w:shd w:val="clear" w:color="auto" w:fill="auto"/>
          </w:tcPr>
          <w:p w14:paraId="3432B267"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D</w:t>
            </w:r>
          </w:p>
        </w:tc>
      </w:tr>
      <w:tr w:rsidR="00A503D8" w14:paraId="14141023" w14:textId="77777777">
        <w:tc>
          <w:tcPr>
            <w:tcW w:w="0" w:type="auto"/>
            <w:shd w:val="clear" w:color="auto" w:fill="auto"/>
          </w:tcPr>
          <w:p w14:paraId="5C5FD42F"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miR-205</w:t>
            </w:r>
          </w:p>
        </w:tc>
        <w:tc>
          <w:tcPr>
            <w:tcW w:w="0" w:type="auto"/>
            <w:shd w:val="clear" w:color="auto" w:fill="auto"/>
          </w:tcPr>
          <w:p w14:paraId="635BFD97"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Up</w:t>
            </w:r>
          </w:p>
        </w:tc>
        <w:tc>
          <w:tcPr>
            <w:tcW w:w="0" w:type="auto"/>
            <w:shd w:val="clear" w:color="auto" w:fill="auto"/>
          </w:tcPr>
          <w:p w14:paraId="5B1C86FC"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Pancreatic juice</w:t>
            </w:r>
          </w:p>
        </w:tc>
        <w:tc>
          <w:tcPr>
            <w:tcW w:w="0" w:type="auto"/>
            <w:shd w:val="clear" w:color="auto" w:fill="auto"/>
          </w:tcPr>
          <w:p w14:paraId="7073586C"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D/P</w:t>
            </w:r>
          </w:p>
        </w:tc>
      </w:tr>
      <w:tr w:rsidR="00A503D8" w14:paraId="0ADF6FCB" w14:textId="77777777">
        <w:tc>
          <w:tcPr>
            <w:tcW w:w="0" w:type="auto"/>
            <w:shd w:val="clear" w:color="auto" w:fill="auto"/>
          </w:tcPr>
          <w:p w14:paraId="60BBCD94"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miR-210</w:t>
            </w:r>
          </w:p>
        </w:tc>
        <w:tc>
          <w:tcPr>
            <w:tcW w:w="0" w:type="auto"/>
            <w:shd w:val="clear" w:color="auto" w:fill="auto"/>
          </w:tcPr>
          <w:p w14:paraId="1FCA8FD1"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Up</w:t>
            </w:r>
          </w:p>
        </w:tc>
        <w:tc>
          <w:tcPr>
            <w:tcW w:w="0" w:type="auto"/>
            <w:shd w:val="clear" w:color="auto" w:fill="auto"/>
          </w:tcPr>
          <w:p w14:paraId="38FC11BA"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Saliva</w:t>
            </w:r>
          </w:p>
        </w:tc>
        <w:tc>
          <w:tcPr>
            <w:tcW w:w="0" w:type="auto"/>
            <w:shd w:val="clear" w:color="auto" w:fill="auto"/>
          </w:tcPr>
          <w:p w14:paraId="3940ED61"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D/P</w:t>
            </w:r>
          </w:p>
        </w:tc>
      </w:tr>
      <w:tr w:rsidR="00A503D8" w14:paraId="1575A6DE" w14:textId="77777777">
        <w:tc>
          <w:tcPr>
            <w:tcW w:w="0" w:type="auto"/>
            <w:shd w:val="clear" w:color="auto" w:fill="auto"/>
          </w:tcPr>
          <w:p w14:paraId="38D07226"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miR-492</w:t>
            </w:r>
          </w:p>
        </w:tc>
        <w:tc>
          <w:tcPr>
            <w:tcW w:w="0" w:type="auto"/>
            <w:shd w:val="clear" w:color="auto" w:fill="auto"/>
          </w:tcPr>
          <w:p w14:paraId="2FB7E682"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Up</w:t>
            </w:r>
          </w:p>
        </w:tc>
        <w:tc>
          <w:tcPr>
            <w:tcW w:w="0" w:type="auto"/>
            <w:shd w:val="clear" w:color="auto" w:fill="auto"/>
          </w:tcPr>
          <w:p w14:paraId="3D12E6BD"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Plasma</w:t>
            </w:r>
          </w:p>
        </w:tc>
        <w:tc>
          <w:tcPr>
            <w:tcW w:w="0" w:type="auto"/>
            <w:shd w:val="clear" w:color="auto" w:fill="auto"/>
          </w:tcPr>
          <w:p w14:paraId="192AAE83"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D/P</w:t>
            </w:r>
          </w:p>
        </w:tc>
      </w:tr>
      <w:tr w:rsidR="00A503D8" w14:paraId="500F2608" w14:textId="77777777">
        <w:tc>
          <w:tcPr>
            <w:tcW w:w="0" w:type="auto"/>
            <w:shd w:val="clear" w:color="auto" w:fill="auto"/>
          </w:tcPr>
          <w:p w14:paraId="5D8F4CDE"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miR-1427</w:t>
            </w:r>
          </w:p>
        </w:tc>
        <w:tc>
          <w:tcPr>
            <w:tcW w:w="0" w:type="auto"/>
            <w:shd w:val="clear" w:color="auto" w:fill="auto"/>
          </w:tcPr>
          <w:p w14:paraId="5D84BFA8"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Up</w:t>
            </w:r>
          </w:p>
        </w:tc>
        <w:tc>
          <w:tcPr>
            <w:tcW w:w="0" w:type="auto"/>
            <w:shd w:val="clear" w:color="auto" w:fill="auto"/>
          </w:tcPr>
          <w:p w14:paraId="48B97629"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Plasma</w:t>
            </w:r>
          </w:p>
        </w:tc>
        <w:tc>
          <w:tcPr>
            <w:tcW w:w="0" w:type="auto"/>
            <w:shd w:val="clear" w:color="auto" w:fill="auto"/>
          </w:tcPr>
          <w:p w14:paraId="0DF6CC7A"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D/P</w:t>
            </w:r>
          </w:p>
        </w:tc>
      </w:tr>
      <w:tr w:rsidR="00A503D8" w14:paraId="33A5BEDA" w14:textId="77777777">
        <w:tc>
          <w:tcPr>
            <w:tcW w:w="0" w:type="auto"/>
            <w:shd w:val="clear" w:color="auto" w:fill="auto"/>
          </w:tcPr>
          <w:p w14:paraId="7032E635"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miR-22</w:t>
            </w:r>
          </w:p>
        </w:tc>
        <w:tc>
          <w:tcPr>
            <w:tcW w:w="0" w:type="auto"/>
            <w:shd w:val="clear" w:color="auto" w:fill="auto"/>
          </w:tcPr>
          <w:p w14:paraId="6BB66F45"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Up</w:t>
            </w:r>
          </w:p>
        </w:tc>
        <w:tc>
          <w:tcPr>
            <w:tcW w:w="0" w:type="auto"/>
            <w:shd w:val="clear" w:color="auto" w:fill="auto"/>
          </w:tcPr>
          <w:p w14:paraId="50D7992F"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Plasma</w:t>
            </w:r>
          </w:p>
        </w:tc>
        <w:tc>
          <w:tcPr>
            <w:tcW w:w="0" w:type="auto"/>
            <w:shd w:val="clear" w:color="auto" w:fill="auto"/>
          </w:tcPr>
          <w:p w14:paraId="7A1C884C"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D</w:t>
            </w:r>
          </w:p>
        </w:tc>
      </w:tr>
      <w:tr w:rsidR="00A503D8" w14:paraId="4399B046" w14:textId="77777777">
        <w:tc>
          <w:tcPr>
            <w:tcW w:w="0" w:type="auto"/>
            <w:shd w:val="clear" w:color="auto" w:fill="auto"/>
          </w:tcPr>
          <w:p w14:paraId="789772C1"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miR-642b</w:t>
            </w:r>
          </w:p>
        </w:tc>
        <w:tc>
          <w:tcPr>
            <w:tcW w:w="0" w:type="auto"/>
            <w:shd w:val="clear" w:color="auto" w:fill="auto"/>
          </w:tcPr>
          <w:p w14:paraId="651A53D7"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Up</w:t>
            </w:r>
          </w:p>
        </w:tc>
        <w:tc>
          <w:tcPr>
            <w:tcW w:w="0" w:type="auto"/>
            <w:shd w:val="clear" w:color="auto" w:fill="auto"/>
          </w:tcPr>
          <w:p w14:paraId="3E0F5784"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Plasma</w:t>
            </w:r>
          </w:p>
        </w:tc>
        <w:tc>
          <w:tcPr>
            <w:tcW w:w="0" w:type="auto"/>
            <w:shd w:val="clear" w:color="auto" w:fill="auto"/>
          </w:tcPr>
          <w:p w14:paraId="6D9D38D2"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D</w:t>
            </w:r>
          </w:p>
        </w:tc>
      </w:tr>
      <w:tr w:rsidR="00A503D8" w14:paraId="065EF768" w14:textId="77777777">
        <w:tc>
          <w:tcPr>
            <w:tcW w:w="0" w:type="auto"/>
            <w:shd w:val="clear" w:color="auto" w:fill="auto"/>
          </w:tcPr>
          <w:p w14:paraId="7A0C3B21"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miR-885-5p</w:t>
            </w:r>
          </w:p>
        </w:tc>
        <w:tc>
          <w:tcPr>
            <w:tcW w:w="0" w:type="auto"/>
            <w:shd w:val="clear" w:color="auto" w:fill="auto"/>
          </w:tcPr>
          <w:p w14:paraId="424548B0"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Up</w:t>
            </w:r>
          </w:p>
        </w:tc>
        <w:tc>
          <w:tcPr>
            <w:tcW w:w="0" w:type="auto"/>
            <w:shd w:val="clear" w:color="auto" w:fill="auto"/>
          </w:tcPr>
          <w:p w14:paraId="770270C2"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Plasma</w:t>
            </w:r>
          </w:p>
        </w:tc>
        <w:tc>
          <w:tcPr>
            <w:tcW w:w="0" w:type="auto"/>
            <w:shd w:val="clear" w:color="auto" w:fill="auto"/>
          </w:tcPr>
          <w:p w14:paraId="33ACC71A"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D</w:t>
            </w:r>
          </w:p>
        </w:tc>
      </w:tr>
      <w:tr w:rsidR="00A503D8" w14:paraId="50DA3A2A" w14:textId="77777777">
        <w:tc>
          <w:tcPr>
            <w:tcW w:w="0" w:type="auto"/>
            <w:shd w:val="clear" w:color="auto" w:fill="auto"/>
          </w:tcPr>
          <w:p w14:paraId="044604C9"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Multigene index</w:t>
            </w:r>
          </w:p>
        </w:tc>
        <w:tc>
          <w:tcPr>
            <w:tcW w:w="0" w:type="auto"/>
            <w:shd w:val="clear" w:color="auto" w:fill="auto"/>
          </w:tcPr>
          <w:p w14:paraId="0D3248BF"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Up</w:t>
            </w:r>
          </w:p>
        </w:tc>
        <w:tc>
          <w:tcPr>
            <w:tcW w:w="0" w:type="auto"/>
            <w:shd w:val="clear" w:color="auto" w:fill="auto"/>
          </w:tcPr>
          <w:p w14:paraId="5D1D83ED"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Whole blood</w:t>
            </w:r>
          </w:p>
        </w:tc>
        <w:tc>
          <w:tcPr>
            <w:tcW w:w="0" w:type="auto"/>
            <w:shd w:val="clear" w:color="auto" w:fill="auto"/>
          </w:tcPr>
          <w:p w14:paraId="505B124F"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D</w:t>
            </w:r>
          </w:p>
        </w:tc>
      </w:tr>
      <w:tr w:rsidR="00A503D8" w14:paraId="642E303A" w14:textId="77777777">
        <w:tc>
          <w:tcPr>
            <w:tcW w:w="0" w:type="auto"/>
            <w:shd w:val="clear" w:color="auto" w:fill="auto"/>
          </w:tcPr>
          <w:p w14:paraId="5EF63273"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miR-483-3p</w:t>
            </w:r>
          </w:p>
        </w:tc>
        <w:tc>
          <w:tcPr>
            <w:tcW w:w="0" w:type="auto"/>
            <w:shd w:val="clear" w:color="auto" w:fill="auto"/>
          </w:tcPr>
          <w:p w14:paraId="25FA53C6"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Up</w:t>
            </w:r>
          </w:p>
        </w:tc>
        <w:tc>
          <w:tcPr>
            <w:tcW w:w="0" w:type="auto"/>
            <w:shd w:val="clear" w:color="auto" w:fill="auto"/>
          </w:tcPr>
          <w:p w14:paraId="0F6C9F49"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Plasma</w:t>
            </w:r>
          </w:p>
        </w:tc>
        <w:tc>
          <w:tcPr>
            <w:tcW w:w="0" w:type="auto"/>
            <w:shd w:val="clear" w:color="auto" w:fill="auto"/>
          </w:tcPr>
          <w:p w14:paraId="55276A84"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D</w:t>
            </w:r>
          </w:p>
        </w:tc>
      </w:tr>
      <w:tr w:rsidR="00A503D8" w14:paraId="4FA58E7B" w14:textId="77777777">
        <w:tc>
          <w:tcPr>
            <w:tcW w:w="0" w:type="auto"/>
          </w:tcPr>
          <w:p w14:paraId="5AFD1EF3" w14:textId="77777777" w:rsidR="00A503D8" w:rsidRPr="002A39AF" w:rsidRDefault="00000000">
            <w:pPr>
              <w:adjustRightInd w:val="0"/>
              <w:snapToGrid w:val="0"/>
              <w:spacing w:line="360" w:lineRule="auto"/>
              <w:jc w:val="both"/>
              <w:rPr>
                <w:rFonts w:ascii="Book Antiqua" w:eastAsia="等线" w:hAnsi="Book Antiqua" w:cs="宋体"/>
                <w:i/>
                <w:iCs/>
                <w:color w:val="000000"/>
                <w:lang w:eastAsia="zh-CN"/>
              </w:rPr>
            </w:pPr>
            <w:r w:rsidRPr="002A39AF">
              <w:rPr>
                <w:rFonts w:ascii="Book Antiqua" w:eastAsia="等线" w:hAnsi="Book Antiqua" w:cs="宋体"/>
                <w:i/>
                <w:iCs/>
                <w:color w:val="000000"/>
                <w:lang w:eastAsia="zh-CN"/>
              </w:rPr>
              <w:t>MIR-21</w:t>
            </w:r>
          </w:p>
        </w:tc>
        <w:tc>
          <w:tcPr>
            <w:tcW w:w="0" w:type="auto"/>
          </w:tcPr>
          <w:p w14:paraId="3B99301C"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Up</w:t>
            </w:r>
          </w:p>
        </w:tc>
        <w:tc>
          <w:tcPr>
            <w:tcW w:w="0" w:type="auto"/>
          </w:tcPr>
          <w:p w14:paraId="7ED78838"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Serum</w:t>
            </w:r>
          </w:p>
        </w:tc>
        <w:tc>
          <w:tcPr>
            <w:tcW w:w="0" w:type="auto"/>
          </w:tcPr>
          <w:p w14:paraId="2D91DBAF"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D</w:t>
            </w:r>
          </w:p>
        </w:tc>
      </w:tr>
      <w:tr w:rsidR="00A503D8" w14:paraId="50C3A406" w14:textId="77777777">
        <w:tc>
          <w:tcPr>
            <w:tcW w:w="0" w:type="auto"/>
          </w:tcPr>
          <w:p w14:paraId="1D57F095" w14:textId="77777777" w:rsidR="00A503D8" w:rsidRPr="002A39AF" w:rsidRDefault="00000000">
            <w:pPr>
              <w:adjustRightInd w:val="0"/>
              <w:snapToGrid w:val="0"/>
              <w:spacing w:line="360" w:lineRule="auto"/>
              <w:jc w:val="both"/>
              <w:rPr>
                <w:rFonts w:ascii="Book Antiqua" w:eastAsia="等线" w:hAnsi="Book Antiqua" w:cs="宋体"/>
                <w:i/>
                <w:iCs/>
                <w:color w:val="000000"/>
                <w:lang w:eastAsia="zh-CN"/>
              </w:rPr>
            </w:pPr>
            <w:r w:rsidRPr="002A39AF">
              <w:rPr>
                <w:rFonts w:ascii="Book Antiqua" w:eastAsia="等线" w:hAnsi="Book Antiqua" w:cs="宋体"/>
                <w:i/>
                <w:iCs/>
                <w:color w:val="000000"/>
                <w:lang w:eastAsia="zh-CN"/>
              </w:rPr>
              <w:t>MIR-210</w:t>
            </w:r>
          </w:p>
        </w:tc>
        <w:tc>
          <w:tcPr>
            <w:tcW w:w="0" w:type="auto"/>
          </w:tcPr>
          <w:p w14:paraId="51B54D2F"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Down</w:t>
            </w:r>
          </w:p>
        </w:tc>
        <w:tc>
          <w:tcPr>
            <w:tcW w:w="0" w:type="auto"/>
          </w:tcPr>
          <w:p w14:paraId="335EE1BC"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Serum</w:t>
            </w:r>
          </w:p>
        </w:tc>
        <w:tc>
          <w:tcPr>
            <w:tcW w:w="0" w:type="auto"/>
          </w:tcPr>
          <w:p w14:paraId="5A06C515"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D</w:t>
            </w:r>
          </w:p>
        </w:tc>
      </w:tr>
      <w:tr w:rsidR="00A503D8" w14:paraId="16DFDE77" w14:textId="77777777">
        <w:tc>
          <w:tcPr>
            <w:tcW w:w="0" w:type="auto"/>
          </w:tcPr>
          <w:p w14:paraId="7C785B82" w14:textId="77777777" w:rsidR="00A503D8" w:rsidRPr="002A39AF" w:rsidRDefault="00000000">
            <w:pPr>
              <w:adjustRightInd w:val="0"/>
              <w:snapToGrid w:val="0"/>
              <w:spacing w:line="360" w:lineRule="auto"/>
              <w:jc w:val="both"/>
              <w:rPr>
                <w:rFonts w:ascii="Book Antiqua" w:eastAsia="等线" w:hAnsi="Book Antiqua" w:cs="宋体"/>
                <w:i/>
                <w:iCs/>
                <w:color w:val="000000"/>
                <w:lang w:eastAsia="zh-CN"/>
              </w:rPr>
            </w:pPr>
            <w:r w:rsidRPr="002A39AF">
              <w:rPr>
                <w:rFonts w:ascii="Book Antiqua" w:eastAsia="等线" w:hAnsi="Book Antiqua" w:cs="宋体"/>
                <w:i/>
                <w:iCs/>
                <w:color w:val="000000"/>
                <w:lang w:eastAsia="zh-CN"/>
              </w:rPr>
              <w:t>MIR-155</w:t>
            </w:r>
          </w:p>
        </w:tc>
        <w:tc>
          <w:tcPr>
            <w:tcW w:w="0" w:type="auto"/>
          </w:tcPr>
          <w:p w14:paraId="305B888F"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Up</w:t>
            </w:r>
          </w:p>
        </w:tc>
        <w:tc>
          <w:tcPr>
            <w:tcW w:w="0" w:type="auto"/>
          </w:tcPr>
          <w:p w14:paraId="42929304"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Serum</w:t>
            </w:r>
          </w:p>
        </w:tc>
        <w:tc>
          <w:tcPr>
            <w:tcW w:w="0" w:type="auto"/>
          </w:tcPr>
          <w:p w14:paraId="0C1EDBB8"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D</w:t>
            </w:r>
          </w:p>
        </w:tc>
      </w:tr>
      <w:tr w:rsidR="00A503D8" w14:paraId="3BB48C81" w14:textId="77777777">
        <w:tc>
          <w:tcPr>
            <w:tcW w:w="0" w:type="auto"/>
          </w:tcPr>
          <w:p w14:paraId="25662CAF"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miR-222</w:t>
            </w:r>
          </w:p>
        </w:tc>
        <w:tc>
          <w:tcPr>
            <w:tcW w:w="0" w:type="auto"/>
          </w:tcPr>
          <w:p w14:paraId="5BCD0AEB"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Down</w:t>
            </w:r>
          </w:p>
        </w:tc>
        <w:tc>
          <w:tcPr>
            <w:tcW w:w="0" w:type="auto"/>
          </w:tcPr>
          <w:p w14:paraId="6428AEF0"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Serum</w:t>
            </w:r>
          </w:p>
        </w:tc>
        <w:tc>
          <w:tcPr>
            <w:tcW w:w="0" w:type="auto"/>
          </w:tcPr>
          <w:p w14:paraId="07CC17AA"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D</w:t>
            </w:r>
          </w:p>
        </w:tc>
      </w:tr>
      <w:tr w:rsidR="00A503D8" w14:paraId="2B170A38" w14:textId="77777777">
        <w:tc>
          <w:tcPr>
            <w:tcW w:w="0" w:type="auto"/>
          </w:tcPr>
          <w:p w14:paraId="187F101A"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miR-203</w:t>
            </w:r>
          </w:p>
        </w:tc>
        <w:tc>
          <w:tcPr>
            <w:tcW w:w="0" w:type="auto"/>
          </w:tcPr>
          <w:p w14:paraId="5D9963C0"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Down</w:t>
            </w:r>
          </w:p>
        </w:tc>
        <w:tc>
          <w:tcPr>
            <w:tcW w:w="0" w:type="auto"/>
          </w:tcPr>
          <w:p w14:paraId="6094A054"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Serum</w:t>
            </w:r>
          </w:p>
        </w:tc>
        <w:tc>
          <w:tcPr>
            <w:tcW w:w="0" w:type="auto"/>
          </w:tcPr>
          <w:p w14:paraId="40D79FB7"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D</w:t>
            </w:r>
          </w:p>
        </w:tc>
      </w:tr>
      <w:tr w:rsidR="00A503D8" w14:paraId="390EF0CC" w14:textId="77777777">
        <w:tc>
          <w:tcPr>
            <w:tcW w:w="0" w:type="auto"/>
          </w:tcPr>
          <w:p w14:paraId="2DEFDEE9"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miR-132</w:t>
            </w:r>
          </w:p>
        </w:tc>
        <w:tc>
          <w:tcPr>
            <w:tcW w:w="0" w:type="auto"/>
          </w:tcPr>
          <w:p w14:paraId="66475EF1"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Down</w:t>
            </w:r>
          </w:p>
        </w:tc>
        <w:tc>
          <w:tcPr>
            <w:tcW w:w="0" w:type="auto"/>
          </w:tcPr>
          <w:p w14:paraId="5B123CA2"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Serum</w:t>
            </w:r>
          </w:p>
        </w:tc>
        <w:tc>
          <w:tcPr>
            <w:tcW w:w="0" w:type="auto"/>
          </w:tcPr>
          <w:p w14:paraId="65AD0112"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D</w:t>
            </w:r>
          </w:p>
        </w:tc>
      </w:tr>
      <w:tr w:rsidR="00A503D8" w14:paraId="64071F8B" w14:textId="77777777">
        <w:tc>
          <w:tcPr>
            <w:tcW w:w="0" w:type="auto"/>
          </w:tcPr>
          <w:p w14:paraId="0D38931C"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miR-212</w:t>
            </w:r>
          </w:p>
        </w:tc>
        <w:tc>
          <w:tcPr>
            <w:tcW w:w="0" w:type="auto"/>
          </w:tcPr>
          <w:p w14:paraId="4E705A36"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Down</w:t>
            </w:r>
          </w:p>
        </w:tc>
        <w:tc>
          <w:tcPr>
            <w:tcW w:w="0" w:type="auto"/>
          </w:tcPr>
          <w:p w14:paraId="47419692"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Serum</w:t>
            </w:r>
          </w:p>
        </w:tc>
        <w:tc>
          <w:tcPr>
            <w:tcW w:w="0" w:type="auto"/>
          </w:tcPr>
          <w:p w14:paraId="3A3A276C"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D</w:t>
            </w:r>
          </w:p>
        </w:tc>
      </w:tr>
      <w:tr w:rsidR="00A503D8" w14:paraId="7EE36965" w14:textId="77777777">
        <w:tc>
          <w:tcPr>
            <w:tcW w:w="0" w:type="auto"/>
          </w:tcPr>
          <w:p w14:paraId="0051F204"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miR-96</w:t>
            </w:r>
          </w:p>
        </w:tc>
        <w:tc>
          <w:tcPr>
            <w:tcW w:w="0" w:type="auto"/>
          </w:tcPr>
          <w:p w14:paraId="62BE20C0"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Down</w:t>
            </w:r>
          </w:p>
        </w:tc>
        <w:tc>
          <w:tcPr>
            <w:tcW w:w="0" w:type="auto"/>
          </w:tcPr>
          <w:p w14:paraId="32FB406A"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Serum</w:t>
            </w:r>
          </w:p>
        </w:tc>
        <w:tc>
          <w:tcPr>
            <w:tcW w:w="0" w:type="auto"/>
          </w:tcPr>
          <w:p w14:paraId="6BE3027D"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D</w:t>
            </w:r>
          </w:p>
        </w:tc>
      </w:tr>
      <w:tr w:rsidR="00A503D8" w14:paraId="067E2392" w14:textId="77777777">
        <w:tc>
          <w:tcPr>
            <w:tcW w:w="0" w:type="auto"/>
          </w:tcPr>
          <w:p w14:paraId="754F4EC9"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mi-126</w:t>
            </w:r>
          </w:p>
        </w:tc>
        <w:tc>
          <w:tcPr>
            <w:tcW w:w="0" w:type="auto"/>
          </w:tcPr>
          <w:p w14:paraId="7E8E6209"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Down</w:t>
            </w:r>
          </w:p>
        </w:tc>
        <w:tc>
          <w:tcPr>
            <w:tcW w:w="0" w:type="auto"/>
          </w:tcPr>
          <w:p w14:paraId="3753FE90"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Serum</w:t>
            </w:r>
          </w:p>
        </w:tc>
        <w:tc>
          <w:tcPr>
            <w:tcW w:w="0" w:type="auto"/>
          </w:tcPr>
          <w:p w14:paraId="2C59A791"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D</w:t>
            </w:r>
          </w:p>
        </w:tc>
      </w:tr>
      <w:tr w:rsidR="00A503D8" w14:paraId="499D15FA" w14:textId="77777777">
        <w:tc>
          <w:tcPr>
            <w:tcW w:w="0" w:type="auto"/>
          </w:tcPr>
          <w:p w14:paraId="30274CDD"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mi-217</w:t>
            </w:r>
          </w:p>
        </w:tc>
        <w:tc>
          <w:tcPr>
            <w:tcW w:w="0" w:type="auto"/>
          </w:tcPr>
          <w:p w14:paraId="6EBC964B"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Down</w:t>
            </w:r>
          </w:p>
        </w:tc>
        <w:tc>
          <w:tcPr>
            <w:tcW w:w="0" w:type="auto"/>
          </w:tcPr>
          <w:p w14:paraId="53DEBD8C"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Serum</w:t>
            </w:r>
          </w:p>
        </w:tc>
        <w:tc>
          <w:tcPr>
            <w:tcW w:w="0" w:type="auto"/>
          </w:tcPr>
          <w:p w14:paraId="231A78E8"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D</w:t>
            </w:r>
          </w:p>
        </w:tc>
      </w:tr>
      <w:tr w:rsidR="00A503D8" w14:paraId="4C59B4D7" w14:textId="77777777">
        <w:tc>
          <w:tcPr>
            <w:tcW w:w="0" w:type="auto"/>
          </w:tcPr>
          <w:p w14:paraId="2A60EC6A"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Let-7</w:t>
            </w:r>
          </w:p>
        </w:tc>
        <w:tc>
          <w:tcPr>
            <w:tcW w:w="0" w:type="auto"/>
          </w:tcPr>
          <w:p w14:paraId="635A7B1E"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Down</w:t>
            </w:r>
          </w:p>
        </w:tc>
        <w:tc>
          <w:tcPr>
            <w:tcW w:w="0" w:type="auto"/>
          </w:tcPr>
          <w:p w14:paraId="21321B39"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Serum</w:t>
            </w:r>
          </w:p>
        </w:tc>
        <w:tc>
          <w:tcPr>
            <w:tcW w:w="0" w:type="auto"/>
          </w:tcPr>
          <w:p w14:paraId="1A4B0DB6"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D</w:t>
            </w:r>
          </w:p>
        </w:tc>
      </w:tr>
      <w:tr w:rsidR="00A503D8" w14:paraId="62D9C2EA" w14:textId="77777777">
        <w:tc>
          <w:tcPr>
            <w:tcW w:w="0" w:type="auto"/>
          </w:tcPr>
          <w:p w14:paraId="287B7F03"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miR-144</w:t>
            </w:r>
          </w:p>
        </w:tc>
        <w:tc>
          <w:tcPr>
            <w:tcW w:w="0" w:type="auto"/>
          </w:tcPr>
          <w:p w14:paraId="24C466F1"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Down</w:t>
            </w:r>
          </w:p>
        </w:tc>
        <w:tc>
          <w:tcPr>
            <w:tcW w:w="0" w:type="auto"/>
          </w:tcPr>
          <w:p w14:paraId="1DADDEA8"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Serum</w:t>
            </w:r>
          </w:p>
        </w:tc>
        <w:tc>
          <w:tcPr>
            <w:tcW w:w="0" w:type="auto"/>
          </w:tcPr>
          <w:p w14:paraId="324381DD"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D</w:t>
            </w:r>
          </w:p>
        </w:tc>
      </w:tr>
      <w:tr w:rsidR="00A503D8" w14:paraId="1C38415E" w14:textId="77777777">
        <w:tc>
          <w:tcPr>
            <w:tcW w:w="0" w:type="auto"/>
          </w:tcPr>
          <w:p w14:paraId="57177DB9"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miR-148</w:t>
            </w:r>
          </w:p>
        </w:tc>
        <w:tc>
          <w:tcPr>
            <w:tcW w:w="0" w:type="auto"/>
          </w:tcPr>
          <w:p w14:paraId="3B3EFF91"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Down</w:t>
            </w:r>
          </w:p>
        </w:tc>
        <w:tc>
          <w:tcPr>
            <w:tcW w:w="0" w:type="auto"/>
          </w:tcPr>
          <w:p w14:paraId="7ADF43F3"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Serum</w:t>
            </w:r>
          </w:p>
        </w:tc>
        <w:tc>
          <w:tcPr>
            <w:tcW w:w="0" w:type="auto"/>
          </w:tcPr>
          <w:p w14:paraId="623EBF28"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D</w:t>
            </w:r>
          </w:p>
        </w:tc>
      </w:tr>
      <w:tr w:rsidR="00A503D8" w14:paraId="628B9878" w14:textId="77777777">
        <w:tc>
          <w:tcPr>
            <w:tcW w:w="0" w:type="auto"/>
          </w:tcPr>
          <w:p w14:paraId="353072D7"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miR-34a</w:t>
            </w:r>
          </w:p>
        </w:tc>
        <w:tc>
          <w:tcPr>
            <w:tcW w:w="0" w:type="auto"/>
          </w:tcPr>
          <w:p w14:paraId="1EB264B8"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Down</w:t>
            </w:r>
          </w:p>
        </w:tc>
        <w:tc>
          <w:tcPr>
            <w:tcW w:w="0" w:type="auto"/>
          </w:tcPr>
          <w:p w14:paraId="3CCEACAD"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Serum</w:t>
            </w:r>
          </w:p>
        </w:tc>
        <w:tc>
          <w:tcPr>
            <w:tcW w:w="0" w:type="auto"/>
          </w:tcPr>
          <w:p w14:paraId="5FC34DC6"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D</w:t>
            </w:r>
          </w:p>
        </w:tc>
      </w:tr>
      <w:tr w:rsidR="00A503D8" w14:paraId="3982A24B" w14:textId="77777777">
        <w:tc>
          <w:tcPr>
            <w:tcW w:w="0" w:type="auto"/>
          </w:tcPr>
          <w:p w14:paraId="206510E2"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miR-3548</w:t>
            </w:r>
          </w:p>
        </w:tc>
        <w:tc>
          <w:tcPr>
            <w:tcW w:w="0" w:type="auto"/>
          </w:tcPr>
          <w:p w14:paraId="6045670C"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Up</w:t>
            </w:r>
          </w:p>
        </w:tc>
        <w:tc>
          <w:tcPr>
            <w:tcW w:w="0" w:type="auto"/>
          </w:tcPr>
          <w:p w14:paraId="618F12FF"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Serum</w:t>
            </w:r>
          </w:p>
        </w:tc>
        <w:tc>
          <w:tcPr>
            <w:tcW w:w="0" w:type="auto"/>
          </w:tcPr>
          <w:p w14:paraId="48D8A018" w14:textId="77777777" w:rsidR="00A503D8" w:rsidRDefault="00000000">
            <w:pPr>
              <w:adjustRightInd w:val="0"/>
              <w:snapToGrid w:val="0"/>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D</w:t>
            </w:r>
          </w:p>
        </w:tc>
      </w:tr>
    </w:tbl>
    <w:p w14:paraId="6398EE76" w14:textId="2C42C871" w:rsidR="00A503D8" w:rsidRDefault="00000000">
      <w:pPr>
        <w:spacing w:line="360" w:lineRule="auto"/>
        <w:jc w:val="both"/>
        <w:rPr>
          <w:rFonts w:ascii="Book Antiqua" w:eastAsia="Book Antiqua" w:hAnsi="Book Antiqua" w:cs="Book Antiqua"/>
          <w:b/>
          <w:bCs/>
          <w:color w:val="000000"/>
        </w:rPr>
      </w:pPr>
      <w:r w:rsidRPr="002A39AF">
        <w:rPr>
          <w:rFonts w:ascii="Book Antiqua" w:eastAsia="Book Antiqua" w:hAnsi="Book Antiqua" w:cs="Book Antiqua"/>
          <w:color w:val="000000"/>
        </w:rPr>
        <w:t>CEA</w:t>
      </w:r>
      <w:r>
        <w:rPr>
          <w:rFonts w:ascii="Book Antiqua" w:eastAsia="Book Antiqua" w:hAnsi="Book Antiqua" w:cs="Book Antiqua"/>
          <w:color w:val="000000"/>
        </w:rPr>
        <w:t>: Carcinoembryonic antigen; D: Diagnostic; P: Prognostic; T: Therapeutic; miR: MicroRNA.</w:t>
      </w:r>
    </w:p>
    <w:p w14:paraId="2CB09AFA" w14:textId="77777777" w:rsidR="00A503D8" w:rsidRDefault="00A503D8">
      <w:pPr>
        <w:spacing w:line="360" w:lineRule="auto"/>
        <w:jc w:val="both"/>
        <w:rPr>
          <w:rFonts w:ascii="Book Antiqua" w:eastAsia="Book Antiqua" w:hAnsi="Book Antiqua" w:cs="Book Antiqua"/>
          <w:b/>
          <w:bCs/>
          <w:color w:val="000000"/>
        </w:rPr>
      </w:pPr>
    </w:p>
    <w:p w14:paraId="2AB99622" w14:textId="77777777" w:rsidR="00404C62"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Table 2 Cell free protein (secreted proteome) involved in pancreatic cancer diagnostic and prognostics</w:t>
      </w:r>
    </w:p>
    <w:tbl>
      <w:tblPr>
        <w:tblW w:w="9560" w:type="dxa"/>
        <w:tblLook w:val="04A0" w:firstRow="1" w:lastRow="0" w:firstColumn="1" w:lastColumn="0" w:noHBand="0" w:noVBand="1"/>
      </w:tblPr>
      <w:tblGrid>
        <w:gridCol w:w="1445"/>
        <w:gridCol w:w="1247"/>
        <w:gridCol w:w="1348"/>
        <w:gridCol w:w="2542"/>
        <w:gridCol w:w="1775"/>
        <w:gridCol w:w="1203"/>
      </w:tblGrid>
      <w:tr w:rsidR="00404C62" w:rsidRPr="00404C62" w14:paraId="77163701" w14:textId="77777777" w:rsidTr="00404C62">
        <w:trPr>
          <w:trHeight w:val="620"/>
        </w:trPr>
        <w:tc>
          <w:tcPr>
            <w:tcW w:w="1732" w:type="dxa"/>
            <w:tcBorders>
              <w:top w:val="single" w:sz="4" w:space="0" w:color="auto"/>
              <w:left w:val="nil"/>
              <w:bottom w:val="single" w:sz="4" w:space="0" w:color="auto"/>
              <w:right w:val="nil"/>
            </w:tcBorders>
            <w:shd w:val="clear" w:color="auto" w:fill="auto"/>
            <w:vAlign w:val="center"/>
            <w:hideMark/>
          </w:tcPr>
          <w:p w14:paraId="2CC166FA" w14:textId="77777777" w:rsidR="00404C62" w:rsidRPr="00404C62" w:rsidRDefault="00404C62" w:rsidP="00404C62">
            <w:pPr>
              <w:jc w:val="both"/>
              <w:rPr>
                <w:rFonts w:ascii="Book Antiqua" w:eastAsia="等线" w:hAnsi="Book Antiqua" w:cs="宋体"/>
                <w:b/>
                <w:bCs/>
                <w:color w:val="000000"/>
                <w:lang w:eastAsia="zh-CN"/>
              </w:rPr>
            </w:pPr>
            <w:r w:rsidRPr="00404C62">
              <w:rPr>
                <w:rFonts w:ascii="Book Antiqua" w:eastAsia="等线" w:hAnsi="Book Antiqua" w:cs="宋体"/>
                <w:b/>
                <w:bCs/>
                <w:color w:val="000000"/>
                <w:lang w:eastAsia="zh-CN"/>
              </w:rPr>
              <w:t>Target candidate</w:t>
            </w:r>
          </w:p>
        </w:tc>
        <w:tc>
          <w:tcPr>
            <w:tcW w:w="1135" w:type="dxa"/>
            <w:tcBorders>
              <w:top w:val="single" w:sz="4" w:space="0" w:color="auto"/>
              <w:left w:val="nil"/>
              <w:bottom w:val="single" w:sz="4" w:space="0" w:color="auto"/>
              <w:right w:val="nil"/>
            </w:tcBorders>
            <w:shd w:val="clear" w:color="auto" w:fill="auto"/>
            <w:vAlign w:val="center"/>
            <w:hideMark/>
          </w:tcPr>
          <w:p w14:paraId="129854E2" w14:textId="77777777" w:rsidR="00404C62" w:rsidRPr="00404C62" w:rsidRDefault="00404C62" w:rsidP="00404C62">
            <w:pPr>
              <w:jc w:val="both"/>
              <w:rPr>
                <w:rFonts w:ascii="Book Antiqua" w:eastAsia="等线" w:hAnsi="Book Antiqua" w:cs="宋体"/>
                <w:b/>
                <w:bCs/>
                <w:color w:val="000000"/>
                <w:lang w:eastAsia="zh-CN"/>
              </w:rPr>
            </w:pPr>
            <w:r w:rsidRPr="00404C62">
              <w:rPr>
                <w:rFonts w:ascii="Book Antiqua" w:eastAsia="等线" w:hAnsi="Book Antiqua" w:cs="宋体"/>
                <w:b/>
                <w:bCs/>
                <w:color w:val="000000"/>
                <w:lang w:eastAsia="zh-CN"/>
              </w:rPr>
              <w:t>Up/down</w:t>
            </w:r>
          </w:p>
        </w:tc>
        <w:tc>
          <w:tcPr>
            <w:tcW w:w="1585" w:type="dxa"/>
            <w:tcBorders>
              <w:top w:val="single" w:sz="4" w:space="0" w:color="auto"/>
              <w:left w:val="nil"/>
              <w:bottom w:val="single" w:sz="4" w:space="0" w:color="auto"/>
              <w:right w:val="nil"/>
            </w:tcBorders>
            <w:shd w:val="clear" w:color="auto" w:fill="auto"/>
            <w:vAlign w:val="center"/>
            <w:hideMark/>
          </w:tcPr>
          <w:p w14:paraId="78FD2BF1" w14:textId="77777777" w:rsidR="00404C62" w:rsidRPr="00404C62" w:rsidRDefault="00404C62" w:rsidP="00404C62">
            <w:pPr>
              <w:jc w:val="both"/>
              <w:rPr>
                <w:rFonts w:ascii="Book Antiqua" w:eastAsia="等线" w:hAnsi="Book Antiqua" w:cs="宋体"/>
                <w:b/>
                <w:bCs/>
                <w:color w:val="000000"/>
                <w:lang w:eastAsia="zh-CN"/>
              </w:rPr>
            </w:pPr>
            <w:r w:rsidRPr="00404C62">
              <w:rPr>
                <w:rFonts w:ascii="Book Antiqua" w:eastAsia="等线" w:hAnsi="Book Antiqua" w:cs="宋体"/>
                <w:b/>
                <w:bCs/>
                <w:color w:val="000000"/>
                <w:lang w:eastAsia="zh-CN"/>
              </w:rPr>
              <w:t>Sample</w:t>
            </w:r>
          </w:p>
        </w:tc>
        <w:tc>
          <w:tcPr>
            <w:tcW w:w="2356" w:type="dxa"/>
            <w:tcBorders>
              <w:top w:val="single" w:sz="4" w:space="0" w:color="auto"/>
              <w:left w:val="nil"/>
              <w:bottom w:val="single" w:sz="4" w:space="0" w:color="auto"/>
              <w:right w:val="nil"/>
            </w:tcBorders>
            <w:shd w:val="clear" w:color="auto" w:fill="auto"/>
            <w:vAlign w:val="center"/>
            <w:hideMark/>
          </w:tcPr>
          <w:p w14:paraId="238BA9D6" w14:textId="77777777" w:rsidR="00404C62" w:rsidRPr="00404C62" w:rsidRDefault="00404C62" w:rsidP="00404C62">
            <w:pPr>
              <w:jc w:val="both"/>
              <w:rPr>
                <w:rFonts w:ascii="Book Antiqua" w:eastAsia="等线" w:hAnsi="Book Antiqua" w:cs="宋体"/>
                <w:b/>
                <w:bCs/>
                <w:color w:val="000000"/>
                <w:lang w:eastAsia="zh-CN"/>
              </w:rPr>
            </w:pPr>
            <w:r w:rsidRPr="00404C62">
              <w:rPr>
                <w:rFonts w:ascii="Book Antiqua" w:eastAsia="等线" w:hAnsi="Book Antiqua" w:cs="宋体"/>
                <w:b/>
                <w:bCs/>
                <w:color w:val="000000"/>
                <w:lang w:eastAsia="zh-CN"/>
              </w:rPr>
              <w:t>Target</w:t>
            </w:r>
          </w:p>
        </w:tc>
        <w:tc>
          <w:tcPr>
            <w:tcW w:w="1658" w:type="dxa"/>
            <w:tcBorders>
              <w:top w:val="single" w:sz="4" w:space="0" w:color="auto"/>
              <w:left w:val="nil"/>
              <w:bottom w:val="single" w:sz="4" w:space="0" w:color="auto"/>
              <w:right w:val="nil"/>
            </w:tcBorders>
            <w:shd w:val="clear" w:color="auto" w:fill="auto"/>
            <w:vAlign w:val="center"/>
            <w:hideMark/>
          </w:tcPr>
          <w:p w14:paraId="3FFF3A8D" w14:textId="77777777" w:rsidR="00404C62" w:rsidRPr="00404C62" w:rsidRDefault="00404C62" w:rsidP="00404C62">
            <w:pPr>
              <w:jc w:val="both"/>
              <w:rPr>
                <w:rFonts w:ascii="Book Antiqua" w:eastAsia="等线" w:hAnsi="Book Antiqua" w:cs="宋体"/>
                <w:b/>
                <w:bCs/>
                <w:color w:val="000000"/>
                <w:lang w:eastAsia="zh-CN"/>
              </w:rPr>
            </w:pPr>
            <w:r w:rsidRPr="00404C62">
              <w:rPr>
                <w:rFonts w:ascii="Book Antiqua" w:eastAsia="等线" w:hAnsi="Book Antiqua" w:cs="宋体"/>
                <w:b/>
                <w:bCs/>
                <w:color w:val="000000"/>
                <w:lang w:eastAsia="zh-CN"/>
              </w:rPr>
              <w:t>Pathway</w:t>
            </w:r>
          </w:p>
        </w:tc>
        <w:tc>
          <w:tcPr>
            <w:tcW w:w="1094" w:type="dxa"/>
            <w:tcBorders>
              <w:top w:val="single" w:sz="4" w:space="0" w:color="auto"/>
              <w:left w:val="nil"/>
              <w:bottom w:val="single" w:sz="4" w:space="0" w:color="auto"/>
              <w:right w:val="nil"/>
            </w:tcBorders>
            <w:shd w:val="clear" w:color="auto" w:fill="auto"/>
            <w:vAlign w:val="center"/>
            <w:hideMark/>
          </w:tcPr>
          <w:p w14:paraId="3D761BD3" w14:textId="77777777" w:rsidR="00404C62" w:rsidRPr="00404C62" w:rsidRDefault="00404C62" w:rsidP="00404C62">
            <w:pPr>
              <w:jc w:val="both"/>
              <w:rPr>
                <w:rFonts w:ascii="Book Antiqua" w:eastAsia="等线" w:hAnsi="Book Antiqua" w:cs="宋体"/>
                <w:b/>
                <w:bCs/>
                <w:color w:val="000000"/>
                <w:lang w:eastAsia="zh-CN"/>
              </w:rPr>
            </w:pPr>
            <w:r w:rsidRPr="00404C62">
              <w:rPr>
                <w:rFonts w:ascii="Book Antiqua" w:eastAsia="等线" w:hAnsi="Book Antiqua" w:cs="宋体"/>
                <w:b/>
                <w:bCs/>
                <w:color w:val="000000"/>
                <w:lang w:eastAsia="zh-CN"/>
              </w:rPr>
              <w:t>Potential value</w:t>
            </w:r>
          </w:p>
        </w:tc>
      </w:tr>
      <w:tr w:rsidR="00404C62" w:rsidRPr="00404C62" w14:paraId="7B27D778" w14:textId="77777777" w:rsidTr="00404C62">
        <w:trPr>
          <w:trHeight w:val="310"/>
        </w:trPr>
        <w:tc>
          <w:tcPr>
            <w:tcW w:w="1732" w:type="dxa"/>
            <w:tcBorders>
              <w:top w:val="nil"/>
              <w:left w:val="nil"/>
              <w:bottom w:val="nil"/>
              <w:right w:val="nil"/>
            </w:tcBorders>
            <w:shd w:val="clear" w:color="auto" w:fill="auto"/>
            <w:vAlign w:val="center"/>
            <w:hideMark/>
          </w:tcPr>
          <w:p w14:paraId="2A491AE6"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ADAMTS1</w:t>
            </w:r>
          </w:p>
        </w:tc>
        <w:tc>
          <w:tcPr>
            <w:tcW w:w="1135" w:type="dxa"/>
            <w:tcBorders>
              <w:top w:val="nil"/>
              <w:left w:val="nil"/>
              <w:bottom w:val="nil"/>
              <w:right w:val="nil"/>
            </w:tcBorders>
            <w:shd w:val="clear" w:color="auto" w:fill="auto"/>
            <w:vAlign w:val="center"/>
            <w:hideMark/>
          </w:tcPr>
          <w:p w14:paraId="5199B502"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Up</w:t>
            </w:r>
          </w:p>
        </w:tc>
        <w:tc>
          <w:tcPr>
            <w:tcW w:w="1585" w:type="dxa"/>
            <w:tcBorders>
              <w:top w:val="nil"/>
              <w:left w:val="nil"/>
              <w:bottom w:val="nil"/>
              <w:right w:val="nil"/>
            </w:tcBorders>
            <w:shd w:val="clear" w:color="auto" w:fill="auto"/>
            <w:vAlign w:val="center"/>
            <w:hideMark/>
          </w:tcPr>
          <w:p w14:paraId="10C1E432"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Plasma</w:t>
            </w:r>
          </w:p>
        </w:tc>
        <w:tc>
          <w:tcPr>
            <w:tcW w:w="2356" w:type="dxa"/>
            <w:tcBorders>
              <w:top w:val="nil"/>
              <w:left w:val="nil"/>
              <w:bottom w:val="nil"/>
              <w:right w:val="nil"/>
            </w:tcBorders>
            <w:shd w:val="clear" w:color="auto" w:fill="auto"/>
            <w:vAlign w:val="center"/>
            <w:hideMark/>
          </w:tcPr>
          <w:p w14:paraId="795C1D2A"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ADAMTS1</w:t>
            </w:r>
          </w:p>
        </w:tc>
        <w:tc>
          <w:tcPr>
            <w:tcW w:w="1658" w:type="dxa"/>
            <w:tcBorders>
              <w:top w:val="nil"/>
              <w:left w:val="nil"/>
              <w:bottom w:val="nil"/>
              <w:right w:val="nil"/>
            </w:tcBorders>
            <w:shd w:val="clear" w:color="auto" w:fill="auto"/>
            <w:vAlign w:val="center"/>
            <w:hideMark/>
          </w:tcPr>
          <w:p w14:paraId="5DD7CDA4"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Methylation</w:t>
            </w:r>
          </w:p>
        </w:tc>
        <w:tc>
          <w:tcPr>
            <w:tcW w:w="1094" w:type="dxa"/>
            <w:tcBorders>
              <w:top w:val="nil"/>
              <w:left w:val="nil"/>
              <w:bottom w:val="nil"/>
              <w:right w:val="nil"/>
            </w:tcBorders>
            <w:shd w:val="clear" w:color="auto" w:fill="auto"/>
            <w:vAlign w:val="center"/>
            <w:hideMark/>
          </w:tcPr>
          <w:p w14:paraId="3AF8F04F"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D</w:t>
            </w:r>
          </w:p>
        </w:tc>
      </w:tr>
      <w:tr w:rsidR="00404C62" w:rsidRPr="00404C62" w14:paraId="6F7DB5EF" w14:textId="77777777" w:rsidTr="00404C62">
        <w:trPr>
          <w:trHeight w:val="310"/>
        </w:trPr>
        <w:tc>
          <w:tcPr>
            <w:tcW w:w="1732" w:type="dxa"/>
            <w:tcBorders>
              <w:top w:val="nil"/>
              <w:left w:val="nil"/>
              <w:bottom w:val="nil"/>
              <w:right w:val="nil"/>
            </w:tcBorders>
            <w:shd w:val="clear" w:color="auto" w:fill="auto"/>
            <w:vAlign w:val="center"/>
            <w:hideMark/>
          </w:tcPr>
          <w:p w14:paraId="42820F74"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BNC1</w:t>
            </w:r>
          </w:p>
        </w:tc>
        <w:tc>
          <w:tcPr>
            <w:tcW w:w="1135" w:type="dxa"/>
            <w:tcBorders>
              <w:top w:val="nil"/>
              <w:left w:val="nil"/>
              <w:bottom w:val="nil"/>
              <w:right w:val="nil"/>
            </w:tcBorders>
            <w:shd w:val="clear" w:color="auto" w:fill="auto"/>
            <w:vAlign w:val="center"/>
            <w:hideMark/>
          </w:tcPr>
          <w:p w14:paraId="1297AE88"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Up</w:t>
            </w:r>
          </w:p>
        </w:tc>
        <w:tc>
          <w:tcPr>
            <w:tcW w:w="1585" w:type="dxa"/>
            <w:tcBorders>
              <w:top w:val="nil"/>
              <w:left w:val="nil"/>
              <w:bottom w:val="nil"/>
              <w:right w:val="nil"/>
            </w:tcBorders>
            <w:shd w:val="clear" w:color="auto" w:fill="auto"/>
            <w:vAlign w:val="center"/>
            <w:hideMark/>
          </w:tcPr>
          <w:p w14:paraId="600F65A1"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Plasma</w:t>
            </w:r>
          </w:p>
        </w:tc>
        <w:tc>
          <w:tcPr>
            <w:tcW w:w="2356" w:type="dxa"/>
            <w:tcBorders>
              <w:top w:val="nil"/>
              <w:left w:val="nil"/>
              <w:bottom w:val="nil"/>
              <w:right w:val="nil"/>
            </w:tcBorders>
            <w:shd w:val="clear" w:color="auto" w:fill="auto"/>
            <w:vAlign w:val="center"/>
            <w:hideMark/>
          </w:tcPr>
          <w:p w14:paraId="49BAC39B"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BNC1</w:t>
            </w:r>
          </w:p>
        </w:tc>
        <w:tc>
          <w:tcPr>
            <w:tcW w:w="1658" w:type="dxa"/>
            <w:tcBorders>
              <w:top w:val="nil"/>
              <w:left w:val="nil"/>
              <w:bottom w:val="nil"/>
              <w:right w:val="nil"/>
            </w:tcBorders>
            <w:shd w:val="clear" w:color="auto" w:fill="auto"/>
            <w:vAlign w:val="center"/>
            <w:hideMark/>
          </w:tcPr>
          <w:p w14:paraId="1CEEDD4A"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Methylation</w:t>
            </w:r>
          </w:p>
        </w:tc>
        <w:tc>
          <w:tcPr>
            <w:tcW w:w="1094" w:type="dxa"/>
            <w:tcBorders>
              <w:top w:val="nil"/>
              <w:left w:val="nil"/>
              <w:bottom w:val="nil"/>
              <w:right w:val="nil"/>
            </w:tcBorders>
            <w:shd w:val="clear" w:color="auto" w:fill="auto"/>
            <w:vAlign w:val="center"/>
            <w:hideMark/>
          </w:tcPr>
          <w:p w14:paraId="12AC1A68"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D</w:t>
            </w:r>
          </w:p>
        </w:tc>
      </w:tr>
      <w:tr w:rsidR="00404C62" w:rsidRPr="00404C62" w14:paraId="7617352F" w14:textId="77777777" w:rsidTr="00404C62">
        <w:trPr>
          <w:trHeight w:val="310"/>
        </w:trPr>
        <w:tc>
          <w:tcPr>
            <w:tcW w:w="1732" w:type="dxa"/>
            <w:tcBorders>
              <w:top w:val="nil"/>
              <w:left w:val="nil"/>
              <w:bottom w:val="nil"/>
              <w:right w:val="nil"/>
            </w:tcBorders>
            <w:shd w:val="clear" w:color="auto" w:fill="auto"/>
            <w:vAlign w:val="center"/>
            <w:hideMark/>
          </w:tcPr>
          <w:p w14:paraId="44B98DD5"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CDKN1C</w:t>
            </w:r>
          </w:p>
        </w:tc>
        <w:tc>
          <w:tcPr>
            <w:tcW w:w="1135" w:type="dxa"/>
            <w:tcBorders>
              <w:top w:val="nil"/>
              <w:left w:val="nil"/>
              <w:bottom w:val="nil"/>
              <w:right w:val="nil"/>
            </w:tcBorders>
            <w:shd w:val="clear" w:color="auto" w:fill="auto"/>
            <w:vAlign w:val="center"/>
            <w:hideMark/>
          </w:tcPr>
          <w:p w14:paraId="1D82EF89"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Up</w:t>
            </w:r>
          </w:p>
        </w:tc>
        <w:tc>
          <w:tcPr>
            <w:tcW w:w="1585" w:type="dxa"/>
            <w:tcBorders>
              <w:top w:val="nil"/>
              <w:left w:val="nil"/>
              <w:bottom w:val="nil"/>
              <w:right w:val="nil"/>
            </w:tcBorders>
            <w:shd w:val="clear" w:color="auto" w:fill="auto"/>
            <w:vAlign w:val="center"/>
            <w:hideMark/>
          </w:tcPr>
          <w:p w14:paraId="432C155D"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Plasma</w:t>
            </w:r>
          </w:p>
        </w:tc>
        <w:tc>
          <w:tcPr>
            <w:tcW w:w="2356" w:type="dxa"/>
            <w:tcBorders>
              <w:top w:val="nil"/>
              <w:left w:val="nil"/>
              <w:bottom w:val="nil"/>
              <w:right w:val="nil"/>
            </w:tcBorders>
            <w:shd w:val="clear" w:color="auto" w:fill="auto"/>
            <w:vAlign w:val="center"/>
            <w:hideMark/>
          </w:tcPr>
          <w:p w14:paraId="0D3C6C47"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CDKN1C</w:t>
            </w:r>
          </w:p>
        </w:tc>
        <w:tc>
          <w:tcPr>
            <w:tcW w:w="1658" w:type="dxa"/>
            <w:tcBorders>
              <w:top w:val="nil"/>
              <w:left w:val="nil"/>
              <w:bottom w:val="nil"/>
              <w:right w:val="nil"/>
            </w:tcBorders>
            <w:shd w:val="clear" w:color="auto" w:fill="auto"/>
            <w:vAlign w:val="center"/>
            <w:hideMark/>
          </w:tcPr>
          <w:p w14:paraId="62128AF3"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Methylation</w:t>
            </w:r>
          </w:p>
        </w:tc>
        <w:tc>
          <w:tcPr>
            <w:tcW w:w="1094" w:type="dxa"/>
            <w:tcBorders>
              <w:top w:val="nil"/>
              <w:left w:val="nil"/>
              <w:bottom w:val="nil"/>
              <w:right w:val="nil"/>
            </w:tcBorders>
            <w:shd w:val="clear" w:color="auto" w:fill="auto"/>
            <w:vAlign w:val="center"/>
            <w:hideMark/>
          </w:tcPr>
          <w:p w14:paraId="7C697E17"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D</w:t>
            </w:r>
          </w:p>
        </w:tc>
      </w:tr>
      <w:tr w:rsidR="00404C62" w:rsidRPr="00404C62" w14:paraId="763E070C" w14:textId="77777777" w:rsidTr="00404C62">
        <w:trPr>
          <w:trHeight w:val="310"/>
        </w:trPr>
        <w:tc>
          <w:tcPr>
            <w:tcW w:w="1732" w:type="dxa"/>
            <w:tcBorders>
              <w:top w:val="nil"/>
              <w:left w:val="nil"/>
              <w:bottom w:val="nil"/>
              <w:right w:val="nil"/>
            </w:tcBorders>
            <w:shd w:val="clear" w:color="auto" w:fill="auto"/>
            <w:vAlign w:val="center"/>
            <w:hideMark/>
          </w:tcPr>
          <w:p w14:paraId="73603D96"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MLH1</w:t>
            </w:r>
          </w:p>
        </w:tc>
        <w:tc>
          <w:tcPr>
            <w:tcW w:w="1135" w:type="dxa"/>
            <w:tcBorders>
              <w:top w:val="nil"/>
              <w:left w:val="nil"/>
              <w:bottom w:val="nil"/>
              <w:right w:val="nil"/>
            </w:tcBorders>
            <w:shd w:val="clear" w:color="auto" w:fill="auto"/>
            <w:vAlign w:val="center"/>
            <w:hideMark/>
          </w:tcPr>
          <w:p w14:paraId="4E27AAE3"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Down</w:t>
            </w:r>
          </w:p>
        </w:tc>
        <w:tc>
          <w:tcPr>
            <w:tcW w:w="1585" w:type="dxa"/>
            <w:tcBorders>
              <w:top w:val="nil"/>
              <w:left w:val="nil"/>
              <w:bottom w:val="nil"/>
              <w:right w:val="nil"/>
            </w:tcBorders>
            <w:shd w:val="clear" w:color="auto" w:fill="auto"/>
            <w:vAlign w:val="center"/>
            <w:hideMark/>
          </w:tcPr>
          <w:p w14:paraId="62D3A8FE"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Plasma</w:t>
            </w:r>
          </w:p>
        </w:tc>
        <w:tc>
          <w:tcPr>
            <w:tcW w:w="2356" w:type="dxa"/>
            <w:tcBorders>
              <w:top w:val="nil"/>
              <w:left w:val="nil"/>
              <w:bottom w:val="nil"/>
              <w:right w:val="nil"/>
            </w:tcBorders>
            <w:shd w:val="clear" w:color="auto" w:fill="auto"/>
            <w:vAlign w:val="center"/>
            <w:hideMark/>
          </w:tcPr>
          <w:p w14:paraId="6D071301"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MLH1</w:t>
            </w:r>
          </w:p>
        </w:tc>
        <w:tc>
          <w:tcPr>
            <w:tcW w:w="1658" w:type="dxa"/>
            <w:tcBorders>
              <w:top w:val="nil"/>
              <w:left w:val="nil"/>
              <w:bottom w:val="nil"/>
              <w:right w:val="nil"/>
            </w:tcBorders>
            <w:shd w:val="clear" w:color="auto" w:fill="auto"/>
            <w:vAlign w:val="center"/>
            <w:hideMark/>
          </w:tcPr>
          <w:p w14:paraId="4370FB6F"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Mutation</w:t>
            </w:r>
          </w:p>
        </w:tc>
        <w:tc>
          <w:tcPr>
            <w:tcW w:w="1094" w:type="dxa"/>
            <w:tcBorders>
              <w:top w:val="nil"/>
              <w:left w:val="nil"/>
              <w:bottom w:val="nil"/>
              <w:right w:val="nil"/>
            </w:tcBorders>
            <w:shd w:val="clear" w:color="auto" w:fill="auto"/>
            <w:vAlign w:val="center"/>
            <w:hideMark/>
          </w:tcPr>
          <w:p w14:paraId="606AA4B8"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D</w:t>
            </w:r>
          </w:p>
        </w:tc>
      </w:tr>
      <w:tr w:rsidR="00404C62" w:rsidRPr="00404C62" w14:paraId="3735F46E" w14:textId="77777777" w:rsidTr="00404C62">
        <w:trPr>
          <w:trHeight w:val="310"/>
        </w:trPr>
        <w:tc>
          <w:tcPr>
            <w:tcW w:w="1732" w:type="dxa"/>
            <w:tcBorders>
              <w:top w:val="nil"/>
              <w:left w:val="nil"/>
              <w:bottom w:val="nil"/>
              <w:right w:val="nil"/>
            </w:tcBorders>
            <w:shd w:val="clear" w:color="auto" w:fill="auto"/>
            <w:vAlign w:val="center"/>
            <w:hideMark/>
          </w:tcPr>
          <w:p w14:paraId="44A16041"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PGR (prox)</w:t>
            </w:r>
          </w:p>
        </w:tc>
        <w:tc>
          <w:tcPr>
            <w:tcW w:w="1135" w:type="dxa"/>
            <w:tcBorders>
              <w:top w:val="nil"/>
              <w:left w:val="nil"/>
              <w:bottom w:val="nil"/>
              <w:right w:val="nil"/>
            </w:tcBorders>
            <w:shd w:val="clear" w:color="auto" w:fill="auto"/>
            <w:vAlign w:val="center"/>
            <w:hideMark/>
          </w:tcPr>
          <w:p w14:paraId="7DF6720E"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Up</w:t>
            </w:r>
          </w:p>
        </w:tc>
        <w:tc>
          <w:tcPr>
            <w:tcW w:w="1585" w:type="dxa"/>
            <w:tcBorders>
              <w:top w:val="nil"/>
              <w:left w:val="nil"/>
              <w:bottom w:val="nil"/>
              <w:right w:val="nil"/>
            </w:tcBorders>
            <w:shd w:val="clear" w:color="auto" w:fill="auto"/>
            <w:vAlign w:val="center"/>
            <w:hideMark/>
          </w:tcPr>
          <w:p w14:paraId="7282781F"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Plasma</w:t>
            </w:r>
          </w:p>
        </w:tc>
        <w:tc>
          <w:tcPr>
            <w:tcW w:w="2356" w:type="dxa"/>
            <w:tcBorders>
              <w:top w:val="nil"/>
              <w:left w:val="nil"/>
              <w:bottom w:val="nil"/>
              <w:right w:val="nil"/>
            </w:tcBorders>
            <w:shd w:val="clear" w:color="auto" w:fill="auto"/>
            <w:vAlign w:val="center"/>
            <w:hideMark/>
          </w:tcPr>
          <w:p w14:paraId="124732FA"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PGR</w:t>
            </w:r>
          </w:p>
        </w:tc>
        <w:tc>
          <w:tcPr>
            <w:tcW w:w="1658" w:type="dxa"/>
            <w:tcBorders>
              <w:top w:val="nil"/>
              <w:left w:val="nil"/>
              <w:bottom w:val="nil"/>
              <w:right w:val="nil"/>
            </w:tcBorders>
            <w:shd w:val="clear" w:color="auto" w:fill="auto"/>
            <w:vAlign w:val="center"/>
            <w:hideMark/>
          </w:tcPr>
          <w:p w14:paraId="507B6215"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Cell signaling</w:t>
            </w:r>
          </w:p>
        </w:tc>
        <w:tc>
          <w:tcPr>
            <w:tcW w:w="1094" w:type="dxa"/>
            <w:tcBorders>
              <w:top w:val="nil"/>
              <w:left w:val="nil"/>
              <w:bottom w:val="nil"/>
              <w:right w:val="nil"/>
            </w:tcBorders>
            <w:shd w:val="clear" w:color="auto" w:fill="auto"/>
            <w:vAlign w:val="center"/>
            <w:hideMark/>
          </w:tcPr>
          <w:p w14:paraId="286EA17D"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D</w:t>
            </w:r>
          </w:p>
        </w:tc>
      </w:tr>
      <w:tr w:rsidR="00404C62" w:rsidRPr="00404C62" w14:paraId="3EA29543" w14:textId="77777777" w:rsidTr="00404C62">
        <w:trPr>
          <w:trHeight w:val="620"/>
        </w:trPr>
        <w:tc>
          <w:tcPr>
            <w:tcW w:w="1732" w:type="dxa"/>
            <w:tcBorders>
              <w:top w:val="nil"/>
              <w:left w:val="nil"/>
              <w:bottom w:val="nil"/>
              <w:right w:val="nil"/>
            </w:tcBorders>
            <w:shd w:val="clear" w:color="auto" w:fill="auto"/>
            <w:vAlign w:val="center"/>
            <w:hideMark/>
          </w:tcPr>
          <w:p w14:paraId="2BEEE665"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SYK</w:t>
            </w:r>
          </w:p>
        </w:tc>
        <w:tc>
          <w:tcPr>
            <w:tcW w:w="1135" w:type="dxa"/>
            <w:tcBorders>
              <w:top w:val="nil"/>
              <w:left w:val="nil"/>
              <w:bottom w:val="nil"/>
              <w:right w:val="nil"/>
            </w:tcBorders>
            <w:shd w:val="clear" w:color="auto" w:fill="auto"/>
            <w:vAlign w:val="center"/>
            <w:hideMark/>
          </w:tcPr>
          <w:p w14:paraId="070980A5"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Up</w:t>
            </w:r>
          </w:p>
        </w:tc>
        <w:tc>
          <w:tcPr>
            <w:tcW w:w="1585" w:type="dxa"/>
            <w:tcBorders>
              <w:top w:val="nil"/>
              <w:left w:val="nil"/>
              <w:bottom w:val="nil"/>
              <w:right w:val="nil"/>
            </w:tcBorders>
            <w:shd w:val="clear" w:color="auto" w:fill="auto"/>
            <w:vAlign w:val="center"/>
            <w:hideMark/>
          </w:tcPr>
          <w:p w14:paraId="1298E627"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Plasma</w:t>
            </w:r>
          </w:p>
        </w:tc>
        <w:tc>
          <w:tcPr>
            <w:tcW w:w="2356" w:type="dxa"/>
            <w:tcBorders>
              <w:top w:val="nil"/>
              <w:left w:val="nil"/>
              <w:bottom w:val="nil"/>
              <w:right w:val="nil"/>
            </w:tcBorders>
            <w:shd w:val="clear" w:color="auto" w:fill="auto"/>
            <w:vAlign w:val="center"/>
            <w:hideMark/>
          </w:tcPr>
          <w:p w14:paraId="0EC22017"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SYK protein, mRNA</w:t>
            </w:r>
          </w:p>
        </w:tc>
        <w:tc>
          <w:tcPr>
            <w:tcW w:w="1658" w:type="dxa"/>
            <w:tcBorders>
              <w:top w:val="nil"/>
              <w:left w:val="nil"/>
              <w:bottom w:val="nil"/>
              <w:right w:val="nil"/>
            </w:tcBorders>
            <w:shd w:val="clear" w:color="auto" w:fill="auto"/>
            <w:vAlign w:val="center"/>
            <w:hideMark/>
          </w:tcPr>
          <w:p w14:paraId="4855D57E"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Cell signaling</w:t>
            </w:r>
          </w:p>
        </w:tc>
        <w:tc>
          <w:tcPr>
            <w:tcW w:w="1094" w:type="dxa"/>
            <w:tcBorders>
              <w:top w:val="nil"/>
              <w:left w:val="nil"/>
              <w:bottom w:val="nil"/>
              <w:right w:val="nil"/>
            </w:tcBorders>
            <w:shd w:val="clear" w:color="auto" w:fill="auto"/>
            <w:vAlign w:val="center"/>
            <w:hideMark/>
          </w:tcPr>
          <w:p w14:paraId="1FEC1306"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D</w:t>
            </w:r>
          </w:p>
        </w:tc>
      </w:tr>
      <w:tr w:rsidR="00404C62" w:rsidRPr="00404C62" w14:paraId="5D5F08B1" w14:textId="77777777" w:rsidTr="00404C62">
        <w:trPr>
          <w:trHeight w:val="310"/>
        </w:trPr>
        <w:tc>
          <w:tcPr>
            <w:tcW w:w="1732" w:type="dxa"/>
            <w:tcBorders>
              <w:top w:val="nil"/>
              <w:left w:val="nil"/>
              <w:bottom w:val="nil"/>
              <w:right w:val="nil"/>
            </w:tcBorders>
            <w:shd w:val="clear" w:color="auto" w:fill="auto"/>
            <w:vAlign w:val="center"/>
            <w:hideMark/>
          </w:tcPr>
          <w:p w14:paraId="7E44FB23"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CCND2</w:t>
            </w:r>
          </w:p>
        </w:tc>
        <w:tc>
          <w:tcPr>
            <w:tcW w:w="1135" w:type="dxa"/>
            <w:tcBorders>
              <w:top w:val="nil"/>
              <w:left w:val="nil"/>
              <w:bottom w:val="nil"/>
              <w:right w:val="nil"/>
            </w:tcBorders>
            <w:shd w:val="clear" w:color="auto" w:fill="auto"/>
            <w:vAlign w:val="center"/>
            <w:hideMark/>
          </w:tcPr>
          <w:p w14:paraId="376358B7"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Up</w:t>
            </w:r>
          </w:p>
        </w:tc>
        <w:tc>
          <w:tcPr>
            <w:tcW w:w="1585" w:type="dxa"/>
            <w:tcBorders>
              <w:top w:val="nil"/>
              <w:left w:val="nil"/>
              <w:bottom w:val="nil"/>
              <w:right w:val="nil"/>
            </w:tcBorders>
            <w:shd w:val="clear" w:color="auto" w:fill="auto"/>
            <w:vAlign w:val="center"/>
            <w:hideMark/>
          </w:tcPr>
          <w:p w14:paraId="794F26A4"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Plasma</w:t>
            </w:r>
          </w:p>
        </w:tc>
        <w:tc>
          <w:tcPr>
            <w:tcW w:w="2356" w:type="dxa"/>
            <w:tcBorders>
              <w:top w:val="nil"/>
              <w:left w:val="nil"/>
              <w:bottom w:val="nil"/>
              <w:right w:val="nil"/>
            </w:tcBorders>
            <w:shd w:val="clear" w:color="auto" w:fill="auto"/>
            <w:vAlign w:val="center"/>
            <w:hideMark/>
          </w:tcPr>
          <w:p w14:paraId="6C8A4A53"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Cyclin D2</w:t>
            </w:r>
          </w:p>
        </w:tc>
        <w:tc>
          <w:tcPr>
            <w:tcW w:w="1658" w:type="dxa"/>
            <w:tcBorders>
              <w:top w:val="nil"/>
              <w:left w:val="nil"/>
              <w:bottom w:val="nil"/>
              <w:right w:val="nil"/>
            </w:tcBorders>
            <w:shd w:val="clear" w:color="auto" w:fill="auto"/>
            <w:vAlign w:val="center"/>
            <w:hideMark/>
          </w:tcPr>
          <w:p w14:paraId="10524FF6"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Cell signaling</w:t>
            </w:r>
          </w:p>
        </w:tc>
        <w:tc>
          <w:tcPr>
            <w:tcW w:w="1094" w:type="dxa"/>
            <w:tcBorders>
              <w:top w:val="nil"/>
              <w:left w:val="nil"/>
              <w:bottom w:val="nil"/>
              <w:right w:val="nil"/>
            </w:tcBorders>
            <w:shd w:val="clear" w:color="auto" w:fill="auto"/>
            <w:vAlign w:val="center"/>
            <w:hideMark/>
          </w:tcPr>
          <w:p w14:paraId="40D242F2"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D</w:t>
            </w:r>
          </w:p>
        </w:tc>
      </w:tr>
      <w:tr w:rsidR="00404C62" w:rsidRPr="00404C62" w14:paraId="11CFBDA1" w14:textId="77777777" w:rsidTr="00404C62">
        <w:trPr>
          <w:trHeight w:val="620"/>
        </w:trPr>
        <w:tc>
          <w:tcPr>
            <w:tcW w:w="1732" w:type="dxa"/>
            <w:tcBorders>
              <w:top w:val="nil"/>
              <w:left w:val="nil"/>
              <w:bottom w:val="nil"/>
              <w:right w:val="nil"/>
            </w:tcBorders>
            <w:shd w:val="clear" w:color="auto" w:fill="auto"/>
            <w:vAlign w:val="center"/>
            <w:hideMark/>
          </w:tcPr>
          <w:p w14:paraId="21DD52C8"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ALX4</w:t>
            </w:r>
          </w:p>
        </w:tc>
        <w:tc>
          <w:tcPr>
            <w:tcW w:w="1135" w:type="dxa"/>
            <w:tcBorders>
              <w:top w:val="nil"/>
              <w:left w:val="nil"/>
              <w:bottom w:val="nil"/>
              <w:right w:val="nil"/>
            </w:tcBorders>
            <w:shd w:val="clear" w:color="auto" w:fill="auto"/>
            <w:vAlign w:val="center"/>
            <w:hideMark/>
          </w:tcPr>
          <w:p w14:paraId="42BD8C63"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Up</w:t>
            </w:r>
          </w:p>
        </w:tc>
        <w:tc>
          <w:tcPr>
            <w:tcW w:w="1585" w:type="dxa"/>
            <w:tcBorders>
              <w:top w:val="nil"/>
              <w:left w:val="nil"/>
              <w:bottom w:val="nil"/>
              <w:right w:val="nil"/>
            </w:tcBorders>
            <w:shd w:val="clear" w:color="auto" w:fill="auto"/>
            <w:vAlign w:val="center"/>
            <w:hideMark/>
          </w:tcPr>
          <w:p w14:paraId="7CBF819C"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Plasma</w:t>
            </w:r>
          </w:p>
        </w:tc>
        <w:tc>
          <w:tcPr>
            <w:tcW w:w="2356" w:type="dxa"/>
            <w:tcBorders>
              <w:top w:val="nil"/>
              <w:left w:val="nil"/>
              <w:bottom w:val="nil"/>
              <w:right w:val="nil"/>
            </w:tcBorders>
            <w:shd w:val="clear" w:color="auto" w:fill="auto"/>
            <w:vAlign w:val="center"/>
            <w:hideMark/>
          </w:tcPr>
          <w:p w14:paraId="59DC4118"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Transcription factor</w:t>
            </w:r>
          </w:p>
        </w:tc>
        <w:tc>
          <w:tcPr>
            <w:tcW w:w="1658" w:type="dxa"/>
            <w:tcBorders>
              <w:top w:val="nil"/>
              <w:left w:val="nil"/>
              <w:bottom w:val="nil"/>
              <w:right w:val="nil"/>
            </w:tcBorders>
            <w:shd w:val="clear" w:color="auto" w:fill="auto"/>
            <w:vAlign w:val="center"/>
            <w:hideMark/>
          </w:tcPr>
          <w:p w14:paraId="71BA26A2"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Mutation</w:t>
            </w:r>
          </w:p>
        </w:tc>
        <w:tc>
          <w:tcPr>
            <w:tcW w:w="1094" w:type="dxa"/>
            <w:tcBorders>
              <w:top w:val="nil"/>
              <w:left w:val="nil"/>
              <w:bottom w:val="nil"/>
              <w:right w:val="nil"/>
            </w:tcBorders>
            <w:shd w:val="clear" w:color="auto" w:fill="auto"/>
            <w:vAlign w:val="center"/>
            <w:hideMark/>
          </w:tcPr>
          <w:p w14:paraId="0D690ACB"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P</w:t>
            </w:r>
          </w:p>
        </w:tc>
      </w:tr>
      <w:tr w:rsidR="00404C62" w:rsidRPr="00404C62" w14:paraId="172B31C7" w14:textId="77777777" w:rsidTr="00404C62">
        <w:trPr>
          <w:trHeight w:val="310"/>
        </w:trPr>
        <w:tc>
          <w:tcPr>
            <w:tcW w:w="1732" w:type="dxa"/>
            <w:tcBorders>
              <w:top w:val="nil"/>
              <w:left w:val="nil"/>
              <w:bottom w:val="nil"/>
              <w:right w:val="nil"/>
            </w:tcBorders>
            <w:shd w:val="clear" w:color="auto" w:fill="auto"/>
            <w:vAlign w:val="center"/>
            <w:hideMark/>
          </w:tcPr>
          <w:p w14:paraId="69AA7F96"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APC</w:t>
            </w:r>
          </w:p>
        </w:tc>
        <w:tc>
          <w:tcPr>
            <w:tcW w:w="1135" w:type="dxa"/>
            <w:tcBorders>
              <w:top w:val="nil"/>
              <w:left w:val="nil"/>
              <w:bottom w:val="nil"/>
              <w:right w:val="nil"/>
            </w:tcBorders>
            <w:shd w:val="clear" w:color="auto" w:fill="auto"/>
            <w:vAlign w:val="center"/>
            <w:hideMark/>
          </w:tcPr>
          <w:p w14:paraId="4CED7CE0"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Down</w:t>
            </w:r>
          </w:p>
        </w:tc>
        <w:tc>
          <w:tcPr>
            <w:tcW w:w="1585" w:type="dxa"/>
            <w:tcBorders>
              <w:top w:val="nil"/>
              <w:left w:val="nil"/>
              <w:bottom w:val="nil"/>
              <w:right w:val="nil"/>
            </w:tcBorders>
            <w:shd w:val="clear" w:color="auto" w:fill="auto"/>
            <w:vAlign w:val="center"/>
            <w:hideMark/>
          </w:tcPr>
          <w:p w14:paraId="4DDC7FFB"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Plasma</w:t>
            </w:r>
          </w:p>
        </w:tc>
        <w:tc>
          <w:tcPr>
            <w:tcW w:w="2356" w:type="dxa"/>
            <w:tcBorders>
              <w:top w:val="nil"/>
              <w:left w:val="nil"/>
              <w:bottom w:val="nil"/>
              <w:right w:val="nil"/>
            </w:tcBorders>
            <w:shd w:val="clear" w:color="auto" w:fill="auto"/>
            <w:vAlign w:val="center"/>
            <w:hideMark/>
          </w:tcPr>
          <w:p w14:paraId="1F269B86"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APC</w:t>
            </w:r>
          </w:p>
        </w:tc>
        <w:tc>
          <w:tcPr>
            <w:tcW w:w="1658" w:type="dxa"/>
            <w:tcBorders>
              <w:top w:val="nil"/>
              <w:left w:val="nil"/>
              <w:bottom w:val="nil"/>
              <w:right w:val="nil"/>
            </w:tcBorders>
            <w:shd w:val="clear" w:color="auto" w:fill="auto"/>
            <w:vAlign w:val="center"/>
            <w:hideMark/>
          </w:tcPr>
          <w:p w14:paraId="27292744"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Mutation</w:t>
            </w:r>
          </w:p>
        </w:tc>
        <w:tc>
          <w:tcPr>
            <w:tcW w:w="1094" w:type="dxa"/>
            <w:tcBorders>
              <w:top w:val="nil"/>
              <w:left w:val="nil"/>
              <w:bottom w:val="nil"/>
              <w:right w:val="nil"/>
            </w:tcBorders>
            <w:shd w:val="clear" w:color="auto" w:fill="auto"/>
            <w:vAlign w:val="center"/>
            <w:hideMark/>
          </w:tcPr>
          <w:p w14:paraId="70D42F65"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P</w:t>
            </w:r>
          </w:p>
        </w:tc>
      </w:tr>
      <w:tr w:rsidR="00404C62" w:rsidRPr="00404C62" w14:paraId="14138641" w14:textId="77777777" w:rsidTr="00404C62">
        <w:trPr>
          <w:trHeight w:val="310"/>
        </w:trPr>
        <w:tc>
          <w:tcPr>
            <w:tcW w:w="1732" w:type="dxa"/>
            <w:tcBorders>
              <w:top w:val="nil"/>
              <w:left w:val="nil"/>
              <w:bottom w:val="nil"/>
              <w:right w:val="nil"/>
            </w:tcBorders>
            <w:shd w:val="clear" w:color="auto" w:fill="auto"/>
            <w:vAlign w:val="center"/>
            <w:hideMark/>
          </w:tcPr>
          <w:p w14:paraId="6F214AF9"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BMP3</w:t>
            </w:r>
          </w:p>
        </w:tc>
        <w:tc>
          <w:tcPr>
            <w:tcW w:w="1135" w:type="dxa"/>
            <w:tcBorders>
              <w:top w:val="nil"/>
              <w:left w:val="nil"/>
              <w:bottom w:val="nil"/>
              <w:right w:val="nil"/>
            </w:tcBorders>
            <w:shd w:val="clear" w:color="auto" w:fill="auto"/>
            <w:vAlign w:val="center"/>
            <w:hideMark/>
          </w:tcPr>
          <w:p w14:paraId="6B462EB0"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Up</w:t>
            </w:r>
          </w:p>
        </w:tc>
        <w:tc>
          <w:tcPr>
            <w:tcW w:w="1585" w:type="dxa"/>
            <w:tcBorders>
              <w:top w:val="nil"/>
              <w:left w:val="nil"/>
              <w:bottom w:val="nil"/>
              <w:right w:val="nil"/>
            </w:tcBorders>
            <w:shd w:val="clear" w:color="auto" w:fill="auto"/>
            <w:vAlign w:val="center"/>
            <w:hideMark/>
          </w:tcPr>
          <w:p w14:paraId="7E79F611"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Plasma</w:t>
            </w:r>
          </w:p>
        </w:tc>
        <w:tc>
          <w:tcPr>
            <w:tcW w:w="2356" w:type="dxa"/>
            <w:tcBorders>
              <w:top w:val="nil"/>
              <w:left w:val="nil"/>
              <w:bottom w:val="nil"/>
              <w:right w:val="nil"/>
            </w:tcBorders>
            <w:shd w:val="clear" w:color="auto" w:fill="auto"/>
            <w:vAlign w:val="center"/>
            <w:hideMark/>
          </w:tcPr>
          <w:p w14:paraId="27E1EC2E"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TGFβ</w:t>
            </w:r>
          </w:p>
        </w:tc>
        <w:tc>
          <w:tcPr>
            <w:tcW w:w="1658" w:type="dxa"/>
            <w:tcBorders>
              <w:top w:val="nil"/>
              <w:left w:val="nil"/>
              <w:bottom w:val="nil"/>
              <w:right w:val="nil"/>
            </w:tcBorders>
            <w:shd w:val="clear" w:color="auto" w:fill="auto"/>
            <w:vAlign w:val="center"/>
            <w:hideMark/>
          </w:tcPr>
          <w:p w14:paraId="212E59E2"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Cell signaling</w:t>
            </w:r>
          </w:p>
        </w:tc>
        <w:tc>
          <w:tcPr>
            <w:tcW w:w="1094" w:type="dxa"/>
            <w:tcBorders>
              <w:top w:val="nil"/>
              <w:left w:val="nil"/>
              <w:bottom w:val="nil"/>
              <w:right w:val="nil"/>
            </w:tcBorders>
            <w:shd w:val="clear" w:color="auto" w:fill="auto"/>
            <w:vAlign w:val="center"/>
            <w:hideMark/>
          </w:tcPr>
          <w:p w14:paraId="0A3AFD49"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P</w:t>
            </w:r>
          </w:p>
        </w:tc>
      </w:tr>
      <w:tr w:rsidR="00404C62" w:rsidRPr="00404C62" w14:paraId="0515BCF3" w14:textId="77777777" w:rsidTr="00404C62">
        <w:trPr>
          <w:trHeight w:val="310"/>
        </w:trPr>
        <w:tc>
          <w:tcPr>
            <w:tcW w:w="1732" w:type="dxa"/>
            <w:tcBorders>
              <w:top w:val="nil"/>
              <w:left w:val="nil"/>
              <w:bottom w:val="nil"/>
              <w:right w:val="nil"/>
            </w:tcBorders>
            <w:shd w:val="clear" w:color="auto" w:fill="auto"/>
            <w:vAlign w:val="center"/>
            <w:hideMark/>
          </w:tcPr>
          <w:p w14:paraId="4C122FF3"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BNC1</w:t>
            </w:r>
          </w:p>
        </w:tc>
        <w:tc>
          <w:tcPr>
            <w:tcW w:w="1135" w:type="dxa"/>
            <w:tcBorders>
              <w:top w:val="nil"/>
              <w:left w:val="nil"/>
              <w:bottom w:val="nil"/>
              <w:right w:val="nil"/>
            </w:tcBorders>
            <w:shd w:val="clear" w:color="auto" w:fill="auto"/>
            <w:vAlign w:val="center"/>
            <w:hideMark/>
          </w:tcPr>
          <w:p w14:paraId="70C649ED"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Up</w:t>
            </w:r>
          </w:p>
        </w:tc>
        <w:tc>
          <w:tcPr>
            <w:tcW w:w="1585" w:type="dxa"/>
            <w:tcBorders>
              <w:top w:val="nil"/>
              <w:left w:val="nil"/>
              <w:bottom w:val="nil"/>
              <w:right w:val="nil"/>
            </w:tcBorders>
            <w:shd w:val="clear" w:color="auto" w:fill="auto"/>
            <w:vAlign w:val="center"/>
            <w:hideMark/>
          </w:tcPr>
          <w:p w14:paraId="020F0256"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Plasma</w:t>
            </w:r>
          </w:p>
        </w:tc>
        <w:tc>
          <w:tcPr>
            <w:tcW w:w="2356" w:type="dxa"/>
            <w:tcBorders>
              <w:top w:val="nil"/>
              <w:left w:val="nil"/>
              <w:bottom w:val="nil"/>
              <w:right w:val="nil"/>
            </w:tcBorders>
            <w:shd w:val="clear" w:color="auto" w:fill="auto"/>
            <w:vAlign w:val="center"/>
            <w:hideMark/>
          </w:tcPr>
          <w:p w14:paraId="14D94CD3"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BNC1</w:t>
            </w:r>
          </w:p>
        </w:tc>
        <w:tc>
          <w:tcPr>
            <w:tcW w:w="1658" w:type="dxa"/>
            <w:tcBorders>
              <w:top w:val="nil"/>
              <w:left w:val="nil"/>
              <w:bottom w:val="nil"/>
              <w:right w:val="nil"/>
            </w:tcBorders>
            <w:shd w:val="clear" w:color="auto" w:fill="auto"/>
            <w:vAlign w:val="center"/>
            <w:hideMark/>
          </w:tcPr>
          <w:p w14:paraId="6F64FB3E"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Cell signaling</w:t>
            </w:r>
          </w:p>
        </w:tc>
        <w:tc>
          <w:tcPr>
            <w:tcW w:w="1094" w:type="dxa"/>
            <w:tcBorders>
              <w:top w:val="nil"/>
              <w:left w:val="nil"/>
              <w:bottom w:val="nil"/>
              <w:right w:val="nil"/>
            </w:tcBorders>
            <w:shd w:val="clear" w:color="auto" w:fill="auto"/>
            <w:vAlign w:val="center"/>
            <w:hideMark/>
          </w:tcPr>
          <w:p w14:paraId="10075A09"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P</w:t>
            </w:r>
          </w:p>
        </w:tc>
      </w:tr>
      <w:tr w:rsidR="00404C62" w:rsidRPr="00404C62" w14:paraId="679D8DEB" w14:textId="77777777" w:rsidTr="00404C62">
        <w:trPr>
          <w:trHeight w:val="310"/>
        </w:trPr>
        <w:tc>
          <w:tcPr>
            <w:tcW w:w="1732" w:type="dxa"/>
            <w:tcBorders>
              <w:top w:val="nil"/>
              <w:left w:val="nil"/>
              <w:bottom w:val="nil"/>
              <w:right w:val="nil"/>
            </w:tcBorders>
            <w:shd w:val="clear" w:color="auto" w:fill="auto"/>
            <w:vAlign w:val="center"/>
            <w:hideMark/>
          </w:tcPr>
          <w:p w14:paraId="2DFE7A2A"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BRCA1</w:t>
            </w:r>
          </w:p>
        </w:tc>
        <w:tc>
          <w:tcPr>
            <w:tcW w:w="1135" w:type="dxa"/>
            <w:tcBorders>
              <w:top w:val="nil"/>
              <w:left w:val="nil"/>
              <w:bottom w:val="nil"/>
              <w:right w:val="nil"/>
            </w:tcBorders>
            <w:shd w:val="clear" w:color="auto" w:fill="auto"/>
            <w:vAlign w:val="center"/>
            <w:hideMark/>
          </w:tcPr>
          <w:p w14:paraId="16A16677"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Up</w:t>
            </w:r>
          </w:p>
        </w:tc>
        <w:tc>
          <w:tcPr>
            <w:tcW w:w="1585" w:type="dxa"/>
            <w:tcBorders>
              <w:top w:val="nil"/>
              <w:left w:val="nil"/>
              <w:bottom w:val="nil"/>
              <w:right w:val="nil"/>
            </w:tcBorders>
            <w:shd w:val="clear" w:color="auto" w:fill="auto"/>
            <w:vAlign w:val="center"/>
            <w:hideMark/>
          </w:tcPr>
          <w:p w14:paraId="48E4A877"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Plasma</w:t>
            </w:r>
          </w:p>
        </w:tc>
        <w:tc>
          <w:tcPr>
            <w:tcW w:w="2356" w:type="dxa"/>
            <w:tcBorders>
              <w:top w:val="nil"/>
              <w:left w:val="nil"/>
              <w:bottom w:val="nil"/>
              <w:right w:val="nil"/>
            </w:tcBorders>
            <w:shd w:val="clear" w:color="auto" w:fill="auto"/>
            <w:vAlign w:val="center"/>
            <w:hideMark/>
          </w:tcPr>
          <w:p w14:paraId="071FB0C8"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BRCA1</w:t>
            </w:r>
          </w:p>
        </w:tc>
        <w:tc>
          <w:tcPr>
            <w:tcW w:w="1658" w:type="dxa"/>
            <w:tcBorders>
              <w:top w:val="nil"/>
              <w:left w:val="nil"/>
              <w:bottom w:val="nil"/>
              <w:right w:val="nil"/>
            </w:tcBorders>
            <w:shd w:val="clear" w:color="auto" w:fill="auto"/>
            <w:vAlign w:val="center"/>
            <w:hideMark/>
          </w:tcPr>
          <w:p w14:paraId="65CD8A13"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Mutation</w:t>
            </w:r>
          </w:p>
        </w:tc>
        <w:tc>
          <w:tcPr>
            <w:tcW w:w="1094" w:type="dxa"/>
            <w:tcBorders>
              <w:top w:val="nil"/>
              <w:left w:val="nil"/>
              <w:bottom w:val="nil"/>
              <w:right w:val="nil"/>
            </w:tcBorders>
            <w:shd w:val="clear" w:color="auto" w:fill="auto"/>
            <w:vAlign w:val="center"/>
            <w:hideMark/>
          </w:tcPr>
          <w:p w14:paraId="1936D532"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P</w:t>
            </w:r>
          </w:p>
        </w:tc>
      </w:tr>
      <w:tr w:rsidR="00404C62" w:rsidRPr="00404C62" w14:paraId="1A8EA9E8" w14:textId="77777777" w:rsidTr="00404C62">
        <w:trPr>
          <w:trHeight w:val="310"/>
        </w:trPr>
        <w:tc>
          <w:tcPr>
            <w:tcW w:w="1732" w:type="dxa"/>
            <w:tcBorders>
              <w:top w:val="nil"/>
              <w:left w:val="nil"/>
              <w:bottom w:val="nil"/>
              <w:right w:val="nil"/>
            </w:tcBorders>
            <w:shd w:val="clear" w:color="auto" w:fill="auto"/>
            <w:vAlign w:val="center"/>
            <w:hideMark/>
          </w:tcPr>
          <w:p w14:paraId="225A5766"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CDKN2B</w:t>
            </w:r>
          </w:p>
        </w:tc>
        <w:tc>
          <w:tcPr>
            <w:tcW w:w="1135" w:type="dxa"/>
            <w:tcBorders>
              <w:top w:val="nil"/>
              <w:left w:val="nil"/>
              <w:bottom w:val="nil"/>
              <w:right w:val="nil"/>
            </w:tcBorders>
            <w:shd w:val="clear" w:color="auto" w:fill="auto"/>
            <w:vAlign w:val="center"/>
            <w:hideMark/>
          </w:tcPr>
          <w:p w14:paraId="7ED7B486"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Up</w:t>
            </w:r>
          </w:p>
        </w:tc>
        <w:tc>
          <w:tcPr>
            <w:tcW w:w="1585" w:type="dxa"/>
            <w:tcBorders>
              <w:top w:val="nil"/>
              <w:left w:val="nil"/>
              <w:bottom w:val="nil"/>
              <w:right w:val="nil"/>
            </w:tcBorders>
            <w:shd w:val="clear" w:color="auto" w:fill="auto"/>
            <w:vAlign w:val="center"/>
            <w:hideMark/>
          </w:tcPr>
          <w:p w14:paraId="34357C08"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Plasma</w:t>
            </w:r>
          </w:p>
        </w:tc>
        <w:tc>
          <w:tcPr>
            <w:tcW w:w="2356" w:type="dxa"/>
            <w:tcBorders>
              <w:top w:val="nil"/>
              <w:left w:val="nil"/>
              <w:bottom w:val="nil"/>
              <w:right w:val="nil"/>
            </w:tcBorders>
            <w:shd w:val="clear" w:color="auto" w:fill="auto"/>
            <w:vAlign w:val="center"/>
            <w:hideMark/>
          </w:tcPr>
          <w:p w14:paraId="02E4026C"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Ink4, p16, p14</w:t>
            </w:r>
          </w:p>
        </w:tc>
        <w:tc>
          <w:tcPr>
            <w:tcW w:w="1658" w:type="dxa"/>
            <w:tcBorders>
              <w:top w:val="nil"/>
              <w:left w:val="nil"/>
              <w:bottom w:val="nil"/>
              <w:right w:val="nil"/>
            </w:tcBorders>
            <w:shd w:val="clear" w:color="auto" w:fill="auto"/>
            <w:vAlign w:val="center"/>
            <w:hideMark/>
          </w:tcPr>
          <w:p w14:paraId="003D8F9A"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Cell signaling</w:t>
            </w:r>
          </w:p>
        </w:tc>
        <w:tc>
          <w:tcPr>
            <w:tcW w:w="1094" w:type="dxa"/>
            <w:tcBorders>
              <w:top w:val="nil"/>
              <w:left w:val="nil"/>
              <w:bottom w:val="nil"/>
              <w:right w:val="nil"/>
            </w:tcBorders>
            <w:shd w:val="clear" w:color="auto" w:fill="auto"/>
            <w:vAlign w:val="center"/>
            <w:hideMark/>
          </w:tcPr>
          <w:p w14:paraId="54BABA6C"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P</w:t>
            </w:r>
          </w:p>
        </w:tc>
      </w:tr>
      <w:tr w:rsidR="00404C62" w:rsidRPr="00404C62" w14:paraId="17D4D3A9" w14:textId="77777777" w:rsidTr="00404C62">
        <w:trPr>
          <w:trHeight w:val="620"/>
        </w:trPr>
        <w:tc>
          <w:tcPr>
            <w:tcW w:w="1732" w:type="dxa"/>
            <w:tcBorders>
              <w:top w:val="nil"/>
              <w:left w:val="nil"/>
              <w:bottom w:val="nil"/>
              <w:right w:val="nil"/>
            </w:tcBorders>
            <w:shd w:val="clear" w:color="auto" w:fill="auto"/>
            <w:vAlign w:val="center"/>
            <w:hideMark/>
          </w:tcPr>
          <w:p w14:paraId="6E18E958"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CHFR</w:t>
            </w:r>
          </w:p>
        </w:tc>
        <w:tc>
          <w:tcPr>
            <w:tcW w:w="1135" w:type="dxa"/>
            <w:tcBorders>
              <w:top w:val="nil"/>
              <w:left w:val="nil"/>
              <w:bottom w:val="nil"/>
              <w:right w:val="nil"/>
            </w:tcBorders>
            <w:shd w:val="clear" w:color="auto" w:fill="auto"/>
            <w:vAlign w:val="center"/>
            <w:hideMark/>
          </w:tcPr>
          <w:p w14:paraId="4CBCBA6C"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Up</w:t>
            </w:r>
          </w:p>
        </w:tc>
        <w:tc>
          <w:tcPr>
            <w:tcW w:w="1585" w:type="dxa"/>
            <w:tcBorders>
              <w:top w:val="nil"/>
              <w:left w:val="nil"/>
              <w:bottom w:val="nil"/>
              <w:right w:val="nil"/>
            </w:tcBorders>
            <w:shd w:val="clear" w:color="auto" w:fill="auto"/>
            <w:vAlign w:val="center"/>
            <w:hideMark/>
          </w:tcPr>
          <w:p w14:paraId="7F4898F9"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Plasma</w:t>
            </w:r>
          </w:p>
        </w:tc>
        <w:tc>
          <w:tcPr>
            <w:tcW w:w="2356" w:type="dxa"/>
            <w:tcBorders>
              <w:top w:val="nil"/>
              <w:left w:val="nil"/>
              <w:bottom w:val="nil"/>
              <w:right w:val="nil"/>
            </w:tcBorders>
            <w:shd w:val="clear" w:color="auto" w:fill="auto"/>
            <w:vAlign w:val="center"/>
            <w:hideMark/>
          </w:tcPr>
          <w:p w14:paraId="1F217D33"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E3 Ubiquitin-protein</w:t>
            </w:r>
          </w:p>
        </w:tc>
        <w:tc>
          <w:tcPr>
            <w:tcW w:w="1658" w:type="dxa"/>
            <w:tcBorders>
              <w:top w:val="nil"/>
              <w:left w:val="nil"/>
              <w:bottom w:val="nil"/>
              <w:right w:val="nil"/>
            </w:tcBorders>
            <w:shd w:val="clear" w:color="auto" w:fill="auto"/>
            <w:vAlign w:val="center"/>
            <w:hideMark/>
          </w:tcPr>
          <w:p w14:paraId="62CCC100"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Cell signaling, check point</w:t>
            </w:r>
          </w:p>
        </w:tc>
        <w:tc>
          <w:tcPr>
            <w:tcW w:w="1094" w:type="dxa"/>
            <w:tcBorders>
              <w:top w:val="nil"/>
              <w:left w:val="nil"/>
              <w:bottom w:val="nil"/>
              <w:right w:val="nil"/>
            </w:tcBorders>
            <w:shd w:val="clear" w:color="auto" w:fill="auto"/>
            <w:vAlign w:val="center"/>
            <w:hideMark/>
          </w:tcPr>
          <w:p w14:paraId="64151509"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P</w:t>
            </w:r>
          </w:p>
        </w:tc>
      </w:tr>
      <w:tr w:rsidR="00404C62" w:rsidRPr="00404C62" w14:paraId="437C2A2A" w14:textId="77777777" w:rsidTr="00404C62">
        <w:trPr>
          <w:trHeight w:val="930"/>
        </w:trPr>
        <w:tc>
          <w:tcPr>
            <w:tcW w:w="1732" w:type="dxa"/>
            <w:tcBorders>
              <w:top w:val="nil"/>
              <w:left w:val="nil"/>
              <w:bottom w:val="nil"/>
              <w:right w:val="nil"/>
            </w:tcBorders>
            <w:shd w:val="clear" w:color="auto" w:fill="auto"/>
            <w:vAlign w:val="center"/>
            <w:hideMark/>
          </w:tcPr>
          <w:p w14:paraId="5AC8C89E"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ESR1</w:t>
            </w:r>
          </w:p>
        </w:tc>
        <w:tc>
          <w:tcPr>
            <w:tcW w:w="1135" w:type="dxa"/>
            <w:tcBorders>
              <w:top w:val="nil"/>
              <w:left w:val="nil"/>
              <w:bottom w:val="nil"/>
              <w:right w:val="nil"/>
            </w:tcBorders>
            <w:shd w:val="clear" w:color="auto" w:fill="auto"/>
            <w:vAlign w:val="center"/>
            <w:hideMark/>
          </w:tcPr>
          <w:p w14:paraId="63C54783"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Up</w:t>
            </w:r>
          </w:p>
        </w:tc>
        <w:tc>
          <w:tcPr>
            <w:tcW w:w="1585" w:type="dxa"/>
            <w:tcBorders>
              <w:top w:val="nil"/>
              <w:left w:val="nil"/>
              <w:bottom w:val="nil"/>
              <w:right w:val="nil"/>
            </w:tcBorders>
            <w:shd w:val="clear" w:color="auto" w:fill="auto"/>
            <w:vAlign w:val="center"/>
            <w:hideMark/>
          </w:tcPr>
          <w:p w14:paraId="22555EEF"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Plasma</w:t>
            </w:r>
          </w:p>
        </w:tc>
        <w:tc>
          <w:tcPr>
            <w:tcW w:w="2356" w:type="dxa"/>
            <w:tcBorders>
              <w:top w:val="nil"/>
              <w:left w:val="nil"/>
              <w:bottom w:val="nil"/>
              <w:right w:val="nil"/>
            </w:tcBorders>
            <w:shd w:val="clear" w:color="auto" w:fill="auto"/>
            <w:vAlign w:val="center"/>
            <w:hideMark/>
          </w:tcPr>
          <w:p w14:paraId="4027B158"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ESR1, Transcription factor</w:t>
            </w:r>
          </w:p>
        </w:tc>
        <w:tc>
          <w:tcPr>
            <w:tcW w:w="1658" w:type="dxa"/>
            <w:tcBorders>
              <w:top w:val="nil"/>
              <w:left w:val="nil"/>
              <w:bottom w:val="nil"/>
              <w:right w:val="nil"/>
            </w:tcBorders>
            <w:shd w:val="clear" w:color="auto" w:fill="auto"/>
            <w:vAlign w:val="center"/>
            <w:hideMark/>
          </w:tcPr>
          <w:p w14:paraId="4DCB517D"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Cell signaling</w:t>
            </w:r>
          </w:p>
        </w:tc>
        <w:tc>
          <w:tcPr>
            <w:tcW w:w="1094" w:type="dxa"/>
            <w:tcBorders>
              <w:top w:val="nil"/>
              <w:left w:val="nil"/>
              <w:bottom w:val="nil"/>
              <w:right w:val="nil"/>
            </w:tcBorders>
            <w:shd w:val="clear" w:color="auto" w:fill="auto"/>
            <w:vAlign w:val="center"/>
            <w:hideMark/>
          </w:tcPr>
          <w:p w14:paraId="0C01FE0F"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P</w:t>
            </w:r>
          </w:p>
        </w:tc>
      </w:tr>
      <w:tr w:rsidR="00404C62" w:rsidRPr="00404C62" w14:paraId="6121E9FF" w14:textId="77777777" w:rsidTr="00404C62">
        <w:trPr>
          <w:trHeight w:val="310"/>
        </w:trPr>
        <w:tc>
          <w:tcPr>
            <w:tcW w:w="1732" w:type="dxa"/>
            <w:tcBorders>
              <w:top w:val="nil"/>
              <w:left w:val="nil"/>
              <w:bottom w:val="nil"/>
              <w:right w:val="nil"/>
            </w:tcBorders>
            <w:shd w:val="clear" w:color="auto" w:fill="auto"/>
            <w:vAlign w:val="center"/>
            <w:hideMark/>
          </w:tcPr>
          <w:p w14:paraId="0D6A6740"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EYA2</w:t>
            </w:r>
          </w:p>
        </w:tc>
        <w:tc>
          <w:tcPr>
            <w:tcW w:w="1135" w:type="dxa"/>
            <w:tcBorders>
              <w:top w:val="nil"/>
              <w:left w:val="nil"/>
              <w:bottom w:val="nil"/>
              <w:right w:val="nil"/>
            </w:tcBorders>
            <w:shd w:val="clear" w:color="auto" w:fill="auto"/>
            <w:vAlign w:val="center"/>
            <w:hideMark/>
          </w:tcPr>
          <w:p w14:paraId="4607BB7F"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Up</w:t>
            </w:r>
          </w:p>
        </w:tc>
        <w:tc>
          <w:tcPr>
            <w:tcW w:w="1585" w:type="dxa"/>
            <w:tcBorders>
              <w:top w:val="nil"/>
              <w:left w:val="nil"/>
              <w:bottom w:val="nil"/>
              <w:right w:val="nil"/>
            </w:tcBorders>
            <w:shd w:val="clear" w:color="auto" w:fill="auto"/>
            <w:vAlign w:val="center"/>
            <w:hideMark/>
          </w:tcPr>
          <w:p w14:paraId="31B0C849"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Plasma</w:t>
            </w:r>
          </w:p>
        </w:tc>
        <w:tc>
          <w:tcPr>
            <w:tcW w:w="2356" w:type="dxa"/>
            <w:tcBorders>
              <w:top w:val="nil"/>
              <w:left w:val="nil"/>
              <w:bottom w:val="nil"/>
              <w:right w:val="nil"/>
            </w:tcBorders>
            <w:shd w:val="clear" w:color="auto" w:fill="auto"/>
            <w:vAlign w:val="center"/>
            <w:hideMark/>
          </w:tcPr>
          <w:p w14:paraId="6600677E"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EYA2</w:t>
            </w:r>
          </w:p>
        </w:tc>
        <w:tc>
          <w:tcPr>
            <w:tcW w:w="1658" w:type="dxa"/>
            <w:tcBorders>
              <w:top w:val="nil"/>
              <w:left w:val="nil"/>
              <w:bottom w:val="nil"/>
              <w:right w:val="nil"/>
            </w:tcBorders>
            <w:shd w:val="clear" w:color="auto" w:fill="auto"/>
            <w:vAlign w:val="center"/>
            <w:hideMark/>
          </w:tcPr>
          <w:p w14:paraId="388F37D9"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Cell cycle</w:t>
            </w:r>
          </w:p>
        </w:tc>
        <w:tc>
          <w:tcPr>
            <w:tcW w:w="1094" w:type="dxa"/>
            <w:tcBorders>
              <w:top w:val="nil"/>
              <w:left w:val="nil"/>
              <w:bottom w:val="nil"/>
              <w:right w:val="nil"/>
            </w:tcBorders>
            <w:shd w:val="clear" w:color="auto" w:fill="auto"/>
            <w:vAlign w:val="center"/>
            <w:hideMark/>
          </w:tcPr>
          <w:p w14:paraId="695E48F6"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P</w:t>
            </w:r>
          </w:p>
        </w:tc>
      </w:tr>
      <w:tr w:rsidR="00404C62" w:rsidRPr="00404C62" w14:paraId="1FFD6C6C" w14:textId="77777777" w:rsidTr="00404C62">
        <w:trPr>
          <w:trHeight w:val="310"/>
        </w:trPr>
        <w:tc>
          <w:tcPr>
            <w:tcW w:w="1732" w:type="dxa"/>
            <w:tcBorders>
              <w:top w:val="nil"/>
              <w:left w:val="nil"/>
              <w:bottom w:val="nil"/>
              <w:right w:val="nil"/>
            </w:tcBorders>
            <w:shd w:val="clear" w:color="auto" w:fill="auto"/>
            <w:vAlign w:val="center"/>
            <w:hideMark/>
          </w:tcPr>
          <w:p w14:paraId="6D1AB34D"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GSTP1</w:t>
            </w:r>
          </w:p>
        </w:tc>
        <w:tc>
          <w:tcPr>
            <w:tcW w:w="1135" w:type="dxa"/>
            <w:tcBorders>
              <w:top w:val="nil"/>
              <w:left w:val="nil"/>
              <w:bottom w:val="nil"/>
              <w:right w:val="nil"/>
            </w:tcBorders>
            <w:shd w:val="clear" w:color="auto" w:fill="auto"/>
            <w:vAlign w:val="center"/>
            <w:hideMark/>
          </w:tcPr>
          <w:p w14:paraId="345D7EBE"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Up</w:t>
            </w:r>
          </w:p>
        </w:tc>
        <w:tc>
          <w:tcPr>
            <w:tcW w:w="1585" w:type="dxa"/>
            <w:tcBorders>
              <w:top w:val="nil"/>
              <w:left w:val="nil"/>
              <w:bottom w:val="nil"/>
              <w:right w:val="nil"/>
            </w:tcBorders>
            <w:shd w:val="clear" w:color="auto" w:fill="auto"/>
            <w:vAlign w:val="center"/>
            <w:hideMark/>
          </w:tcPr>
          <w:p w14:paraId="01D41CEA"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Plasma</w:t>
            </w:r>
          </w:p>
        </w:tc>
        <w:tc>
          <w:tcPr>
            <w:tcW w:w="2356" w:type="dxa"/>
            <w:tcBorders>
              <w:top w:val="nil"/>
              <w:left w:val="nil"/>
              <w:bottom w:val="nil"/>
              <w:right w:val="nil"/>
            </w:tcBorders>
            <w:shd w:val="clear" w:color="auto" w:fill="auto"/>
            <w:vAlign w:val="center"/>
            <w:hideMark/>
          </w:tcPr>
          <w:p w14:paraId="4165E0F9"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GSTP1</w:t>
            </w:r>
          </w:p>
        </w:tc>
        <w:tc>
          <w:tcPr>
            <w:tcW w:w="1658" w:type="dxa"/>
            <w:tcBorders>
              <w:top w:val="nil"/>
              <w:left w:val="nil"/>
              <w:bottom w:val="nil"/>
              <w:right w:val="nil"/>
            </w:tcBorders>
            <w:shd w:val="clear" w:color="auto" w:fill="auto"/>
            <w:vAlign w:val="center"/>
            <w:hideMark/>
          </w:tcPr>
          <w:p w14:paraId="7C74917D"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Cell signaling</w:t>
            </w:r>
          </w:p>
        </w:tc>
        <w:tc>
          <w:tcPr>
            <w:tcW w:w="1094" w:type="dxa"/>
            <w:tcBorders>
              <w:top w:val="nil"/>
              <w:left w:val="nil"/>
              <w:bottom w:val="nil"/>
              <w:right w:val="nil"/>
            </w:tcBorders>
            <w:shd w:val="clear" w:color="auto" w:fill="auto"/>
            <w:vAlign w:val="center"/>
            <w:hideMark/>
          </w:tcPr>
          <w:p w14:paraId="1EFE61DF"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P</w:t>
            </w:r>
          </w:p>
        </w:tc>
      </w:tr>
      <w:tr w:rsidR="00404C62" w:rsidRPr="00404C62" w14:paraId="304AEA48" w14:textId="77777777" w:rsidTr="00404C62">
        <w:trPr>
          <w:trHeight w:val="1240"/>
        </w:trPr>
        <w:tc>
          <w:tcPr>
            <w:tcW w:w="1732" w:type="dxa"/>
            <w:tcBorders>
              <w:top w:val="nil"/>
              <w:left w:val="nil"/>
              <w:bottom w:val="nil"/>
              <w:right w:val="nil"/>
            </w:tcBorders>
            <w:shd w:val="clear" w:color="auto" w:fill="auto"/>
            <w:vAlign w:val="center"/>
            <w:hideMark/>
          </w:tcPr>
          <w:p w14:paraId="58353EDA"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HIC1</w:t>
            </w:r>
          </w:p>
        </w:tc>
        <w:tc>
          <w:tcPr>
            <w:tcW w:w="1135" w:type="dxa"/>
            <w:tcBorders>
              <w:top w:val="nil"/>
              <w:left w:val="nil"/>
              <w:bottom w:val="nil"/>
              <w:right w:val="nil"/>
            </w:tcBorders>
            <w:shd w:val="clear" w:color="auto" w:fill="auto"/>
            <w:vAlign w:val="center"/>
            <w:hideMark/>
          </w:tcPr>
          <w:p w14:paraId="0DB92650"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Up</w:t>
            </w:r>
          </w:p>
        </w:tc>
        <w:tc>
          <w:tcPr>
            <w:tcW w:w="1585" w:type="dxa"/>
            <w:tcBorders>
              <w:top w:val="nil"/>
              <w:left w:val="nil"/>
              <w:bottom w:val="nil"/>
              <w:right w:val="nil"/>
            </w:tcBorders>
            <w:shd w:val="clear" w:color="auto" w:fill="auto"/>
            <w:vAlign w:val="center"/>
            <w:hideMark/>
          </w:tcPr>
          <w:p w14:paraId="12FF7ADF"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Plasma</w:t>
            </w:r>
          </w:p>
        </w:tc>
        <w:tc>
          <w:tcPr>
            <w:tcW w:w="2356" w:type="dxa"/>
            <w:tcBorders>
              <w:top w:val="nil"/>
              <w:left w:val="nil"/>
              <w:bottom w:val="nil"/>
              <w:right w:val="nil"/>
            </w:tcBorders>
            <w:shd w:val="clear" w:color="auto" w:fill="auto"/>
            <w:vAlign w:val="center"/>
            <w:hideMark/>
          </w:tcPr>
          <w:p w14:paraId="6E196C24"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HIC ZBTB TRANSCRIPTIONAL RECEPTOR 1</w:t>
            </w:r>
          </w:p>
        </w:tc>
        <w:tc>
          <w:tcPr>
            <w:tcW w:w="1658" w:type="dxa"/>
            <w:tcBorders>
              <w:top w:val="nil"/>
              <w:left w:val="nil"/>
              <w:bottom w:val="nil"/>
              <w:right w:val="nil"/>
            </w:tcBorders>
            <w:shd w:val="clear" w:color="auto" w:fill="auto"/>
            <w:vAlign w:val="center"/>
            <w:hideMark/>
          </w:tcPr>
          <w:p w14:paraId="60568495"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Cell signaling</w:t>
            </w:r>
          </w:p>
        </w:tc>
        <w:tc>
          <w:tcPr>
            <w:tcW w:w="1094" w:type="dxa"/>
            <w:tcBorders>
              <w:top w:val="nil"/>
              <w:left w:val="nil"/>
              <w:bottom w:val="nil"/>
              <w:right w:val="nil"/>
            </w:tcBorders>
            <w:shd w:val="clear" w:color="auto" w:fill="auto"/>
            <w:vAlign w:val="center"/>
            <w:hideMark/>
          </w:tcPr>
          <w:p w14:paraId="72292A5B"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P</w:t>
            </w:r>
          </w:p>
        </w:tc>
      </w:tr>
      <w:tr w:rsidR="00404C62" w:rsidRPr="00404C62" w14:paraId="64986B0F" w14:textId="77777777" w:rsidTr="00404C62">
        <w:trPr>
          <w:trHeight w:val="930"/>
        </w:trPr>
        <w:tc>
          <w:tcPr>
            <w:tcW w:w="1732" w:type="dxa"/>
            <w:tcBorders>
              <w:top w:val="nil"/>
              <w:left w:val="nil"/>
              <w:bottom w:val="nil"/>
              <w:right w:val="nil"/>
            </w:tcBorders>
            <w:shd w:val="clear" w:color="auto" w:fill="auto"/>
            <w:vAlign w:val="center"/>
            <w:hideMark/>
          </w:tcPr>
          <w:p w14:paraId="450AA47F"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MEST1v2</w:t>
            </w:r>
          </w:p>
        </w:tc>
        <w:tc>
          <w:tcPr>
            <w:tcW w:w="1135" w:type="dxa"/>
            <w:tcBorders>
              <w:top w:val="nil"/>
              <w:left w:val="nil"/>
              <w:bottom w:val="nil"/>
              <w:right w:val="nil"/>
            </w:tcBorders>
            <w:shd w:val="clear" w:color="auto" w:fill="auto"/>
            <w:vAlign w:val="center"/>
            <w:hideMark/>
          </w:tcPr>
          <w:p w14:paraId="44557BE5"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Up</w:t>
            </w:r>
          </w:p>
        </w:tc>
        <w:tc>
          <w:tcPr>
            <w:tcW w:w="1585" w:type="dxa"/>
            <w:tcBorders>
              <w:top w:val="nil"/>
              <w:left w:val="nil"/>
              <w:bottom w:val="nil"/>
              <w:right w:val="nil"/>
            </w:tcBorders>
            <w:shd w:val="clear" w:color="auto" w:fill="auto"/>
            <w:vAlign w:val="center"/>
            <w:hideMark/>
          </w:tcPr>
          <w:p w14:paraId="1E7EDF47"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Plasma</w:t>
            </w:r>
          </w:p>
        </w:tc>
        <w:tc>
          <w:tcPr>
            <w:tcW w:w="2356" w:type="dxa"/>
            <w:tcBorders>
              <w:top w:val="nil"/>
              <w:left w:val="nil"/>
              <w:bottom w:val="nil"/>
              <w:right w:val="nil"/>
            </w:tcBorders>
            <w:shd w:val="clear" w:color="auto" w:fill="auto"/>
            <w:vAlign w:val="center"/>
            <w:hideMark/>
          </w:tcPr>
          <w:p w14:paraId="04486D87"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Alpha/Beta hydrolase superfamily</w:t>
            </w:r>
          </w:p>
        </w:tc>
        <w:tc>
          <w:tcPr>
            <w:tcW w:w="1658" w:type="dxa"/>
            <w:tcBorders>
              <w:top w:val="nil"/>
              <w:left w:val="nil"/>
              <w:bottom w:val="nil"/>
              <w:right w:val="nil"/>
            </w:tcBorders>
            <w:shd w:val="clear" w:color="auto" w:fill="auto"/>
            <w:vAlign w:val="center"/>
            <w:hideMark/>
          </w:tcPr>
          <w:p w14:paraId="699E9980"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Cell signaling</w:t>
            </w:r>
          </w:p>
        </w:tc>
        <w:tc>
          <w:tcPr>
            <w:tcW w:w="1094" w:type="dxa"/>
            <w:tcBorders>
              <w:top w:val="nil"/>
              <w:left w:val="nil"/>
              <w:bottom w:val="nil"/>
              <w:right w:val="nil"/>
            </w:tcBorders>
            <w:shd w:val="clear" w:color="auto" w:fill="auto"/>
            <w:vAlign w:val="center"/>
            <w:hideMark/>
          </w:tcPr>
          <w:p w14:paraId="0473ABF4"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P</w:t>
            </w:r>
          </w:p>
        </w:tc>
      </w:tr>
      <w:tr w:rsidR="00404C62" w:rsidRPr="00404C62" w14:paraId="12842AB8" w14:textId="77777777" w:rsidTr="00404C62">
        <w:trPr>
          <w:trHeight w:val="310"/>
        </w:trPr>
        <w:tc>
          <w:tcPr>
            <w:tcW w:w="1732" w:type="dxa"/>
            <w:tcBorders>
              <w:top w:val="nil"/>
              <w:left w:val="nil"/>
              <w:bottom w:val="nil"/>
              <w:right w:val="nil"/>
            </w:tcBorders>
            <w:shd w:val="clear" w:color="auto" w:fill="auto"/>
            <w:vAlign w:val="center"/>
            <w:hideMark/>
          </w:tcPr>
          <w:p w14:paraId="464FF9DD"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Foxe1</w:t>
            </w:r>
          </w:p>
        </w:tc>
        <w:tc>
          <w:tcPr>
            <w:tcW w:w="1135" w:type="dxa"/>
            <w:tcBorders>
              <w:top w:val="nil"/>
              <w:left w:val="nil"/>
              <w:bottom w:val="nil"/>
              <w:right w:val="nil"/>
            </w:tcBorders>
            <w:shd w:val="clear" w:color="auto" w:fill="auto"/>
            <w:vAlign w:val="center"/>
            <w:hideMark/>
          </w:tcPr>
          <w:p w14:paraId="05315DD8"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Down</w:t>
            </w:r>
          </w:p>
        </w:tc>
        <w:tc>
          <w:tcPr>
            <w:tcW w:w="1585" w:type="dxa"/>
            <w:tcBorders>
              <w:top w:val="nil"/>
              <w:left w:val="nil"/>
              <w:bottom w:val="nil"/>
              <w:right w:val="nil"/>
            </w:tcBorders>
            <w:shd w:val="clear" w:color="auto" w:fill="auto"/>
            <w:vAlign w:val="center"/>
            <w:hideMark/>
          </w:tcPr>
          <w:p w14:paraId="51E9D0AE"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Pancreatic juice</w:t>
            </w:r>
          </w:p>
        </w:tc>
        <w:tc>
          <w:tcPr>
            <w:tcW w:w="2356" w:type="dxa"/>
            <w:tcBorders>
              <w:top w:val="nil"/>
              <w:left w:val="nil"/>
              <w:bottom w:val="nil"/>
              <w:right w:val="nil"/>
            </w:tcBorders>
            <w:shd w:val="clear" w:color="auto" w:fill="auto"/>
            <w:vAlign w:val="center"/>
            <w:hideMark/>
          </w:tcPr>
          <w:p w14:paraId="11F7794F"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Foxe1</w:t>
            </w:r>
          </w:p>
        </w:tc>
        <w:tc>
          <w:tcPr>
            <w:tcW w:w="1658" w:type="dxa"/>
            <w:tcBorders>
              <w:top w:val="nil"/>
              <w:left w:val="nil"/>
              <w:bottom w:val="nil"/>
              <w:right w:val="nil"/>
            </w:tcBorders>
            <w:shd w:val="clear" w:color="auto" w:fill="auto"/>
            <w:vAlign w:val="center"/>
            <w:hideMark/>
          </w:tcPr>
          <w:p w14:paraId="5DF573DC"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Methylation</w:t>
            </w:r>
          </w:p>
        </w:tc>
        <w:tc>
          <w:tcPr>
            <w:tcW w:w="1094" w:type="dxa"/>
            <w:tcBorders>
              <w:top w:val="nil"/>
              <w:left w:val="nil"/>
              <w:bottom w:val="nil"/>
              <w:right w:val="nil"/>
            </w:tcBorders>
            <w:shd w:val="clear" w:color="auto" w:fill="auto"/>
            <w:vAlign w:val="center"/>
            <w:hideMark/>
          </w:tcPr>
          <w:p w14:paraId="2C6AA68D"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D</w:t>
            </w:r>
          </w:p>
        </w:tc>
      </w:tr>
      <w:tr w:rsidR="00404C62" w:rsidRPr="00404C62" w14:paraId="098989DD" w14:textId="77777777" w:rsidTr="00404C62">
        <w:trPr>
          <w:trHeight w:val="310"/>
        </w:trPr>
        <w:tc>
          <w:tcPr>
            <w:tcW w:w="1732" w:type="dxa"/>
            <w:tcBorders>
              <w:top w:val="nil"/>
              <w:left w:val="nil"/>
              <w:bottom w:val="nil"/>
              <w:right w:val="nil"/>
            </w:tcBorders>
            <w:shd w:val="clear" w:color="auto" w:fill="auto"/>
            <w:vAlign w:val="center"/>
            <w:hideMark/>
          </w:tcPr>
          <w:p w14:paraId="736790DC"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MGMT</w:t>
            </w:r>
          </w:p>
        </w:tc>
        <w:tc>
          <w:tcPr>
            <w:tcW w:w="1135" w:type="dxa"/>
            <w:tcBorders>
              <w:top w:val="nil"/>
              <w:left w:val="nil"/>
              <w:bottom w:val="nil"/>
              <w:right w:val="nil"/>
            </w:tcBorders>
            <w:shd w:val="clear" w:color="auto" w:fill="auto"/>
            <w:vAlign w:val="center"/>
            <w:hideMark/>
          </w:tcPr>
          <w:p w14:paraId="672D34B7"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Up</w:t>
            </w:r>
          </w:p>
        </w:tc>
        <w:tc>
          <w:tcPr>
            <w:tcW w:w="1585" w:type="dxa"/>
            <w:tcBorders>
              <w:top w:val="nil"/>
              <w:left w:val="nil"/>
              <w:bottom w:val="nil"/>
              <w:right w:val="nil"/>
            </w:tcBorders>
            <w:shd w:val="clear" w:color="auto" w:fill="auto"/>
            <w:vAlign w:val="center"/>
            <w:hideMark/>
          </w:tcPr>
          <w:p w14:paraId="4C4C46CB"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Plasma</w:t>
            </w:r>
          </w:p>
        </w:tc>
        <w:tc>
          <w:tcPr>
            <w:tcW w:w="2356" w:type="dxa"/>
            <w:tcBorders>
              <w:top w:val="nil"/>
              <w:left w:val="nil"/>
              <w:bottom w:val="nil"/>
              <w:right w:val="nil"/>
            </w:tcBorders>
            <w:shd w:val="clear" w:color="auto" w:fill="auto"/>
            <w:vAlign w:val="center"/>
            <w:hideMark/>
          </w:tcPr>
          <w:p w14:paraId="2544AC52"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MGMT</w:t>
            </w:r>
          </w:p>
        </w:tc>
        <w:tc>
          <w:tcPr>
            <w:tcW w:w="1658" w:type="dxa"/>
            <w:tcBorders>
              <w:top w:val="nil"/>
              <w:left w:val="nil"/>
              <w:bottom w:val="nil"/>
              <w:right w:val="nil"/>
            </w:tcBorders>
            <w:shd w:val="clear" w:color="auto" w:fill="auto"/>
            <w:vAlign w:val="center"/>
            <w:hideMark/>
          </w:tcPr>
          <w:p w14:paraId="56937FB5"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Methylation</w:t>
            </w:r>
          </w:p>
        </w:tc>
        <w:tc>
          <w:tcPr>
            <w:tcW w:w="1094" w:type="dxa"/>
            <w:tcBorders>
              <w:top w:val="nil"/>
              <w:left w:val="nil"/>
              <w:bottom w:val="nil"/>
              <w:right w:val="nil"/>
            </w:tcBorders>
            <w:shd w:val="clear" w:color="auto" w:fill="auto"/>
            <w:vAlign w:val="center"/>
            <w:hideMark/>
          </w:tcPr>
          <w:p w14:paraId="73972C40"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P</w:t>
            </w:r>
          </w:p>
        </w:tc>
      </w:tr>
      <w:tr w:rsidR="00404C62" w:rsidRPr="00404C62" w14:paraId="653CEA87" w14:textId="77777777" w:rsidTr="00404C62">
        <w:trPr>
          <w:trHeight w:val="310"/>
        </w:trPr>
        <w:tc>
          <w:tcPr>
            <w:tcW w:w="1732" w:type="dxa"/>
            <w:tcBorders>
              <w:top w:val="nil"/>
              <w:left w:val="nil"/>
              <w:bottom w:val="nil"/>
              <w:right w:val="nil"/>
            </w:tcBorders>
            <w:shd w:val="clear" w:color="auto" w:fill="auto"/>
            <w:vAlign w:val="center"/>
            <w:hideMark/>
          </w:tcPr>
          <w:p w14:paraId="7C7AAB70"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MLH1</w:t>
            </w:r>
          </w:p>
        </w:tc>
        <w:tc>
          <w:tcPr>
            <w:tcW w:w="1135" w:type="dxa"/>
            <w:tcBorders>
              <w:top w:val="nil"/>
              <w:left w:val="nil"/>
              <w:bottom w:val="nil"/>
              <w:right w:val="nil"/>
            </w:tcBorders>
            <w:shd w:val="clear" w:color="auto" w:fill="auto"/>
            <w:vAlign w:val="center"/>
            <w:hideMark/>
          </w:tcPr>
          <w:p w14:paraId="090FE4D2"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Up</w:t>
            </w:r>
          </w:p>
        </w:tc>
        <w:tc>
          <w:tcPr>
            <w:tcW w:w="1585" w:type="dxa"/>
            <w:tcBorders>
              <w:top w:val="nil"/>
              <w:left w:val="nil"/>
              <w:bottom w:val="nil"/>
              <w:right w:val="nil"/>
            </w:tcBorders>
            <w:shd w:val="clear" w:color="auto" w:fill="auto"/>
            <w:vAlign w:val="center"/>
            <w:hideMark/>
          </w:tcPr>
          <w:p w14:paraId="41CA0CF4"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Plasma</w:t>
            </w:r>
          </w:p>
        </w:tc>
        <w:tc>
          <w:tcPr>
            <w:tcW w:w="2356" w:type="dxa"/>
            <w:tcBorders>
              <w:top w:val="nil"/>
              <w:left w:val="nil"/>
              <w:bottom w:val="nil"/>
              <w:right w:val="nil"/>
            </w:tcBorders>
            <w:shd w:val="clear" w:color="auto" w:fill="auto"/>
            <w:vAlign w:val="center"/>
            <w:hideMark/>
          </w:tcPr>
          <w:p w14:paraId="7F5FBD1C"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MLH1</w:t>
            </w:r>
          </w:p>
        </w:tc>
        <w:tc>
          <w:tcPr>
            <w:tcW w:w="1658" w:type="dxa"/>
            <w:tcBorders>
              <w:top w:val="nil"/>
              <w:left w:val="nil"/>
              <w:bottom w:val="nil"/>
              <w:right w:val="nil"/>
            </w:tcBorders>
            <w:shd w:val="clear" w:color="auto" w:fill="auto"/>
            <w:vAlign w:val="center"/>
            <w:hideMark/>
          </w:tcPr>
          <w:p w14:paraId="16E6DE86"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Mutation</w:t>
            </w:r>
          </w:p>
        </w:tc>
        <w:tc>
          <w:tcPr>
            <w:tcW w:w="1094" w:type="dxa"/>
            <w:tcBorders>
              <w:top w:val="nil"/>
              <w:left w:val="nil"/>
              <w:bottom w:val="nil"/>
              <w:right w:val="nil"/>
            </w:tcBorders>
            <w:shd w:val="clear" w:color="auto" w:fill="auto"/>
            <w:vAlign w:val="center"/>
            <w:hideMark/>
          </w:tcPr>
          <w:p w14:paraId="31F37E31"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P</w:t>
            </w:r>
          </w:p>
        </w:tc>
      </w:tr>
      <w:tr w:rsidR="00404C62" w:rsidRPr="00404C62" w14:paraId="287646B5" w14:textId="77777777" w:rsidTr="00404C62">
        <w:trPr>
          <w:trHeight w:val="620"/>
        </w:trPr>
        <w:tc>
          <w:tcPr>
            <w:tcW w:w="1732" w:type="dxa"/>
            <w:tcBorders>
              <w:top w:val="nil"/>
              <w:left w:val="nil"/>
              <w:bottom w:val="nil"/>
              <w:right w:val="nil"/>
            </w:tcBorders>
            <w:shd w:val="clear" w:color="auto" w:fill="auto"/>
            <w:vAlign w:val="center"/>
            <w:hideMark/>
          </w:tcPr>
          <w:p w14:paraId="6CFE16E1"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NPTX2</w:t>
            </w:r>
          </w:p>
        </w:tc>
        <w:tc>
          <w:tcPr>
            <w:tcW w:w="1135" w:type="dxa"/>
            <w:tcBorders>
              <w:top w:val="nil"/>
              <w:left w:val="nil"/>
              <w:bottom w:val="nil"/>
              <w:right w:val="nil"/>
            </w:tcBorders>
            <w:shd w:val="clear" w:color="auto" w:fill="auto"/>
            <w:vAlign w:val="center"/>
            <w:hideMark/>
          </w:tcPr>
          <w:p w14:paraId="6AC0ADC5"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Up</w:t>
            </w:r>
          </w:p>
        </w:tc>
        <w:tc>
          <w:tcPr>
            <w:tcW w:w="1585" w:type="dxa"/>
            <w:tcBorders>
              <w:top w:val="nil"/>
              <w:left w:val="nil"/>
              <w:bottom w:val="nil"/>
              <w:right w:val="nil"/>
            </w:tcBorders>
            <w:shd w:val="clear" w:color="auto" w:fill="auto"/>
            <w:vAlign w:val="center"/>
            <w:hideMark/>
          </w:tcPr>
          <w:p w14:paraId="7CD75E77"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Pancreatic juice</w:t>
            </w:r>
          </w:p>
        </w:tc>
        <w:tc>
          <w:tcPr>
            <w:tcW w:w="2356" w:type="dxa"/>
            <w:tcBorders>
              <w:top w:val="nil"/>
              <w:left w:val="nil"/>
              <w:bottom w:val="nil"/>
              <w:right w:val="nil"/>
            </w:tcBorders>
            <w:shd w:val="clear" w:color="auto" w:fill="auto"/>
            <w:vAlign w:val="center"/>
            <w:hideMark/>
          </w:tcPr>
          <w:p w14:paraId="6D4FFDC1"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NP, synaptic proteins</w:t>
            </w:r>
          </w:p>
        </w:tc>
        <w:tc>
          <w:tcPr>
            <w:tcW w:w="1658" w:type="dxa"/>
            <w:tcBorders>
              <w:top w:val="nil"/>
              <w:left w:val="nil"/>
              <w:bottom w:val="nil"/>
              <w:right w:val="nil"/>
            </w:tcBorders>
            <w:shd w:val="clear" w:color="auto" w:fill="auto"/>
            <w:vAlign w:val="center"/>
            <w:hideMark/>
          </w:tcPr>
          <w:p w14:paraId="30C6BF23"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Cell signaling</w:t>
            </w:r>
          </w:p>
        </w:tc>
        <w:tc>
          <w:tcPr>
            <w:tcW w:w="1094" w:type="dxa"/>
            <w:tcBorders>
              <w:top w:val="nil"/>
              <w:left w:val="nil"/>
              <w:bottom w:val="nil"/>
              <w:right w:val="nil"/>
            </w:tcBorders>
            <w:shd w:val="clear" w:color="auto" w:fill="auto"/>
            <w:vAlign w:val="center"/>
            <w:hideMark/>
          </w:tcPr>
          <w:p w14:paraId="539F7C74"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P</w:t>
            </w:r>
          </w:p>
        </w:tc>
      </w:tr>
      <w:tr w:rsidR="00404C62" w:rsidRPr="00404C62" w14:paraId="60500E4D" w14:textId="77777777" w:rsidTr="00404C62">
        <w:trPr>
          <w:trHeight w:val="930"/>
        </w:trPr>
        <w:tc>
          <w:tcPr>
            <w:tcW w:w="1732" w:type="dxa"/>
            <w:tcBorders>
              <w:top w:val="nil"/>
              <w:left w:val="nil"/>
              <w:bottom w:val="nil"/>
              <w:right w:val="nil"/>
            </w:tcBorders>
            <w:shd w:val="clear" w:color="auto" w:fill="auto"/>
            <w:vAlign w:val="center"/>
            <w:hideMark/>
          </w:tcPr>
          <w:p w14:paraId="5C835C0D"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lastRenderedPageBreak/>
              <w:t>NEUROG1</w:t>
            </w:r>
          </w:p>
        </w:tc>
        <w:tc>
          <w:tcPr>
            <w:tcW w:w="1135" w:type="dxa"/>
            <w:tcBorders>
              <w:top w:val="nil"/>
              <w:left w:val="nil"/>
              <w:bottom w:val="nil"/>
              <w:right w:val="nil"/>
            </w:tcBorders>
            <w:shd w:val="clear" w:color="auto" w:fill="auto"/>
            <w:vAlign w:val="center"/>
            <w:hideMark/>
          </w:tcPr>
          <w:p w14:paraId="366F57CF"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Up</w:t>
            </w:r>
          </w:p>
        </w:tc>
        <w:tc>
          <w:tcPr>
            <w:tcW w:w="1585" w:type="dxa"/>
            <w:tcBorders>
              <w:top w:val="nil"/>
              <w:left w:val="nil"/>
              <w:bottom w:val="nil"/>
              <w:right w:val="nil"/>
            </w:tcBorders>
            <w:shd w:val="clear" w:color="auto" w:fill="auto"/>
            <w:vAlign w:val="center"/>
            <w:hideMark/>
          </w:tcPr>
          <w:p w14:paraId="6888680E"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Plasma</w:t>
            </w:r>
          </w:p>
        </w:tc>
        <w:tc>
          <w:tcPr>
            <w:tcW w:w="2356" w:type="dxa"/>
            <w:tcBorders>
              <w:top w:val="nil"/>
              <w:left w:val="nil"/>
              <w:bottom w:val="nil"/>
              <w:right w:val="nil"/>
            </w:tcBorders>
            <w:shd w:val="clear" w:color="auto" w:fill="auto"/>
            <w:vAlign w:val="center"/>
            <w:hideMark/>
          </w:tcPr>
          <w:p w14:paraId="540CC258"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NEUROG1</w:t>
            </w:r>
          </w:p>
        </w:tc>
        <w:tc>
          <w:tcPr>
            <w:tcW w:w="1658" w:type="dxa"/>
            <w:tcBorders>
              <w:top w:val="nil"/>
              <w:left w:val="nil"/>
              <w:bottom w:val="nil"/>
              <w:right w:val="nil"/>
            </w:tcBorders>
            <w:shd w:val="clear" w:color="auto" w:fill="auto"/>
            <w:vAlign w:val="center"/>
            <w:hideMark/>
          </w:tcPr>
          <w:p w14:paraId="08887AF8"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Cell signaling, regulatory network</w:t>
            </w:r>
          </w:p>
        </w:tc>
        <w:tc>
          <w:tcPr>
            <w:tcW w:w="1094" w:type="dxa"/>
            <w:tcBorders>
              <w:top w:val="nil"/>
              <w:left w:val="nil"/>
              <w:bottom w:val="nil"/>
              <w:right w:val="nil"/>
            </w:tcBorders>
            <w:shd w:val="clear" w:color="auto" w:fill="auto"/>
            <w:vAlign w:val="center"/>
            <w:hideMark/>
          </w:tcPr>
          <w:p w14:paraId="76E23D21"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P</w:t>
            </w:r>
          </w:p>
        </w:tc>
      </w:tr>
      <w:tr w:rsidR="00404C62" w:rsidRPr="00404C62" w14:paraId="0434C78C" w14:textId="77777777" w:rsidTr="00404C62">
        <w:trPr>
          <w:trHeight w:val="310"/>
        </w:trPr>
        <w:tc>
          <w:tcPr>
            <w:tcW w:w="1732" w:type="dxa"/>
            <w:tcBorders>
              <w:top w:val="nil"/>
              <w:left w:val="nil"/>
              <w:bottom w:val="nil"/>
              <w:right w:val="nil"/>
            </w:tcBorders>
            <w:shd w:val="clear" w:color="auto" w:fill="auto"/>
            <w:vAlign w:val="center"/>
            <w:hideMark/>
          </w:tcPr>
          <w:p w14:paraId="7A418ECA"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RARB</w:t>
            </w:r>
          </w:p>
        </w:tc>
        <w:tc>
          <w:tcPr>
            <w:tcW w:w="1135" w:type="dxa"/>
            <w:tcBorders>
              <w:top w:val="nil"/>
              <w:left w:val="nil"/>
              <w:bottom w:val="nil"/>
              <w:right w:val="nil"/>
            </w:tcBorders>
            <w:shd w:val="clear" w:color="auto" w:fill="auto"/>
            <w:vAlign w:val="center"/>
            <w:hideMark/>
          </w:tcPr>
          <w:p w14:paraId="400FCE06"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Up</w:t>
            </w:r>
          </w:p>
        </w:tc>
        <w:tc>
          <w:tcPr>
            <w:tcW w:w="1585" w:type="dxa"/>
            <w:tcBorders>
              <w:top w:val="nil"/>
              <w:left w:val="nil"/>
              <w:bottom w:val="nil"/>
              <w:right w:val="nil"/>
            </w:tcBorders>
            <w:shd w:val="clear" w:color="auto" w:fill="auto"/>
            <w:vAlign w:val="center"/>
            <w:hideMark/>
          </w:tcPr>
          <w:p w14:paraId="395F92B9"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Plasma</w:t>
            </w:r>
          </w:p>
        </w:tc>
        <w:tc>
          <w:tcPr>
            <w:tcW w:w="2356" w:type="dxa"/>
            <w:tcBorders>
              <w:top w:val="nil"/>
              <w:left w:val="nil"/>
              <w:bottom w:val="nil"/>
              <w:right w:val="nil"/>
            </w:tcBorders>
            <w:shd w:val="clear" w:color="auto" w:fill="auto"/>
            <w:vAlign w:val="center"/>
            <w:hideMark/>
          </w:tcPr>
          <w:p w14:paraId="228C952E"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RARB</w:t>
            </w:r>
          </w:p>
        </w:tc>
        <w:tc>
          <w:tcPr>
            <w:tcW w:w="1658" w:type="dxa"/>
            <w:tcBorders>
              <w:top w:val="nil"/>
              <w:left w:val="nil"/>
              <w:bottom w:val="nil"/>
              <w:right w:val="nil"/>
            </w:tcBorders>
            <w:shd w:val="clear" w:color="auto" w:fill="auto"/>
            <w:vAlign w:val="center"/>
            <w:hideMark/>
          </w:tcPr>
          <w:p w14:paraId="0643D49D"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Cell signaling</w:t>
            </w:r>
          </w:p>
        </w:tc>
        <w:tc>
          <w:tcPr>
            <w:tcW w:w="1094" w:type="dxa"/>
            <w:tcBorders>
              <w:top w:val="nil"/>
              <w:left w:val="nil"/>
              <w:bottom w:val="nil"/>
              <w:right w:val="nil"/>
            </w:tcBorders>
            <w:shd w:val="clear" w:color="auto" w:fill="auto"/>
            <w:vAlign w:val="center"/>
            <w:hideMark/>
          </w:tcPr>
          <w:p w14:paraId="734048C6"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P</w:t>
            </w:r>
          </w:p>
        </w:tc>
      </w:tr>
      <w:tr w:rsidR="00404C62" w:rsidRPr="00404C62" w14:paraId="48C90601" w14:textId="77777777" w:rsidTr="00404C62">
        <w:trPr>
          <w:trHeight w:val="620"/>
        </w:trPr>
        <w:tc>
          <w:tcPr>
            <w:tcW w:w="1732" w:type="dxa"/>
            <w:tcBorders>
              <w:top w:val="nil"/>
              <w:left w:val="nil"/>
              <w:bottom w:val="nil"/>
              <w:right w:val="nil"/>
            </w:tcBorders>
            <w:shd w:val="clear" w:color="auto" w:fill="auto"/>
            <w:vAlign w:val="center"/>
            <w:hideMark/>
          </w:tcPr>
          <w:p w14:paraId="77D803D2"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RASSF1A</w:t>
            </w:r>
          </w:p>
        </w:tc>
        <w:tc>
          <w:tcPr>
            <w:tcW w:w="1135" w:type="dxa"/>
            <w:tcBorders>
              <w:top w:val="nil"/>
              <w:left w:val="nil"/>
              <w:bottom w:val="nil"/>
              <w:right w:val="nil"/>
            </w:tcBorders>
            <w:shd w:val="clear" w:color="auto" w:fill="auto"/>
            <w:vAlign w:val="center"/>
            <w:hideMark/>
          </w:tcPr>
          <w:p w14:paraId="351797CF"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Down</w:t>
            </w:r>
          </w:p>
        </w:tc>
        <w:tc>
          <w:tcPr>
            <w:tcW w:w="1585" w:type="dxa"/>
            <w:tcBorders>
              <w:top w:val="nil"/>
              <w:left w:val="nil"/>
              <w:bottom w:val="nil"/>
              <w:right w:val="nil"/>
            </w:tcBorders>
            <w:shd w:val="clear" w:color="auto" w:fill="auto"/>
            <w:vAlign w:val="center"/>
            <w:hideMark/>
          </w:tcPr>
          <w:p w14:paraId="6527B83D"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Plasma</w:t>
            </w:r>
          </w:p>
        </w:tc>
        <w:tc>
          <w:tcPr>
            <w:tcW w:w="2356" w:type="dxa"/>
            <w:tcBorders>
              <w:top w:val="nil"/>
              <w:left w:val="nil"/>
              <w:bottom w:val="nil"/>
              <w:right w:val="nil"/>
            </w:tcBorders>
            <w:shd w:val="clear" w:color="auto" w:fill="auto"/>
            <w:vAlign w:val="center"/>
            <w:hideMark/>
          </w:tcPr>
          <w:p w14:paraId="3FD3E669"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RAS effector protein</w:t>
            </w:r>
          </w:p>
        </w:tc>
        <w:tc>
          <w:tcPr>
            <w:tcW w:w="1658" w:type="dxa"/>
            <w:tcBorders>
              <w:top w:val="nil"/>
              <w:left w:val="nil"/>
              <w:bottom w:val="nil"/>
              <w:right w:val="nil"/>
            </w:tcBorders>
            <w:shd w:val="clear" w:color="auto" w:fill="auto"/>
            <w:vAlign w:val="center"/>
            <w:hideMark/>
          </w:tcPr>
          <w:p w14:paraId="3F3B135A"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Methylation</w:t>
            </w:r>
          </w:p>
        </w:tc>
        <w:tc>
          <w:tcPr>
            <w:tcW w:w="1094" w:type="dxa"/>
            <w:tcBorders>
              <w:top w:val="nil"/>
              <w:left w:val="nil"/>
              <w:bottom w:val="nil"/>
              <w:right w:val="nil"/>
            </w:tcBorders>
            <w:shd w:val="clear" w:color="auto" w:fill="auto"/>
            <w:vAlign w:val="center"/>
            <w:hideMark/>
          </w:tcPr>
          <w:p w14:paraId="586228EE"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P</w:t>
            </w:r>
          </w:p>
        </w:tc>
      </w:tr>
      <w:tr w:rsidR="00404C62" w:rsidRPr="00404C62" w14:paraId="25DB9F13" w14:textId="77777777" w:rsidTr="00404C62">
        <w:trPr>
          <w:trHeight w:val="310"/>
        </w:trPr>
        <w:tc>
          <w:tcPr>
            <w:tcW w:w="1732" w:type="dxa"/>
            <w:tcBorders>
              <w:top w:val="nil"/>
              <w:left w:val="nil"/>
              <w:bottom w:val="nil"/>
              <w:right w:val="nil"/>
            </w:tcBorders>
            <w:shd w:val="clear" w:color="auto" w:fill="auto"/>
            <w:vAlign w:val="center"/>
            <w:hideMark/>
          </w:tcPr>
          <w:p w14:paraId="62F84282"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SFRP2</w:t>
            </w:r>
          </w:p>
        </w:tc>
        <w:tc>
          <w:tcPr>
            <w:tcW w:w="1135" w:type="dxa"/>
            <w:tcBorders>
              <w:top w:val="nil"/>
              <w:left w:val="nil"/>
              <w:bottom w:val="nil"/>
              <w:right w:val="nil"/>
            </w:tcBorders>
            <w:shd w:val="clear" w:color="auto" w:fill="auto"/>
            <w:vAlign w:val="center"/>
            <w:hideMark/>
          </w:tcPr>
          <w:p w14:paraId="691C4F83"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Up</w:t>
            </w:r>
          </w:p>
        </w:tc>
        <w:tc>
          <w:tcPr>
            <w:tcW w:w="1585" w:type="dxa"/>
            <w:tcBorders>
              <w:top w:val="nil"/>
              <w:left w:val="nil"/>
              <w:bottom w:val="nil"/>
              <w:right w:val="nil"/>
            </w:tcBorders>
            <w:shd w:val="clear" w:color="auto" w:fill="auto"/>
            <w:vAlign w:val="center"/>
            <w:hideMark/>
          </w:tcPr>
          <w:p w14:paraId="7E235011"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Plasma</w:t>
            </w:r>
          </w:p>
        </w:tc>
        <w:tc>
          <w:tcPr>
            <w:tcW w:w="2356" w:type="dxa"/>
            <w:tcBorders>
              <w:top w:val="nil"/>
              <w:left w:val="nil"/>
              <w:bottom w:val="nil"/>
              <w:right w:val="nil"/>
            </w:tcBorders>
            <w:shd w:val="clear" w:color="auto" w:fill="auto"/>
            <w:vAlign w:val="center"/>
            <w:hideMark/>
          </w:tcPr>
          <w:p w14:paraId="2BC3A991"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SFRP2</w:t>
            </w:r>
          </w:p>
        </w:tc>
        <w:tc>
          <w:tcPr>
            <w:tcW w:w="1658" w:type="dxa"/>
            <w:tcBorders>
              <w:top w:val="nil"/>
              <w:left w:val="nil"/>
              <w:bottom w:val="nil"/>
              <w:right w:val="nil"/>
            </w:tcBorders>
            <w:shd w:val="clear" w:color="auto" w:fill="auto"/>
            <w:vAlign w:val="center"/>
            <w:hideMark/>
          </w:tcPr>
          <w:p w14:paraId="0C4CF03A"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Wnt signaling</w:t>
            </w:r>
          </w:p>
        </w:tc>
        <w:tc>
          <w:tcPr>
            <w:tcW w:w="1094" w:type="dxa"/>
            <w:tcBorders>
              <w:top w:val="nil"/>
              <w:left w:val="nil"/>
              <w:bottom w:val="nil"/>
              <w:right w:val="nil"/>
            </w:tcBorders>
            <w:shd w:val="clear" w:color="auto" w:fill="auto"/>
            <w:vAlign w:val="center"/>
            <w:hideMark/>
          </w:tcPr>
          <w:p w14:paraId="7EA89EA8"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P</w:t>
            </w:r>
          </w:p>
        </w:tc>
      </w:tr>
      <w:tr w:rsidR="00404C62" w:rsidRPr="00404C62" w14:paraId="40243F55" w14:textId="77777777" w:rsidTr="00404C62">
        <w:trPr>
          <w:trHeight w:val="310"/>
        </w:trPr>
        <w:tc>
          <w:tcPr>
            <w:tcW w:w="1732" w:type="dxa"/>
            <w:tcBorders>
              <w:top w:val="nil"/>
              <w:left w:val="nil"/>
              <w:bottom w:val="nil"/>
              <w:right w:val="nil"/>
            </w:tcBorders>
            <w:shd w:val="clear" w:color="auto" w:fill="auto"/>
            <w:vAlign w:val="center"/>
            <w:hideMark/>
          </w:tcPr>
          <w:p w14:paraId="7572621B"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SEPT9v2</w:t>
            </w:r>
          </w:p>
        </w:tc>
        <w:tc>
          <w:tcPr>
            <w:tcW w:w="1135" w:type="dxa"/>
            <w:tcBorders>
              <w:top w:val="nil"/>
              <w:left w:val="nil"/>
              <w:bottom w:val="nil"/>
              <w:right w:val="nil"/>
            </w:tcBorders>
            <w:shd w:val="clear" w:color="auto" w:fill="auto"/>
            <w:vAlign w:val="center"/>
            <w:hideMark/>
          </w:tcPr>
          <w:p w14:paraId="402AAD94"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Up</w:t>
            </w:r>
          </w:p>
        </w:tc>
        <w:tc>
          <w:tcPr>
            <w:tcW w:w="1585" w:type="dxa"/>
            <w:tcBorders>
              <w:top w:val="nil"/>
              <w:left w:val="nil"/>
              <w:bottom w:val="nil"/>
              <w:right w:val="nil"/>
            </w:tcBorders>
            <w:shd w:val="clear" w:color="auto" w:fill="auto"/>
            <w:vAlign w:val="center"/>
            <w:hideMark/>
          </w:tcPr>
          <w:p w14:paraId="4051E5B3"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Plasma</w:t>
            </w:r>
          </w:p>
        </w:tc>
        <w:tc>
          <w:tcPr>
            <w:tcW w:w="2356" w:type="dxa"/>
            <w:tcBorders>
              <w:top w:val="nil"/>
              <w:left w:val="nil"/>
              <w:bottom w:val="nil"/>
              <w:right w:val="nil"/>
            </w:tcBorders>
            <w:shd w:val="clear" w:color="auto" w:fill="auto"/>
            <w:vAlign w:val="center"/>
            <w:hideMark/>
          </w:tcPr>
          <w:p w14:paraId="20E5E330"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Septin9</w:t>
            </w:r>
          </w:p>
        </w:tc>
        <w:tc>
          <w:tcPr>
            <w:tcW w:w="1658" w:type="dxa"/>
            <w:tcBorders>
              <w:top w:val="nil"/>
              <w:left w:val="nil"/>
              <w:bottom w:val="nil"/>
              <w:right w:val="nil"/>
            </w:tcBorders>
            <w:shd w:val="clear" w:color="auto" w:fill="auto"/>
            <w:vAlign w:val="center"/>
            <w:hideMark/>
          </w:tcPr>
          <w:p w14:paraId="2E497624"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Cell cycle</w:t>
            </w:r>
          </w:p>
        </w:tc>
        <w:tc>
          <w:tcPr>
            <w:tcW w:w="1094" w:type="dxa"/>
            <w:tcBorders>
              <w:top w:val="nil"/>
              <w:left w:val="nil"/>
              <w:bottom w:val="nil"/>
              <w:right w:val="nil"/>
            </w:tcBorders>
            <w:shd w:val="clear" w:color="auto" w:fill="auto"/>
            <w:vAlign w:val="center"/>
            <w:hideMark/>
          </w:tcPr>
          <w:p w14:paraId="5346046A"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P</w:t>
            </w:r>
          </w:p>
        </w:tc>
      </w:tr>
      <w:tr w:rsidR="00404C62" w:rsidRPr="00404C62" w14:paraId="47D91E38" w14:textId="77777777" w:rsidTr="00404C62">
        <w:trPr>
          <w:trHeight w:val="310"/>
        </w:trPr>
        <w:tc>
          <w:tcPr>
            <w:tcW w:w="1732" w:type="dxa"/>
            <w:tcBorders>
              <w:top w:val="nil"/>
              <w:left w:val="nil"/>
              <w:bottom w:val="nil"/>
              <w:right w:val="nil"/>
            </w:tcBorders>
            <w:shd w:val="clear" w:color="auto" w:fill="auto"/>
            <w:vAlign w:val="center"/>
            <w:hideMark/>
          </w:tcPr>
          <w:p w14:paraId="499E7E23"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CDID</w:t>
            </w:r>
          </w:p>
        </w:tc>
        <w:tc>
          <w:tcPr>
            <w:tcW w:w="1135" w:type="dxa"/>
            <w:tcBorders>
              <w:top w:val="nil"/>
              <w:left w:val="nil"/>
              <w:bottom w:val="nil"/>
              <w:right w:val="nil"/>
            </w:tcBorders>
            <w:shd w:val="clear" w:color="auto" w:fill="auto"/>
            <w:vAlign w:val="center"/>
            <w:hideMark/>
          </w:tcPr>
          <w:p w14:paraId="6059F1E2"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Up</w:t>
            </w:r>
          </w:p>
        </w:tc>
        <w:tc>
          <w:tcPr>
            <w:tcW w:w="1585" w:type="dxa"/>
            <w:tcBorders>
              <w:top w:val="nil"/>
              <w:left w:val="nil"/>
              <w:bottom w:val="nil"/>
              <w:right w:val="nil"/>
            </w:tcBorders>
            <w:shd w:val="clear" w:color="auto" w:fill="auto"/>
            <w:vAlign w:val="center"/>
            <w:hideMark/>
          </w:tcPr>
          <w:p w14:paraId="75A15DE4"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Pancreatic juice</w:t>
            </w:r>
          </w:p>
        </w:tc>
        <w:tc>
          <w:tcPr>
            <w:tcW w:w="2356" w:type="dxa"/>
            <w:tcBorders>
              <w:top w:val="nil"/>
              <w:left w:val="nil"/>
              <w:bottom w:val="nil"/>
              <w:right w:val="nil"/>
            </w:tcBorders>
            <w:shd w:val="clear" w:color="auto" w:fill="auto"/>
            <w:vAlign w:val="center"/>
            <w:hideMark/>
          </w:tcPr>
          <w:p w14:paraId="4A9BD828"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CDID</w:t>
            </w:r>
          </w:p>
        </w:tc>
        <w:tc>
          <w:tcPr>
            <w:tcW w:w="1658" w:type="dxa"/>
            <w:tcBorders>
              <w:top w:val="nil"/>
              <w:left w:val="nil"/>
              <w:bottom w:val="nil"/>
              <w:right w:val="nil"/>
            </w:tcBorders>
            <w:shd w:val="clear" w:color="auto" w:fill="auto"/>
            <w:vAlign w:val="center"/>
            <w:hideMark/>
          </w:tcPr>
          <w:p w14:paraId="57C058C3"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Methylation</w:t>
            </w:r>
          </w:p>
        </w:tc>
        <w:tc>
          <w:tcPr>
            <w:tcW w:w="1094" w:type="dxa"/>
            <w:tcBorders>
              <w:top w:val="nil"/>
              <w:left w:val="nil"/>
              <w:bottom w:val="nil"/>
              <w:right w:val="nil"/>
            </w:tcBorders>
            <w:shd w:val="clear" w:color="auto" w:fill="auto"/>
            <w:vAlign w:val="center"/>
            <w:hideMark/>
          </w:tcPr>
          <w:p w14:paraId="091A0FB4"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D</w:t>
            </w:r>
          </w:p>
        </w:tc>
      </w:tr>
      <w:tr w:rsidR="00404C62" w:rsidRPr="00404C62" w14:paraId="4FDD47AD" w14:textId="77777777" w:rsidTr="00404C62">
        <w:trPr>
          <w:trHeight w:val="310"/>
        </w:trPr>
        <w:tc>
          <w:tcPr>
            <w:tcW w:w="1732" w:type="dxa"/>
            <w:tcBorders>
              <w:top w:val="nil"/>
              <w:left w:val="nil"/>
              <w:bottom w:val="nil"/>
              <w:right w:val="nil"/>
            </w:tcBorders>
            <w:shd w:val="clear" w:color="auto" w:fill="auto"/>
            <w:vAlign w:val="center"/>
            <w:hideMark/>
          </w:tcPr>
          <w:p w14:paraId="6F691C2A"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PRKC</w:t>
            </w:r>
          </w:p>
        </w:tc>
        <w:tc>
          <w:tcPr>
            <w:tcW w:w="1135" w:type="dxa"/>
            <w:tcBorders>
              <w:top w:val="nil"/>
              <w:left w:val="nil"/>
              <w:bottom w:val="nil"/>
              <w:right w:val="nil"/>
            </w:tcBorders>
            <w:shd w:val="clear" w:color="auto" w:fill="auto"/>
            <w:vAlign w:val="center"/>
            <w:hideMark/>
          </w:tcPr>
          <w:p w14:paraId="2E6A5E96"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Up</w:t>
            </w:r>
          </w:p>
        </w:tc>
        <w:tc>
          <w:tcPr>
            <w:tcW w:w="1585" w:type="dxa"/>
            <w:tcBorders>
              <w:top w:val="nil"/>
              <w:left w:val="nil"/>
              <w:bottom w:val="nil"/>
              <w:right w:val="nil"/>
            </w:tcBorders>
            <w:shd w:val="clear" w:color="auto" w:fill="auto"/>
            <w:vAlign w:val="center"/>
            <w:hideMark/>
          </w:tcPr>
          <w:p w14:paraId="41BB668D"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Pancreatic juice</w:t>
            </w:r>
          </w:p>
        </w:tc>
        <w:tc>
          <w:tcPr>
            <w:tcW w:w="2356" w:type="dxa"/>
            <w:tcBorders>
              <w:top w:val="nil"/>
              <w:left w:val="nil"/>
              <w:bottom w:val="nil"/>
              <w:right w:val="nil"/>
            </w:tcBorders>
            <w:shd w:val="clear" w:color="auto" w:fill="auto"/>
            <w:vAlign w:val="center"/>
            <w:hideMark/>
          </w:tcPr>
          <w:p w14:paraId="4D5A02B1"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PRKC</w:t>
            </w:r>
          </w:p>
        </w:tc>
        <w:tc>
          <w:tcPr>
            <w:tcW w:w="1658" w:type="dxa"/>
            <w:tcBorders>
              <w:top w:val="nil"/>
              <w:left w:val="nil"/>
              <w:bottom w:val="nil"/>
              <w:right w:val="nil"/>
            </w:tcBorders>
            <w:shd w:val="clear" w:color="auto" w:fill="auto"/>
            <w:vAlign w:val="center"/>
            <w:hideMark/>
          </w:tcPr>
          <w:p w14:paraId="1126277B"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Methylation</w:t>
            </w:r>
          </w:p>
        </w:tc>
        <w:tc>
          <w:tcPr>
            <w:tcW w:w="1094" w:type="dxa"/>
            <w:tcBorders>
              <w:top w:val="nil"/>
              <w:left w:val="nil"/>
              <w:bottom w:val="nil"/>
              <w:right w:val="nil"/>
            </w:tcBorders>
            <w:shd w:val="clear" w:color="auto" w:fill="auto"/>
            <w:vAlign w:val="center"/>
            <w:hideMark/>
          </w:tcPr>
          <w:p w14:paraId="7FC551BA"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D</w:t>
            </w:r>
          </w:p>
        </w:tc>
      </w:tr>
      <w:tr w:rsidR="00404C62" w:rsidRPr="00404C62" w14:paraId="62F513C5" w14:textId="77777777" w:rsidTr="00404C62">
        <w:trPr>
          <w:trHeight w:val="310"/>
        </w:trPr>
        <w:tc>
          <w:tcPr>
            <w:tcW w:w="1732" w:type="dxa"/>
            <w:tcBorders>
              <w:top w:val="nil"/>
              <w:left w:val="nil"/>
              <w:bottom w:val="nil"/>
              <w:right w:val="nil"/>
            </w:tcBorders>
            <w:shd w:val="clear" w:color="auto" w:fill="auto"/>
            <w:vAlign w:val="center"/>
            <w:hideMark/>
          </w:tcPr>
          <w:p w14:paraId="7713A278"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IKZF1</w:t>
            </w:r>
          </w:p>
        </w:tc>
        <w:tc>
          <w:tcPr>
            <w:tcW w:w="1135" w:type="dxa"/>
            <w:tcBorders>
              <w:top w:val="nil"/>
              <w:left w:val="nil"/>
              <w:bottom w:val="nil"/>
              <w:right w:val="nil"/>
            </w:tcBorders>
            <w:shd w:val="clear" w:color="auto" w:fill="auto"/>
            <w:vAlign w:val="center"/>
            <w:hideMark/>
          </w:tcPr>
          <w:p w14:paraId="474CC1A4"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Up</w:t>
            </w:r>
          </w:p>
        </w:tc>
        <w:tc>
          <w:tcPr>
            <w:tcW w:w="1585" w:type="dxa"/>
            <w:tcBorders>
              <w:top w:val="nil"/>
              <w:left w:val="nil"/>
              <w:bottom w:val="nil"/>
              <w:right w:val="nil"/>
            </w:tcBorders>
            <w:shd w:val="clear" w:color="auto" w:fill="auto"/>
            <w:vAlign w:val="center"/>
            <w:hideMark/>
          </w:tcPr>
          <w:p w14:paraId="66AD87B8"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Pancreatic juice</w:t>
            </w:r>
          </w:p>
        </w:tc>
        <w:tc>
          <w:tcPr>
            <w:tcW w:w="2356" w:type="dxa"/>
            <w:tcBorders>
              <w:top w:val="nil"/>
              <w:left w:val="nil"/>
              <w:bottom w:val="nil"/>
              <w:right w:val="nil"/>
            </w:tcBorders>
            <w:shd w:val="clear" w:color="auto" w:fill="auto"/>
            <w:vAlign w:val="center"/>
            <w:hideMark/>
          </w:tcPr>
          <w:p w14:paraId="2A3C8133"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IKZF1</w:t>
            </w:r>
          </w:p>
        </w:tc>
        <w:tc>
          <w:tcPr>
            <w:tcW w:w="1658" w:type="dxa"/>
            <w:tcBorders>
              <w:top w:val="nil"/>
              <w:left w:val="nil"/>
              <w:bottom w:val="nil"/>
              <w:right w:val="nil"/>
            </w:tcBorders>
            <w:shd w:val="clear" w:color="auto" w:fill="auto"/>
            <w:vAlign w:val="center"/>
            <w:hideMark/>
          </w:tcPr>
          <w:p w14:paraId="6E3555D2"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Methylation</w:t>
            </w:r>
          </w:p>
        </w:tc>
        <w:tc>
          <w:tcPr>
            <w:tcW w:w="1094" w:type="dxa"/>
            <w:tcBorders>
              <w:top w:val="nil"/>
              <w:left w:val="nil"/>
              <w:bottom w:val="nil"/>
              <w:right w:val="nil"/>
            </w:tcBorders>
            <w:shd w:val="clear" w:color="auto" w:fill="auto"/>
            <w:vAlign w:val="center"/>
            <w:hideMark/>
          </w:tcPr>
          <w:p w14:paraId="0F2A4065"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D</w:t>
            </w:r>
          </w:p>
        </w:tc>
      </w:tr>
      <w:tr w:rsidR="00404C62" w:rsidRPr="00404C62" w14:paraId="370D7DC4" w14:textId="77777777" w:rsidTr="00404C62">
        <w:trPr>
          <w:trHeight w:val="310"/>
        </w:trPr>
        <w:tc>
          <w:tcPr>
            <w:tcW w:w="1732" w:type="dxa"/>
            <w:tcBorders>
              <w:top w:val="nil"/>
              <w:left w:val="nil"/>
              <w:bottom w:val="nil"/>
              <w:right w:val="nil"/>
            </w:tcBorders>
            <w:shd w:val="clear" w:color="auto" w:fill="auto"/>
            <w:vAlign w:val="center"/>
            <w:hideMark/>
          </w:tcPr>
          <w:p w14:paraId="6F04456E"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KCNK12</w:t>
            </w:r>
          </w:p>
        </w:tc>
        <w:tc>
          <w:tcPr>
            <w:tcW w:w="1135" w:type="dxa"/>
            <w:tcBorders>
              <w:top w:val="nil"/>
              <w:left w:val="nil"/>
              <w:bottom w:val="nil"/>
              <w:right w:val="nil"/>
            </w:tcBorders>
            <w:shd w:val="clear" w:color="auto" w:fill="auto"/>
            <w:vAlign w:val="center"/>
            <w:hideMark/>
          </w:tcPr>
          <w:p w14:paraId="11E87723"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Up</w:t>
            </w:r>
          </w:p>
        </w:tc>
        <w:tc>
          <w:tcPr>
            <w:tcW w:w="1585" w:type="dxa"/>
            <w:tcBorders>
              <w:top w:val="nil"/>
              <w:left w:val="nil"/>
              <w:bottom w:val="nil"/>
              <w:right w:val="nil"/>
            </w:tcBorders>
            <w:shd w:val="clear" w:color="auto" w:fill="auto"/>
            <w:vAlign w:val="center"/>
            <w:hideMark/>
          </w:tcPr>
          <w:p w14:paraId="1E2F3C07"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Pancreatic juice</w:t>
            </w:r>
          </w:p>
        </w:tc>
        <w:tc>
          <w:tcPr>
            <w:tcW w:w="2356" w:type="dxa"/>
            <w:tcBorders>
              <w:top w:val="nil"/>
              <w:left w:val="nil"/>
              <w:bottom w:val="nil"/>
              <w:right w:val="nil"/>
            </w:tcBorders>
            <w:shd w:val="clear" w:color="auto" w:fill="auto"/>
            <w:vAlign w:val="center"/>
            <w:hideMark/>
          </w:tcPr>
          <w:p w14:paraId="151EA8DE"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KCNK12</w:t>
            </w:r>
          </w:p>
        </w:tc>
        <w:tc>
          <w:tcPr>
            <w:tcW w:w="1658" w:type="dxa"/>
            <w:tcBorders>
              <w:top w:val="nil"/>
              <w:left w:val="nil"/>
              <w:bottom w:val="nil"/>
              <w:right w:val="nil"/>
            </w:tcBorders>
            <w:shd w:val="clear" w:color="auto" w:fill="auto"/>
            <w:vAlign w:val="center"/>
            <w:hideMark/>
          </w:tcPr>
          <w:p w14:paraId="54411BB2"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Methylation</w:t>
            </w:r>
          </w:p>
        </w:tc>
        <w:tc>
          <w:tcPr>
            <w:tcW w:w="1094" w:type="dxa"/>
            <w:tcBorders>
              <w:top w:val="nil"/>
              <w:left w:val="nil"/>
              <w:bottom w:val="nil"/>
              <w:right w:val="nil"/>
            </w:tcBorders>
            <w:shd w:val="clear" w:color="auto" w:fill="auto"/>
            <w:vAlign w:val="center"/>
            <w:hideMark/>
          </w:tcPr>
          <w:p w14:paraId="60D06DB4"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D</w:t>
            </w:r>
          </w:p>
        </w:tc>
      </w:tr>
      <w:tr w:rsidR="00404C62" w:rsidRPr="00404C62" w14:paraId="2F445341" w14:textId="77777777" w:rsidTr="00404C62">
        <w:trPr>
          <w:trHeight w:val="280"/>
        </w:trPr>
        <w:tc>
          <w:tcPr>
            <w:tcW w:w="1732" w:type="dxa"/>
            <w:tcBorders>
              <w:top w:val="nil"/>
              <w:left w:val="nil"/>
              <w:bottom w:val="nil"/>
              <w:right w:val="nil"/>
            </w:tcBorders>
            <w:shd w:val="clear" w:color="auto" w:fill="auto"/>
            <w:vAlign w:val="center"/>
            <w:hideMark/>
          </w:tcPr>
          <w:p w14:paraId="1B9E86D9"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CLEC11A</w:t>
            </w:r>
          </w:p>
        </w:tc>
        <w:tc>
          <w:tcPr>
            <w:tcW w:w="1135" w:type="dxa"/>
            <w:tcBorders>
              <w:top w:val="nil"/>
              <w:left w:val="nil"/>
              <w:bottom w:val="nil"/>
              <w:right w:val="nil"/>
            </w:tcBorders>
            <w:shd w:val="clear" w:color="auto" w:fill="auto"/>
            <w:vAlign w:val="center"/>
            <w:hideMark/>
          </w:tcPr>
          <w:p w14:paraId="2BA7E09D"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Up</w:t>
            </w:r>
          </w:p>
        </w:tc>
        <w:tc>
          <w:tcPr>
            <w:tcW w:w="1585" w:type="dxa"/>
            <w:tcBorders>
              <w:top w:val="nil"/>
              <w:left w:val="nil"/>
              <w:bottom w:val="nil"/>
              <w:right w:val="nil"/>
            </w:tcBorders>
            <w:shd w:val="clear" w:color="auto" w:fill="auto"/>
            <w:vAlign w:val="center"/>
            <w:hideMark/>
          </w:tcPr>
          <w:p w14:paraId="6260C033"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Pancreatic juice</w:t>
            </w:r>
          </w:p>
        </w:tc>
        <w:tc>
          <w:tcPr>
            <w:tcW w:w="2356" w:type="dxa"/>
            <w:tcBorders>
              <w:top w:val="nil"/>
              <w:left w:val="nil"/>
              <w:bottom w:val="nil"/>
              <w:right w:val="nil"/>
            </w:tcBorders>
            <w:shd w:val="clear" w:color="auto" w:fill="auto"/>
            <w:vAlign w:val="center"/>
            <w:hideMark/>
          </w:tcPr>
          <w:p w14:paraId="34BA4436"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CLEC11A</w:t>
            </w:r>
          </w:p>
        </w:tc>
        <w:tc>
          <w:tcPr>
            <w:tcW w:w="1658" w:type="dxa"/>
            <w:tcBorders>
              <w:top w:val="nil"/>
              <w:left w:val="nil"/>
              <w:bottom w:val="nil"/>
              <w:right w:val="nil"/>
            </w:tcBorders>
            <w:shd w:val="clear" w:color="auto" w:fill="auto"/>
            <w:vAlign w:val="center"/>
            <w:hideMark/>
          </w:tcPr>
          <w:p w14:paraId="68D7A3BB"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Methylation</w:t>
            </w:r>
          </w:p>
        </w:tc>
        <w:tc>
          <w:tcPr>
            <w:tcW w:w="1094" w:type="dxa"/>
            <w:tcBorders>
              <w:top w:val="nil"/>
              <w:left w:val="nil"/>
              <w:bottom w:val="nil"/>
              <w:right w:val="nil"/>
            </w:tcBorders>
            <w:shd w:val="clear" w:color="auto" w:fill="auto"/>
            <w:vAlign w:val="center"/>
            <w:hideMark/>
          </w:tcPr>
          <w:p w14:paraId="33B12E27"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D/P</w:t>
            </w:r>
          </w:p>
        </w:tc>
      </w:tr>
      <w:tr w:rsidR="00404C62" w:rsidRPr="00404C62" w14:paraId="4E3C0BA7" w14:textId="77777777" w:rsidTr="00404C62">
        <w:trPr>
          <w:trHeight w:val="630"/>
        </w:trPr>
        <w:tc>
          <w:tcPr>
            <w:tcW w:w="1732" w:type="dxa"/>
            <w:tcBorders>
              <w:top w:val="nil"/>
              <w:left w:val="nil"/>
              <w:bottom w:val="nil"/>
              <w:right w:val="nil"/>
            </w:tcBorders>
            <w:shd w:val="clear" w:color="auto" w:fill="auto"/>
            <w:vAlign w:val="center"/>
            <w:hideMark/>
          </w:tcPr>
          <w:p w14:paraId="6B3AAA38"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NDRG4</w:t>
            </w:r>
          </w:p>
        </w:tc>
        <w:tc>
          <w:tcPr>
            <w:tcW w:w="1135" w:type="dxa"/>
            <w:tcBorders>
              <w:top w:val="nil"/>
              <w:left w:val="nil"/>
              <w:bottom w:val="nil"/>
              <w:right w:val="nil"/>
            </w:tcBorders>
            <w:shd w:val="clear" w:color="auto" w:fill="auto"/>
            <w:vAlign w:val="center"/>
            <w:hideMark/>
          </w:tcPr>
          <w:p w14:paraId="44A11CBB"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Up</w:t>
            </w:r>
          </w:p>
        </w:tc>
        <w:tc>
          <w:tcPr>
            <w:tcW w:w="1585" w:type="dxa"/>
            <w:tcBorders>
              <w:top w:val="nil"/>
              <w:left w:val="nil"/>
              <w:bottom w:val="nil"/>
              <w:right w:val="nil"/>
            </w:tcBorders>
            <w:shd w:val="clear" w:color="auto" w:fill="auto"/>
            <w:vAlign w:val="center"/>
            <w:hideMark/>
          </w:tcPr>
          <w:p w14:paraId="73D80B78"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Pancreatic juice</w:t>
            </w:r>
          </w:p>
        </w:tc>
        <w:tc>
          <w:tcPr>
            <w:tcW w:w="2356" w:type="dxa"/>
            <w:tcBorders>
              <w:top w:val="nil"/>
              <w:left w:val="nil"/>
              <w:bottom w:val="nil"/>
              <w:right w:val="nil"/>
            </w:tcBorders>
            <w:shd w:val="clear" w:color="auto" w:fill="auto"/>
            <w:vAlign w:val="center"/>
            <w:hideMark/>
          </w:tcPr>
          <w:p w14:paraId="423CFD1E" w14:textId="77777777" w:rsidR="00404C62" w:rsidRPr="00404C62" w:rsidRDefault="00404C62" w:rsidP="00404C62">
            <w:pPr>
              <w:jc w:val="both"/>
              <w:rPr>
                <w:rFonts w:ascii="Book Antiqua" w:eastAsia="等线" w:hAnsi="Book Antiqua" w:cs="宋体"/>
                <w:i/>
                <w:iCs/>
                <w:color w:val="000000"/>
                <w:lang w:eastAsia="zh-CN"/>
              </w:rPr>
            </w:pPr>
            <w:r w:rsidRPr="00404C62">
              <w:rPr>
                <w:rFonts w:ascii="Book Antiqua" w:eastAsia="等线" w:hAnsi="Book Antiqua" w:cs="宋体"/>
                <w:i/>
                <w:iCs/>
                <w:color w:val="000000"/>
                <w:lang w:eastAsia="zh-CN"/>
              </w:rPr>
              <w:t>NDRG4</w:t>
            </w:r>
            <w:r w:rsidRPr="00404C62">
              <w:rPr>
                <w:rFonts w:ascii="Book Antiqua" w:eastAsia="等线" w:hAnsi="Book Antiqua" w:cs="宋体"/>
                <w:color w:val="000000"/>
                <w:lang w:eastAsia="zh-CN"/>
              </w:rPr>
              <w:t xml:space="preserve"> promoter</w:t>
            </w:r>
          </w:p>
        </w:tc>
        <w:tc>
          <w:tcPr>
            <w:tcW w:w="1658" w:type="dxa"/>
            <w:tcBorders>
              <w:top w:val="nil"/>
              <w:left w:val="nil"/>
              <w:bottom w:val="nil"/>
              <w:right w:val="nil"/>
            </w:tcBorders>
            <w:shd w:val="clear" w:color="auto" w:fill="auto"/>
            <w:vAlign w:val="center"/>
            <w:hideMark/>
          </w:tcPr>
          <w:p w14:paraId="38C751EC"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Methylation</w:t>
            </w:r>
          </w:p>
        </w:tc>
        <w:tc>
          <w:tcPr>
            <w:tcW w:w="1094" w:type="dxa"/>
            <w:tcBorders>
              <w:top w:val="nil"/>
              <w:left w:val="nil"/>
              <w:bottom w:val="nil"/>
              <w:right w:val="nil"/>
            </w:tcBorders>
            <w:shd w:val="clear" w:color="auto" w:fill="auto"/>
            <w:vAlign w:val="center"/>
            <w:hideMark/>
          </w:tcPr>
          <w:p w14:paraId="519EA566"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D</w:t>
            </w:r>
          </w:p>
        </w:tc>
      </w:tr>
      <w:tr w:rsidR="00404C62" w:rsidRPr="00404C62" w14:paraId="34660405" w14:textId="77777777" w:rsidTr="00404C62">
        <w:trPr>
          <w:trHeight w:val="1240"/>
        </w:trPr>
        <w:tc>
          <w:tcPr>
            <w:tcW w:w="1732" w:type="dxa"/>
            <w:tcBorders>
              <w:top w:val="nil"/>
              <w:left w:val="nil"/>
              <w:bottom w:val="nil"/>
              <w:right w:val="nil"/>
            </w:tcBorders>
            <w:shd w:val="clear" w:color="auto" w:fill="auto"/>
            <w:vAlign w:val="center"/>
            <w:hideMark/>
          </w:tcPr>
          <w:p w14:paraId="7097D816"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SST</w:t>
            </w:r>
          </w:p>
        </w:tc>
        <w:tc>
          <w:tcPr>
            <w:tcW w:w="1135" w:type="dxa"/>
            <w:tcBorders>
              <w:top w:val="nil"/>
              <w:left w:val="nil"/>
              <w:bottom w:val="nil"/>
              <w:right w:val="nil"/>
            </w:tcBorders>
            <w:shd w:val="clear" w:color="auto" w:fill="auto"/>
            <w:vAlign w:val="center"/>
            <w:hideMark/>
          </w:tcPr>
          <w:p w14:paraId="0C49BCB5"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Up</w:t>
            </w:r>
          </w:p>
        </w:tc>
        <w:tc>
          <w:tcPr>
            <w:tcW w:w="1585" w:type="dxa"/>
            <w:tcBorders>
              <w:top w:val="nil"/>
              <w:left w:val="nil"/>
              <w:bottom w:val="nil"/>
              <w:right w:val="nil"/>
            </w:tcBorders>
            <w:shd w:val="clear" w:color="auto" w:fill="auto"/>
            <w:vAlign w:val="center"/>
            <w:hideMark/>
          </w:tcPr>
          <w:p w14:paraId="03D910D9"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Plasma</w:t>
            </w:r>
          </w:p>
        </w:tc>
        <w:tc>
          <w:tcPr>
            <w:tcW w:w="2356" w:type="dxa"/>
            <w:tcBorders>
              <w:top w:val="nil"/>
              <w:left w:val="nil"/>
              <w:bottom w:val="nil"/>
              <w:right w:val="nil"/>
            </w:tcBorders>
            <w:shd w:val="clear" w:color="auto" w:fill="auto"/>
            <w:vAlign w:val="center"/>
            <w:hideMark/>
          </w:tcPr>
          <w:p w14:paraId="396804F0"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SST</w:t>
            </w:r>
          </w:p>
        </w:tc>
        <w:tc>
          <w:tcPr>
            <w:tcW w:w="1658" w:type="dxa"/>
            <w:tcBorders>
              <w:top w:val="nil"/>
              <w:left w:val="nil"/>
              <w:bottom w:val="nil"/>
              <w:right w:val="nil"/>
            </w:tcBorders>
            <w:shd w:val="clear" w:color="auto" w:fill="auto"/>
            <w:vAlign w:val="center"/>
            <w:hideMark/>
          </w:tcPr>
          <w:p w14:paraId="66923630"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Downstream signaling, transcriptional regulation</w:t>
            </w:r>
          </w:p>
        </w:tc>
        <w:tc>
          <w:tcPr>
            <w:tcW w:w="1094" w:type="dxa"/>
            <w:tcBorders>
              <w:top w:val="nil"/>
              <w:left w:val="nil"/>
              <w:bottom w:val="nil"/>
              <w:right w:val="nil"/>
            </w:tcBorders>
            <w:shd w:val="clear" w:color="auto" w:fill="auto"/>
            <w:vAlign w:val="center"/>
            <w:hideMark/>
          </w:tcPr>
          <w:p w14:paraId="1235C8D3"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P</w:t>
            </w:r>
          </w:p>
        </w:tc>
      </w:tr>
      <w:tr w:rsidR="00404C62" w:rsidRPr="00404C62" w14:paraId="1A597501" w14:textId="77777777" w:rsidTr="00404C62">
        <w:trPr>
          <w:trHeight w:val="1240"/>
        </w:trPr>
        <w:tc>
          <w:tcPr>
            <w:tcW w:w="1732" w:type="dxa"/>
            <w:tcBorders>
              <w:top w:val="nil"/>
              <w:left w:val="nil"/>
              <w:bottom w:val="nil"/>
              <w:right w:val="nil"/>
            </w:tcBorders>
            <w:shd w:val="clear" w:color="auto" w:fill="auto"/>
            <w:vAlign w:val="center"/>
            <w:hideMark/>
          </w:tcPr>
          <w:p w14:paraId="48B50497"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TFPI2</w:t>
            </w:r>
          </w:p>
        </w:tc>
        <w:tc>
          <w:tcPr>
            <w:tcW w:w="1135" w:type="dxa"/>
            <w:tcBorders>
              <w:top w:val="nil"/>
              <w:left w:val="nil"/>
              <w:bottom w:val="nil"/>
              <w:right w:val="nil"/>
            </w:tcBorders>
            <w:shd w:val="clear" w:color="auto" w:fill="auto"/>
            <w:vAlign w:val="center"/>
            <w:hideMark/>
          </w:tcPr>
          <w:p w14:paraId="637DE75A"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Up</w:t>
            </w:r>
          </w:p>
        </w:tc>
        <w:tc>
          <w:tcPr>
            <w:tcW w:w="1585" w:type="dxa"/>
            <w:tcBorders>
              <w:top w:val="nil"/>
              <w:left w:val="nil"/>
              <w:bottom w:val="nil"/>
              <w:right w:val="nil"/>
            </w:tcBorders>
            <w:shd w:val="clear" w:color="auto" w:fill="auto"/>
            <w:vAlign w:val="center"/>
            <w:hideMark/>
          </w:tcPr>
          <w:p w14:paraId="70214102"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Pancreatic juice</w:t>
            </w:r>
          </w:p>
        </w:tc>
        <w:tc>
          <w:tcPr>
            <w:tcW w:w="2356" w:type="dxa"/>
            <w:tcBorders>
              <w:top w:val="nil"/>
              <w:left w:val="nil"/>
              <w:bottom w:val="nil"/>
              <w:right w:val="nil"/>
            </w:tcBorders>
            <w:shd w:val="clear" w:color="auto" w:fill="auto"/>
            <w:vAlign w:val="center"/>
            <w:hideMark/>
          </w:tcPr>
          <w:p w14:paraId="46C7D759"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TFPI2</w:t>
            </w:r>
          </w:p>
        </w:tc>
        <w:tc>
          <w:tcPr>
            <w:tcW w:w="1658" w:type="dxa"/>
            <w:tcBorders>
              <w:top w:val="nil"/>
              <w:left w:val="nil"/>
              <w:bottom w:val="nil"/>
              <w:right w:val="nil"/>
            </w:tcBorders>
            <w:shd w:val="clear" w:color="auto" w:fill="auto"/>
            <w:vAlign w:val="center"/>
            <w:hideMark/>
          </w:tcPr>
          <w:p w14:paraId="7B9D4147"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Gene silencing, cell adhesion plasmin signaling</w:t>
            </w:r>
          </w:p>
        </w:tc>
        <w:tc>
          <w:tcPr>
            <w:tcW w:w="1094" w:type="dxa"/>
            <w:tcBorders>
              <w:top w:val="nil"/>
              <w:left w:val="nil"/>
              <w:bottom w:val="nil"/>
              <w:right w:val="nil"/>
            </w:tcBorders>
            <w:shd w:val="clear" w:color="auto" w:fill="auto"/>
            <w:vAlign w:val="center"/>
            <w:hideMark/>
          </w:tcPr>
          <w:p w14:paraId="5ADE39BA"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P</w:t>
            </w:r>
          </w:p>
        </w:tc>
      </w:tr>
      <w:tr w:rsidR="00404C62" w:rsidRPr="00404C62" w14:paraId="75DCEBC5" w14:textId="77777777" w:rsidTr="00404C62">
        <w:trPr>
          <w:trHeight w:val="1240"/>
        </w:trPr>
        <w:tc>
          <w:tcPr>
            <w:tcW w:w="1732" w:type="dxa"/>
            <w:tcBorders>
              <w:top w:val="nil"/>
              <w:left w:val="nil"/>
              <w:bottom w:val="nil"/>
              <w:right w:val="nil"/>
            </w:tcBorders>
            <w:shd w:val="clear" w:color="auto" w:fill="auto"/>
            <w:vAlign w:val="center"/>
            <w:hideMark/>
          </w:tcPr>
          <w:p w14:paraId="74EA786F"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TAC1</w:t>
            </w:r>
          </w:p>
        </w:tc>
        <w:tc>
          <w:tcPr>
            <w:tcW w:w="1135" w:type="dxa"/>
            <w:tcBorders>
              <w:top w:val="nil"/>
              <w:left w:val="nil"/>
              <w:bottom w:val="nil"/>
              <w:right w:val="nil"/>
            </w:tcBorders>
            <w:shd w:val="clear" w:color="auto" w:fill="auto"/>
            <w:vAlign w:val="center"/>
            <w:hideMark/>
          </w:tcPr>
          <w:p w14:paraId="621B28B1"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Up</w:t>
            </w:r>
          </w:p>
        </w:tc>
        <w:tc>
          <w:tcPr>
            <w:tcW w:w="1585" w:type="dxa"/>
            <w:tcBorders>
              <w:top w:val="nil"/>
              <w:left w:val="nil"/>
              <w:bottom w:val="nil"/>
              <w:right w:val="nil"/>
            </w:tcBorders>
            <w:shd w:val="clear" w:color="auto" w:fill="auto"/>
            <w:vAlign w:val="center"/>
            <w:hideMark/>
          </w:tcPr>
          <w:p w14:paraId="46F4FD92"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Plasma</w:t>
            </w:r>
          </w:p>
        </w:tc>
        <w:tc>
          <w:tcPr>
            <w:tcW w:w="2356" w:type="dxa"/>
            <w:tcBorders>
              <w:top w:val="nil"/>
              <w:left w:val="nil"/>
              <w:bottom w:val="nil"/>
              <w:right w:val="nil"/>
            </w:tcBorders>
            <w:shd w:val="clear" w:color="auto" w:fill="auto"/>
            <w:vAlign w:val="center"/>
            <w:hideMark/>
          </w:tcPr>
          <w:p w14:paraId="3FB099C3"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TAC1</w:t>
            </w:r>
          </w:p>
        </w:tc>
        <w:tc>
          <w:tcPr>
            <w:tcW w:w="1658" w:type="dxa"/>
            <w:tcBorders>
              <w:top w:val="nil"/>
              <w:left w:val="nil"/>
              <w:bottom w:val="nil"/>
              <w:right w:val="nil"/>
            </w:tcBorders>
            <w:shd w:val="clear" w:color="auto" w:fill="auto"/>
            <w:vAlign w:val="center"/>
            <w:hideMark/>
          </w:tcPr>
          <w:p w14:paraId="7507B1DE"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Gpcr downstream, signal transduction</w:t>
            </w:r>
          </w:p>
        </w:tc>
        <w:tc>
          <w:tcPr>
            <w:tcW w:w="1094" w:type="dxa"/>
            <w:tcBorders>
              <w:top w:val="nil"/>
              <w:left w:val="nil"/>
              <w:bottom w:val="nil"/>
              <w:right w:val="nil"/>
            </w:tcBorders>
            <w:shd w:val="clear" w:color="auto" w:fill="auto"/>
            <w:vAlign w:val="center"/>
            <w:hideMark/>
          </w:tcPr>
          <w:p w14:paraId="433F7E4B"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P</w:t>
            </w:r>
          </w:p>
        </w:tc>
      </w:tr>
      <w:tr w:rsidR="00404C62" w:rsidRPr="00404C62" w14:paraId="355B6ED8" w14:textId="77777777" w:rsidTr="00404C62">
        <w:trPr>
          <w:trHeight w:val="310"/>
        </w:trPr>
        <w:tc>
          <w:tcPr>
            <w:tcW w:w="1732" w:type="dxa"/>
            <w:tcBorders>
              <w:top w:val="nil"/>
              <w:left w:val="nil"/>
              <w:bottom w:val="nil"/>
              <w:right w:val="nil"/>
            </w:tcBorders>
            <w:shd w:val="clear" w:color="auto" w:fill="auto"/>
            <w:vAlign w:val="center"/>
            <w:hideMark/>
          </w:tcPr>
          <w:p w14:paraId="374DCD51"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VIM</w:t>
            </w:r>
          </w:p>
        </w:tc>
        <w:tc>
          <w:tcPr>
            <w:tcW w:w="1135" w:type="dxa"/>
            <w:tcBorders>
              <w:top w:val="nil"/>
              <w:left w:val="nil"/>
              <w:bottom w:val="nil"/>
              <w:right w:val="nil"/>
            </w:tcBorders>
            <w:shd w:val="clear" w:color="auto" w:fill="auto"/>
            <w:vAlign w:val="center"/>
            <w:hideMark/>
          </w:tcPr>
          <w:p w14:paraId="3ECA73DE"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Up</w:t>
            </w:r>
          </w:p>
        </w:tc>
        <w:tc>
          <w:tcPr>
            <w:tcW w:w="1585" w:type="dxa"/>
            <w:tcBorders>
              <w:top w:val="nil"/>
              <w:left w:val="nil"/>
              <w:bottom w:val="nil"/>
              <w:right w:val="nil"/>
            </w:tcBorders>
            <w:shd w:val="clear" w:color="auto" w:fill="auto"/>
            <w:vAlign w:val="center"/>
            <w:hideMark/>
          </w:tcPr>
          <w:p w14:paraId="77CBE483"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Plasma</w:t>
            </w:r>
          </w:p>
        </w:tc>
        <w:tc>
          <w:tcPr>
            <w:tcW w:w="2356" w:type="dxa"/>
            <w:tcBorders>
              <w:top w:val="nil"/>
              <w:left w:val="nil"/>
              <w:bottom w:val="nil"/>
              <w:right w:val="nil"/>
            </w:tcBorders>
            <w:shd w:val="clear" w:color="auto" w:fill="auto"/>
            <w:vAlign w:val="center"/>
            <w:hideMark/>
          </w:tcPr>
          <w:p w14:paraId="640A5FC3"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Vimentin</w:t>
            </w:r>
          </w:p>
        </w:tc>
        <w:tc>
          <w:tcPr>
            <w:tcW w:w="1658" w:type="dxa"/>
            <w:tcBorders>
              <w:top w:val="nil"/>
              <w:left w:val="nil"/>
              <w:bottom w:val="nil"/>
              <w:right w:val="nil"/>
            </w:tcBorders>
            <w:shd w:val="clear" w:color="auto" w:fill="auto"/>
            <w:vAlign w:val="center"/>
            <w:hideMark/>
          </w:tcPr>
          <w:p w14:paraId="7D08A483"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Cell signaling</w:t>
            </w:r>
          </w:p>
        </w:tc>
        <w:tc>
          <w:tcPr>
            <w:tcW w:w="1094" w:type="dxa"/>
            <w:tcBorders>
              <w:top w:val="nil"/>
              <w:left w:val="nil"/>
              <w:bottom w:val="nil"/>
              <w:right w:val="nil"/>
            </w:tcBorders>
            <w:shd w:val="clear" w:color="auto" w:fill="auto"/>
            <w:vAlign w:val="center"/>
            <w:hideMark/>
          </w:tcPr>
          <w:p w14:paraId="4F9C2C47"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P</w:t>
            </w:r>
          </w:p>
        </w:tc>
      </w:tr>
      <w:tr w:rsidR="00404C62" w:rsidRPr="00404C62" w14:paraId="7F2EA081" w14:textId="77777777" w:rsidTr="00404C62">
        <w:trPr>
          <w:trHeight w:val="310"/>
        </w:trPr>
        <w:tc>
          <w:tcPr>
            <w:tcW w:w="1732" w:type="dxa"/>
            <w:tcBorders>
              <w:top w:val="nil"/>
              <w:left w:val="nil"/>
              <w:bottom w:val="nil"/>
              <w:right w:val="nil"/>
            </w:tcBorders>
            <w:shd w:val="clear" w:color="auto" w:fill="auto"/>
            <w:vAlign w:val="center"/>
            <w:hideMark/>
          </w:tcPr>
          <w:p w14:paraId="0FB82026"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WNT5A</w:t>
            </w:r>
          </w:p>
        </w:tc>
        <w:tc>
          <w:tcPr>
            <w:tcW w:w="1135" w:type="dxa"/>
            <w:tcBorders>
              <w:top w:val="nil"/>
              <w:left w:val="nil"/>
              <w:bottom w:val="nil"/>
              <w:right w:val="nil"/>
            </w:tcBorders>
            <w:shd w:val="clear" w:color="auto" w:fill="auto"/>
            <w:vAlign w:val="center"/>
            <w:hideMark/>
          </w:tcPr>
          <w:p w14:paraId="25B616D1"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Up</w:t>
            </w:r>
          </w:p>
        </w:tc>
        <w:tc>
          <w:tcPr>
            <w:tcW w:w="1585" w:type="dxa"/>
            <w:tcBorders>
              <w:top w:val="nil"/>
              <w:left w:val="nil"/>
              <w:bottom w:val="nil"/>
              <w:right w:val="nil"/>
            </w:tcBorders>
            <w:shd w:val="clear" w:color="auto" w:fill="auto"/>
            <w:vAlign w:val="center"/>
            <w:hideMark/>
          </w:tcPr>
          <w:p w14:paraId="55960E91"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Plasma</w:t>
            </w:r>
          </w:p>
        </w:tc>
        <w:tc>
          <w:tcPr>
            <w:tcW w:w="2356" w:type="dxa"/>
            <w:tcBorders>
              <w:top w:val="nil"/>
              <w:left w:val="nil"/>
              <w:bottom w:val="nil"/>
              <w:right w:val="nil"/>
            </w:tcBorders>
            <w:shd w:val="clear" w:color="auto" w:fill="auto"/>
            <w:vAlign w:val="center"/>
            <w:hideMark/>
          </w:tcPr>
          <w:p w14:paraId="78B9A4D1"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WNT5A</w:t>
            </w:r>
          </w:p>
        </w:tc>
        <w:tc>
          <w:tcPr>
            <w:tcW w:w="1658" w:type="dxa"/>
            <w:tcBorders>
              <w:top w:val="nil"/>
              <w:left w:val="nil"/>
              <w:bottom w:val="nil"/>
              <w:right w:val="nil"/>
            </w:tcBorders>
            <w:shd w:val="clear" w:color="auto" w:fill="auto"/>
            <w:vAlign w:val="center"/>
            <w:hideMark/>
          </w:tcPr>
          <w:p w14:paraId="04F4E575"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Wnt signaling</w:t>
            </w:r>
          </w:p>
        </w:tc>
        <w:tc>
          <w:tcPr>
            <w:tcW w:w="1094" w:type="dxa"/>
            <w:tcBorders>
              <w:top w:val="nil"/>
              <w:left w:val="nil"/>
              <w:bottom w:val="nil"/>
              <w:right w:val="nil"/>
            </w:tcBorders>
            <w:shd w:val="clear" w:color="auto" w:fill="auto"/>
            <w:vAlign w:val="center"/>
            <w:hideMark/>
          </w:tcPr>
          <w:p w14:paraId="421372F9"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P</w:t>
            </w:r>
          </w:p>
        </w:tc>
      </w:tr>
      <w:tr w:rsidR="00404C62" w:rsidRPr="00404C62" w14:paraId="0DE72904" w14:textId="77777777" w:rsidTr="00404C62">
        <w:trPr>
          <w:trHeight w:val="930"/>
        </w:trPr>
        <w:tc>
          <w:tcPr>
            <w:tcW w:w="1732" w:type="dxa"/>
            <w:tcBorders>
              <w:top w:val="nil"/>
              <w:left w:val="nil"/>
              <w:bottom w:val="nil"/>
              <w:right w:val="nil"/>
            </w:tcBorders>
            <w:shd w:val="clear" w:color="auto" w:fill="auto"/>
            <w:vAlign w:val="center"/>
            <w:hideMark/>
          </w:tcPr>
          <w:p w14:paraId="3AD08434"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PENK</w:t>
            </w:r>
          </w:p>
        </w:tc>
        <w:tc>
          <w:tcPr>
            <w:tcW w:w="1135" w:type="dxa"/>
            <w:tcBorders>
              <w:top w:val="nil"/>
              <w:left w:val="nil"/>
              <w:bottom w:val="nil"/>
              <w:right w:val="nil"/>
            </w:tcBorders>
            <w:shd w:val="clear" w:color="auto" w:fill="auto"/>
            <w:vAlign w:val="center"/>
            <w:hideMark/>
          </w:tcPr>
          <w:p w14:paraId="6C6C84CC"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Up</w:t>
            </w:r>
          </w:p>
        </w:tc>
        <w:tc>
          <w:tcPr>
            <w:tcW w:w="1585" w:type="dxa"/>
            <w:tcBorders>
              <w:top w:val="nil"/>
              <w:left w:val="nil"/>
              <w:bottom w:val="nil"/>
              <w:right w:val="nil"/>
            </w:tcBorders>
            <w:shd w:val="clear" w:color="auto" w:fill="auto"/>
            <w:vAlign w:val="center"/>
            <w:hideMark/>
          </w:tcPr>
          <w:p w14:paraId="1A2F7202"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Pancreatic juice</w:t>
            </w:r>
          </w:p>
        </w:tc>
        <w:tc>
          <w:tcPr>
            <w:tcW w:w="2356" w:type="dxa"/>
            <w:tcBorders>
              <w:top w:val="nil"/>
              <w:left w:val="nil"/>
              <w:bottom w:val="nil"/>
              <w:right w:val="nil"/>
            </w:tcBorders>
            <w:shd w:val="clear" w:color="auto" w:fill="auto"/>
            <w:vAlign w:val="center"/>
            <w:hideMark/>
          </w:tcPr>
          <w:p w14:paraId="29357FC9"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Proenkephalin</w:t>
            </w:r>
          </w:p>
        </w:tc>
        <w:tc>
          <w:tcPr>
            <w:tcW w:w="1658" w:type="dxa"/>
            <w:tcBorders>
              <w:top w:val="nil"/>
              <w:left w:val="nil"/>
              <w:bottom w:val="nil"/>
              <w:right w:val="nil"/>
            </w:tcBorders>
            <w:shd w:val="clear" w:color="auto" w:fill="auto"/>
            <w:vAlign w:val="center"/>
            <w:hideMark/>
          </w:tcPr>
          <w:p w14:paraId="0473F952"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Apoptotic, downstream signaling</w:t>
            </w:r>
          </w:p>
        </w:tc>
        <w:tc>
          <w:tcPr>
            <w:tcW w:w="1094" w:type="dxa"/>
            <w:tcBorders>
              <w:top w:val="nil"/>
              <w:left w:val="nil"/>
              <w:bottom w:val="nil"/>
              <w:right w:val="nil"/>
            </w:tcBorders>
            <w:shd w:val="clear" w:color="auto" w:fill="auto"/>
            <w:vAlign w:val="center"/>
            <w:hideMark/>
          </w:tcPr>
          <w:p w14:paraId="70307436" w14:textId="77777777" w:rsidR="00404C62" w:rsidRPr="00404C62" w:rsidRDefault="00404C62" w:rsidP="00404C62">
            <w:pPr>
              <w:jc w:val="both"/>
              <w:rPr>
                <w:rFonts w:ascii="Book Antiqua" w:eastAsia="等线" w:hAnsi="Book Antiqua" w:cs="宋体"/>
                <w:color w:val="000000"/>
                <w:lang w:eastAsia="zh-CN"/>
              </w:rPr>
            </w:pPr>
          </w:p>
        </w:tc>
      </w:tr>
      <w:tr w:rsidR="00404C62" w:rsidRPr="00404C62" w14:paraId="594106AC" w14:textId="77777777" w:rsidTr="00404C62">
        <w:trPr>
          <w:trHeight w:val="620"/>
        </w:trPr>
        <w:tc>
          <w:tcPr>
            <w:tcW w:w="1732" w:type="dxa"/>
            <w:tcBorders>
              <w:top w:val="nil"/>
              <w:left w:val="nil"/>
              <w:bottom w:val="nil"/>
              <w:right w:val="nil"/>
            </w:tcBorders>
            <w:shd w:val="clear" w:color="auto" w:fill="auto"/>
            <w:vAlign w:val="center"/>
            <w:hideMark/>
          </w:tcPr>
          <w:p w14:paraId="781D396B"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DCC</w:t>
            </w:r>
          </w:p>
        </w:tc>
        <w:tc>
          <w:tcPr>
            <w:tcW w:w="1135" w:type="dxa"/>
            <w:tcBorders>
              <w:top w:val="nil"/>
              <w:left w:val="nil"/>
              <w:bottom w:val="nil"/>
              <w:right w:val="nil"/>
            </w:tcBorders>
            <w:shd w:val="clear" w:color="auto" w:fill="auto"/>
            <w:vAlign w:val="center"/>
            <w:hideMark/>
          </w:tcPr>
          <w:p w14:paraId="1430BC34"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Down</w:t>
            </w:r>
          </w:p>
        </w:tc>
        <w:tc>
          <w:tcPr>
            <w:tcW w:w="1585" w:type="dxa"/>
            <w:tcBorders>
              <w:top w:val="nil"/>
              <w:left w:val="nil"/>
              <w:bottom w:val="nil"/>
              <w:right w:val="nil"/>
            </w:tcBorders>
            <w:shd w:val="clear" w:color="auto" w:fill="auto"/>
            <w:vAlign w:val="center"/>
            <w:hideMark/>
          </w:tcPr>
          <w:p w14:paraId="2CB0D3F5"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Plasma</w:t>
            </w:r>
          </w:p>
        </w:tc>
        <w:tc>
          <w:tcPr>
            <w:tcW w:w="2356" w:type="dxa"/>
            <w:tcBorders>
              <w:top w:val="nil"/>
              <w:left w:val="nil"/>
              <w:bottom w:val="nil"/>
              <w:right w:val="nil"/>
            </w:tcBorders>
            <w:shd w:val="clear" w:color="auto" w:fill="auto"/>
            <w:vAlign w:val="center"/>
            <w:hideMark/>
          </w:tcPr>
          <w:p w14:paraId="16C03945"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Netrin-1 Receptor</w:t>
            </w:r>
          </w:p>
        </w:tc>
        <w:tc>
          <w:tcPr>
            <w:tcW w:w="1658" w:type="dxa"/>
            <w:tcBorders>
              <w:top w:val="nil"/>
              <w:left w:val="nil"/>
              <w:bottom w:val="nil"/>
              <w:right w:val="nil"/>
            </w:tcBorders>
            <w:shd w:val="clear" w:color="auto" w:fill="auto"/>
            <w:vAlign w:val="center"/>
            <w:hideMark/>
          </w:tcPr>
          <w:p w14:paraId="6761C8AE"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Mutation</w:t>
            </w:r>
          </w:p>
        </w:tc>
        <w:tc>
          <w:tcPr>
            <w:tcW w:w="1094" w:type="dxa"/>
            <w:tcBorders>
              <w:top w:val="nil"/>
              <w:left w:val="nil"/>
              <w:bottom w:val="nil"/>
              <w:right w:val="nil"/>
            </w:tcBorders>
            <w:shd w:val="clear" w:color="auto" w:fill="auto"/>
            <w:vAlign w:val="center"/>
            <w:hideMark/>
          </w:tcPr>
          <w:p w14:paraId="2D5CB964"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D</w:t>
            </w:r>
          </w:p>
        </w:tc>
      </w:tr>
      <w:tr w:rsidR="00404C62" w:rsidRPr="00404C62" w14:paraId="1F8BD58D" w14:textId="77777777" w:rsidTr="00404C62">
        <w:trPr>
          <w:trHeight w:val="930"/>
        </w:trPr>
        <w:tc>
          <w:tcPr>
            <w:tcW w:w="1732" w:type="dxa"/>
            <w:tcBorders>
              <w:top w:val="nil"/>
              <w:left w:val="nil"/>
              <w:bottom w:val="nil"/>
              <w:right w:val="nil"/>
            </w:tcBorders>
            <w:shd w:val="clear" w:color="auto" w:fill="auto"/>
            <w:vAlign w:val="center"/>
            <w:hideMark/>
          </w:tcPr>
          <w:p w14:paraId="2EA9CA0E"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lastRenderedPageBreak/>
              <w:t>P16</w:t>
            </w:r>
          </w:p>
        </w:tc>
        <w:tc>
          <w:tcPr>
            <w:tcW w:w="1135" w:type="dxa"/>
            <w:tcBorders>
              <w:top w:val="nil"/>
              <w:left w:val="nil"/>
              <w:bottom w:val="nil"/>
              <w:right w:val="nil"/>
            </w:tcBorders>
            <w:shd w:val="clear" w:color="auto" w:fill="auto"/>
            <w:vAlign w:val="center"/>
            <w:hideMark/>
          </w:tcPr>
          <w:p w14:paraId="42B93F32"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Down</w:t>
            </w:r>
          </w:p>
        </w:tc>
        <w:tc>
          <w:tcPr>
            <w:tcW w:w="1585" w:type="dxa"/>
            <w:tcBorders>
              <w:top w:val="nil"/>
              <w:left w:val="nil"/>
              <w:bottom w:val="nil"/>
              <w:right w:val="nil"/>
            </w:tcBorders>
            <w:shd w:val="clear" w:color="auto" w:fill="auto"/>
            <w:vAlign w:val="center"/>
            <w:hideMark/>
          </w:tcPr>
          <w:p w14:paraId="57BA3F46"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Pancreatic juice</w:t>
            </w:r>
          </w:p>
        </w:tc>
        <w:tc>
          <w:tcPr>
            <w:tcW w:w="2356" w:type="dxa"/>
            <w:tcBorders>
              <w:top w:val="nil"/>
              <w:left w:val="nil"/>
              <w:bottom w:val="nil"/>
              <w:right w:val="nil"/>
            </w:tcBorders>
            <w:shd w:val="clear" w:color="auto" w:fill="auto"/>
            <w:vAlign w:val="center"/>
            <w:hideMark/>
          </w:tcPr>
          <w:p w14:paraId="1F1A3FAA"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CDKN2A</w:t>
            </w:r>
          </w:p>
        </w:tc>
        <w:tc>
          <w:tcPr>
            <w:tcW w:w="1658" w:type="dxa"/>
            <w:tcBorders>
              <w:top w:val="nil"/>
              <w:left w:val="nil"/>
              <w:bottom w:val="nil"/>
              <w:right w:val="nil"/>
            </w:tcBorders>
            <w:shd w:val="clear" w:color="auto" w:fill="auto"/>
            <w:vAlign w:val="center"/>
            <w:hideMark/>
          </w:tcPr>
          <w:p w14:paraId="4D09316D"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Mutation, cell cycle regulation</w:t>
            </w:r>
          </w:p>
        </w:tc>
        <w:tc>
          <w:tcPr>
            <w:tcW w:w="1094" w:type="dxa"/>
            <w:tcBorders>
              <w:top w:val="nil"/>
              <w:left w:val="nil"/>
              <w:bottom w:val="nil"/>
              <w:right w:val="nil"/>
            </w:tcBorders>
            <w:shd w:val="clear" w:color="auto" w:fill="auto"/>
            <w:vAlign w:val="center"/>
            <w:hideMark/>
          </w:tcPr>
          <w:p w14:paraId="74BA062D"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D</w:t>
            </w:r>
          </w:p>
        </w:tc>
      </w:tr>
      <w:tr w:rsidR="00404C62" w:rsidRPr="00404C62" w14:paraId="761DB894" w14:textId="77777777" w:rsidTr="00404C62">
        <w:trPr>
          <w:trHeight w:val="310"/>
        </w:trPr>
        <w:tc>
          <w:tcPr>
            <w:tcW w:w="1732" w:type="dxa"/>
            <w:tcBorders>
              <w:top w:val="nil"/>
              <w:left w:val="nil"/>
              <w:bottom w:val="nil"/>
              <w:right w:val="nil"/>
            </w:tcBorders>
            <w:shd w:val="clear" w:color="auto" w:fill="auto"/>
            <w:vAlign w:val="center"/>
            <w:hideMark/>
          </w:tcPr>
          <w:p w14:paraId="528C3699"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P14</w:t>
            </w:r>
          </w:p>
        </w:tc>
        <w:tc>
          <w:tcPr>
            <w:tcW w:w="1135" w:type="dxa"/>
            <w:tcBorders>
              <w:top w:val="nil"/>
              <w:left w:val="nil"/>
              <w:bottom w:val="nil"/>
              <w:right w:val="nil"/>
            </w:tcBorders>
            <w:shd w:val="clear" w:color="auto" w:fill="auto"/>
            <w:vAlign w:val="center"/>
            <w:hideMark/>
          </w:tcPr>
          <w:p w14:paraId="68176425"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Down</w:t>
            </w:r>
          </w:p>
        </w:tc>
        <w:tc>
          <w:tcPr>
            <w:tcW w:w="1585" w:type="dxa"/>
            <w:tcBorders>
              <w:top w:val="nil"/>
              <w:left w:val="nil"/>
              <w:bottom w:val="nil"/>
              <w:right w:val="nil"/>
            </w:tcBorders>
            <w:shd w:val="clear" w:color="auto" w:fill="auto"/>
            <w:vAlign w:val="center"/>
            <w:hideMark/>
          </w:tcPr>
          <w:p w14:paraId="6469D41A"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Plasma</w:t>
            </w:r>
          </w:p>
        </w:tc>
        <w:tc>
          <w:tcPr>
            <w:tcW w:w="2356" w:type="dxa"/>
            <w:tcBorders>
              <w:top w:val="nil"/>
              <w:left w:val="nil"/>
              <w:bottom w:val="nil"/>
              <w:right w:val="nil"/>
            </w:tcBorders>
            <w:shd w:val="clear" w:color="auto" w:fill="auto"/>
            <w:vAlign w:val="center"/>
            <w:hideMark/>
          </w:tcPr>
          <w:p w14:paraId="4AFAE287"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CDKN2A</w:t>
            </w:r>
          </w:p>
        </w:tc>
        <w:tc>
          <w:tcPr>
            <w:tcW w:w="1658" w:type="dxa"/>
            <w:tcBorders>
              <w:top w:val="nil"/>
              <w:left w:val="nil"/>
              <w:bottom w:val="nil"/>
              <w:right w:val="nil"/>
            </w:tcBorders>
            <w:shd w:val="clear" w:color="auto" w:fill="auto"/>
            <w:vAlign w:val="center"/>
            <w:hideMark/>
          </w:tcPr>
          <w:p w14:paraId="15D14344"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Cell cycle</w:t>
            </w:r>
          </w:p>
        </w:tc>
        <w:tc>
          <w:tcPr>
            <w:tcW w:w="1094" w:type="dxa"/>
            <w:tcBorders>
              <w:top w:val="nil"/>
              <w:left w:val="nil"/>
              <w:bottom w:val="nil"/>
              <w:right w:val="nil"/>
            </w:tcBorders>
            <w:shd w:val="clear" w:color="auto" w:fill="auto"/>
            <w:vAlign w:val="center"/>
            <w:hideMark/>
          </w:tcPr>
          <w:p w14:paraId="180E4299"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D</w:t>
            </w:r>
          </w:p>
        </w:tc>
      </w:tr>
      <w:tr w:rsidR="00404C62" w:rsidRPr="00404C62" w14:paraId="287B6195" w14:textId="77777777" w:rsidTr="00404C62">
        <w:trPr>
          <w:trHeight w:val="310"/>
        </w:trPr>
        <w:tc>
          <w:tcPr>
            <w:tcW w:w="1732" w:type="dxa"/>
            <w:tcBorders>
              <w:top w:val="nil"/>
              <w:left w:val="nil"/>
              <w:bottom w:val="nil"/>
              <w:right w:val="nil"/>
            </w:tcBorders>
            <w:shd w:val="clear" w:color="auto" w:fill="auto"/>
            <w:vAlign w:val="center"/>
            <w:hideMark/>
          </w:tcPr>
          <w:p w14:paraId="6D3EED2A"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DNMT1</w:t>
            </w:r>
          </w:p>
        </w:tc>
        <w:tc>
          <w:tcPr>
            <w:tcW w:w="1135" w:type="dxa"/>
            <w:tcBorders>
              <w:top w:val="nil"/>
              <w:left w:val="nil"/>
              <w:bottom w:val="nil"/>
              <w:right w:val="nil"/>
            </w:tcBorders>
            <w:shd w:val="clear" w:color="auto" w:fill="auto"/>
            <w:vAlign w:val="center"/>
            <w:hideMark/>
          </w:tcPr>
          <w:p w14:paraId="221D5793"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Up</w:t>
            </w:r>
          </w:p>
        </w:tc>
        <w:tc>
          <w:tcPr>
            <w:tcW w:w="1585" w:type="dxa"/>
            <w:tcBorders>
              <w:top w:val="nil"/>
              <w:left w:val="nil"/>
              <w:bottom w:val="nil"/>
              <w:right w:val="nil"/>
            </w:tcBorders>
            <w:shd w:val="clear" w:color="auto" w:fill="auto"/>
            <w:vAlign w:val="center"/>
            <w:hideMark/>
          </w:tcPr>
          <w:p w14:paraId="5AB56ADB"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Plasma</w:t>
            </w:r>
          </w:p>
        </w:tc>
        <w:tc>
          <w:tcPr>
            <w:tcW w:w="2356" w:type="dxa"/>
            <w:tcBorders>
              <w:top w:val="nil"/>
              <w:left w:val="nil"/>
              <w:bottom w:val="nil"/>
              <w:right w:val="nil"/>
            </w:tcBorders>
            <w:shd w:val="clear" w:color="auto" w:fill="auto"/>
            <w:vAlign w:val="center"/>
            <w:hideMark/>
          </w:tcPr>
          <w:p w14:paraId="7CD14632"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DNMT1</w:t>
            </w:r>
          </w:p>
        </w:tc>
        <w:tc>
          <w:tcPr>
            <w:tcW w:w="1658" w:type="dxa"/>
            <w:tcBorders>
              <w:top w:val="nil"/>
              <w:left w:val="nil"/>
              <w:bottom w:val="nil"/>
              <w:right w:val="nil"/>
            </w:tcBorders>
            <w:shd w:val="clear" w:color="auto" w:fill="auto"/>
            <w:vAlign w:val="center"/>
            <w:hideMark/>
          </w:tcPr>
          <w:p w14:paraId="037EE8EC"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Mutation</w:t>
            </w:r>
          </w:p>
        </w:tc>
        <w:tc>
          <w:tcPr>
            <w:tcW w:w="1094" w:type="dxa"/>
            <w:tcBorders>
              <w:top w:val="nil"/>
              <w:left w:val="nil"/>
              <w:bottom w:val="nil"/>
              <w:right w:val="nil"/>
            </w:tcBorders>
            <w:shd w:val="clear" w:color="auto" w:fill="auto"/>
            <w:vAlign w:val="center"/>
            <w:hideMark/>
          </w:tcPr>
          <w:p w14:paraId="36BA69D8"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D</w:t>
            </w:r>
          </w:p>
        </w:tc>
      </w:tr>
      <w:tr w:rsidR="00404C62" w:rsidRPr="00404C62" w14:paraId="42D7CD7F" w14:textId="77777777" w:rsidTr="00404C62">
        <w:trPr>
          <w:trHeight w:val="310"/>
        </w:trPr>
        <w:tc>
          <w:tcPr>
            <w:tcW w:w="1732" w:type="dxa"/>
            <w:tcBorders>
              <w:top w:val="nil"/>
              <w:left w:val="nil"/>
              <w:bottom w:val="nil"/>
              <w:right w:val="nil"/>
            </w:tcBorders>
            <w:shd w:val="clear" w:color="auto" w:fill="auto"/>
            <w:vAlign w:val="center"/>
            <w:hideMark/>
          </w:tcPr>
          <w:p w14:paraId="205B4A00"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DNMT3A</w:t>
            </w:r>
          </w:p>
        </w:tc>
        <w:tc>
          <w:tcPr>
            <w:tcW w:w="1135" w:type="dxa"/>
            <w:tcBorders>
              <w:top w:val="nil"/>
              <w:left w:val="nil"/>
              <w:bottom w:val="nil"/>
              <w:right w:val="nil"/>
            </w:tcBorders>
            <w:shd w:val="clear" w:color="auto" w:fill="auto"/>
            <w:vAlign w:val="center"/>
            <w:hideMark/>
          </w:tcPr>
          <w:p w14:paraId="6932B6AB"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Up</w:t>
            </w:r>
          </w:p>
        </w:tc>
        <w:tc>
          <w:tcPr>
            <w:tcW w:w="1585" w:type="dxa"/>
            <w:tcBorders>
              <w:top w:val="nil"/>
              <w:left w:val="nil"/>
              <w:bottom w:val="nil"/>
              <w:right w:val="nil"/>
            </w:tcBorders>
            <w:shd w:val="clear" w:color="auto" w:fill="auto"/>
            <w:vAlign w:val="center"/>
            <w:hideMark/>
          </w:tcPr>
          <w:p w14:paraId="5996A1B3"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Plasma</w:t>
            </w:r>
          </w:p>
        </w:tc>
        <w:tc>
          <w:tcPr>
            <w:tcW w:w="2356" w:type="dxa"/>
            <w:tcBorders>
              <w:top w:val="nil"/>
              <w:left w:val="nil"/>
              <w:bottom w:val="nil"/>
              <w:right w:val="nil"/>
            </w:tcBorders>
            <w:shd w:val="clear" w:color="auto" w:fill="auto"/>
            <w:vAlign w:val="center"/>
            <w:hideMark/>
          </w:tcPr>
          <w:p w14:paraId="02C6393B"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DNMT3A</w:t>
            </w:r>
          </w:p>
        </w:tc>
        <w:tc>
          <w:tcPr>
            <w:tcW w:w="1658" w:type="dxa"/>
            <w:tcBorders>
              <w:top w:val="nil"/>
              <w:left w:val="nil"/>
              <w:bottom w:val="nil"/>
              <w:right w:val="nil"/>
            </w:tcBorders>
            <w:shd w:val="clear" w:color="auto" w:fill="auto"/>
            <w:vAlign w:val="center"/>
            <w:hideMark/>
          </w:tcPr>
          <w:p w14:paraId="098E40D0"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Methylation</w:t>
            </w:r>
          </w:p>
        </w:tc>
        <w:tc>
          <w:tcPr>
            <w:tcW w:w="1094" w:type="dxa"/>
            <w:tcBorders>
              <w:top w:val="nil"/>
              <w:left w:val="nil"/>
              <w:bottom w:val="nil"/>
              <w:right w:val="nil"/>
            </w:tcBorders>
            <w:shd w:val="clear" w:color="auto" w:fill="auto"/>
            <w:vAlign w:val="center"/>
            <w:hideMark/>
          </w:tcPr>
          <w:p w14:paraId="31591DC5"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D</w:t>
            </w:r>
          </w:p>
        </w:tc>
      </w:tr>
      <w:tr w:rsidR="00404C62" w:rsidRPr="00404C62" w14:paraId="44826770" w14:textId="77777777" w:rsidTr="00404C62">
        <w:trPr>
          <w:trHeight w:val="310"/>
        </w:trPr>
        <w:tc>
          <w:tcPr>
            <w:tcW w:w="1732" w:type="dxa"/>
            <w:tcBorders>
              <w:top w:val="nil"/>
              <w:left w:val="nil"/>
              <w:bottom w:val="single" w:sz="4" w:space="0" w:color="auto"/>
              <w:right w:val="nil"/>
            </w:tcBorders>
            <w:shd w:val="clear" w:color="auto" w:fill="auto"/>
            <w:vAlign w:val="center"/>
            <w:hideMark/>
          </w:tcPr>
          <w:p w14:paraId="6BF361E7"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DNMT3B</w:t>
            </w:r>
          </w:p>
        </w:tc>
        <w:tc>
          <w:tcPr>
            <w:tcW w:w="1135" w:type="dxa"/>
            <w:tcBorders>
              <w:top w:val="nil"/>
              <w:left w:val="nil"/>
              <w:bottom w:val="single" w:sz="4" w:space="0" w:color="auto"/>
              <w:right w:val="nil"/>
            </w:tcBorders>
            <w:shd w:val="clear" w:color="auto" w:fill="auto"/>
            <w:vAlign w:val="center"/>
            <w:hideMark/>
          </w:tcPr>
          <w:p w14:paraId="72FFDE7D"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Up</w:t>
            </w:r>
          </w:p>
        </w:tc>
        <w:tc>
          <w:tcPr>
            <w:tcW w:w="1585" w:type="dxa"/>
            <w:tcBorders>
              <w:top w:val="nil"/>
              <w:left w:val="nil"/>
              <w:bottom w:val="single" w:sz="4" w:space="0" w:color="auto"/>
              <w:right w:val="nil"/>
            </w:tcBorders>
            <w:shd w:val="clear" w:color="auto" w:fill="auto"/>
            <w:vAlign w:val="center"/>
            <w:hideMark/>
          </w:tcPr>
          <w:p w14:paraId="5D07601D"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Plasma</w:t>
            </w:r>
          </w:p>
        </w:tc>
        <w:tc>
          <w:tcPr>
            <w:tcW w:w="2356" w:type="dxa"/>
            <w:tcBorders>
              <w:top w:val="nil"/>
              <w:left w:val="nil"/>
              <w:bottom w:val="single" w:sz="4" w:space="0" w:color="auto"/>
              <w:right w:val="nil"/>
            </w:tcBorders>
            <w:shd w:val="clear" w:color="auto" w:fill="auto"/>
            <w:vAlign w:val="center"/>
            <w:hideMark/>
          </w:tcPr>
          <w:p w14:paraId="7EFF185D"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DNA</w:t>
            </w:r>
          </w:p>
        </w:tc>
        <w:tc>
          <w:tcPr>
            <w:tcW w:w="1658" w:type="dxa"/>
            <w:tcBorders>
              <w:top w:val="nil"/>
              <w:left w:val="nil"/>
              <w:bottom w:val="single" w:sz="4" w:space="0" w:color="auto"/>
              <w:right w:val="nil"/>
            </w:tcBorders>
            <w:shd w:val="clear" w:color="auto" w:fill="auto"/>
            <w:vAlign w:val="center"/>
            <w:hideMark/>
          </w:tcPr>
          <w:p w14:paraId="1B56B434"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Methylation</w:t>
            </w:r>
          </w:p>
        </w:tc>
        <w:tc>
          <w:tcPr>
            <w:tcW w:w="1094" w:type="dxa"/>
            <w:tcBorders>
              <w:top w:val="nil"/>
              <w:left w:val="nil"/>
              <w:bottom w:val="single" w:sz="4" w:space="0" w:color="auto"/>
              <w:right w:val="nil"/>
            </w:tcBorders>
            <w:shd w:val="clear" w:color="auto" w:fill="auto"/>
            <w:vAlign w:val="center"/>
            <w:hideMark/>
          </w:tcPr>
          <w:p w14:paraId="684BF1A6" w14:textId="77777777" w:rsidR="00404C62" w:rsidRPr="00404C62" w:rsidRDefault="00404C62" w:rsidP="00404C62">
            <w:pPr>
              <w:jc w:val="both"/>
              <w:rPr>
                <w:rFonts w:ascii="Book Antiqua" w:eastAsia="等线" w:hAnsi="Book Antiqua" w:cs="宋体"/>
                <w:color w:val="000000"/>
                <w:lang w:eastAsia="zh-CN"/>
              </w:rPr>
            </w:pPr>
            <w:r w:rsidRPr="00404C62">
              <w:rPr>
                <w:rFonts w:ascii="Book Antiqua" w:eastAsia="等线" w:hAnsi="Book Antiqua" w:cs="宋体"/>
                <w:color w:val="000000"/>
                <w:lang w:eastAsia="zh-CN"/>
              </w:rPr>
              <w:t>D</w:t>
            </w:r>
          </w:p>
        </w:tc>
      </w:tr>
    </w:tbl>
    <w:p w14:paraId="0E362A16" w14:textId="017CC5B6" w:rsidR="00A503D8" w:rsidRDefault="00A503D8">
      <w:pPr>
        <w:spacing w:line="360" w:lineRule="auto"/>
        <w:jc w:val="both"/>
        <w:rPr>
          <w:rFonts w:ascii="Book Antiqua" w:eastAsia="Book Antiqua" w:hAnsi="Book Antiqua" w:cs="Book Antiqua"/>
          <w:b/>
          <w:bCs/>
          <w:color w:val="000000"/>
        </w:rPr>
      </w:pPr>
    </w:p>
    <w:p w14:paraId="23E159B5" w14:textId="2993D41C" w:rsidR="00A503D8" w:rsidRDefault="00000000">
      <w:pPr>
        <w:spacing w:line="360" w:lineRule="auto"/>
        <w:jc w:val="both"/>
        <w:rPr>
          <w:rFonts w:ascii="Book Antiqua" w:hAnsi="Book Antiqua"/>
        </w:rPr>
      </w:pPr>
      <w:r w:rsidRPr="002A39AF">
        <w:rPr>
          <w:rFonts w:ascii="Book Antiqua" w:hAnsi="Book Antiqua"/>
        </w:rPr>
        <w:t>D:</w:t>
      </w:r>
      <w:r>
        <w:rPr>
          <w:rFonts w:ascii="Book Antiqua" w:hAnsi="Book Antiqua"/>
        </w:rPr>
        <w:t xml:space="preserve"> Diagnostic; P: Prognostic.</w:t>
      </w:r>
    </w:p>
    <w:p w14:paraId="58EF92A4" w14:textId="77777777" w:rsidR="00A503D8" w:rsidRPr="002A39AF" w:rsidRDefault="00A503D8">
      <w:pPr>
        <w:spacing w:line="360" w:lineRule="auto"/>
        <w:jc w:val="both"/>
        <w:rPr>
          <w:rFonts w:ascii="Book Antiqua" w:hAnsi="Book Antiqua"/>
        </w:rPr>
      </w:pPr>
    </w:p>
    <w:p w14:paraId="79D97B63" w14:textId="6B712236" w:rsidR="00A503D8" w:rsidRDefault="00000000">
      <w:pPr>
        <w:spacing w:line="360" w:lineRule="auto"/>
        <w:jc w:val="both"/>
        <w:rPr>
          <w:rFonts w:ascii="Book Antiqua" w:hAnsi="Book Antiqua"/>
          <w:b/>
          <w:bCs/>
        </w:rPr>
      </w:pPr>
      <w:r>
        <w:rPr>
          <w:rFonts w:ascii="Book Antiqua" w:eastAsia="Book Antiqua" w:hAnsi="Book Antiqua" w:cs="Book Antiqua"/>
          <w:b/>
          <w:bCs/>
          <w:color w:val="000000"/>
        </w:rPr>
        <w:t>Table 3 Cell-free RNA involved in pancreatic cancer diagnostic and prognostics</w:t>
      </w:r>
    </w:p>
    <w:tbl>
      <w:tblPr>
        <w:tblW w:w="9616" w:type="dxa"/>
        <w:tblInd w:w="-10" w:type="dxa"/>
        <w:tblBorders>
          <w:top w:val="single" w:sz="4" w:space="0" w:color="auto"/>
          <w:bottom w:val="single" w:sz="4" w:space="0" w:color="auto"/>
        </w:tblBorders>
        <w:tblLayout w:type="fixed"/>
        <w:tblLook w:val="04A0" w:firstRow="1" w:lastRow="0" w:firstColumn="1" w:lastColumn="0" w:noHBand="0" w:noVBand="1"/>
      </w:tblPr>
      <w:tblGrid>
        <w:gridCol w:w="1632"/>
        <w:gridCol w:w="1336"/>
        <w:gridCol w:w="1119"/>
        <w:gridCol w:w="1701"/>
        <w:gridCol w:w="2410"/>
        <w:gridCol w:w="1418"/>
      </w:tblGrid>
      <w:tr w:rsidR="00A503D8" w14:paraId="1FC60E04" w14:textId="77777777">
        <w:trPr>
          <w:trHeight w:val="312"/>
        </w:trPr>
        <w:tc>
          <w:tcPr>
            <w:tcW w:w="1632" w:type="dxa"/>
            <w:tcBorders>
              <w:top w:val="single" w:sz="4" w:space="0" w:color="auto"/>
              <w:bottom w:val="single" w:sz="4" w:space="0" w:color="auto"/>
            </w:tcBorders>
            <w:shd w:val="clear" w:color="auto" w:fill="auto"/>
          </w:tcPr>
          <w:p w14:paraId="275F6EB1" w14:textId="77777777" w:rsidR="00A503D8" w:rsidRDefault="00000000">
            <w:pPr>
              <w:adjustRightInd w:val="0"/>
              <w:snapToGrid w:val="0"/>
              <w:spacing w:line="360" w:lineRule="auto"/>
              <w:jc w:val="both"/>
              <w:rPr>
                <w:rFonts w:ascii="Book Antiqua" w:eastAsia="Times New Roman" w:hAnsi="Book Antiqua"/>
                <w:b/>
                <w:bCs/>
                <w:color w:val="000000"/>
                <w:lang w:eastAsia="en-IN"/>
              </w:rPr>
            </w:pPr>
            <w:r>
              <w:rPr>
                <w:rFonts w:ascii="Book Antiqua" w:eastAsia="Times New Roman" w:hAnsi="Book Antiqua"/>
                <w:b/>
                <w:bCs/>
                <w:color w:val="000000"/>
                <w:lang w:eastAsia="en-IN"/>
              </w:rPr>
              <w:t>Target candidate</w:t>
            </w:r>
          </w:p>
        </w:tc>
        <w:tc>
          <w:tcPr>
            <w:tcW w:w="1336" w:type="dxa"/>
            <w:tcBorders>
              <w:top w:val="single" w:sz="4" w:space="0" w:color="auto"/>
              <w:bottom w:val="single" w:sz="4" w:space="0" w:color="auto"/>
            </w:tcBorders>
            <w:shd w:val="clear" w:color="auto" w:fill="auto"/>
          </w:tcPr>
          <w:p w14:paraId="13263B2B" w14:textId="77777777" w:rsidR="00A503D8" w:rsidRDefault="00000000">
            <w:pPr>
              <w:adjustRightInd w:val="0"/>
              <w:snapToGrid w:val="0"/>
              <w:spacing w:line="360" w:lineRule="auto"/>
              <w:jc w:val="both"/>
              <w:rPr>
                <w:rFonts w:ascii="Book Antiqua" w:eastAsia="Times New Roman" w:hAnsi="Book Antiqua"/>
                <w:b/>
                <w:bCs/>
                <w:color w:val="000000"/>
                <w:lang w:eastAsia="en-IN"/>
              </w:rPr>
            </w:pPr>
            <w:r>
              <w:rPr>
                <w:rFonts w:ascii="Book Antiqua" w:eastAsia="Times New Roman" w:hAnsi="Book Antiqua"/>
                <w:b/>
                <w:bCs/>
                <w:color w:val="000000"/>
                <w:lang w:eastAsia="en-IN"/>
              </w:rPr>
              <w:t>Up/down</w:t>
            </w:r>
          </w:p>
        </w:tc>
        <w:tc>
          <w:tcPr>
            <w:tcW w:w="1119" w:type="dxa"/>
            <w:tcBorders>
              <w:top w:val="single" w:sz="4" w:space="0" w:color="auto"/>
              <w:bottom w:val="single" w:sz="4" w:space="0" w:color="auto"/>
            </w:tcBorders>
            <w:shd w:val="clear" w:color="auto" w:fill="auto"/>
          </w:tcPr>
          <w:p w14:paraId="3CB8A34F" w14:textId="77777777" w:rsidR="00A503D8" w:rsidRDefault="00000000">
            <w:pPr>
              <w:adjustRightInd w:val="0"/>
              <w:snapToGrid w:val="0"/>
              <w:spacing w:line="360" w:lineRule="auto"/>
              <w:jc w:val="both"/>
              <w:rPr>
                <w:rFonts w:ascii="Book Antiqua" w:eastAsia="Times New Roman" w:hAnsi="Book Antiqua"/>
                <w:b/>
                <w:bCs/>
                <w:color w:val="000000"/>
                <w:lang w:eastAsia="en-IN"/>
              </w:rPr>
            </w:pPr>
            <w:r>
              <w:rPr>
                <w:rFonts w:ascii="Book Antiqua" w:eastAsia="Times New Roman" w:hAnsi="Book Antiqua"/>
                <w:b/>
                <w:bCs/>
                <w:color w:val="000000"/>
                <w:lang w:eastAsia="en-IN"/>
              </w:rPr>
              <w:t>Sample</w:t>
            </w:r>
          </w:p>
        </w:tc>
        <w:tc>
          <w:tcPr>
            <w:tcW w:w="1701" w:type="dxa"/>
            <w:tcBorders>
              <w:top w:val="single" w:sz="4" w:space="0" w:color="auto"/>
              <w:bottom w:val="single" w:sz="4" w:space="0" w:color="auto"/>
            </w:tcBorders>
            <w:shd w:val="clear" w:color="auto" w:fill="auto"/>
          </w:tcPr>
          <w:p w14:paraId="125DDA81" w14:textId="77777777" w:rsidR="00A503D8" w:rsidRDefault="00000000">
            <w:pPr>
              <w:adjustRightInd w:val="0"/>
              <w:snapToGrid w:val="0"/>
              <w:spacing w:line="360" w:lineRule="auto"/>
              <w:jc w:val="both"/>
              <w:rPr>
                <w:rFonts w:ascii="Book Antiqua" w:eastAsia="Times New Roman" w:hAnsi="Book Antiqua"/>
                <w:b/>
                <w:bCs/>
                <w:color w:val="000000"/>
                <w:lang w:eastAsia="en-IN"/>
              </w:rPr>
            </w:pPr>
            <w:r>
              <w:rPr>
                <w:rFonts w:ascii="Book Antiqua" w:eastAsia="Times New Roman" w:hAnsi="Book Antiqua"/>
                <w:b/>
                <w:bCs/>
                <w:color w:val="000000"/>
                <w:lang w:eastAsia="en-IN"/>
              </w:rPr>
              <w:t>Target</w:t>
            </w:r>
          </w:p>
        </w:tc>
        <w:tc>
          <w:tcPr>
            <w:tcW w:w="2410" w:type="dxa"/>
            <w:tcBorders>
              <w:top w:val="single" w:sz="4" w:space="0" w:color="auto"/>
              <w:bottom w:val="single" w:sz="4" w:space="0" w:color="auto"/>
            </w:tcBorders>
            <w:shd w:val="clear" w:color="auto" w:fill="auto"/>
          </w:tcPr>
          <w:p w14:paraId="3594414F" w14:textId="77777777" w:rsidR="00A503D8" w:rsidRDefault="00000000">
            <w:pPr>
              <w:adjustRightInd w:val="0"/>
              <w:snapToGrid w:val="0"/>
              <w:spacing w:line="360" w:lineRule="auto"/>
              <w:jc w:val="both"/>
              <w:rPr>
                <w:rFonts w:ascii="Book Antiqua" w:eastAsia="Times New Roman" w:hAnsi="Book Antiqua"/>
                <w:b/>
                <w:bCs/>
                <w:color w:val="000000"/>
                <w:lang w:eastAsia="en-IN"/>
              </w:rPr>
            </w:pPr>
            <w:r>
              <w:rPr>
                <w:rFonts w:ascii="Book Antiqua" w:eastAsia="Times New Roman" w:hAnsi="Book Antiqua"/>
                <w:b/>
                <w:bCs/>
                <w:color w:val="000000"/>
                <w:lang w:eastAsia="en-IN"/>
              </w:rPr>
              <w:t>Pathway</w:t>
            </w:r>
          </w:p>
        </w:tc>
        <w:tc>
          <w:tcPr>
            <w:tcW w:w="1418" w:type="dxa"/>
            <w:tcBorders>
              <w:top w:val="single" w:sz="4" w:space="0" w:color="auto"/>
              <w:bottom w:val="single" w:sz="4" w:space="0" w:color="auto"/>
            </w:tcBorders>
            <w:shd w:val="clear" w:color="auto" w:fill="auto"/>
          </w:tcPr>
          <w:p w14:paraId="139A4141" w14:textId="77777777" w:rsidR="00A503D8" w:rsidRDefault="00000000">
            <w:pPr>
              <w:adjustRightInd w:val="0"/>
              <w:snapToGrid w:val="0"/>
              <w:spacing w:line="360" w:lineRule="auto"/>
              <w:jc w:val="both"/>
              <w:rPr>
                <w:rFonts w:ascii="Book Antiqua" w:eastAsia="Times New Roman" w:hAnsi="Book Antiqua"/>
                <w:b/>
                <w:bCs/>
                <w:color w:val="000000"/>
                <w:lang w:eastAsia="en-IN"/>
              </w:rPr>
            </w:pPr>
            <w:r>
              <w:rPr>
                <w:rFonts w:ascii="Book Antiqua" w:eastAsia="Times New Roman" w:hAnsi="Book Antiqua"/>
                <w:b/>
                <w:bCs/>
                <w:color w:val="000000"/>
                <w:lang w:eastAsia="en-IN"/>
              </w:rPr>
              <w:t>Potential value</w:t>
            </w:r>
          </w:p>
        </w:tc>
      </w:tr>
      <w:tr w:rsidR="00A503D8" w14:paraId="02F8C160" w14:textId="77777777">
        <w:trPr>
          <w:trHeight w:val="327"/>
        </w:trPr>
        <w:tc>
          <w:tcPr>
            <w:tcW w:w="1632" w:type="dxa"/>
            <w:tcBorders>
              <w:top w:val="single" w:sz="4" w:space="0" w:color="auto"/>
            </w:tcBorders>
            <w:shd w:val="clear" w:color="auto" w:fill="auto"/>
          </w:tcPr>
          <w:p w14:paraId="0C147A29"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ERBB2</w:t>
            </w:r>
          </w:p>
        </w:tc>
        <w:tc>
          <w:tcPr>
            <w:tcW w:w="1336" w:type="dxa"/>
            <w:tcBorders>
              <w:top w:val="single" w:sz="4" w:space="0" w:color="auto"/>
            </w:tcBorders>
            <w:shd w:val="clear" w:color="auto" w:fill="auto"/>
          </w:tcPr>
          <w:p w14:paraId="089F2E0C"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Up</w:t>
            </w:r>
          </w:p>
        </w:tc>
        <w:tc>
          <w:tcPr>
            <w:tcW w:w="1119" w:type="dxa"/>
            <w:tcBorders>
              <w:top w:val="single" w:sz="4" w:space="0" w:color="auto"/>
            </w:tcBorders>
            <w:shd w:val="clear" w:color="auto" w:fill="auto"/>
          </w:tcPr>
          <w:p w14:paraId="5DB629D8"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Plasma</w:t>
            </w:r>
          </w:p>
        </w:tc>
        <w:tc>
          <w:tcPr>
            <w:tcW w:w="1701" w:type="dxa"/>
            <w:tcBorders>
              <w:top w:val="single" w:sz="4" w:space="0" w:color="auto"/>
            </w:tcBorders>
            <w:shd w:val="clear" w:color="auto" w:fill="auto"/>
          </w:tcPr>
          <w:p w14:paraId="3070391C" w14:textId="6E3A5199"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 xml:space="preserve">Ch 12, </w:t>
            </w:r>
            <w:r w:rsidRPr="002A39AF">
              <w:rPr>
                <w:rFonts w:ascii="Book Antiqua" w:eastAsia="Times New Roman" w:hAnsi="Book Antiqua"/>
                <w:i/>
                <w:iCs/>
                <w:color w:val="000000"/>
                <w:lang w:eastAsia="en-IN"/>
              </w:rPr>
              <w:t>KRAS</w:t>
            </w:r>
          </w:p>
        </w:tc>
        <w:tc>
          <w:tcPr>
            <w:tcW w:w="2410" w:type="dxa"/>
            <w:tcBorders>
              <w:top w:val="single" w:sz="4" w:space="0" w:color="auto"/>
            </w:tcBorders>
            <w:shd w:val="clear" w:color="auto" w:fill="auto"/>
          </w:tcPr>
          <w:p w14:paraId="5C4BA164"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Mutation</w:t>
            </w:r>
          </w:p>
        </w:tc>
        <w:tc>
          <w:tcPr>
            <w:tcW w:w="1418" w:type="dxa"/>
            <w:tcBorders>
              <w:top w:val="single" w:sz="4" w:space="0" w:color="auto"/>
            </w:tcBorders>
            <w:shd w:val="clear" w:color="auto" w:fill="auto"/>
          </w:tcPr>
          <w:p w14:paraId="5C7B5856"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D</w:t>
            </w:r>
          </w:p>
        </w:tc>
      </w:tr>
      <w:tr w:rsidR="00A503D8" w14:paraId="4BF1E100" w14:textId="77777777">
        <w:trPr>
          <w:trHeight w:val="327"/>
        </w:trPr>
        <w:tc>
          <w:tcPr>
            <w:tcW w:w="1632" w:type="dxa"/>
            <w:shd w:val="clear" w:color="auto" w:fill="auto"/>
          </w:tcPr>
          <w:p w14:paraId="1C1F2318"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CDKN2A</w:t>
            </w:r>
          </w:p>
        </w:tc>
        <w:tc>
          <w:tcPr>
            <w:tcW w:w="1336" w:type="dxa"/>
            <w:shd w:val="clear" w:color="auto" w:fill="auto"/>
          </w:tcPr>
          <w:p w14:paraId="7192116E"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Down</w:t>
            </w:r>
          </w:p>
        </w:tc>
        <w:tc>
          <w:tcPr>
            <w:tcW w:w="1119" w:type="dxa"/>
            <w:shd w:val="clear" w:color="auto" w:fill="auto"/>
          </w:tcPr>
          <w:p w14:paraId="0BB3A545"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Plasma</w:t>
            </w:r>
          </w:p>
        </w:tc>
        <w:tc>
          <w:tcPr>
            <w:tcW w:w="1701" w:type="dxa"/>
            <w:shd w:val="clear" w:color="auto" w:fill="auto"/>
          </w:tcPr>
          <w:p w14:paraId="05D808BC" w14:textId="4E594EA5"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Gene, Ch 9p21</w:t>
            </w:r>
          </w:p>
        </w:tc>
        <w:tc>
          <w:tcPr>
            <w:tcW w:w="2410" w:type="dxa"/>
            <w:shd w:val="clear" w:color="auto" w:fill="auto"/>
          </w:tcPr>
          <w:p w14:paraId="4BD3BE68"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Mutation</w:t>
            </w:r>
          </w:p>
        </w:tc>
        <w:tc>
          <w:tcPr>
            <w:tcW w:w="1418" w:type="dxa"/>
            <w:shd w:val="clear" w:color="auto" w:fill="auto"/>
          </w:tcPr>
          <w:p w14:paraId="153C78C5"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D</w:t>
            </w:r>
          </w:p>
        </w:tc>
      </w:tr>
      <w:tr w:rsidR="00A503D8" w14:paraId="741FE921" w14:textId="77777777">
        <w:trPr>
          <w:trHeight w:val="327"/>
        </w:trPr>
        <w:tc>
          <w:tcPr>
            <w:tcW w:w="1632" w:type="dxa"/>
            <w:shd w:val="clear" w:color="auto" w:fill="auto"/>
          </w:tcPr>
          <w:p w14:paraId="1951A920"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SMAD4</w:t>
            </w:r>
          </w:p>
        </w:tc>
        <w:tc>
          <w:tcPr>
            <w:tcW w:w="1336" w:type="dxa"/>
            <w:shd w:val="clear" w:color="auto" w:fill="auto"/>
          </w:tcPr>
          <w:p w14:paraId="6CD1E838"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Down</w:t>
            </w:r>
          </w:p>
        </w:tc>
        <w:tc>
          <w:tcPr>
            <w:tcW w:w="1119" w:type="dxa"/>
            <w:shd w:val="clear" w:color="auto" w:fill="auto"/>
          </w:tcPr>
          <w:p w14:paraId="4BC6A401"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Plasma</w:t>
            </w:r>
          </w:p>
        </w:tc>
        <w:tc>
          <w:tcPr>
            <w:tcW w:w="1701" w:type="dxa"/>
            <w:shd w:val="clear" w:color="auto" w:fill="auto"/>
          </w:tcPr>
          <w:p w14:paraId="1E8E975A"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TGFβ</w:t>
            </w:r>
          </w:p>
        </w:tc>
        <w:tc>
          <w:tcPr>
            <w:tcW w:w="2410" w:type="dxa"/>
            <w:shd w:val="clear" w:color="auto" w:fill="auto"/>
          </w:tcPr>
          <w:p w14:paraId="5F511B21"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Cell signaling</w:t>
            </w:r>
          </w:p>
        </w:tc>
        <w:tc>
          <w:tcPr>
            <w:tcW w:w="1418" w:type="dxa"/>
            <w:shd w:val="clear" w:color="auto" w:fill="auto"/>
          </w:tcPr>
          <w:p w14:paraId="458AAD1C"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D</w:t>
            </w:r>
          </w:p>
        </w:tc>
      </w:tr>
      <w:tr w:rsidR="00A503D8" w14:paraId="1D7E4D55" w14:textId="77777777">
        <w:trPr>
          <w:trHeight w:val="327"/>
        </w:trPr>
        <w:tc>
          <w:tcPr>
            <w:tcW w:w="1632" w:type="dxa"/>
            <w:shd w:val="clear" w:color="auto" w:fill="auto"/>
          </w:tcPr>
          <w:p w14:paraId="073F8EA7"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TP53</w:t>
            </w:r>
          </w:p>
        </w:tc>
        <w:tc>
          <w:tcPr>
            <w:tcW w:w="1336" w:type="dxa"/>
            <w:shd w:val="clear" w:color="auto" w:fill="auto"/>
          </w:tcPr>
          <w:p w14:paraId="2C50534B"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Down</w:t>
            </w:r>
          </w:p>
        </w:tc>
        <w:tc>
          <w:tcPr>
            <w:tcW w:w="1119" w:type="dxa"/>
            <w:shd w:val="clear" w:color="auto" w:fill="auto"/>
          </w:tcPr>
          <w:p w14:paraId="209827AF"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Plasma</w:t>
            </w:r>
          </w:p>
        </w:tc>
        <w:tc>
          <w:tcPr>
            <w:tcW w:w="1701" w:type="dxa"/>
            <w:shd w:val="clear" w:color="auto" w:fill="auto"/>
          </w:tcPr>
          <w:p w14:paraId="08372A56"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P53 protein</w:t>
            </w:r>
          </w:p>
        </w:tc>
        <w:tc>
          <w:tcPr>
            <w:tcW w:w="2410" w:type="dxa"/>
            <w:shd w:val="clear" w:color="auto" w:fill="auto"/>
          </w:tcPr>
          <w:p w14:paraId="475FDCD7"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Mutation/cell signaling</w:t>
            </w:r>
          </w:p>
        </w:tc>
        <w:tc>
          <w:tcPr>
            <w:tcW w:w="1418" w:type="dxa"/>
            <w:shd w:val="clear" w:color="auto" w:fill="auto"/>
          </w:tcPr>
          <w:p w14:paraId="43A7F567"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D</w:t>
            </w:r>
          </w:p>
        </w:tc>
      </w:tr>
      <w:tr w:rsidR="00A503D8" w14:paraId="76B954AA" w14:textId="77777777">
        <w:trPr>
          <w:trHeight w:val="639"/>
        </w:trPr>
        <w:tc>
          <w:tcPr>
            <w:tcW w:w="1632" w:type="dxa"/>
            <w:shd w:val="clear" w:color="auto" w:fill="auto"/>
          </w:tcPr>
          <w:p w14:paraId="11697259"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EGFR</w:t>
            </w:r>
          </w:p>
        </w:tc>
        <w:tc>
          <w:tcPr>
            <w:tcW w:w="1336" w:type="dxa"/>
            <w:shd w:val="clear" w:color="auto" w:fill="auto"/>
          </w:tcPr>
          <w:p w14:paraId="15548A37"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Up</w:t>
            </w:r>
          </w:p>
        </w:tc>
        <w:tc>
          <w:tcPr>
            <w:tcW w:w="1119" w:type="dxa"/>
            <w:shd w:val="clear" w:color="auto" w:fill="auto"/>
          </w:tcPr>
          <w:p w14:paraId="67471733"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Plasma</w:t>
            </w:r>
          </w:p>
        </w:tc>
        <w:tc>
          <w:tcPr>
            <w:tcW w:w="1701" w:type="dxa"/>
            <w:shd w:val="clear" w:color="auto" w:fill="auto"/>
          </w:tcPr>
          <w:p w14:paraId="2D51FAB6"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Exon 19, 21</w:t>
            </w:r>
          </w:p>
        </w:tc>
        <w:tc>
          <w:tcPr>
            <w:tcW w:w="2410" w:type="dxa"/>
            <w:shd w:val="clear" w:color="auto" w:fill="auto"/>
          </w:tcPr>
          <w:p w14:paraId="3D0BE345"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Cell signaling/mutation</w:t>
            </w:r>
          </w:p>
        </w:tc>
        <w:tc>
          <w:tcPr>
            <w:tcW w:w="1418" w:type="dxa"/>
            <w:shd w:val="clear" w:color="auto" w:fill="auto"/>
          </w:tcPr>
          <w:p w14:paraId="0C1AAF07"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D</w:t>
            </w:r>
          </w:p>
        </w:tc>
      </w:tr>
      <w:tr w:rsidR="00A503D8" w14:paraId="0A9B6421" w14:textId="77777777">
        <w:trPr>
          <w:trHeight w:val="639"/>
        </w:trPr>
        <w:tc>
          <w:tcPr>
            <w:tcW w:w="1632" w:type="dxa"/>
            <w:shd w:val="clear" w:color="auto" w:fill="auto"/>
          </w:tcPr>
          <w:p w14:paraId="3EF1F5A5"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PBRM1</w:t>
            </w:r>
          </w:p>
        </w:tc>
        <w:tc>
          <w:tcPr>
            <w:tcW w:w="1336" w:type="dxa"/>
            <w:shd w:val="clear" w:color="auto" w:fill="auto"/>
          </w:tcPr>
          <w:p w14:paraId="63698664"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Down</w:t>
            </w:r>
          </w:p>
        </w:tc>
        <w:tc>
          <w:tcPr>
            <w:tcW w:w="1119" w:type="dxa"/>
            <w:shd w:val="clear" w:color="auto" w:fill="auto"/>
          </w:tcPr>
          <w:p w14:paraId="6255A728"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Plasma</w:t>
            </w:r>
          </w:p>
        </w:tc>
        <w:tc>
          <w:tcPr>
            <w:tcW w:w="1701" w:type="dxa"/>
            <w:shd w:val="clear" w:color="auto" w:fill="auto"/>
          </w:tcPr>
          <w:p w14:paraId="0AFA9AE7"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SWI/SNF ch remodeling comp</w:t>
            </w:r>
          </w:p>
        </w:tc>
        <w:tc>
          <w:tcPr>
            <w:tcW w:w="2410" w:type="dxa"/>
            <w:shd w:val="clear" w:color="auto" w:fill="auto"/>
          </w:tcPr>
          <w:p w14:paraId="4B153C93"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Mutation, immune checkpoint blockade</w:t>
            </w:r>
          </w:p>
        </w:tc>
        <w:tc>
          <w:tcPr>
            <w:tcW w:w="1418" w:type="dxa"/>
            <w:shd w:val="clear" w:color="auto" w:fill="auto"/>
          </w:tcPr>
          <w:p w14:paraId="08C1B723"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D</w:t>
            </w:r>
          </w:p>
        </w:tc>
      </w:tr>
      <w:tr w:rsidR="00A503D8" w14:paraId="267985BB" w14:textId="77777777">
        <w:trPr>
          <w:trHeight w:val="951"/>
        </w:trPr>
        <w:tc>
          <w:tcPr>
            <w:tcW w:w="1632" w:type="dxa"/>
            <w:shd w:val="clear" w:color="auto" w:fill="auto"/>
          </w:tcPr>
          <w:p w14:paraId="065CF220"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KMT2D</w:t>
            </w:r>
          </w:p>
        </w:tc>
        <w:tc>
          <w:tcPr>
            <w:tcW w:w="1336" w:type="dxa"/>
            <w:shd w:val="clear" w:color="auto" w:fill="auto"/>
          </w:tcPr>
          <w:p w14:paraId="36C16894"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Down</w:t>
            </w:r>
          </w:p>
        </w:tc>
        <w:tc>
          <w:tcPr>
            <w:tcW w:w="1119" w:type="dxa"/>
            <w:shd w:val="clear" w:color="auto" w:fill="auto"/>
          </w:tcPr>
          <w:p w14:paraId="34D5BD06"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Plasma</w:t>
            </w:r>
          </w:p>
        </w:tc>
        <w:tc>
          <w:tcPr>
            <w:tcW w:w="1701" w:type="dxa"/>
            <w:shd w:val="clear" w:color="auto" w:fill="auto"/>
          </w:tcPr>
          <w:p w14:paraId="06C15F0F"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FOX1-miR-1224, HIF/GATA5-miR-133a</w:t>
            </w:r>
          </w:p>
        </w:tc>
        <w:tc>
          <w:tcPr>
            <w:tcW w:w="2410" w:type="dxa"/>
            <w:shd w:val="clear" w:color="auto" w:fill="auto"/>
          </w:tcPr>
          <w:p w14:paraId="436867B0"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Mutation</w:t>
            </w:r>
          </w:p>
        </w:tc>
        <w:tc>
          <w:tcPr>
            <w:tcW w:w="1418" w:type="dxa"/>
            <w:shd w:val="clear" w:color="auto" w:fill="auto"/>
          </w:tcPr>
          <w:p w14:paraId="175EAF58"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D</w:t>
            </w:r>
          </w:p>
        </w:tc>
      </w:tr>
      <w:tr w:rsidR="00A503D8" w14:paraId="48F1DF12" w14:textId="77777777">
        <w:trPr>
          <w:trHeight w:val="327"/>
        </w:trPr>
        <w:tc>
          <w:tcPr>
            <w:tcW w:w="1632" w:type="dxa"/>
            <w:shd w:val="clear" w:color="auto" w:fill="auto"/>
          </w:tcPr>
          <w:p w14:paraId="1F0C2AB5"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RNF43</w:t>
            </w:r>
          </w:p>
        </w:tc>
        <w:tc>
          <w:tcPr>
            <w:tcW w:w="1336" w:type="dxa"/>
            <w:shd w:val="clear" w:color="auto" w:fill="auto"/>
          </w:tcPr>
          <w:p w14:paraId="30CF1814"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Down</w:t>
            </w:r>
          </w:p>
        </w:tc>
        <w:tc>
          <w:tcPr>
            <w:tcW w:w="1119" w:type="dxa"/>
            <w:shd w:val="clear" w:color="auto" w:fill="auto"/>
          </w:tcPr>
          <w:p w14:paraId="13DB8532"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Plasma</w:t>
            </w:r>
          </w:p>
        </w:tc>
        <w:tc>
          <w:tcPr>
            <w:tcW w:w="1701" w:type="dxa"/>
            <w:shd w:val="clear" w:color="auto" w:fill="auto"/>
          </w:tcPr>
          <w:p w14:paraId="67917F0B"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RNF43PROTEIN</w:t>
            </w:r>
          </w:p>
        </w:tc>
        <w:tc>
          <w:tcPr>
            <w:tcW w:w="2410" w:type="dxa"/>
            <w:shd w:val="clear" w:color="auto" w:fill="auto"/>
          </w:tcPr>
          <w:p w14:paraId="53C3A575"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Wnt signaling</w:t>
            </w:r>
          </w:p>
        </w:tc>
        <w:tc>
          <w:tcPr>
            <w:tcW w:w="1418" w:type="dxa"/>
            <w:shd w:val="clear" w:color="auto" w:fill="auto"/>
          </w:tcPr>
          <w:p w14:paraId="13AF58E4"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D</w:t>
            </w:r>
          </w:p>
        </w:tc>
      </w:tr>
      <w:tr w:rsidR="00A503D8" w14:paraId="4CDD73F2" w14:textId="77777777">
        <w:trPr>
          <w:trHeight w:val="327"/>
        </w:trPr>
        <w:tc>
          <w:tcPr>
            <w:tcW w:w="1632" w:type="dxa"/>
            <w:shd w:val="clear" w:color="auto" w:fill="auto"/>
          </w:tcPr>
          <w:p w14:paraId="020790E1"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TP63</w:t>
            </w:r>
          </w:p>
        </w:tc>
        <w:tc>
          <w:tcPr>
            <w:tcW w:w="1336" w:type="dxa"/>
            <w:shd w:val="clear" w:color="auto" w:fill="auto"/>
          </w:tcPr>
          <w:p w14:paraId="774DCB52"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Down</w:t>
            </w:r>
          </w:p>
        </w:tc>
        <w:tc>
          <w:tcPr>
            <w:tcW w:w="1119" w:type="dxa"/>
            <w:shd w:val="clear" w:color="auto" w:fill="auto"/>
          </w:tcPr>
          <w:p w14:paraId="7E7E02D9"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Plasma</w:t>
            </w:r>
          </w:p>
        </w:tc>
        <w:tc>
          <w:tcPr>
            <w:tcW w:w="1701" w:type="dxa"/>
            <w:shd w:val="clear" w:color="auto" w:fill="auto"/>
          </w:tcPr>
          <w:p w14:paraId="43402B8E"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P63 protein</w:t>
            </w:r>
          </w:p>
        </w:tc>
        <w:tc>
          <w:tcPr>
            <w:tcW w:w="2410" w:type="dxa"/>
            <w:shd w:val="clear" w:color="auto" w:fill="auto"/>
          </w:tcPr>
          <w:p w14:paraId="0FD3AFA5"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Cell signaling</w:t>
            </w:r>
          </w:p>
        </w:tc>
        <w:tc>
          <w:tcPr>
            <w:tcW w:w="1418" w:type="dxa"/>
            <w:shd w:val="clear" w:color="auto" w:fill="auto"/>
          </w:tcPr>
          <w:p w14:paraId="4706043D"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D</w:t>
            </w:r>
          </w:p>
        </w:tc>
      </w:tr>
      <w:tr w:rsidR="00A503D8" w14:paraId="2478B7E4" w14:textId="77777777">
        <w:trPr>
          <w:trHeight w:val="327"/>
        </w:trPr>
        <w:tc>
          <w:tcPr>
            <w:tcW w:w="1632" w:type="dxa"/>
            <w:shd w:val="clear" w:color="auto" w:fill="auto"/>
          </w:tcPr>
          <w:p w14:paraId="66B5F84F"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lastRenderedPageBreak/>
              <w:t>MTOR</w:t>
            </w:r>
          </w:p>
        </w:tc>
        <w:tc>
          <w:tcPr>
            <w:tcW w:w="1336" w:type="dxa"/>
            <w:shd w:val="clear" w:color="auto" w:fill="auto"/>
          </w:tcPr>
          <w:p w14:paraId="6E03D007"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Up</w:t>
            </w:r>
          </w:p>
        </w:tc>
        <w:tc>
          <w:tcPr>
            <w:tcW w:w="1119" w:type="dxa"/>
            <w:shd w:val="clear" w:color="auto" w:fill="auto"/>
          </w:tcPr>
          <w:p w14:paraId="23509AE0"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Plasma</w:t>
            </w:r>
          </w:p>
        </w:tc>
        <w:tc>
          <w:tcPr>
            <w:tcW w:w="1701" w:type="dxa"/>
            <w:shd w:val="clear" w:color="auto" w:fill="auto"/>
          </w:tcPr>
          <w:p w14:paraId="66524071"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mTOR</w:t>
            </w:r>
          </w:p>
        </w:tc>
        <w:tc>
          <w:tcPr>
            <w:tcW w:w="2410" w:type="dxa"/>
            <w:shd w:val="clear" w:color="auto" w:fill="auto"/>
          </w:tcPr>
          <w:p w14:paraId="7C7F0A4F" w14:textId="326E1746"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mTOR signaling</w:t>
            </w:r>
          </w:p>
        </w:tc>
        <w:tc>
          <w:tcPr>
            <w:tcW w:w="1418" w:type="dxa"/>
            <w:shd w:val="clear" w:color="auto" w:fill="auto"/>
          </w:tcPr>
          <w:p w14:paraId="30BB820B"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D</w:t>
            </w:r>
          </w:p>
        </w:tc>
      </w:tr>
      <w:tr w:rsidR="00A503D8" w14:paraId="2A98FCF7" w14:textId="77777777">
        <w:trPr>
          <w:trHeight w:val="327"/>
        </w:trPr>
        <w:tc>
          <w:tcPr>
            <w:tcW w:w="1632" w:type="dxa"/>
            <w:shd w:val="clear" w:color="auto" w:fill="auto"/>
          </w:tcPr>
          <w:p w14:paraId="46335BC7"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NRAS</w:t>
            </w:r>
          </w:p>
        </w:tc>
        <w:tc>
          <w:tcPr>
            <w:tcW w:w="1336" w:type="dxa"/>
            <w:shd w:val="clear" w:color="auto" w:fill="auto"/>
          </w:tcPr>
          <w:p w14:paraId="3B54B2BE"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Up</w:t>
            </w:r>
          </w:p>
        </w:tc>
        <w:tc>
          <w:tcPr>
            <w:tcW w:w="1119" w:type="dxa"/>
            <w:shd w:val="clear" w:color="auto" w:fill="auto"/>
          </w:tcPr>
          <w:p w14:paraId="3B59E782"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Plasma</w:t>
            </w:r>
          </w:p>
        </w:tc>
        <w:tc>
          <w:tcPr>
            <w:tcW w:w="1701" w:type="dxa"/>
            <w:shd w:val="clear" w:color="auto" w:fill="auto"/>
          </w:tcPr>
          <w:p w14:paraId="031340D2" w14:textId="77777777" w:rsidR="00A503D8" w:rsidRDefault="00000000">
            <w:pPr>
              <w:adjustRightInd w:val="0"/>
              <w:snapToGrid w:val="0"/>
              <w:spacing w:line="360" w:lineRule="auto"/>
              <w:jc w:val="both"/>
              <w:rPr>
                <w:rFonts w:ascii="Book Antiqua" w:eastAsia="Times New Roman" w:hAnsi="Book Antiqua"/>
                <w:color w:val="000000"/>
                <w:lang w:eastAsia="en-IN"/>
              </w:rPr>
            </w:pPr>
            <w:r w:rsidRPr="002A39AF">
              <w:rPr>
                <w:rFonts w:ascii="Book Antiqua" w:eastAsia="Times New Roman" w:hAnsi="Book Antiqua"/>
                <w:i/>
                <w:iCs/>
                <w:color w:val="000000"/>
                <w:lang w:eastAsia="en-IN"/>
              </w:rPr>
              <w:t>NRAS</w:t>
            </w:r>
          </w:p>
        </w:tc>
        <w:tc>
          <w:tcPr>
            <w:tcW w:w="2410" w:type="dxa"/>
            <w:shd w:val="clear" w:color="auto" w:fill="auto"/>
          </w:tcPr>
          <w:p w14:paraId="14AA5C8F"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Mutation</w:t>
            </w:r>
          </w:p>
        </w:tc>
        <w:tc>
          <w:tcPr>
            <w:tcW w:w="1418" w:type="dxa"/>
            <w:shd w:val="clear" w:color="auto" w:fill="auto"/>
          </w:tcPr>
          <w:p w14:paraId="66AD8A21"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D</w:t>
            </w:r>
          </w:p>
        </w:tc>
      </w:tr>
      <w:tr w:rsidR="00A503D8" w14:paraId="223E8E44" w14:textId="77777777">
        <w:trPr>
          <w:trHeight w:val="327"/>
        </w:trPr>
        <w:tc>
          <w:tcPr>
            <w:tcW w:w="1632" w:type="dxa"/>
            <w:shd w:val="clear" w:color="auto" w:fill="auto"/>
          </w:tcPr>
          <w:p w14:paraId="4A2D5590"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HRAS</w:t>
            </w:r>
          </w:p>
        </w:tc>
        <w:tc>
          <w:tcPr>
            <w:tcW w:w="1336" w:type="dxa"/>
            <w:shd w:val="clear" w:color="auto" w:fill="auto"/>
          </w:tcPr>
          <w:p w14:paraId="48385A3E"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Up</w:t>
            </w:r>
          </w:p>
        </w:tc>
        <w:tc>
          <w:tcPr>
            <w:tcW w:w="1119" w:type="dxa"/>
            <w:shd w:val="clear" w:color="auto" w:fill="auto"/>
          </w:tcPr>
          <w:p w14:paraId="34EAC9B3"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Plasma</w:t>
            </w:r>
          </w:p>
        </w:tc>
        <w:tc>
          <w:tcPr>
            <w:tcW w:w="1701" w:type="dxa"/>
            <w:shd w:val="clear" w:color="auto" w:fill="auto"/>
          </w:tcPr>
          <w:p w14:paraId="2E48B551" w14:textId="77777777" w:rsidR="00A503D8" w:rsidRDefault="00000000">
            <w:pPr>
              <w:adjustRightInd w:val="0"/>
              <w:snapToGrid w:val="0"/>
              <w:spacing w:line="360" w:lineRule="auto"/>
              <w:jc w:val="both"/>
              <w:rPr>
                <w:rFonts w:ascii="Book Antiqua" w:eastAsia="Times New Roman" w:hAnsi="Book Antiqua"/>
                <w:color w:val="000000"/>
                <w:lang w:eastAsia="en-IN"/>
              </w:rPr>
            </w:pPr>
            <w:r w:rsidRPr="002A39AF">
              <w:rPr>
                <w:rFonts w:ascii="Book Antiqua" w:eastAsia="Times New Roman" w:hAnsi="Book Antiqua"/>
                <w:i/>
                <w:iCs/>
                <w:color w:val="000000"/>
                <w:lang w:eastAsia="en-IN"/>
              </w:rPr>
              <w:t>HRAS</w:t>
            </w:r>
          </w:p>
        </w:tc>
        <w:tc>
          <w:tcPr>
            <w:tcW w:w="2410" w:type="dxa"/>
            <w:shd w:val="clear" w:color="auto" w:fill="auto"/>
          </w:tcPr>
          <w:p w14:paraId="36609D5F"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Mutation</w:t>
            </w:r>
          </w:p>
        </w:tc>
        <w:tc>
          <w:tcPr>
            <w:tcW w:w="1418" w:type="dxa"/>
            <w:shd w:val="clear" w:color="auto" w:fill="auto"/>
          </w:tcPr>
          <w:p w14:paraId="33822126"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D</w:t>
            </w:r>
          </w:p>
        </w:tc>
      </w:tr>
      <w:tr w:rsidR="00A503D8" w14:paraId="3253F72D" w14:textId="77777777">
        <w:trPr>
          <w:trHeight w:val="327"/>
        </w:trPr>
        <w:tc>
          <w:tcPr>
            <w:tcW w:w="1632" w:type="dxa"/>
            <w:shd w:val="clear" w:color="auto" w:fill="auto"/>
          </w:tcPr>
          <w:p w14:paraId="54E489EA"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BRCA1</w:t>
            </w:r>
          </w:p>
        </w:tc>
        <w:tc>
          <w:tcPr>
            <w:tcW w:w="1336" w:type="dxa"/>
            <w:shd w:val="clear" w:color="auto" w:fill="auto"/>
          </w:tcPr>
          <w:p w14:paraId="5E8BAD39"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Down</w:t>
            </w:r>
          </w:p>
        </w:tc>
        <w:tc>
          <w:tcPr>
            <w:tcW w:w="1119" w:type="dxa"/>
            <w:shd w:val="clear" w:color="auto" w:fill="auto"/>
          </w:tcPr>
          <w:p w14:paraId="2F814E08"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Plasma</w:t>
            </w:r>
          </w:p>
        </w:tc>
        <w:tc>
          <w:tcPr>
            <w:tcW w:w="1701" w:type="dxa"/>
            <w:shd w:val="clear" w:color="auto" w:fill="auto"/>
          </w:tcPr>
          <w:p w14:paraId="0E9B5915"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BRCA1</w:t>
            </w:r>
          </w:p>
        </w:tc>
        <w:tc>
          <w:tcPr>
            <w:tcW w:w="2410" w:type="dxa"/>
            <w:shd w:val="clear" w:color="auto" w:fill="auto"/>
          </w:tcPr>
          <w:p w14:paraId="78B53BBD"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Signaling</w:t>
            </w:r>
          </w:p>
        </w:tc>
        <w:tc>
          <w:tcPr>
            <w:tcW w:w="1418" w:type="dxa"/>
            <w:shd w:val="clear" w:color="auto" w:fill="auto"/>
          </w:tcPr>
          <w:p w14:paraId="5BC1BBF1"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D</w:t>
            </w:r>
          </w:p>
        </w:tc>
      </w:tr>
      <w:tr w:rsidR="00A503D8" w14:paraId="42A23E62" w14:textId="77777777">
        <w:trPr>
          <w:trHeight w:val="327"/>
        </w:trPr>
        <w:tc>
          <w:tcPr>
            <w:tcW w:w="1632" w:type="dxa"/>
            <w:shd w:val="clear" w:color="auto" w:fill="auto"/>
          </w:tcPr>
          <w:p w14:paraId="5A3E3F08"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BRCA2</w:t>
            </w:r>
          </w:p>
        </w:tc>
        <w:tc>
          <w:tcPr>
            <w:tcW w:w="1336" w:type="dxa"/>
            <w:shd w:val="clear" w:color="auto" w:fill="auto"/>
          </w:tcPr>
          <w:p w14:paraId="2104ECE6"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Down</w:t>
            </w:r>
          </w:p>
        </w:tc>
        <w:tc>
          <w:tcPr>
            <w:tcW w:w="1119" w:type="dxa"/>
            <w:shd w:val="clear" w:color="auto" w:fill="auto"/>
          </w:tcPr>
          <w:p w14:paraId="550108F9"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Plasma</w:t>
            </w:r>
          </w:p>
        </w:tc>
        <w:tc>
          <w:tcPr>
            <w:tcW w:w="1701" w:type="dxa"/>
            <w:shd w:val="clear" w:color="auto" w:fill="auto"/>
          </w:tcPr>
          <w:p w14:paraId="23C214FF"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BRCA2</w:t>
            </w:r>
          </w:p>
        </w:tc>
        <w:tc>
          <w:tcPr>
            <w:tcW w:w="2410" w:type="dxa"/>
            <w:shd w:val="clear" w:color="auto" w:fill="auto"/>
          </w:tcPr>
          <w:p w14:paraId="67AC3AA0"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Signaling</w:t>
            </w:r>
          </w:p>
        </w:tc>
        <w:tc>
          <w:tcPr>
            <w:tcW w:w="1418" w:type="dxa"/>
            <w:shd w:val="clear" w:color="auto" w:fill="auto"/>
          </w:tcPr>
          <w:p w14:paraId="5551EA9C"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D</w:t>
            </w:r>
          </w:p>
        </w:tc>
      </w:tr>
      <w:tr w:rsidR="00A503D8" w14:paraId="72F3743A" w14:textId="77777777">
        <w:trPr>
          <w:trHeight w:val="327"/>
        </w:trPr>
        <w:tc>
          <w:tcPr>
            <w:tcW w:w="1632" w:type="dxa"/>
            <w:shd w:val="clear" w:color="auto" w:fill="auto"/>
          </w:tcPr>
          <w:p w14:paraId="65401C07"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PALB2</w:t>
            </w:r>
          </w:p>
        </w:tc>
        <w:tc>
          <w:tcPr>
            <w:tcW w:w="1336" w:type="dxa"/>
            <w:shd w:val="clear" w:color="auto" w:fill="auto"/>
          </w:tcPr>
          <w:p w14:paraId="67801DFE"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Up</w:t>
            </w:r>
          </w:p>
        </w:tc>
        <w:tc>
          <w:tcPr>
            <w:tcW w:w="1119" w:type="dxa"/>
            <w:shd w:val="clear" w:color="auto" w:fill="auto"/>
          </w:tcPr>
          <w:p w14:paraId="390B973B"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Plasma</w:t>
            </w:r>
          </w:p>
        </w:tc>
        <w:tc>
          <w:tcPr>
            <w:tcW w:w="1701" w:type="dxa"/>
            <w:shd w:val="clear" w:color="auto" w:fill="auto"/>
          </w:tcPr>
          <w:p w14:paraId="0CB572E0"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PALB2</w:t>
            </w:r>
          </w:p>
        </w:tc>
        <w:tc>
          <w:tcPr>
            <w:tcW w:w="2410" w:type="dxa"/>
            <w:shd w:val="clear" w:color="auto" w:fill="auto"/>
          </w:tcPr>
          <w:p w14:paraId="2804B6F2"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Signaling/mutation</w:t>
            </w:r>
          </w:p>
        </w:tc>
        <w:tc>
          <w:tcPr>
            <w:tcW w:w="1418" w:type="dxa"/>
            <w:shd w:val="clear" w:color="auto" w:fill="auto"/>
          </w:tcPr>
          <w:p w14:paraId="57EB24E6"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D</w:t>
            </w:r>
          </w:p>
        </w:tc>
      </w:tr>
      <w:tr w:rsidR="00A503D8" w14:paraId="0C120FA9" w14:textId="77777777">
        <w:trPr>
          <w:trHeight w:val="1263"/>
        </w:trPr>
        <w:tc>
          <w:tcPr>
            <w:tcW w:w="1632" w:type="dxa"/>
            <w:shd w:val="clear" w:color="auto" w:fill="auto"/>
          </w:tcPr>
          <w:p w14:paraId="00BECBC3"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GPC1</w:t>
            </w:r>
          </w:p>
        </w:tc>
        <w:tc>
          <w:tcPr>
            <w:tcW w:w="1336" w:type="dxa"/>
            <w:shd w:val="clear" w:color="auto" w:fill="auto"/>
          </w:tcPr>
          <w:p w14:paraId="329BA087"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Up</w:t>
            </w:r>
          </w:p>
        </w:tc>
        <w:tc>
          <w:tcPr>
            <w:tcW w:w="1119" w:type="dxa"/>
            <w:shd w:val="clear" w:color="auto" w:fill="auto"/>
          </w:tcPr>
          <w:p w14:paraId="176A26B9"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Serum</w:t>
            </w:r>
          </w:p>
        </w:tc>
        <w:tc>
          <w:tcPr>
            <w:tcW w:w="1701" w:type="dxa"/>
            <w:shd w:val="clear" w:color="auto" w:fill="auto"/>
          </w:tcPr>
          <w:p w14:paraId="5E5C57B7"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MAPK, PI3K-AKT-mTOR, Hedgehog signaling</w:t>
            </w:r>
          </w:p>
        </w:tc>
        <w:tc>
          <w:tcPr>
            <w:tcW w:w="2410" w:type="dxa"/>
            <w:shd w:val="clear" w:color="auto" w:fill="auto"/>
          </w:tcPr>
          <w:p w14:paraId="179DFB23"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Cell signaling</w:t>
            </w:r>
          </w:p>
        </w:tc>
        <w:tc>
          <w:tcPr>
            <w:tcW w:w="1418" w:type="dxa"/>
            <w:shd w:val="clear" w:color="auto" w:fill="auto"/>
          </w:tcPr>
          <w:p w14:paraId="22B81BDF"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D</w:t>
            </w:r>
          </w:p>
        </w:tc>
      </w:tr>
      <w:tr w:rsidR="00A503D8" w14:paraId="571E4098" w14:textId="77777777">
        <w:trPr>
          <w:trHeight w:val="1263"/>
        </w:trPr>
        <w:tc>
          <w:tcPr>
            <w:tcW w:w="1632" w:type="dxa"/>
            <w:shd w:val="clear" w:color="auto" w:fill="auto"/>
          </w:tcPr>
          <w:p w14:paraId="2BEF6B1C"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PFAA</w:t>
            </w:r>
          </w:p>
        </w:tc>
        <w:tc>
          <w:tcPr>
            <w:tcW w:w="1336" w:type="dxa"/>
            <w:shd w:val="clear" w:color="auto" w:fill="auto"/>
          </w:tcPr>
          <w:p w14:paraId="1AECEB2A"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Up</w:t>
            </w:r>
          </w:p>
        </w:tc>
        <w:tc>
          <w:tcPr>
            <w:tcW w:w="1119" w:type="dxa"/>
            <w:shd w:val="clear" w:color="auto" w:fill="auto"/>
          </w:tcPr>
          <w:p w14:paraId="0E066382"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Serum</w:t>
            </w:r>
          </w:p>
        </w:tc>
        <w:tc>
          <w:tcPr>
            <w:tcW w:w="1701" w:type="dxa"/>
            <w:shd w:val="clear" w:color="auto" w:fill="auto"/>
          </w:tcPr>
          <w:p w14:paraId="26241D03"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MAPK, PI3K-AKT-mTOR, Hedgehog signaling</w:t>
            </w:r>
          </w:p>
        </w:tc>
        <w:tc>
          <w:tcPr>
            <w:tcW w:w="2410" w:type="dxa"/>
            <w:shd w:val="clear" w:color="auto" w:fill="auto"/>
          </w:tcPr>
          <w:p w14:paraId="5279CB10"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Cell signaling</w:t>
            </w:r>
          </w:p>
        </w:tc>
        <w:tc>
          <w:tcPr>
            <w:tcW w:w="1418" w:type="dxa"/>
            <w:shd w:val="clear" w:color="auto" w:fill="auto"/>
          </w:tcPr>
          <w:p w14:paraId="25700FE3"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D</w:t>
            </w:r>
          </w:p>
        </w:tc>
      </w:tr>
      <w:tr w:rsidR="00A503D8" w14:paraId="1CDC48F4" w14:textId="77777777">
        <w:trPr>
          <w:trHeight w:val="951"/>
        </w:trPr>
        <w:tc>
          <w:tcPr>
            <w:tcW w:w="1632" w:type="dxa"/>
            <w:shd w:val="clear" w:color="auto" w:fill="auto"/>
          </w:tcPr>
          <w:p w14:paraId="3EA0EBD9"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OPNT+TIMP-1</w:t>
            </w:r>
          </w:p>
        </w:tc>
        <w:tc>
          <w:tcPr>
            <w:tcW w:w="1336" w:type="dxa"/>
            <w:shd w:val="clear" w:color="auto" w:fill="auto"/>
          </w:tcPr>
          <w:p w14:paraId="3E84BB80"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Up</w:t>
            </w:r>
          </w:p>
        </w:tc>
        <w:tc>
          <w:tcPr>
            <w:tcW w:w="1119" w:type="dxa"/>
            <w:shd w:val="clear" w:color="auto" w:fill="auto"/>
          </w:tcPr>
          <w:p w14:paraId="0519E4E9"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Serum</w:t>
            </w:r>
          </w:p>
        </w:tc>
        <w:tc>
          <w:tcPr>
            <w:tcW w:w="1701" w:type="dxa"/>
            <w:shd w:val="clear" w:color="auto" w:fill="auto"/>
          </w:tcPr>
          <w:p w14:paraId="4D6F7617"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MAPK, PI3K-AKT-mTOR, signaling</w:t>
            </w:r>
          </w:p>
        </w:tc>
        <w:tc>
          <w:tcPr>
            <w:tcW w:w="2410" w:type="dxa"/>
            <w:shd w:val="clear" w:color="auto" w:fill="auto"/>
          </w:tcPr>
          <w:p w14:paraId="48123A14"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Cell signaling</w:t>
            </w:r>
          </w:p>
        </w:tc>
        <w:tc>
          <w:tcPr>
            <w:tcW w:w="1418" w:type="dxa"/>
            <w:shd w:val="clear" w:color="auto" w:fill="auto"/>
          </w:tcPr>
          <w:p w14:paraId="7E4AF66A"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D</w:t>
            </w:r>
          </w:p>
        </w:tc>
      </w:tr>
      <w:tr w:rsidR="00A503D8" w14:paraId="6CCAB407" w14:textId="77777777">
        <w:trPr>
          <w:trHeight w:val="951"/>
        </w:trPr>
        <w:tc>
          <w:tcPr>
            <w:tcW w:w="1632" w:type="dxa"/>
            <w:shd w:val="clear" w:color="auto" w:fill="auto"/>
          </w:tcPr>
          <w:p w14:paraId="49E789A3"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CPA4</w:t>
            </w:r>
          </w:p>
        </w:tc>
        <w:tc>
          <w:tcPr>
            <w:tcW w:w="1336" w:type="dxa"/>
            <w:shd w:val="clear" w:color="auto" w:fill="auto"/>
          </w:tcPr>
          <w:p w14:paraId="5298199D"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Up</w:t>
            </w:r>
          </w:p>
        </w:tc>
        <w:tc>
          <w:tcPr>
            <w:tcW w:w="1119" w:type="dxa"/>
            <w:shd w:val="clear" w:color="auto" w:fill="auto"/>
          </w:tcPr>
          <w:p w14:paraId="301B8F5A"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Serum</w:t>
            </w:r>
          </w:p>
        </w:tc>
        <w:tc>
          <w:tcPr>
            <w:tcW w:w="1701" w:type="dxa"/>
            <w:shd w:val="clear" w:color="auto" w:fill="auto"/>
          </w:tcPr>
          <w:p w14:paraId="2C573814"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MAPK, mTOR, Hedgehog signaling</w:t>
            </w:r>
          </w:p>
        </w:tc>
        <w:tc>
          <w:tcPr>
            <w:tcW w:w="2410" w:type="dxa"/>
            <w:shd w:val="clear" w:color="auto" w:fill="auto"/>
          </w:tcPr>
          <w:p w14:paraId="290F1C93"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Cell signaling</w:t>
            </w:r>
          </w:p>
        </w:tc>
        <w:tc>
          <w:tcPr>
            <w:tcW w:w="1418" w:type="dxa"/>
            <w:shd w:val="clear" w:color="auto" w:fill="auto"/>
          </w:tcPr>
          <w:p w14:paraId="43C80DEA"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D</w:t>
            </w:r>
          </w:p>
        </w:tc>
      </w:tr>
      <w:tr w:rsidR="00A503D8" w14:paraId="62A6027C" w14:textId="77777777">
        <w:trPr>
          <w:trHeight w:val="1263"/>
        </w:trPr>
        <w:tc>
          <w:tcPr>
            <w:tcW w:w="1632" w:type="dxa"/>
            <w:shd w:val="clear" w:color="auto" w:fill="auto"/>
          </w:tcPr>
          <w:p w14:paraId="37697192"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MUC5 AC</w:t>
            </w:r>
          </w:p>
        </w:tc>
        <w:tc>
          <w:tcPr>
            <w:tcW w:w="1336" w:type="dxa"/>
            <w:shd w:val="clear" w:color="auto" w:fill="auto"/>
          </w:tcPr>
          <w:p w14:paraId="6336BFC9"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Up</w:t>
            </w:r>
          </w:p>
        </w:tc>
        <w:tc>
          <w:tcPr>
            <w:tcW w:w="1119" w:type="dxa"/>
            <w:shd w:val="clear" w:color="auto" w:fill="auto"/>
          </w:tcPr>
          <w:p w14:paraId="46686261"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Urine/pancreatic juice</w:t>
            </w:r>
          </w:p>
        </w:tc>
        <w:tc>
          <w:tcPr>
            <w:tcW w:w="1701" w:type="dxa"/>
            <w:shd w:val="clear" w:color="auto" w:fill="auto"/>
          </w:tcPr>
          <w:p w14:paraId="2D92ED58"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MAPK, PI3K-AKT-mTOR, Hedgehog signaling</w:t>
            </w:r>
          </w:p>
        </w:tc>
        <w:tc>
          <w:tcPr>
            <w:tcW w:w="2410" w:type="dxa"/>
            <w:shd w:val="clear" w:color="auto" w:fill="auto"/>
          </w:tcPr>
          <w:p w14:paraId="78A81518"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Cell signaling</w:t>
            </w:r>
          </w:p>
        </w:tc>
        <w:tc>
          <w:tcPr>
            <w:tcW w:w="1418" w:type="dxa"/>
            <w:shd w:val="clear" w:color="auto" w:fill="auto"/>
          </w:tcPr>
          <w:p w14:paraId="633E2889"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D/P</w:t>
            </w:r>
          </w:p>
        </w:tc>
      </w:tr>
      <w:tr w:rsidR="00A503D8" w14:paraId="46F7BDAC" w14:textId="77777777">
        <w:trPr>
          <w:trHeight w:val="1263"/>
        </w:trPr>
        <w:tc>
          <w:tcPr>
            <w:tcW w:w="1632" w:type="dxa"/>
            <w:shd w:val="clear" w:color="auto" w:fill="auto"/>
          </w:tcPr>
          <w:p w14:paraId="15BA2C69"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C4BPA</w:t>
            </w:r>
          </w:p>
        </w:tc>
        <w:tc>
          <w:tcPr>
            <w:tcW w:w="1336" w:type="dxa"/>
            <w:shd w:val="clear" w:color="auto" w:fill="auto"/>
          </w:tcPr>
          <w:p w14:paraId="2246780F"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Up</w:t>
            </w:r>
          </w:p>
        </w:tc>
        <w:tc>
          <w:tcPr>
            <w:tcW w:w="1119" w:type="dxa"/>
            <w:shd w:val="clear" w:color="auto" w:fill="auto"/>
          </w:tcPr>
          <w:p w14:paraId="0478AEF8"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Serum</w:t>
            </w:r>
          </w:p>
        </w:tc>
        <w:tc>
          <w:tcPr>
            <w:tcW w:w="1701" w:type="dxa"/>
            <w:shd w:val="clear" w:color="auto" w:fill="auto"/>
          </w:tcPr>
          <w:p w14:paraId="24DD1991"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 xml:space="preserve">MAPK, PI3K-AKT-mTOR, </w:t>
            </w:r>
            <w:r>
              <w:rPr>
                <w:rFonts w:ascii="Book Antiqua" w:eastAsia="Times New Roman" w:hAnsi="Book Antiqua"/>
                <w:color w:val="000000"/>
                <w:lang w:eastAsia="en-IN"/>
              </w:rPr>
              <w:lastRenderedPageBreak/>
              <w:t>Hedgehog signaling</w:t>
            </w:r>
          </w:p>
        </w:tc>
        <w:tc>
          <w:tcPr>
            <w:tcW w:w="2410" w:type="dxa"/>
            <w:shd w:val="clear" w:color="auto" w:fill="auto"/>
          </w:tcPr>
          <w:p w14:paraId="512A8F5D"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lastRenderedPageBreak/>
              <w:t>Cell signaling</w:t>
            </w:r>
          </w:p>
        </w:tc>
        <w:tc>
          <w:tcPr>
            <w:tcW w:w="1418" w:type="dxa"/>
            <w:shd w:val="clear" w:color="auto" w:fill="auto"/>
          </w:tcPr>
          <w:p w14:paraId="68CACBC2"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D</w:t>
            </w:r>
          </w:p>
        </w:tc>
      </w:tr>
      <w:tr w:rsidR="00A503D8" w14:paraId="119FB837" w14:textId="77777777">
        <w:trPr>
          <w:trHeight w:val="327"/>
        </w:trPr>
        <w:tc>
          <w:tcPr>
            <w:tcW w:w="1632" w:type="dxa"/>
            <w:shd w:val="clear" w:color="auto" w:fill="auto"/>
          </w:tcPr>
          <w:p w14:paraId="2934546A"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OPN</w:t>
            </w:r>
          </w:p>
        </w:tc>
        <w:tc>
          <w:tcPr>
            <w:tcW w:w="1336" w:type="dxa"/>
            <w:shd w:val="clear" w:color="auto" w:fill="auto"/>
          </w:tcPr>
          <w:p w14:paraId="579733AF"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Up</w:t>
            </w:r>
          </w:p>
        </w:tc>
        <w:tc>
          <w:tcPr>
            <w:tcW w:w="1119" w:type="dxa"/>
            <w:shd w:val="clear" w:color="auto" w:fill="auto"/>
          </w:tcPr>
          <w:p w14:paraId="5EA69DDC"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Serum</w:t>
            </w:r>
          </w:p>
        </w:tc>
        <w:tc>
          <w:tcPr>
            <w:tcW w:w="1701" w:type="dxa"/>
            <w:shd w:val="clear" w:color="auto" w:fill="auto"/>
          </w:tcPr>
          <w:p w14:paraId="3902E03B"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OPN</w:t>
            </w:r>
          </w:p>
        </w:tc>
        <w:tc>
          <w:tcPr>
            <w:tcW w:w="2410" w:type="dxa"/>
            <w:shd w:val="clear" w:color="auto" w:fill="auto"/>
          </w:tcPr>
          <w:p w14:paraId="3E611312"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Cell signaling</w:t>
            </w:r>
          </w:p>
        </w:tc>
        <w:tc>
          <w:tcPr>
            <w:tcW w:w="1418" w:type="dxa"/>
            <w:shd w:val="clear" w:color="auto" w:fill="auto"/>
          </w:tcPr>
          <w:p w14:paraId="2D257900"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P</w:t>
            </w:r>
          </w:p>
        </w:tc>
      </w:tr>
      <w:tr w:rsidR="00A503D8" w14:paraId="6AE27F43" w14:textId="77777777">
        <w:trPr>
          <w:trHeight w:val="327"/>
        </w:trPr>
        <w:tc>
          <w:tcPr>
            <w:tcW w:w="1632" w:type="dxa"/>
            <w:shd w:val="clear" w:color="auto" w:fill="auto"/>
          </w:tcPr>
          <w:p w14:paraId="376AC6D6"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TIMP-1</w:t>
            </w:r>
          </w:p>
        </w:tc>
        <w:tc>
          <w:tcPr>
            <w:tcW w:w="1336" w:type="dxa"/>
            <w:shd w:val="clear" w:color="auto" w:fill="auto"/>
          </w:tcPr>
          <w:p w14:paraId="165AC3B4"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Up</w:t>
            </w:r>
          </w:p>
        </w:tc>
        <w:tc>
          <w:tcPr>
            <w:tcW w:w="1119" w:type="dxa"/>
            <w:shd w:val="clear" w:color="auto" w:fill="auto"/>
          </w:tcPr>
          <w:p w14:paraId="3312A091"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Serum</w:t>
            </w:r>
          </w:p>
        </w:tc>
        <w:tc>
          <w:tcPr>
            <w:tcW w:w="1701" w:type="dxa"/>
            <w:shd w:val="clear" w:color="auto" w:fill="auto"/>
          </w:tcPr>
          <w:p w14:paraId="6CA69BC9"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TIMP-1</w:t>
            </w:r>
          </w:p>
        </w:tc>
        <w:tc>
          <w:tcPr>
            <w:tcW w:w="2410" w:type="dxa"/>
            <w:shd w:val="clear" w:color="auto" w:fill="auto"/>
          </w:tcPr>
          <w:p w14:paraId="4EB3684D"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Cell signaling</w:t>
            </w:r>
          </w:p>
        </w:tc>
        <w:tc>
          <w:tcPr>
            <w:tcW w:w="1418" w:type="dxa"/>
            <w:shd w:val="clear" w:color="auto" w:fill="auto"/>
          </w:tcPr>
          <w:p w14:paraId="53B53C98"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D</w:t>
            </w:r>
          </w:p>
        </w:tc>
      </w:tr>
      <w:tr w:rsidR="00A503D8" w14:paraId="74F227DB" w14:textId="77777777">
        <w:trPr>
          <w:trHeight w:val="639"/>
        </w:trPr>
        <w:tc>
          <w:tcPr>
            <w:tcW w:w="1632" w:type="dxa"/>
            <w:shd w:val="clear" w:color="auto" w:fill="auto"/>
          </w:tcPr>
          <w:p w14:paraId="0E392AB3"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NGAL</w:t>
            </w:r>
          </w:p>
        </w:tc>
        <w:tc>
          <w:tcPr>
            <w:tcW w:w="1336" w:type="dxa"/>
            <w:shd w:val="clear" w:color="auto" w:fill="auto"/>
          </w:tcPr>
          <w:p w14:paraId="4227C428"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Up</w:t>
            </w:r>
          </w:p>
        </w:tc>
        <w:tc>
          <w:tcPr>
            <w:tcW w:w="1119" w:type="dxa"/>
            <w:shd w:val="clear" w:color="auto" w:fill="auto"/>
          </w:tcPr>
          <w:p w14:paraId="0A9D160A"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Urine</w:t>
            </w:r>
          </w:p>
        </w:tc>
        <w:tc>
          <w:tcPr>
            <w:tcW w:w="1701" w:type="dxa"/>
            <w:shd w:val="clear" w:color="auto" w:fill="auto"/>
          </w:tcPr>
          <w:p w14:paraId="47633980"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Receptor binding protein</w:t>
            </w:r>
          </w:p>
        </w:tc>
        <w:tc>
          <w:tcPr>
            <w:tcW w:w="2410" w:type="dxa"/>
            <w:shd w:val="clear" w:color="auto" w:fill="auto"/>
          </w:tcPr>
          <w:p w14:paraId="44A1C25C"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Cell signaling</w:t>
            </w:r>
          </w:p>
        </w:tc>
        <w:tc>
          <w:tcPr>
            <w:tcW w:w="1418" w:type="dxa"/>
            <w:shd w:val="clear" w:color="auto" w:fill="auto"/>
          </w:tcPr>
          <w:p w14:paraId="0CAA1B9E"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D</w:t>
            </w:r>
          </w:p>
        </w:tc>
      </w:tr>
      <w:tr w:rsidR="00A503D8" w14:paraId="6E05D751" w14:textId="77777777">
        <w:trPr>
          <w:trHeight w:val="327"/>
        </w:trPr>
        <w:tc>
          <w:tcPr>
            <w:tcW w:w="1632" w:type="dxa"/>
            <w:shd w:val="clear" w:color="auto" w:fill="auto"/>
          </w:tcPr>
          <w:p w14:paraId="08EFE3E3"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ARG2</w:t>
            </w:r>
          </w:p>
        </w:tc>
        <w:tc>
          <w:tcPr>
            <w:tcW w:w="1336" w:type="dxa"/>
            <w:shd w:val="clear" w:color="auto" w:fill="auto"/>
          </w:tcPr>
          <w:p w14:paraId="76064185"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Down</w:t>
            </w:r>
          </w:p>
        </w:tc>
        <w:tc>
          <w:tcPr>
            <w:tcW w:w="1119" w:type="dxa"/>
            <w:shd w:val="clear" w:color="auto" w:fill="auto"/>
          </w:tcPr>
          <w:p w14:paraId="690C8526"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Pancreatic juice</w:t>
            </w:r>
          </w:p>
        </w:tc>
        <w:tc>
          <w:tcPr>
            <w:tcW w:w="1701" w:type="dxa"/>
            <w:shd w:val="clear" w:color="auto" w:fill="auto"/>
          </w:tcPr>
          <w:p w14:paraId="205CEA22"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Beta cell function</w:t>
            </w:r>
          </w:p>
        </w:tc>
        <w:tc>
          <w:tcPr>
            <w:tcW w:w="2410" w:type="dxa"/>
            <w:shd w:val="clear" w:color="auto" w:fill="auto"/>
          </w:tcPr>
          <w:p w14:paraId="278EE056"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Cell signaling</w:t>
            </w:r>
          </w:p>
        </w:tc>
        <w:tc>
          <w:tcPr>
            <w:tcW w:w="1418" w:type="dxa"/>
            <w:shd w:val="clear" w:color="auto" w:fill="auto"/>
          </w:tcPr>
          <w:p w14:paraId="2F410FBF"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D</w:t>
            </w:r>
          </w:p>
        </w:tc>
      </w:tr>
      <w:tr w:rsidR="00A503D8" w14:paraId="78D0ECAC" w14:textId="77777777">
        <w:trPr>
          <w:trHeight w:val="639"/>
        </w:trPr>
        <w:tc>
          <w:tcPr>
            <w:tcW w:w="1632" w:type="dxa"/>
            <w:shd w:val="clear" w:color="auto" w:fill="auto"/>
          </w:tcPr>
          <w:p w14:paraId="712242D2"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LYVE-1</w:t>
            </w:r>
          </w:p>
        </w:tc>
        <w:tc>
          <w:tcPr>
            <w:tcW w:w="1336" w:type="dxa"/>
            <w:shd w:val="clear" w:color="auto" w:fill="auto"/>
          </w:tcPr>
          <w:p w14:paraId="4A6A70FE"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Up</w:t>
            </w:r>
          </w:p>
        </w:tc>
        <w:tc>
          <w:tcPr>
            <w:tcW w:w="1119" w:type="dxa"/>
            <w:shd w:val="clear" w:color="auto" w:fill="auto"/>
          </w:tcPr>
          <w:p w14:paraId="707DA01B"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Urine</w:t>
            </w:r>
          </w:p>
        </w:tc>
        <w:tc>
          <w:tcPr>
            <w:tcW w:w="1701" w:type="dxa"/>
            <w:shd w:val="clear" w:color="auto" w:fill="auto"/>
          </w:tcPr>
          <w:p w14:paraId="1E7411DD" w14:textId="71F25238"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Receptor binding glycoprotein</w:t>
            </w:r>
          </w:p>
        </w:tc>
        <w:tc>
          <w:tcPr>
            <w:tcW w:w="2410" w:type="dxa"/>
            <w:shd w:val="clear" w:color="auto" w:fill="auto"/>
          </w:tcPr>
          <w:p w14:paraId="65DE0E0B" w14:textId="77777777" w:rsidR="00A503D8" w:rsidRDefault="00A503D8">
            <w:pPr>
              <w:adjustRightInd w:val="0"/>
              <w:snapToGrid w:val="0"/>
              <w:spacing w:line="360" w:lineRule="auto"/>
              <w:jc w:val="both"/>
              <w:rPr>
                <w:rFonts w:ascii="Book Antiqua" w:eastAsia="Times New Roman" w:hAnsi="Book Antiqua"/>
                <w:color w:val="000000"/>
                <w:lang w:eastAsia="en-IN"/>
              </w:rPr>
            </w:pPr>
          </w:p>
        </w:tc>
        <w:tc>
          <w:tcPr>
            <w:tcW w:w="1418" w:type="dxa"/>
            <w:shd w:val="clear" w:color="auto" w:fill="auto"/>
          </w:tcPr>
          <w:p w14:paraId="12CDB622"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D</w:t>
            </w:r>
          </w:p>
        </w:tc>
      </w:tr>
      <w:tr w:rsidR="00A503D8" w14:paraId="3213A120" w14:textId="77777777">
        <w:trPr>
          <w:trHeight w:val="951"/>
        </w:trPr>
        <w:tc>
          <w:tcPr>
            <w:tcW w:w="1632" w:type="dxa"/>
            <w:shd w:val="clear" w:color="auto" w:fill="auto"/>
          </w:tcPr>
          <w:p w14:paraId="021476C7"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TFF1</w:t>
            </w:r>
          </w:p>
        </w:tc>
        <w:tc>
          <w:tcPr>
            <w:tcW w:w="1336" w:type="dxa"/>
            <w:shd w:val="clear" w:color="auto" w:fill="auto"/>
          </w:tcPr>
          <w:p w14:paraId="661D602C"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Up</w:t>
            </w:r>
          </w:p>
        </w:tc>
        <w:tc>
          <w:tcPr>
            <w:tcW w:w="1119" w:type="dxa"/>
            <w:shd w:val="clear" w:color="auto" w:fill="auto"/>
          </w:tcPr>
          <w:p w14:paraId="0FFF5474"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Urine</w:t>
            </w:r>
          </w:p>
        </w:tc>
        <w:tc>
          <w:tcPr>
            <w:tcW w:w="1701" w:type="dxa"/>
            <w:shd w:val="clear" w:color="auto" w:fill="auto"/>
          </w:tcPr>
          <w:p w14:paraId="51578FCD"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Regulation of transcription factor</w:t>
            </w:r>
          </w:p>
        </w:tc>
        <w:tc>
          <w:tcPr>
            <w:tcW w:w="2410" w:type="dxa"/>
            <w:shd w:val="clear" w:color="auto" w:fill="auto"/>
          </w:tcPr>
          <w:p w14:paraId="27348504"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Promoter modeling</w:t>
            </w:r>
          </w:p>
        </w:tc>
        <w:tc>
          <w:tcPr>
            <w:tcW w:w="1418" w:type="dxa"/>
            <w:shd w:val="clear" w:color="auto" w:fill="auto"/>
          </w:tcPr>
          <w:p w14:paraId="24DFA041"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D</w:t>
            </w:r>
          </w:p>
        </w:tc>
      </w:tr>
      <w:tr w:rsidR="00A503D8" w14:paraId="7F845B3D" w14:textId="77777777">
        <w:trPr>
          <w:trHeight w:val="327"/>
        </w:trPr>
        <w:tc>
          <w:tcPr>
            <w:tcW w:w="1632" w:type="dxa"/>
            <w:shd w:val="clear" w:color="auto" w:fill="auto"/>
          </w:tcPr>
          <w:p w14:paraId="3619155A"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REG1A</w:t>
            </w:r>
          </w:p>
        </w:tc>
        <w:tc>
          <w:tcPr>
            <w:tcW w:w="1336" w:type="dxa"/>
            <w:shd w:val="clear" w:color="auto" w:fill="auto"/>
          </w:tcPr>
          <w:p w14:paraId="7B54F788"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Up</w:t>
            </w:r>
          </w:p>
        </w:tc>
        <w:tc>
          <w:tcPr>
            <w:tcW w:w="1119" w:type="dxa"/>
            <w:shd w:val="clear" w:color="auto" w:fill="auto"/>
          </w:tcPr>
          <w:p w14:paraId="05A91472"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Urine</w:t>
            </w:r>
          </w:p>
        </w:tc>
        <w:tc>
          <w:tcPr>
            <w:tcW w:w="1701" w:type="dxa"/>
            <w:shd w:val="clear" w:color="auto" w:fill="auto"/>
          </w:tcPr>
          <w:p w14:paraId="42820C97"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REG1A protein</w:t>
            </w:r>
          </w:p>
        </w:tc>
        <w:tc>
          <w:tcPr>
            <w:tcW w:w="2410" w:type="dxa"/>
            <w:shd w:val="clear" w:color="auto" w:fill="auto"/>
          </w:tcPr>
          <w:p w14:paraId="1229D905"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Cell signaling</w:t>
            </w:r>
          </w:p>
        </w:tc>
        <w:tc>
          <w:tcPr>
            <w:tcW w:w="1418" w:type="dxa"/>
            <w:shd w:val="clear" w:color="auto" w:fill="auto"/>
          </w:tcPr>
          <w:p w14:paraId="6A775853" w14:textId="77777777" w:rsidR="00A503D8" w:rsidRDefault="00000000">
            <w:pPr>
              <w:adjustRightInd w:val="0"/>
              <w:snapToGrid w:val="0"/>
              <w:spacing w:line="360" w:lineRule="auto"/>
              <w:jc w:val="both"/>
              <w:rPr>
                <w:rFonts w:ascii="Book Antiqua" w:eastAsia="Times New Roman" w:hAnsi="Book Antiqua"/>
                <w:color w:val="000000"/>
                <w:lang w:eastAsia="en-IN"/>
              </w:rPr>
            </w:pPr>
            <w:r>
              <w:rPr>
                <w:rFonts w:ascii="Book Antiqua" w:eastAsia="Times New Roman" w:hAnsi="Book Antiqua"/>
                <w:color w:val="000000"/>
                <w:lang w:eastAsia="en-IN"/>
              </w:rPr>
              <w:t>D</w:t>
            </w:r>
          </w:p>
        </w:tc>
      </w:tr>
    </w:tbl>
    <w:p w14:paraId="13AD335E" w14:textId="6AF4D973" w:rsidR="00A503D8" w:rsidRDefault="00000000">
      <w:pPr>
        <w:spacing w:line="360" w:lineRule="auto"/>
        <w:jc w:val="both"/>
        <w:rPr>
          <w:rFonts w:ascii="Book Antiqua" w:eastAsia="Book Antiqua" w:hAnsi="Book Antiqua" w:cs="Book Antiqua"/>
          <w:b/>
          <w:bCs/>
          <w:color w:val="000000"/>
        </w:rPr>
      </w:pPr>
      <w:r w:rsidRPr="002A39AF">
        <w:rPr>
          <w:rFonts w:ascii="Book Antiqua" w:eastAsia="Book Antiqua" w:hAnsi="Book Antiqua" w:cs="Book Antiqua"/>
          <w:color w:val="000000"/>
        </w:rPr>
        <w:t>NGAL</w:t>
      </w:r>
      <w:r>
        <w:rPr>
          <w:rFonts w:ascii="Book Antiqua" w:eastAsia="Book Antiqua" w:hAnsi="Book Antiqua" w:cs="Book Antiqua"/>
          <w:color w:val="000000"/>
        </w:rPr>
        <w:t>: Neutrophil gelatinase-associated lipocalin; miR: MicroRNA; D: Diagnostic; P: Prognostic.</w:t>
      </w:r>
    </w:p>
    <w:p w14:paraId="4B2369C4" w14:textId="77777777" w:rsidR="00A503D8" w:rsidRDefault="00A503D8">
      <w:pPr>
        <w:spacing w:line="360" w:lineRule="auto"/>
        <w:jc w:val="both"/>
        <w:rPr>
          <w:rFonts w:ascii="Book Antiqua" w:eastAsia="Book Antiqua" w:hAnsi="Book Antiqua" w:cs="Book Antiqua"/>
          <w:b/>
          <w:bCs/>
          <w:color w:val="000000"/>
        </w:rPr>
      </w:pPr>
    </w:p>
    <w:p w14:paraId="672B593B" w14:textId="77777777" w:rsidR="004614FF"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Table 4 Cell-free biomarkers involved in distinguishing pancreatic cancer from other pancreatic benign diseases</w:t>
      </w:r>
    </w:p>
    <w:tbl>
      <w:tblPr>
        <w:tblW w:w="5000" w:type="pct"/>
        <w:tblLook w:val="04A0" w:firstRow="1" w:lastRow="0" w:firstColumn="1" w:lastColumn="0" w:noHBand="0" w:noVBand="1"/>
      </w:tblPr>
      <w:tblGrid>
        <w:gridCol w:w="2528"/>
        <w:gridCol w:w="1246"/>
        <w:gridCol w:w="1387"/>
        <w:gridCol w:w="1406"/>
        <w:gridCol w:w="1423"/>
        <w:gridCol w:w="1370"/>
      </w:tblGrid>
      <w:tr w:rsidR="004614FF" w:rsidRPr="004614FF" w14:paraId="52C25026" w14:textId="77777777" w:rsidTr="004614FF">
        <w:trPr>
          <w:trHeight w:val="310"/>
        </w:trPr>
        <w:tc>
          <w:tcPr>
            <w:tcW w:w="1350" w:type="pct"/>
            <w:tcBorders>
              <w:top w:val="single" w:sz="4" w:space="0" w:color="auto"/>
              <w:left w:val="nil"/>
              <w:bottom w:val="single" w:sz="4" w:space="0" w:color="auto"/>
              <w:right w:val="nil"/>
            </w:tcBorders>
            <w:shd w:val="clear" w:color="auto" w:fill="auto"/>
            <w:vAlign w:val="center"/>
            <w:hideMark/>
          </w:tcPr>
          <w:p w14:paraId="050B2AB1" w14:textId="77777777" w:rsidR="004614FF" w:rsidRPr="004614FF" w:rsidRDefault="004614FF" w:rsidP="004614FF">
            <w:pPr>
              <w:jc w:val="both"/>
              <w:rPr>
                <w:rFonts w:ascii="Book Antiqua" w:eastAsia="等线" w:hAnsi="Book Antiqua" w:cs="宋体"/>
                <w:b/>
                <w:bCs/>
                <w:color w:val="000000"/>
                <w:lang w:eastAsia="zh-CN"/>
              </w:rPr>
            </w:pPr>
            <w:r w:rsidRPr="004614FF">
              <w:rPr>
                <w:rFonts w:ascii="Book Antiqua" w:eastAsia="等线" w:hAnsi="Book Antiqua" w:cs="宋体"/>
                <w:b/>
                <w:bCs/>
                <w:color w:val="000000"/>
                <w:lang w:eastAsia="zh-CN"/>
              </w:rPr>
              <w:t>Biomarkers</w:t>
            </w:r>
          </w:p>
        </w:tc>
        <w:tc>
          <w:tcPr>
            <w:tcW w:w="665" w:type="pct"/>
            <w:tcBorders>
              <w:top w:val="single" w:sz="4" w:space="0" w:color="auto"/>
              <w:left w:val="nil"/>
              <w:bottom w:val="single" w:sz="4" w:space="0" w:color="auto"/>
              <w:right w:val="nil"/>
            </w:tcBorders>
            <w:shd w:val="clear" w:color="auto" w:fill="auto"/>
            <w:vAlign w:val="center"/>
            <w:hideMark/>
          </w:tcPr>
          <w:p w14:paraId="18717E40" w14:textId="77777777" w:rsidR="004614FF" w:rsidRPr="004614FF" w:rsidRDefault="004614FF" w:rsidP="004614FF">
            <w:pPr>
              <w:jc w:val="both"/>
              <w:rPr>
                <w:rFonts w:ascii="Book Antiqua" w:eastAsia="等线" w:hAnsi="Book Antiqua" w:cs="宋体"/>
                <w:b/>
                <w:bCs/>
                <w:color w:val="000000"/>
                <w:lang w:eastAsia="zh-CN"/>
              </w:rPr>
            </w:pPr>
            <w:r w:rsidRPr="004614FF">
              <w:rPr>
                <w:rFonts w:ascii="Book Antiqua" w:eastAsia="等线" w:hAnsi="Book Antiqua" w:cs="宋体"/>
                <w:b/>
                <w:bCs/>
                <w:color w:val="000000"/>
                <w:lang w:eastAsia="zh-CN"/>
              </w:rPr>
              <w:t>CP</w:t>
            </w:r>
          </w:p>
        </w:tc>
        <w:tc>
          <w:tcPr>
            <w:tcW w:w="741" w:type="pct"/>
            <w:tcBorders>
              <w:top w:val="single" w:sz="4" w:space="0" w:color="auto"/>
              <w:left w:val="nil"/>
              <w:bottom w:val="single" w:sz="4" w:space="0" w:color="auto"/>
              <w:right w:val="nil"/>
            </w:tcBorders>
            <w:shd w:val="clear" w:color="auto" w:fill="auto"/>
            <w:vAlign w:val="center"/>
            <w:hideMark/>
          </w:tcPr>
          <w:p w14:paraId="55052EB2" w14:textId="77777777" w:rsidR="004614FF" w:rsidRPr="004614FF" w:rsidRDefault="004614FF" w:rsidP="004614FF">
            <w:pPr>
              <w:jc w:val="both"/>
              <w:rPr>
                <w:rFonts w:ascii="Book Antiqua" w:eastAsia="等线" w:hAnsi="Book Antiqua" w:cs="宋体"/>
                <w:b/>
                <w:bCs/>
                <w:color w:val="000000"/>
                <w:lang w:eastAsia="zh-CN"/>
              </w:rPr>
            </w:pPr>
            <w:r w:rsidRPr="004614FF">
              <w:rPr>
                <w:rFonts w:ascii="Book Antiqua" w:eastAsia="等线" w:hAnsi="Book Antiqua" w:cs="宋体"/>
                <w:b/>
                <w:bCs/>
                <w:color w:val="000000"/>
                <w:lang w:eastAsia="zh-CN"/>
              </w:rPr>
              <w:t>AIP</w:t>
            </w:r>
          </w:p>
        </w:tc>
        <w:tc>
          <w:tcPr>
            <w:tcW w:w="751" w:type="pct"/>
            <w:tcBorders>
              <w:top w:val="single" w:sz="4" w:space="0" w:color="auto"/>
              <w:left w:val="nil"/>
              <w:bottom w:val="single" w:sz="4" w:space="0" w:color="auto"/>
              <w:right w:val="nil"/>
            </w:tcBorders>
            <w:shd w:val="clear" w:color="auto" w:fill="auto"/>
            <w:vAlign w:val="center"/>
            <w:hideMark/>
          </w:tcPr>
          <w:p w14:paraId="42DD4D83" w14:textId="77777777" w:rsidR="004614FF" w:rsidRPr="004614FF" w:rsidRDefault="004614FF" w:rsidP="004614FF">
            <w:pPr>
              <w:jc w:val="both"/>
              <w:rPr>
                <w:rFonts w:ascii="Book Antiqua" w:eastAsia="等线" w:hAnsi="Book Antiqua" w:cs="宋体"/>
                <w:b/>
                <w:bCs/>
                <w:color w:val="000000"/>
                <w:lang w:eastAsia="zh-CN"/>
              </w:rPr>
            </w:pPr>
            <w:r w:rsidRPr="004614FF">
              <w:rPr>
                <w:rFonts w:ascii="Book Antiqua" w:eastAsia="等线" w:hAnsi="Book Antiqua" w:cs="宋体"/>
                <w:b/>
                <w:bCs/>
                <w:color w:val="000000"/>
                <w:lang w:eastAsia="zh-CN"/>
              </w:rPr>
              <w:t>PanIN</w:t>
            </w:r>
          </w:p>
        </w:tc>
        <w:tc>
          <w:tcPr>
            <w:tcW w:w="760" w:type="pct"/>
            <w:tcBorders>
              <w:top w:val="single" w:sz="4" w:space="0" w:color="auto"/>
              <w:left w:val="nil"/>
              <w:bottom w:val="single" w:sz="4" w:space="0" w:color="auto"/>
              <w:right w:val="nil"/>
            </w:tcBorders>
            <w:shd w:val="clear" w:color="auto" w:fill="auto"/>
            <w:vAlign w:val="center"/>
            <w:hideMark/>
          </w:tcPr>
          <w:p w14:paraId="3EF3752E" w14:textId="77777777" w:rsidR="004614FF" w:rsidRPr="004614FF" w:rsidRDefault="004614FF" w:rsidP="004614FF">
            <w:pPr>
              <w:jc w:val="both"/>
              <w:rPr>
                <w:rFonts w:ascii="Book Antiqua" w:eastAsia="等线" w:hAnsi="Book Antiqua" w:cs="宋体"/>
                <w:b/>
                <w:bCs/>
                <w:color w:val="000000"/>
                <w:lang w:eastAsia="zh-CN"/>
              </w:rPr>
            </w:pPr>
            <w:r w:rsidRPr="004614FF">
              <w:rPr>
                <w:rFonts w:ascii="Book Antiqua" w:eastAsia="等线" w:hAnsi="Book Antiqua" w:cs="宋体"/>
                <w:b/>
                <w:bCs/>
                <w:color w:val="000000"/>
                <w:lang w:eastAsia="zh-CN"/>
              </w:rPr>
              <w:t>IPMN</w:t>
            </w:r>
          </w:p>
        </w:tc>
        <w:tc>
          <w:tcPr>
            <w:tcW w:w="732" w:type="pct"/>
            <w:tcBorders>
              <w:top w:val="single" w:sz="4" w:space="0" w:color="auto"/>
              <w:left w:val="nil"/>
              <w:bottom w:val="single" w:sz="4" w:space="0" w:color="auto"/>
              <w:right w:val="nil"/>
            </w:tcBorders>
            <w:shd w:val="clear" w:color="auto" w:fill="auto"/>
            <w:vAlign w:val="center"/>
            <w:hideMark/>
          </w:tcPr>
          <w:p w14:paraId="1CE33058" w14:textId="77777777" w:rsidR="004614FF" w:rsidRPr="004614FF" w:rsidRDefault="004614FF" w:rsidP="004614FF">
            <w:pPr>
              <w:jc w:val="both"/>
              <w:rPr>
                <w:rFonts w:ascii="Book Antiqua" w:eastAsia="等线" w:hAnsi="Book Antiqua" w:cs="宋体"/>
                <w:b/>
                <w:bCs/>
                <w:color w:val="000000"/>
                <w:lang w:eastAsia="zh-CN"/>
              </w:rPr>
            </w:pPr>
            <w:r w:rsidRPr="004614FF">
              <w:rPr>
                <w:rFonts w:ascii="Book Antiqua" w:eastAsia="等线" w:hAnsi="Book Antiqua" w:cs="宋体"/>
                <w:b/>
                <w:bCs/>
                <w:color w:val="000000"/>
                <w:lang w:eastAsia="zh-CN"/>
              </w:rPr>
              <w:t>MCN</w:t>
            </w:r>
          </w:p>
        </w:tc>
      </w:tr>
      <w:tr w:rsidR="004614FF" w:rsidRPr="004614FF" w14:paraId="2FEF7B24" w14:textId="77777777" w:rsidTr="004614FF">
        <w:trPr>
          <w:trHeight w:val="310"/>
        </w:trPr>
        <w:tc>
          <w:tcPr>
            <w:tcW w:w="1350" w:type="pct"/>
            <w:tcBorders>
              <w:top w:val="nil"/>
              <w:left w:val="nil"/>
              <w:bottom w:val="nil"/>
              <w:right w:val="nil"/>
            </w:tcBorders>
            <w:shd w:val="clear" w:color="auto" w:fill="auto"/>
            <w:vAlign w:val="center"/>
            <w:hideMark/>
          </w:tcPr>
          <w:p w14:paraId="038993C8" w14:textId="77777777" w:rsidR="004614FF" w:rsidRPr="004614FF" w:rsidRDefault="004614FF" w:rsidP="004614FF">
            <w:pPr>
              <w:jc w:val="both"/>
              <w:rPr>
                <w:rFonts w:ascii="Book Antiqua" w:eastAsia="等线" w:hAnsi="Book Antiqua" w:cs="宋体"/>
                <w:color w:val="000000"/>
                <w:lang w:eastAsia="zh-CN"/>
              </w:rPr>
            </w:pPr>
            <w:r w:rsidRPr="004614FF">
              <w:rPr>
                <w:rFonts w:ascii="Book Antiqua" w:eastAsia="等线" w:hAnsi="Book Antiqua" w:cs="宋体"/>
                <w:color w:val="000000"/>
                <w:lang w:eastAsia="zh-CN"/>
              </w:rPr>
              <w:t>PENK DNA</w:t>
            </w:r>
          </w:p>
        </w:tc>
        <w:tc>
          <w:tcPr>
            <w:tcW w:w="665" w:type="pct"/>
            <w:tcBorders>
              <w:top w:val="nil"/>
              <w:left w:val="nil"/>
              <w:bottom w:val="nil"/>
              <w:right w:val="nil"/>
            </w:tcBorders>
            <w:shd w:val="clear" w:color="auto" w:fill="auto"/>
            <w:vAlign w:val="center"/>
            <w:hideMark/>
          </w:tcPr>
          <w:p w14:paraId="4FF70831" w14:textId="77777777" w:rsidR="004614FF" w:rsidRPr="004614FF" w:rsidRDefault="004614FF" w:rsidP="004614FF">
            <w:pPr>
              <w:jc w:val="both"/>
              <w:rPr>
                <w:rFonts w:ascii="Book Antiqua" w:eastAsia="等线" w:hAnsi="Book Antiqua" w:cs="宋体"/>
                <w:color w:val="202124"/>
                <w:lang w:eastAsia="zh-CN"/>
              </w:rPr>
            </w:pPr>
            <w:r w:rsidRPr="004614FF">
              <w:rPr>
                <w:rFonts w:ascii="Book Antiqua" w:eastAsia="等线" w:hAnsi="Book Antiqua" w:cs="宋体"/>
                <w:color w:val="202124"/>
                <w:lang w:eastAsia="zh-CN"/>
              </w:rPr>
              <w:t>Yes</w:t>
            </w:r>
          </w:p>
        </w:tc>
        <w:tc>
          <w:tcPr>
            <w:tcW w:w="741" w:type="pct"/>
            <w:tcBorders>
              <w:top w:val="nil"/>
              <w:left w:val="nil"/>
              <w:bottom w:val="nil"/>
              <w:right w:val="nil"/>
            </w:tcBorders>
            <w:shd w:val="clear" w:color="auto" w:fill="auto"/>
            <w:vAlign w:val="center"/>
            <w:hideMark/>
          </w:tcPr>
          <w:p w14:paraId="530223E7" w14:textId="77777777" w:rsidR="004614FF" w:rsidRPr="004614FF" w:rsidRDefault="004614FF" w:rsidP="004614FF">
            <w:pPr>
              <w:jc w:val="both"/>
              <w:rPr>
                <w:rFonts w:ascii="Book Antiqua" w:eastAsia="等线" w:hAnsi="Book Antiqua" w:cs="宋体"/>
                <w:color w:val="202124"/>
                <w:lang w:eastAsia="zh-CN"/>
              </w:rPr>
            </w:pPr>
            <w:r w:rsidRPr="004614FF">
              <w:rPr>
                <w:rFonts w:ascii="Book Antiqua" w:eastAsia="等线" w:hAnsi="Book Antiqua" w:cs="宋体"/>
                <w:color w:val="202124"/>
                <w:lang w:eastAsia="zh-CN"/>
              </w:rPr>
              <w:t>No</w:t>
            </w:r>
          </w:p>
        </w:tc>
        <w:tc>
          <w:tcPr>
            <w:tcW w:w="751" w:type="pct"/>
            <w:tcBorders>
              <w:top w:val="nil"/>
              <w:left w:val="nil"/>
              <w:bottom w:val="nil"/>
              <w:right w:val="nil"/>
            </w:tcBorders>
            <w:shd w:val="clear" w:color="auto" w:fill="auto"/>
            <w:vAlign w:val="center"/>
            <w:hideMark/>
          </w:tcPr>
          <w:p w14:paraId="14284889" w14:textId="77777777" w:rsidR="004614FF" w:rsidRPr="004614FF" w:rsidRDefault="004614FF" w:rsidP="004614FF">
            <w:pPr>
              <w:jc w:val="both"/>
              <w:rPr>
                <w:rFonts w:ascii="Book Antiqua" w:eastAsia="等线" w:hAnsi="Book Antiqua" w:cs="宋体"/>
                <w:color w:val="202124"/>
                <w:lang w:eastAsia="zh-CN"/>
              </w:rPr>
            </w:pPr>
            <w:r w:rsidRPr="004614FF">
              <w:rPr>
                <w:rFonts w:ascii="Book Antiqua" w:eastAsia="等线" w:hAnsi="Book Antiqua" w:cs="宋体"/>
                <w:color w:val="202124"/>
                <w:lang w:eastAsia="zh-CN"/>
              </w:rPr>
              <w:t>Yes</w:t>
            </w:r>
          </w:p>
        </w:tc>
        <w:tc>
          <w:tcPr>
            <w:tcW w:w="760" w:type="pct"/>
            <w:tcBorders>
              <w:top w:val="nil"/>
              <w:left w:val="nil"/>
              <w:bottom w:val="nil"/>
              <w:right w:val="nil"/>
            </w:tcBorders>
            <w:shd w:val="clear" w:color="auto" w:fill="auto"/>
            <w:vAlign w:val="center"/>
            <w:hideMark/>
          </w:tcPr>
          <w:p w14:paraId="68736DA8" w14:textId="77777777" w:rsidR="004614FF" w:rsidRPr="004614FF" w:rsidRDefault="004614FF" w:rsidP="004614FF">
            <w:pPr>
              <w:jc w:val="both"/>
              <w:rPr>
                <w:rFonts w:ascii="Book Antiqua" w:eastAsia="等线" w:hAnsi="Book Antiqua" w:cs="宋体"/>
                <w:color w:val="202124"/>
                <w:lang w:eastAsia="zh-CN"/>
              </w:rPr>
            </w:pPr>
            <w:r w:rsidRPr="004614FF">
              <w:rPr>
                <w:rFonts w:ascii="Book Antiqua" w:eastAsia="等线" w:hAnsi="Book Antiqua" w:cs="宋体"/>
                <w:color w:val="202124"/>
                <w:lang w:eastAsia="zh-CN"/>
              </w:rPr>
              <w:t>Yes</w:t>
            </w:r>
          </w:p>
        </w:tc>
        <w:tc>
          <w:tcPr>
            <w:tcW w:w="732" w:type="pct"/>
            <w:tcBorders>
              <w:top w:val="nil"/>
              <w:left w:val="nil"/>
              <w:bottom w:val="nil"/>
              <w:right w:val="nil"/>
            </w:tcBorders>
            <w:shd w:val="clear" w:color="auto" w:fill="auto"/>
            <w:vAlign w:val="center"/>
            <w:hideMark/>
          </w:tcPr>
          <w:p w14:paraId="2F42C795" w14:textId="77777777" w:rsidR="004614FF" w:rsidRPr="004614FF" w:rsidRDefault="004614FF" w:rsidP="004614FF">
            <w:pPr>
              <w:jc w:val="both"/>
              <w:rPr>
                <w:rFonts w:ascii="Book Antiqua" w:eastAsia="等线" w:hAnsi="Book Antiqua" w:cs="宋体"/>
                <w:color w:val="202124"/>
                <w:lang w:eastAsia="zh-CN"/>
              </w:rPr>
            </w:pPr>
            <w:r w:rsidRPr="004614FF">
              <w:rPr>
                <w:rFonts w:ascii="Book Antiqua" w:eastAsia="等线" w:hAnsi="Book Antiqua" w:cs="宋体"/>
                <w:color w:val="202124"/>
                <w:lang w:eastAsia="zh-CN"/>
              </w:rPr>
              <w:t>Yes</w:t>
            </w:r>
          </w:p>
        </w:tc>
      </w:tr>
      <w:tr w:rsidR="004614FF" w:rsidRPr="004614FF" w14:paraId="63B038AB" w14:textId="77777777" w:rsidTr="004614FF">
        <w:trPr>
          <w:trHeight w:val="310"/>
        </w:trPr>
        <w:tc>
          <w:tcPr>
            <w:tcW w:w="1350" w:type="pct"/>
            <w:tcBorders>
              <w:top w:val="nil"/>
              <w:left w:val="nil"/>
              <w:bottom w:val="nil"/>
              <w:right w:val="nil"/>
            </w:tcBorders>
            <w:shd w:val="clear" w:color="auto" w:fill="auto"/>
            <w:vAlign w:val="center"/>
            <w:hideMark/>
          </w:tcPr>
          <w:p w14:paraId="1153F005" w14:textId="77777777" w:rsidR="004614FF" w:rsidRPr="004614FF" w:rsidRDefault="004614FF" w:rsidP="004614FF">
            <w:pPr>
              <w:jc w:val="both"/>
              <w:rPr>
                <w:rFonts w:ascii="Book Antiqua" w:eastAsia="等线" w:hAnsi="Book Antiqua" w:cs="宋体"/>
                <w:color w:val="000000"/>
                <w:lang w:eastAsia="zh-CN"/>
              </w:rPr>
            </w:pPr>
            <w:r w:rsidRPr="004614FF">
              <w:rPr>
                <w:rFonts w:ascii="Book Antiqua" w:eastAsia="等线" w:hAnsi="Book Antiqua" w:cs="宋体"/>
                <w:color w:val="000000"/>
                <w:lang w:eastAsia="zh-CN"/>
              </w:rPr>
              <w:t>CUX2</w:t>
            </w:r>
          </w:p>
        </w:tc>
        <w:tc>
          <w:tcPr>
            <w:tcW w:w="665" w:type="pct"/>
            <w:tcBorders>
              <w:top w:val="nil"/>
              <w:left w:val="nil"/>
              <w:bottom w:val="nil"/>
              <w:right w:val="nil"/>
            </w:tcBorders>
            <w:shd w:val="clear" w:color="auto" w:fill="auto"/>
            <w:vAlign w:val="center"/>
            <w:hideMark/>
          </w:tcPr>
          <w:p w14:paraId="5C2B9E6C" w14:textId="77777777" w:rsidR="004614FF" w:rsidRPr="004614FF" w:rsidRDefault="004614FF" w:rsidP="004614FF">
            <w:pPr>
              <w:jc w:val="both"/>
              <w:rPr>
                <w:rFonts w:ascii="Book Antiqua" w:eastAsia="等线" w:hAnsi="Book Antiqua" w:cs="宋体"/>
                <w:color w:val="202124"/>
                <w:lang w:eastAsia="zh-CN"/>
              </w:rPr>
            </w:pPr>
            <w:r w:rsidRPr="004614FF">
              <w:rPr>
                <w:rFonts w:ascii="Book Antiqua" w:eastAsia="等线" w:hAnsi="Book Antiqua" w:cs="宋体"/>
                <w:color w:val="202124"/>
                <w:lang w:eastAsia="zh-CN"/>
              </w:rPr>
              <w:t>Yes</w:t>
            </w:r>
          </w:p>
        </w:tc>
        <w:tc>
          <w:tcPr>
            <w:tcW w:w="741" w:type="pct"/>
            <w:tcBorders>
              <w:top w:val="nil"/>
              <w:left w:val="nil"/>
              <w:bottom w:val="nil"/>
              <w:right w:val="nil"/>
            </w:tcBorders>
            <w:shd w:val="clear" w:color="auto" w:fill="auto"/>
            <w:vAlign w:val="center"/>
            <w:hideMark/>
          </w:tcPr>
          <w:p w14:paraId="10696E54" w14:textId="77777777" w:rsidR="004614FF" w:rsidRPr="004614FF" w:rsidRDefault="004614FF" w:rsidP="004614FF">
            <w:pPr>
              <w:jc w:val="both"/>
              <w:rPr>
                <w:rFonts w:ascii="Book Antiqua" w:eastAsia="等线" w:hAnsi="Book Antiqua" w:cs="宋体"/>
                <w:color w:val="202124"/>
                <w:lang w:eastAsia="zh-CN"/>
              </w:rPr>
            </w:pPr>
            <w:r w:rsidRPr="004614FF">
              <w:rPr>
                <w:rFonts w:ascii="Book Antiqua" w:eastAsia="等线" w:hAnsi="Book Antiqua" w:cs="宋体"/>
                <w:color w:val="202124"/>
                <w:lang w:eastAsia="zh-CN"/>
              </w:rPr>
              <w:t>No</w:t>
            </w:r>
          </w:p>
        </w:tc>
        <w:tc>
          <w:tcPr>
            <w:tcW w:w="751" w:type="pct"/>
            <w:tcBorders>
              <w:top w:val="nil"/>
              <w:left w:val="nil"/>
              <w:bottom w:val="nil"/>
              <w:right w:val="nil"/>
            </w:tcBorders>
            <w:shd w:val="clear" w:color="auto" w:fill="auto"/>
            <w:vAlign w:val="center"/>
            <w:hideMark/>
          </w:tcPr>
          <w:p w14:paraId="37BA3EDE" w14:textId="77777777" w:rsidR="004614FF" w:rsidRPr="004614FF" w:rsidRDefault="004614FF" w:rsidP="004614FF">
            <w:pPr>
              <w:jc w:val="both"/>
              <w:rPr>
                <w:rFonts w:ascii="Book Antiqua" w:eastAsia="等线" w:hAnsi="Book Antiqua" w:cs="宋体"/>
                <w:color w:val="202124"/>
                <w:lang w:eastAsia="zh-CN"/>
              </w:rPr>
            </w:pPr>
            <w:r w:rsidRPr="004614FF">
              <w:rPr>
                <w:rFonts w:ascii="Book Antiqua" w:eastAsia="等线" w:hAnsi="Book Antiqua" w:cs="宋体"/>
                <w:color w:val="202124"/>
                <w:lang w:eastAsia="zh-CN"/>
              </w:rPr>
              <w:t>No</w:t>
            </w:r>
          </w:p>
        </w:tc>
        <w:tc>
          <w:tcPr>
            <w:tcW w:w="760" w:type="pct"/>
            <w:tcBorders>
              <w:top w:val="nil"/>
              <w:left w:val="nil"/>
              <w:bottom w:val="nil"/>
              <w:right w:val="nil"/>
            </w:tcBorders>
            <w:shd w:val="clear" w:color="auto" w:fill="auto"/>
            <w:vAlign w:val="center"/>
            <w:hideMark/>
          </w:tcPr>
          <w:p w14:paraId="7F0AA6E2" w14:textId="77777777" w:rsidR="004614FF" w:rsidRPr="004614FF" w:rsidRDefault="004614FF" w:rsidP="004614FF">
            <w:pPr>
              <w:jc w:val="both"/>
              <w:rPr>
                <w:rFonts w:ascii="Book Antiqua" w:eastAsia="等线" w:hAnsi="Book Antiqua" w:cs="宋体"/>
                <w:color w:val="202124"/>
                <w:lang w:eastAsia="zh-CN"/>
              </w:rPr>
            </w:pPr>
            <w:r w:rsidRPr="004614FF">
              <w:rPr>
                <w:rFonts w:ascii="Book Antiqua" w:eastAsia="等线" w:hAnsi="Book Antiqua" w:cs="宋体"/>
                <w:color w:val="202124"/>
                <w:lang w:eastAsia="zh-CN"/>
              </w:rPr>
              <w:t>No</w:t>
            </w:r>
          </w:p>
        </w:tc>
        <w:tc>
          <w:tcPr>
            <w:tcW w:w="732" w:type="pct"/>
            <w:tcBorders>
              <w:top w:val="nil"/>
              <w:left w:val="nil"/>
              <w:bottom w:val="nil"/>
              <w:right w:val="nil"/>
            </w:tcBorders>
            <w:shd w:val="clear" w:color="auto" w:fill="auto"/>
            <w:vAlign w:val="center"/>
            <w:hideMark/>
          </w:tcPr>
          <w:p w14:paraId="56B11CF1" w14:textId="77777777" w:rsidR="004614FF" w:rsidRPr="004614FF" w:rsidRDefault="004614FF" w:rsidP="004614FF">
            <w:pPr>
              <w:jc w:val="both"/>
              <w:rPr>
                <w:rFonts w:ascii="Book Antiqua" w:eastAsia="等线" w:hAnsi="Book Antiqua" w:cs="宋体"/>
                <w:color w:val="202124"/>
                <w:lang w:eastAsia="zh-CN"/>
              </w:rPr>
            </w:pPr>
            <w:r w:rsidRPr="004614FF">
              <w:rPr>
                <w:rFonts w:ascii="Book Antiqua" w:eastAsia="等线" w:hAnsi="Book Antiqua" w:cs="宋体"/>
                <w:color w:val="202124"/>
                <w:lang w:eastAsia="zh-CN"/>
              </w:rPr>
              <w:t>No</w:t>
            </w:r>
          </w:p>
        </w:tc>
      </w:tr>
      <w:tr w:rsidR="004614FF" w:rsidRPr="004614FF" w14:paraId="64539E23" w14:textId="77777777" w:rsidTr="004614FF">
        <w:trPr>
          <w:trHeight w:val="310"/>
        </w:trPr>
        <w:tc>
          <w:tcPr>
            <w:tcW w:w="1350" w:type="pct"/>
            <w:tcBorders>
              <w:top w:val="nil"/>
              <w:left w:val="nil"/>
              <w:bottom w:val="nil"/>
              <w:right w:val="nil"/>
            </w:tcBorders>
            <w:shd w:val="clear" w:color="auto" w:fill="auto"/>
            <w:vAlign w:val="center"/>
            <w:hideMark/>
          </w:tcPr>
          <w:p w14:paraId="7A7AE045" w14:textId="77777777" w:rsidR="004614FF" w:rsidRPr="004614FF" w:rsidRDefault="004614FF" w:rsidP="004614FF">
            <w:pPr>
              <w:jc w:val="both"/>
              <w:rPr>
                <w:rFonts w:ascii="Book Antiqua" w:eastAsia="等线" w:hAnsi="Book Antiqua" w:cs="宋体"/>
                <w:color w:val="000000"/>
                <w:lang w:eastAsia="zh-CN"/>
              </w:rPr>
            </w:pPr>
            <w:r w:rsidRPr="004614FF">
              <w:rPr>
                <w:rFonts w:ascii="Book Antiqua" w:eastAsia="等线" w:hAnsi="Book Antiqua" w:cs="宋体"/>
                <w:color w:val="000000"/>
                <w:lang w:eastAsia="zh-CN"/>
              </w:rPr>
              <w:t>REGIA</w:t>
            </w:r>
          </w:p>
        </w:tc>
        <w:tc>
          <w:tcPr>
            <w:tcW w:w="665" w:type="pct"/>
            <w:tcBorders>
              <w:top w:val="nil"/>
              <w:left w:val="nil"/>
              <w:bottom w:val="nil"/>
              <w:right w:val="nil"/>
            </w:tcBorders>
            <w:shd w:val="clear" w:color="auto" w:fill="auto"/>
            <w:vAlign w:val="center"/>
            <w:hideMark/>
          </w:tcPr>
          <w:p w14:paraId="56FAA356" w14:textId="77777777" w:rsidR="004614FF" w:rsidRPr="004614FF" w:rsidRDefault="004614FF" w:rsidP="004614FF">
            <w:pPr>
              <w:jc w:val="both"/>
              <w:rPr>
                <w:rFonts w:ascii="Book Antiqua" w:eastAsia="等线" w:hAnsi="Book Antiqua" w:cs="宋体"/>
                <w:color w:val="202124"/>
                <w:lang w:eastAsia="zh-CN"/>
              </w:rPr>
            </w:pPr>
            <w:r w:rsidRPr="004614FF">
              <w:rPr>
                <w:rFonts w:ascii="Book Antiqua" w:eastAsia="等线" w:hAnsi="Book Antiqua" w:cs="宋体"/>
                <w:color w:val="202124"/>
                <w:lang w:eastAsia="zh-CN"/>
              </w:rPr>
              <w:t>Yes</w:t>
            </w:r>
          </w:p>
        </w:tc>
        <w:tc>
          <w:tcPr>
            <w:tcW w:w="741" w:type="pct"/>
            <w:tcBorders>
              <w:top w:val="nil"/>
              <w:left w:val="nil"/>
              <w:bottom w:val="nil"/>
              <w:right w:val="nil"/>
            </w:tcBorders>
            <w:shd w:val="clear" w:color="auto" w:fill="auto"/>
            <w:vAlign w:val="center"/>
            <w:hideMark/>
          </w:tcPr>
          <w:p w14:paraId="68590636" w14:textId="77777777" w:rsidR="004614FF" w:rsidRPr="004614FF" w:rsidRDefault="004614FF" w:rsidP="004614FF">
            <w:pPr>
              <w:jc w:val="both"/>
              <w:rPr>
                <w:rFonts w:ascii="Book Antiqua" w:eastAsia="等线" w:hAnsi="Book Antiqua" w:cs="宋体"/>
                <w:color w:val="202124"/>
                <w:lang w:eastAsia="zh-CN"/>
              </w:rPr>
            </w:pPr>
            <w:r w:rsidRPr="004614FF">
              <w:rPr>
                <w:rFonts w:ascii="Book Antiqua" w:eastAsia="等线" w:hAnsi="Book Antiqua" w:cs="宋体"/>
                <w:color w:val="202124"/>
                <w:lang w:eastAsia="zh-CN"/>
              </w:rPr>
              <w:t>No</w:t>
            </w:r>
          </w:p>
        </w:tc>
        <w:tc>
          <w:tcPr>
            <w:tcW w:w="751" w:type="pct"/>
            <w:tcBorders>
              <w:top w:val="nil"/>
              <w:left w:val="nil"/>
              <w:bottom w:val="nil"/>
              <w:right w:val="nil"/>
            </w:tcBorders>
            <w:shd w:val="clear" w:color="auto" w:fill="auto"/>
            <w:vAlign w:val="center"/>
            <w:hideMark/>
          </w:tcPr>
          <w:p w14:paraId="3A503C01" w14:textId="77777777" w:rsidR="004614FF" w:rsidRPr="004614FF" w:rsidRDefault="004614FF" w:rsidP="004614FF">
            <w:pPr>
              <w:jc w:val="both"/>
              <w:rPr>
                <w:rFonts w:ascii="Book Antiqua" w:eastAsia="等线" w:hAnsi="Book Antiqua" w:cs="宋体"/>
                <w:color w:val="202124"/>
                <w:lang w:eastAsia="zh-CN"/>
              </w:rPr>
            </w:pPr>
            <w:r w:rsidRPr="004614FF">
              <w:rPr>
                <w:rFonts w:ascii="Book Antiqua" w:eastAsia="等线" w:hAnsi="Book Antiqua" w:cs="宋体"/>
                <w:color w:val="202124"/>
                <w:lang w:eastAsia="zh-CN"/>
              </w:rPr>
              <w:t>No</w:t>
            </w:r>
          </w:p>
        </w:tc>
        <w:tc>
          <w:tcPr>
            <w:tcW w:w="760" w:type="pct"/>
            <w:tcBorders>
              <w:top w:val="nil"/>
              <w:left w:val="nil"/>
              <w:bottom w:val="nil"/>
              <w:right w:val="nil"/>
            </w:tcBorders>
            <w:shd w:val="clear" w:color="auto" w:fill="auto"/>
            <w:vAlign w:val="center"/>
            <w:hideMark/>
          </w:tcPr>
          <w:p w14:paraId="331ACBE7" w14:textId="77777777" w:rsidR="004614FF" w:rsidRPr="004614FF" w:rsidRDefault="004614FF" w:rsidP="004614FF">
            <w:pPr>
              <w:jc w:val="both"/>
              <w:rPr>
                <w:rFonts w:ascii="Book Antiqua" w:eastAsia="等线" w:hAnsi="Book Antiqua" w:cs="宋体"/>
                <w:color w:val="202124"/>
                <w:lang w:eastAsia="zh-CN"/>
              </w:rPr>
            </w:pPr>
            <w:r w:rsidRPr="004614FF">
              <w:rPr>
                <w:rFonts w:ascii="Book Antiqua" w:eastAsia="等线" w:hAnsi="Book Antiqua" w:cs="宋体"/>
                <w:color w:val="202124"/>
                <w:lang w:eastAsia="zh-CN"/>
              </w:rPr>
              <w:t>No</w:t>
            </w:r>
          </w:p>
        </w:tc>
        <w:tc>
          <w:tcPr>
            <w:tcW w:w="732" w:type="pct"/>
            <w:tcBorders>
              <w:top w:val="nil"/>
              <w:left w:val="nil"/>
              <w:bottom w:val="nil"/>
              <w:right w:val="nil"/>
            </w:tcBorders>
            <w:shd w:val="clear" w:color="auto" w:fill="auto"/>
            <w:vAlign w:val="center"/>
            <w:hideMark/>
          </w:tcPr>
          <w:p w14:paraId="260D3915" w14:textId="77777777" w:rsidR="004614FF" w:rsidRPr="004614FF" w:rsidRDefault="004614FF" w:rsidP="004614FF">
            <w:pPr>
              <w:jc w:val="both"/>
              <w:rPr>
                <w:rFonts w:ascii="Book Antiqua" w:eastAsia="等线" w:hAnsi="Book Antiqua" w:cs="宋体"/>
                <w:color w:val="202124"/>
                <w:lang w:eastAsia="zh-CN"/>
              </w:rPr>
            </w:pPr>
            <w:r w:rsidRPr="004614FF">
              <w:rPr>
                <w:rFonts w:ascii="Book Antiqua" w:eastAsia="等线" w:hAnsi="Book Antiqua" w:cs="宋体"/>
                <w:color w:val="202124"/>
                <w:lang w:eastAsia="zh-CN"/>
              </w:rPr>
              <w:t>No</w:t>
            </w:r>
          </w:p>
        </w:tc>
      </w:tr>
      <w:tr w:rsidR="004614FF" w:rsidRPr="004614FF" w14:paraId="03E08F8A" w14:textId="77777777" w:rsidTr="004614FF">
        <w:trPr>
          <w:trHeight w:val="310"/>
        </w:trPr>
        <w:tc>
          <w:tcPr>
            <w:tcW w:w="1350" w:type="pct"/>
            <w:tcBorders>
              <w:top w:val="nil"/>
              <w:left w:val="nil"/>
              <w:bottom w:val="nil"/>
              <w:right w:val="nil"/>
            </w:tcBorders>
            <w:shd w:val="clear" w:color="auto" w:fill="auto"/>
            <w:vAlign w:val="center"/>
            <w:hideMark/>
          </w:tcPr>
          <w:p w14:paraId="76E697CD" w14:textId="77777777" w:rsidR="004614FF" w:rsidRPr="004614FF" w:rsidRDefault="004614FF" w:rsidP="004614FF">
            <w:pPr>
              <w:jc w:val="both"/>
              <w:rPr>
                <w:rFonts w:ascii="Book Antiqua" w:eastAsia="等线" w:hAnsi="Book Antiqua" w:cs="宋体"/>
                <w:color w:val="000000"/>
                <w:lang w:eastAsia="zh-CN"/>
              </w:rPr>
            </w:pPr>
            <w:r w:rsidRPr="004614FF">
              <w:rPr>
                <w:rFonts w:ascii="Book Antiqua" w:eastAsia="等线" w:hAnsi="Book Antiqua" w:cs="宋体"/>
                <w:color w:val="000000"/>
                <w:lang w:eastAsia="zh-CN"/>
              </w:rPr>
              <w:t>TFP12</w:t>
            </w:r>
          </w:p>
        </w:tc>
        <w:tc>
          <w:tcPr>
            <w:tcW w:w="665" w:type="pct"/>
            <w:tcBorders>
              <w:top w:val="nil"/>
              <w:left w:val="nil"/>
              <w:bottom w:val="nil"/>
              <w:right w:val="nil"/>
            </w:tcBorders>
            <w:shd w:val="clear" w:color="auto" w:fill="auto"/>
            <w:vAlign w:val="center"/>
            <w:hideMark/>
          </w:tcPr>
          <w:p w14:paraId="075A93AE" w14:textId="77777777" w:rsidR="004614FF" w:rsidRPr="004614FF" w:rsidRDefault="004614FF" w:rsidP="004614FF">
            <w:pPr>
              <w:jc w:val="both"/>
              <w:rPr>
                <w:rFonts w:ascii="Book Antiqua" w:eastAsia="等线" w:hAnsi="Book Antiqua" w:cs="宋体"/>
                <w:color w:val="202124"/>
                <w:lang w:eastAsia="zh-CN"/>
              </w:rPr>
            </w:pPr>
            <w:r w:rsidRPr="004614FF">
              <w:rPr>
                <w:rFonts w:ascii="Book Antiqua" w:eastAsia="等线" w:hAnsi="Book Antiqua" w:cs="宋体"/>
                <w:color w:val="202124"/>
                <w:lang w:eastAsia="zh-CN"/>
              </w:rPr>
              <w:t>Yes</w:t>
            </w:r>
          </w:p>
        </w:tc>
        <w:tc>
          <w:tcPr>
            <w:tcW w:w="741" w:type="pct"/>
            <w:tcBorders>
              <w:top w:val="nil"/>
              <w:left w:val="nil"/>
              <w:bottom w:val="nil"/>
              <w:right w:val="nil"/>
            </w:tcBorders>
            <w:shd w:val="clear" w:color="auto" w:fill="auto"/>
            <w:vAlign w:val="center"/>
            <w:hideMark/>
          </w:tcPr>
          <w:p w14:paraId="38E02598" w14:textId="77777777" w:rsidR="004614FF" w:rsidRPr="004614FF" w:rsidRDefault="004614FF" w:rsidP="004614FF">
            <w:pPr>
              <w:jc w:val="both"/>
              <w:rPr>
                <w:rFonts w:ascii="Book Antiqua" w:eastAsia="等线" w:hAnsi="Book Antiqua" w:cs="宋体"/>
                <w:color w:val="202124"/>
                <w:lang w:eastAsia="zh-CN"/>
              </w:rPr>
            </w:pPr>
            <w:r w:rsidRPr="004614FF">
              <w:rPr>
                <w:rFonts w:ascii="Book Antiqua" w:eastAsia="等线" w:hAnsi="Book Antiqua" w:cs="宋体"/>
                <w:color w:val="202124"/>
                <w:lang w:eastAsia="zh-CN"/>
              </w:rPr>
              <w:t>No</w:t>
            </w:r>
          </w:p>
        </w:tc>
        <w:tc>
          <w:tcPr>
            <w:tcW w:w="751" w:type="pct"/>
            <w:tcBorders>
              <w:top w:val="nil"/>
              <w:left w:val="nil"/>
              <w:bottom w:val="nil"/>
              <w:right w:val="nil"/>
            </w:tcBorders>
            <w:shd w:val="clear" w:color="auto" w:fill="auto"/>
            <w:vAlign w:val="center"/>
            <w:hideMark/>
          </w:tcPr>
          <w:p w14:paraId="0A0F1895" w14:textId="77777777" w:rsidR="004614FF" w:rsidRPr="004614FF" w:rsidRDefault="004614FF" w:rsidP="004614FF">
            <w:pPr>
              <w:jc w:val="both"/>
              <w:rPr>
                <w:rFonts w:ascii="Book Antiqua" w:eastAsia="等线" w:hAnsi="Book Antiqua" w:cs="宋体"/>
                <w:color w:val="202124"/>
                <w:lang w:eastAsia="zh-CN"/>
              </w:rPr>
            </w:pPr>
            <w:r w:rsidRPr="004614FF">
              <w:rPr>
                <w:rFonts w:ascii="Book Antiqua" w:eastAsia="等线" w:hAnsi="Book Antiqua" w:cs="宋体"/>
                <w:color w:val="202124"/>
                <w:lang w:eastAsia="zh-CN"/>
              </w:rPr>
              <w:t>Yes</w:t>
            </w:r>
          </w:p>
        </w:tc>
        <w:tc>
          <w:tcPr>
            <w:tcW w:w="760" w:type="pct"/>
            <w:tcBorders>
              <w:top w:val="nil"/>
              <w:left w:val="nil"/>
              <w:bottom w:val="nil"/>
              <w:right w:val="nil"/>
            </w:tcBorders>
            <w:shd w:val="clear" w:color="auto" w:fill="auto"/>
            <w:vAlign w:val="center"/>
            <w:hideMark/>
          </w:tcPr>
          <w:p w14:paraId="002EAFE0" w14:textId="77777777" w:rsidR="004614FF" w:rsidRPr="004614FF" w:rsidRDefault="004614FF" w:rsidP="004614FF">
            <w:pPr>
              <w:jc w:val="both"/>
              <w:rPr>
                <w:rFonts w:ascii="Book Antiqua" w:eastAsia="等线" w:hAnsi="Book Antiqua" w:cs="宋体"/>
                <w:color w:val="202124"/>
                <w:lang w:eastAsia="zh-CN"/>
              </w:rPr>
            </w:pPr>
            <w:r w:rsidRPr="004614FF">
              <w:rPr>
                <w:rFonts w:ascii="Book Antiqua" w:eastAsia="等线" w:hAnsi="Book Antiqua" w:cs="宋体"/>
                <w:color w:val="202124"/>
                <w:lang w:eastAsia="zh-CN"/>
              </w:rPr>
              <w:t>Yes</w:t>
            </w:r>
          </w:p>
        </w:tc>
        <w:tc>
          <w:tcPr>
            <w:tcW w:w="732" w:type="pct"/>
            <w:tcBorders>
              <w:top w:val="nil"/>
              <w:left w:val="nil"/>
              <w:bottom w:val="nil"/>
              <w:right w:val="nil"/>
            </w:tcBorders>
            <w:shd w:val="clear" w:color="auto" w:fill="auto"/>
            <w:vAlign w:val="center"/>
            <w:hideMark/>
          </w:tcPr>
          <w:p w14:paraId="1A1DCA24" w14:textId="77777777" w:rsidR="004614FF" w:rsidRPr="004614FF" w:rsidRDefault="004614FF" w:rsidP="004614FF">
            <w:pPr>
              <w:jc w:val="both"/>
              <w:rPr>
                <w:rFonts w:ascii="Book Antiqua" w:eastAsia="等线" w:hAnsi="Book Antiqua" w:cs="宋体"/>
                <w:color w:val="202124"/>
                <w:lang w:eastAsia="zh-CN"/>
              </w:rPr>
            </w:pPr>
            <w:r w:rsidRPr="004614FF">
              <w:rPr>
                <w:rFonts w:ascii="Book Antiqua" w:eastAsia="等线" w:hAnsi="Book Antiqua" w:cs="宋体"/>
                <w:color w:val="202124"/>
                <w:lang w:eastAsia="zh-CN"/>
              </w:rPr>
              <w:t>Yes</w:t>
            </w:r>
          </w:p>
        </w:tc>
      </w:tr>
      <w:tr w:rsidR="004614FF" w:rsidRPr="004614FF" w14:paraId="085CF364" w14:textId="77777777" w:rsidTr="004614FF">
        <w:trPr>
          <w:trHeight w:val="310"/>
        </w:trPr>
        <w:tc>
          <w:tcPr>
            <w:tcW w:w="1350" w:type="pct"/>
            <w:tcBorders>
              <w:top w:val="nil"/>
              <w:left w:val="nil"/>
              <w:bottom w:val="nil"/>
              <w:right w:val="nil"/>
            </w:tcBorders>
            <w:shd w:val="clear" w:color="auto" w:fill="auto"/>
            <w:vAlign w:val="center"/>
            <w:hideMark/>
          </w:tcPr>
          <w:p w14:paraId="58EF556A" w14:textId="77777777" w:rsidR="004614FF" w:rsidRPr="004614FF" w:rsidRDefault="004614FF" w:rsidP="004614FF">
            <w:pPr>
              <w:jc w:val="both"/>
              <w:rPr>
                <w:rFonts w:ascii="Book Antiqua" w:eastAsia="等线" w:hAnsi="Book Antiqua" w:cs="宋体"/>
                <w:color w:val="000000"/>
                <w:lang w:eastAsia="zh-CN"/>
              </w:rPr>
            </w:pPr>
            <w:r w:rsidRPr="004614FF">
              <w:rPr>
                <w:rFonts w:ascii="Book Antiqua" w:eastAsia="等线" w:hAnsi="Book Antiqua" w:cs="宋体"/>
                <w:color w:val="000000"/>
                <w:lang w:eastAsia="zh-CN"/>
              </w:rPr>
              <w:t>FOXE1</w:t>
            </w:r>
          </w:p>
        </w:tc>
        <w:tc>
          <w:tcPr>
            <w:tcW w:w="665" w:type="pct"/>
            <w:tcBorders>
              <w:top w:val="nil"/>
              <w:left w:val="nil"/>
              <w:bottom w:val="nil"/>
              <w:right w:val="nil"/>
            </w:tcBorders>
            <w:shd w:val="clear" w:color="auto" w:fill="auto"/>
            <w:vAlign w:val="center"/>
            <w:hideMark/>
          </w:tcPr>
          <w:p w14:paraId="70AC9CF3" w14:textId="77777777" w:rsidR="004614FF" w:rsidRPr="004614FF" w:rsidRDefault="004614FF" w:rsidP="004614FF">
            <w:pPr>
              <w:jc w:val="both"/>
              <w:rPr>
                <w:rFonts w:ascii="Book Antiqua" w:eastAsia="等线" w:hAnsi="Book Antiqua" w:cs="宋体"/>
                <w:color w:val="202124"/>
                <w:lang w:eastAsia="zh-CN"/>
              </w:rPr>
            </w:pPr>
            <w:r w:rsidRPr="004614FF">
              <w:rPr>
                <w:rFonts w:ascii="Book Antiqua" w:eastAsia="等线" w:hAnsi="Book Antiqua" w:cs="宋体"/>
                <w:color w:val="202124"/>
                <w:lang w:eastAsia="zh-CN"/>
              </w:rPr>
              <w:t>Yes</w:t>
            </w:r>
          </w:p>
        </w:tc>
        <w:tc>
          <w:tcPr>
            <w:tcW w:w="741" w:type="pct"/>
            <w:tcBorders>
              <w:top w:val="nil"/>
              <w:left w:val="nil"/>
              <w:bottom w:val="nil"/>
              <w:right w:val="nil"/>
            </w:tcBorders>
            <w:shd w:val="clear" w:color="auto" w:fill="auto"/>
            <w:vAlign w:val="center"/>
            <w:hideMark/>
          </w:tcPr>
          <w:p w14:paraId="290E19B4" w14:textId="77777777" w:rsidR="004614FF" w:rsidRPr="004614FF" w:rsidRDefault="004614FF" w:rsidP="004614FF">
            <w:pPr>
              <w:jc w:val="both"/>
              <w:rPr>
                <w:rFonts w:ascii="Book Antiqua" w:eastAsia="等线" w:hAnsi="Book Antiqua" w:cs="宋体"/>
                <w:color w:val="202124"/>
                <w:lang w:eastAsia="zh-CN"/>
              </w:rPr>
            </w:pPr>
            <w:r w:rsidRPr="004614FF">
              <w:rPr>
                <w:rFonts w:ascii="Book Antiqua" w:eastAsia="等线" w:hAnsi="Book Antiqua" w:cs="宋体"/>
                <w:color w:val="202124"/>
                <w:lang w:eastAsia="zh-CN"/>
              </w:rPr>
              <w:t>No</w:t>
            </w:r>
          </w:p>
        </w:tc>
        <w:tc>
          <w:tcPr>
            <w:tcW w:w="751" w:type="pct"/>
            <w:tcBorders>
              <w:top w:val="nil"/>
              <w:left w:val="nil"/>
              <w:bottom w:val="nil"/>
              <w:right w:val="nil"/>
            </w:tcBorders>
            <w:shd w:val="clear" w:color="auto" w:fill="auto"/>
            <w:vAlign w:val="center"/>
            <w:hideMark/>
          </w:tcPr>
          <w:p w14:paraId="1CFCD8F2" w14:textId="77777777" w:rsidR="004614FF" w:rsidRPr="004614FF" w:rsidRDefault="004614FF" w:rsidP="004614FF">
            <w:pPr>
              <w:jc w:val="both"/>
              <w:rPr>
                <w:rFonts w:ascii="Book Antiqua" w:eastAsia="等线" w:hAnsi="Book Antiqua" w:cs="宋体"/>
                <w:color w:val="202124"/>
                <w:lang w:eastAsia="zh-CN"/>
              </w:rPr>
            </w:pPr>
            <w:r w:rsidRPr="004614FF">
              <w:rPr>
                <w:rFonts w:ascii="Book Antiqua" w:eastAsia="等线" w:hAnsi="Book Antiqua" w:cs="宋体"/>
                <w:color w:val="202124"/>
                <w:lang w:eastAsia="zh-CN"/>
              </w:rPr>
              <w:t>Yes</w:t>
            </w:r>
          </w:p>
        </w:tc>
        <w:tc>
          <w:tcPr>
            <w:tcW w:w="760" w:type="pct"/>
            <w:tcBorders>
              <w:top w:val="nil"/>
              <w:left w:val="nil"/>
              <w:bottom w:val="nil"/>
              <w:right w:val="nil"/>
            </w:tcBorders>
            <w:shd w:val="clear" w:color="auto" w:fill="auto"/>
            <w:vAlign w:val="center"/>
            <w:hideMark/>
          </w:tcPr>
          <w:p w14:paraId="2B1B8B7D" w14:textId="77777777" w:rsidR="004614FF" w:rsidRPr="004614FF" w:rsidRDefault="004614FF" w:rsidP="004614FF">
            <w:pPr>
              <w:jc w:val="both"/>
              <w:rPr>
                <w:rFonts w:ascii="Book Antiqua" w:eastAsia="等线" w:hAnsi="Book Antiqua" w:cs="宋体"/>
                <w:color w:val="202124"/>
                <w:lang w:eastAsia="zh-CN"/>
              </w:rPr>
            </w:pPr>
            <w:r w:rsidRPr="004614FF">
              <w:rPr>
                <w:rFonts w:ascii="Book Antiqua" w:eastAsia="等线" w:hAnsi="Book Antiqua" w:cs="宋体"/>
                <w:color w:val="202124"/>
                <w:lang w:eastAsia="zh-CN"/>
              </w:rPr>
              <w:t>Yes</w:t>
            </w:r>
          </w:p>
        </w:tc>
        <w:tc>
          <w:tcPr>
            <w:tcW w:w="732" w:type="pct"/>
            <w:tcBorders>
              <w:top w:val="nil"/>
              <w:left w:val="nil"/>
              <w:bottom w:val="nil"/>
              <w:right w:val="nil"/>
            </w:tcBorders>
            <w:shd w:val="clear" w:color="auto" w:fill="auto"/>
            <w:vAlign w:val="center"/>
            <w:hideMark/>
          </w:tcPr>
          <w:p w14:paraId="5AC31080" w14:textId="77777777" w:rsidR="004614FF" w:rsidRPr="004614FF" w:rsidRDefault="004614FF" w:rsidP="004614FF">
            <w:pPr>
              <w:jc w:val="both"/>
              <w:rPr>
                <w:rFonts w:ascii="Book Antiqua" w:eastAsia="等线" w:hAnsi="Book Antiqua" w:cs="宋体"/>
                <w:color w:val="202124"/>
                <w:lang w:eastAsia="zh-CN"/>
              </w:rPr>
            </w:pPr>
            <w:r w:rsidRPr="004614FF">
              <w:rPr>
                <w:rFonts w:ascii="Book Antiqua" w:eastAsia="等线" w:hAnsi="Book Antiqua" w:cs="宋体"/>
                <w:color w:val="202124"/>
                <w:lang w:eastAsia="zh-CN"/>
              </w:rPr>
              <w:t>Yes</w:t>
            </w:r>
          </w:p>
        </w:tc>
      </w:tr>
      <w:tr w:rsidR="004614FF" w:rsidRPr="004614FF" w14:paraId="312D4D86" w14:textId="77777777" w:rsidTr="004614FF">
        <w:trPr>
          <w:trHeight w:val="310"/>
        </w:trPr>
        <w:tc>
          <w:tcPr>
            <w:tcW w:w="1350" w:type="pct"/>
            <w:tcBorders>
              <w:top w:val="nil"/>
              <w:left w:val="nil"/>
              <w:bottom w:val="nil"/>
              <w:right w:val="nil"/>
            </w:tcBorders>
            <w:shd w:val="clear" w:color="auto" w:fill="auto"/>
            <w:vAlign w:val="center"/>
            <w:hideMark/>
          </w:tcPr>
          <w:p w14:paraId="70F20497" w14:textId="77777777" w:rsidR="004614FF" w:rsidRPr="004614FF" w:rsidRDefault="004614FF" w:rsidP="004614FF">
            <w:pPr>
              <w:jc w:val="both"/>
              <w:rPr>
                <w:rFonts w:ascii="Book Antiqua" w:eastAsia="等线" w:hAnsi="Book Antiqua" w:cs="宋体"/>
                <w:color w:val="000000"/>
                <w:lang w:eastAsia="zh-CN"/>
              </w:rPr>
            </w:pPr>
            <w:r w:rsidRPr="004614FF">
              <w:rPr>
                <w:rFonts w:ascii="Book Antiqua" w:eastAsia="等线" w:hAnsi="Book Antiqua" w:cs="宋体"/>
                <w:color w:val="000000"/>
                <w:lang w:eastAsia="zh-CN"/>
              </w:rPr>
              <w:t>P16</w:t>
            </w:r>
          </w:p>
        </w:tc>
        <w:tc>
          <w:tcPr>
            <w:tcW w:w="665" w:type="pct"/>
            <w:tcBorders>
              <w:top w:val="nil"/>
              <w:left w:val="nil"/>
              <w:bottom w:val="nil"/>
              <w:right w:val="nil"/>
            </w:tcBorders>
            <w:shd w:val="clear" w:color="auto" w:fill="auto"/>
            <w:vAlign w:val="center"/>
            <w:hideMark/>
          </w:tcPr>
          <w:p w14:paraId="0FA6F6B7" w14:textId="77777777" w:rsidR="004614FF" w:rsidRPr="004614FF" w:rsidRDefault="004614FF" w:rsidP="004614FF">
            <w:pPr>
              <w:jc w:val="both"/>
              <w:rPr>
                <w:rFonts w:ascii="Book Antiqua" w:eastAsia="等线" w:hAnsi="Book Antiqua" w:cs="宋体"/>
                <w:color w:val="202124"/>
                <w:lang w:eastAsia="zh-CN"/>
              </w:rPr>
            </w:pPr>
            <w:r w:rsidRPr="004614FF">
              <w:rPr>
                <w:rFonts w:ascii="Book Antiqua" w:eastAsia="等线" w:hAnsi="Book Antiqua" w:cs="宋体"/>
                <w:color w:val="202124"/>
                <w:lang w:eastAsia="zh-CN"/>
              </w:rPr>
              <w:t>Yes</w:t>
            </w:r>
          </w:p>
        </w:tc>
        <w:tc>
          <w:tcPr>
            <w:tcW w:w="741" w:type="pct"/>
            <w:tcBorders>
              <w:top w:val="nil"/>
              <w:left w:val="nil"/>
              <w:bottom w:val="nil"/>
              <w:right w:val="nil"/>
            </w:tcBorders>
            <w:shd w:val="clear" w:color="auto" w:fill="auto"/>
            <w:vAlign w:val="center"/>
            <w:hideMark/>
          </w:tcPr>
          <w:p w14:paraId="135386A7" w14:textId="77777777" w:rsidR="004614FF" w:rsidRPr="004614FF" w:rsidRDefault="004614FF" w:rsidP="004614FF">
            <w:pPr>
              <w:jc w:val="both"/>
              <w:rPr>
                <w:rFonts w:ascii="Book Antiqua" w:eastAsia="等线" w:hAnsi="Book Antiqua" w:cs="宋体"/>
                <w:color w:val="202124"/>
                <w:lang w:eastAsia="zh-CN"/>
              </w:rPr>
            </w:pPr>
            <w:r w:rsidRPr="004614FF">
              <w:rPr>
                <w:rFonts w:ascii="Book Antiqua" w:eastAsia="等线" w:hAnsi="Book Antiqua" w:cs="宋体"/>
                <w:color w:val="202124"/>
                <w:lang w:eastAsia="zh-CN"/>
              </w:rPr>
              <w:t>No</w:t>
            </w:r>
          </w:p>
        </w:tc>
        <w:tc>
          <w:tcPr>
            <w:tcW w:w="751" w:type="pct"/>
            <w:tcBorders>
              <w:top w:val="nil"/>
              <w:left w:val="nil"/>
              <w:bottom w:val="nil"/>
              <w:right w:val="nil"/>
            </w:tcBorders>
            <w:shd w:val="clear" w:color="auto" w:fill="auto"/>
            <w:vAlign w:val="center"/>
            <w:hideMark/>
          </w:tcPr>
          <w:p w14:paraId="066162AE" w14:textId="77777777" w:rsidR="004614FF" w:rsidRPr="004614FF" w:rsidRDefault="004614FF" w:rsidP="004614FF">
            <w:pPr>
              <w:jc w:val="both"/>
              <w:rPr>
                <w:rFonts w:ascii="Book Antiqua" w:eastAsia="等线" w:hAnsi="Book Antiqua" w:cs="宋体"/>
                <w:color w:val="202124"/>
                <w:lang w:eastAsia="zh-CN"/>
              </w:rPr>
            </w:pPr>
            <w:r w:rsidRPr="004614FF">
              <w:rPr>
                <w:rFonts w:ascii="Book Antiqua" w:eastAsia="等线" w:hAnsi="Book Antiqua" w:cs="宋体"/>
                <w:color w:val="202124"/>
                <w:lang w:eastAsia="zh-CN"/>
              </w:rPr>
              <w:t>Yes</w:t>
            </w:r>
          </w:p>
        </w:tc>
        <w:tc>
          <w:tcPr>
            <w:tcW w:w="760" w:type="pct"/>
            <w:tcBorders>
              <w:top w:val="nil"/>
              <w:left w:val="nil"/>
              <w:bottom w:val="nil"/>
              <w:right w:val="nil"/>
            </w:tcBorders>
            <w:shd w:val="clear" w:color="auto" w:fill="auto"/>
            <w:vAlign w:val="center"/>
            <w:hideMark/>
          </w:tcPr>
          <w:p w14:paraId="61134E8D" w14:textId="77777777" w:rsidR="004614FF" w:rsidRPr="004614FF" w:rsidRDefault="004614FF" w:rsidP="004614FF">
            <w:pPr>
              <w:jc w:val="both"/>
              <w:rPr>
                <w:rFonts w:ascii="Book Antiqua" w:eastAsia="等线" w:hAnsi="Book Antiqua" w:cs="宋体"/>
                <w:color w:val="202124"/>
                <w:lang w:eastAsia="zh-CN"/>
              </w:rPr>
            </w:pPr>
            <w:r w:rsidRPr="004614FF">
              <w:rPr>
                <w:rFonts w:ascii="Book Antiqua" w:eastAsia="等线" w:hAnsi="Book Antiqua" w:cs="宋体"/>
                <w:color w:val="202124"/>
                <w:lang w:eastAsia="zh-CN"/>
              </w:rPr>
              <w:t>Yes</w:t>
            </w:r>
          </w:p>
        </w:tc>
        <w:tc>
          <w:tcPr>
            <w:tcW w:w="732" w:type="pct"/>
            <w:tcBorders>
              <w:top w:val="nil"/>
              <w:left w:val="nil"/>
              <w:bottom w:val="nil"/>
              <w:right w:val="nil"/>
            </w:tcBorders>
            <w:shd w:val="clear" w:color="auto" w:fill="auto"/>
            <w:vAlign w:val="center"/>
            <w:hideMark/>
          </w:tcPr>
          <w:p w14:paraId="3CB970E8" w14:textId="77777777" w:rsidR="004614FF" w:rsidRPr="004614FF" w:rsidRDefault="004614FF" w:rsidP="004614FF">
            <w:pPr>
              <w:jc w:val="both"/>
              <w:rPr>
                <w:rFonts w:ascii="Book Antiqua" w:eastAsia="等线" w:hAnsi="Book Antiqua" w:cs="宋体"/>
                <w:color w:val="202124"/>
                <w:lang w:eastAsia="zh-CN"/>
              </w:rPr>
            </w:pPr>
            <w:r w:rsidRPr="004614FF">
              <w:rPr>
                <w:rFonts w:ascii="Book Antiqua" w:eastAsia="等线" w:hAnsi="Book Antiqua" w:cs="宋体"/>
                <w:color w:val="202124"/>
                <w:lang w:eastAsia="zh-CN"/>
              </w:rPr>
              <w:t>Yes</w:t>
            </w:r>
          </w:p>
        </w:tc>
      </w:tr>
      <w:tr w:rsidR="004614FF" w:rsidRPr="004614FF" w14:paraId="7A0C2974" w14:textId="77777777" w:rsidTr="004614FF">
        <w:trPr>
          <w:trHeight w:val="310"/>
        </w:trPr>
        <w:tc>
          <w:tcPr>
            <w:tcW w:w="1350" w:type="pct"/>
            <w:tcBorders>
              <w:top w:val="nil"/>
              <w:left w:val="nil"/>
              <w:bottom w:val="nil"/>
              <w:right w:val="nil"/>
            </w:tcBorders>
            <w:shd w:val="clear" w:color="auto" w:fill="auto"/>
            <w:vAlign w:val="center"/>
            <w:hideMark/>
          </w:tcPr>
          <w:p w14:paraId="3203CDF8" w14:textId="77777777" w:rsidR="004614FF" w:rsidRPr="004614FF" w:rsidRDefault="004614FF" w:rsidP="004614FF">
            <w:pPr>
              <w:jc w:val="both"/>
              <w:rPr>
                <w:rFonts w:ascii="Book Antiqua" w:eastAsia="等线" w:hAnsi="Book Antiqua" w:cs="宋体"/>
                <w:color w:val="000000"/>
                <w:lang w:eastAsia="zh-CN"/>
              </w:rPr>
            </w:pPr>
            <w:r w:rsidRPr="004614FF">
              <w:rPr>
                <w:rFonts w:ascii="Book Antiqua" w:eastAsia="等线" w:hAnsi="Book Antiqua" w:cs="宋体"/>
                <w:color w:val="000000"/>
                <w:lang w:eastAsia="zh-CN"/>
              </w:rPr>
              <w:t>NPTX2</w:t>
            </w:r>
          </w:p>
        </w:tc>
        <w:tc>
          <w:tcPr>
            <w:tcW w:w="665" w:type="pct"/>
            <w:tcBorders>
              <w:top w:val="nil"/>
              <w:left w:val="nil"/>
              <w:bottom w:val="nil"/>
              <w:right w:val="nil"/>
            </w:tcBorders>
            <w:shd w:val="clear" w:color="auto" w:fill="auto"/>
            <w:vAlign w:val="center"/>
            <w:hideMark/>
          </w:tcPr>
          <w:p w14:paraId="57017716" w14:textId="77777777" w:rsidR="004614FF" w:rsidRPr="004614FF" w:rsidRDefault="004614FF" w:rsidP="004614FF">
            <w:pPr>
              <w:jc w:val="both"/>
              <w:rPr>
                <w:rFonts w:ascii="Book Antiqua" w:eastAsia="等线" w:hAnsi="Book Antiqua" w:cs="宋体"/>
                <w:color w:val="202124"/>
                <w:lang w:eastAsia="zh-CN"/>
              </w:rPr>
            </w:pPr>
            <w:r w:rsidRPr="004614FF">
              <w:rPr>
                <w:rFonts w:ascii="Book Antiqua" w:eastAsia="等线" w:hAnsi="Book Antiqua" w:cs="宋体"/>
                <w:color w:val="202124"/>
                <w:lang w:eastAsia="zh-CN"/>
              </w:rPr>
              <w:t>Yes</w:t>
            </w:r>
          </w:p>
        </w:tc>
        <w:tc>
          <w:tcPr>
            <w:tcW w:w="741" w:type="pct"/>
            <w:tcBorders>
              <w:top w:val="nil"/>
              <w:left w:val="nil"/>
              <w:bottom w:val="nil"/>
              <w:right w:val="nil"/>
            </w:tcBorders>
            <w:shd w:val="clear" w:color="auto" w:fill="auto"/>
            <w:vAlign w:val="center"/>
            <w:hideMark/>
          </w:tcPr>
          <w:p w14:paraId="6E427895" w14:textId="77777777" w:rsidR="004614FF" w:rsidRPr="004614FF" w:rsidRDefault="004614FF" w:rsidP="004614FF">
            <w:pPr>
              <w:jc w:val="both"/>
              <w:rPr>
                <w:rFonts w:ascii="Book Antiqua" w:eastAsia="等线" w:hAnsi="Book Antiqua" w:cs="宋体"/>
                <w:color w:val="202124"/>
                <w:lang w:eastAsia="zh-CN"/>
              </w:rPr>
            </w:pPr>
            <w:r w:rsidRPr="004614FF">
              <w:rPr>
                <w:rFonts w:ascii="Book Antiqua" w:eastAsia="等线" w:hAnsi="Book Antiqua" w:cs="宋体"/>
                <w:color w:val="202124"/>
                <w:lang w:eastAsia="zh-CN"/>
              </w:rPr>
              <w:t>No</w:t>
            </w:r>
          </w:p>
        </w:tc>
        <w:tc>
          <w:tcPr>
            <w:tcW w:w="751" w:type="pct"/>
            <w:tcBorders>
              <w:top w:val="nil"/>
              <w:left w:val="nil"/>
              <w:bottom w:val="nil"/>
              <w:right w:val="nil"/>
            </w:tcBorders>
            <w:shd w:val="clear" w:color="auto" w:fill="auto"/>
            <w:vAlign w:val="center"/>
            <w:hideMark/>
          </w:tcPr>
          <w:p w14:paraId="0718D40F" w14:textId="77777777" w:rsidR="004614FF" w:rsidRPr="004614FF" w:rsidRDefault="004614FF" w:rsidP="004614FF">
            <w:pPr>
              <w:jc w:val="both"/>
              <w:rPr>
                <w:rFonts w:ascii="Book Antiqua" w:eastAsia="等线" w:hAnsi="Book Antiqua" w:cs="宋体"/>
                <w:color w:val="202124"/>
                <w:lang w:eastAsia="zh-CN"/>
              </w:rPr>
            </w:pPr>
            <w:r w:rsidRPr="004614FF">
              <w:rPr>
                <w:rFonts w:ascii="Book Antiqua" w:eastAsia="等线" w:hAnsi="Book Antiqua" w:cs="宋体"/>
                <w:color w:val="202124"/>
                <w:lang w:eastAsia="zh-CN"/>
              </w:rPr>
              <w:t>Yes</w:t>
            </w:r>
          </w:p>
        </w:tc>
        <w:tc>
          <w:tcPr>
            <w:tcW w:w="760" w:type="pct"/>
            <w:tcBorders>
              <w:top w:val="nil"/>
              <w:left w:val="nil"/>
              <w:bottom w:val="nil"/>
              <w:right w:val="nil"/>
            </w:tcBorders>
            <w:shd w:val="clear" w:color="auto" w:fill="auto"/>
            <w:vAlign w:val="center"/>
            <w:hideMark/>
          </w:tcPr>
          <w:p w14:paraId="5E8BF487" w14:textId="77777777" w:rsidR="004614FF" w:rsidRPr="004614FF" w:rsidRDefault="004614FF" w:rsidP="004614FF">
            <w:pPr>
              <w:jc w:val="both"/>
              <w:rPr>
                <w:rFonts w:ascii="Book Antiqua" w:eastAsia="等线" w:hAnsi="Book Antiqua" w:cs="宋体"/>
                <w:color w:val="202124"/>
                <w:lang w:eastAsia="zh-CN"/>
              </w:rPr>
            </w:pPr>
            <w:r w:rsidRPr="004614FF">
              <w:rPr>
                <w:rFonts w:ascii="Book Antiqua" w:eastAsia="等线" w:hAnsi="Book Antiqua" w:cs="宋体"/>
                <w:color w:val="202124"/>
                <w:lang w:eastAsia="zh-CN"/>
              </w:rPr>
              <w:t>Yes</w:t>
            </w:r>
          </w:p>
        </w:tc>
        <w:tc>
          <w:tcPr>
            <w:tcW w:w="732" w:type="pct"/>
            <w:tcBorders>
              <w:top w:val="nil"/>
              <w:left w:val="nil"/>
              <w:bottom w:val="nil"/>
              <w:right w:val="nil"/>
            </w:tcBorders>
            <w:shd w:val="clear" w:color="auto" w:fill="auto"/>
            <w:vAlign w:val="center"/>
            <w:hideMark/>
          </w:tcPr>
          <w:p w14:paraId="3A30B7E9" w14:textId="77777777" w:rsidR="004614FF" w:rsidRPr="004614FF" w:rsidRDefault="004614FF" w:rsidP="004614FF">
            <w:pPr>
              <w:jc w:val="both"/>
              <w:rPr>
                <w:rFonts w:ascii="Book Antiqua" w:eastAsia="等线" w:hAnsi="Book Antiqua" w:cs="宋体"/>
                <w:color w:val="202124"/>
                <w:lang w:eastAsia="zh-CN"/>
              </w:rPr>
            </w:pPr>
            <w:r w:rsidRPr="004614FF">
              <w:rPr>
                <w:rFonts w:ascii="Book Antiqua" w:eastAsia="等线" w:hAnsi="Book Antiqua" w:cs="宋体"/>
                <w:color w:val="202124"/>
                <w:lang w:eastAsia="zh-CN"/>
              </w:rPr>
              <w:t>Yes</w:t>
            </w:r>
          </w:p>
        </w:tc>
      </w:tr>
      <w:tr w:rsidR="004614FF" w:rsidRPr="004614FF" w14:paraId="0A880F30" w14:textId="77777777" w:rsidTr="004614FF">
        <w:trPr>
          <w:trHeight w:val="310"/>
        </w:trPr>
        <w:tc>
          <w:tcPr>
            <w:tcW w:w="1350" w:type="pct"/>
            <w:tcBorders>
              <w:top w:val="nil"/>
              <w:left w:val="nil"/>
              <w:bottom w:val="nil"/>
              <w:right w:val="nil"/>
            </w:tcBorders>
            <w:shd w:val="clear" w:color="auto" w:fill="auto"/>
            <w:vAlign w:val="center"/>
            <w:hideMark/>
          </w:tcPr>
          <w:p w14:paraId="3F9F2FBE" w14:textId="77777777" w:rsidR="004614FF" w:rsidRPr="004614FF" w:rsidRDefault="004614FF" w:rsidP="004614FF">
            <w:pPr>
              <w:jc w:val="both"/>
              <w:rPr>
                <w:rFonts w:ascii="Book Antiqua" w:eastAsia="等线" w:hAnsi="Book Antiqua" w:cs="宋体"/>
                <w:color w:val="000000"/>
                <w:lang w:eastAsia="zh-CN"/>
              </w:rPr>
            </w:pPr>
            <w:r w:rsidRPr="004614FF">
              <w:rPr>
                <w:rFonts w:ascii="Book Antiqua" w:eastAsia="等线" w:hAnsi="Book Antiqua" w:cs="宋体"/>
                <w:color w:val="000000"/>
                <w:lang w:eastAsia="zh-CN"/>
              </w:rPr>
              <w:lastRenderedPageBreak/>
              <w:t>PENK</w:t>
            </w:r>
          </w:p>
        </w:tc>
        <w:tc>
          <w:tcPr>
            <w:tcW w:w="665" w:type="pct"/>
            <w:tcBorders>
              <w:top w:val="nil"/>
              <w:left w:val="nil"/>
              <w:bottom w:val="nil"/>
              <w:right w:val="nil"/>
            </w:tcBorders>
            <w:shd w:val="clear" w:color="auto" w:fill="auto"/>
            <w:vAlign w:val="center"/>
            <w:hideMark/>
          </w:tcPr>
          <w:p w14:paraId="58F75561" w14:textId="77777777" w:rsidR="004614FF" w:rsidRPr="004614FF" w:rsidRDefault="004614FF" w:rsidP="004614FF">
            <w:pPr>
              <w:jc w:val="both"/>
              <w:rPr>
                <w:rFonts w:ascii="Book Antiqua" w:eastAsia="等线" w:hAnsi="Book Antiqua" w:cs="宋体"/>
                <w:color w:val="202124"/>
                <w:lang w:eastAsia="zh-CN"/>
              </w:rPr>
            </w:pPr>
            <w:r w:rsidRPr="004614FF">
              <w:rPr>
                <w:rFonts w:ascii="Book Antiqua" w:eastAsia="等线" w:hAnsi="Book Antiqua" w:cs="宋体"/>
                <w:color w:val="202124"/>
                <w:lang w:eastAsia="zh-CN"/>
              </w:rPr>
              <w:t>Yes</w:t>
            </w:r>
          </w:p>
        </w:tc>
        <w:tc>
          <w:tcPr>
            <w:tcW w:w="741" w:type="pct"/>
            <w:tcBorders>
              <w:top w:val="nil"/>
              <w:left w:val="nil"/>
              <w:bottom w:val="nil"/>
              <w:right w:val="nil"/>
            </w:tcBorders>
            <w:shd w:val="clear" w:color="auto" w:fill="auto"/>
            <w:vAlign w:val="center"/>
            <w:hideMark/>
          </w:tcPr>
          <w:p w14:paraId="23933D69" w14:textId="77777777" w:rsidR="004614FF" w:rsidRPr="004614FF" w:rsidRDefault="004614FF" w:rsidP="004614FF">
            <w:pPr>
              <w:jc w:val="both"/>
              <w:rPr>
                <w:rFonts w:ascii="Book Antiqua" w:eastAsia="等线" w:hAnsi="Book Antiqua" w:cs="宋体"/>
                <w:color w:val="202124"/>
                <w:lang w:eastAsia="zh-CN"/>
              </w:rPr>
            </w:pPr>
            <w:r w:rsidRPr="004614FF">
              <w:rPr>
                <w:rFonts w:ascii="Book Antiqua" w:eastAsia="等线" w:hAnsi="Book Antiqua" w:cs="宋体"/>
                <w:color w:val="202124"/>
                <w:lang w:eastAsia="zh-CN"/>
              </w:rPr>
              <w:t>No</w:t>
            </w:r>
          </w:p>
        </w:tc>
        <w:tc>
          <w:tcPr>
            <w:tcW w:w="751" w:type="pct"/>
            <w:tcBorders>
              <w:top w:val="nil"/>
              <w:left w:val="nil"/>
              <w:bottom w:val="nil"/>
              <w:right w:val="nil"/>
            </w:tcBorders>
            <w:shd w:val="clear" w:color="auto" w:fill="auto"/>
            <w:vAlign w:val="center"/>
            <w:hideMark/>
          </w:tcPr>
          <w:p w14:paraId="62A7B072" w14:textId="77777777" w:rsidR="004614FF" w:rsidRPr="004614FF" w:rsidRDefault="004614FF" w:rsidP="004614FF">
            <w:pPr>
              <w:jc w:val="both"/>
              <w:rPr>
                <w:rFonts w:ascii="Book Antiqua" w:eastAsia="等线" w:hAnsi="Book Antiqua" w:cs="宋体"/>
                <w:color w:val="202124"/>
                <w:lang w:eastAsia="zh-CN"/>
              </w:rPr>
            </w:pPr>
            <w:r w:rsidRPr="004614FF">
              <w:rPr>
                <w:rFonts w:ascii="Book Antiqua" w:eastAsia="等线" w:hAnsi="Book Antiqua" w:cs="宋体"/>
                <w:color w:val="202124"/>
                <w:lang w:eastAsia="zh-CN"/>
              </w:rPr>
              <w:t>Yes</w:t>
            </w:r>
          </w:p>
        </w:tc>
        <w:tc>
          <w:tcPr>
            <w:tcW w:w="760" w:type="pct"/>
            <w:tcBorders>
              <w:top w:val="nil"/>
              <w:left w:val="nil"/>
              <w:bottom w:val="nil"/>
              <w:right w:val="nil"/>
            </w:tcBorders>
            <w:shd w:val="clear" w:color="auto" w:fill="auto"/>
            <w:vAlign w:val="center"/>
            <w:hideMark/>
          </w:tcPr>
          <w:p w14:paraId="5628F44F" w14:textId="77777777" w:rsidR="004614FF" w:rsidRPr="004614FF" w:rsidRDefault="004614FF" w:rsidP="004614FF">
            <w:pPr>
              <w:jc w:val="both"/>
              <w:rPr>
                <w:rFonts w:ascii="Book Antiqua" w:eastAsia="等线" w:hAnsi="Book Antiqua" w:cs="宋体"/>
                <w:color w:val="202124"/>
                <w:lang w:eastAsia="zh-CN"/>
              </w:rPr>
            </w:pPr>
            <w:r w:rsidRPr="004614FF">
              <w:rPr>
                <w:rFonts w:ascii="Book Antiqua" w:eastAsia="等线" w:hAnsi="Book Antiqua" w:cs="宋体"/>
                <w:color w:val="202124"/>
                <w:lang w:eastAsia="zh-CN"/>
              </w:rPr>
              <w:t>Yes</w:t>
            </w:r>
          </w:p>
        </w:tc>
        <w:tc>
          <w:tcPr>
            <w:tcW w:w="732" w:type="pct"/>
            <w:tcBorders>
              <w:top w:val="nil"/>
              <w:left w:val="nil"/>
              <w:bottom w:val="nil"/>
              <w:right w:val="nil"/>
            </w:tcBorders>
            <w:shd w:val="clear" w:color="auto" w:fill="auto"/>
            <w:vAlign w:val="center"/>
            <w:hideMark/>
          </w:tcPr>
          <w:p w14:paraId="7C314DF1" w14:textId="77777777" w:rsidR="004614FF" w:rsidRPr="004614FF" w:rsidRDefault="004614FF" w:rsidP="004614FF">
            <w:pPr>
              <w:jc w:val="both"/>
              <w:rPr>
                <w:rFonts w:ascii="Book Antiqua" w:eastAsia="等线" w:hAnsi="Book Antiqua" w:cs="宋体"/>
                <w:color w:val="202124"/>
                <w:lang w:eastAsia="zh-CN"/>
              </w:rPr>
            </w:pPr>
            <w:r w:rsidRPr="004614FF">
              <w:rPr>
                <w:rFonts w:ascii="Book Antiqua" w:eastAsia="等线" w:hAnsi="Book Antiqua" w:cs="宋体"/>
                <w:color w:val="202124"/>
                <w:lang w:eastAsia="zh-CN"/>
              </w:rPr>
              <w:t>Yes</w:t>
            </w:r>
          </w:p>
        </w:tc>
      </w:tr>
      <w:tr w:rsidR="004614FF" w:rsidRPr="004614FF" w14:paraId="5899E151" w14:textId="77777777" w:rsidTr="004614FF">
        <w:trPr>
          <w:trHeight w:val="310"/>
        </w:trPr>
        <w:tc>
          <w:tcPr>
            <w:tcW w:w="1350" w:type="pct"/>
            <w:tcBorders>
              <w:top w:val="nil"/>
              <w:left w:val="nil"/>
              <w:bottom w:val="nil"/>
              <w:right w:val="nil"/>
            </w:tcBorders>
            <w:shd w:val="clear" w:color="auto" w:fill="auto"/>
            <w:vAlign w:val="center"/>
            <w:hideMark/>
          </w:tcPr>
          <w:p w14:paraId="20BB6900" w14:textId="77777777" w:rsidR="004614FF" w:rsidRPr="004614FF" w:rsidRDefault="004614FF" w:rsidP="004614FF">
            <w:pPr>
              <w:jc w:val="both"/>
              <w:rPr>
                <w:rFonts w:ascii="Book Antiqua" w:eastAsia="等线" w:hAnsi="Book Antiqua" w:cs="宋体"/>
                <w:color w:val="000000"/>
                <w:lang w:eastAsia="zh-CN"/>
              </w:rPr>
            </w:pPr>
            <w:r w:rsidRPr="004614FF">
              <w:rPr>
                <w:rFonts w:ascii="Book Antiqua" w:eastAsia="等线" w:hAnsi="Book Antiqua" w:cs="宋体"/>
                <w:color w:val="000000"/>
                <w:lang w:eastAsia="zh-CN"/>
              </w:rPr>
              <w:t>CYCLIN D2</w:t>
            </w:r>
          </w:p>
        </w:tc>
        <w:tc>
          <w:tcPr>
            <w:tcW w:w="665" w:type="pct"/>
            <w:tcBorders>
              <w:top w:val="nil"/>
              <w:left w:val="nil"/>
              <w:bottom w:val="nil"/>
              <w:right w:val="nil"/>
            </w:tcBorders>
            <w:shd w:val="clear" w:color="auto" w:fill="auto"/>
            <w:vAlign w:val="center"/>
            <w:hideMark/>
          </w:tcPr>
          <w:p w14:paraId="50B7E031" w14:textId="77777777" w:rsidR="004614FF" w:rsidRPr="004614FF" w:rsidRDefault="004614FF" w:rsidP="004614FF">
            <w:pPr>
              <w:jc w:val="both"/>
              <w:rPr>
                <w:rFonts w:ascii="Book Antiqua" w:eastAsia="等线" w:hAnsi="Book Antiqua" w:cs="宋体"/>
                <w:color w:val="202124"/>
                <w:lang w:eastAsia="zh-CN"/>
              </w:rPr>
            </w:pPr>
            <w:r w:rsidRPr="004614FF">
              <w:rPr>
                <w:rFonts w:ascii="Book Antiqua" w:eastAsia="等线" w:hAnsi="Book Antiqua" w:cs="宋体"/>
                <w:color w:val="202124"/>
                <w:lang w:eastAsia="zh-CN"/>
              </w:rPr>
              <w:t>Yes</w:t>
            </w:r>
          </w:p>
        </w:tc>
        <w:tc>
          <w:tcPr>
            <w:tcW w:w="741" w:type="pct"/>
            <w:tcBorders>
              <w:top w:val="nil"/>
              <w:left w:val="nil"/>
              <w:bottom w:val="nil"/>
              <w:right w:val="nil"/>
            </w:tcBorders>
            <w:shd w:val="clear" w:color="auto" w:fill="auto"/>
            <w:vAlign w:val="center"/>
            <w:hideMark/>
          </w:tcPr>
          <w:p w14:paraId="3920A4AC" w14:textId="77777777" w:rsidR="004614FF" w:rsidRPr="004614FF" w:rsidRDefault="004614FF" w:rsidP="004614FF">
            <w:pPr>
              <w:jc w:val="both"/>
              <w:rPr>
                <w:rFonts w:ascii="Book Antiqua" w:eastAsia="等线" w:hAnsi="Book Antiqua" w:cs="宋体"/>
                <w:color w:val="202124"/>
                <w:lang w:eastAsia="zh-CN"/>
              </w:rPr>
            </w:pPr>
            <w:r w:rsidRPr="004614FF">
              <w:rPr>
                <w:rFonts w:ascii="Book Antiqua" w:eastAsia="等线" w:hAnsi="Book Antiqua" w:cs="宋体"/>
                <w:color w:val="202124"/>
                <w:lang w:eastAsia="zh-CN"/>
              </w:rPr>
              <w:t>No</w:t>
            </w:r>
          </w:p>
        </w:tc>
        <w:tc>
          <w:tcPr>
            <w:tcW w:w="751" w:type="pct"/>
            <w:tcBorders>
              <w:top w:val="nil"/>
              <w:left w:val="nil"/>
              <w:bottom w:val="nil"/>
              <w:right w:val="nil"/>
            </w:tcBorders>
            <w:shd w:val="clear" w:color="auto" w:fill="auto"/>
            <w:vAlign w:val="center"/>
            <w:hideMark/>
          </w:tcPr>
          <w:p w14:paraId="345A3167" w14:textId="77777777" w:rsidR="004614FF" w:rsidRPr="004614FF" w:rsidRDefault="004614FF" w:rsidP="004614FF">
            <w:pPr>
              <w:jc w:val="both"/>
              <w:rPr>
                <w:rFonts w:ascii="Book Antiqua" w:eastAsia="等线" w:hAnsi="Book Antiqua" w:cs="宋体"/>
                <w:color w:val="202124"/>
                <w:lang w:eastAsia="zh-CN"/>
              </w:rPr>
            </w:pPr>
            <w:r w:rsidRPr="004614FF">
              <w:rPr>
                <w:rFonts w:ascii="Book Antiqua" w:eastAsia="等线" w:hAnsi="Book Antiqua" w:cs="宋体"/>
                <w:color w:val="202124"/>
                <w:lang w:eastAsia="zh-CN"/>
              </w:rPr>
              <w:t>Yes</w:t>
            </w:r>
          </w:p>
        </w:tc>
        <w:tc>
          <w:tcPr>
            <w:tcW w:w="760" w:type="pct"/>
            <w:tcBorders>
              <w:top w:val="nil"/>
              <w:left w:val="nil"/>
              <w:bottom w:val="nil"/>
              <w:right w:val="nil"/>
            </w:tcBorders>
            <w:shd w:val="clear" w:color="auto" w:fill="auto"/>
            <w:vAlign w:val="center"/>
            <w:hideMark/>
          </w:tcPr>
          <w:p w14:paraId="03260ADF" w14:textId="77777777" w:rsidR="004614FF" w:rsidRPr="004614FF" w:rsidRDefault="004614FF" w:rsidP="004614FF">
            <w:pPr>
              <w:jc w:val="both"/>
              <w:rPr>
                <w:rFonts w:ascii="Book Antiqua" w:eastAsia="等线" w:hAnsi="Book Antiqua" w:cs="宋体"/>
                <w:color w:val="202124"/>
                <w:lang w:eastAsia="zh-CN"/>
              </w:rPr>
            </w:pPr>
            <w:r w:rsidRPr="004614FF">
              <w:rPr>
                <w:rFonts w:ascii="Book Antiqua" w:eastAsia="等线" w:hAnsi="Book Antiqua" w:cs="宋体"/>
                <w:color w:val="202124"/>
                <w:lang w:eastAsia="zh-CN"/>
              </w:rPr>
              <w:t>Yes</w:t>
            </w:r>
          </w:p>
        </w:tc>
        <w:tc>
          <w:tcPr>
            <w:tcW w:w="732" w:type="pct"/>
            <w:tcBorders>
              <w:top w:val="nil"/>
              <w:left w:val="nil"/>
              <w:bottom w:val="nil"/>
              <w:right w:val="nil"/>
            </w:tcBorders>
            <w:shd w:val="clear" w:color="auto" w:fill="auto"/>
            <w:vAlign w:val="center"/>
            <w:hideMark/>
          </w:tcPr>
          <w:p w14:paraId="657BC74E" w14:textId="77777777" w:rsidR="004614FF" w:rsidRPr="004614FF" w:rsidRDefault="004614FF" w:rsidP="004614FF">
            <w:pPr>
              <w:jc w:val="both"/>
              <w:rPr>
                <w:rFonts w:ascii="Book Antiqua" w:eastAsia="等线" w:hAnsi="Book Antiqua" w:cs="宋体"/>
                <w:color w:val="202124"/>
                <w:lang w:eastAsia="zh-CN"/>
              </w:rPr>
            </w:pPr>
            <w:r w:rsidRPr="004614FF">
              <w:rPr>
                <w:rFonts w:ascii="Book Antiqua" w:eastAsia="等线" w:hAnsi="Book Antiqua" w:cs="宋体"/>
                <w:color w:val="202124"/>
                <w:lang w:eastAsia="zh-CN"/>
              </w:rPr>
              <w:t>Yes</w:t>
            </w:r>
          </w:p>
        </w:tc>
      </w:tr>
      <w:tr w:rsidR="004614FF" w:rsidRPr="004614FF" w14:paraId="7CA84A00" w14:textId="77777777" w:rsidTr="004614FF">
        <w:trPr>
          <w:trHeight w:val="310"/>
        </w:trPr>
        <w:tc>
          <w:tcPr>
            <w:tcW w:w="1350" w:type="pct"/>
            <w:tcBorders>
              <w:top w:val="nil"/>
              <w:left w:val="nil"/>
              <w:bottom w:val="nil"/>
              <w:right w:val="nil"/>
            </w:tcBorders>
            <w:shd w:val="clear" w:color="auto" w:fill="auto"/>
            <w:vAlign w:val="center"/>
            <w:hideMark/>
          </w:tcPr>
          <w:p w14:paraId="2265B313" w14:textId="77777777" w:rsidR="004614FF" w:rsidRPr="004614FF" w:rsidRDefault="004614FF" w:rsidP="004614FF">
            <w:pPr>
              <w:jc w:val="both"/>
              <w:rPr>
                <w:rFonts w:ascii="Book Antiqua" w:eastAsia="等线" w:hAnsi="Book Antiqua" w:cs="宋体"/>
                <w:color w:val="000000"/>
                <w:lang w:eastAsia="zh-CN"/>
              </w:rPr>
            </w:pPr>
            <w:r w:rsidRPr="004614FF">
              <w:rPr>
                <w:rFonts w:ascii="Book Antiqua" w:eastAsia="等线" w:hAnsi="Book Antiqua" w:cs="宋体"/>
                <w:color w:val="000000"/>
                <w:lang w:eastAsia="zh-CN"/>
              </w:rPr>
              <w:t>CDO1</w:t>
            </w:r>
          </w:p>
        </w:tc>
        <w:tc>
          <w:tcPr>
            <w:tcW w:w="665" w:type="pct"/>
            <w:tcBorders>
              <w:top w:val="nil"/>
              <w:left w:val="nil"/>
              <w:bottom w:val="nil"/>
              <w:right w:val="nil"/>
            </w:tcBorders>
            <w:shd w:val="clear" w:color="auto" w:fill="auto"/>
            <w:vAlign w:val="center"/>
            <w:hideMark/>
          </w:tcPr>
          <w:p w14:paraId="3293A0CB" w14:textId="77777777" w:rsidR="004614FF" w:rsidRPr="004614FF" w:rsidRDefault="004614FF" w:rsidP="004614FF">
            <w:pPr>
              <w:jc w:val="both"/>
              <w:rPr>
                <w:rFonts w:ascii="Book Antiqua" w:eastAsia="等线" w:hAnsi="Book Antiqua" w:cs="宋体"/>
                <w:color w:val="202124"/>
                <w:lang w:eastAsia="zh-CN"/>
              </w:rPr>
            </w:pPr>
            <w:r w:rsidRPr="004614FF">
              <w:rPr>
                <w:rFonts w:ascii="Book Antiqua" w:eastAsia="等线" w:hAnsi="Book Antiqua" w:cs="宋体"/>
                <w:color w:val="202124"/>
                <w:lang w:eastAsia="zh-CN"/>
              </w:rPr>
              <w:t>No</w:t>
            </w:r>
          </w:p>
        </w:tc>
        <w:tc>
          <w:tcPr>
            <w:tcW w:w="741" w:type="pct"/>
            <w:tcBorders>
              <w:top w:val="nil"/>
              <w:left w:val="nil"/>
              <w:bottom w:val="nil"/>
              <w:right w:val="nil"/>
            </w:tcBorders>
            <w:shd w:val="clear" w:color="auto" w:fill="auto"/>
            <w:vAlign w:val="center"/>
            <w:hideMark/>
          </w:tcPr>
          <w:p w14:paraId="648C4AC2" w14:textId="77777777" w:rsidR="004614FF" w:rsidRPr="004614FF" w:rsidRDefault="004614FF" w:rsidP="004614FF">
            <w:pPr>
              <w:jc w:val="both"/>
              <w:rPr>
                <w:rFonts w:ascii="Book Antiqua" w:eastAsia="等线" w:hAnsi="Book Antiqua" w:cs="宋体"/>
                <w:color w:val="202124"/>
                <w:lang w:eastAsia="zh-CN"/>
              </w:rPr>
            </w:pPr>
            <w:r w:rsidRPr="004614FF">
              <w:rPr>
                <w:rFonts w:ascii="Book Antiqua" w:eastAsia="等线" w:hAnsi="Book Antiqua" w:cs="宋体"/>
                <w:color w:val="202124"/>
                <w:lang w:eastAsia="zh-CN"/>
              </w:rPr>
              <w:t>Yes</w:t>
            </w:r>
          </w:p>
        </w:tc>
        <w:tc>
          <w:tcPr>
            <w:tcW w:w="751" w:type="pct"/>
            <w:tcBorders>
              <w:top w:val="nil"/>
              <w:left w:val="nil"/>
              <w:bottom w:val="nil"/>
              <w:right w:val="nil"/>
            </w:tcBorders>
            <w:shd w:val="clear" w:color="auto" w:fill="auto"/>
            <w:vAlign w:val="center"/>
            <w:hideMark/>
          </w:tcPr>
          <w:p w14:paraId="751CEB76" w14:textId="77777777" w:rsidR="004614FF" w:rsidRPr="004614FF" w:rsidRDefault="004614FF" w:rsidP="004614FF">
            <w:pPr>
              <w:jc w:val="both"/>
              <w:rPr>
                <w:rFonts w:ascii="Book Antiqua" w:eastAsia="等线" w:hAnsi="Book Antiqua" w:cs="宋体"/>
                <w:color w:val="202124"/>
                <w:lang w:eastAsia="zh-CN"/>
              </w:rPr>
            </w:pPr>
            <w:r w:rsidRPr="004614FF">
              <w:rPr>
                <w:rFonts w:ascii="Book Antiqua" w:eastAsia="等线" w:hAnsi="Book Antiqua" w:cs="宋体"/>
                <w:color w:val="202124"/>
                <w:lang w:eastAsia="zh-CN"/>
              </w:rPr>
              <w:t>No</w:t>
            </w:r>
          </w:p>
        </w:tc>
        <w:tc>
          <w:tcPr>
            <w:tcW w:w="760" w:type="pct"/>
            <w:tcBorders>
              <w:top w:val="nil"/>
              <w:left w:val="nil"/>
              <w:bottom w:val="nil"/>
              <w:right w:val="nil"/>
            </w:tcBorders>
            <w:shd w:val="clear" w:color="auto" w:fill="auto"/>
            <w:vAlign w:val="center"/>
            <w:hideMark/>
          </w:tcPr>
          <w:p w14:paraId="7181F8CA" w14:textId="77777777" w:rsidR="004614FF" w:rsidRPr="004614FF" w:rsidRDefault="004614FF" w:rsidP="004614FF">
            <w:pPr>
              <w:jc w:val="both"/>
              <w:rPr>
                <w:rFonts w:ascii="Book Antiqua" w:eastAsia="等线" w:hAnsi="Book Antiqua" w:cs="宋体"/>
                <w:color w:val="202124"/>
                <w:lang w:eastAsia="zh-CN"/>
              </w:rPr>
            </w:pPr>
            <w:r w:rsidRPr="004614FF">
              <w:rPr>
                <w:rFonts w:ascii="Book Antiqua" w:eastAsia="等线" w:hAnsi="Book Antiqua" w:cs="宋体"/>
                <w:color w:val="202124"/>
                <w:lang w:eastAsia="zh-CN"/>
              </w:rPr>
              <w:t>No</w:t>
            </w:r>
          </w:p>
        </w:tc>
        <w:tc>
          <w:tcPr>
            <w:tcW w:w="732" w:type="pct"/>
            <w:tcBorders>
              <w:top w:val="nil"/>
              <w:left w:val="nil"/>
              <w:bottom w:val="nil"/>
              <w:right w:val="nil"/>
            </w:tcBorders>
            <w:shd w:val="clear" w:color="auto" w:fill="auto"/>
            <w:vAlign w:val="center"/>
            <w:hideMark/>
          </w:tcPr>
          <w:p w14:paraId="22323F04" w14:textId="77777777" w:rsidR="004614FF" w:rsidRPr="004614FF" w:rsidRDefault="004614FF" w:rsidP="004614FF">
            <w:pPr>
              <w:jc w:val="both"/>
              <w:rPr>
                <w:rFonts w:ascii="Book Antiqua" w:eastAsia="等线" w:hAnsi="Book Antiqua" w:cs="宋体"/>
                <w:color w:val="202124"/>
                <w:lang w:eastAsia="zh-CN"/>
              </w:rPr>
            </w:pPr>
            <w:r w:rsidRPr="004614FF">
              <w:rPr>
                <w:rFonts w:ascii="Book Antiqua" w:eastAsia="等线" w:hAnsi="Book Antiqua" w:cs="宋体"/>
                <w:color w:val="202124"/>
                <w:lang w:eastAsia="zh-CN"/>
              </w:rPr>
              <w:t>No</w:t>
            </w:r>
          </w:p>
        </w:tc>
      </w:tr>
      <w:tr w:rsidR="004614FF" w:rsidRPr="004614FF" w14:paraId="29A224FC" w14:textId="77777777" w:rsidTr="004614FF">
        <w:trPr>
          <w:trHeight w:val="310"/>
        </w:trPr>
        <w:tc>
          <w:tcPr>
            <w:tcW w:w="1350" w:type="pct"/>
            <w:tcBorders>
              <w:top w:val="nil"/>
              <w:left w:val="nil"/>
              <w:bottom w:val="nil"/>
              <w:right w:val="nil"/>
            </w:tcBorders>
            <w:shd w:val="clear" w:color="auto" w:fill="auto"/>
            <w:vAlign w:val="center"/>
            <w:hideMark/>
          </w:tcPr>
          <w:p w14:paraId="5F2BE220" w14:textId="77777777" w:rsidR="004614FF" w:rsidRPr="004614FF" w:rsidRDefault="004614FF" w:rsidP="004614FF">
            <w:pPr>
              <w:jc w:val="both"/>
              <w:rPr>
                <w:rFonts w:ascii="Book Antiqua" w:eastAsia="等线" w:hAnsi="Book Antiqua" w:cs="宋体"/>
                <w:color w:val="000000"/>
                <w:lang w:eastAsia="zh-CN"/>
              </w:rPr>
            </w:pPr>
            <w:r w:rsidRPr="004614FF">
              <w:rPr>
                <w:rFonts w:ascii="Book Antiqua" w:eastAsia="等线" w:hAnsi="Book Antiqua" w:cs="宋体"/>
                <w:color w:val="000000"/>
                <w:lang w:eastAsia="zh-CN"/>
              </w:rPr>
              <w:t>HAS-mIR-23a</w:t>
            </w:r>
          </w:p>
        </w:tc>
        <w:tc>
          <w:tcPr>
            <w:tcW w:w="665" w:type="pct"/>
            <w:tcBorders>
              <w:top w:val="nil"/>
              <w:left w:val="nil"/>
              <w:bottom w:val="nil"/>
              <w:right w:val="nil"/>
            </w:tcBorders>
            <w:shd w:val="clear" w:color="auto" w:fill="auto"/>
            <w:vAlign w:val="center"/>
            <w:hideMark/>
          </w:tcPr>
          <w:p w14:paraId="318ED6D8" w14:textId="77777777" w:rsidR="004614FF" w:rsidRPr="004614FF" w:rsidRDefault="004614FF" w:rsidP="004614FF">
            <w:pPr>
              <w:jc w:val="both"/>
              <w:rPr>
                <w:rFonts w:ascii="Book Antiqua" w:eastAsia="等线" w:hAnsi="Book Antiqua" w:cs="宋体"/>
                <w:color w:val="202124"/>
                <w:lang w:eastAsia="zh-CN"/>
              </w:rPr>
            </w:pPr>
            <w:r w:rsidRPr="004614FF">
              <w:rPr>
                <w:rFonts w:ascii="Book Antiqua" w:eastAsia="等线" w:hAnsi="Book Antiqua" w:cs="宋体"/>
                <w:color w:val="202124"/>
                <w:lang w:eastAsia="zh-CN"/>
              </w:rPr>
              <w:t>No</w:t>
            </w:r>
          </w:p>
        </w:tc>
        <w:tc>
          <w:tcPr>
            <w:tcW w:w="741" w:type="pct"/>
            <w:tcBorders>
              <w:top w:val="nil"/>
              <w:left w:val="nil"/>
              <w:bottom w:val="nil"/>
              <w:right w:val="nil"/>
            </w:tcBorders>
            <w:shd w:val="clear" w:color="auto" w:fill="auto"/>
            <w:vAlign w:val="center"/>
            <w:hideMark/>
          </w:tcPr>
          <w:p w14:paraId="4FD4E18D" w14:textId="77777777" w:rsidR="004614FF" w:rsidRPr="004614FF" w:rsidRDefault="004614FF" w:rsidP="004614FF">
            <w:pPr>
              <w:jc w:val="both"/>
              <w:rPr>
                <w:rFonts w:ascii="Book Antiqua" w:eastAsia="等线" w:hAnsi="Book Antiqua" w:cs="宋体"/>
                <w:color w:val="202124"/>
                <w:lang w:eastAsia="zh-CN"/>
              </w:rPr>
            </w:pPr>
            <w:r w:rsidRPr="004614FF">
              <w:rPr>
                <w:rFonts w:ascii="Book Antiqua" w:eastAsia="等线" w:hAnsi="Book Antiqua" w:cs="宋体"/>
                <w:color w:val="202124"/>
                <w:lang w:eastAsia="zh-CN"/>
              </w:rPr>
              <w:t>No</w:t>
            </w:r>
          </w:p>
        </w:tc>
        <w:tc>
          <w:tcPr>
            <w:tcW w:w="751" w:type="pct"/>
            <w:tcBorders>
              <w:top w:val="nil"/>
              <w:left w:val="nil"/>
              <w:bottom w:val="nil"/>
              <w:right w:val="nil"/>
            </w:tcBorders>
            <w:shd w:val="clear" w:color="auto" w:fill="auto"/>
            <w:vAlign w:val="center"/>
            <w:hideMark/>
          </w:tcPr>
          <w:p w14:paraId="34DDCA32" w14:textId="77777777" w:rsidR="004614FF" w:rsidRPr="004614FF" w:rsidRDefault="004614FF" w:rsidP="004614FF">
            <w:pPr>
              <w:jc w:val="both"/>
              <w:rPr>
                <w:rFonts w:ascii="Book Antiqua" w:eastAsia="等线" w:hAnsi="Book Antiqua" w:cs="宋体"/>
                <w:color w:val="202124"/>
                <w:lang w:eastAsia="zh-CN"/>
              </w:rPr>
            </w:pPr>
            <w:r w:rsidRPr="004614FF">
              <w:rPr>
                <w:rFonts w:ascii="Book Antiqua" w:eastAsia="等线" w:hAnsi="Book Antiqua" w:cs="宋体"/>
                <w:color w:val="202124"/>
                <w:lang w:eastAsia="zh-CN"/>
              </w:rPr>
              <w:t>No</w:t>
            </w:r>
          </w:p>
        </w:tc>
        <w:tc>
          <w:tcPr>
            <w:tcW w:w="760" w:type="pct"/>
            <w:tcBorders>
              <w:top w:val="nil"/>
              <w:left w:val="nil"/>
              <w:bottom w:val="nil"/>
              <w:right w:val="nil"/>
            </w:tcBorders>
            <w:shd w:val="clear" w:color="auto" w:fill="auto"/>
            <w:vAlign w:val="center"/>
            <w:hideMark/>
          </w:tcPr>
          <w:p w14:paraId="3BA2B030" w14:textId="77777777" w:rsidR="004614FF" w:rsidRPr="004614FF" w:rsidRDefault="004614FF" w:rsidP="004614FF">
            <w:pPr>
              <w:jc w:val="both"/>
              <w:rPr>
                <w:rFonts w:ascii="Book Antiqua" w:eastAsia="等线" w:hAnsi="Book Antiqua" w:cs="宋体"/>
                <w:color w:val="202124"/>
                <w:lang w:eastAsia="zh-CN"/>
              </w:rPr>
            </w:pPr>
            <w:r w:rsidRPr="004614FF">
              <w:rPr>
                <w:rFonts w:ascii="Book Antiqua" w:eastAsia="等线" w:hAnsi="Book Antiqua" w:cs="宋体"/>
                <w:color w:val="202124"/>
                <w:lang w:eastAsia="zh-CN"/>
              </w:rPr>
              <w:t>Yes</w:t>
            </w:r>
          </w:p>
        </w:tc>
        <w:tc>
          <w:tcPr>
            <w:tcW w:w="732" w:type="pct"/>
            <w:tcBorders>
              <w:top w:val="nil"/>
              <w:left w:val="nil"/>
              <w:bottom w:val="nil"/>
              <w:right w:val="nil"/>
            </w:tcBorders>
            <w:shd w:val="clear" w:color="auto" w:fill="auto"/>
            <w:vAlign w:val="center"/>
            <w:hideMark/>
          </w:tcPr>
          <w:p w14:paraId="6B4DFAF9" w14:textId="77777777" w:rsidR="004614FF" w:rsidRPr="004614FF" w:rsidRDefault="004614FF" w:rsidP="004614FF">
            <w:pPr>
              <w:jc w:val="both"/>
              <w:rPr>
                <w:rFonts w:ascii="Book Antiqua" w:eastAsia="等线" w:hAnsi="Book Antiqua" w:cs="宋体"/>
                <w:color w:val="202124"/>
                <w:lang w:eastAsia="zh-CN"/>
              </w:rPr>
            </w:pPr>
            <w:r w:rsidRPr="004614FF">
              <w:rPr>
                <w:rFonts w:ascii="Book Antiqua" w:eastAsia="等线" w:hAnsi="Book Antiqua" w:cs="宋体"/>
                <w:color w:val="202124"/>
                <w:lang w:eastAsia="zh-CN"/>
              </w:rPr>
              <w:t>No</w:t>
            </w:r>
          </w:p>
        </w:tc>
      </w:tr>
      <w:tr w:rsidR="004614FF" w:rsidRPr="004614FF" w14:paraId="3F7E9D32" w14:textId="77777777" w:rsidTr="004614FF">
        <w:trPr>
          <w:trHeight w:val="310"/>
        </w:trPr>
        <w:tc>
          <w:tcPr>
            <w:tcW w:w="1350" w:type="pct"/>
            <w:tcBorders>
              <w:top w:val="nil"/>
              <w:left w:val="nil"/>
              <w:bottom w:val="nil"/>
              <w:right w:val="nil"/>
            </w:tcBorders>
            <w:shd w:val="clear" w:color="auto" w:fill="auto"/>
            <w:vAlign w:val="center"/>
            <w:hideMark/>
          </w:tcPr>
          <w:p w14:paraId="4C719B35" w14:textId="77777777" w:rsidR="004614FF" w:rsidRPr="004614FF" w:rsidRDefault="004614FF" w:rsidP="004614FF">
            <w:pPr>
              <w:jc w:val="both"/>
              <w:rPr>
                <w:rFonts w:ascii="Book Antiqua" w:eastAsia="等线" w:hAnsi="Book Antiqua" w:cs="宋体"/>
                <w:color w:val="000000"/>
                <w:lang w:eastAsia="zh-CN"/>
              </w:rPr>
            </w:pPr>
            <w:r w:rsidRPr="004614FF">
              <w:rPr>
                <w:rFonts w:ascii="Book Antiqua" w:eastAsia="等线" w:hAnsi="Book Antiqua" w:cs="宋体"/>
                <w:color w:val="000000"/>
                <w:lang w:eastAsia="zh-CN"/>
              </w:rPr>
              <w:t>HAS-mIR-23b</w:t>
            </w:r>
          </w:p>
        </w:tc>
        <w:tc>
          <w:tcPr>
            <w:tcW w:w="665" w:type="pct"/>
            <w:tcBorders>
              <w:top w:val="nil"/>
              <w:left w:val="nil"/>
              <w:bottom w:val="nil"/>
              <w:right w:val="nil"/>
            </w:tcBorders>
            <w:shd w:val="clear" w:color="auto" w:fill="auto"/>
            <w:vAlign w:val="center"/>
            <w:hideMark/>
          </w:tcPr>
          <w:p w14:paraId="3D5C1AEB" w14:textId="77777777" w:rsidR="004614FF" w:rsidRPr="004614FF" w:rsidRDefault="004614FF" w:rsidP="004614FF">
            <w:pPr>
              <w:jc w:val="both"/>
              <w:rPr>
                <w:rFonts w:ascii="Book Antiqua" w:eastAsia="等线" w:hAnsi="Book Antiqua" w:cs="宋体"/>
                <w:color w:val="202124"/>
                <w:lang w:eastAsia="zh-CN"/>
              </w:rPr>
            </w:pPr>
            <w:r w:rsidRPr="004614FF">
              <w:rPr>
                <w:rFonts w:ascii="Book Antiqua" w:eastAsia="等线" w:hAnsi="Book Antiqua" w:cs="宋体"/>
                <w:color w:val="202124"/>
                <w:lang w:eastAsia="zh-CN"/>
              </w:rPr>
              <w:t>No</w:t>
            </w:r>
          </w:p>
        </w:tc>
        <w:tc>
          <w:tcPr>
            <w:tcW w:w="741" w:type="pct"/>
            <w:tcBorders>
              <w:top w:val="nil"/>
              <w:left w:val="nil"/>
              <w:bottom w:val="nil"/>
              <w:right w:val="nil"/>
            </w:tcBorders>
            <w:shd w:val="clear" w:color="auto" w:fill="auto"/>
            <w:vAlign w:val="center"/>
            <w:hideMark/>
          </w:tcPr>
          <w:p w14:paraId="11817AF9" w14:textId="77777777" w:rsidR="004614FF" w:rsidRPr="004614FF" w:rsidRDefault="004614FF" w:rsidP="004614FF">
            <w:pPr>
              <w:jc w:val="both"/>
              <w:rPr>
                <w:rFonts w:ascii="Book Antiqua" w:eastAsia="等线" w:hAnsi="Book Antiqua" w:cs="宋体"/>
                <w:color w:val="202124"/>
                <w:lang w:eastAsia="zh-CN"/>
              </w:rPr>
            </w:pPr>
            <w:r w:rsidRPr="004614FF">
              <w:rPr>
                <w:rFonts w:ascii="Book Antiqua" w:eastAsia="等线" w:hAnsi="Book Antiqua" w:cs="宋体"/>
                <w:color w:val="202124"/>
                <w:lang w:eastAsia="zh-CN"/>
              </w:rPr>
              <w:t>No</w:t>
            </w:r>
          </w:p>
        </w:tc>
        <w:tc>
          <w:tcPr>
            <w:tcW w:w="751" w:type="pct"/>
            <w:tcBorders>
              <w:top w:val="nil"/>
              <w:left w:val="nil"/>
              <w:bottom w:val="nil"/>
              <w:right w:val="nil"/>
            </w:tcBorders>
            <w:shd w:val="clear" w:color="auto" w:fill="auto"/>
            <w:vAlign w:val="center"/>
            <w:hideMark/>
          </w:tcPr>
          <w:p w14:paraId="2F574E84" w14:textId="77777777" w:rsidR="004614FF" w:rsidRPr="004614FF" w:rsidRDefault="004614FF" w:rsidP="004614FF">
            <w:pPr>
              <w:jc w:val="both"/>
              <w:rPr>
                <w:rFonts w:ascii="Book Antiqua" w:eastAsia="等线" w:hAnsi="Book Antiqua" w:cs="宋体"/>
                <w:color w:val="202124"/>
                <w:lang w:eastAsia="zh-CN"/>
              </w:rPr>
            </w:pPr>
            <w:r w:rsidRPr="004614FF">
              <w:rPr>
                <w:rFonts w:ascii="Book Antiqua" w:eastAsia="等线" w:hAnsi="Book Antiqua" w:cs="宋体"/>
                <w:color w:val="202124"/>
                <w:lang w:eastAsia="zh-CN"/>
              </w:rPr>
              <w:t>No</w:t>
            </w:r>
          </w:p>
        </w:tc>
        <w:tc>
          <w:tcPr>
            <w:tcW w:w="760" w:type="pct"/>
            <w:tcBorders>
              <w:top w:val="nil"/>
              <w:left w:val="nil"/>
              <w:bottom w:val="nil"/>
              <w:right w:val="nil"/>
            </w:tcBorders>
            <w:shd w:val="clear" w:color="auto" w:fill="auto"/>
            <w:vAlign w:val="center"/>
            <w:hideMark/>
          </w:tcPr>
          <w:p w14:paraId="436BF04D" w14:textId="77777777" w:rsidR="004614FF" w:rsidRPr="004614FF" w:rsidRDefault="004614FF" w:rsidP="004614FF">
            <w:pPr>
              <w:jc w:val="both"/>
              <w:rPr>
                <w:rFonts w:ascii="Book Antiqua" w:eastAsia="等线" w:hAnsi="Book Antiqua" w:cs="宋体"/>
                <w:color w:val="202124"/>
                <w:lang w:eastAsia="zh-CN"/>
              </w:rPr>
            </w:pPr>
            <w:r w:rsidRPr="004614FF">
              <w:rPr>
                <w:rFonts w:ascii="Book Antiqua" w:eastAsia="等线" w:hAnsi="Book Antiqua" w:cs="宋体"/>
                <w:color w:val="202124"/>
                <w:lang w:eastAsia="zh-CN"/>
              </w:rPr>
              <w:t>Yes</w:t>
            </w:r>
          </w:p>
        </w:tc>
        <w:tc>
          <w:tcPr>
            <w:tcW w:w="732" w:type="pct"/>
            <w:tcBorders>
              <w:top w:val="nil"/>
              <w:left w:val="nil"/>
              <w:bottom w:val="nil"/>
              <w:right w:val="nil"/>
            </w:tcBorders>
            <w:shd w:val="clear" w:color="auto" w:fill="auto"/>
            <w:vAlign w:val="center"/>
            <w:hideMark/>
          </w:tcPr>
          <w:p w14:paraId="1EEE855A" w14:textId="77777777" w:rsidR="004614FF" w:rsidRPr="004614FF" w:rsidRDefault="004614FF" w:rsidP="004614FF">
            <w:pPr>
              <w:jc w:val="both"/>
              <w:rPr>
                <w:rFonts w:ascii="Book Antiqua" w:eastAsia="等线" w:hAnsi="Book Antiqua" w:cs="宋体"/>
                <w:color w:val="202124"/>
                <w:lang w:eastAsia="zh-CN"/>
              </w:rPr>
            </w:pPr>
            <w:r w:rsidRPr="004614FF">
              <w:rPr>
                <w:rFonts w:ascii="Book Antiqua" w:eastAsia="等线" w:hAnsi="Book Antiqua" w:cs="宋体"/>
                <w:color w:val="202124"/>
                <w:lang w:eastAsia="zh-CN"/>
              </w:rPr>
              <w:t>No</w:t>
            </w:r>
          </w:p>
        </w:tc>
      </w:tr>
      <w:tr w:rsidR="004614FF" w:rsidRPr="004614FF" w14:paraId="6E0122D3" w14:textId="77777777" w:rsidTr="004614FF">
        <w:trPr>
          <w:trHeight w:val="310"/>
        </w:trPr>
        <w:tc>
          <w:tcPr>
            <w:tcW w:w="1350" w:type="pct"/>
            <w:tcBorders>
              <w:top w:val="nil"/>
              <w:left w:val="nil"/>
              <w:bottom w:val="nil"/>
              <w:right w:val="nil"/>
            </w:tcBorders>
            <w:shd w:val="clear" w:color="auto" w:fill="auto"/>
            <w:vAlign w:val="center"/>
            <w:hideMark/>
          </w:tcPr>
          <w:p w14:paraId="77615649" w14:textId="77777777" w:rsidR="004614FF" w:rsidRPr="004614FF" w:rsidRDefault="004614FF" w:rsidP="004614FF">
            <w:pPr>
              <w:jc w:val="both"/>
              <w:rPr>
                <w:rFonts w:ascii="Book Antiqua" w:eastAsia="等线" w:hAnsi="Book Antiqua" w:cs="宋体"/>
                <w:color w:val="000000"/>
                <w:lang w:eastAsia="zh-CN"/>
              </w:rPr>
            </w:pPr>
            <w:r w:rsidRPr="004614FF">
              <w:rPr>
                <w:rFonts w:ascii="Book Antiqua" w:eastAsia="等线" w:hAnsi="Book Antiqua" w:cs="宋体"/>
                <w:color w:val="000000"/>
                <w:lang w:eastAsia="zh-CN"/>
              </w:rPr>
              <w:t>HAS-mIR-210</w:t>
            </w:r>
          </w:p>
        </w:tc>
        <w:tc>
          <w:tcPr>
            <w:tcW w:w="665" w:type="pct"/>
            <w:tcBorders>
              <w:top w:val="nil"/>
              <w:left w:val="nil"/>
              <w:bottom w:val="nil"/>
              <w:right w:val="nil"/>
            </w:tcBorders>
            <w:shd w:val="clear" w:color="auto" w:fill="auto"/>
            <w:vAlign w:val="center"/>
            <w:hideMark/>
          </w:tcPr>
          <w:p w14:paraId="6C382787" w14:textId="77777777" w:rsidR="004614FF" w:rsidRPr="004614FF" w:rsidRDefault="004614FF" w:rsidP="004614FF">
            <w:pPr>
              <w:jc w:val="both"/>
              <w:rPr>
                <w:rFonts w:ascii="Book Antiqua" w:eastAsia="等线" w:hAnsi="Book Antiqua" w:cs="宋体"/>
                <w:color w:val="202124"/>
                <w:lang w:eastAsia="zh-CN"/>
              </w:rPr>
            </w:pPr>
            <w:r w:rsidRPr="004614FF">
              <w:rPr>
                <w:rFonts w:ascii="Book Antiqua" w:eastAsia="等线" w:hAnsi="Book Antiqua" w:cs="宋体"/>
                <w:color w:val="202124"/>
                <w:lang w:eastAsia="zh-CN"/>
              </w:rPr>
              <w:t>Yes</w:t>
            </w:r>
          </w:p>
        </w:tc>
        <w:tc>
          <w:tcPr>
            <w:tcW w:w="741" w:type="pct"/>
            <w:tcBorders>
              <w:top w:val="nil"/>
              <w:left w:val="nil"/>
              <w:bottom w:val="nil"/>
              <w:right w:val="nil"/>
            </w:tcBorders>
            <w:shd w:val="clear" w:color="auto" w:fill="auto"/>
            <w:vAlign w:val="center"/>
            <w:hideMark/>
          </w:tcPr>
          <w:p w14:paraId="41514D5F" w14:textId="77777777" w:rsidR="004614FF" w:rsidRPr="004614FF" w:rsidRDefault="004614FF" w:rsidP="004614FF">
            <w:pPr>
              <w:jc w:val="both"/>
              <w:rPr>
                <w:rFonts w:ascii="Book Antiqua" w:eastAsia="等线" w:hAnsi="Book Antiqua" w:cs="宋体"/>
                <w:color w:val="202124"/>
                <w:lang w:eastAsia="zh-CN"/>
              </w:rPr>
            </w:pPr>
            <w:r w:rsidRPr="004614FF">
              <w:rPr>
                <w:rFonts w:ascii="Book Antiqua" w:eastAsia="等线" w:hAnsi="Book Antiqua" w:cs="宋体"/>
                <w:color w:val="202124"/>
                <w:lang w:eastAsia="zh-CN"/>
              </w:rPr>
              <w:t>No</w:t>
            </w:r>
          </w:p>
        </w:tc>
        <w:tc>
          <w:tcPr>
            <w:tcW w:w="751" w:type="pct"/>
            <w:tcBorders>
              <w:top w:val="nil"/>
              <w:left w:val="nil"/>
              <w:bottom w:val="nil"/>
              <w:right w:val="nil"/>
            </w:tcBorders>
            <w:shd w:val="clear" w:color="auto" w:fill="auto"/>
            <w:vAlign w:val="center"/>
            <w:hideMark/>
          </w:tcPr>
          <w:p w14:paraId="6711FB91" w14:textId="77777777" w:rsidR="004614FF" w:rsidRPr="004614FF" w:rsidRDefault="004614FF" w:rsidP="004614FF">
            <w:pPr>
              <w:jc w:val="both"/>
              <w:rPr>
                <w:rFonts w:ascii="Book Antiqua" w:eastAsia="等线" w:hAnsi="Book Antiqua" w:cs="宋体"/>
                <w:color w:val="202124"/>
                <w:lang w:eastAsia="zh-CN"/>
              </w:rPr>
            </w:pPr>
            <w:r w:rsidRPr="004614FF">
              <w:rPr>
                <w:rFonts w:ascii="Book Antiqua" w:eastAsia="等线" w:hAnsi="Book Antiqua" w:cs="宋体"/>
                <w:color w:val="202124"/>
                <w:lang w:eastAsia="zh-CN"/>
              </w:rPr>
              <w:t>No</w:t>
            </w:r>
          </w:p>
        </w:tc>
        <w:tc>
          <w:tcPr>
            <w:tcW w:w="760" w:type="pct"/>
            <w:tcBorders>
              <w:top w:val="nil"/>
              <w:left w:val="nil"/>
              <w:bottom w:val="nil"/>
              <w:right w:val="nil"/>
            </w:tcBorders>
            <w:shd w:val="clear" w:color="auto" w:fill="auto"/>
            <w:vAlign w:val="center"/>
            <w:hideMark/>
          </w:tcPr>
          <w:p w14:paraId="37ECE383" w14:textId="77777777" w:rsidR="004614FF" w:rsidRPr="004614FF" w:rsidRDefault="004614FF" w:rsidP="004614FF">
            <w:pPr>
              <w:jc w:val="both"/>
              <w:rPr>
                <w:rFonts w:ascii="Book Antiqua" w:eastAsia="等线" w:hAnsi="Book Antiqua" w:cs="宋体"/>
                <w:color w:val="202124"/>
                <w:lang w:eastAsia="zh-CN"/>
              </w:rPr>
            </w:pPr>
            <w:r w:rsidRPr="004614FF">
              <w:rPr>
                <w:rFonts w:ascii="Book Antiqua" w:eastAsia="等线" w:hAnsi="Book Antiqua" w:cs="宋体"/>
                <w:color w:val="202124"/>
                <w:lang w:eastAsia="zh-CN"/>
              </w:rPr>
              <w:t>No</w:t>
            </w:r>
          </w:p>
        </w:tc>
        <w:tc>
          <w:tcPr>
            <w:tcW w:w="732" w:type="pct"/>
            <w:tcBorders>
              <w:top w:val="nil"/>
              <w:left w:val="nil"/>
              <w:bottom w:val="nil"/>
              <w:right w:val="nil"/>
            </w:tcBorders>
            <w:shd w:val="clear" w:color="auto" w:fill="auto"/>
            <w:vAlign w:val="center"/>
            <w:hideMark/>
          </w:tcPr>
          <w:p w14:paraId="15E0D968" w14:textId="77777777" w:rsidR="004614FF" w:rsidRPr="004614FF" w:rsidRDefault="004614FF" w:rsidP="004614FF">
            <w:pPr>
              <w:jc w:val="both"/>
              <w:rPr>
                <w:rFonts w:ascii="Book Antiqua" w:eastAsia="等线" w:hAnsi="Book Antiqua" w:cs="宋体"/>
                <w:color w:val="202124"/>
                <w:lang w:eastAsia="zh-CN"/>
              </w:rPr>
            </w:pPr>
            <w:r w:rsidRPr="004614FF">
              <w:rPr>
                <w:rFonts w:ascii="Book Antiqua" w:eastAsia="等线" w:hAnsi="Book Antiqua" w:cs="宋体"/>
                <w:color w:val="202124"/>
                <w:lang w:eastAsia="zh-CN"/>
              </w:rPr>
              <w:t>No</w:t>
            </w:r>
          </w:p>
        </w:tc>
      </w:tr>
      <w:tr w:rsidR="004614FF" w:rsidRPr="004614FF" w14:paraId="16807E0A" w14:textId="77777777" w:rsidTr="004614FF">
        <w:trPr>
          <w:trHeight w:val="310"/>
        </w:trPr>
        <w:tc>
          <w:tcPr>
            <w:tcW w:w="1350" w:type="pct"/>
            <w:tcBorders>
              <w:top w:val="nil"/>
              <w:left w:val="nil"/>
              <w:bottom w:val="nil"/>
              <w:right w:val="nil"/>
            </w:tcBorders>
            <w:shd w:val="clear" w:color="auto" w:fill="auto"/>
            <w:vAlign w:val="center"/>
            <w:hideMark/>
          </w:tcPr>
          <w:p w14:paraId="3CA1F3C3" w14:textId="77777777" w:rsidR="004614FF" w:rsidRPr="004614FF" w:rsidRDefault="004614FF" w:rsidP="004614FF">
            <w:pPr>
              <w:jc w:val="both"/>
              <w:rPr>
                <w:rFonts w:ascii="Book Antiqua" w:eastAsia="等线" w:hAnsi="Book Antiqua" w:cs="宋体"/>
                <w:color w:val="000000"/>
                <w:lang w:eastAsia="zh-CN"/>
              </w:rPr>
            </w:pPr>
            <w:r w:rsidRPr="004614FF">
              <w:rPr>
                <w:rFonts w:ascii="Book Antiqua" w:eastAsia="等线" w:hAnsi="Book Antiqua" w:cs="宋体"/>
                <w:color w:val="000000"/>
                <w:lang w:eastAsia="zh-CN"/>
              </w:rPr>
              <w:t>Let-7c</w:t>
            </w:r>
          </w:p>
        </w:tc>
        <w:tc>
          <w:tcPr>
            <w:tcW w:w="665" w:type="pct"/>
            <w:tcBorders>
              <w:top w:val="nil"/>
              <w:left w:val="nil"/>
              <w:bottom w:val="nil"/>
              <w:right w:val="nil"/>
            </w:tcBorders>
            <w:shd w:val="clear" w:color="auto" w:fill="auto"/>
            <w:vAlign w:val="center"/>
            <w:hideMark/>
          </w:tcPr>
          <w:p w14:paraId="2C11441A" w14:textId="77777777" w:rsidR="004614FF" w:rsidRPr="004614FF" w:rsidRDefault="004614FF" w:rsidP="004614FF">
            <w:pPr>
              <w:jc w:val="both"/>
              <w:rPr>
                <w:rFonts w:ascii="Book Antiqua" w:eastAsia="等线" w:hAnsi="Book Antiqua" w:cs="宋体"/>
                <w:color w:val="202124"/>
                <w:lang w:eastAsia="zh-CN"/>
              </w:rPr>
            </w:pPr>
            <w:r w:rsidRPr="004614FF">
              <w:rPr>
                <w:rFonts w:ascii="Book Antiqua" w:eastAsia="等线" w:hAnsi="Book Antiqua" w:cs="宋体"/>
                <w:color w:val="202124"/>
                <w:lang w:eastAsia="zh-CN"/>
              </w:rPr>
              <w:t>Yes</w:t>
            </w:r>
          </w:p>
        </w:tc>
        <w:tc>
          <w:tcPr>
            <w:tcW w:w="741" w:type="pct"/>
            <w:tcBorders>
              <w:top w:val="nil"/>
              <w:left w:val="nil"/>
              <w:bottom w:val="nil"/>
              <w:right w:val="nil"/>
            </w:tcBorders>
            <w:shd w:val="clear" w:color="auto" w:fill="auto"/>
            <w:vAlign w:val="center"/>
            <w:hideMark/>
          </w:tcPr>
          <w:p w14:paraId="2D6E5F21" w14:textId="77777777" w:rsidR="004614FF" w:rsidRPr="004614FF" w:rsidRDefault="004614FF" w:rsidP="004614FF">
            <w:pPr>
              <w:jc w:val="both"/>
              <w:rPr>
                <w:rFonts w:ascii="Book Antiqua" w:eastAsia="等线" w:hAnsi="Book Antiqua" w:cs="宋体"/>
                <w:color w:val="202124"/>
                <w:lang w:eastAsia="zh-CN"/>
              </w:rPr>
            </w:pPr>
            <w:r w:rsidRPr="004614FF">
              <w:rPr>
                <w:rFonts w:ascii="Book Antiqua" w:eastAsia="等线" w:hAnsi="Book Antiqua" w:cs="宋体"/>
                <w:color w:val="202124"/>
                <w:lang w:eastAsia="zh-CN"/>
              </w:rPr>
              <w:t>No</w:t>
            </w:r>
          </w:p>
        </w:tc>
        <w:tc>
          <w:tcPr>
            <w:tcW w:w="751" w:type="pct"/>
            <w:tcBorders>
              <w:top w:val="nil"/>
              <w:left w:val="nil"/>
              <w:bottom w:val="nil"/>
              <w:right w:val="nil"/>
            </w:tcBorders>
            <w:shd w:val="clear" w:color="auto" w:fill="auto"/>
            <w:vAlign w:val="center"/>
            <w:hideMark/>
          </w:tcPr>
          <w:p w14:paraId="7E444BFA" w14:textId="77777777" w:rsidR="004614FF" w:rsidRPr="004614FF" w:rsidRDefault="004614FF" w:rsidP="004614FF">
            <w:pPr>
              <w:jc w:val="both"/>
              <w:rPr>
                <w:rFonts w:ascii="Book Antiqua" w:eastAsia="等线" w:hAnsi="Book Antiqua" w:cs="宋体"/>
                <w:color w:val="202124"/>
                <w:lang w:eastAsia="zh-CN"/>
              </w:rPr>
            </w:pPr>
            <w:r w:rsidRPr="004614FF">
              <w:rPr>
                <w:rFonts w:ascii="Book Antiqua" w:eastAsia="等线" w:hAnsi="Book Antiqua" w:cs="宋体"/>
                <w:color w:val="202124"/>
                <w:lang w:eastAsia="zh-CN"/>
              </w:rPr>
              <w:t>No</w:t>
            </w:r>
          </w:p>
        </w:tc>
        <w:tc>
          <w:tcPr>
            <w:tcW w:w="760" w:type="pct"/>
            <w:tcBorders>
              <w:top w:val="nil"/>
              <w:left w:val="nil"/>
              <w:bottom w:val="nil"/>
              <w:right w:val="nil"/>
            </w:tcBorders>
            <w:shd w:val="clear" w:color="auto" w:fill="auto"/>
            <w:vAlign w:val="center"/>
            <w:hideMark/>
          </w:tcPr>
          <w:p w14:paraId="1D23B19B" w14:textId="77777777" w:rsidR="004614FF" w:rsidRPr="004614FF" w:rsidRDefault="004614FF" w:rsidP="004614FF">
            <w:pPr>
              <w:jc w:val="both"/>
              <w:rPr>
                <w:rFonts w:ascii="Book Antiqua" w:eastAsia="等线" w:hAnsi="Book Antiqua" w:cs="宋体"/>
                <w:color w:val="202124"/>
                <w:lang w:eastAsia="zh-CN"/>
              </w:rPr>
            </w:pPr>
            <w:r w:rsidRPr="004614FF">
              <w:rPr>
                <w:rFonts w:ascii="Book Antiqua" w:eastAsia="等线" w:hAnsi="Book Antiqua" w:cs="宋体"/>
                <w:color w:val="202124"/>
                <w:lang w:eastAsia="zh-CN"/>
              </w:rPr>
              <w:t>No</w:t>
            </w:r>
          </w:p>
        </w:tc>
        <w:tc>
          <w:tcPr>
            <w:tcW w:w="732" w:type="pct"/>
            <w:tcBorders>
              <w:top w:val="nil"/>
              <w:left w:val="nil"/>
              <w:bottom w:val="nil"/>
              <w:right w:val="nil"/>
            </w:tcBorders>
            <w:shd w:val="clear" w:color="auto" w:fill="auto"/>
            <w:vAlign w:val="center"/>
            <w:hideMark/>
          </w:tcPr>
          <w:p w14:paraId="7D613D7A" w14:textId="77777777" w:rsidR="004614FF" w:rsidRPr="004614FF" w:rsidRDefault="004614FF" w:rsidP="004614FF">
            <w:pPr>
              <w:jc w:val="both"/>
              <w:rPr>
                <w:rFonts w:ascii="Book Antiqua" w:eastAsia="等线" w:hAnsi="Book Antiqua" w:cs="宋体"/>
                <w:color w:val="202124"/>
                <w:lang w:eastAsia="zh-CN"/>
              </w:rPr>
            </w:pPr>
            <w:r w:rsidRPr="004614FF">
              <w:rPr>
                <w:rFonts w:ascii="Book Antiqua" w:eastAsia="等线" w:hAnsi="Book Antiqua" w:cs="宋体"/>
                <w:color w:val="202124"/>
                <w:lang w:eastAsia="zh-CN"/>
              </w:rPr>
              <w:t>No</w:t>
            </w:r>
          </w:p>
        </w:tc>
      </w:tr>
      <w:tr w:rsidR="004614FF" w:rsidRPr="004614FF" w14:paraId="7BE52603" w14:textId="77777777" w:rsidTr="004614FF">
        <w:trPr>
          <w:trHeight w:val="310"/>
        </w:trPr>
        <w:tc>
          <w:tcPr>
            <w:tcW w:w="1350" w:type="pct"/>
            <w:tcBorders>
              <w:top w:val="nil"/>
              <w:left w:val="nil"/>
              <w:bottom w:val="nil"/>
              <w:right w:val="nil"/>
            </w:tcBorders>
            <w:shd w:val="clear" w:color="auto" w:fill="auto"/>
            <w:vAlign w:val="center"/>
            <w:hideMark/>
          </w:tcPr>
          <w:p w14:paraId="5A6FFDE7" w14:textId="77777777" w:rsidR="004614FF" w:rsidRPr="004614FF" w:rsidRDefault="004614FF" w:rsidP="004614FF">
            <w:pPr>
              <w:jc w:val="both"/>
              <w:rPr>
                <w:rFonts w:ascii="Book Antiqua" w:eastAsia="等线" w:hAnsi="Book Antiqua" w:cs="宋体"/>
                <w:color w:val="000000"/>
                <w:lang w:eastAsia="zh-CN"/>
              </w:rPr>
            </w:pPr>
            <w:r w:rsidRPr="004614FF">
              <w:rPr>
                <w:rFonts w:ascii="Book Antiqua" w:eastAsia="等线" w:hAnsi="Book Antiqua" w:cs="宋体"/>
                <w:color w:val="000000"/>
                <w:lang w:eastAsia="zh-CN"/>
              </w:rPr>
              <w:t>S100A9</w:t>
            </w:r>
          </w:p>
        </w:tc>
        <w:tc>
          <w:tcPr>
            <w:tcW w:w="665" w:type="pct"/>
            <w:tcBorders>
              <w:top w:val="nil"/>
              <w:left w:val="nil"/>
              <w:bottom w:val="nil"/>
              <w:right w:val="nil"/>
            </w:tcBorders>
            <w:shd w:val="clear" w:color="auto" w:fill="auto"/>
            <w:vAlign w:val="center"/>
            <w:hideMark/>
          </w:tcPr>
          <w:p w14:paraId="156C7092" w14:textId="77777777" w:rsidR="004614FF" w:rsidRPr="004614FF" w:rsidRDefault="004614FF" w:rsidP="004614FF">
            <w:pPr>
              <w:jc w:val="both"/>
              <w:rPr>
                <w:rFonts w:ascii="Book Antiqua" w:eastAsia="等线" w:hAnsi="Book Antiqua" w:cs="宋体"/>
                <w:color w:val="202124"/>
                <w:lang w:eastAsia="zh-CN"/>
              </w:rPr>
            </w:pPr>
            <w:r w:rsidRPr="004614FF">
              <w:rPr>
                <w:rFonts w:ascii="Book Antiqua" w:eastAsia="等线" w:hAnsi="Book Antiqua" w:cs="宋体"/>
                <w:color w:val="202124"/>
                <w:lang w:eastAsia="zh-CN"/>
              </w:rPr>
              <w:t>Yes</w:t>
            </w:r>
          </w:p>
        </w:tc>
        <w:tc>
          <w:tcPr>
            <w:tcW w:w="741" w:type="pct"/>
            <w:tcBorders>
              <w:top w:val="nil"/>
              <w:left w:val="nil"/>
              <w:bottom w:val="nil"/>
              <w:right w:val="nil"/>
            </w:tcBorders>
            <w:shd w:val="clear" w:color="auto" w:fill="auto"/>
            <w:vAlign w:val="center"/>
            <w:hideMark/>
          </w:tcPr>
          <w:p w14:paraId="7C2748DB" w14:textId="77777777" w:rsidR="004614FF" w:rsidRPr="004614FF" w:rsidRDefault="004614FF" w:rsidP="004614FF">
            <w:pPr>
              <w:jc w:val="both"/>
              <w:rPr>
                <w:rFonts w:ascii="Book Antiqua" w:eastAsia="等线" w:hAnsi="Book Antiqua" w:cs="宋体"/>
                <w:color w:val="202124"/>
                <w:lang w:eastAsia="zh-CN"/>
              </w:rPr>
            </w:pPr>
            <w:r w:rsidRPr="004614FF">
              <w:rPr>
                <w:rFonts w:ascii="Book Antiqua" w:eastAsia="等线" w:hAnsi="Book Antiqua" w:cs="宋体"/>
                <w:color w:val="202124"/>
                <w:lang w:eastAsia="zh-CN"/>
              </w:rPr>
              <w:t>No</w:t>
            </w:r>
          </w:p>
        </w:tc>
        <w:tc>
          <w:tcPr>
            <w:tcW w:w="751" w:type="pct"/>
            <w:tcBorders>
              <w:top w:val="nil"/>
              <w:left w:val="nil"/>
              <w:bottom w:val="nil"/>
              <w:right w:val="nil"/>
            </w:tcBorders>
            <w:shd w:val="clear" w:color="auto" w:fill="auto"/>
            <w:vAlign w:val="center"/>
            <w:hideMark/>
          </w:tcPr>
          <w:p w14:paraId="0A230621" w14:textId="77777777" w:rsidR="004614FF" w:rsidRPr="004614FF" w:rsidRDefault="004614FF" w:rsidP="004614FF">
            <w:pPr>
              <w:jc w:val="both"/>
              <w:rPr>
                <w:rFonts w:ascii="Book Antiqua" w:eastAsia="等线" w:hAnsi="Book Antiqua" w:cs="宋体"/>
                <w:color w:val="202124"/>
                <w:lang w:eastAsia="zh-CN"/>
              </w:rPr>
            </w:pPr>
            <w:r w:rsidRPr="004614FF">
              <w:rPr>
                <w:rFonts w:ascii="Book Antiqua" w:eastAsia="等线" w:hAnsi="Book Antiqua" w:cs="宋体"/>
                <w:color w:val="202124"/>
                <w:lang w:eastAsia="zh-CN"/>
              </w:rPr>
              <w:t>No</w:t>
            </w:r>
          </w:p>
        </w:tc>
        <w:tc>
          <w:tcPr>
            <w:tcW w:w="760" w:type="pct"/>
            <w:tcBorders>
              <w:top w:val="nil"/>
              <w:left w:val="nil"/>
              <w:bottom w:val="nil"/>
              <w:right w:val="nil"/>
            </w:tcBorders>
            <w:shd w:val="clear" w:color="auto" w:fill="auto"/>
            <w:vAlign w:val="center"/>
            <w:hideMark/>
          </w:tcPr>
          <w:p w14:paraId="7CAECA2B" w14:textId="77777777" w:rsidR="004614FF" w:rsidRPr="004614FF" w:rsidRDefault="004614FF" w:rsidP="004614FF">
            <w:pPr>
              <w:jc w:val="both"/>
              <w:rPr>
                <w:rFonts w:ascii="Book Antiqua" w:eastAsia="等线" w:hAnsi="Book Antiqua" w:cs="宋体"/>
                <w:color w:val="202124"/>
                <w:lang w:eastAsia="zh-CN"/>
              </w:rPr>
            </w:pPr>
            <w:r w:rsidRPr="004614FF">
              <w:rPr>
                <w:rFonts w:ascii="Book Antiqua" w:eastAsia="等线" w:hAnsi="Book Antiqua" w:cs="宋体"/>
                <w:color w:val="202124"/>
                <w:lang w:eastAsia="zh-CN"/>
              </w:rPr>
              <w:t>No</w:t>
            </w:r>
          </w:p>
        </w:tc>
        <w:tc>
          <w:tcPr>
            <w:tcW w:w="732" w:type="pct"/>
            <w:tcBorders>
              <w:top w:val="nil"/>
              <w:left w:val="nil"/>
              <w:bottom w:val="nil"/>
              <w:right w:val="nil"/>
            </w:tcBorders>
            <w:shd w:val="clear" w:color="auto" w:fill="auto"/>
            <w:vAlign w:val="center"/>
            <w:hideMark/>
          </w:tcPr>
          <w:p w14:paraId="588EDDF0" w14:textId="77777777" w:rsidR="004614FF" w:rsidRPr="004614FF" w:rsidRDefault="004614FF" w:rsidP="004614FF">
            <w:pPr>
              <w:jc w:val="both"/>
              <w:rPr>
                <w:rFonts w:ascii="Book Antiqua" w:eastAsia="等线" w:hAnsi="Book Antiqua" w:cs="宋体"/>
                <w:color w:val="202124"/>
                <w:lang w:eastAsia="zh-CN"/>
              </w:rPr>
            </w:pPr>
            <w:r w:rsidRPr="004614FF">
              <w:rPr>
                <w:rFonts w:ascii="Book Antiqua" w:eastAsia="等线" w:hAnsi="Book Antiqua" w:cs="宋体"/>
                <w:color w:val="202124"/>
                <w:lang w:eastAsia="zh-CN"/>
              </w:rPr>
              <w:t>No</w:t>
            </w:r>
          </w:p>
        </w:tc>
      </w:tr>
      <w:tr w:rsidR="004614FF" w:rsidRPr="004614FF" w14:paraId="53DC127D" w14:textId="77777777" w:rsidTr="004614FF">
        <w:trPr>
          <w:trHeight w:val="310"/>
        </w:trPr>
        <w:tc>
          <w:tcPr>
            <w:tcW w:w="1350" w:type="pct"/>
            <w:tcBorders>
              <w:top w:val="nil"/>
              <w:left w:val="nil"/>
              <w:bottom w:val="nil"/>
              <w:right w:val="nil"/>
            </w:tcBorders>
            <w:shd w:val="clear" w:color="auto" w:fill="auto"/>
            <w:vAlign w:val="center"/>
            <w:hideMark/>
          </w:tcPr>
          <w:p w14:paraId="20F03B86" w14:textId="77777777" w:rsidR="004614FF" w:rsidRPr="004614FF" w:rsidRDefault="004614FF" w:rsidP="004614FF">
            <w:pPr>
              <w:jc w:val="both"/>
              <w:rPr>
                <w:rFonts w:ascii="Book Antiqua" w:eastAsia="等线" w:hAnsi="Book Antiqua" w:cs="宋体"/>
                <w:color w:val="000000"/>
                <w:lang w:eastAsia="zh-CN"/>
              </w:rPr>
            </w:pPr>
            <w:r w:rsidRPr="004614FF">
              <w:rPr>
                <w:rFonts w:ascii="Book Antiqua" w:eastAsia="等线" w:hAnsi="Book Antiqua" w:cs="宋体"/>
                <w:color w:val="000000"/>
                <w:lang w:eastAsia="zh-CN"/>
              </w:rPr>
              <w:t>BNCI</w:t>
            </w:r>
          </w:p>
        </w:tc>
        <w:tc>
          <w:tcPr>
            <w:tcW w:w="665" w:type="pct"/>
            <w:tcBorders>
              <w:top w:val="nil"/>
              <w:left w:val="nil"/>
              <w:bottom w:val="nil"/>
              <w:right w:val="nil"/>
            </w:tcBorders>
            <w:shd w:val="clear" w:color="auto" w:fill="auto"/>
            <w:vAlign w:val="center"/>
            <w:hideMark/>
          </w:tcPr>
          <w:p w14:paraId="3B285607" w14:textId="77777777" w:rsidR="004614FF" w:rsidRPr="004614FF" w:rsidRDefault="004614FF" w:rsidP="004614FF">
            <w:pPr>
              <w:jc w:val="both"/>
              <w:rPr>
                <w:rFonts w:ascii="Book Antiqua" w:eastAsia="等线" w:hAnsi="Book Antiqua" w:cs="宋体"/>
                <w:color w:val="202124"/>
                <w:lang w:eastAsia="zh-CN"/>
              </w:rPr>
            </w:pPr>
            <w:r w:rsidRPr="004614FF">
              <w:rPr>
                <w:rFonts w:ascii="Book Antiqua" w:eastAsia="等线" w:hAnsi="Book Antiqua" w:cs="宋体"/>
                <w:color w:val="202124"/>
                <w:lang w:eastAsia="zh-CN"/>
              </w:rPr>
              <w:t>No</w:t>
            </w:r>
          </w:p>
        </w:tc>
        <w:tc>
          <w:tcPr>
            <w:tcW w:w="741" w:type="pct"/>
            <w:tcBorders>
              <w:top w:val="nil"/>
              <w:left w:val="nil"/>
              <w:bottom w:val="nil"/>
              <w:right w:val="nil"/>
            </w:tcBorders>
            <w:shd w:val="clear" w:color="auto" w:fill="auto"/>
            <w:vAlign w:val="center"/>
            <w:hideMark/>
          </w:tcPr>
          <w:p w14:paraId="157915EC" w14:textId="77777777" w:rsidR="004614FF" w:rsidRPr="004614FF" w:rsidRDefault="004614FF" w:rsidP="004614FF">
            <w:pPr>
              <w:jc w:val="both"/>
              <w:rPr>
                <w:rFonts w:ascii="Book Antiqua" w:eastAsia="等线" w:hAnsi="Book Antiqua" w:cs="宋体"/>
                <w:color w:val="202124"/>
                <w:lang w:eastAsia="zh-CN"/>
              </w:rPr>
            </w:pPr>
            <w:r w:rsidRPr="004614FF">
              <w:rPr>
                <w:rFonts w:ascii="Book Antiqua" w:eastAsia="等线" w:hAnsi="Book Antiqua" w:cs="宋体"/>
                <w:color w:val="202124"/>
                <w:lang w:eastAsia="zh-CN"/>
              </w:rPr>
              <w:t>No</w:t>
            </w:r>
          </w:p>
        </w:tc>
        <w:tc>
          <w:tcPr>
            <w:tcW w:w="751" w:type="pct"/>
            <w:tcBorders>
              <w:top w:val="nil"/>
              <w:left w:val="nil"/>
              <w:bottom w:val="nil"/>
              <w:right w:val="nil"/>
            </w:tcBorders>
            <w:shd w:val="clear" w:color="auto" w:fill="auto"/>
            <w:vAlign w:val="center"/>
            <w:hideMark/>
          </w:tcPr>
          <w:p w14:paraId="614ACE3B" w14:textId="77777777" w:rsidR="004614FF" w:rsidRPr="004614FF" w:rsidRDefault="004614FF" w:rsidP="004614FF">
            <w:pPr>
              <w:jc w:val="both"/>
              <w:rPr>
                <w:rFonts w:ascii="Book Antiqua" w:eastAsia="等线" w:hAnsi="Book Antiqua" w:cs="宋体"/>
                <w:color w:val="202124"/>
                <w:lang w:eastAsia="zh-CN"/>
              </w:rPr>
            </w:pPr>
            <w:r w:rsidRPr="004614FF">
              <w:rPr>
                <w:rFonts w:ascii="Book Antiqua" w:eastAsia="等线" w:hAnsi="Book Antiqua" w:cs="宋体"/>
                <w:color w:val="202124"/>
                <w:lang w:eastAsia="zh-CN"/>
              </w:rPr>
              <w:t>Yes</w:t>
            </w:r>
          </w:p>
        </w:tc>
        <w:tc>
          <w:tcPr>
            <w:tcW w:w="760" w:type="pct"/>
            <w:tcBorders>
              <w:top w:val="nil"/>
              <w:left w:val="nil"/>
              <w:bottom w:val="nil"/>
              <w:right w:val="nil"/>
            </w:tcBorders>
            <w:shd w:val="clear" w:color="auto" w:fill="auto"/>
            <w:vAlign w:val="center"/>
            <w:hideMark/>
          </w:tcPr>
          <w:p w14:paraId="0DD6A2ED" w14:textId="77777777" w:rsidR="004614FF" w:rsidRPr="004614FF" w:rsidRDefault="004614FF" w:rsidP="004614FF">
            <w:pPr>
              <w:jc w:val="both"/>
              <w:rPr>
                <w:rFonts w:ascii="Book Antiqua" w:eastAsia="等线" w:hAnsi="Book Antiqua" w:cs="宋体"/>
                <w:color w:val="202124"/>
                <w:lang w:eastAsia="zh-CN"/>
              </w:rPr>
            </w:pPr>
            <w:r w:rsidRPr="004614FF">
              <w:rPr>
                <w:rFonts w:ascii="Book Antiqua" w:eastAsia="等线" w:hAnsi="Book Antiqua" w:cs="宋体"/>
                <w:color w:val="202124"/>
                <w:lang w:eastAsia="zh-CN"/>
              </w:rPr>
              <w:t>No</w:t>
            </w:r>
          </w:p>
        </w:tc>
        <w:tc>
          <w:tcPr>
            <w:tcW w:w="732" w:type="pct"/>
            <w:tcBorders>
              <w:top w:val="nil"/>
              <w:left w:val="nil"/>
              <w:bottom w:val="nil"/>
              <w:right w:val="nil"/>
            </w:tcBorders>
            <w:shd w:val="clear" w:color="auto" w:fill="auto"/>
            <w:vAlign w:val="center"/>
            <w:hideMark/>
          </w:tcPr>
          <w:p w14:paraId="7E350A60" w14:textId="77777777" w:rsidR="004614FF" w:rsidRPr="004614FF" w:rsidRDefault="004614FF" w:rsidP="004614FF">
            <w:pPr>
              <w:jc w:val="both"/>
              <w:rPr>
                <w:rFonts w:ascii="Book Antiqua" w:eastAsia="等线" w:hAnsi="Book Antiqua" w:cs="宋体"/>
                <w:color w:val="202124"/>
                <w:lang w:eastAsia="zh-CN"/>
              </w:rPr>
            </w:pPr>
            <w:r w:rsidRPr="004614FF">
              <w:rPr>
                <w:rFonts w:ascii="Book Antiqua" w:eastAsia="等线" w:hAnsi="Book Antiqua" w:cs="宋体"/>
                <w:color w:val="202124"/>
                <w:lang w:eastAsia="zh-CN"/>
              </w:rPr>
              <w:t>No</w:t>
            </w:r>
          </w:p>
        </w:tc>
      </w:tr>
      <w:tr w:rsidR="004614FF" w:rsidRPr="004614FF" w14:paraId="50AD2D97" w14:textId="77777777" w:rsidTr="004614FF">
        <w:trPr>
          <w:trHeight w:val="310"/>
        </w:trPr>
        <w:tc>
          <w:tcPr>
            <w:tcW w:w="1350" w:type="pct"/>
            <w:tcBorders>
              <w:top w:val="nil"/>
              <w:left w:val="nil"/>
              <w:bottom w:val="nil"/>
              <w:right w:val="nil"/>
            </w:tcBorders>
            <w:shd w:val="clear" w:color="auto" w:fill="auto"/>
            <w:vAlign w:val="center"/>
            <w:hideMark/>
          </w:tcPr>
          <w:p w14:paraId="3CBE2AF0" w14:textId="77777777" w:rsidR="004614FF" w:rsidRPr="004614FF" w:rsidRDefault="004614FF" w:rsidP="004614FF">
            <w:pPr>
              <w:jc w:val="both"/>
              <w:rPr>
                <w:rFonts w:ascii="Book Antiqua" w:eastAsia="等线" w:hAnsi="Book Antiqua" w:cs="宋体"/>
                <w:color w:val="000000"/>
                <w:lang w:eastAsia="zh-CN"/>
              </w:rPr>
            </w:pPr>
            <w:r w:rsidRPr="004614FF">
              <w:rPr>
                <w:rFonts w:ascii="Book Antiqua" w:eastAsia="等线" w:hAnsi="Book Antiqua" w:cs="宋体"/>
                <w:color w:val="000000"/>
                <w:lang w:eastAsia="zh-CN"/>
              </w:rPr>
              <w:t>ADAMTS1</w:t>
            </w:r>
          </w:p>
        </w:tc>
        <w:tc>
          <w:tcPr>
            <w:tcW w:w="665" w:type="pct"/>
            <w:tcBorders>
              <w:top w:val="nil"/>
              <w:left w:val="nil"/>
              <w:bottom w:val="nil"/>
              <w:right w:val="nil"/>
            </w:tcBorders>
            <w:shd w:val="clear" w:color="auto" w:fill="auto"/>
            <w:vAlign w:val="center"/>
            <w:hideMark/>
          </w:tcPr>
          <w:p w14:paraId="668217BF" w14:textId="77777777" w:rsidR="004614FF" w:rsidRPr="004614FF" w:rsidRDefault="004614FF" w:rsidP="004614FF">
            <w:pPr>
              <w:jc w:val="both"/>
              <w:rPr>
                <w:rFonts w:ascii="Book Antiqua" w:eastAsia="等线" w:hAnsi="Book Antiqua" w:cs="宋体"/>
                <w:color w:val="202124"/>
                <w:lang w:eastAsia="zh-CN"/>
              </w:rPr>
            </w:pPr>
            <w:r w:rsidRPr="004614FF">
              <w:rPr>
                <w:rFonts w:ascii="Book Antiqua" w:eastAsia="等线" w:hAnsi="Book Antiqua" w:cs="宋体"/>
                <w:color w:val="202124"/>
                <w:lang w:eastAsia="zh-CN"/>
              </w:rPr>
              <w:t>No</w:t>
            </w:r>
          </w:p>
        </w:tc>
        <w:tc>
          <w:tcPr>
            <w:tcW w:w="741" w:type="pct"/>
            <w:tcBorders>
              <w:top w:val="nil"/>
              <w:left w:val="nil"/>
              <w:bottom w:val="nil"/>
              <w:right w:val="nil"/>
            </w:tcBorders>
            <w:shd w:val="clear" w:color="auto" w:fill="auto"/>
            <w:vAlign w:val="center"/>
            <w:hideMark/>
          </w:tcPr>
          <w:p w14:paraId="27D5DD12" w14:textId="77777777" w:rsidR="004614FF" w:rsidRPr="004614FF" w:rsidRDefault="004614FF" w:rsidP="004614FF">
            <w:pPr>
              <w:jc w:val="both"/>
              <w:rPr>
                <w:rFonts w:ascii="Book Antiqua" w:eastAsia="等线" w:hAnsi="Book Antiqua" w:cs="宋体"/>
                <w:color w:val="202124"/>
                <w:lang w:eastAsia="zh-CN"/>
              </w:rPr>
            </w:pPr>
            <w:r w:rsidRPr="004614FF">
              <w:rPr>
                <w:rFonts w:ascii="Book Antiqua" w:eastAsia="等线" w:hAnsi="Book Antiqua" w:cs="宋体"/>
                <w:color w:val="202124"/>
                <w:lang w:eastAsia="zh-CN"/>
              </w:rPr>
              <w:t>No</w:t>
            </w:r>
          </w:p>
        </w:tc>
        <w:tc>
          <w:tcPr>
            <w:tcW w:w="751" w:type="pct"/>
            <w:tcBorders>
              <w:top w:val="nil"/>
              <w:left w:val="nil"/>
              <w:bottom w:val="nil"/>
              <w:right w:val="nil"/>
            </w:tcBorders>
            <w:shd w:val="clear" w:color="auto" w:fill="auto"/>
            <w:vAlign w:val="center"/>
            <w:hideMark/>
          </w:tcPr>
          <w:p w14:paraId="528EB77B" w14:textId="77777777" w:rsidR="004614FF" w:rsidRPr="004614FF" w:rsidRDefault="004614FF" w:rsidP="004614FF">
            <w:pPr>
              <w:jc w:val="both"/>
              <w:rPr>
                <w:rFonts w:ascii="Book Antiqua" w:eastAsia="等线" w:hAnsi="Book Antiqua" w:cs="宋体"/>
                <w:color w:val="202124"/>
                <w:lang w:eastAsia="zh-CN"/>
              </w:rPr>
            </w:pPr>
            <w:r w:rsidRPr="004614FF">
              <w:rPr>
                <w:rFonts w:ascii="Book Antiqua" w:eastAsia="等线" w:hAnsi="Book Antiqua" w:cs="宋体"/>
                <w:color w:val="202124"/>
                <w:lang w:eastAsia="zh-CN"/>
              </w:rPr>
              <w:t>No</w:t>
            </w:r>
          </w:p>
        </w:tc>
        <w:tc>
          <w:tcPr>
            <w:tcW w:w="760" w:type="pct"/>
            <w:tcBorders>
              <w:top w:val="nil"/>
              <w:left w:val="nil"/>
              <w:bottom w:val="nil"/>
              <w:right w:val="nil"/>
            </w:tcBorders>
            <w:shd w:val="clear" w:color="auto" w:fill="auto"/>
            <w:vAlign w:val="center"/>
            <w:hideMark/>
          </w:tcPr>
          <w:p w14:paraId="4821CF83" w14:textId="77777777" w:rsidR="004614FF" w:rsidRPr="004614FF" w:rsidRDefault="004614FF" w:rsidP="004614FF">
            <w:pPr>
              <w:jc w:val="both"/>
              <w:rPr>
                <w:rFonts w:ascii="Book Antiqua" w:eastAsia="等线" w:hAnsi="Book Antiqua" w:cs="宋体"/>
                <w:color w:val="202124"/>
                <w:lang w:eastAsia="zh-CN"/>
              </w:rPr>
            </w:pPr>
            <w:r w:rsidRPr="004614FF">
              <w:rPr>
                <w:rFonts w:ascii="Book Antiqua" w:eastAsia="等线" w:hAnsi="Book Antiqua" w:cs="宋体"/>
                <w:color w:val="202124"/>
                <w:lang w:eastAsia="zh-CN"/>
              </w:rPr>
              <w:t>No</w:t>
            </w:r>
          </w:p>
        </w:tc>
        <w:tc>
          <w:tcPr>
            <w:tcW w:w="732" w:type="pct"/>
            <w:tcBorders>
              <w:top w:val="nil"/>
              <w:left w:val="nil"/>
              <w:bottom w:val="nil"/>
              <w:right w:val="nil"/>
            </w:tcBorders>
            <w:shd w:val="clear" w:color="auto" w:fill="auto"/>
            <w:vAlign w:val="center"/>
            <w:hideMark/>
          </w:tcPr>
          <w:p w14:paraId="5422A8A9" w14:textId="77777777" w:rsidR="004614FF" w:rsidRPr="004614FF" w:rsidRDefault="004614FF" w:rsidP="004614FF">
            <w:pPr>
              <w:jc w:val="both"/>
              <w:rPr>
                <w:rFonts w:ascii="Book Antiqua" w:eastAsia="等线" w:hAnsi="Book Antiqua" w:cs="宋体"/>
                <w:color w:val="202124"/>
                <w:lang w:eastAsia="zh-CN"/>
              </w:rPr>
            </w:pPr>
            <w:r w:rsidRPr="004614FF">
              <w:rPr>
                <w:rFonts w:ascii="Book Antiqua" w:eastAsia="等线" w:hAnsi="Book Antiqua" w:cs="宋体"/>
                <w:color w:val="202124"/>
                <w:lang w:eastAsia="zh-CN"/>
              </w:rPr>
              <w:t>No</w:t>
            </w:r>
          </w:p>
        </w:tc>
      </w:tr>
      <w:tr w:rsidR="004614FF" w:rsidRPr="004614FF" w14:paraId="7BC80579" w14:textId="77777777" w:rsidTr="004614FF">
        <w:trPr>
          <w:trHeight w:val="310"/>
        </w:trPr>
        <w:tc>
          <w:tcPr>
            <w:tcW w:w="1350" w:type="pct"/>
            <w:tcBorders>
              <w:top w:val="nil"/>
              <w:left w:val="nil"/>
              <w:bottom w:val="nil"/>
              <w:right w:val="nil"/>
            </w:tcBorders>
            <w:shd w:val="clear" w:color="auto" w:fill="auto"/>
            <w:vAlign w:val="center"/>
            <w:hideMark/>
          </w:tcPr>
          <w:p w14:paraId="1EBADDAA" w14:textId="77777777" w:rsidR="004614FF" w:rsidRPr="004614FF" w:rsidRDefault="004614FF" w:rsidP="004614FF">
            <w:pPr>
              <w:jc w:val="both"/>
              <w:rPr>
                <w:rFonts w:ascii="Book Antiqua" w:eastAsia="等线" w:hAnsi="Book Antiqua" w:cs="宋体"/>
                <w:color w:val="000000"/>
                <w:lang w:eastAsia="zh-CN"/>
              </w:rPr>
            </w:pPr>
            <w:r w:rsidRPr="004614FF">
              <w:rPr>
                <w:rFonts w:ascii="Book Antiqua" w:eastAsia="等线" w:hAnsi="Book Antiqua" w:cs="宋体"/>
                <w:color w:val="000000"/>
                <w:lang w:eastAsia="zh-CN"/>
              </w:rPr>
              <w:t>BNC1</w:t>
            </w:r>
          </w:p>
        </w:tc>
        <w:tc>
          <w:tcPr>
            <w:tcW w:w="665" w:type="pct"/>
            <w:tcBorders>
              <w:top w:val="nil"/>
              <w:left w:val="nil"/>
              <w:bottom w:val="nil"/>
              <w:right w:val="nil"/>
            </w:tcBorders>
            <w:shd w:val="clear" w:color="auto" w:fill="auto"/>
            <w:vAlign w:val="center"/>
            <w:hideMark/>
          </w:tcPr>
          <w:p w14:paraId="01D67424" w14:textId="77777777" w:rsidR="004614FF" w:rsidRPr="004614FF" w:rsidRDefault="004614FF" w:rsidP="004614FF">
            <w:pPr>
              <w:jc w:val="both"/>
              <w:rPr>
                <w:rFonts w:ascii="Book Antiqua" w:eastAsia="等线" w:hAnsi="Book Antiqua" w:cs="宋体"/>
                <w:color w:val="202124"/>
                <w:lang w:eastAsia="zh-CN"/>
              </w:rPr>
            </w:pPr>
            <w:r w:rsidRPr="004614FF">
              <w:rPr>
                <w:rFonts w:ascii="Book Antiqua" w:eastAsia="等线" w:hAnsi="Book Antiqua" w:cs="宋体"/>
                <w:color w:val="202124"/>
                <w:lang w:eastAsia="zh-CN"/>
              </w:rPr>
              <w:t>No</w:t>
            </w:r>
          </w:p>
        </w:tc>
        <w:tc>
          <w:tcPr>
            <w:tcW w:w="741" w:type="pct"/>
            <w:tcBorders>
              <w:top w:val="nil"/>
              <w:left w:val="nil"/>
              <w:bottom w:val="nil"/>
              <w:right w:val="nil"/>
            </w:tcBorders>
            <w:shd w:val="clear" w:color="auto" w:fill="auto"/>
            <w:vAlign w:val="center"/>
            <w:hideMark/>
          </w:tcPr>
          <w:p w14:paraId="1B323118" w14:textId="77777777" w:rsidR="004614FF" w:rsidRPr="004614FF" w:rsidRDefault="004614FF" w:rsidP="004614FF">
            <w:pPr>
              <w:jc w:val="both"/>
              <w:rPr>
                <w:rFonts w:ascii="Book Antiqua" w:eastAsia="等线" w:hAnsi="Book Antiqua" w:cs="宋体"/>
                <w:color w:val="202124"/>
                <w:lang w:eastAsia="zh-CN"/>
              </w:rPr>
            </w:pPr>
            <w:r w:rsidRPr="004614FF">
              <w:rPr>
                <w:rFonts w:ascii="Book Antiqua" w:eastAsia="等线" w:hAnsi="Book Antiqua" w:cs="宋体"/>
                <w:color w:val="202124"/>
                <w:lang w:eastAsia="zh-CN"/>
              </w:rPr>
              <w:t>No</w:t>
            </w:r>
          </w:p>
        </w:tc>
        <w:tc>
          <w:tcPr>
            <w:tcW w:w="751" w:type="pct"/>
            <w:tcBorders>
              <w:top w:val="nil"/>
              <w:left w:val="nil"/>
              <w:bottom w:val="nil"/>
              <w:right w:val="nil"/>
            </w:tcBorders>
            <w:shd w:val="clear" w:color="auto" w:fill="auto"/>
            <w:vAlign w:val="center"/>
            <w:hideMark/>
          </w:tcPr>
          <w:p w14:paraId="6F92190B" w14:textId="77777777" w:rsidR="004614FF" w:rsidRPr="004614FF" w:rsidRDefault="004614FF" w:rsidP="004614FF">
            <w:pPr>
              <w:jc w:val="both"/>
              <w:rPr>
                <w:rFonts w:ascii="Book Antiqua" w:eastAsia="等线" w:hAnsi="Book Antiqua" w:cs="宋体"/>
                <w:color w:val="202124"/>
                <w:lang w:eastAsia="zh-CN"/>
              </w:rPr>
            </w:pPr>
            <w:r w:rsidRPr="004614FF">
              <w:rPr>
                <w:rFonts w:ascii="Book Antiqua" w:eastAsia="等线" w:hAnsi="Book Antiqua" w:cs="宋体"/>
                <w:color w:val="202124"/>
                <w:lang w:eastAsia="zh-CN"/>
              </w:rPr>
              <w:t>No</w:t>
            </w:r>
          </w:p>
        </w:tc>
        <w:tc>
          <w:tcPr>
            <w:tcW w:w="760" w:type="pct"/>
            <w:tcBorders>
              <w:top w:val="nil"/>
              <w:left w:val="nil"/>
              <w:bottom w:val="nil"/>
              <w:right w:val="nil"/>
            </w:tcBorders>
            <w:shd w:val="clear" w:color="auto" w:fill="auto"/>
            <w:vAlign w:val="center"/>
            <w:hideMark/>
          </w:tcPr>
          <w:p w14:paraId="52D7BC19" w14:textId="77777777" w:rsidR="004614FF" w:rsidRPr="004614FF" w:rsidRDefault="004614FF" w:rsidP="004614FF">
            <w:pPr>
              <w:jc w:val="both"/>
              <w:rPr>
                <w:rFonts w:ascii="Book Antiqua" w:eastAsia="等线" w:hAnsi="Book Antiqua" w:cs="宋体"/>
                <w:color w:val="202124"/>
                <w:lang w:eastAsia="zh-CN"/>
              </w:rPr>
            </w:pPr>
            <w:r w:rsidRPr="004614FF">
              <w:rPr>
                <w:rFonts w:ascii="Book Antiqua" w:eastAsia="等线" w:hAnsi="Book Antiqua" w:cs="宋体"/>
                <w:color w:val="202124"/>
                <w:lang w:eastAsia="zh-CN"/>
              </w:rPr>
              <w:t>No</w:t>
            </w:r>
          </w:p>
        </w:tc>
        <w:tc>
          <w:tcPr>
            <w:tcW w:w="732" w:type="pct"/>
            <w:tcBorders>
              <w:top w:val="nil"/>
              <w:left w:val="nil"/>
              <w:bottom w:val="nil"/>
              <w:right w:val="nil"/>
            </w:tcBorders>
            <w:shd w:val="clear" w:color="auto" w:fill="auto"/>
            <w:vAlign w:val="center"/>
            <w:hideMark/>
          </w:tcPr>
          <w:p w14:paraId="3957E3B9" w14:textId="77777777" w:rsidR="004614FF" w:rsidRPr="004614FF" w:rsidRDefault="004614FF" w:rsidP="004614FF">
            <w:pPr>
              <w:jc w:val="both"/>
              <w:rPr>
                <w:rFonts w:ascii="Book Antiqua" w:eastAsia="等线" w:hAnsi="Book Antiqua" w:cs="宋体"/>
                <w:color w:val="202124"/>
                <w:lang w:eastAsia="zh-CN"/>
              </w:rPr>
            </w:pPr>
            <w:r w:rsidRPr="004614FF">
              <w:rPr>
                <w:rFonts w:ascii="Book Antiqua" w:eastAsia="等线" w:hAnsi="Book Antiqua" w:cs="宋体"/>
                <w:color w:val="202124"/>
                <w:lang w:eastAsia="zh-CN"/>
              </w:rPr>
              <w:t>No</w:t>
            </w:r>
          </w:p>
        </w:tc>
      </w:tr>
      <w:tr w:rsidR="004614FF" w:rsidRPr="004614FF" w14:paraId="142282BC" w14:textId="77777777" w:rsidTr="004614FF">
        <w:trPr>
          <w:trHeight w:val="310"/>
        </w:trPr>
        <w:tc>
          <w:tcPr>
            <w:tcW w:w="1350" w:type="pct"/>
            <w:tcBorders>
              <w:top w:val="nil"/>
              <w:left w:val="nil"/>
              <w:bottom w:val="nil"/>
              <w:right w:val="nil"/>
            </w:tcBorders>
            <w:shd w:val="clear" w:color="auto" w:fill="auto"/>
            <w:vAlign w:val="center"/>
            <w:hideMark/>
          </w:tcPr>
          <w:p w14:paraId="4386E7EC" w14:textId="77777777" w:rsidR="004614FF" w:rsidRPr="004614FF" w:rsidRDefault="004614FF" w:rsidP="004614FF">
            <w:pPr>
              <w:jc w:val="both"/>
              <w:rPr>
                <w:rFonts w:ascii="Book Antiqua" w:eastAsia="等线" w:hAnsi="Book Antiqua" w:cs="宋体"/>
                <w:color w:val="000000"/>
                <w:lang w:eastAsia="zh-CN"/>
              </w:rPr>
            </w:pPr>
            <w:r w:rsidRPr="004614FF">
              <w:rPr>
                <w:rFonts w:ascii="Book Antiqua" w:eastAsia="等线" w:hAnsi="Book Antiqua" w:cs="宋体"/>
                <w:color w:val="000000"/>
                <w:lang w:eastAsia="zh-CN"/>
              </w:rPr>
              <w:t>9-Sep</w:t>
            </w:r>
          </w:p>
        </w:tc>
        <w:tc>
          <w:tcPr>
            <w:tcW w:w="665" w:type="pct"/>
            <w:tcBorders>
              <w:top w:val="nil"/>
              <w:left w:val="nil"/>
              <w:bottom w:val="nil"/>
              <w:right w:val="nil"/>
            </w:tcBorders>
            <w:shd w:val="clear" w:color="auto" w:fill="auto"/>
            <w:vAlign w:val="center"/>
            <w:hideMark/>
          </w:tcPr>
          <w:p w14:paraId="297C110B" w14:textId="77777777" w:rsidR="004614FF" w:rsidRPr="004614FF" w:rsidRDefault="004614FF" w:rsidP="004614FF">
            <w:pPr>
              <w:jc w:val="both"/>
              <w:rPr>
                <w:rFonts w:ascii="Book Antiqua" w:eastAsia="等线" w:hAnsi="Book Antiqua" w:cs="宋体"/>
                <w:color w:val="202124"/>
                <w:lang w:eastAsia="zh-CN"/>
              </w:rPr>
            </w:pPr>
            <w:r w:rsidRPr="004614FF">
              <w:rPr>
                <w:rFonts w:ascii="Book Antiqua" w:eastAsia="等线" w:hAnsi="Book Antiqua" w:cs="宋体"/>
                <w:color w:val="202124"/>
                <w:lang w:eastAsia="zh-CN"/>
              </w:rPr>
              <w:t>No</w:t>
            </w:r>
          </w:p>
        </w:tc>
        <w:tc>
          <w:tcPr>
            <w:tcW w:w="741" w:type="pct"/>
            <w:tcBorders>
              <w:top w:val="nil"/>
              <w:left w:val="nil"/>
              <w:bottom w:val="nil"/>
              <w:right w:val="nil"/>
            </w:tcBorders>
            <w:shd w:val="clear" w:color="auto" w:fill="auto"/>
            <w:vAlign w:val="center"/>
            <w:hideMark/>
          </w:tcPr>
          <w:p w14:paraId="17A69157" w14:textId="77777777" w:rsidR="004614FF" w:rsidRPr="004614FF" w:rsidRDefault="004614FF" w:rsidP="004614FF">
            <w:pPr>
              <w:jc w:val="both"/>
              <w:rPr>
                <w:rFonts w:ascii="Book Antiqua" w:eastAsia="等线" w:hAnsi="Book Antiqua" w:cs="宋体"/>
                <w:color w:val="202124"/>
                <w:lang w:eastAsia="zh-CN"/>
              </w:rPr>
            </w:pPr>
            <w:r w:rsidRPr="004614FF">
              <w:rPr>
                <w:rFonts w:ascii="Book Antiqua" w:eastAsia="等线" w:hAnsi="Book Antiqua" w:cs="宋体"/>
                <w:color w:val="202124"/>
                <w:lang w:eastAsia="zh-CN"/>
              </w:rPr>
              <w:t>No</w:t>
            </w:r>
          </w:p>
        </w:tc>
        <w:tc>
          <w:tcPr>
            <w:tcW w:w="751" w:type="pct"/>
            <w:tcBorders>
              <w:top w:val="nil"/>
              <w:left w:val="nil"/>
              <w:bottom w:val="nil"/>
              <w:right w:val="nil"/>
            </w:tcBorders>
            <w:shd w:val="clear" w:color="auto" w:fill="auto"/>
            <w:vAlign w:val="center"/>
            <w:hideMark/>
          </w:tcPr>
          <w:p w14:paraId="6C226EE0" w14:textId="77777777" w:rsidR="004614FF" w:rsidRPr="004614FF" w:rsidRDefault="004614FF" w:rsidP="004614FF">
            <w:pPr>
              <w:jc w:val="both"/>
              <w:rPr>
                <w:rFonts w:ascii="Book Antiqua" w:eastAsia="等线" w:hAnsi="Book Antiqua" w:cs="宋体"/>
                <w:color w:val="202124"/>
                <w:lang w:eastAsia="zh-CN"/>
              </w:rPr>
            </w:pPr>
            <w:r w:rsidRPr="004614FF">
              <w:rPr>
                <w:rFonts w:ascii="Book Antiqua" w:eastAsia="等线" w:hAnsi="Book Antiqua" w:cs="宋体"/>
                <w:color w:val="202124"/>
                <w:lang w:eastAsia="zh-CN"/>
              </w:rPr>
              <w:t>No</w:t>
            </w:r>
          </w:p>
        </w:tc>
        <w:tc>
          <w:tcPr>
            <w:tcW w:w="760" w:type="pct"/>
            <w:tcBorders>
              <w:top w:val="nil"/>
              <w:left w:val="nil"/>
              <w:bottom w:val="nil"/>
              <w:right w:val="nil"/>
            </w:tcBorders>
            <w:shd w:val="clear" w:color="auto" w:fill="auto"/>
            <w:vAlign w:val="center"/>
            <w:hideMark/>
          </w:tcPr>
          <w:p w14:paraId="00047107" w14:textId="77777777" w:rsidR="004614FF" w:rsidRPr="004614FF" w:rsidRDefault="004614FF" w:rsidP="004614FF">
            <w:pPr>
              <w:jc w:val="both"/>
              <w:rPr>
                <w:rFonts w:ascii="Book Antiqua" w:eastAsia="等线" w:hAnsi="Book Antiqua" w:cs="宋体"/>
                <w:color w:val="202124"/>
                <w:lang w:eastAsia="zh-CN"/>
              </w:rPr>
            </w:pPr>
            <w:r w:rsidRPr="004614FF">
              <w:rPr>
                <w:rFonts w:ascii="Book Antiqua" w:eastAsia="等线" w:hAnsi="Book Antiqua" w:cs="宋体"/>
                <w:color w:val="202124"/>
                <w:lang w:eastAsia="zh-CN"/>
              </w:rPr>
              <w:t>No</w:t>
            </w:r>
          </w:p>
        </w:tc>
        <w:tc>
          <w:tcPr>
            <w:tcW w:w="732" w:type="pct"/>
            <w:tcBorders>
              <w:top w:val="nil"/>
              <w:left w:val="nil"/>
              <w:bottom w:val="nil"/>
              <w:right w:val="nil"/>
            </w:tcBorders>
            <w:shd w:val="clear" w:color="auto" w:fill="auto"/>
            <w:vAlign w:val="center"/>
            <w:hideMark/>
          </w:tcPr>
          <w:p w14:paraId="4570D184" w14:textId="77777777" w:rsidR="004614FF" w:rsidRPr="004614FF" w:rsidRDefault="004614FF" w:rsidP="004614FF">
            <w:pPr>
              <w:jc w:val="both"/>
              <w:rPr>
                <w:rFonts w:ascii="Book Antiqua" w:eastAsia="等线" w:hAnsi="Book Antiqua" w:cs="宋体"/>
                <w:color w:val="202124"/>
                <w:lang w:eastAsia="zh-CN"/>
              </w:rPr>
            </w:pPr>
            <w:r w:rsidRPr="004614FF">
              <w:rPr>
                <w:rFonts w:ascii="Book Antiqua" w:eastAsia="等线" w:hAnsi="Book Antiqua" w:cs="宋体"/>
                <w:color w:val="202124"/>
                <w:lang w:eastAsia="zh-CN"/>
              </w:rPr>
              <w:t>No</w:t>
            </w:r>
          </w:p>
        </w:tc>
      </w:tr>
      <w:tr w:rsidR="004614FF" w:rsidRPr="004614FF" w14:paraId="507F64C1" w14:textId="77777777" w:rsidTr="004614FF">
        <w:trPr>
          <w:trHeight w:val="310"/>
        </w:trPr>
        <w:tc>
          <w:tcPr>
            <w:tcW w:w="1350" w:type="pct"/>
            <w:tcBorders>
              <w:top w:val="nil"/>
              <w:left w:val="nil"/>
              <w:bottom w:val="nil"/>
              <w:right w:val="nil"/>
            </w:tcBorders>
            <w:shd w:val="clear" w:color="auto" w:fill="auto"/>
            <w:vAlign w:val="center"/>
            <w:hideMark/>
          </w:tcPr>
          <w:p w14:paraId="0AFE161B" w14:textId="77777777" w:rsidR="004614FF" w:rsidRPr="004614FF" w:rsidRDefault="004614FF" w:rsidP="004614FF">
            <w:pPr>
              <w:jc w:val="both"/>
              <w:rPr>
                <w:rFonts w:ascii="Book Antiqua" w:eastAsia="等线" w:hAnsi="Book Antiqua" w:cs="宋体"/>
                <w:color w:val="000000"/>
                <w:lang w:eastAsia="zh-CN"/>
              </w:rPr>
            </w:pPr>
            <w:r w:rsidRPr="004614FF">
              <w:rPr>
                <w:rFonts w:ascii="Book Antiqua" w:eastAsia="等线" w:hAnsi="Book Antiqua" w:cs="宋体"/>
                <w:color w:val="000000"/>
                <w:lang w:eastAsia="zh-CN"/>
              </w:rPr>
              <w:t>GPC1</w:t>
            </w:r>
          </w:p>
        </w:tc>
        <w:tc>
          <w:tcPr>
            <w:tcW w:w="665" w:type="pct"/>
            <w:tcBorders>
              <w:top w:val="nil"/>
              <w:left w:val="nil"/>
              <w:bottom w:val="nil"/>
              <w:right w:val="nil"/>
            </w:tcBorders>
            <w:shd w:val="clear" w:color="auto" w:fill="auto"/>
            <w:vAlign w:val="center"/>
            <w:hideMark/>
          </w:tcPr>
          <w:p w14:paraId="50A2B8F0" w14:textId="77777777" w:rsidR="004614FF" w:rsidRPr="004614FF" w:rsidRDefault="004614FF" w:rsidP="004614FF">
            <w:pPr>
              <w:jc w:val="both"/>
              <w:rPr>
                <w:rFonts w:ascii="Book Antiqua" w:eastAsia="等线" w:hAnsi="Book Antiqua" w:cs="宋体"/>
                <w:color w:val="202124"/>
                <w:lang w:eastAsia="zh-CN"/>
              </w:rPr>
            </w:pPr>
            <w:r w:rsidRPr="004614FF">
              <w:rPr>
                <w:rFonts w:ascii="Book Antiqua" w:eastAsia="等线" w:hAnsi="Book Antiqua" w:cs="宋体"/>
                <w:color w:val="202124"/>
                <w:lang w:eastAsia="zh-CN"/>
              </w:rPr>
              <w:t>No</w:t>
            </w:r>
          </w:p>
        </w:tc>
        <w:tc>
          <w:tcPr>
            <w:tcW w:w="741" w:type="pct"/>
            <w:tcBorders>
              <w:top w:val="nil"/>
              <w:left w:val="nil"/>
              <w:bottom w:val="nil"/>
              <w:right w:val="nil"/>
            </w:tcBorders>
            <w:shd w:val="clear" w:color="auto" w:fill="auto"/>
            <w:vAlign w:val="center"/>
            <w:hideMark/>
          </w:tcPr>
          <w:p w14:paraId="0D9DB2B2" w14:textId="77777777" w:rsidR="004614FF" w:rsidRPr="004614FF" w:rsidRDefault="004614FF" w:rsidP="004614FF">
            <w:pPr>
              <w:jc w:val="both"/>
              <w:rPr>
                <w:rFonts w:ascii="Book Antiqua" w:eastAsia="等线" w:hAnsi="Book Antiqua" w:cs="宋体"/>
                <w:color w:val="202124"/>
                <w:lang w:eastAsia="zh-CN"/>
              </w:rPr>
            </w:pPr>
            <w:r w:rsidRPr="004614FF">
              <w:rPr>
                <w:rFonts w:ascii="Book Antiqua" w:eastAsia="等线" w:hAnsi="Book Antiqua" w:cs="宋体"/>
                <w:color w:val="202124"/>
                <w:lang w:eastAsia="zh-CN"/>
              </w:rPr>
              <w:t>No</w:t>
            </w:r>
          </w:p>
        </w:tc>
        <w:tc>
          <w:tcPr>
            <w:tcW w:w="751" w:type="pct"/>
            <w:tcBorders>
              <w:top w:val="nil"/>
              <w:left w:val="nil"/>
              <w:bottom w:val="nil"/>
              <w:right w:val="nil"/>
            </w:tcBorders>
            <w:shd w:val="clear" w:color="auto" w:fill="auto"/>
            <w:vAlign w:val="center"/>
            <w:hideMark/>
          </w:tcPr>
          <w:p w14:paraId="75DD1287" w14:textId="77777777" w:rsidR="004614FF" w:rsidRPr="004614FF" w:rsidRDefault="004614FF" w:rsidP="004614FF">
            <w:pPr>
              <w:jc w:val="both"/>
              <w:rPr>
                <w:rFonts w:ascii="Book Antiqua" w:eastAsia="等线" w:hAnsi="Book Antiqua" w:cs="宋体"/>
                <w:color w:val="202124"/>
                <w:lang w:eastAsia="zh-CN"/>
              </w:rPr>
            </w:pPr>
            <w:r w:rsidRPr="004614FF">
              <w:rPr>
                <w:rFonts w:ascii="Book Antiqua" w:eastAsia="等线" w:hAnsi="Book Antiqua" w:cs="宋体"/>
                <w:color w:val="202124"/>
                <w:lang w:eastAsia="zh-CN"/>
              </w:rPr>
              <w:t>No</w:t>
            </w:r>
          </w:p>
        </w:tc>
        <w:tc>
          <w:tcPr>
            <w:tcW w:w="760" w:type="pct"/>
            <w:tcBorders>
              <w:top w:val="nil"/>
              <w:left w:val="nil"/>
              <w:bottom w:val="nil"/>
              <w:right w:val="nil"/>
            </w:tcBorders>
            <w:shd w:val="clear" w:color="auto" w:fill="auto"/>
            <w:vAlign w:val="center"/>
            <w:hideMark/>
          </w:tcPr>
          <w:p w14:paraId="3D1CCA44" w14:textId="77777777" w:rsidR="004614FF" w:rsidRPr="004614FF" w:rsidRDefault="004614FF" w:rsidP="004614FF">
            <w:pPr>
              <w:jc w:val="both"/>
              <w:rPr>
                <w:rFonts w:ascii="Book Antiqua" w:eastAsia="等线" w:hAnsi="Book Antiqua" w:cs="宋体"/>
                <w:color w:val="202124"/>
                <w:lang w:eastAsia="zh-CN"/>
              </w:rPr>
            </w:pPr>
            <w:r w:rsidRPr="004614FF">
              <w:rPr>
                <w:rFonts w:ascii="Book Antiqua" w:eastAsia="等线" w:hAnsi="Book Antiqua" w:cs="宋体"/>
                <w:color w:val="202124"/>
                <w:lang w:eastAsia="zh-CN"/>
              </w:rPr>
              <w:t>No</w:t>
            </w:r>
          </w:p>
        </w:tc>
        <w:tc>
          <w:tcPr>
            <w:tcW w:w="732" w:type="pct"/>
            <w:tcBorders>
              <w:top w:val="nil"/>
              <w:left w:val="nil"/>
              <w:bottom w:val="nil"/>
              <w:right w:val="nil"/>
            </w:tcBorders>
            <w:shd w:val="clear" w:color="auto" w:fill="auto"/>
            <w:vAlign w:val="center"/>
            <w:hideMark/>
          </w:tcPr>
          <w:p w14:paraId="14886B0C" w14:textId="77777777" w:rsidR="004614FF" w:rsidRPr="004614FF" w:rsidRDefault="004614FF" w:rsidP="004614FF">
            <w:pPr>
              <w:jc w:val="both"/>
              <w:rPr>
                <w:rFonts w:ascii="Book Antiqua" w:eastAsia="等线" w:hAnsi="Book Antiqua" w:cs="宋体"/>
                <w:color w:val="202124"/>
                <w:lang w:eastAsia="zh-CN"/>
              </w:rPr>
            </w:pPr>
            <w:r w:rsidRPr="004614FF">
              <w:rPr>
                <w:rFonts w:ascii="Book Antiqua" w:eastAsia="等线" w:hAnsi="Book Antiqua" w:cs="宋体"/>
                <w:color w:val="202124"/>
                <w:lang w:eastAsia="zh-CN"/>
              </w:rPr>
              <w:t>No</w:t>
            </w:r>
          </w:p>
        </w:tc>
      </w:tr>
      <w:tr w:rsidR="004614FF" w:rsidRPr="004614FF" w14:paraId="1D803BC2" w14:textId="77777777" w:rsidTr="004614FF">
        <w:trPr>
          <w:trHeight w:val="310"/>
        </w:trPr>
        <w:tc>
          <w:tcPr>
            <w:tcW w:w="1350" w:type="pct"/>
            <w:tcBorders>
              <w:top w:val="nil"/>
              <w:left w:val="nil"/>
              <w:bottom w:val="nil"/>
              <w:right w:val="nil"/>
            </w:tcBorders>
            <w:shd w:val="clear" w:color="auto" w:fill="auto"/>
            <w:vAlign w:val="center"/>
            <w:hideMark/>
          </w:tcPr>
          <w:p w14:paraId="42491F33" w14:textId="77777777" w:rsidR="004614FF" w:rsidRPr="004614FF" w:rsidRDefault="004614FF" w:rsidP="004614FF">
            <w:pPr>
              <w:jc w:val="both"/>
              <w:rPr>
                <w:rFonts w:ascii="Book Antiqua" w:eastAsia="等线" w:hAnsi="Book Antiqua" w:cs="宋体"/>
                <w:color w:val="000000"/>
                <w:lang w:eastAsia="zh-CN"/>
              </w:rPr>
            </w:pPr>
            <w:r w:rsidRPr="004614FF">
              <w:rPr>
                <w:rFonts w:ascii="Book Antiqua" w:eastAsia="等线" w:hAnsi="Book Antiqua" w:cs="宋体"/>
                <w:color w:val="000000"/>
                <w:lang w:eastAsia="zh-CN"/>
              </w:rPr>
              <w:t>PFAA</w:t>
            </w:r>
          </w:p>
        </w:tc>
        <w:tc>
          <w:tcPr>
            <w:tcW w:w="665" w:type="pct"/>
            <w:tcBorders>
              <w:top w:val="nil"/>
              <w:left w:val="nil"/>
              <w:bottom w:val="nil"/>
              <w:right w:val="nil"/>
            </w:tcBorders>
            <w:shd w:val="clear" w:color="auto" w:fill="auto"/>
            <w:vAlign w:val="center"/>
            <w:hideMark/>
          </w:tcPr>
          <w:p w14:paraId="0A3EAE43" w14:textId="77777777" w:rsidR="004614FF" w:rsidRPr="004614FF" w:rsidRDefault="004614FF" w:rsidP="004614FF">
            <w:pPr>
              <w:jc w:val="both"/>
              <w:rPr>
                <w:rFonts w:ascii="Book Antiqua" w:eastAsia="等线" w:hAnsi="Book Antiqua" w:cs="宋体"/>
                <w:color w:val="202124"/>
                <w:lang w:eastAsia="zh-CN"/>
              </w:rPr>
            </w:pPr>
            <w:r w:rsidRPr="004614FF">
              <w:rPr>
                <w:rFonts w:ascii="Book Antiqua" w:eastAsia="等线" w:hAnsi="Book Antiqua" w:cs="宋体"/>
                <w:color w:val="202124"/>
                <w:lang w:eastAsia="zh-CN"/>
              </w:rPr>
              <w:t>No</w:t>
            </w:r>
          </w:p>
        </w:tc>
        <w:tc>
          <w:tcPr>
            <w:tcW w:w="741" w:type="pct"/>
            <w:tcBorders>
              <w:top w:val="nil"/>
              <w:left w:val="nil"/>
              <w:bottom w:val="nil"/>
              <w:right w:val="nil"/>
            </w:tcBorders>
            <w:shd w:val="clear" w:color="auto" w:fill="auto"/>
            <w:vAlign w:val="center"/>
            <w:hideMark/>
          </w:tcPr>
          <w:p w14:paraId="21B005CD" w14:textId="77777777" w:rsidR="004614FF" w:rsidRPr="004614FF" w:rsidRDefault="004614FF" w:rsidP="004614FF">
            <w:pPr>
              <w:jc w:val="both"/>
              <w:rPr>
                <w:rFonts w:ascii="Book Antiqua" w:eastAsia="等线" w:hAnsi="Book Antiqua" w:cs="宋体"/>
                <w:color w:val="202124"/>
                <w:lang w:eastAsia="zh-CN"/>
              </w:rPr>
            </w:pPr>
            <w:r w:rsidRPr="004614FF">
              <w:rPr>
                <w:rFonts w:ascii="Book Antiqua" w:eastAsia="等线" w:hAnsi="Book Antiqua" w:cs="宋体"/>
                <w:color w:val="202124"/>
                <w:lang w:eastAsia="zh-CN"/>
              </w:rPr>
              <w:t>No</w:t>
            </w:r>
          </w:p>
        </w:tc>
        <w:tc>
          <w:tcPr>
            <w:tcW w:w="751" w:type="pct"/>
            <w:tcBorders>
              <w:top w:val="nil"/>
              <w:left w:val="nil"/>
              <w:bottom w:val="nil"/>
              <w:right w:val="nil"/>
            </w:tcBorders>
            <w:shd w:val="clear" w:color="auto" w:fill="auto"/>
            <w:vAlign w:val="center"/>
            <w:hideMark/>
          </w:tcPr>
          <w:p w14:paraId="78DB4B8E" w14:textId="77777777" w:rsidR="004614FF" w:rsidRPr="004614FF" w:rsidRDefault="004614FF" w:rsidP="004614FF">
            <w:pPr>
              <w:jc w:val="both"/>
              <w:rPr>
                <w:rFonts w:ascii="Book Antiqua" w:eastAsia="等线" w:hAnsi="Book Antiqua" w:cs="宋体"/>
                <w:color w:val="202124"/>
                <w:lang w:eastAsia="zh-CN"/>
              </w:rPr>
            </w:pPr>
            <w:r w:rsidRPr="004614FF">
              <w:rPr>
                <w:rFonts w:ascii="Book Antiqua" w:eastAsia="等线" w:hAnsi="Book Antiqua" w:cs="宋体"/>
                <w:color w:val="202124"/>
                <w:lang w:eastAsia="zh-CN"/>
              </w:rPr>
              <w:t>No</w:t>
            </w:r>
          </w:p>
        </w:tc>
        <w:tc>
          <w:tcPr>
            <w:tcW w:w="760" w:type="pct"/>
            <w:tcBorders>
              <w:top w:val="nil"/>
              <w:left w:val="nil"/>
              <w:bottom w:val="nil"/>
              <w:right w:val="nil"/>
            </w:tcBorders>
            <w:shd w:val="clear" w:color="auto" w:fill="auto"/>
            <w:vAlign w:val="center"/>
            <w:hideMark/>
          </w:tcPr>
          <w:p w14:paraId="0FEE8EBC" w14:textId="77777777" w:rsidR="004614FF" w:rsidRPr="004614FF" w:rsidRDefault="004614FF" w:rsidP="004614FF">
            <w:pPr>
              <w:jc w:val="both"/>
              <w:rPr>
                <w:rFonts w:ascii="Book Antiqua" w:eastAsia="等线" w:hAnsi="Book Antiqua" w:cs="宋体"/>
                <w:color w:val="202124"/>
                <w:lang w:eastAsia="zh-CN"/>
              </w:rPr>
            </w:pPr>
            <w:r w:rsidRPr="004614FF">
              <w:rPr>
                <w:rFonts w:ascii="Book Antiqua" w:eastAsia="等线" w:hAnsi="Book Antiqua" w:cs="宋体"/>
                <w:color w:val="202124"/>
                <w:lang w:eastAsia="zh-CN"/>
              </w:rPr>
              <w:t>No</w:t>
            </w:r>
          </w:p>
        </w:tc>
        <w:tc>
          <w:tcPr>
            <w:tcW w:w="732" w:type="pct"/>
            <w:tcBorders>
              <w:top w:val="nil"/>
              <w:left w:val="nil"/>
              <w:bottom w:val="nil"/>
              <w:right w:val="nil"/>
            </w:tcBorders>
            <w:shd w:val="clear" w:color="auto" w:fill="auto"/>
            <w:vAlign w:val="center"/>
            <w:hideMark/>
          </w:tcPr>
          <w:p w14:paraId="4DE6776C" w14:textId="77777777" w:rsidR="004614FF" w:rsidRPr="004614FF" w:rsidRDefault="004614FF" w:rsidP="004614FF">
            <w:pPr>
              <w:jc w:val="both"/>
              <w:rPr>
                <w:rFonts w:ascii="Book Antiqua" w:eastAsia="等线" w:hAnsi="Book Antiqua" w:cs="宋体"/>
                <w:color w:val="202124"/>
                <w:lang w:eastAsia="zh-CN"/>
              </w:rPr>
            </w:pPr>
            <w:r w:rsidRPr="004614FF">
              <w:rPr>
                <w:rFonts w:ascii="Book Antiqua" w:eastAsia="等线" w:hAnsi="Book Antiqua" w:cs="宋体"/>
                <w:color w:val="202124"/>
                <w:lang w:eastAsia="zh-CN"/>
              </w:rPr>
              <w:t>No</w:t>
            </w:r>
          </w:p>
        </w:tc>
      </w:tr>
      <w:tr w:rsidR="004614FF" w:rsidRPr="004614FF" w14:paraId="632BA580" w14:textId="77777777" w:rsidTr="004614FF">
        <w:trPr>
          <w:trHeight w:val="310"/>
        </w:trPr>
        <w:tc>
          <w:tcPr>
            <w:tcW w:w="1350" w:type="pct"/>
            <w:tcBorders>
              <w:top w:val="nil"/>
              <w:left w:val="nil"/>
              <w:bottom w:val="nil"/>
              <w:right w:val="nil"/>
            </w:tcBorders>
            <w:shd w:val="clear" w:color="auto" w:fill="auto"/>
            <w:vAlign w:val="center"/>
            <w:hideMark/>
          </w:tcPr>
          <w:p w14:paraId="5B814CEE" w14:textId="77777777" w:rsidR="004614FF" w:rsidRPr="004614FF" w:rsidRDefault="004614FF" w:rsidP="004614FF">
            <w:pPr>
              <w:jc w:val="both"/>
              <w:rPr>
                <w:rFonts w:ascii="Book Antiqua" w:eastAsia="等线" w:hAnsi="Book Antiqua" w:cs="宋体"/>
                <w:color w:val="000000"/>
                <w:lang w:eastAsia="zh-CN"/>
              </w:rPr>
            </w:pPr>
            <w:r w:rsidRPr="004614FF">
              <w:rPr>
                <w:rFonts w:ascii="Book Antiqua" w:eastAsia="等线" w:hAnsi="Book Antiqua" w:cs="宋体"/>
                <w:color w:val="000000"/>
                <w:lang w:eastAsia="zh-CN"/>
              </w:rPr>
              <w:t>OPNT + TIMP-1</w:t>
            </w:r>
          </w:p>
        </w:tc>
        <w:tc>
          <w:tcPr>
            <w:tcW w:w="665" w:type="pct"/>
            <w:tcBorders>
              <w:top w:val="nil"/>
              <w:left w:val="nil"/>
              <w:bottom w:val="nil"/>
              <w:right w:val="nil"/>
            </w:tcBorders>
            <w:shd w:val="clear" w:color="auto" w:fill="auto"/>
            <w:vAlign w:val="center"/>
            <w:hideMark/>
          </w:tcPr>
          <w:p w14:paraId="0A711CEF" w14:textId="77777777" w:rsidR="004614FF" w:rsidRPr="004614FF" w:rsidRDefault="004614FF" w:rsidP="004614FF">
            <w:pPr>
              <w:jc w:val="both"/>
              <w:rPr>
                <w:rFonts w:ascii="Book Antiqua" w:eastAsia="等线" w:hAnsi="Book Antiqua" w:cs="宋体"/>
                <w:color w:val="202124"/>
                <w:lang w:eastAsia="zh-CN"/>
              </w:rPr>
            </w:pPr>
            <w:r w:rsidRPr="004614FF">
              <w:rPr>
                <w:rFonts w:ascii="Book Antiqua" w:eastAsia="等线" w:hAnsi="Book Antiqua" w:cs="宋体"/>
                <w:color w:val="202124"/>
                <w:lang w:eastAsia="zh-CN"/>
              </w:rPr>
              <w:t>No</w:t>
            </w:r>
          </w:p>
        </w:tc>
        <w:tc>
          <w:tcPr>
            <w:tcW w:w="741" w:type="pct"/>
            <w:tcBorders>
              <w:top w:val="nil"/>
              <w:left w:val="nil"/>
              <w:bottom w:val="nil"/>
              <w:right w:val="nil"/>
            </w:tcBorders>
            <w:shd w:val="clear" w:color="auto" w:fill="auto"/>
            <w:vAlign w:val="center"/>
            <w:hideMark/>
          </w:tcPr>
          <w:p w14:paraId="306FA177" w14:textId="77777777" w:rsidR="004614FF" w:rsidRPr="004614FF" w:rsidRDefault="004614FF" w:rsidP="004614FF">
            <w:pPr>
              <w:jc w:val="both"/>
              <w:rPr>
                <w:rFonts w:ascii="Book Antiqua" w:eastAsia="等线" w:hAnsi="Book Antiqua" w:cs="宋体"/>
                <w:color w:val="202124"/>
                <w:lang w:eastAsia="zh-CN"/>
              </w:rPr>
            </w:pPr>
            <w:r w:rsidRPr="004614FF">
              <w:rPr>
                <w:rFonts w:ascii="Book Antiqua" w:eastAsia="等线" w:hAnsi="Book Antiqua" w:cs="宋体"/>
                <w:color w:val="202124"/>
                <w:lang w:eastAsia="zh-CN"/>
              </w:rPr>
              <w:t>No</w:t>
            </w:r>
          </w:p>
        </w:tc>
        <w:tc>
          <w:tcPr>
            <w:tcW w:w="751" w:type="pct"/>
            <w:tcBorders>
              <w:top w:val="nil"/>
              <w:left w:val="nil"/>
              <w:bottom w:val="nil"/>
              <w:right w:val="nil"/>
            </w:tcBorders>
            <w:shd w:val="clear" w:color="auto" w:fill="auto"/>
            <w:vAlign w:val="center"/>
            <w:hideMark/>
          </w:tcPr>
          <w:p w14:paraId="45922540" w14:textId="77777777" w:rsidR="004614FF" w:rsidRPr="004614FF" w:rsidRDefault="004614FF" w:rsidP="004614FF">
            <w:pPr>
              <w:jc w:val="both"/>
              <w:rPr>
                <w:rFonts w:ascii="Book Antiqua" w:eastAsia="等线" w:hAnsi="Book Antiqua" w:cs="宋体"/>
                <w:color w:val="202124"/>
                <w:lang w:eastAsia="zh-CN"/>
              </w:rPr>
            </w:pPr>
            <w:r w:rsidRPr="004614FF">
              <w:rPr>
                <w:rFonts w:ascii="Book Antiqua" w:eastAsia="等线" w:hAnsi="Book Antiqua" w:cs="宋体"/>
                <w:color w:val="202124"/>
                <w:lang w:eastAsia="zh-CN"/>
              </w:rPr>
              <w:t>No</w:t>
            </w:r>
          </w:p>
        </w:tc>
        <w:tc>
          <w:tcPr>
            <w:tcW w:w="760" w:type="pct"/>
            <w:tcBorders>
              <w:top w:val="nil"/>
              <w:left w:val="nil"/>
              <w:bottom w:val="nil"/>
              <w:right w:val="nil"/>
            </w:tcBorders>
            <w:shd w:val="clear" w:color="auto" w:fill="auto"/>
            <w:vAlign w:val="center"/>
            <w:hideMark/>
          </w:tcPr>
          <w:p w14:paraId="12ABEBFC" w14:textId="77777777" w:rsidR="004614FF" w:rsidRPr="004614FF" w:rsidRDefault="004614FF" w:rsidP="004614FF">
            <w:pPr>
              <w:jc w:val="both"/>
              <w:rPr>
                <w:rFonts w:ascii="Book Antiqua" w:eastAsia="等线" w:hAnsi="Book Antiqua" w:cs="宋体"/>
                <w:color w:val="202124"/>
                <w:lang w:eastAsia="zh-CN"/>
              </w:rPr>
            </w:pPr>
            <w:r w:rsidRPr="004614FF">
              <w:rPr>
                <w:rFonts w:ascii="Book Antiqua" w:eastAsia="等线" w:hAnsi="Book Antiqua" w:cs="宋体"/>
                <w:color w:val="202124"/>
                <w:lang w:eastAsia="zh-CN"/>
              </w:rPr>
              <w:t>No</w:t>
            </w:r>
          </w:p>
        </w:tc>
        <w:tc>
          <w:tcPr>
            <w:tcW w:w="732" w:type="pct"/>
            <w:tcBorders>
              <w:top w:val="nil"/>
              <w:left w:val="nil"/>
              <w:bottom w:val="nil"/>
              <w:right w:val="nil"/>
            </w:tcBorders>
            <w:shd w:val="clear" w:color="auto" w:fill="auto"/>
            <w:vAlign w:val="center"/>
            <w:hideMark/>
          </w:tcPr>
          <w:p w14:paraId="6888CCF4" w14:textId="77777777" w:rsidR="004614FF" w:rsidRPr="004614FF" w:rsidRDefault="004614FF" w:rsidP="004614FF">
            <w:pPr>
              <w:jc w:val="both"/>
              <w:rPr>
                <w:rFonts w:ascii="Book Antiqua" w:eastAsia="等线" w:hAnsi="Book Antiqua" w:cs="宋体"/>
                <w:color w:val="202124"/>
                <w:lang w:eastAsia="zh-CN"/>
              </w:rPr>
            </w:pPr>
            <w:r w:rsidRPr="004614FF">
              <w:rPr>
                <w:rFonts w:ascii="Book Antiqua" w:eastAsia="等线" w:hAnsi="Book Antiqua" w:cs="宋体"/>
                <w:color w:val="202124"/>
                <w:lang w:eastAsia="zh-CN"/>
              </w:rPr>
              <w:t>No</w:t>
            </w:r>
          </w:p>
        </w:tc>
      </w:tr>
      <w:tr w:rsidR="004614FF" w:rsidRPr="004614FF" w14:paraId="3EDBD0A9" w14:textId="77777777" w:rsidTr="004614FF">
        <w:trPr>
          <w:trHeight w:val="310"/>
        </w:trPr>
        <w:tc>
          <w:tcPr>
            <w:tcW w:w="1350" w:type="pct"/>
            <w:tcBorders>
              <w:top w:val="nil"/>
              <w:left w:val="nil"/>
              <w:bottom w:val="nil"/>
              <w:right w:val="nil"/>
            </w:tcBorders>
            <w:shd w:val="clear" w:color="auto" w:fill="auto"/>
            <w:vAlign w:val="center"/>
            <w:hideMark/>
          </w:tcPr>
          <w:p w14:paraId="1C78F8D1" w14:textId="77777777" w:rsidR="004614FF" w:rsidRPr="004614FF" w:rsidRDefault="004614FF" w:rsidP="004614FF">
            <w:pPr>
              <w:jc w:val="both"/>
              <w:rPr>
                <w:rFonts w:ascii="Book Antiqua" w:eastAsia="等线" w:hAnsi="Book Antiqua" w:cs="宋体"/>
                <w:color w:val="000000"/>
                <w:lang w:eastAsia="zh-CN"/>
              </w:rPr>
            </w:pPr>
            <w:r w:rsidRPr="004614FF">
              <w:rPr>
                <w:rFonts w:ascii="Book Antiqua" w:eastAsia="等线" w:hAnsi="Book Antiqua" w:cs="宋体"/>
                <w:color w:val="000000"/>
                <w:lang w:eastAsia="zh-CN"/>
              </w:rPr>
              <w:t>CPA4</w:t>
            </w:r>
          </w:p>
        </w:tc>
        <w:tc>
          <w:tcPr>
            <w:tcW w:w="665" w:type="pct"/>
            <w:tcBorders>
              <w:top w:val="nil"/>
              <w:left w:val="nil"/>
              <w:bottom w:val="nil"/>
              <w:right w:val="nil"/>
            </w:tcBorders>
            <w:shd w:val="clear" w:color="auto" w:fill="auto"/>
            <w:vAlign w:val="center"/>
            <w:hideMark/>
          </w:tcPr>
          <w:p w14:paraId="67EE312E" w14:textId="77777777" w:rsidR="004614FF" w:rsidRPr="004614FF" w:rsidRDefault="004614FF" w:rsidP="004614FF">
            <w:pPr>
              <w:jc w:val="both"/>
              <w:rPr>
                <w:rFonts w:ascii="Book Antiqua" w:eastAsia="等线" w:hAnsi="Book Antiqua" w:cs="宋体"/>
                <w:color w:val="202124"/>
                <w:lang w:eastAsia="zh-CN"/>
              </w:rPr>
            </w:pPr>
            <w:r w:rsidRPr="004614FF">
              <w:rPr>
                <w:rFonts w:ascii="Book Antiqua" w:eastAsia="等线" w:hAnsi="Book Antiqua" w:cs="宋体"/>
                <w:color w:val="202124"/>
                <w:lang w:eastAsia="zh-CN"/>
              </w:rPr>
              <w:t>No</w:t>
            </w:r>
          </w:p>
        </w:tc>
        <w:tc>
          <w:tcPr>
            <w:tcW w:w="741" w:type="pct"/>
            <w:tcBorders>
              <w:top w:val="nil"/>
              <w:left w:val="nil"/>
              <w:bottom w:val="nil"/>
              <w:right w:val="nil"/>
            </w:tcBorders>
            <w:shd w:val="clear" w:color="auto" w:fill="auto"/>
            <w:vAlign w:val="center"/>
            <w:hideMark/>
          </w:tcPr>
          <w:p w14:paraId="37E1A7F3" w14:textId="77777777" w:rsidR="004614FF" w:rsidRPr="004614FF" w:rsidRDefault="004614FF" w:rsidP="004614FF">
            <w:pPr>
              <w:jc w:val="both"/>
              <w:rPr>
                <w:rFonts w:ascii="Book Antiqua" w:eastAsia="等线" w:hAnsi="Book Antiqua" w:cs="宋体"/>
                <w:color w:val="202124"/>
                <w:lang w:eastAsia="zh-CN"/>
              </w:rPr>
            </w:pPr>
            <w:r w:rsidRPr="004614FF">
              <w:rPr>
                <w:rFonts w:ascii="Book Antiqua" w:eastAsia="等线" w:hAnsi="Book Antiqua" w:cs="宋体"/>
                <w:color w:val="202124"/>
                <w:lang w:eastAsia="zh-CN"/>
              </w:rPr>
              <w:t>No</w:t>
            </w:r>
          </w:p>
        </w:tc>
        <w:tc>
          <w:tcPr>
            <w:tcW w:w="751" w:type="pct"/>
            <w:tcBorders>
              <w:top w:val="nil"/>
              <w:left w:val="nil"/>
              <w:bottom w:val="nil"/>
              <w:right w:val="nil"/>
            </w:tcBorders>
            <w:shd w:val="clear" w:color="auto" w:fill="auto"/>
            <w:vAlign w:val="center"/>
            <w:hideMark/>
          </w:tcPr>
          <w:p w14:paraId="66F4E0E1" w14:textId="77777777" w:rsidR="004614FF" w:rsidRPr="004614FF" w:rsidRDefault="004614FF" w:rsidP="004614FF">
            <w:pPr>
              <w:jc w:val="both"/>
              <w:rPr>
                <w:rFonts w:ascii="Book Antiqua" w:eastAsia="等线" w:hAnsi="Book Antiqua" w:cs="宋体"/>
                <w:color w:val="202124"/>
                <w:lang w:eastAsia="zh-CN"/>
              </w:rPr>
            </w:pPr>
            <w:r w:rsidRPr="004614FF">
              <w:rPr>
                <w:rFonts w:ascii="Book Antiqua" w:eastAsia="等线" w:hAnsi="Book Antiqua" w:cs="宋体"/>
                <w:color w:val="202124"/>
                <w:lang w:eastAsia="zh-CN"/>
              </w:rPr>
              <w:t>No</w:t>
            </w:r>
          </w:p>
        </w:tc>
        <w:tc>
          <w:tcPr>
            <w:tcW w:w="760" w:type="pct"/>
            <w:tcBorders>
              <w:top w:val="nil"/>
              <w:left w:val="nil"/>
              <w:bottom w:val="nil"/>
              <w:right w:val="nil"/>
            </w:tcBorders>
            <w:shd w:val="clear" w:color="auto" w:fill="auto"/>
            <w:vAlign w:val="center"/>
            <w:hideMark/>
          </w:tcPr>
          <w:p w14:paraId="5B63FC24" w14:textId="77777777" w:rsidR="004614FF" w:rsidRPr="004614FF" w:rsidRDefault="004614FF" w:rsidP="004614FF">
            <w:pPr>
              <w:jc w:val="both"/>
              <w:rPr>
                <w:rFonts w:ascii="Book Antiqua" w:eastAsia="等线" w:hAnsi="Book Antiqua" w:cs="宋体"/>
                <w:color w:val="202124"/>
                <w:lang w:eastAsia="zh-CN"/>
              </w:rPr>
            </w:pPr>
            <w:r w:rsidRPr="004614FF">
              <w:rPr>
                <w:rFonts w:ascii="Book Antiqua" w:eastAsia="等线" w:hAnsi="Book Antiqua" w:cs="宋体"/>
                <w:color w:val="202124"/>
                <w:lang w:eastAsia="zh-CN"/>
              </w:rPr>
              <w:t>No</w:t>
            </w:r>
          </w:p>
        </w:tc>
        <w:tc>
          <w:tcPr>
            <w:tcW w:w="732" w:type="pct"/>
            <w:tcBorders>
              <w:top w:val="nil"/>
              <w:left w:val="nil"/>
              <w:bottom w:val="nil"/>
              <w:right w:val="nil"/>
            </w:tcBorders>
            <w:shd w:val="clear" w:color="auto" w:fill="auto"/>
            <w:vAlign w:val="center"/>
            <w:hideMark/>
          </w:tcPr>
          <w:p w14:paraId="25CCDA34" w14:textId="77777777" w:rsidR="004614FF" w:rsidRPr="004614FF" w:rsidRDefault="004614FF" w:rsidP="004614FF">
            <w:pPr>
              <w:jc w:val="both"/>
              <w:rPr>
                <w:rFonts w:ascii="Book Antiqua" w:eastAsia="等线" w:hAnsi="Book Antiqua" w:cs="宋体"/>
                <w:color w:val="202124"/>
                <w:lang w:eastAsia="zh-CN"/>
              </w:rPr>
            </w:pPr>
            <w:r w:rsidRPr="004614FF">
              <w:rPr>
                <w:rFonts w:ascii="Book Antiqua" w:eastAsia="等线" w:hAnsi="Book Antiqua" w:cs="宋体"/>
                <w:color w:val="202124"/>
                <w:lang w:eastAsia="zh-CN"/>
              </w:rPr>
              <w:t>No</w:t>
            </w:r>
          </w:p>
        </w:tc>
      </w:tr>
      <w:tr w:rsidR="004614FF" w:rsidRPr="004614FF" w14:paraId="6D13192D" w14:textId="77777777" w:rsidTr="004614FF">
        <w:trPr>
          <w:trHeight w:val="310"/>
        </w:trPr>
        <w:tc>
          <w:tcPr>
            <w:tcW w:w="1350" w:type="pct"/>
            <w:tcBorders>
              <w:top w:val="nil"/>
              <w:left w:val="nil"/>
              <w:bottom w:val="nil"/>
              <w:right w:val="nil"/>
            </w:tcBorders>
            <w:shd w:val="clear" w:color="auto" w:fill="auto"/>
            <w:vAlign w:val="center"/>
            <w:hideMark/>
          </w:tcPr>
          <w:p w14:paraId="11E0C015" w14:textId="77777777" w:rsidR="004614FF" w:rsidRPr="004614FF" w:rsidRDefault="004614FF" w:rsidP="004614FF">
            <w:pPr>
              <w:jc w:val="both"/>
              <w:rPr>
                <w:rFonts w:ascii="Book Antiqua" w:eastAsia="等线" w:hAnsi="Book Antiqua" w:cs="宋体"/>
                <w:color w:val="000000"/>
                <w:lang w:eastAsia="zh-CN"/>
              </w:rPr>
            </w:pPr>
            <w:r w:rsidRPr="004614FF">
              <w:rPr>
                <w:rFonts w:ascii="Book Antiqua" w:eastAsia="等线" w:hAnsi="Book Antiqua" w:cs="宋体"/>
                <w:color w:val="000000"/>
                <w:lang w:eastAsia="zh-CN"/>
              </w:rPr>
              <w:t>MUC5 AC</w:t>
            </w:r>
          </w:p>
        </w:tc>
        <w:tc>
          <w:tcPr>
            <w:tcW w:w="665" w:type="pct"/>
            <w:tcBorders>
              <w:top w:val="nil"/>
              <w:left w:val="nil"/>
              <w:bottom w:val="nil"/>
              <w:right w:val="nil"/>
            </w:tcBorders>
            <w:shd w:val="clear" w:color="auto" w:fill="auto"/>
            <w:vAlign w:val="center"/>
            <w:hideMark/>
          </w:tcPr>
          <w:p w14:paraId="7635B38D" w14:textId="77777777" w:rsidR="004614FF" w:rsidRPr="004614FF" w:rsidRDefault="004614FF" w:rsidP="004614FF">
            <w:pPr>
              <w:jc w:val="both"/>
              <w:rPr>
                <w:rFonts w:ascii="Book Antiqua" w:eastAsia="等线" w:hAnsi="Book Antiqua" w:cs="宋体"/>
                <w:color w:val="202124"/>
                <w:lang w:eastAsia="zh-CN"/>
              </w:rPr>
            </w:pPr>
            <w:r w:rsidRPr="004614FF">
              <w:rPr>
                <w:rFonts w:ascii="Book Antiqua" w:eastAsia="等线" w:hAnsi="Book Antiqua" w:cs="宋体"/>
                <w:color w:val="202124"/>
                <w:lang w:eastAsia="zh-CN"/>
              </w:rPr>
              <w:t>No</w:t>
            </w:r>
          </w:p>
        </w:tc>
        <w:tc>
          <w:tcPr>
            <w:tcW w:w="741" w:type="pct"/>
            <w:tcBorders>
              <w:top w:val="nil"/>
              <w:left w:val="nil"/>
              <w:bottom w:val="nil"/>
              <w:right w:val="nil"/>
            </w:tcBorders>
            <w:shd w:val="clear" w:color="auto" w:fill="auto"/>
            <w:vAlign w:val="center"/>
            <w:hideMark/>
          </w:tcPr>
          <w:p w14:paraId="053624D5" w14:textId="77777777" w:rsidR="004614FF" w:rsidRPr="004614FF" w:rsidRDefault="004614FF" w:rsidP="004614FF">
            <w:pPr>
              <w:jc w:val="both"/>
              <w:rPr>
                <w:rFonts w:ascii="Book Antiqua" w:eastAsia="等线" w:hAnsi="Book Antiqua" w:cs="宋体"/>
                <w:color w:val="202124"/>
                <w:lang w:eastAsia="zh-CN"/>
              </w:rPr>
            </w:pPr>
            <w:r w:rsidRPr="004614FF">
              <w:rPr>
                <w:rFonts w:ascii="Book Antiqua" w:eastAsia="等线" w:hAnsi="Book Antiqua" w:cs="宋体"/>
                <w:color w:val="202124"/>
                <w:lang w:eastAsia="zh-CN"/>
              </w:rPr>
              <w:t>No</w:t>
            </w:r>
          </w:p>
        </w:tc>
        <w:tc>
          <w:tcPr>
            <w:tcW w:w="751" w:type="pct"/>
            <w:tcBorders>
              <w:top w:val="nil"/>
              <w:left w:val="nil"/>
              <w:bottom w:val="nil"/>
              <w:right w:val="nil"/>
            </w:tcBorders>
            <w:shd w:val="clear" w:color="auto" w:fill="auto"/>
            <w:vAlign w:val="center"/>
            <w:hideMark/>
          </w:tcPr>
          <w:p w14:paraId="092FB58E" w14:textId="77777777" w:rsidR="004614FF" w:rsidRPr="004614FF" w:rsidRDefault="004614FF" w:rsidP="004614FF">
            <w:pPr>
              <w:jc w:val="both"/>
              <w:rPr>
                <w:rFonts w:ascii="Book Antiqua" w:eastAsia="等线" w:hAnsi="Book Antiqua" w:cs="宋体"/>
                <w:color w:val="202124"/>
                <w:lang w:eastAsia="zh-CN"/>
              </w:rPr>
            </w:pPr>
            <w:r w:rsidRPr="004614FF">
              <w:rPr>
                <w:rFonts w:ascii="Book Antiqua" w:eastAsia="等线" w:hAnsi="Book Antiqua" w:cs="宋体"/>
                <w:color w:val="202124"/>
                <w:lang w:eastAsia="zh-CN"/>
              </w:rPr>
              <w:t>No</w:t>
            </w:r>
          </w:p>
        </w:tc>
        <w:tc>
          <w:tcPr>
            <w:tcW w:w="760" w:type="pct"/>
            <w:tcBorders>
              <w:top w:val="nil"/>
              <w:left w:val="nil"/>
              <w:bottom w:val="nil"/>
              <w:right w:val="nil"/>
            </w:tcBorders>
            <w:shd w:val="clear" w:color="auto" w:fill="auto"/>
            <w:vAlign w:val="center"/>
            <w:hideMark/>
          </w:tcPr>
          <w:p w14:paraId="0654C894" w14:textId="77777777" w:rsidR="004614FF" w:rsidRPr="004614FF" w:rsidRDefault="004614FF" w:rsidP="004614FF">
            <w:pPr>
              <w:jc w:val="both"/>
              <w:rPr>
                <w:rFonts w:ascii="Book Antiqua" w:eastAsia="等线" w:hAnsi="Book Antiqua" w:cs="宋体"/>
                <w:color w:val="202124"/>
                <w:lang w:eastAsia="zh-CN"/>
              </w:rPr>
            </w:pPr>
            <w:r w:rsidRPr="004614FF">
              <w:rPr>
                <w:rFonts w:ascii="Book Antiqua" w:eastAsia="等线" w:hAnsi="Book Antiqua" w:cs="宋体"/>
                <w:color w:val="202124"/>
                <w:lang w:eastAsia="zh-CN"/>
              </w:rPr>
              <w:t>No</w:t>
            </w:r>
          </w:p>
        </w:tc>
        <w:tc>
          <w:tcPr>
            <w:tcW w:w="732" w:type="pct"/>
            <w:tcBorders>
              <w:top w:val="nil"/>
              <w:left w:val="nil"/>
              <w:bottom w:val="nil"/>
              <w:right w:val="nil"/>
            </w:tcBorders>
            <w:shd w:val="clear" w:color="auto" w:fill="auto"/>
            <w:vAlign w:val="center"/>
            <w:hideMark/>
          </w:tcPr>
          <w:p w14:paraId="7D9F8DE2" w14:textId="77777777" w:rsidR="004614FF" w:rsidRPr="004614FF" w:rsidRDefault="004614FF" w:rsidP="004614FF">
            <w:pPr>
              <w:jc w:val="both"/>
              <w:rPr>
                <w:rFonts w:ascii="Book Antiqua" w:eastAsia="等线" w:hAnsi="Book Antiqua" w:cs="宋体"/>
                <w:color w:val="202124"/>
                <w:lang w:eastAsia="zh-CN"/>
              </w:rPr>
            </w:pPr>
            <w:r w:rsidRPr="004614FF">
              <w:rPr>
                <w:rFonts w:ascii="Book Antiqua" w:eastAsia="等线" w:hAnsi="Book Antiqua" w:cs="宋体"/>
                <w:color w:val="202124"/>
                <w:lang w:eastAsia="zh-CN"/>
              </w:rPr>
              <w:t>No</w:t>
            </w:r>
          </w:p>
        </w:tc>
      </w:tr>
      <w:tr w:rsidR="004614FF" w:rsidRPr="004614FF" w14:paraId="72A04EC9" w14:textId="77777777" w:rsidTr="004614FF">
        <w:trPr>
          <w:trHeight w:val="310"/>
        </w:trPr>
        <w:tc>
          <w:tcPr>
            <w:tcW w:w="1350" w:type="pct"/>
            <w:tcBorders>
              <w:top w:val="nil"/>
              <w:left w:val="nil"/>
              <w:bottom w:val="single" w:sz="4" w:space="0" w:color="auto"/>
              <w:right w:val="nil"/>
            </w:tcBorders>
            <w:shd w:val="clear" w:color="auto" w:fill="auto"/>
            <w:vAlign w:val="center"/>
            <w:hideMark/>
          </w:tcPr>
          <w:p w14:paraId="10B9B9C7" w14:textId="77777777" w:rsidR="004614FF" w:rsidRPr="004614FF" w:rsidRDefault="004614FF" w:rsidP="004614FF">
            <w:pPr>
              <w:jc w:val="both"/>
              <w:rPr>
                <w:rFonts w:ascii="Book Antiqua" w:eastAsia="等线" w:hAnsi="Book Antiqua" w:cs="宋体"/>
                <w:color w:val="000000"/>
                <w:lang w:eastAsia="zh-CN"/>
              </w:rPr>
            </w:pPr>
            <w:r w:rsidRPr="004614FF">
              <w:rPr>
                <w:rFonts w:ascii="Book Antiqua" w:eastAsia="等线" w:hAnsi="Book Antiqua" w:cs="宋体"/>
                <w:color w:val="000000"/>
                <w:lang w:eastAsia="zh-CN"/>
              </w:rPr>
              <w:t>C4BPA</w:t>
            </w:r>
          </w:p>
        </w:tc>
        <w:tc>
          <w:tcPr>
            <w:tcW w:w="665" w:type="pct"/>
            <w:tcBorders>
              <w:top w:val="nil"/>
              <w:left w:val="nil"/>
              <w:bottom w:val="single" w:sz="4" w:space="0" w:color="auto"/>
              <w:right w:val="nil"/>
            </w:tcBorders>
            <w:shd w:val="clear" w:color="auto" w:fill="auto"/>
            <w:vAlign w:val="center"/>
            <w:hideMark/>
          </w:tcPr>
          <w:p w14:paraId="4018C675" w14:textId="77777777" w:rsidR="004614FF" w:rsidRPr="004614FF" w:rsidRDefault="004614FF" w:rsidP="004614FF">
            <w:pPr>
              <w:jc w:val="both"/>
              <w:rPr>
                <w:rFonts w:ascii="Book Antiqua" w:eastAsia="等线" w:hAnsi="Book Antiqua" w:cs="宋体"/>
                <w:color w:val="202124"/>
                <w:lang w:eastAsia="zh-CN"/>
              </w:rPr>
            </w:pPr>
            <w:r w:rsidRPr="004614FF">
              <w:rPr>
                <w:rFonts w:ascii="Book Antiqua" w:eastAsia="等线" w:hAnsi="Book Antiqua" w:cs="宋体"/>
                <w:color w:val="202124"/>
                <w:lang w:eastAsia="zh-CN"/>
              </w:rPr>
              <w:t>No</w:t>
            </w:r>
          </w:p>
        </w:tc>
        <w:tc>
          <w:tcPr>
            <w:tcW w:w="741" w:type="pct"/>
            <w:tcBorders>
              <w:top w:val="nil"/>
              <w:left w:val="nil"/>
              <w:bottom w:val="single" w:sz="4" w:space="0" w:color="auto"/>
              <w:right w:val="nil"/>
            </w:tcBorders>
            <w:shd w:val="clear" w:color="auto" w:fill="auto"/>
            <w:vAlign w:val="center"/>
            <w:hideMark/>
          </w:tcPr>
          <w:p w14:paraId="11825511" w14:textId="77777777" w:rsidR="004614FF" w:rsidRPr="004614FF" w:rsidRDefault="004614FF" w:rsidP="004614FF">
            <w:pPr>
              <w:jc w:val="both"/>
              <w:rPr>
                <w:rFonts w:ascii="Book Antiqua" w:eastAsia="等线" w:hAnsi="Book Antiqua" w:cs="宋体"/>
                <w:color w:val="202124"/>
                <w:lang w:eastAsia="zh-CN"/>
              </w:rPr>
            </w:pPr>
            <w:r w:rsidRPr="004614FF">
              <w:rPr>
                <w:rFonts w:ascii="Book Antiqua" w:eastAsia="等线" w:hAnsi="Book Antiqua" w:cs="宋体"/>
                <w:color w:val="202124"/>
                <w:lang w:eastAsia="zh-CN"/>
              </w:rPr>
              <w:t>No</w:t>
            </w:r>
          </w:p>
        </w:tc>
        <w:tc>
          <w:tcPr>
            <w:tcW w:w="751" w:type="pct"/>
            <w:tcBorders>
              <w:top w:val="nil"/>
              <w:left w:val="nil"/>
              <w:bottom w:val="single" w:sz="4" w:space="0" w:color="auto"/>
              <w:right w:val="nil"/>
            </w:tcBorders>
            <w:shd w:val="clear" w:color="auto" w:fill="auto"/>
            <w:vAlign w:val="center"/>
            <w:hideMark/>
          </w:tcPr>
          <w:p w14:paraId="5006297E" w14:textId="77777777" w:rsidR="004614FF" w:rsidRPr="004614FF" w:rsidRDefault="004614FF" w:rsidP="004614FF">
            <w:pPr>
              <w:jc w:val="both"/>
              <w:rPr>
                <w:rFonts w:ascii="Book Antiqua" w:eastAsia="等线" w:hAnsi="Book Antiqua" w:cs="宋体"/>
                <w:color w:val="202124"/>
                <w:lang w:eastAsia="zh-CN"/>
              </w:rPr>
            </w:pPr>
            <w:r w:rsidRPr="004614FF">
              <w:rPr>
                <w:rFonts w:ascii="Book Antiqua" w:eastAsia="等线" w:hAnsi="Book Antiqua" w:cs="宋体"/>
                <w:color w:val="202124"/>
                <w:lang w:eastAsia="zh-CN"/>
              </w:rPr>
              <w:t>No</w:t>
            </w:r>
          </w:p>
        </w:tc>
        <w:tc>
          <w:tcPr>
            <w:tcW w:w="760" w:type="pct"/>
            <w:tcBorders>
              <w:top w:val="nil"/>
              <w:left w:val="nil"/>
              <w:bottom w:val="single" w:sz="4" w:space="0" w:color="auto"/>
              <w:right w:val="nil"/>
            </w:tcBorders>
            <w:shd w:val="clear" w:color="auto" w:fill="auto"/>
            <w:vAlign w:val="center"/>
            <w:hideMark/>
          </w:tcPr>
          <w:p w14:paraId="1772A915" w14:textId="77777777" w:rsidR="004614FF" w:rsidRPr="004614FF" w:rsidRDefault="004614FF" w:rsidP="004614FF">
            <w:pPr>
              <w:jc w:val="both"/>
              <w:rPr>
                <w:rFonts w:ascii="Book Antiqua" w:eastAsia="等线" w:hAnsi="Book Antiqua" w:cs="宋体"/>
                <w:color w:val="202124"/>
                <w:lang w:eastAsia="zh-CN"/>
              </w:rPr>
            </w:pPr>
            <w:r w:rsidRPr="004614FF">
              <w:rPr>
                <w:rFonts w:ascii="Book Antiqua" w:eastAsia="等线" w:hAnsi="Book Antiqua" w:cs="宋体"/>
                <w:color w:val="202124"/>
                <w:lang w:eastAsia="zh-CN"/>
              </w:rPr>
              <w:t>No</w:t>
            </w:r>
          </w:p>
        </w:tc>
        <w:tc>
          <w:tcPr>
            <w:tcW w:w="732" w:type="pct"/>
            <w:tcBorders>
              <w:top w:val="nil"/>
              <w:left w:val="nil"/>
              <w:bottom w:val="single" w:sz="4" w:space="0" w:color="auto"/>
              <w:right w:val="nil"/>
            </w:tcBorders>
            <w:shd w:val="clear" w:color="auto" w:fill="auto"/>
            <w:vAlign w:val="center"/>
            <w:hideMark/>
          </w:tcPr>
          <w:p w14:paraId="24CD4A18" w14:textId="77777777" w:rsidR="004614FF" w:rsidRPr="004614FF" w:rsidRDefault="004614FF" w:rsidP="004614FF">
            <w:pPr>
              <w:jc w:val="both"/>
              <w:rPr>
                <w:rFonts w:ascii="Book Antiqua" w:eastAsia="等线" w:hAnsi="Book Antiqua" w:cs="宋体"/>
                <w:color w:val="202124"/>
                <w:lang w:eastAsia="zh-CN"/>
              </w:rPr>
            </w:pPr>
            <w:r w:rsidRPr="004614FF">
              <w:rPr>
                <w:rFonts w:ascii="Book Antiqua" w:eastAsia="等线" w:hAnsi="Book Antiqua" w:cs="宋体"/>
                <w:color w:val="202124"/>
                <w:lang w:eastAsia="zh-CN"/>
              </w:rPr>
              <w:t>No</w:t>
            </w:r>
          </w:p>
        </w:tc>
      </w:tr>
    </w:tbl>
    <w:p w14:paraId="289D4E75" w14:textId="4A883A24" w:rsidR="00A503D8" w:rsidRDefault="00A503D8">
      <w:pPr>
        <w:spacing w:line="360" w:lineRule="auto"/>
        <w:jc w:val="both"/>
        <w:rPr>
          <w:rFonts w:ascii="Book Antiqua" w:eastAsia="Book Antiqua" w:hAnsi="Book Antiqua" w:cs="Book Antiqua"/>
          <w:b/>
          <w:bCs/>
          <w:color w:val="000000"/>
        </w:rPr>
      </w:pPr>
    </w:p>
    <w:p w14:paraId="018324E1" w14:textId="01DD4505" w:rsidR="00A503D8" w:rsidRDefault="00000000">
      <w:pPr>
        <w:spacing w:line="360" w:lineRule="auto"/>
        <w:jc w:val="both"/>
        <w:rPr>
          <w:rFonts w:ascii="Book Antiqua" w:hAnsi="Book Antiqua"/>
        </w:rPr>
      </w:pPr>
      <w:r>
        <w:rPr>
          <w:rFonts w:ascii="Book Antiqua" w:hAnsi="Book Antiqua"/>
        </w:rPr>
        <w:t xml:space="preserve">AIP: </w:t>
      </w:r>
      <w:r>
        <w:rPr>
          <w:rFonts w:ascii="Book Antiqua" w:eastAsia="Book Antiqua" w:hAnsi="Book Antiqua" w:cs="Book Antiqua"/>
          <w:color w:val="000000"/>
        </w:rPr>
        <w:t>Autoimmune pancreatitis</w:t>
      </w:r>
      <w:r>
        <w:rPr>
          <w:rFonts w:ascii="Book Antiqua" w:hAnsi="Book Antiqua"/>
        </w:rPr>
        <w:t xml:space="preserve">; CP: </w:t>
      </w:r>
      <w:r>
        <w:rPr>
          <w:rFonts w:ascii="Book Antiqua" w:eastAsia="Book Antiqua" w:hAnsi="Book Antiqua" w:cs="Book Antiqua"/>
          <w:color w:val="000000"/>
        </w:rPr>
        <w:t>Chronic pancreatitis</w:t>
      </w:r>
      <w:r>
        <w:rPr>
          <w:rFonts w:ascii="Book Antiqua" w:hAnsi="Book Antiqua"/>
        </w:rPr>
        <w:t xml:space="preserve">; IPMN: </w:t>
      </w:r>
      <w:r>
        <w:rPr>
          <w:rFonts w:ascii="Book Antiqua" w:eastAsia="Book Antiqua" w:hAnsi="Book Antiqua" w:cs="Book Antiqua"/>
          <w:color w:val="000000"/>
        </w:rPr>
        <w:t>Intrapapillary mucinous neoplasia</w:t>
      </w:r>
      <w:r>
        <w:rPr>
          <w:rFonts w:ascii="Book Antiqua" w:hAnsi="Book Antiqua"/>
        </w:rPr>
        <w:t xml:space="preserve">; MCN: </w:t>
      </w:r>
      <w:r>
        <w:rPr>
          <w:rFonts w:ascii="Book Antiqua" w:eastAsia="Book Antiqua" w:hAnsi="Book Antiqua" w:cs="Book Antiqua"/>
          <w:color w:val="000000"/>
        </w:rPr>
        <w:t>Mucinous cystic neoplasm</w:t>
      </w:r>
      <w:r>
        <w:rPr>
          <w:rFonts w:ascii="Book Antiqua" w:hAnsi="Book Antiqua"/>
        </w:rPr>
        <w:t xml:space="preserve">; PanCa: </w:t>
      </w:r>
      <w:r>
        <w:rPr>
          <w:rFonts w:ascii="Book Antiqua" w:eastAsia="Book Antiqua" w:hAnsi="Book Antiqua" w:cs="Book Antiqua"/>
          <w:color w:val="000000"/>
        </w:rPr>
        <w:t>Pancreatic cancer</w:t>
      </w:r>
      <w:r>
        <w:rPr>
          <w:rFonts w:ascii="Book Antiqua" w:hAnsi="Book Antiqua"/>
        </w:rPr>
        <w:t xml:space="preserve">; PanIN: </w:t>
      </w:r>
      <w:r>
        <w:rPr>
          <w:rFonts w:ascii="Book Antiqua" w:eastAsia="Book Antiqua" w:hAnsi="Book Antiqua" w:cs="Book Antiqua"/>
          <w:color w:val="000000"/>
        </w:rPr>
        <w:t>Pancreatic intraepithelial neoplasia</w:t>
      </w:r>
      <w:r>
        <w:rPr>
          <w:rFonts w:ascii="Book Antiqua" w:hAnsi="Book Antiqua"/>
        </w:rPr>
        <w:t>.</w:t>
      </w:r>
    </w:p>
    <w:p w14:paraId="1138E9C5" w14:textId="1EFD336A" w:rsidR="00AA31B1" w:rsidRDefault="00AA31B1">
      <w:pPr>
        <w:spacing w:line="360" w:lineRule="auto"/>
        <w:jc w:val="both"/>
        <w:rPr>
          <w:rFonts w:ascii="Book Antiqua" w:hAnsi="Book Antiqua"/>
        </w:rPr>
      </w:pPr>
    </w:p>
    <w:p w14:paraId="72AA31E3" w14:textId="77777777" w:rsidR="00AA31B1" w:rsidRDefault="00AA31B1">
      <w:pPr>
        <w:rPr>
          <w:rFonts w:ascii="Book Antiqua" w:hAnsi="Book Antiqua"/>
        </w:rPr>
      </w:pPr>
      <w:r>
        <w:rPr>
          <w:rFonts w:ascii="Book Antiqua" w:hAnsi="Book Antiqua"/>
        </w:rPr>
        <w:br w:type="page"/>
      </w:r>
    </w:p>
    <w:p w14:paraId="0648BD24" w14:textId="77777777" w:rsidR="00AA31B1" w:rsidRDefault="00AA31B1" w:rsidP="00AA31B1">
      <w:pPr>
        <w:snapToGrid w:val="0"/>
        <w:ind w:leftChars="100" w:left="240"/>
        <w:jc w:val="center"/>
        <w:rPr>
          <w:rFonts w:ascii="Book Antiqua" w:hAnsi="Book Antiqua"/>
        </w:rPr>
      </w:pPr>
    </w:p>
    <w:p w14:paraId="2F8CC24E" w14:textId="77777777" w:rsidR="00AA31B1" w:rsidRDefault="00AA31B1" w:rsidP="00AA31B1">
      <w:pPr>
        <w:snapToGrid w:val="0"/>
        <w:ind w:leftChars="100" w:left="240"/>
        <w:jc w:val="center"/>
        <w:rPr>
          <w:rFonts w:ascii="Book Antiqua" w:hAnsi="Book Antiqua"/>
        </w:rPr>
      </w:pPr>
    </w:p>
    <w:p w14:paraId="4606F4F7" w14:textId="77777777" w:rsidR="00AA31B1" w:rsidRDefault="00AA31B1" w:rsidP="00AA31B1">
      <w:pPr>
        <w:snapToGrid w:val="0"/>
        <w:ind w:leftChars="100" w:left="240"/>
        <w:jc w:val="center"/>
        <w:rPr>
          <w:rFonts w:ascii="Book Antiqua" w:hAnsi="Book Antiqua"/>
        </w:rPr>
      </w:pPr>
    </w:p>
    <w:p w14:paraId="13F07E47" w14:textId="77777777" w:rsidR="00AA31B1" w:rsidRDefault="00AA31B1" w:rsidP="00AA31B1">
      <w:pPr>
        <w:snapToGrid w:val="0"/>
        <w:ind w:leftChars="100" w:left="240"/>
        <w:jc w:val="center"/>
        <w:rPr>
          <w:rFonts w:ascii="Book Antiqua" w:hAnsi="Book Antiqua"/>
        </w:rPr>
      </w:pPr>
    </w:p>
    <w:p w14:paraId="0C291568" w14:textId="77777777" w:rsidR="00AA31B1" w:rsidRDefault="00AA31B1" w:rsidP="00AA31B1">
      <w:pPr>
        <w:snapToGrid w:val="0"/>
        <w:ind w:leftChars="100" w:left="240"/>
        <w:jc w:val="center"/>
        <w:rPr>
          <w:rFonts w:ascii="Book Antiqua" w:hAnsi="Book Antiqua"/>
        </w:rPr>
      </w:pPr>
      <w:r>
        <w:rPr>
          <w:rFonts w:ascii="Book Antiqua" w:hAnsi="Book Antiqua"/>
          <w:noProof/>
        </w:rPr>
        <w:drawing>
          <wp:inline distT="0" distB="0" distL="0" distR="0" wp14:anchorId="1CD75DD6" wp14:editId="0D37A8E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F26DF52" w14:textId="77777777" w:rsidR="00AA31B1" w:rsidRDefault="00AA31B1" w:rsidP="00AA31B1">
      <w:pPr>
        <w:snapToGrid w:val="0"/>
        <w:ind w:leftChars="100" w:left="240"/>
        <w:jc w:val="center"/>
        <w:rPr>
          <w:rFonts w:ascii="Book Antiqua" w:hAnsi="Book Antiqua"/>
        </w:rPr>
      </w:pPr>
    </w:p>
    <w:p w14:paraId="31520A88" w14:textId="77777777" w:rsidR="00AA31B1" w:rsidRDefault="00AA31B1" w:rsidP="00AA31B1">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336AD0A9" w14:textId="77777777" w:rsidR="00AA31B1" w:rsidRDefault="00AA31B1" w:rsidP="00AA31B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3D3A14A" w14:textId="77777777" w:rsidR="00AA31B1" w:rsidRDefault="00AA31B1" w:rsidP="00AA31B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8DF48B6" w14:textId="77777777" w:rsidR="00AA31B1" w:rsidRDefault="00AA31B1" w:rsidP="00AA31B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8F523C3" w14:textId="77777777" w:rsidR="00AA31B1" w:rsidRDefault="00AA31B1" w:rsidP="00AA31B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F69F223" w14:textId="77777777" w:rsidR="00AA31B1" w:rsidRDefault="00AA31B1" w:rsidP="00AA31B1">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4E7B241F" w14:textId="77777777" w:rsidR="00AA31B1" w:rsidRDefault="00AA31B1" w:rsidP="00AA31B1">
      <w:pPr>
        <w:snapToGrid w:val="0"/>
        <w:ind w:leftChars="100" w:left="240"/>
        <w:jc w:val="center"/>
        <w:rPr>
          <w:rFonts w:ascii="Book Antiqua" w:hAnsi="Book Antiqua"/>
        </w:rPr>
      </w:pPr>
    </w:p>
    <w:p w14:paraId="65259965" w14:textId="77777777" w:rsidR="00AA31B1" w:rsidRDefault="00AA31B1" w:rsidP="00AA31B1">
      <w:pPr>
        <w:snapToGrid w:val="0"/>
        <w:ind w:leftChars="100" w:left="240"/>
        <w:jc w:val="center"/>
        <w:rPr>
          <w:rFonts w:ascii="Book Antiqua" w:hAnsi="Book Antiqua"/>
        </w:rPr>
      </w:pPr>
    </w:p>
    <w:p w14:paraId="6E7A9340" w14:textId="77777777" w:rsidR="00AA31B1" w:rsidRDefault="00AA31B1" w:rsidP="00AA31B1">
      <w:pPr>
        <w:snapToGrid w:val="0"/>
        <w:ind w:leftChars="100" w:left="240"/>
        <w:jc w:val="center"/>
        <w:rPr>
          <w:rFonts w:ascii="Book Antiqua" w:hAnsi="Book Antiqua"/>
        </w:rPr>
      </w:pPr>
    </w:p>
    <w:p w14:paraId="6F6FFD1A" w14:textId="77777777" w:rsidR="00AA31B1" w:rsidRDefault="00AA31B1" w:rsidP="00AA31B1">
      <w:pPr>
        <w:snapToGrid w:val="0"/>
        <w:ind w:leftChars="100" w:left="240"/>
        <w:jc w:val="center"/>
        <w:rPr>
          <w:rFonts w:ascii="Book Antiqua" w:hAnsi="Book Antiqua"/>
        </w:rPr>
      </w:pPr>
      <w:r>
        <w:rPr>
          <w:rFonts w:ascii="Book Antiqua" w:hAnsi="Book Antiqua"/>
          <w:noProof/>
        </w:rPr>
        <w:drawing>
          <wp:inline distT="0" distB="0" distL="0" distR="0" wp14:anchorId="2B571DFA" wp14:editId="4825CFE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64DBC37" w14:textId="77777777" w:rsidR="00AA31B1" w:rsidRDefault="00AA31B1" w:rsidP="00AA31B1">
      <w:pPr>
        <w:snapToGrid w:val="0"/>
        <w:ind w:leftChars="100" w:left="240"/>
        <w:jc w:val="center"/>
        <w:rPr>
          <w:rFonts w:ascii="Book Antiqua" w:hAnsi="Book Antiqua"/>
        </w:rPr>
      </w:pPr>
    </w:p>
    <w:p w14:paraId="5F3A67DD" w14:textId="77777777" w:rsidR="00AA31B1" w:rsidRDefault="00AA31B1" w:rsidP="00AA31B1">
      <w:pPr>
        <w:snapToGrid w:val="0"/>
        <w:ind w:leftChars="100" w:left="240"/>
        <w:jc w:val="center"/>
        <w:rPr>
          <w:rFonts w:ascii="Book Antiqua" w:hAnsi="Book Antiqua"/>
        </w:rPr>
      </w:pPr>
    </w:p>
    <w:p w14:paraId="5EAF79FA" w14:textId="77777777" w:rsidR="00AA31B1" w:rsidRDefault="00AA31B1" w:rsidP="00AA31B1">
      <w:pPr>
        <w:snapToGrid w:val="0"/>
        <w:ind w:leftChars="100" w:left="240"/>
        <w:jc w:val="center"/>
        <w:rPr>
          <w:rFonts w:ascii="Book Antiqua" w:hAnsi="Book Antiqua"/>
        </w:rPr>
      </w:pPr>
    </w:p>
    <w:p w14:paraId="0CE74CDB" w14:textId="77777777" w:rsidR="00AA31B1" w:rsidRDefault="00AA31B1" w:rsidP="00AA31B1">
      <w:pPr>
        <w:snapToGrid w:val="0"/>
        <w:ind w:leftChars="100" w:left="240"/>
        <w:jc w:val="center"/>
        <w:rPr>
          <w:rFonts w:ascii="Book Antiqua" w:hAnsi="Book Antiqua"/>
        </w:rPr>
      </w:pPr>
    </w:p>
    <w:p w14:paraId="207C29A7" w14:textId="77777777" w:rsidR="00AA31B1" w:rsidRDefault="00AA31B1" w:rsidP="00AA31B1">
      <w:pPr>
        <w:snapToGrid w:val="0"/>
        <w:ind w:leftChars="100" w:left="240"/>
        <w:jc w:val="center"/>
        <w:rPr>
          <w:rFonts w:ascii="Book Antiqua" w:hAnsi="Book Antiqua"/>
        </w:rPr>
      </w:pPr>
    </w:p>
    <w:p w14:paraId="5656B911" w14:textId="77777777" w:rsidR="00AA31B1" w:rsidRDefault="00AA31B1" w:rsidP="00AA31B1">
      <w:pPr>
        <w:snapToGrid w:val="0"/>
        <w:ind w:leftChars="100" w:left="240"/>
        <w:jc w:val="center"/>
        <w:rPr>
          <w:rFonts w:ascii="Book Antiqua" w:hAnsi="Book Antiqua"/>
        </w:rPr>
      </w:pPr>
    </w:p>
    <w:p w14:paraId="5806B35E" w14:textId="77777777" w:rsidR="00AA31B1" w:rsidRDefault="00AA31B1" w:rsidP="00AA31B1">
      <w:pPr>
        <w:snapToGrid w:val="0"/>
        <w:ind w:leftChars="100" w:left="240"/>
        <w:jc w:val="center"/>
        <w:rPr>
          <w:rFonts w:ascii="Book Antiqua" w:hAnsi="Book Antiqua"/>
        </w:rPr>
      </w:pPr>
    </w:p>
    <w:p w14:paraId="141BF019" w14:textId="77777777" w:rsidR="00AA31B1" w:rsidRDefault="00AA31B1" w:rsidP="00AA31B1">
      <w:pPr>
        <w:snapToGrid w:val="0"/>
        <w:ind w:leftChars="100" w:left="240"/>
        <w:jc w:val="center"/>
        <w:rPr>
          <w:rFonts w:ascii="Book Antiqua" w:hAnsi="Book Antiqua"/>
        </w:rPr>
      </w:pPr>
    </w:p>
    <w:p w14:paraId="0ED6A57C" w14:textId="77777777" w:rsidR="00AA31B1" w:rsidRDefault="00AA31B1" w:rsidP="00AA31B1">
      <w:pPr>
        <w:snapToGrid w:val="0"/>
        <w:ind w:leftChars="100" w:left="240"/>
        <w:jc w:val="center"/>
        <w:rPr>
          <w:rFonts w:ascii="Book Antiqua" w:hAnsi="Book Antiqua"/>
        </w:rPr>
      </w:pPr>
    </w:p>
    <w:p w14:paraId="5B973493" w14:textId="77777777" w:rsidR="00AA31B1" w:rsidRDefault="00AA31B1" w:rsidP="00AA31B1">
      <w:pPr>
        <w:snapToGrid w:val="0"/>
        <w:ind w:leftChars="100" w:left="240"/>
        <w:jc w:val="right"/>
        <w:rPr>
          <w:rFonts w:ascii="Book Antiqua" w:hAnsi="Book Antiqua"/>
          <w:color w:val="000000" w:themeColor="text1"/>
        </w:rPr>
      </w:pPr>
    </w:p>
    <w:p w14:paraId="52C8E3E3" w14:textId="77777777" w:rsidR="00AA31B1" w:rsidRDefault="00AA31B1" w:rsidP="00AA31B1">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p w14:paraId="7FDB584C" w14:textId="77777777" w:rsidR="00AA31B1" w:rsidRDefault="00AA31B1" w:rsidP="00AA31B1">
      <w:pPr>
        <w:rPr>
          <w:rFonts w:ascii="Book Antiqua" w:hAnsi="Book Antiqua" w:cs="Book Antiqua"/>
          <w:b/>
          <w:bCs/>
          <w:color w:val="000000"/>
        </w:rPr>
      </w:pPr>
    </w:p>
    <w:p w14:paraId="1D3BECEE" w14:textId="77777777" w:rsidR="00AA31B1" w:rsidRDefault="00AA31B1">
      <w:pPr>
        <w:spacing w:line="360" w:lineRule="auto"/>
        <w:jc w:val="both"/>
        <w:rPr>
          <w:rFonts w:ascii="Book Antiqua" w:hAnsi="Book Antiqua"/>
        </w:rPr>
      </w:pPr>
    </w:p>
    <w:sectPr w:rsidR="00AA31B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B89E4" w14:textId="77777777" w:rsidR="006A13F8" w:rsidRDefault="006A13F8">
      <w:r>
        <w:separator/>
      </w:r>
    </w:p>
  </w:endnote>
  <w:endnote w:type="continuationSeparator" w:id="0">
    <w:p w14:paraId="1F311253" w14:textId="77777777" w:rsidR="006A13F8" w:rsidRDefault="006A1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0413905"/>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14:paraId="048FA7D0" w14:textId="77777777" w:rsidR="00A503D8" w:rsidRDefault="00000000">
            <w:pPr>
              <w:pStyle w:val="a8"/>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w:instrText>
            </w:r>
            <w:r>
              <w:rPr>
                <w:rFonts w:ascii="Book Antiqua" w:hAnsi="Book Antiqua"/>
                <w:sz w:val="24"/>
                <w:szCs w:val="24"/>
              </w:rPr>
              <w:fldChar w:fldCharType="separate"/>
            </w:r>
            <w:r>
              <w:rPr>
                <w:rFonts w:ascii="Book Antiqua" w:hAnsi="Book Antiqua"/>
                <w:sz w:val="24"/>
                <w:szCs w:val="24"/>
              </w:rPr>
              <w:t>2</w:t>
            </w:r>
            <w:r>
              <w:rPr>
                <w:rFonts w:ascii="Book Antiqua" w:hAnsi="Book Antiqua"/>
                <w:sz w:val="24"/>
                <w:szCs w:val="24"/>
              </w:rPr>
              <w:fldChar w:fldCharType="end"/>
            </w:r>
            <w:r>
              <w:rPr>
                <w:rFonts w:ascii="Book Antiqua" w:hAnsi="Book Antiqua"/>
                <w:sz w:val="24"/>
                <w:szCs w:val="24"/>
              </w:rPr>
              <w:t xml:space="preserve"> / </w:t>
            </w:r>
            <w:r>
              <w:rPr>
                <w:rFonts w:ascii="Book Antiqua" w:hAnsi="Book Antiqua"/>
                <w:sz w:val="24"/>
                <w:szCs w:val="24"/>
              </w:rPr>
              <w:fldChar w:fldCharType="begin"/>
            </w:r>
            <w:r>
              <w:rPr>
                <w:rFonts w:ascii="Book Antiqua" w:hAnsi="Book Antiqua"/>
                <w:sz w:val="24"/>
                <w:szCs w:val="24"/>
              </w:rPr>
              <w:instrText xml:space="preserve"> NUMPAGES  </w:instrText>
            </w:r>
            <w:r>
              <w:rPr>
                <w:rFonts w:ascii="Book Antiqua" w:hAnsi="Book Antiqua"/>
                <w:sz w:val="24"/>
                <w:szCs w:val="24"/>
              </w:rPr>
              <w:fldChar w:fldCharType="separate"/>
            </w:r>
            <w:r>
              <w:rPr>
                <w:rFonts w:ascii="Book Antiqua" w:hAnsi="Book Antiqua"/>
                <w:sz w:val="24"/>
                <w:szCs w:val="24"/>
              </w:rPr>
              <w:t>2</w:t>
            </w:r>
            <w:r>
              <w:rPr>
                <w:rFonts w:ascii="Book Antiqua" w:hAnsi="Book Antiqua"/>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8CE79" w14:textId="77777777" w:rsidR="006A13F8" w:rsidRDefault="006A13F8">
      <w:r>
        <w:separator/>
      </w:r>
    </w:p>
  </w:footnote>
  <w:footnote w:type="continuationSeparator" w:id="0">
    <w:p w14:paraId="5795C1B9" w14:textId="77777777" w:rsidR="006A13F8" w:rsidRDefault="006A13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1C3C"/>
    <w:rsid w:val="00003866"/>
    <w:rsid w:val="00142649"/>
    <w:rsid w:val="00167A00"/>
    <w:rsid w:val="0019391C"/>
    <w:rsid w:val="00204A5A"/>
    <w:rsid w:val="002439DD"/>
    <w:rsid w:val="0029214F"/>
    <w:rsid w:val="002A39AF"/>
    <w:rsid w:val="003064A2"/>
    <w:rsid w:val="003B4983"/>
    <w:rsid w:val="003D1171"/>
    <w:rsid w:val="00404C62"/>
    <w:rsid w:val="00421D35"/>
    <w:rsid w:val="00436863"/>
    <w:rsid w:val="004614FF"/>
    <w:rsid w:val="00470478"/>
    <w:rsid w:val="004851CD"/>
    <w:rsid w:val="004C4B15"/>
    <w:rsid w:val="004D4DAF"/>
    <w:rsid w:val="00505A96"/>
    <w:rsid w:val="005070D6"/>
    <w:rsid w:val="00512C0A"/>
    <w:rsid w:val="00521562"/>
    <w:rsid w:val="0053743E"/>
    <w:rsid w:val="005571C4"/>
    <w:rsid w:val="0057133E"/>
    <w:rsid w:val="005C4443"/>
    <w:rsid w:val="005D5004"/>
    <w:rsid w:val="00624452"/>
    <w:rsid w:val="006244D4"/>
    <w:rsid w:val="00630417"/>
    <w:rsid w:val="0063431D"/>
    <w:rsid w:val="00651636"/>
    <w:rsid w:val="006A13F8"/>
    <w:rsid w:val="006C7632"/>
    <w:rsid w:val="006D2D63"/>
    <w:rsid w:val="0075350B"/>
    <w:rsid w:val="007E1C60"/>
    <w:rsid w:val="00816D18"/>
    <w:rsid w:val="0082542D"/>
    <w:rsid w:val="00854EDF"/>
    <w:rsid w:val="00857335"/>
    <w:rsid w:val="00883D62"/>
    <w:rsid w:val="00894090"/>
    <w:rsid w:val="008943C2"/>
    <w:rsid w:val="008B7918"/>
    <w:rsid w:val="008C7E99"/>
    <w:rsid w:val="0094017F"/>
    <w:rsid w:val="00942BBB"/>
    <w:rsid w:val="00990FF4"/>
    <w:rsid w:val="009A05F0"/>
    <w:rsid w:val="00A25947"/>
    <w:rsid w:val="00A422B0"/>
    <w:rsid w:val="00A503D8"/>
    <w:rsid w:val="00A64A6D"/>
    <w:rsid w:val="00A64F63"/>
    <w:rsid w:val="00A77B3E"/>
    <w:rsid w:val="00AA31B1"/>
    <w:rsid w:val="00B233B7"/>
    <w:rsid w:val="00B267F5"/>
    <w:rsid w:val="00B47EF9"/>
    <w:rsid w:val="00B53BE1"/>
    <w:rsid w:val="00B566C3"/>
    <w:rsid w:val="00C25153"/>
    <w:rsid w:val="00C30E7F"/>
    <w:rsid w:val="00CA2A55"/>
    <w:rsid w:val="00DC5079"/>
    <w:rsid w:val="00E13B98"/>
    <w:rsid w:val="00E366E7"/>
    <w:rsid w:val="00E61747"/>
    <w:rsid w:val="00E7689B"/>
    <w:rsid w:val="00EE2179"/>
    <w:rsid w:val="00F02AC9"/>
    <w:rsid w:val="00F04B6D"/>
    <w:rsid w:val="00F22C73"/>
    <w:rsid w:val="00F37BD4"/>
    <w:rsid w:val="00F44C7C"/>
    <w:rsid w:val="00F4759E"/>
    <w:rsid w:val="00F87B2D"/>
    <w:rsid w:val="00F93135"/>
    <w:rsid w:val="00FC58D6"/>
    <w:rsid w:val="00FE7B27"/>
    <w:rsid w:val="00FF3A3E"/>
    <w:rsid w:val="00FF56F8"/>
    <w:rsid w:val="013E2422"/>
    <w:rsid w:val="30F6512D"/>
    <w:rsid w:val="357C5E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4A588A"/>
  <w15:docId w15:val="{57116952-E1F4-6D42-821D-1A277AD7C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Pr>
      <w:sz w:val="16"/>
      <w:szCs w:val="16"/>
    </w:rPr>
  </w:style>
  <w:style w:type="paragraph" w:styleId="a4">
    <w:name w:val="annotation text"/>
    <w:basedOn w:val="a"/>
    <w:link w:val="a5"/>
    <w:unhideWhenUsed/>
    <w:rPr>
      <w:sz w:val="20"/>
      <w:szCs w:val="20"/>
    </w:rPr>
  </w:style>
  <w:style w:type="paragraph" w:styleId="a6">
    <w:name w:val="annotation subject"/>
    <w:basedOn w:val="a4"/>
    <w:next w:val="a4"/>
    <w:link w:val="a7"/>
    <w:semiHidden/>
    <w:unhideWhenUsed/>
    <w:rPr>
      <w:b/>
      <w:bCs/>
    </w:rPr>
  </w:style>
  <w:style w:type="paragraph" w:styleId="a8">
    <w:name w:val="footer"/>
    <w:basedOn w:val="a"/>
    <w:link w:val="a9"/>
    <w:uiPriority w:val="99"/>
    <w:unhideWhenUsed/>
    <w:pPr>
      <w:tabs>
        <w:tab w:val="center" w:pos="4153"/>
        <w:tab w:val="right" w:pos="8306"/>
      </w:tabs>
      <w:snapToGrid w:val="0"/>
    </w:pPr>
    <w:rPr>
      <w:sz w:val="18"/>
      <w:szCs w:val="18"/>
    </w:rPr>
  </w:style>
  <w:style w:type="paragraph" w:styleId="aa">
    <w:name w:val="header"/>
    <w:basedOn w:val="a"/>
    <w:link w:val="ab"/>
    <w:unhideWhenUsed/>
    <w:pPr>
      <w:pBdr>
        <w:bottom w:val="single" w:sz="6" w:space="1" w:color="auto"/>
      </w:pBdr>
      <w:tabs>
        <w:tab w:val="center" w:pos="4153"/>
        <w:tab w:val="right" w:pos="8306"/>
      </w:tabs>
      <w:snapToGrid w:val="0"/>
      <w:jc w:val="center"/>
    </w:pPr>
    <w:rPr>
      <w:sz w:val="18"/>
      <w:szCs w:val="18"/>
    </w:rPr>
  </w:style>
  <w:style w:type="paragraph" w:styleId="ac">
    <w:name w:val="Normal (Web)"/>
    <w:basedOn w:val="a"/>
    <w:uiPriority w:val="99"/>
    <w:semiHidden/>
    <w:unhideWhenUsed/>
    <w:pPr>
      <w:spacing w:before="100" w:beforeAutospacing="1" w:after="100" w:afterAutospacing="1"/>
    </w:pPr>
    <w:rPr>
      <w:rFonts w:ascii="宋体" w:eastAsia="宋体" w:hAnsi="宋体" w:cs="宋体"/>
      <w:lang w:eastAsia="zh-CN"/>
    </w:rPr>
  </w:style>
  <w:style w:type="character" w:customStyle="1" w:styleId="apple-converted-space">
    <w:name w:val="apple-converted-space"/>
    <w:basedOn w:val="a0"/>
    <w:qFormat/>
  </w:style>
  <w:style w:type="character" w:customStyle="1" w:styleId="ab">
    <w:name w:val="页眉 字符"/>
    <w:basedOn w:val="a0"/>
    <w:link w:val="aa"/>
    <w:rPr>
      <w:sz w:val="18"/>
      <w:szCs w:val="18"/>
    </w:rPr>
  </w:style>
  <w:style w:type="character" w:customStyle="1" w:styleId="a9">
    <w:name w:val="页脚 字符"/>
    <w:basedOn w:val="a0"/>
    <w:link w:val="a8"/>
    <w:uiPriority w:val="99"/>
    <w:rPr>
      <w:sz w:val="18"/>
      <w:szCs w:val="18"/>
    </w:rPr>
  </w:style>
  <w:style w:type="paragraph" w:customStyle="1" w:styleId="Revision1">
    <w:name w:val="Revision1"/>
    <w:hidden/>
    <w:uiPriority w:val="99"/>
    <w:semiHidden/>
    <w:rPr>
      <w:sz w:val="24"/>
      <w:szCs w:val="24"/>
    </w:rPr>
  </w:style>
  <w:style w:type="character" w:customStyle="1" w:styleId="a5">
    <w:name w:val="批注文字 字符"/>
    <w:basedOn w:val="a0"/>
    <w:link w:val="a4"/>
    <w:rPr>
      <w:lang w:val="en-US" w:eastAsia="en-US"/>
    </w:rPr>
  </w:style>
  <w:style w:type="character" w:customStyle="1" w:styleId="a7">
    <w:name w:val="批注主题 字符"/>
    <w:basedOn w:val="a5"/>
    <w:link w:val="a6"/>
    <w:semiHidden/>
    <w:rPr>
      <w:b/>
      <w:bCs/>
      <w:lang w:val="en-US" w:eastAsia="en-US"/>
    </w:rPr>
  </w:style>
  <w:style w:type="paragraph" w:styleId="ad">
    <w:name w:val="Revision"/>
    <w:hidden/>
    <w:uiPriority w:val="99"/>
    <w:semiHidden/>
    <w:rsid w:val="002A39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412419">
      <w:bodyDiv w:val="1"/>
      <w:marLeft w:val="0"/>
      <w:marRight w:val="0"/>
      <w:marTop w:val="0"/>
      <w:marBottom w:val="0"/>
      <w:divBdr>
        <w:top w:val="none" w:sz="0" w:space="0" w:color="auto"/>
        <w:left w:val="none" w:sz="0" w:space="0" w:color="auto"/>
        <w:bottom w:val="none" w:sz="0" w:space="0" w:color="auto"/>
        <w:right w:val="none" w:sz="0" w:space="0" w:color="auto"/>
      </w:divBdr>
    </w:div>
    <w:div w:id="19405214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50</Pages>
  <Words>13936</Words>
  <Characters>79436</Characters>
  <Application>Microsoft Office Word</Application>
  <DocSecurity>0</DocSecurity>
  <Lines>661</Lines>
  <Paragraphs>186</Paragraphs>
  <ScaleCrop>false</ScaleCrop>
  <Company/>
  <LinksUpToDate>false</LinksUpToDate>
  <CharactersWithSpaces>93186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snila</dc:creator>
  <cp:lastModifiedBy>蔡 一瑄</cp:lastModifiedBy>
  <cp:revision>8</cp:revision>
  <dcterms:created xsi:type="dcterms:W3CDTF">2023-03-24T21:05:00Z</dcterms:created>
  <dcterms:modified xsi:type="dcterms:W3CDTF">2023-04-14T06:16:00Z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1033-11.2.0.11513</vt:lpwstr>
  </property>
  <property fmtid="{D5CDD505-2E9C-101B-9397-08002B2CF9AE}" pid="3" name="ICV">
    <vt:lpwstr>4B19FB4F154543A2B9C6A6FC0DC4B291</vt:lpwstr>
  </property>
  <property fmtid="{D5CDD505-2E9C-101B-9397-08002B2CF9AE}" pid="4" name="GrammarlyDocumentId">
    <vt:lpwstr>4f0529c6bf8c55b8f3291a8508d341cf2cfc232a75b614e456bcc0bf1c02b103</vt:lpwstr>
  </property>
</Properties>
</file>