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DB77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3456597"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82246</w:t>
      </w:r>
    </w:p>
    <w:p w14:paraId="4857459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716B0AA" w14:textId="77777777" w:rsidR="009C5EF3" w:rsidRPr="00364A46" w:rsidRDefault="009C5EF3">
      <w:pPr>
        <w:spacing w:line="360" w:lineRule="auto"/>
        <w:jc w:val="both"/>
        <w:rPr>
          <w:rFonts w:ascii="Book Antiqua" w:hAnsi="Book Antiqua"/>
        </w:rPr>
      </w:pPr>
    </w:p>
    <w:p w14:paraId="1C8443AD"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Observational Study</w:t>
      </w:r>
    </w:p>
    <w:p w14:paraId="1924F621"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Ligamentum teres hepatis as a graft for portal and/or superior mesenteric vein reconstruction: From bench to bedside</w:t>
      </w:r>
    </w:p>
    <w:p w14:paraId="3A02FEE5" w14:textId="77777777" w:rsidR="009C5EF3" w:rsidRPr="00364A46" w:rsidRDefault="009C5EF3">
      <w:pPr>
        <w:spacing w:line="360" w:lineRule="auto"/>
        <w:jc w:val="both"/>
        <w:rPr>
          <w:rFonts w:ascii="Book Antiqua" w:hAnsi="Book Antiqua"/>
        </w:rPr>
      </w:pPr>
    </w:p>
    <w:p w14:paraId="1FF965CB"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Zhu WT </w:t>
      </w:r>
      <w:r>
        <w:rPr>
          <w:rFonts w:ascii="Book Antiqua" w:eastAsia="Book Antiqua" w:hAnsi="Book Antiqua" w:cs="Book Antiqua"/>
          <w:i/>
          <w:iCs/>
          <w:color w:val="000000"/>
        </w:rPr>
        <w:t>et al</w:t>
      </w:r>
      <w:r>
        <w:rPr>
          <w:rFonts w:ascii="Book Antiqua" w:eastAsia="Book Antiqua" w:hAnsi="Book Antiqua" w:cs="Book Antiqua"/>
          <w:color w:val="000000"/>
        </w:rPr>
        <w:t>. LTH to reconstruct PV and SMV</w:t>
      </w:r>
    </w:p>
    <w:p w14:paraId="3DC2E4FA" w14:textId="77777777" w:rsidR="009C5EF3" w:rsidRPr="00364A46" w:rsidRDefault="009C5EF3">
      <w:pPr>
        <w:spacing w:line="360" w:lineRule="auto"/>
        <w:jc w:val="both"/>
        <w:rPr>
          <w:rFonts w:ascii="Book Antiqua" w:hAnsi="Book Antiqua"/>
        </w:rPr>
      </w:pPr>
    </w:p>
    <w:p w14:paraId="78D7288D"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Wen-Tao Zhu, Hai-Tao Wang, Qing-Hai Guan, Fan Zhang, Chang-Xi Zhang, Feng-Ai Hu, Bao-Lei Zhao, Lei Zhou,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Wei, Hai-Bin Ji, Ting-Liang Fu, Xing-Yuan Zhang, Rui-Tao Wang,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-Pu Chen</w:t>
      </w:r>
    </w:p>
    <w:p w14:paraId="713BB257" w14:textId="77777777" w:rsidR="009C5EF3" w:rsidRPr="00364A46" w:rsidRDefault="009C5EF3">
      <w:pPr>
        <w:spacing w:line="360" w:lineRule="auto"/>
        <w:jc w:val="both"/>
        <w:rPr>
          <w:rFonts w:ascii="Book Antiqua" w:hAnsi="Book Antiqua"/>
        </w:rPr>
      </w:pPr>
    </w:p>
    <w:p w14:paraId="1A359D08" w14:textId="251A5D2C"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Wen-Tao Zhu, Fan Zhang, Chang-Xi Zhang, </w:t>
      </w:r>
      <w:r w:rsidR="00213EDD">
        <w:rPr>
          <w:rFonts w:ascii="Book Antiqua" w:eastAsia="Book Antiqua" w:hAnsi="Book Antiqua" w:cs="Book Antiqua"/>
          <w:b/>
          <w:bCs/>
          <w:color w:val="000000"/>
        </w:rPr>
        <w:t xml:space="preserve">Bao-Lei Zhao, </w:t>
      </w:r>
      <w:r>
        <w:rPr>
          <w:rFonts w:ascii="Book Antiqua" w:eastAsia="Book Antiqua" w:hAnsi="Book Antiqua" w:cs="Book Antiqua"/>
          <w:b/>
          <w:bCs/>
          <w:color w:val="000000"/>
        </w:rPr>
        <w:t xml:space="preserve">Lei Zhou,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Wei, Hai-Bin Ji, Xing-Yuan Zhang, </w:t>
      </w:r>
      <w:proofErr w:type="spellStart"/>
      <w:r w:rsidR="00213EDD">
        <w:rPr>
          <w:rFonts w:ascii="Book Antiqua" w:eastAsia="Book Antiqua" w:hAnsi="Book Antiqua" w:cs="Book Antiqua"/>
          <w:b/>
          <w:bCs/>
          <w:color w:val="000000"/>
        </w:rPr>
        <w:t>Qiang</w:t>
      </w:r>
      <w:proofErr w:type="spellEnd"/>
      <w:r w:rsidR="00213EDD">
        <w:rPr>
          <w:rFonts w:ascii="Book Antiqua" w:eastAsia="Book Antiqua" w:hAnsi="Book Antiqua" w:cs="Book Antiqua"/>
          <w:b/>
          <w:bCs/>
          <w:color w:val="000000"/>
        </w:rPr>
        <w:t xml:space="preserve">-Pu Chen, </w:t>
      </w:r>
      <w:r>
        <w:rPr>
          <w:rFonts w:ascii="Book Antiqua" w:eastAsia="Book Antiqua" w:hAnsi="Book Antiqua" w:cs="Book Antiqua"/>
          <w:color w:val="000000"/>
        </w:rPr>
        <w:t xml:space="preserve">Department of Hepatobiliary Surgery,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256600, Shandong Province, China</w:t>
      </w:r>
    </w:p>
    <w:p w14:paraId="15D60544" w14:textId="77777777" w:rsidR="009C5EF3" w:rsidRPr="00364A46" w:rsidRDefault="009C5EF3">
      <w:pPr>
        <w:spacing w:line="360" w:lineRule="auto"/>
        <w:jc w:val="both"/>
        <w:rPr>
          <w:rFonts w:ascii="Book Antiqua" w:hAnsi="Book Antiqua"/>
        </w:rPr>
      </w:pPr>
    </w:p>
    <w:p w14:paraId="4E94AE82"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Hai-Tao Wang, </w:t>
      </w:r>
      <w:r>
        <w:rPr>
          <w:rFonts w:ascii="Book Antiqua" w:eastAsia="Book Antiqua" w:hAnsi="Book Antiqua" w:cs="Book Antiqua"/>
          <w:color w:val="000000"/>
        </w:rPr>
        <w:t xml:space="preserve">Department of Hepatobiliary Surgery,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Affiliated Yantai Hospital, Yantai 264110, Shandong Province, China</w:t>
      </w:r>
    </w:p>
    <w:p w14:paraId="38F7A2E5" w14:textId="77777777" w:rsidR="009C5EF3" w:rsidRPr="00364A46" w:rsidRDefault="009C5EF3">
      <w:pPr>
        <w:spacing w:line="360" w:lineRule="auto"/>
        <w:jc w:val="both"/>
        <w:rPr>
          <w:rFonts w:ascii="Book Antiqua" w:hAnsi="Book Antiqua"/>
        </w:rPr>
      </w:pPr>
    </w:p>
    <w:p w14:paraId="0F30F3BA"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Qing-Hai Guan, </w:t>
      </w:r>
      <w:r>
        <w:rPr>
          <w:rFonts w:ascii="Book Antiqua" w:eastAsia="Book Antiqua" w:hAnsi="Book Antiqua" w:cs="Book Antiqua"/>
          <w:color w:val="000000"/>
        </w:rPr>
        <w:t xml:space="preserve">Department of Hepatobiliary Surgery and Clinical Nutrition Center,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256600, Shandong Province, China</w:t>
      </w:r>
    </w:p>
    <w:p w14:paraId="6402D373" w14:textId="77777777" w:rsidR="009C5EF3" w:rsidRPr="00364A46" w:rsidRDefault="009C5EF3">
      <w:pPr>
        <w:spacing w:line="360" w:lineRule="auto"/>
        <w:jc w:val="both"/>
        <w:rPr>
          <w:rFonts w:ascii="Book Antiqua" w:hAnsi="Book Antiqua"/>
        </w:rPr>
      </w:pPr>
    </w:p>
    <w:p w14:paraId="5B76DB69"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Feng-Ai Hu, </w:t>
      </w:r>
      <w:r>
        <w:rPr>
          <w:rFonts w:ascii="Book Antiqua" w:eastAsia="Book Antiqua" w:hAnsi="Book Antiqua" w:cs="Book Antiqua"/>
          <w:color w:val="000000"/>
        </w:rPr>
        <w:t xml:space="preserve">Department of Clinical Medicine Laboratory,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256600, Shandong Province, China</w:t>
      </w:r>
    </w:p>
    <w:p w14:paraId="79CC35EA" w14:textId="77777777" w:rsidR="009C5EF3" w:rsidRPr="00364A46" w:rsidRDefault="009C5EF3">
      <w:pPr>
        <w:spacing w:line="360" w:lineRule="auto"/>
        <w:jc w:val="both"/>
        <w:rPr>
          <w:rFonts w:ascii="Book Antiqua" w:hAnsi="Book Antiqua"/>
        </w:rPr>
      </w:pPr>
    </w:p>
    <w:p w14:paraId="2A3D4BFE"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Ting-Liang Fu, </w:t>
      </w:r>
      <w:r>
        <w:rPr>
          <w:rFonts w:ascii="Book Antiqua" w:eastAsia="Book Antiqua" w:hAnsi="Book Antiqua" w:cs="Book Antiqua"/>
          <w:color w:val="000000"/>
        </w:rPr>
        <w:t xml:space="preserve">Department of Pediatric Surgery,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256600, Shandong Province, China</w:t>
      </w:r>
    </w:p>
    <w:p w14:paraId="0C991E07" w14:textId="77777777" w:rsidR="009C5EF3" w:rsidRPr="00364A46" w:rsidRDefault="009C5EF3">
      <w:pPr>
        <w:spacing w:line="360" w:lineRule="auto"/>
        <w:jc w:val="both"/>
        <w:rPr>
          <w:rFonts w:ascii="Book Antiqua" w:hAnsi="Book Antiqua"/>
        </w:rPr>
      </w:pPr>
    </w:p>
    <w:p w14:paraId="6921A258"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lastRenderedPageBreak/>
        <w:t xml:space="preserve">Rui-Tao Wang, </w:t>
      </w:r>
      <w:r>
        <w:rPr>
          <w:rFonts w:ascii="Book Antiqua" w:eastAsia="Book Antiqua" w:hAnsi="Book Antiqua" w:cs="Book Antiqua"/>
          <w:color w:val="000000"/>
        </w:rPr>
        <w:t xml:space="preserve">Department of Hepatobiliary Surgery,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Xi'an 710061, </w:t>
      </w:r>
      <w:proofErr w:type="spellStart"/>
      <w:r>
        <w:rPr>
          <w:rFonts w:ascii="Book Antiqua" w:eastAsia="Book Antiqua" w:hAnsi="Book Antiqua" w:cs="Book Antiqua"/>
          <w:color w:val="000000"/>
        </w:rPr>
        <w:t>Shannxi</w:t>
      </w:r>
      <w:proofErr w:type="spellEnd"/>
      <w:r>
        <w:rPr>
          <w:rFonts w:ascii="Book Antiqua" w:eastAsia="Book Antiqua" w:hAnsi="Book Antiqua" w:cs="Book Antiqua"/>
          <w:color w:val="000000"/>
        </w:rPr>
        <w:t xml:space="preserve"> Province, China</w:t>
      </w:r>
    </w:p>
    <w:p w14:paraId="4A5E05D3" w14:textId="77777777" w:rsidR="009C5EF3" w:rsidRPr="00364A46" w:rsidRDefault="009C5EF3">
      <w:pPr>
        <w:spacing w:line="360" w:lineRule="auto"/>
        <w:jc w:val="both"/>
        <w:rPr>
          <w:rFonts w:ascii="Book Antiqua" w:hAnsi="Book Antiqua"/>
        </w:rPr>
      </w:pPr>
    </w:p>
    <w:p w14:paraId="14125329" w14:textId="22268768"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WT, Wang HT and Chen QP contributed to the conception and design;</w:t>
      </w:r>
      <w:r w:rsidRPr="00364A46">
        <w:rPr>
          <w:rFonts w:ascii="Book Antiqua" w:hAnsi="Book Antiqua"/>
        </w:rPr>
        <w:t xml:space="preserve"> </w:t>
      </w:r>
      <w:r>
        <w:rPr>
          <w:rFonts w:ascii="Book Antiqua" w:eastAsia="Book Antiqua" w:hAnsi="Book Antiqua" w:cs="Book Antiqua"/>
          <w:color w:val="000000"/>
        </w:rPr>
        <w:t>Zhu WT, Wang HT, Zhao BL, Wei Q and Ji HB contributed to the analysis and interpretation;</w:t>
      </w:r>
      <w:r w:rsidRPr="00364A46">
        <w:rPr>
          <w:rFonts w:ascii="Book Antiqua" w:hAnsi="Book Antiqua"/>
        </w:rPr>
        <w:t xml:space="preserve"> </w:t>
      </w:r>
      <w:r>
        <w:rPr>
          <w:rFonts w:ascii="Book Antiqua" w:eastAsia="Book Antiqua" w:hAnsi="Book Antiqua" w:cs="Book Antiqua"/>
          <w:color w:val="000000"/>
        </w:rPr>
        <w:t>Zhu WT, Wang HT, Zhang CX, Hu FA, Guan QH, Zhang XY and Wang RT collected the data;</w:t>
      </w:r>
      <w:r w:rsidRPr="00364A46">
        <w:rPr>
          <w:rFonts w:ascii="Book Antiqua" w:hAnsi="Book Antiqua"/>
        </w:rPr>
        <w:t xml:space="preserve"> </w:t>
      </w:r>
      <w:r>
        <w:rPr>
          <w:rFonts w:ascii="Book Antiqua" w:eastAsia="Book Antiqua" w:hAnsi="Book Antiqua" w:cs="Book Antiqua"/>
          <w:color w:val="000000"/>
        </w:rPr>
        <w:t>Zhu WT, Zhou L and Fu TL wrote the article;</w:t>
      </w:r>
      <w:r w:rsidRPr="00364A46">
        <w:rPr>
          <w:rFonts w:ascii="Book Antiqua" w:hAnsi="Book Antiqua"/>
        </w:rPr>
        <w:t xml:space="preserve"> </w:t>
      </w:r>
      <w:r>
        <w:rPr>
          <w:rFonts w:ascii="Book Antiqua" w:eastAsia="Book Antiqua" w:hAnsi="Book Antiqua" w:cs="Book Antiqua"/>
          <w:color w:val="000000"/>
        </w:rPr>
        <w:t>Chen QP and Zhang F critically revised the article;</w:t>
      </w:r>
      <w:r w:rsidRPr="00364A46">
        <w:rPr>
          <w:rFonts w:ascii="Book Antiqua" w:hAnsi="Book Antiqua"/>
        </w:rPr>
        <w:t xml:space="preserve"> </w:t>
      </w:r>
      <w:r>
        <w:rPr>
          <w:rFonts w:ascii="Book Antiqua" w:eastAsia="Book Antiqua" w:hAnsi="Book Antiqua" w:cs="Book Antiqua"/>
          <w:color w:val="000000"/>
        </w:rPr>
        <w:t>Zhu WT, Wang HT, Guan QH, Zhang F, Zhang CX, Hu FA, Zhao BL, Zhou L, Wei Q, Ji HB, Zhang XY and Chen QP approved the final article;</w:t>
      </w:r>
      <w:r w:rsidRPr="00364A46">
        <w:rPr>
          <w:rFonts w:ascii="Book Antiqua" w:hAnsi="Book Antiqua"/>
        </w:rPr>
        <w:t xml:space="preserve"> </w:t>
      </w:r>
      <w:r>
        <w:rPr>
          <w:rFonts w:ascii="Book Antiqua" w:eastAsia="Book Antiqua" w:hAnsi="Book Antiqua" w:cs="Book Antiqua"/>
          <w:color w:val="000000"/>
        </w:rPr>
        <w:t>Wei Q and Ji HB completed the statistical analysis; Chen QP and Zhao BL obtained fundings; Chen QP takes overall responsibility.</w:t>
      </w:r>
    </w:p>
    <w:p w14:paraId="1E0D07C4" w14:textId="77777777" w:rsidR="009C5EF3" w:rsidRPr="00364A46" w:rsidRDefault="009C5EF3">
      <w:pPr>
        <w:spacing w:line="360" w:lineRule="auto"/>
        <w:jc w:val="both"/>
        <w:rPr>
          <w:rFonts w:ascii="Book Antiqua" w:hAnsi="Book Antiqua"/>
        </w:rPr>
      </w:pPr>
    </w:p>
    <w:p w14:paraId="74EFA2B2"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Science and Technology Research and Development Program of Shandong Province, No. 2009GGl0002047; the National Natural Science Fund, No. 81502069. </w:t>
      </w:r>
    </w:p>
    <w:p w14:paraId="28418538" w14:textId="77777777" w:rsidR="009C5EF3" w:rsidRPr="00364A46" w:rsidRDefault="009C5EF3">
      <w:pPr>
        <w:spacing w:line="360" w:lineRule="auto"/>
        <w:jc w:val="both"/>
        <w:rPr>
          <w:rFonts w:ascii="Book Antiqua" w:hAnsi="Book Antiqua"/>
        </w:rPr>
      </w:pPr>
    </w:p>
    <w:p w14:paraId="74A0873D"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-Pu Chen, MD, Professor, </w:t>
      </w:r>
      <w:r>
        <w:rPr>
          <w:rFonts w:ascii="Book Antiqua" w:eastAsia="Book Antiqua" w:hAnsi="Book Antiqua" w:cs="Book Antiqua"/>
          <w:color w:val="000000"/>
        </w:rPr>
        <w:t xml:space="preserve">Department of Hepatobiliary Surgery,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No. 661 Huang He Er Road,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256600, Shandong Province, China. drchenqiangpu@163.com</w:t>
      </w:r>
    </w:p>
    <w:p w14:paraId="4D711D74" w14:textId="77777777" w:rsidR="009C5EF3" w:rsidRPr="00364A46" w:rsidRDefault="009C5EF3">
      <w:pPr>
        <w:spacing w:line="360" w:lineRule="auto"/>
        <w:jc w:val="both"/>
        <w:rPr>
          <w:rFonts w:ascii="Book Antiqua" w:hAnsi="Book Antiqua"/>
        </w:rPr>
      </w:pPr>
    </w:p>
    <w:p w14:paraId="0783D35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12, 2022</w:t>
      </w:r>
    </w:p>
    <w:p w14:paraId="67508A06"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2023</w:t>
      </w:r>
    </w:p>
    <w:p w14:paraId="17CBEFF5" w14:textId="09913CAF"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 Ma" w:date="2023-03-15T21:04:00Z">
        <w:r w:rsidR="004901B8" w:rsidRPr="004901B8">
          <w:rPr>
            <w:rFonts w:ascii="Book Antiqua" w:eastAsia="Book Antiqua" w:hAnsi="Book Antiqua" w:cs="Book Antiqua"/>
            <w:color w:val="000000"/>
            <w:rPrChange w:id="1" w:author="Li Ma" w:date="2023-03-15T21:04:00Z">
              <w:rPr>
                <w:rFonts w:ascii="Book Antiqua" w:eastAsia="Book Antiqua" w:hAnsi="Book Antiqua" w:cs="Book Antiqua"/>
                <w:b/>
                <w:bCs/>
                <w:color w:val="000000"/>
              </w:rPr>
            </w:rPrChange>
          </w:rPr>
          <w:t>March 15, 2023</w:t>
        </w:r>
      </w:ins>
    </w:p>
    <w:p w14:paraId="05C15370"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BE3B716" w14:textId="77777777" w:rsidR="00280058" w:rsidRDefault="00280058">
      <w:pPr>
        <w:spacing w:line="360" w:lineRule="auto"/>
        <w:jc w:val="both"/>
        <w:sectPr w:rsidR="00280058">
          <w:footerReference w:type="default" r:id="rId6"/>
          <w:pgSz w:w="12240" w:h="15840"/>
          <w:pgMar w:top="1440" w:right="1440" w:bottom="1440" w:left="1440" w:header="720" w:footer="720" w:gutter="0"/>
          <w:cols w:space="720"/>
          <w:docGrid w:linePitch="360"/>
        </w:sectPr>
      </w:pPr>
    </w:p>
    <w:p w14:paraId="014DD36B"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1B4526A"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BACKGROUND</w:t>
      </w:r>
    </w:p>
    <w:p w14:paraId="1DCA7C3C" w14:textId="25AA90C9"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Pancreaticoduodenectomy combined with portal vein (PV) and/or superior mesenteric vein (SMV) resection in patients with pancreaticobiliary malignancy has become a common surgical procedure. There are various grafts currently used for PV and/or SMV reconstruction, but each of these grafts have certain limitations. Therefore, it is necessary to explore novel grafts that have an extensive resource pool, are low cost with good clinical application, and are without immune response rejection or additional damage to patients.</w:t>
      </w:r>
    </w:p>
    <w:p w14:paraId="7C0CD2F6" w14:textId="77777777" w:rsidR="009C5EF3" w:rsidRPr="00364A46" w:rsidRDefault="009C5EF3">
      <w:pPr>
        <w:spacing w:line="360" w:lineRule="auto"/>
        <w:jc w:val="both"/>
        <w:rPr>
          <w:rFonts w:ascii="Book Antiqua" w:hAnsi="Book Antiqua"/>
        </w:rPr>
      </w:pPr>
    </w:p>
    <w:p w14:paraId="130622AA"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AIM</w:t>
      </w:r>
    </w:p>
    <w:p w14:paraId="6D6C9637" w14:textId="1B812425"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To observe the anatomical and histological characteristics of the ligamentum teres hepatis (LTH) and evaluate PV/SMV reconstruction using an autologous LTH graft in pancreaticobiliary malignancy patients.</w:t>
      </w:r>
    </w:p>
    <w:p w14:paraId="79CBC09A" w14:textId="77777777" w:rsidR="009C5EF3" w:rsidRPr="00364A46" w:rsidRDefault="009C5EF3">
      <w:pPr>
        <w:spacing w:line="360" w:lineRule="auto"/>
        <w:jc w:val="both"/>
        <w:rPr>
          <w:rFonts w:ascii="Book Antiqua" w:hAnsi="Book Antiqua"/>
        </w:rPr>
      </w:pPr>
    </w:p>
    <w:p w14:paraId="18A8C145"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METHODS</w:t>
      </w:r>
    </w:p>
    <w:p w14:paraId="1D0B2825" w14:textId="4BEC8A28"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In 107 patients,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post-dilated length and diameter in resected LTH specimens were measured. The general structure of the LTH specimens was observed by hematoxylin and eosin </w:t>
      </w:r>
      <w:r w:rsidR="00F72623">
        <w:rPr>
          <w:rFonts w:ascii="Book Antiqua" w:eastAsia="Book Antiqua" w:hAnsi="Book Antiqua" w:cs="Book Antiqua"/>
          <w:color w:val="000000"/>
        </w:rPr>
        <w:t xml:space="preserve">(HE) </w:t>
      </w:r>
      <w:r>
        <w:rPr>
          <w:rFonts w:ascii="Book Antiqua" w:eastAsia="Book Antiqua" w:hAnsi="Book Antiqua" w:cs="Book Antiqua"/>
          <w:color w:val="000000"/>
        </w:rPr>
        <w:t>staining. Collagen fibers (CFs), elastic fibers (EFs</w:t>
      </w:r>
      <w:r w:rsidR="00F72623">
        <w:rPr>
          <w:rFonts w:ascii="Book Antiqua" w:eastAsia="Book Antiqua" w:hAnsi="Book Antiqua" w:cs="Book Antiqua"/>
          <w:color w:val="000000"/>
        </w:rPr>
        <w:t>),</w:t>
      </w:r>
      <w:r>
        <w:rPr>
          <w:rFonts w:ascii="Book Antiqua" w:eastAsia="Book Antiqua" w:hAnsi="Book Antiqua" w:cs="Book Antiqua"/>
          <w:color w:val="000000"/>
        </w:rPr>
        <w:t xml:space="preserve"> and smooth muscle (SM) were visualized by </w:t>
      </w:r>
      <w:proofErr w:type="spellStart"/>
      <w:r>
        <w:rPr>
          <w:rFonts w:ascii="Book Antiqua" w:eastAsia="Book Antiqua" w:hAnsi="Book Antiqua" w:cs="Book Antiqua"/>
          <w:color w:val="000000"/>
        </w:rPr>
        <w:t>Verhoeff</w:t>
      </w:r>
      <w:proofErr w:type="spellEnd"/>
      <w:r>
        <w:rPr>
          <w:rFonts w:ascii="Book Antiqua" w:eastAsia="Book Antiqua" w:hAnsi="Book Antiqua" w:cs="Book Antiqua"/>
          <w:color w:val="000000"/>
        </w:rPr>
        <w:t xml:space="preserve">-Van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staining, and the expression of CD34, factor VIII-related antigen</w:t>
      </w:r>
      <w:r w:rsidR="00F72623">
        <w:rPr>
          <w:rFonts w:ascii="Book Antiqua" w:eastAsia="Book Antiqua" w:hAnsi="Book Antiqua" w:cs="Book Antiqua"/>
          <w:color w:val="000000"/>
        </w:rPr>
        <w:t xml:space="preserve"> (</w:t>
      </w:r>
      <w:proofErr w:type="spellStart"/>
      <w:r w:rsidR="00F72623">
        <w:rPr>
          <w:rFonts w:ascii="Book Antiqua" w:eastAsia="Book Antiqua" w:hAnsi="Book Antiqua" w:cs="Book Antiqua"/>
          <w:color w:val="000000"/>
        </w:rPr>
        <w:t>FVIIIAg</w:t>
      </w:r>
      <w:proofErr w:type="spellEnd"/>
      <w:r w:rsidR="00F72623">
        <w:rPr>
          <w:rFonts w:ascii="Book Antiqua" w:eastAsia="Book Antiqua" w:hAnsi="Book Antiqua" w:cs="Book Antiqua"/>
          <w:color w:val="000000"/>
        </w:rPr>
        <w:t>),</w:t>
      </w:r>
      <w:r>
        <w:rPr>
          <w:rFonts w:ascii="Book Antiqua" w:eastAsia="Book Antiqua" w:hAnsi="Book Antiqua" w:cs="Book Antiqua"/>
          <w:color w:val="000000"/>
        </w:rPr>
        <w:t xml:space="preserve"> endothelial nitric oxide synthase </w:t>
      </w:r>
      <w:r w:rsidR="00F72623">
        <w:rPr>
          <w:rFonts w:ascii="Book Antiqua" w:eastAsia="Book Antiqua" w:hAnsi="Book Antiqua" w:cs="Book Antiqua"/>
          <w:color w:val="000000"/>
        </w:rPr>
        <w:t>(</w:t>
      </w:r>
      <w:proofErr w:type="spellStart"/>
      <w:r w:rsidR="00F72623">
        <w:rPr>
          <w:rFonts w:ascii="Book Antiqua" w:eastAsia="Book Antiqua" w:hAnsi="Book Antiqua" w:cs="Book Antiqua"/>
          <w:color w:val="000000"/>
        </w:rPr>
        <w:t>eNOS</w:t>
      </w:r>
      <w:proofErr w:type="spellEnd"/>
      <w:r w:rsidR="00F72623">
        <w:rPr>
          <w:rFonts w:ascii="Book Antiqua" w:eastAsia="Book Antiqua" w:hAnsi="Book Antiqua" w:cs="Book Antiqua"/>
          <w:color w:val="000000"/>
        </w:rPr>
        <w:t xml:space="preserve">), </w:t>
      </w:r>
      <w:r>
        <w:rPr>
          <w:rFonts w:ascii="Book Antiqua" w:eastAsia="Book Antiqua" w:hAnsi="Book Antiqua" w:cs="Book Antiqua"/>
          <w:color w:val="000000"/>
        </w:rPr>
        <w:t>and tissue type plasminogen activator</w:t>
      </w:r>
      <w:r w:rsidR="00F72623">
        <w:rPr>
          <w:rFonts w:ascii="Book Antiqua" w:eastAsia="Book Antiqua" w:hAnsi="Book Antiqua" w:cs="Book Antiqua"/>
          <w:color w:val="000000"/>
        </w:rPr>
        <w:t xml:space="preserve"> (t-PA)</w:t>
      </w:r>
      <w:r>
        <w:rPr>
          <w:rFonts w:ascii="Book Antiqua" w:eastAsia="Book Antiqua" w:hAnsi="Book Antiqua" w:cs="Book Antiqua"/>
          <w:color w:val="000000"/>
        </w:rPr>
        <w:t xml:space="preserve"> were detected using immunohistochemistry in LTH and PV (control) endothelial cells. PV and/or SMV reconstruction using the autologous LTH was conducted in 26 patients with pancreaticobiliary malignancies, and the outcomes were retrospectively analyzed. </w:t>
      </w:r>
    </w:p>
    <w:p w14:paraId="500FD022" w14:textId="77777777" w:rsidR="009C5EF3" w:rsidRPr="00364A46" w:rsidRDefault="009C5EF3">
      <w:pPr>
        <w:spacing w:line="360" w:lineRule="auto"/>
        <w:jc w:val="both"/>
        <w:rPr>
          <w:rFonts w:ascii="Book Antiqua" w:hAnsi="Book Antiqua"/>
        </w:rPr>
      </w:pPr>
    </w:p>
    <w:p w14:paraId="09B08724"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RESULTS</w:t>
      </w:r>
    </w:p>
    <w:p w14:paraId="543D1AF0" w14:textId="71A338AF"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post-dilated length of LTH was 9.67 ± 1.43 cm, and the diameter at a pressure of 30 cm 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was 12.82 ± 1.32 mm at the cranial end and 7.06 ± 1.88 mm at the caudal end. Residual cavities with smooth tunica intima covered by endothelial cells were found in </w:t>
      </w:r>
      <w:r w:rsidR="00F72623">
        <w:rPr>
          <w:rFonts w:ascii="Book Antiqua" w:eastAsia="Book Antiqua" w:hAnsi="Book Antiqua" w:cs="Book Antiqua"/>
          <w:color w:val="000000"/>
        </w:rPr>
        <w:lastRenderedPageBreak/>
        <w:t>HE</w:t>
      </w:r>
      <w:r>
        <w:rPr>
          <w:rFonts w:ascii="Book Antiqua" w:eastAsia="Book Antiqua" w:hAnsi="Book Antiqua" w:cs="Book Antiqua"/>
          <w:color w:val="000000"/>
        </w:rPr>
        <w:t xml:space="preserve">-stained LTH specimens. The relative amounts of EFs, CFs and SM in the LTH were similar to those in the PV [EF (%): 11.23 ± 3.40 </w:t>
      </w:r>
      <w:r>
        <w:rPr>
          <w:rFonts w:ascii="Book Antiqua" w:eastAsia="Book Antiqua" w:hAnsi="Book Antiqua" w:cs="Book Antiqua"/>
          <w:i/>
          <w:iCs/>
          <w:color w:val="000000"/>
        </w:rPr>
        <w:t>vs</w:t>
      </w:r>
      <w:r>
        <w:rPr>
          <w:rFonts w:ascii="Book Antiqua" w:eastAsia="Book Antiqua" w:hAnsi="Book Antiqua" w:cs="Book Antiqua"/>
          <w:color w:val="000000"/>
        </w:rPr>
        <w:t xml:space="preserve"> 11.57 ± 2.80, </w:t>
      </w:r>
      <w:r>
        <w:rPr>
          <w:rFonts w:ascii="Book Antiqua" w:eastAsia="Book Antiqua" w:hAnsi="Book Antiqua" w:cs="Book Antiqua"/>
          <w:i/>
          <w:iCs/>
          <w:color w:val="000000"/>
        </w:rPr>
        <w:t>P</w:t>
      </w:r>
      <w:r>
        <w:rPr>
          <w:rFonts w:ascii="Book Antiqua" w:eastAsia="Book Antiqua" w:hAnsi="Book Antiqua" w:cs="Book Antiqua"/>
          <w:color w:val="000000"/>
        </w:rPr>
        <w:t xml:space="preserve"> = 0.62; CF (%): 33.51 ± 7.71 </w:t>
      </w:r>
      <w:r>
        <w:rPr>
          <w:rFonts w:ascii="Book Antiqua" w:eastAsia="Book Antiqua" w:hAnsi="Book Antiqua" w:cs="Book Antiqua"/>
          <w:i/>
          <w:iCs/>
          <w:color w:val="000000"/>
        </w:rPr>
        <w:t>vs</w:t>
      </w:r>
      <w:r>
        <w:rPr>
          <w:rFonts w:ascii="Book Antiqua" w:eastAsia="Book Antiqua" w:hAnsi="Book Antiqua" w:cs="Book Antiqua"/>
          <w:color w:val="000000"/>
        </w:rPr>
        <w:t xml:space="preserve"> 32.11 ± 4.82, </w:t>
      </w:r>
      <w:r>
        <w:rPr>
          <w:rFonts w:ascii="Book Antiqua" w:eastAsia="Book Antiqua" w:hAnsi="Book Antiqua" w:cs="Book Antiqua"/>
          <w:i/>
          <w:iCs/>
          <w:color w:val="000000"/>
        </w:rPr>
        <w:t>P</w:t>
      </w:r>
      <w:r>
        <w:rPr>
          <w:rFonts w:ascii="Book Antiqua" w:eastAsia="Book Antiqua" w:hAnsi="Book Antiqua" w:cs="Book Antiqua"/>
          <w:color w:val="000000"/>
        </w:rPr>
        <w:t xml:space="preserve"> = 0.33; SM (%): 15.61 ± 5.26 </w:t>
      </w:r>
      <w:r>
        <w:rPr>
          <w:rFonts w:ascii="Book Antiqua" w:eastAsia="Book Antiqua" w:hAnsi="Book Antiqua" w:cs="Book Antiqua"/>
          <w:i/>
          <w:iCs/>
          <w:color w:val="000000"/>
        </w:rPr>
        <w:t>vs</w:t>
      </w:r>
      <w:r>
        <w:rPr>
          <w:rFonts w:ascii="Book Antiqua" w:eastAsia="Book Antiqua" w:hAnsi="Book Antiqua" w:cs="Book Antiqua"/>
          <w:color w:val="000000"/>
        </w:rPr>
        <w:t xml:space="preserve"> 16.74 ± 4.83, </w:t>
      </w:r>
      <w:r>
        <w:rPr>
          <w:rFonts w:ascii="Book Antiqua" w:eastAsia="Book Antiqua" w:hAnsi="Book Antiqua" w:cs="Book Antiqua"/>
          <w:i/>
          <w:iCs/>
          <w:color w:val="000000"/>
        </w:rPr>
        <w:t>P</w:t>
      </w:r>
      <w:r>
        <w:rPr>
          <w:rFonts w:ascii="Book Antiqua" w:eastAsia="Book Antiqua" w:hAnsi="Book Antiqua" w:cs="Book Antiqua"/>
          <w:color w:val="000000"/>
        </w:rPr>
        <w:t xml:space="preserve"> = 0.32]. </w:t>
      </w:r>
      <w:r w:rsidR="00F72623">
        <w:rPr>
          <w:rFonts w:ascii="Book Antiqua" w:eastAsia="Book Antiqua" w:hAnsi="Book Antiqua" w:cs="Book Antiqua"/>
          <w:color w:val="000000"/>
        </w:rPr>
        <w:t xml:space="preserve">CD34, </w:t>
      </w:r>
      <w:proofErr w:type="spellStart"/>
      <w:r w:rsidR="00F72623">
        <w:rPr>
          <w:rFonts w:ascii="Book Antiqua" w:eastAsia="Book Antiqua" w:hAnsi="Book Antiqua" w:cs="Book Antiqua"/>
          <w:color w:val="000000"/>
        </w:rPr>
        <w:t>FVIIIAg</w:t>
      </w:r>
      <w:proofErr w:type="spellEnd"/>
      <w:r w:rsidR="00F72623">
        <w:rPr>
          <w:rFonts w:ascii="Book Antiqua" w:eastAsia="Book Antiqua" w:hAnsi="Book Antiqua" w:cs="Book Antiqua"/>
          <w:color w:val="000000"/>
        </w:rPr>
        <w:t xml:space="preserve">, </w:t>
      </w:r>
      <w:proofErr w:type="spellStart"/>
      <w:r w:rsidR="00F72623">
        <w:rPr>
          <w:rFonts w:ascii="Book Antiqua" w:eastAsia="Book Antiqua" w:hAnsi="Book Antiqua" w:cs="Book Antiqua"/>
          <w:color w:val="000000"/>
        </w:rPr>
        <w:t>eNOS</w:t>
      </w:r>
      <w:proofErr w:type="spellEnd"/>
      <w:r w:rsidR="00F72623">
        <w:rPr>
          <w:rFonts w:ascii="Book Antiqua" w:eastAsia="Book Antiqua" w:hAnsi="Book Antiqua" w:cs="Book Antiqua"/>
          <w:color w:val="000000"/>
        </w:rPr>
        <w:t>, and t-PA</w:t>
      </w:r>
      <w:r>
        <w:rPr>
          <w:rFonts w:ascii="Book Antiqua" w:eastAsia="Book Antiqua" w:hAnsi="Book Antiqua" w:cs="Book Antiqua"/>
          <w:color w:val="000000"/>
        </w:rPr>
        <w:t xml:space="preserve"> were expressed in both LTH and PV endothelial cells. The PV and/or SMV reconstructions were successfully completed in all patients. The overall morbidity and mortality rates were 38.46% and 7.69%, respectively. There were no graft-related complications. The postoperative vein stenosis rates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year were 7.69%, 11.54%, 15.38% and 19.23%, respectively. In all 5 patients affected, the degree of vascular stenosis was less than half of the reconstructed vein lumen diameter (mild stenosis), and the vessels remained patent.</w:t>
      </w:r>
    </w:p>
    <w:p w14:paraId="473F3F21" w14:textId="77777777" w:rsidR="009C5EF3" w:rsidRPr="00364A46" w:rsidRDefault="009C5EF3">
      <w:pPr>
        <w:spacing w:line="360" w:lineRule="auto"/>
        <w:jc w:val="both"/>
        <w:rPr>
          <w:rFonts w:ascii="Book Antiqua" w:hAnsi="Book Antiqua"/>
        </w:rPr>
      </w:pPr>
    </w:p>
    <w:p w14:paraId="6065BBF0"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CONCLUSION</w:t>
      </w:r>
    </w:p>
    <w:p w14:paraId="39E7D60E" w14:textId="4A206AE8"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anatomical and histological characteristics of LTH were similar to the PV and SMV. As such, the LTH can be used as an autologous graft for PV and/or SMV reconstruction in pancreaticobiliary malignancy patients who require PV and/or SMV resection.</w:t>
      </w:r>
    </w:p>
    <w:p w14:paraId="0E0BB832" w14:textId="77777777" w:rsidR="009C5EF3" w:rsidRPr="00364A46" w:rsidRDefault="009C5EF3">
      <w:pPr>
        <w:spacing w:line="360" w:lineRule="auto"/>
        <w:jc w:val="both"/>
        <w:rPr>
          <w:rFonts w:ascii="Book Antiqua" w:hAnsi="Book Antiqua"/>
        </w:rPr>
      </w:pPr>
    </w:p>
    <w:p w14:paraId="72A61939"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Ligamentum teres hepatis; Pancreaticoduodenectomy; Portal vein; Superior mesenteric vein; Vascular grafting; Pancreaticobiliary malignancy</w:t>
      </w:r>
    </w:p>
    <w:p w14:paraId="69228F59" w14:textId="77777777" w:rsidR="009C5EF3" w:rsidRPr="00364A46" w:rsidRDefault="009C5EF3">
      <w:pPr>
        <w:spacing w:line="360" w:lineRule="auto"/>
        <w:jc w:val="both"/>
        <w:rPr>
          <w:rFonts w:ascii="Book Antiqua" w:hAnsi="Book Antiqua"/>
        </w:rPr>
      </w:pPr>
    </w:p>
    <w:p w14:paraId="6DE23C0B"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Zhu WT, Wang HT, Guan QH, Zhang F, Zhang CX, Hu FA, Zhao BL, Zhou L, Wei Q, Ji HB, Fu TL, Zhang XY, Wang RT, Chen QP. Ligamentum teres hepatis as a graft for portal and/or superior mesenteric vein reconstruction: From bench to bedside.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2023; In press</w:t>
      </w:r>
    </w:p>
    <w:p w14:paraId="1B2675B9" w14:textId="77777777" w:rsidR="009C5EF3" w:rsidRPr="00364A46" w:rsidRDefault="009C5EF3">
      <w:pPr>
        <w:spacing w:line="360" w:lineRule="auto"/>
        <w:jc w:val="both"/>
        <w:rPr>
          <w:rFonts w:ascii="Book Antiqua" w:hAnsi="Book Antiqua"/>
        </w:rPr>
      </w:pPr>
    </w:p>
    <w:p w14:paraId="2D7EFA46" w14:textId="4ED87191"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anatomical, histological and clinical studies using the recanalized ligamentum teres hepatis (LTH) to reconstruct the portal vein (PV) and/or superior mesenteric vein (SMV) were studied. It was found that the post-dilated length and </w:t>
      </w:r>
      <w:r>
        <w:rPr>
          <w:rFonts w:ascii="Book Antiqua" w:eastAsia="Book Antiqua" w:hAnsi="Book Antiqua" w:cs="Book Antiqua"/>
        </w:rPr>
        <w:t>diameter</w:t>
      </w:r>
      <w:r>
        <w:rPr>
          <w:rFonts w:ascii="Book Antiqua" w:eastAsia="Book Antiqua" w:hAnsi="Book Antiqua" w:cs="Book Antiqua"/>
          <w:color w:val="000000"/>
        </w:rPr>
        <w:t xml:space="preserve"> of the LTH were suitable for PV and/or SMV reconstruction. The histological structure of the LTH wall was similar to the PV. High vascular patency rate and good clinical effects were acquired in clinical application. It was demonstrated that there is </w:t>
      </w:r>
      <w:r>
        <w:rPr>
          <w:rFonts w:ascii="Book Antiqua" w:eastAsia="Book Antiqua" w:hAnsi="Book Antiqua" w:cs="Book Antiqua"/>
          <w:color w:val="000000"/>
        </w:rPr>
        <w:lastRenderedPageBreak/>
        <w:t>both basic and clinical rationale for the use of LTH in PV and/or SMV reconstruction since it does not cause additional injury or increase medical costs and has good clinical effects.</w:t>
      </w:r>
    </w:p>
    <w:p w14:paraId="7B540E84" w14:textId="77777777" w:rsidR="009C5EF3" w:rsidRPr="00364A46" w:rsidRDefault="009C5EF3">
      <w:pPr>
        <w:spacing w:line="360" w:lineRule="auto"/>
        <w:jc w:val="both"/>
        <w:rPr>
          <w:rFonts w:ascii="Book Antiqua" w:hAnsi="Book Antiqua"/>
        </w:rPr>
      </w:pPr>
    </w:p>
    <w:p w14:paraId="62BDDBE8" w14:textId="285F70FA" w:rsidR="009C5EF3" w:rsidRPr="00364A46" w:rsidRDefault="00F72623">
      <w:pPr>
        <w:spacing w:line="360" w:lineRule="auto"/>
        <w:jc w:val="both"/>
        <w:rPr>
          <w:rFonts w:ascii="Book Antiqua" w:hAnsi="Book Antiqua"/>
        </w:rPr>
      </w:pPr>
      <w:r>
        <w:rPr>
          <w:rFonts w:ascii="Book Antiqua" w:eastAsia="Book Antiqua" w:hAnsi="Book Antiqua" w:cs="Book Antiqua"/>
          <w:b/>
          <w:caps/>
          <w:color w:val="000000"/>
          <w:u w:val="single"/>
        </w:rPr>
        <w:br w:type="page"/>
      </w:r>
      <w:r w:rsidR="00164FAA">
        <w:rPr>
          <w:rFonts w:ascii="Book Antiqua" w:eastAsia="Book Antiqua" w:hAnsi="Book Antiqua" w:cs="Book Antiqua"/>
          <w:b/>
          <w:caps/>
          <w:color w:val="000000"/>
          <w:u w:val="single"/>
        </w:rPr>
        <w:lastRenderedPageBreak/>
        <w:t>INTRODUCTION</w:t>
      </w:r>
    </w:p>
    <w:p w14:paraId="28AA3A29" w14:textId="2F3AB449"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Locally advanced carcinoma of the pancreatic head or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often involves the portal vein (PV) and/or the superior mesenteric vein (SMV). Partial removal of the PV or SMV for complete surgical resection of the tumor is </w:t>
      </w:r>
      <w:proofErr w:type="gramStart"/>
      <w:r>
        <w:rPr>
          <w:rFonts w:ascii="Book Antiqua" w:eastAsia="Book Antiqua" w:hAnsi="Book Antiqua" w:cs="Book Antiqua"/>
          <w:color w:val="000000"/>
        </w:rPr>
        <w:t>indicated</w:t>
      </w:r>
      <w:r>
        <w:rPr>
          <w:rFonts w:ascii="Book Antiqua" w:eastAsia="Book Antiqua" w:hAnsi="Book Antiqua" w:cs="Book Antiqua"/>
          <w:color w:val="000000"/>
          <w:vertAlign w:val="superscript"/>
        </w:rPr>
        <w:t>[</w:t>
      </w:r>
      <w:proofErr w:type="gramEnd"/>
      <w:r w:rsidR="00000000">
        <w:fldChar w:fldCharType="begin"/>
      </w:r>
      <w:r w:rsidR="00000000">
        <w:instrText>HYPERLINK \l "_ENREF_1" \o "Riediger, 2006 #1"</w:instrText>
      </w:r>
      <w:r w:rsidR="00000000">
        <w:fldChar w:fldCharType="separate"/>
      </w:r>
      <w:r>
        <w:rPr>
          <w:rFonts w:ascii="Book Antiqua" w:eastAsia="Book Antiqua" w:hAnsi="Book Antiqua" w:cs="Book Antiqua"/>
          <w:color w:val="000000"/>
          <w:u w:color="0000EE"/>
          <w:vertAlign w:val="superscript"/>
        </w:rPr>
        <w:t>1-4</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graft as a conduit or patch for PV and/or SMV reconstruction is needed. The most commonly used grafts include autogenous, homologous or artificial blood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sidR="00000000">
        <w:fldChar w:fldCharType="begin"/>
      </w:r>
      <w:r w:rsidR="00000000">
        <w:instrText>HYPERLINK \l "_ENREF_5" \o "Wang, 2019 #5"</w:instrText>
      </w:r>
      <w:r w:rsidR="00000000">
        <w:fldChar w:fldCharType="separate"/>
      </w:r>
      <w:r>
        <w:rPr>
          <w:rFonts w:ascii="Book Antiqua" w:eastAsia="Book Antiqua" w:hAnsi="Book Antiqua" w:cs="Book Antiqua"/>
          <w:color w:val="000000"/>
          <w:u w:color="0000EE"/>
          <w:vertAlign w:val="superscript"/>
        </w:rPr>
        <w:t>5-9</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these grafts have their own limitations. Therefore, it is necessary to explore more suitable grafts for PV and/or SMV reconstruction.</w:t>
      </w:r>
      <w:r w:rsidR="00F72623">
        <w:rPr>
          <w:rFonts w:ascii="Book Antiqua" w:eastAsia="Book Antiqua" w:hAnsi="Book Antiqua" w:cs="Book Antiqua"/>
          <w:color w:val="000000"/>
        </w:rPr>
        <w:t xml:space="preserve"> </w:t>
      </w:r>
    </w:p>
    <w:p w14:paraId="2585F96F" w14:textId="77777777"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The ligamentum teres hepatis (LTH) is a fibrous remnant of the obliterated umbilical vein, which has the potential to be used as a graft</w:t>
      </w:r>
      <w:r>
        <w:rPr>
          <w:rFonts w:ascii="Book Antiqua" w:eastAsia="Book Antiqua" w:hAnsi="Book Antiqua" w:cs="Book Antiqua"/>
          <w:color w:val="000000"/>
          <w:vertAlign w:val="superscript"/>
        </w:rPr>
        <w:t>[</w:t>
      </w:r>
      <w:hyperlink w:anchor="_ENREF_10" w:tooltip="Ikegami, 2013 #10" w:history="1">
        <w:r>
          <w:rPr>
            <w:rFonts w:ascii="Book Antiqua" w:eastAsia="Book Antiqua" w:hAnsi="Book Antiqua" w:cs="Book Antiqua"/>
            <w:color w:val="000000"/>
            <w:u w:color="0000EE"/>
            <w:vertAlign w:val="superscript"/>
          </w:rPr>
          <w:t>10</w:t>
        </w:r>
      </w:hyperlink>
      <w:r>
        <w:rPr>
          <w:rFonts w:ascii="Book Antiqua" w:eastAsia="Book Antiqua" w:hAnsi="Book Antiqua" w:cs="Book Antiqua"/>
          <w:color w:val="000000"/>
          <w:vertAlign w:val="superscript"/>
        </w:rPr>
        <w:t>,</w:t>
      </w:r>
      <w:hyperlink w:anchor="_ENREF_11" w:tooltip="Stuben, 2019 #11" w:history="1">
        <w:r>
          <w:rPr>
            <w:rFonts w:ascii="Book Antiqua" w:eastAsia="Book Antiqua" w:hAnsi="Book Antiqua" w:cs="Book Antiqua"/>
            <w:color w:val="000000"/>
            <w:u w:color="0000EE"/>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the 1990s, the LTH has been described as a graft for reconstruction of the biliary tract, stomach or </w:t>
      </w:r>
      <w:proofErr w:type="gramStart"/>
      <w:r>
        <w:rPr>
          <w:rFonts w:ascii="Book Antiqua" w:eastAsia="Book Antiqua" w:hAnsi="Book Antiqua" w:cs="Book Antiqua"/>
          <w:color w:val="000000"/>
        </w:rPr>
        <w:t>duodenum</w:t>
      </w:r>
      <w:r>
        <w:rPr>
          <w:rFonts w:ascii="Book Antiqua" w:eastAsia="Book Antiqua" w:hAnsi="Book Antiqua" w:cs="Book Antiqua"/>
          <w:color w:val="000000"/>
          <w:vertAlign w:val="superscript"/>
        </w:rPr>
        <w:t>[</w:t>
      </w:r>
      <w:proofErr w:type="gramEnd"/>
      <w:r w:rsidR="00000000">
        <w:fldChar w:fldCharType="begin"/>
      </w:r>
      <w:r w:rsidR="00000000">
        <w:instrText>HYPERLINK \l "_ENREF_12" \o "Costalat, 1995 #12"</w:instrText>
      </w:r>
      <w:r w:rsidR="00000000">
        <w:fldChar w:fldCharType="separate"/>
      </w:r>
      <w:r>
        <w:rPr>
          <w:rFonts w:ascii="Book Antiqua" w:eastAsia="Book Antiqua" w:hAnsi="Book Antiqua" w:cs="Book Antiqua"/>
          <w:color w:val="000000"/>
          <w:u w:color="0000EE"/>
          <w:vertAlign w:val="superscript"/>
        </w:rPr>
        <w:t>12-14</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there are few studies on the use of LTH as a vascular graft during a pancreatoduodenectomy (PD) procedure, and systematic studies have not been performed. The aim of the present study was to understand the vascular characteristics of the LTH in the laboratory and assess clinical outcomes of the LTH as a vascular graft for PV and/or SMV reconstruction in patients with pancreaticobiliary malignancy.</w:t>
      </w:r>
    </w:p>
    <w:p w14:paraId="1FBED631" w14:textId="77777777" w:rsidR="009C5EF3" w:rsidRPr="00364A46" w:rsidRDefault="009C5EF3">
      <w:pPr>
        <w:spacing w:line="360" w:lineRule="auto"/>
        <w:ind w:firstLine="480"/>
        <w:jc w:val="both"/>
        <w:rPr>
          <w:rFonts w:ascii="Book Antiqua" w:hAnsi="Book Antiqua"/>
        </w:rPr>
      </w:pPr>
    </w:p>
    <w:p w14:paraId="772BD87C"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81D0036" w14:textId="77777777" w:rsidR="009C5EF3" w:rsidRPr="00364A46" w:rsidRDefault="00164FAA">
      <w:pPr>
        <w:spacing w:line="360" w:lineRule="auto"/>
        <w:jc w:val="both"/>
        <w:rPr>
          <w:rFonts w:ascii="Book Antiqua" w:hAnsi="Book Antiqua"/>
          <w:i/>
        </w:rPr>
      </w:pPr>
      <w:r>
        <w:rPr>
          <w:rFonts w:ascii="Book Antiqua" w:eastAsia="Book Antiqua" w:hAnsi="Book Antiqua" w:cs="Book Antiqua"/>
          <w:b/>
          <w:bCs/>
          <w:i/>
          <w:iCs/>
          <w:color w:val="000000"/>
        </w:rPr>
        <w:t>Morphometric study</w:t>
      </w:r>
    </w:p>
    <w:p w14:paraId="3B9DF880" w14:textId="78800D3D"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Collection of LTH specimens:</w:t>
      </w:r>
      <w:r w:rsidRPr="00364A46">
        <w:rPr>
          <w:rFonts w:ascii="Book Antiqua" w:hAnsi="Book Antiqua"/>
          <w:b/>
        </w:rPr>
        <w:t xml:space="preserve"> </w:t>
      </w:r>
      <w:r>
        <w:rPr>
          <w:rFonts w:ascii="Book Antiqua" w:eastAsia="Book Antiqua" w:hAnsi="Book Antiqua" w:cs="Book Antiqua"/>
          <w:color w:val="000000"/>
        </w:rPr>
        <w:t xml:space="preserve">LTHs were obtained from 107 patients undergoing upper abdominal surgery in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The surgical procedures included radical resections for gastric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54), hilar cholangiocarcinoma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27) and pancreatic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26).</w:t>
      </w:r>
    </w:p>
    <w:p w14:paraId="36531B05" w14:textId="77777777" w:rsidR="009C5EF3" w:rsidRPr="00364A46" w:rsidRDefault="009C5EF3">
      <w:pPr>
        <w:spacing w:line="360" w:lineRule="auto"/>
        <w:jc w:val="both"/>
        <w:rPr>
          <w:rFonts w:ascii="Book Antiqua" w:hAnsi="Book Antiqua"/>
        </w:rPr>
      </w:pPr>
    </w:p>
    <w:p w14:paraId="2D406476" w14:textId="6388D0C6"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Specimen harvest and preparation:</w:t>
      </w:r>
      <w:r w:rsidRPr="00364A46">
        <w:rPr>
          <w:rFonts w:ascii="Book Antiqua" w:hAnsi="Book Antiqua"/>
          <w:b/>
        </w:rPr>
        <w:t xml:space="preserve"> </w:t>
      </w:r>
      <w:r>
        <w:rPr>
          <w:rFonts w:ascii="Book Antiqua" w:eastAsia="Book Antiqua" w:hAnsi="Book Antiqua" w:cs="Book Antiqua"/>
          <w:color w:val="000000"/>
        </w:rPr>
        <w:t>During the procedure, the entire LTH was excised. After removing the superficial fat layer, the LTH was placed in normal saline.</w:t>
      </w:r>
    </w:p>
    <w:p w14:paraId="1A5ACDF3" w14:textId="77777777" w:rsidR="009C5EF3" w:rsidRPr="00364A46" w:rsidRDefault="009C5EF3">
      <w:pPr>
        <w:spacing w:line="360" w:lineRule="auto"/>
        <w:jc w:val="both"/>
        <w:rPr>
          <w:rFonts w:ascii="Book Antiqua" w:hAnsi="Book Antiqua"/>
        </w:rPr>
      </w:pPr>
    </w:p>
    <w:p w14:paraId="289B96E8" w14:textId="22E86622"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Recanalization of LTH:</w:t>
      </w:r>
      <w:r w:rsidRPr="00364A46">
        <w:rPr>
          <w:rFonts w:ascii="Book Antiqua" w:hAnsi="Book Antiqua"/>
          <w:b/>
        </w:rPr>
        <w:t xml:space="preserve"> </w:t>
      </w:r>
      <w:r>
        <w:rPr>
          <w:rFonts w:ascii="Book Antiqua" w:eastAsia="Book Antiqua" w:hAnsi="Book Antiqua" w:cs="Book Antiqua"/>
          <w:color w:val="000000"/>
        </w:rPr>
        <w:t xml:space="preserve">The remnant lumen of the LTH was identified and recanalized using a mosquito clamp (Figure 1A) and a 3 mm probe (Figure 1B), then gradually dilated using probes of 5-10 mm in diameter until the endothelial creases completely </w:t>
      </w:r>
      <w:r>
        <w:rPr>
          <w:rFonts w:ascii="Book Antiqua" w:eastAsia="Book Antiqua" w:hAnsi="Book Antiqua" w:cs="Book Antiqua"/>
          <w:color w:val="000000"/>
        </w:rPr>
        <w:lastRenderedPageBreak/>
        <w:t>disappeared. The distal end of the LTH was tightly clamped, and a bolus of normal saline was injected into the lumen from the proximal end to further enlarge the lumen (Figure 1C).</w:t>
      </w:r>
    </w:p>
    <w:p w14:paraId="73F8FB86" w14:textId="77777777" w:rsidR="009C5EF3" w:rsidRPr="00364A46" w:rsidRDefault="009C5EF3">
      <w:pPr>
        <w:spacing w:line="360" w:lineRule="auto"/>
        <w:jc w:val="both"/>
        <w:rPr>
          <w:rFonts w:ascii="Book Antiqua" w:hAnsi="Book Antiqua"/>
        </w:rPr>
      </w:pPr>
    </w:p>
    <w:p w14:paraId="31D63B31" w14:textId="48A2FE3E"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Measurement of the recanalized LTH:</w:t>
      </w:r>
      <w:r w:rsidRPr="00364A46">
        <w:rPr>
          <w:rFonts w:ascii="Book Antiqua" w:hAnsi="Book Antiqua"/>
          <w:b/>
        </w:rPr>
        <w:t xml:space="preserve"> </w:t>
      </w:r>
      <w:r>
        <w:rPr>
          <w:rFonts w:ascii="Book Antiqua" w:eastAsia="Book Antiqua" w:hAnsi="Book Antiqua" w:cs="Book Antiqua"/>
          <w:color w:val="000000"/>
        </w:rPr>
        <w:t>The length and the outer diameter of the recanalized LTH were measured using a ruler and Vernier calipers, respectively, at a hydrostatic pressure of 30 cm H</w:t>
      </w:r>
      <w:r>
        <w:rPr>
          <w:rFonts w:ascii="Book Antiqua" w:eastAsia="Book Antiqua" w:hAnsi="Book Antiqua" w:cs="Book Antiqua"/>
          <w:color w:val="000000"/>
          <w:vertAlign w:val="subscript"/>
        </w:rPr>
        <w:t>2</w:t>
      </w:r>
      <w:r>
        <w:rPr>
          <w:rFonts w:ascii="Book Antiqua" w:eastAsia="Book Antiqua" w:hAnsi="Book Antiqua" w:cs="Book Antiqua"/>
          <w:color w:val="000000"/>
        </w:rPr>
        <w:t>O. The diameters of the LTH vessels were measured at 1 cm intervals over the entire length of the vessel.</w:t>
      </w:r>
    </w:p>
    <w:p w14:paraId="02A995DB" w14:textId="77777777" w:rsidR="009C5EF3" w:rsidRPr="00364A46" w:rsidRDefault="009C5EF3">
      <w:pPr>
        <w:spacing w:line="360" w:lineRule="auto"/>
        <w:jc w:val="both"/>
        <w:rPr>
          <w:rFonts w:ascii="Book Antiqua" w:hAnsi="Book Antiqua"/>
        </w:rPr>
      </w:pPr>
    </w:p>
    <w:p w14:paraId="3EE697E0" w14:textId="77777777" w:rsidR="009C5EF3" w:rsidRPr="00364A46" w:rsidRDefault="00164FAA">
      <w:pPr>
        <w:spacing w:line="360" w:lineRule="auto"/>
        <w:jc w:val="both"/>
        <w:rPr>
          <w:rFonts w:ascii="Book Antiqua" w:hAnsi="Book Antiqua"/>
          <w:i/>
        </w:rPr>
      </w:pPr>
      <w:r>
        <w:rPr>
          <w:rFonts w:ascii="Book Antiqua" w:eastAsia="Book Antiqua" w:hAnsi="Book Antiqua" w:cs="Book Antiqua"/>
          <w:b/>
          <w:bCs/>
          <w:i/>
          <w:iCs/>
          <w:color w:val="000000"/>
        </w:rPr>
        <w:t>Histological and immunohistochemical studies</w:t>
      </w:r>
    </w:p>
    <w:p w14:paraId="2F5D3163" w14:textId="593F5903"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Specimen harvest and preparation of LTH and PV:</w:t>
      </w:r>
      <w:r w:rsidRPr="00364A46">
        <w:rPr>
          <w:rFonts w:ascii="Book Antiqua" w:hAnsi="Book Antiqua"/>
          <w:b/>
        </w:rPr>
        <w:t xml:space="preserve"> </w:t>
      </w:r>
      <w:r>
        <w:rPr>
          <w:rFonts w:ascii="Book Antiqua" w:eastAsia="Book Antiqua" w:hAnsi="Book Antiqua" w:cs="Book Antiqua"/>
          <w:color w:val="000000"/>
        </w:rPr>
        <w:t xml:space="preserve">Forty LTH specimens were obtained from patients undergoing upper abdominal surgery at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and PV specimens were obtained from 40 donor livers at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LTH and PV specimens were fixed with 10% neutral formaldehyde solution and embedded in paraffin. Cross sections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were prepared for hematoxylin and eosin</w:t>
      </w:r>
      <w:r w:rsidR="00F72623">
        <w:rPr>
          <w:rFonts w:ascii="Book Antiqua" w:eastAsia="Book Antiqua" w:hAnsi="Book Antiqua" w:cs="Book Antiqua"/>
          <w:color w:val="000000"/>
        </w:rPr>
        <w:t xml:space="preserve"> (HE),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Verhoeff</w:t>
      </w:r>
      <w:proofErr w:type="spellEnd"/>
      <w:r>
        <w:rPr>
          <w:rFonts w:ascii="Book Antiqua" w:eastAsia="Book Antiqua" w:hAnsi="Book Antiqua" w:cs="Book Antiqua"/>
          <w:color w:val="000000"/>
        </w:rPr>
        <w:t xml:space="preserve">-Van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(VVG</w:t>
      </w:r>
      <w:r w:rsidR="00F72623">
        <w:rPr>
          <w:rFonts w:ascii="Book Antiqua" w:eastAsia="Book Antiqua" w:hAnsi="Book Antiqua" w:cs="Book Antiqua"/>
          <w:color w:val="000000"/>
        </w:rPr>
        <w:t>),</w:t>
      </w:r>
      <w:r>
        <w:rPr>
          <w:rFonts w:ascii="Book Antiqua" w:eastAsia="Book Antiqua" w:hAnsi="Book Antiqua" w:cs="Book Antiqua"/>
          <w:color w:val="000000"/>
        </w:rPr>
        <w:t xml:space="preserve"> and immunohistochemistry staining.</w:t>
      </w:r>
    </w:p>
    <w:p w14:paraId="253C789C" w14:textId="0FE21514"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The solutions purchased from Shanghai Sheng Gong Biological Engineering Technology Service (Shanghai, China) included hematoxylin, eosin, 10% and 2% FeCl</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Weigert’s</w:t>
      </w:r>
      <w:proofErr w:type="spellEnd"/>
      <w:r>
        <w:rPr>
          <w:rFonts w:ascii="Book Antiqua" w:eastAsia="Book Antiqua" w:hAnsi="Book Antiqua" w:cs="Book Antiqua"/>
          <w:color w:val="000000"/>
        </w:rPr>
        <w:t xml:space="preserve"> iodine, 5% sodium thiosulfate, VVG stain and </w:t>
      </w:r>
      <w:r w:rsidR="00F72623">
        <w:rPr>
          <w:rFonts w:ascii="Book Antiqua" w:eastAsia="Book Antiqua" w:hAnsi="Book Antiqua" w:cs="Book Antiqua"/>
          <w:color w:val="000000"/>
        </w:rPr>
        <w:t>phosphate-buffered saline (</w:t>
      </w:r>
      <w:r>
        <w:rPr>
          <w:rFonts w:ascii="Book Antiqua" w:eastAsia="Book Antiqua" w:hAnsi="Book Antiqua" w:cs="Book Antiqua"/>
          <w:color w:val="000000"/>
        </w:rPr>
        <w:t>PBS</w:t>
      </w:r>
      <w:r w:rsidR="00F72623">
        <w:rPr>
          <w:rFonts w:ascii="Book Antiqua" w:eastAsia="Book Antiqua" w:hAnsi="Book Antiqua" w:cs="Book Antiqua"/>
          <w:color w:val="000000"/>
        </w:rPr>
        <w:t>).</w:t>
      </w:r>
      <w:r>
        <w:rPr>
          <w:rFonts w:ascii="Book Antiqua" w:eastAsia="Book Antiqua" w:hAnsi="Book Antiqua" w:cs="Book Antiqua"/>
          <w:color w:val="000000"/>
        </w:rPr>
        <w:t xml:space="preserve"> Mouse monoclonal anti-human CD34, rabbit monoclonal anti-human factor VIII-related antigen (</w:t>
      </w:r>
      <w:proofErr w:type="spellStart"/>
      <w:r>
        <w:rPr>
          <w:rFonts w:ascii="Book Antiqua" w:eastAsia="Book Antiqua" w:hAnsi="Book Antiqua" w:cs="Book Antiqua"/>
          <w:color w:val="000000"/>
        </w:rPr>
        <w:t>FVIIIAg</w:t>
      </w:r>
      <w:proofErr w:type="spellEnd"/>
      <w:r>
        <w:rPr>
          <w:rFonts w:ascii="Book Antiqua" w:eastAsia="Book Antiqua" w:hAnsi="Book Antiqua" w:cs="Book Antiqua"/>
          <w:color w:val="000000"/>
        </w:rPr>
        <w:t>), rabbit polyclonal anti-human endothelial nitric oxide synthase (</w:t>
      </w:r>
      <w:proofErr w:type="spellStart"/>
      <w:r>
        <w:rPr>
          <w:rFonts w:ascii="Book Antiqua" w:eastAsia="Book Antiqua" w:hAnsi="Book Antiqua" w:cs="Book Antiqua"/>
          <w:color w:val="000000"/>
        </w:rPr>
        <w:t>eNOS</w:t>
      </w:r>
      <w:proofErr w:type="spellEnd"/>
      <w:r w:rsidR="00F72623">
        <w:rPr>
          <w:rFonts w:ascii="Book Antiqua" w:eastAsia="Book Antiqua" w:hAnsi="Book Antiqua" w:cs="Book Antiqua"/>
          <w:color w:val="000000"/>
        </w:rPr>
        <w:t>),</w:t>
      </w:r>
      <w:r>
        <w:rPr>
          <w:rFonts w:ascii="Book Antiqua" w:eastAsia="Book Antiqua" w:hAnsi="Book Antiqua" w:cs="Book Antiqua"/>
          <w:color w:val="000000"/>
        </w:rPr>
        <w:t xml:space="preserve"> and rabbit polyclonal anti-human tissue type plasminogen activator (t-PA) antibodies were purchased from Santa Cruz Biotechnology (CA, United States). SP-9000 </w:t>
      </w:r>
      <w:proofErr w:type="spellStart"/>
      <w:r>
        <w:rPr>
          <w:rFonts w:ascii="Book Antiqua" w:eastAsia="Book Antiqua" w:hAnsi="Book Antiqua" w:cs="Book Antiqua"/>
          <w:color w:val="000000"/>
        </w:rPr>
        <w:t>Histostain</w:t>
      </w:r>
      <w:proofErr w:type="spellEnd"/>
      <w:r>
        <w:rPr>
          <w:rFonts w:ascii="Book Antiqua" w:eastAsia="Book Antiqua" w:hAnsi="Book Antiqua" w:cs="Book Antiqua"/>
          <w:color w:val="000000"/>
        </w:rPr>
        <w:t xml:space="preserve"> TM-plus kits and concentrated ZLI-9031 diaminobenzidine </w:t>
      </w:r>
      <w:r w:rsidR="00F72623">
        <w:rPr>
          <w:rFonts w:ascii="Book Antiqua" w:eastAsia="Book Antiqua" w:hAnsi="Book Antiqua" w:cs="Book Antiqua"/>
          <w:color w:val="000000"/>
        </w:rPr>
        <w:t xml:space="preserve">(DAB) </w:t>
      </w:r>
      <w:r>
        <w:rPr>
          <w:rFonts w:ascii="Book Antiqua" w:eastAsia="Book Antiqua" w:hAnsi="Book Antiqua" w:cs="Book Antiqua"/>
          <w:color w:val="000000"/>
        </w:rPr>
        <w:t xml:space="preserve">kits were purchased from Beijing Zhongshan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xml:space="preserve"> Biotechnology (Beijing, China).</w:t>
      </w:r>
    </w:p>
    <w:p w14:paraId="1BEBC3C1" w14:textId="518E8EB8"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Determination of the relative contents of collagen fibers (CFs), elastic fibers (EFs) and smooth muscle (SM) was performed in 40 sections of both LTHs and PVs. Sections were deparaffinized with xylene and</w:t>
      </w:r>
      <w:r>
        <w:rPr>
          <w:rFonts w:ascii="Book Antiqua" w:eastAsia="Book Antiqua" w:hAnsi="Book Antiqua" w:cs="Book Antiqua"/>
          <w:b/>
          <w:bCs/>
          <w:color w:val="000000"/>
        </w:rPr>
        <w:t xml:space="preserve"> </w:t>
      </w:r>
      <w:r>
        <w:rPr>
          <w:rFonts w:ascii="Book Antiqua" w:eastAsia="Book Antiqua" w:hAnsi="Book Antiqua" w:cs="Book Antiqua"/>
          <w:color w:val="000000"/>
        </w:rPr>
        <w:t>immersed in VVG working solution to stain for 1 h. The sections were rinsed three times with distilled water and then immersed in 2% FeCl</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for </w:t>
      </w:r>
      <w:r>
        <w:rPr>
          <w:rFonts w:ascii="Book Antiqua" w:eastAsia="Book Antiqua" w:hAnsi="Book Antiqua" w:cs="Book Antiqua"/>
          <w:color w:val="000000"/>
        </w:rPr>
        <w:lastRenderedPageBreak/>
        <w:t xml:space="preserve">2 min for color separation. After immersion in 5% sodium thiosulfate solution for 1 min, the sections were washed with running water for 5 min, then </w:t>
      </w:r>
      <w:proofErr w:type="spellStart"/>
      <w:r>
        <w:rPr>
          <w:rFonts w:ascii="Book Antiqua" w:eastAsia="Book Antiqua" w:hAnsi="Book Antiqua" w:cs="Book Antiqua"/>
          <w:color w:val="000000"/>
        </w:rPr>
        <w:t>restained</w:t>
      </w:r>
      <w:proofErr w:type="spellEnd"/>
      <w:r>
        <w:rPr>
          <w:rFonts w:ascii="Book Antiqua" w:eastAsia="Book Antiqua" w:hAnsi="Book Antiqua" w:cs="Book Antiqua"/>
          <w:color w:val="000000"/>
        </w:rPr>
        <w:t xml:space="preserve"> with VVG staining solution for 5 min. The sections were rapidly dehydrated with a gradient alcohol series and cleared with xylene before sealing with </w:t>
      </w:r>
      <w:proofErr w:type="spellStart"/>
      <w:r>
        <w:rPr>
          <w:rFonts w:ascii="Book Antiqua" w:eastAsia="Book Antiqua" w:hAnsi="Book Antiqua" w:cs="Book Antiqua"/>
          <w:color w:val="000000"/>
        </w:rPr>
        <w:t>Rhamsan</w:t>
      </w:r>
      <w:proofErr w:type="spellEnd"/>
      <w:r>
        <w:rPr>
          <w:rFonts w:ascii="Book Antiqua" w:eastAsia="Book Antiqua" w:hAnsi="Book Antiqua" w:cs="Book Antiqua"/>
          <w:color w:val="000000"/>
        </w:rPr>
        <w:t xml:space="preserve"> gum. Under a light microscope, the left intersection point of the horizontal axis and LTH rings were used as the sampling window. Forty fields from 40 sections (one field/section) of both LTH and PV tissues were selected at a high magnification (× 400). Using the </w:t>
      </w:r>
      <w:proofErr w:type="spellStart"/>
      <w:r>
        <w:rPr>
          <w:rFonts w:ascii="Book Antiqua" w:eastAsia="Book Antiqua" w:hAnsi="Book Antiqua" w:cs="Book Antiqua"/>
          <w:color w:val="000000"/>
        </w:rPr>
        <w:t>Motic</w:t>
      </w:r>
      <w:proofErr w:type="spellEnd"/>
      <w:r>
        <w:rPr>
          <w:rFonts w:ascii="Book Antiqua" w:eastAsia="Book Antiqua" w:hAnsi="Book Antiqua" w:cs="Book Antiqua"/>
          <w:color w:val="000000"/>
        </w:rPr>
        <w:t xml:space="preserve"> medical image analysis system (MMD6.0 A), the relative content of EFs, CFs and SM in the wall of LTH and PV specimens were analyzed.</w:t>
      </w:r>
    </w:p>
    <w:p w14:paraId="3EC176BD" w14:textId="359E62D9" w:rsidR="009C5EF3" w:rsidRPr="00364A46" w:rsidRDefault="00164FAA">
      <w:pPr>
        <w:spacing w:line="360" w:lineRule="auto"/>
        <w:ind w:firstLine="420"/>
        <w:jc w:val="both"/>
        <w:rPr>
          <w:rFonts w:ascii="Book Antiqua" w:hAnsi="Book Antiqua"/>
        </w:rPr>
      </w:pPr>
      <w:r>
        <w:rPr>
          <w:rFonts w:ascii="Book Antiqua" w:eastAsia="Book Antiqua" w:hAnsi="Book Antiqua" w:cs="Book Antiqua"/>
          <w:color w:val="000000"/>
        </w:rPr>
        <w:t>Detection of the distribution and function of LTH endothelial cells was also performed in 40 sections of both LTHs and PVs. Sections were deparaffinized with xylene and immersed in 3%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solution to inactivate endogenous enzymes. The sections were then washed with PBS prior to heat-induced antigen retrieval and incubated with normal goat serum at room temperature for 15 min. Then, the sections were incubated with primary antibodies, including anti-CD34 (1:100 dilution), anti-</w:t>
      </w:r>
      <w:proofErr w:type="spellStart"/>
      <w:r>
        <w:rPr>
          <w:rFonts w:ascii="Book Antiqua" w:eastAsia="Book Antiqua" w:hAnsi="Book Antiqua" w:cs="Book Antiqua"/>
          <w:color w:val="000000"/>
        </w:rPr>
        <w:t>FVIIIAg</w:t>
      </w:r>
      <w:proofErr w:type="spellEnd"/>
      <w:r>
        <w:rPr>
          <w:rFonts w:ascii="Book Antiqua" w:eastAsia="Book Antiqua" w:hAnsi="Book Antiqua" w:cs="Book Antiqua"/>
          <w:color w:val="000000"/>
        </w:rPr>
        <w:t xml:space="preserve"> (1:50 dilution), anti-</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(1:200 dilution) and anti-t-PA (1:200 dilution). After overnight incubation at 4 °C, sections were incubated with secondary antibodies (biotinylated universal secondary antibody, ready-to-use secondary antibody) for 15 min at 37 ºC. Next, sections were incubated with horseradish peroxidase streptavidin for 15 min at 37 ºC followed by the </w:t>
      </w:r>
      <w:r w:rsidR="00F72623">
        <w:rPr>
          <w:rFonts w:ascii="Book Antiqua" w:eastAsia="Book Antiqua" w:hAnsi="Book Antiqua" w:cs="Book Antiqua"/>
          <w:color w:val="000000"/>
        </w:rPr>
        <w:t>DAB</w:t>
      </w:r>
      <w:r>
        <w:rPr>
          <w:rFonts w:ascii="Book Antiqua" w:eastAsia="Book Antiqua" w:hAnsi="Book Antiqua" w:cs="Book Antiqua"/>
          <w:color w:val="000000"/>
        </w:rPr>
        <w:t xml:space="preserve"> reagent for 3-10 min to visualize color. The reaction time was controlled by observation under a light microscope. The sections were counterstained with hematoxylin for 5 min. After dehydration and clearing, the sections were sealed with </w:t>
      </w:r>
      <w:proofErr w:type="spellStart"/>
      <w:r>
        <w:rPr>
          <w:rFonts w:ascii="Book Antiqua" w:eastAsia="Book Antiqua" w:hAnsi="Book Antiqua" w:cs="Book Antiqua"/>
          <w:color w:val="000000"/>
        </w:rPr>
        <w:t>Rhamsan</w:t>
      </w:r>
      <w:proofErr w:type="spellEnd"/>
      <w:r>
        <w:rPr>
          <w:rFonts w:ascii="Book Antiqua" w:eastAsia="Book Antiqua" w:hAnsi="Book Antiqua" w:cs="Book Antiqua"/>
          <w:color w:val="000000"/>
        </w:rPr>
        <w:t xml:space="preserve"> gum and observed.</w:t>
      </w:r>
      <w:r w:rsidR="00F72623">
        <w:rPr>
          <w:rFonts w:ascii="Book Antiqua" w:eastAsia="Book Antiqua" w:hAnsi="Book Antiqua" w:cs="Book Antiqua"/>
          <w:color w:val="000000"/>
        </w:rPr>
        <w:t xml:space="preserve"> </w:t>
      </w:r>
    </w:p>
    <w:p w14:paraId="1EF51045" w14:textId="77777777" w:rsidR="009C5EF3" w:rsidRPr="00364A46" w:rsidRDefault="009C5EF3">
      <w:pPr>
        <w:spacing w:line="360" w:lineRule="auto"/>
        <w:ind w:firstLine="420"/>
        <w:jc w:val="both"/>
        <w:rPr>
          <w:rFonts w:ascii="Book Antiqua" w:hAnsi="Book Antiqua"/>
        </w:rPr>
      </w:pPr>
    </w:p>
    <w:p w14:paraId="3A7DF837" w14:textId="77777777" w:rsidR="009C5EF3" w:rsidRPr="00364A46" w:rsidRDefault="00164FAA">
      <w:pPr>
        <w:spacing w:line="360" w:lineRule="auto"/>
        <w:jc w:val="both"/>
        <w:rPr>
          <w:rFonts w:ascii="Book Antiqua" w:hAnsi="Book Antiqua"/>
          <w:i/>
        </w:rPr>
      </w:pPr>
      <w:r>
        <w:rPr>
          <w:rFonts w:ascii="Book Antiqua" w:eastAsia="Book Antiqua" w:hAnsi="Book Antiqua" w:cs="Book Antiqua"/>
          <w:b/>
          <w:bCs/>
          <w:i/>
          <w:iCs/>
          <w:color w:val="000000"/>
        </w:rPr>
        <w:t>Clinical study</w:t>
      </w:r>
    </w:p>
    <w:p w14:paraId="0DA824F5" w14:textId="7DD0B0B8"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Subjects:</w:t>
      </w:r>
      <w:r w:rsidRPr="00364A46">
        <w:rPr>
          <w:rFonts w:ascii="Book Antiqua" w:hAnsi="Book Antiqua"/>
          <w:b/>
        </w:rPr>
        <w:t xml:space="preserve"> </w:t>
      </w:r>
      <w:r>
        <w:rPr>
          <w:rFonts w:ascii="Book Antiqua" w:eastAsia="Book Antiqua" w:hAnsi="Book Antiqua" w:cs="Book Antiqua"/>
          <w:color w:val="000000"/>
        </w:rPr>
        <w:t xml:space="preserve">Two hundred and sixty-four patients underwent a PD procedure at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from September 2003 to July 2019. Among the 264 patients, 39 patients underwent PD combined with PV and/or SMV resection. The vascular resection rate was 14.77%. Among these 39 patients, 26 patients underwent PD combined with PV and/or SMV resection and reconstruction using a recanalized LTH and were </w:t>
      </w:r>
      <w:r>
        <w:rPr>
          <w:rFonts w:ascii="Book Antiqua" w:eastAsia="Book Antiqua" w:hAnsi="Book Antiqua" w:cs="Book Antiqua"/>
          <w:color w:val="000000"/>
        </w:rPr>
        <w:lastRenderedPageBreak/>
        <w:t xml:space="preserve">included in this study. Among the 26 patients, 25 patients underwent an open PD, and 1 patient underwent a laparoscopic PD. All 26 patients were evaluated preoperatively by physical examination and blood tests. Contrast-enhanced computed tomography </w:t>
      </w:r>
      <w:r w:rsidR="00F72623">
        <w:rPr>
          <w:rFonts w:ascii="Book Antiqua" w:eastAsia="Book Antiqua" w:hAnsi="Book Antiqua" w:cs="Book Antiqua"/>
          <w:color w:val="000000"/>
        </w:rPr>
        <w:t xml:space="preserve">(CT) </w:t>
      </w:r>
      <w:r>
        <w:rPr>
          <w:rFonts w:ascii="Book Antiqua" w:eastAsia="Book Antiqua" w:hAnsi="Book Antiqua" w:cs="Book Antiqua"/>
          <w:color w:val="000000"/>
        </w:rPr>
        <w:t>was performed to assess the status of vascular infiltration.</w:t>
      </w:r>
    </w:p>
    <w:p w14:paraId="069E8FB8" w14:textId="7973E2B4"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Inclusion criteria included: (1) Patients who underwent PD combined with PV and/or SMV resection and reconstruction with LTH for malignant tumors of the bile duct, pancreas, </w:t>
      </w:r>
      <w:proofErr w:type="spellStart"/>
      <w:r>
        <w:rPr>
          <w:rFonts w:ascii="Book Antiqua" w:eastAsia="Book Antiqua" w:hAnsi="Book Antiqua" w:cs="Book Antiqua"/>
          <w:color w:val="000000"/>
        </w:rPr>
        <w:t>Vater’s</w:t>
      </w:r>
      <w:proofErr w:type="spellEnd"/>
      <w:r>
        <w:rPr>
          <w:rFonts w:ascii="Book Antiqua" w:eastAsia="Book Antiqua" w:hAnsi="Book Antiqua" w:cs="Book Antiqua"/>
          <w:color w:val="000000"/>
        </w:rPr>
        <w:t xml:space="preserve"> ampulla and duodenum; and (2) Clinical data were available.</w:t>
      </w:r>
    </w:p>
    <w:p w14:paraId="0BFC289D" w14:textId="6CE8FD3F"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Exclusion criteria included: (1) Patients who underwent PD combined with PV and/or SMV resection and reconstruction without grafts or using other grafts; and (2) Patients whose clinical data were not available.</w:t>
      </w:r>
    </w:p>
    <w:p w14:paraId="63AECD4C" w14:textId="77777777" w:rsidR="009C5EF3" w:rsidRPr="00364A46" w:rsidRDefault="009C5EF3" w:rsidP="00364A46">
      <w:pPr>
        <w:spacing w:line="360" w:lineRule="auto"/>
        <w:jc w:val="both"/>
        <w:rPr>
          <w:rFonts w:ascii="Book Antiqua" w:hAnsi="Book Antiqua"/>
        </w:rPr>
      </w:pPr>
    </w:p>
    <w:p w14:paraId="4406DAA4" w14:textId="77777777" w:rsidR="009C5EF3" w:rsidRPr="00364A46" w:rsidRDefault="00164FAA">
      <w:pPr>
        <w:spacing w:line="360" w:lineRule="auto"/>
        <w:jc w:val="both"/>
        <w:rPr>
          <w:rFonts w:ascii="Book Antiqua" w:hAnsi="Book Antiqua"/>
          <w:i/>
        </w:rPr>
      </w:pPr>
      <w:r>
        <w:rPr>
          <w:rFonts w:ascii="Book Antiqua" w:eastAsia="Book Antiqua" w:hAnsi="Book Antiqua" w:cs="Book Antiqua"/>
          <w:b/>
          <w:bCs/>
          <w:i/>
          <w:iCs/>
          <w:color w:val="000000"/>
        </w:rPr>
        <w:t>Surgical procedure</w:t>
      </w:r>
    </w:p>
    <w:p w14:paraId="55FE8CFC" w14:textId="4148421D"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Preparation of LTH grafts:</w:t>
      </w:r>
      <w:r w:rsidRPr="00364A46">
        <w:rPr>
          <w:rFonts w:ascii="Book Antiqua" w:hAnsi="Book Antiqua"/>
          <w:b/>
        </w:rPr>
        <w:t xml:space="preserve"> </w:t>
      </w:r>
      <w:r>
        <w:rPr>
          <w:rFonts w:ascii="Book Antiqua" w:eastAsia="Book Antiqua" w:hAnsi="Book Antiqua" w:cs="Book Antiqua"/>
          <w:color w:val="000000"/>
        </w:rPr>
        <w:t>Based on the intraoperative findings, if there was PV and/or SMV involvement of more than one-third of the circumference and 3 cm in length, then resection and reconstruction of the involved vein was performed. The LTH was then excised and recanalized as described above. After recanalization, LTH was trimmed into a tubular graft or patch according to the defect extent of the PV and/or SMV. The trimmed LTH was preserved in heparinized saline for grafting.</w:t>
      </w:r>
    </w:p>
    <w:p w14:paraId="21737D5C" w14:textId="77777777" w:rsidR="009C5EF3" w:rsidRPr="00364A46" w:rsidRDefault="009C5EF3">
      <w:pPr>
        <w:spacing w:line="360" w:lineRule="auto"/>
        <w:jc w:val="both"/>
        <w:rPr>
          <w:rFonts w:ascii="Book Antiqua" w:hAnsi="Book Antiqua"/>
        </w:rPr>
      </w:pPr>
    </w:p>
    <w:p w14:paraId="669CF5C8" w14:textId="6AA9430D"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Vascular reconstruction:</w:t>
      </w:r>
      <w:r w:rsidRPr="00364A46">
        <w:rPr>
          <w:rFonts w:ascii="Book Antiqua" w:hAnsi="Book Antiqua"/>
          <w:b/>
        </w:rPr>
        <w:t xml:space="preserve"> </w:t>
      </w:r>
      <w:r>
        <w:rPr>
          <w:rFonts w:ascii="Book Antiqua" w:eastAsia="Book Antiqua" w:hAnsi="Book Antiqua" w:cs="Book Antiqua"/>
          <w:color w:val="000000"/>
        </w:rPr>
        <w:t>The proximal and distal portion of the involved vein was clamped with nontraumatic clips, and the venous occlusion time was documented. The splenic vein</w:t>
      </w:r>
      <w:r w:rsidR="00F72623">
        <w:rPr>
          <w:rFonts w:ascii="Book Antiqua" w:eastAsia="Book Antiqua" w:hAnsi="Book Antiqua" w:cs="Book Antiqua"/>
          <w:color w:val="000000"/>
        </w:rPr>
        <w:t xml:space="preserve"> (SV)</w:t>
      </w:r>
      <w:r>
        <w:rPr>
          <w:rFonts w:ascii="Book Antiqua" w:eastAsia="Book Antiqua" w:hAnsi="Book Antiqua" w:cs="Book Antiqua"/>
          <w:color w:val="000000"/>
        </w:rPr>
        <w:t xml:space="preserve"> was also controlled if needed. The tumor along with the involved PV and/or SMV segment was resected </w:t>
      </w:r>
      <w:proofErr w:type="spellStart"/>
      <w:r w:rsidRPr="00364A46">
        <w:rPr>
          <w:rFonts w:ascii="Book Antiqua" w:hAnsi="Book Antiqua"/>
          <w:color w:val="000000"/>
        </w:rPr>
        <w:t>en</w:t>
      </w:r>
      <w:proofErr w:type="spellEnd"/>
      <w:r>
        <w:rPr>
          <w:rFonts w:ascii="Book Antiqua" w:eastAsia="Book Antiqua" w:hAnsi="Book Antiqua" w:cs="Book Antiqua"/>
          <w:i/>
          <w:iCs/>
          <w:color w:val="000000"/>
        </w:rPr>
        <w:t xml:space="preserve"> </w:t>
      </w:r>
      <w:r w:rsidRPr="00364A46">
        <w:rPr>
          <w:rFonts w:ascii="Book Antiqua" w:hAnsi="Book Antiqua"/>
          <w:color w:val="000000"/>
        </w:rPr>
        <w:t>bloc</w:t>
      </w:r>
      <w:r>
        <w:rPr>
          <w:rFonts w:ascii="Book Antiqua" w:eastAsia="Book Antiqua" w:hAnsi="Book Antiqua" w:cs="Book Antiqua"/>
          <w:color w:val="000000"/>
        </w:rPr>
        <w:t>. If the extent of the PV and/or SMV resection was more than one-third but less than one-half of the circumference of the vein, then a patch of LTH was used for reconstruction (Figure 2A and B, Video 1). If the resected segment of the involved PV and/or SMV was more than 3 cm in length, LTH was used as an interposition graft (Figure 2C and D, Video 2).</w:t>
      </w:r>
    </w:p>
    <w:p w14:paraId="2E8DDED0" w14:textId="7A7E4281"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All anastomoses were performed using continuous 5-0 </w:t>
      </w:r>
      <w:proofErr w:type="spellStart"/>
      <w:r>
        <w:rPr>
          <w:rFonts w:ascii="Book Antiqua" w:eastAsia="Book Antiqua" w:hAnsi="Book Antiqua" w:cs="Book Antiqua"/>
          <w:color w:val="000000"/>
        </w:rPr>
        <w:t>prolene</w:t>
      </w:r>
      <w:proofErr w:type="spellEnd"/>
      <w:r>
        <w:rPr>
          <w:rFonts w:ascii="Book Antiqua" w:eastAsia="Book Antiqua" w:hAnsi="Book Antiqua" w:cs="Book Antiqua"/>
          <w:color w:val="000000"/>
        </w:rPr>
        <w:t xml:space="preserve"> sutures. Before completion of the anastomosis, both the stump of the recipient’s vein and the graft were rinsed with heparinized saline and flushed by release of the PV clamp to remove any </w:t>
      </w:r>
      <w:r>
        <w:rPr>
          <w:rFonts w:ascii="Book Antiqua" w:eastAsia="Book Antiqua" w:hAnsi="Book Antiqua" w:cs="Book Antiqua"/>
          <w:color w:val="000000"/>
        </w:rPr>
        <w:lastRenderedPageBreak/>
        <w:t>clots. Upon completion, the anastomosis was checked for leaks and refilling. The types of surgical procedure, total operative time, estimated blood loss and vascular occlusion time were recorded. The operations were performed by the same surgeon with more than 15 years of experience in hepatobiliary surgery.</w:t>
      </w:r>
    </w:p>
    <w:p w14:paraId="13A98D49" w14:textId="77777777" w:rsidR="009C5EF3" w:rsidRPr="00364A46" w:rsidRDefault="009C5EF3" w:rsidP="00364A46">
      <w:pPr>
        <w:spacing w:line="360" w:lineRule="auto"/>
        <w:jc w:val="both"/>
        <w:rPr>
          <w:rFonts w:ascii="Book Antiqua" w:hAnsi="Book Antiqua"/>
        </w:rPr>
      </w:pPr>
    </w:p>
    <w:p w14:paraId="6A9DD414" w14:textId="0C7BF9E6"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Postoperative management, complications and assessment of vascular patency:</w:t>
      </w:r>
      <w:r w:rsidRPr="00364A46">
        <w:rPr>
          <w:rFonts w:ascii="Book Antiqua" w:hAnsi="Book Antiqua"/>
          <w:b/>
        </w:rPr>
        <w:t xml:space="preserve"> </w:t>
      </w:r>
      <w:r>
        <w:rPr>
          <w:rFonts w:ascii="Book Antiqua" w:eastAsia="Book Antiqua" w:hAnsi="Book Antiqua" w:cs="Book Antiqua"/>
          <w:color w:val="000000"/>
        </w:rPr>
        <w:t>All patients received anticoagulant therapy with low molecular weight heparin (4100 IU; every 12 h)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postoperative week. Aspirin or low-dose warfarin was initiated from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in all patients and continued for 3 mo. The postoperative complications were recorded and classified using the International Study Group of Pancreatic Surgery and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classification</w:t>
      </w:r>
      <w:r>
        <w:rPr>
          <w:rFonts w:ascii="Book Antiqua" w:eastAsia="Book Antiqua" w:hAnsi="Book Antiqua" w:cs="Book Antiqua"/>
          <w:color w:val="000000"/>
          <w:vertAlign w:val="superscript"/>
        </w:rPr>
        <w:t>[</w:t>
      </w:r>
      <w:hyperlink w:anchor="_ENREF_15" w:tooltip="Tan, 2011 #15" w:history="1">
        <w:r>
          <w:rPr>
            <w:rFonts w:ascii="Book Antiqua" w:eastAsia="Book Antiqua" w:hAnsi="Book Antiqua" w:cs="Book Antiqua"/>
            <w:color w:val="000000"/>
            <w:vertAlign w:val="superscript"/>
          </w:rPr>
          <w:t>15</w:t>
        </w:r>
      </w:hyperlink>
      <w:r>
        <w:rPr>
          <w:rFonts w:ascii="Book Antiqua" w:eastAsia="Book Antiqua" w:hAnsi="Book Antiqua" w:cs="Book Antiqua"/>
          <w:color w:val="000000"/>
          <w:vertAlign w:val="superscript"/>
        </w:rPr>
        <w:t>,</w:t>
      </w:r>
      <w:hyperlink w:anchor="_ENREF_16" w:tooltip="Dindo, 2004 #16" w:history="1">
        <w:r>
          <w:rPr>
            <w:rFonts w:ascii="Book Antiqua" w:eastAsia="Book Antiqua" w:hAnsi="Book Antiqua" w:cs="Book Antiqua"/>
            <w:color w:val="000000"/>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PV/SMV blood flow was monitored using Doppler ultrasound. The patency of the reconstructed PV/SMV was evaluated by contrast-enhanced abdominal </w:t>
      </w:r>
      <w:r w:rsidR="00F72623">
        <w:rPr>
          <w:rFonts w:ascii="Book Antiqua" w:eastAsia="Book Antiqua" w:hAnsi="Book Antiqua" w:cs="Book Antiqua"/>
          <w:color w:val="000000"/>
        </w:rPr>
        <w:t>CT</w:t>
      </w:r>
      <w:r>
        <w:rPr>
          <w:rFonts w:ascii="Book Antiqua" w:eastAsia="Book Antiqua" w:hAnsi="Book Antiqua" w:cs="Book Antiqua"/>
          <w:color w:val="000000"/>
        </w:rPr>
        <w:t xml:space="preserve"> (Figure 3). The degree classification of reconstructed vein stenosis was based on the classification method of </w:t>
      </w:r>
      <w:proofErr w:type="spellStart"/>
      <w:r>
        <w:rPr>
          <w:rFonts w:ascii="Book Antiqua" w:eastAsia="Book Antiqua" w:hAnsi="Book Antiqua" w:cs="Book Antiqua"/>
          <w:color w:val="000000"/>
        </w:rPr>
        <w:t>Kleive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sidR="00000000">
        <w:fldChar w:fldCharType="begin"/>
      </w:r>
      <w:r w:rsidR="00000000">
        <w:instrText>HYPERLINK \l "_ENREF_17" \o "Kleive, 2018 #17"</w:instrText>
      </w:r>
      <w:r w:rsidR="00000000">
        <w:fldChar w:fldCharType="separate"/>
      </w:r>
      <w:r>
        <w:rPr>
          <w:rFonts w:ascii="Book Antiqua" w:eastAsia="Book Antiqua" w:hAnsi="Book Antiqua" w:cs="Book Antiqua"/>
          <w:color w:val="000000"/>
          <w:vertAlign w:val="superscript"/>
        </w:rPr>
        <w:t>17</w:t>
      </w:r>
      <w:r w:rsidR="00000000">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date of last follow-up was June 2022.</w:t>
      </w:r>
    </w:p>
    <w:p w14:paraId="43DDE3B3" w14:textId="0B2E946C"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was approved by the Ethics Committee of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(2019-LW-023). This study has been registered with the Chinese Clinical Trial Registry (Registration No. ChiCTR1900027098 https:/</w:t>
      </w:r>
      <w:r>
        <w:rPr>
          <w:rFonts w:ascii="Book Antiqua" w:eastAsia="Book Antiqua" w:hAnsi="Book Antiqua" w:cs="Book Antiqua"/>
        </w:rPr>
        <w:t>/</w:t>
      </w:r>
      <w:hyperlink r:id="rId7" w:history="1">
        <w:r>
          <w:rPr>
            <w:rStyle w:val="Hyperlink"/>
            <w:rFonts w:ascii="Book Antiqua" w:eastAsia="Book Antiqua" w:hAnsi="Book Antiqua" w:cs="Book Antiqua"/>
            <w:color w:val="auto"/>
            <w:u w:val="none"/>
          </w:rPr>
          <w:t>www.chictr.org.cn</w:t>
        </w:r>
      </w:hyperlink>
      <w:r>
        <w:rPr>
          <w:rFonts w:ascii="Book Antiqua" w:eastAsia="Book Antiqua" w:hAnsi="Book Antiqua" w:cs="Book Antiqua"/>
          <w:color w:val="000000"/>
        </w:rPr>
        <w:t>). Written informed consent to participate was obtained from all patients.</w:t>
      </w:r>
    </w:p>
    <w:p w14:paraId="32751B1A" w14:textId="77777777" w:rsidR="009C5EF3" w:rsidRPr="00364A46" w:rsidRDefault="009C5EF3" w:rsidP="00364A46">
      <w:pPr>
        <w:spacing w:line="360" w:lineRule="auto"/>
        <w:jc w:val="both"/>
        <w:rPr>
          <w:rFonts w:ascii="Book Antiqua" w:hAnsi="Book Antiqua"/>
        </w:rPr>
      </w:pPr>
    </w:p>
    <w:p w14:paraId="519D7C73" w14:textId="77777777" w:rsidR="009C5EF3" w:rsidRPr="00364A46" w:rsidRDefault="00164FAA">
      <w:pPr>
        <w:spacing w:line="360" w:lineRule="auto"/>
        <w:jc w:val="both"/>
        <w:rPr>
          <w:rFonts w:ascii="Book Antiqua" w:hAnsi="Book Antiqua"/>
          <w:b/>
          <w:i/>
        </w:rPr>
      </w:pPr>
      <w:r>
        <w:rPr>
          <w:rFonts w:ascii="Book Antiqua" w:eastAsia="Book Antiqua" w:hAnsi="Book Antiqua" w:cs="Book Antiqua"/>
          <w:b/>
          <w:bCs/>
          <w:i/>
          <w:iCs/>
          <w:color w:val="000000"/>
        </w:rPr>
        <w:t>Statistical analysis</w:t>
      </w:r>
    </w:p>
    <w:p w14:paraId="21BC36F9" w14:textId="52EBFE1A"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The SPSS 18.0 software (SPSS, Chicago, IL, United States) was used for all statistical analyses. The variables were expressed as mean ± </w:t>
      </w:r>
      <w:r w:rsidR="00F72623">
        <w:rPr>
          <w:rFonts w:ascii="Book Antiqua" w:eastAsia="Book Antiqua" w:hAnsi="Book Antiqua" w:cs="Book Antiqua"/>
          <w:color w:val="000000"/>
        </w:rPr>
        <w:t>SD</w:t>
      </w:r>
      <w:r>
        <w:rPr>
          <w:rFonts w:ascii="Book Antiqua" w:eastAsia="Book Antiqua" w:hAnsi="Book Antiqua" w:cs="Book Antiqua"/>
          <w:color w:val="000000"/>
        </w:rPr>
        <w:t xml:space="preserve"> or medians with interquartile ranges. Intergroup comparisons of the data were made using independent sample </w:t>
      </w:r>
      <w:r w:rsidRPr="00364A46">
        <w:rPr>
          <w:rFonts w:ascii="Book Antiqua" w:hAnsi="Book Antiqua"/>
          <w:i/>
          <w:color w:val="000000"/>
        </w:rPr>
        <w:t>t</w:t>
      </w:r>
      <w:r>
        <w:rPr>
          <w:rFonts w:ascii="Book Antiqua" w:eastAsia="Book Antiqua" w:hAnsi="Book Antiqua" w:cs="Book Antiqua"/>
          <w:color w:val="000000"/>
        </w:rPr>
        <w:t xml:space="preserve">-tests.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less than 0.05 was considered statistically significant. Reconstructed vascular lumen patency and overall survival were estimated using the Kaplan-Meier method.</w:t>
      </w:r>
    </w:p>
    <w:p w14:paraId="4C95B736" w14:textId="77777777" w:rsidR="009C5EF3" w:rsidRPr="00364A46" w:rsidRDefault="009C5EF3">
      <w:pPr>
        <w:spacing w:line="360" w:lineRule="auto"/>
        <w:jc w:val="both"/>
        <w:rPr>
          <w:rFonts w:ascii="Book Antiqua" w:hAnsi="Book Antiqua"/>
        </w:rPr>
      </w:pPr>
    </w:p>
    <w:p w14:paraId="26A27AC5"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24C9D7A" w14:textId="77777777" w:rsidR="009C5EF3" w:rsidRPr="00364A46" w:rsidRDefault="00164FAA">
      <w:pPr>
        <w:spacing w:line="360" w:lineRule="auto"/>
        <w:jc w:val="both"/>
        <w:rPr>
          <w:rFonts w:ascii="Book Antiqua" w:hAnsi="Book Antiqua"/>
          <w:b/>
        </w:rPr>
      </w:pPr>
      <w:r>
        <w:rPr>
          <w:rFonts w:ascii="Book Antiqua" w:eastAsia="Book Antiqua" w:hAnsi="Book Antiqua" w:cs="Book Antiqua"/>
          <w:b/>
          <w:bCs/>
          <w:i/>
          <w:iCs/>
          <w:color w:val="000000"/>
        </w:rPr>
        <w:t>Morphologic characteristics of LTH</w:t>
      </w:r>
    </w:p>
    <w:p w14:paraId="104216DB"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lastRenderedPageBreak/>
        <w:t>The LTH was successfully dilated in 104 specimens yielding a success rate of 97.20%. The length of the dilated segments was 9.67 ± 1.43 cm (range: 6.9-13.0 cm). The diameters of the dilated LTH were 12.82 ± 1.32 mm (range: 10.9-17.2 mm) at the cranial end and 7.06 ± 1.88 mm (range: 3.0-12.1 mm) at the caudal end (Table 1).</w:t>
      </w:r>
    </w:p>
    <w:p w14:paraId="5273989D" w14:textId="77777777" w:rsidR="009C5EF3" w:rsidRPr="00364A46" w:rsidRDefault="009C5EF3">
      <w:pPr>
        <w:spacing w:line="360" w:lineRule="auto"/>
        <w:jc w:val="both"/>
        <w:rPr>
          <w:rFonts w:ascii="Book Antiqua" w:hAnsi="Book Antiqua"/>
        </w:rPr>
      </w:pPr>
    </w:p>
    <w:p w14:paraId="37B29CB2" w14:textId="77777777" w:rsidR="009C5EF3" w:rsidRPr="00364A46" w:rsidRDefault="00164FAA">
      <w:pPr>
        <w:spacing w:line="360" w:lineRule="auto"/>
        <w:jc w:val="both"/>
        <w:rPr>
          <w:rFonts w:ascii="Book Antiqua" w:hAnsi="Book Antiqua"/>
          <w:b/>
        </w:rPr>
      </w:pPr>
      <w:r>
        <w:rPr>
          <w:rFonts w:ascii="Book Antiqua" w:eastAsia="Book Antiqua" w:hAnsi="Book Antiqua" w:cs="Book Antiqua"/>
          <w:b/>
          <w:bCs/>
          <w:i/>
          <w:iCs/>
          <w:color w:val="000000"/>
        </w:rPr>
        <w:t>Microscopic appearance of LTH</w:t>
      </w:r>
    </w:p>
    <w:p w14:paraId="5A323473" w14:textId="42800C54"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Residual cavities with smooth tunica intima covered with endothelial cells were found in all 40 LTH specimens (Figure 4A and B).</w:t>
      </w:r>
    </w:p>
    <w:p w14:paraId="53130D2C" w14:textId="77777777" w:rsidR="009C5EF3" w:rsidRPr="00364A46" w:rsidRDefault="009C5EF3">
      <w:pPr>
        <w:spacing w:line="360" w:lineRule="auto"/>
        <w:jc w:val="both"/>
        <w:rPr>
          <w:rFonts w:ascii="Book Antiqua" w:hAnsi="Book Antiqua"/>
        </w:rPr>
      </w:pPr>
    </w:p>
    <w:p w14:paraId="1CED3252" w14:textId="6C9179E9" w:rsidR="009C5EF3" w:rsidRPr="00364A46" w:rsidRDefault="00164FAA">
      <w:pPr>
        <w:spacing w:line="360" w:lineRule="auto"/>
        <w:jc w:val="both"/>
        <w:rPr>
          <w:rFonts w:ascii="Book Antiqua" w:hAnsi="Book Antiqua"/>
          <w:b/>
        </w:rPr>
      </w:pPr>
      <w:r>
        <w:rPr>
          <w:rFonts w:ascii="Book Antiqua" w:eastAsia="Book Antiqua" w:hAnsi="Book Antiqua" w:cs="Book Antiqua"/>
          <w:b/>
          <w:bCs/>
          <w:i/>
          <w:iCs/>
          <w:color w:val="000000"/>
        </w:rPr>
        <w:t>Relative content of EFs, CFs and SM</w:t>
      </w:r>
    </w:p>
    <w:p w14:paraId="52B02564" w14:textId="3553ADAB"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VVG staining revealed that LTH specimens were composed of EFs, CFs and SM components similar to the PV specimens (Figure 4C and D). Analysis using the </w:t>
      </w:r>
      <w:proofErr w:type="spellStart"/>
      <w:r>
        <w:rPr>
          <w:rFonts w:ascii="Book Antiqua" w:eastAsia="Book Antiqua" w:hAnsi="Book Antiqua" w:cs="Book Antiqua"/>
          <w:color w:val="000000"/>
        </w:rPr>
        <w:t>Motic</w:t>
      </w:r>
      <w:proofErr w:type="spellEnd"/>
      <w:r>
        <w:rPr>
          <w:rFonts w:ascii="Book Antiqua" w:eastAsia="Book Antiqua" w:hAnsi="Book Antiqua" w:cs="Book Antiqua"/>
          <w:color w:val="000000"/>
        </w:rPr>
        <w:t xml:space="preserve"> medical image analysis system (MMD 6.0A) showed that there were no significant differences in the relative content of EFs, CFs and SM between LTHs and PVs, as shown in Table 2.</w:t>
      </w:r>
    </w:p>
    <w:p w14:paraId="4A97509C" w14:textId="77777777" w:rsidR="009C5EF3" w:rsidRPr="00364A46" w:rsidRDefault="009C5EF3">
      <w:pPr>
        <w:spacing w:line="360" w:lineRule="auto"/>
        <w:jc w:val="both"/>
        <w:rPr>
          <w:rFonts w:ascii="Book Antiqua" w:hAnsi="Book Antiqua"/>
        </w:rPr>
      </w:pPr>
    </w:p>
    <w:p w14:paraId="29FC3E00" w14:textId="77777777" w:rsidR="009C5EF3" w:rsidRPr="00364A46" w:rsidRDefault="00164FAA">
      <w:pPr>
        <w:spacing w:line="360" w:lineRule="auto"/>
        <w:jc w:val="both"/>
        <w:rPr>
          <w:rFonts w:ascii="Book Antiqua" w:hAnsi="Book Antiqua"/>
          <w:b/>
        </w:rPr>
      </w:pPr>
      <w:r>
        <w:rPr>
          <w:rFonts w:ascii="Book Antiqua" w:eastAsia="Book Antiqua" w:hAnsi="Book Antiqua" w:cs="Book Antiqua"/>
          <w:b/>
          <w:bCs/>
          <w:i/>
          <w:iCs/>
          <w:color w:val="000000"/>
        </w:rPr>
        <w:t>Distribution and function of endothelial cells in LTH</w:t>
      </w:r>
    </w:p>
    <w:p w14:paraId="4CE34ADC" w14:textId="65964429"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Immunohistochemical staining revealed the expression of CD34, </w:t>
      </w:r>
      <w:proofErr w:type="spellStart"/>
      <w:r>
        <w:rPr>
          <w:rFonts w:ascii="Book Antiqua" w:eastAsia="Book Antiqua" w:hAnsi="Book Antiqua" w:cs="Book Antiqua"/>
          <w:color w:val="000000"/>
        </w:rPr>
        <w:t>FVIIIAg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t-PA in the cytoplasm of endothelial cells in both LTH and PV specimens (Figure 4E-L), suggestive of the synthesis of CD34, </w:t>
      </w:r>
      <w:proofErr w:type="spellStart"/>
      <w:r>
        <w:rPr>
          <w:rFonts w:ascii="Book Antiqua" w:eastAsia="Book Antiqua" w:hAnsi="Book Antiqua" w:cs="Book Antiqua"/>
          <w:color w:val="000000"/>
        </w:rPr>
        <w:t>FVIIIAg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t-PA in endothelial cells of the LTH.</w:t>
      </w:r>
    </w:p>
    <w:p w14:paraId="46BBB0FD" w14:textId="77777777" w:rsidR="009C5EF3" w:rsidRPr="00364A46" w:rsidRDefault="009C5EF3">
      <w:pPr>
        <w:spacing w:line="360" w:lineRule="auto"/>
        <w:jc w:val="both"/>
        <w:rPr>
          <w:rFonts w:ascii="Book Antiqua" w:hAnsi="Book Antiqua"/>
        </w:rPr>
      </w:pPr>
    </w:p>
    <w:p w14:paraId="2981B64C" w14:textId="77777777" w:rsidR="009C5EF3" w:rsidRPr="00364A46" w:rsidRDefault="00164FAA">
      <w:pPr>
        <w:spacing w:line="360" w:lineRule="auto"/>
        <w:jc w:val="both"/>
        <w:rPr>
          <w:rFonts w:ascii="Book Antiqua" w:hAnsi="Book Antiqua"/>
          <w:b/>
          <w:i/>
        </w:rPr>
      </w:pPr>
      <w:r>
        <w:rPr>
          <w:rFonts w:ascii="Book Antiqua" w:eastAsia="Book Antiqua" w:hAnsi="Book Antiqua" w:cs="Book Antiqua"/>
          <w:b/>
          <w:bCs/>
          <w:i/>
          <w:iCs/>
          <w:color w:val="000000"/>
        </w:rPr>
        <w:t>Clinical data</w:t>
      </w:r>
    </w:p>
    <w:p w14:paraId="703B5A06" w14:textId="50C1BB6D"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Demographic characteristics:</w:t>
      </w:r>
      <w:r w:rsidRPr="00364A46">
        <w:rPr>
          <w:rFonts w:ascii="Book Antiqua" w:hAnsi="Book Antiqua"/>
          <w:b/>
        </w:rPr>
        <w:t xml:space="preserve"> </w:t>
      </w:r>
      <w:r>
        <w:rPr>
          <w:rFonts w:ascii="Book Antiqua" w:eastAsia="Book Antiqua" w:hAnsi="Book Antiqua" w:cs="Book Antiqua"/>
          <w:color w:val="000000"/>
        </w:rPr>
        <w:t>In a total of 26 cases, the proportion of males and females was equal. The median age was 62 years (interquartile range 53.25-69.25). This case series included patients with pancreatic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19), cholangiocarcinoma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ampullary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p>
    <w:p w14:paraId="2FF97EE8" w14:textId="77777777" w:rsidR="009C5EF3" w:rsidRPr="00364A46" w:rsidRDefault="009C5EF3">
      <w:pPr>
        <w:spacing w:line="360" w:lineRule="auto"/>
        <w:jc w:val="both"/>
        <w:rPr>
          <w:rFonts w:ascii="Book Antiqua" w:hAnsi="Book Antiqua"/>
        </w:rPr>
      </w:pPr>
    </w:p>
    <w:p w14:paraId="11866553" w14:textId="5D20F0CB"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lastRenderedPageBreak/>
        <w:t>Intraoperative parameters and complications:</w:t>
      </w:r>
      <w:r w:rsidRPr="00364A46">
        <w:rPr>
          <w:rFonts w:ascii="Book Antiqua" w:hAnsi="Book Antiqua"/>
          <w:b/>
        </w:rPr>
        <w:t xml:space="preserve"> </w:t>
      </w:r>
      <w:r>
        <w:rPr>
          <w:rFonts w:ascii="Book Antiqua" w:eastAsia="Book Antiqua" w:hAnsi="Book Antiqua" w:cs="Book Antiqua"/>
          <w:color w:val="000000"/>
        </w:rPr>
        <w:t>PV, SMV and PV plus SMV reconstructions were conducted in 16, 9 and 1 case(s), respectively. The intraoperative data are shown in Table 3.</w:t>
      </w:r>
    </w:p>
    <w:p w14:paraId="6BE9C8DD" w14:textId="77777777" w:rsidR="009C5EF3" w:rsidRPr="00364A46" w:rsidRDefault="009C5EF3">
      <w:pPr>
        <w:spacing w:line="360" w:lineRule="auto"/>
        <w:jc w:val="both"/>
        <w:rPr>
          <w:rFonts w:ascii="Book Antiqua" w:hAnsi="Book Antiqua"/>
        </w:rPr>
      </w:pPr>
    </w:p>
    <w:p w14:paraId="02CBAA78" w14:textId="7037278C" w:rsidR="009C5EF3" w:rsidRPr="00364A46" w:rsidRDefault="00164FAA">
      <w:pPr>
        <w:spacing w:line="360" w:lineRule="auto"/>
        <w:jc w:val="both"/>
        <w:rPr>
          <w:rFonts w:ascii="Book Antiqua" w:hAnsi="Book Antiqua"/>
          <w:b/>
        </w:rPr>
      </w:pPr>
      <w:r>
        <w:rPr>
          <w:rFonts w:ascii="Book Antiqua" w:eastAsia="Book Antiqua" w:hAnsi="Book Antiqua" w:cs="Book Antiqua"/>
          <w:b/>
          <w:bCs/>
          <w:color w:val="000000"/>
        </w:rPr>
        <w:t>Postoperative outcomes:</w:t>
      </w:r>
      <w:r w:rsidRPr="00364A46">
        <w:rPr>
          <w:rFonts w:ascii="Book Antiqua" w:hAnsi="Book Antiqua"/>
          <w:b/>
        </w:rPr>
        <w:t xml:space="preserve"> </w:t>
      </w:r>
      <w:r>
        <w:rPr>
          <w:rFonts w:ascii="Book Antiqua" w:eastAsia="Book Antiqua" w:hAnsi="Book Antiqua" w:cs="Book Antiqua"/>
          <w:color w:val="000000"/>
        </w:rPr>
        <w:t>The overall morbidity rate was 38.46% (</w:t>
      </w:r>
      <w:r>
        <w:rPr>
          <w:rFonts w:ascii="Book Antiqua" w:eastAsia="Book Antiqua" w:hAnsi="Book Antiqua" w:cs="Book Antiqua"/>
          <w:i/>
          <w:iCs/>
          <w:color w:val="000000"/>
        </w:rPr>
        <w:t>n</w:t>
      </w:r>
      <w:r>
        <w:rPr>
          <w:rFonts w:ascii="Book Antiqua" w:eastAsia="Book Antiqua" w:hAnsi="Book Antiqua" w:cs="Book Antiqua"/>
          <w:color w:val="000000"/>
        </w:rPr>
        <w:t xml:space="preserve"> = 10) (Table 4), and there were no graft-related complications. Two patients (7.69%) died within 30 d after surgery. One patient died of gastrointestinal hemorrhage caused by bleeding from the pancreatoenteric anastomosis, and the other died of pancreatic fistula-associated severe abdominal bleeding caused by gastroduodenal artery stump bleeding. The median postoperative hospital stay was 20 d (interquartile range: 16.75-25.00 d), and the median survival was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(interquartile range: 5.00-11.25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No patients were lost to follow-up (Figure 5A). The vascular cumulative stenosis curve was shown in Figure 5B. Vascular stenosis was found within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postoperative week in 2 cases. One case of vascular stenosis was identified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one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one at 1 year. No vascular stenosis was identified later than 1 year postoperative, and the longest follow-up was 122 mo. The postoperative vein stenosis rates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year were 7.69%, 11.54%, 15.38% and 19.23%, respectively. In all 5 patients, the degree of the vascular stenosis was less than half of the reconstructed vein lumen diameter (mild stenosis), and the vessels remained patent.</w:t>
      </w:r>
    </w:p>
    <w:p w14:paraId="5A576B86" w14:textId="77777777" w:rsidR="009C5EF3" w:rsidRPr="00364A46" w:rsidRDefault="009C5EF3">
      <w:pPr>
        <w:spacing w:line="360" w:lineRule="auto"/>
        <w:jc w:val="both"/>
        <w:rPr>
          <w:rFonts w:ascii="Book Antiqua" w:hAnsi="Book Antiqua"/>
        </w:rPr>
      </w:pPr>
    </w:p>
    <w:p w14:paraId="66C4DAC8"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90A191A" w14:textId="021FB954"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PD combined with PV and/or SMV resection and reconstruction may be required for locally advanced periampullary and pancreatic head carcinoma with PV and/or SMV involvement. This procedure has been confirmed to improve the R0 resection rate and patient survival</w:t>
      </w:r>
      <w:r>
        <w:rPr>
          <w:rFonts w:ascii="Book Antiqua" w:eastAsia="Book Antiqua" w:hAnsi="Book Antiqua" w:cs="Book Antiqua"/>
          <w:color w:val="000000"/>
          <w:vertAlign w:val="superscript"/>
        </w:rPr>
        <w:t>[</w:t>
      </w:r>
      <w:hyperlink w:anchor="_ENREF_4" w:tooltip="Ramacciato, 2009 #4" w:history="1">
        <w:r>
          <w:rPr>
            <w:rFonts w:ascii="Book Antiqua" w:eastAsia="Book Antiqua" w:hAnsi="Book Antiqua" w:cs="Book Antiqua"/>
            <w:color w:val="000000"/>
            <w:u w:color="0000EE"/>
            <w:vertAlign w:val="superscript"/>
          </w:rPr>
          <w:t>4</w:t>
        </w:r>
      </w:hyperlink>
      <w:r>
        <w:rPr>
          <w:rFonts w:ascii="Book Antiqua" w:eastAsia="Book Antiqua" w:hAnsi="Book Antiqua" w:cs="Book Antiqua"/>
          <w:color w:val="000000"/>
          <w:vertAlign w:val="superscript"/>
        </w:rPr>
        <w:t>,</w:t>
      </w:r>
      <w:hyperlink w:anchor="_ENREF_18" w:tooltip="Nakao, 2012 #18" w:history="1">
        <w:r>
          <w:rPr>
            <w:rFonts w:ascii="Book Antiqua" w:eastAsia="Book Antiqua" w:hAnsi="Book Antiqua" w:cs="Book Antiqua"/>
            <w:color w:val="000000"/>
            <w:u w:color="0000EE"/>
            <w:vertAlign w:val="superscript"/>
          </w:rPr>
          <w:t>18</w:t>
        </w:r>
      </w:hyperlink>
      <w:r>
        <w:rPr>
          <w:rFonts w:ascii="Book Antiqua" w:eastAsia="Book Antiqua" w:hAnsi="Book Antiqua" w:cs="Book Antiqua"/>
          <w:color w:val="000000"/>
          <w:vertAlign w:val="superscript"/>
        </w:rPr>
        <w:t>,</w:t>
      </w:r>
      <w:hyperlink w:anchor="_ENREF_19" w:tooltip="Raut, 2007 #19" w:history="1">
        <w:r>
          <w:rPr>
            <w:rFonts w:ascii="Book Antiqua" w:eastAsia="Book Antiqua" w:hAnsi="Book Antiqua" w:cs="Book Antiqua"/>
            <w:color w:val="000000"/>
            <w:u w:color="0000EE"/>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Grafts used for vein reconstruction can be obtained from various veins, such as the internal jugular vein, femoral vein, external iliac vein, gonadal vein, great saphenous vein, splenic vein, left renal vein and the falciform ligament of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sidR="00000000">
        <w:fldChar w:fldCharType="begin"/>
      </w:r>
      <w:r w:rsidR="00000000">
        <w:instrText>HYPERLINK \l "_ENREF_20" \o "Kubota, 1998 #20"</w:instrText>
      </w:r>
      <w:r w:rsidR="00000000">
        <w:fldChar w:fldCharType="separate"/>
      </w:r>
      <w:r>
        <w:rPr>
          <w:rFonts w:ascii="Book Antiqua" w:eastAsia="Book Antiqua" w:hAnsi="Book Antiqua" w:cs="Book Antiqua"/>
          <w:color w:val="000000"/>
          <w:u w:color="0000EE"/>
          <w:vertAlign w:val="superscript"/>
        </w:rPr>
        <w:t>20-28</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harvesting autologous grafts requires an additional surgery and increases risk of damage to the major vessels</w:t>
      </w:r>
      <w:r>
        <w:rPr>
          <w:rFonts w:ascii="Book Antiqua" w:eastAsia="Book Antiqua" w:hAnsi="Book Antiqua" w:cs="Book Antiqua"/>
          <w:color w:val="000000"/>
          <w:vertAlign w:val="superscript"/>
        </w:rPr>
        <w:t>[</w:t>
      </w:r>
      <w:hyperlink w:anchor="_ENREF_22" w:tooltip="Smoot, 2007 #22" w:history="1">
        <w:r>
          <w:rPr>
            <w:rFonts w:ascii="Book Antiqua" w:eastAsia="Book Antiqua" w:hAnsi="Book Antiqua" w:cs="Book Antiqua"/>
            <w:color w:val="000000"/>
            <w:u w:color="0000EE"/>
            <w:vertAlign w:val="superscript"/>
          </w:rPr>
          <w:t>22</w:t>
        </w:r>
      </w:hyperlink>
      <w:r>
        <w:rPr>
          <w:rFonts w:ascii="Book Antiqua" w:eastAsia="Book Antiqua" w:hAnsi="Book Antiqua" w:cs="Book Antiqua"/>
          <w:color w:val="000000"/>
          <w:vertAlign w:val="superscript"/>
        </w:rPr>
        <w:t>,</w:t>
      </w:r>
      <w:hyperlink w:anchor="_ENREF_27" w:tooltip="Kostov, 2021 #27" w:history="1">
        <w:r>
          <w:rPr>
            <w:rFonts w:ascii="Book Antiqua" w:eastAsia="Book Antiqua" w:hAnsi="Book Antiqua" w:cs="Book Antiqua"/>
            <w:color w:val="000000"/>
            <w:u w:color="0000EE"/>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LTH, as a remnant derived from the obliterated umbilical vein, can be dilated to form a conduit with potential venous </w:t>
      </w:r>
      <w:r>
        <w:rPr>
          <w:rFonts w:ascii="Book Antiqua" w:eastAsia="Book Antiqua" w:hAnsi="Book Antiqua" w:cs="Book Antiqua"/>
          <w:color w:val="000000"/>
        </w:rPr>
        <w:lastRenderedPageBreak/>
        <w:t>characteristics</w:t>
      </w:r>
      <w:r>
        <w:rPr>
          <w:rFonts w:ascii="Book Antiqua" w:eastAsia="Book Antiqua" w:hAnsi="Book Antiqua" w:cs="Book Antiqua"/>
          <w:color w:val="000000"/>
          <w:vertAlign w:val="superscript"/>
        </w:rPr>
        <w:t>[</w:t>
      </w:r>
      <w:hyperlink w:anchor="_ENREF_13" w:tooltip="Ying, 1997 #13"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hyperlink w:anchor="_ENREF_14" w:tooltip="Hur, 2015 #14" w:history="1">
        <w:r>
          <w:rPr>
            <w:rFonts w:ascii="Book Antiqua" w:eastAsia="Book Antiqua" w:hAnsi="Book Antiqua" w:cs="Book Antiqua"/>
            <w:color w:val="000000"/>
            <w:u w:color="0000EE"/>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LTH has been used as a vascular graft to reconstruct the PV and/or SMV since 2003 in our medical center and has achieved good clinical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sidR="00000000">
        <w:fldChar w:fldCharType="begin"/>
      </w:r>
      <w:r w:rsidR="00000000">
        <w:instrText>HYPERLINK \l "_ENREF_29" \o "Chen, 2006 #47"</w:instrText>
      </w:r>
      <w:r w:rsidR="00000000">
        <w:fldChar w:fldCharType="separate"/>
      </w:r>
      <w:r>
        <w:rPr>
          <w:rFonts w:ascii="Book Antiqua" w:eastAsia="Book Antiqua" w:hAnsi="Book Antiqua" w:cs="Book Antiqua"/>
          <w:color w:val="000000"/>
          <w:u w:color="0000EE"/>
          <w:vertAlign w:val="superscript"/>
        </w:rPr>
        <w:t>29</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Few successful cases have been subsequently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sidR="00000000">
        <w:fldChar w:fldCharType="begin"/>
      </w:r>
      <w:r w:rsidR="00000000">
        <w:instrText>HYPERLINK \l "_ENREF_30" \o "Gunasekaran, 2013 #31"</w:instrText>
      </w:r>
      <w:r w:rsidR="00000000">
        <w:fldChar w:fldCharType="separate"/>
      </w:r>
      <w:r>
        <w:rPr>
          <w:rFonts w:ascii="Book Antiqua" w:eastAsia="Book Antiqua" w:hAnsi="Book Antiqua" w:cs="Book Antiqua"/>
          <w:color w:val="000000"/>
          <w:u w:color="0000EE"/>
          <w:vertAlign w:val="superscript"/>
        </w:rPr>
        <w:t>30</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1" w:tooltip="Wei, 2019 #48" w:history="1">
        <w:r>
          <w:rPr>
            <w:rFonts w:ascii="Book Antiqua" w:eastAsia="Book Antiqua" w:hAnsi="Book Antiqua" w:cs="Book Antiqua"/>
            <w:color w:val="000000"/>
            <w:u w:color="0000EE"/>
            <w:vertAlign w:val="superscript"/>
          </w:rPr>
          <w:t>31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but no larger sample sizes are available.</w:t>
      </w:r>
    </w:p>
    <w:p w14:paraId="2A89B1D8" w14:textId="77777777" w:rsidR="009C5EF3" w:rsidRPr="00364A46" w:rsidRDefault="00164FAA">
      <w:pPr>
        <w:spacing w:line="360" w:lineRule="auto"/>
        <w:ind w:firstLineChars="200" w:firstLine="480"/>
        <w:jc w:val="both"/>
      </w:pPr>
      <w:r>
        <w:rPr>
          <w:rFonts w:ascii="Book Antiqua" w:eastAsia="Book Antiqua" w:hAnsi="Book Antiqua" w:cs="Book Antiqua"/>
          <w:color w:val="000000"/>
        </w:rPr>
        <w:t xml:space="preserve">In the present study, the morphometric findings of the LTH revealed that it is suitable for PV and/or SMV reconstruction in terms of its length and diameter, which were demonstrated in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sidR="00000000">
        <w:fldChar w:fldCharType="begin"/>
      </w:r>
      <w:r w:rsidR="00000000">
        <w:instrText>HYPERLINK \l "_ENREF_32" \o "Zhu, 2012 #49"</w:instrText>
      </w:r>
      <w:r w:rsidR="00000000">
        <w:fldChar w:fldCharType="separate"/>
      </w:r>
      <w:r>
        <w:rPr>
          <w:rFonts w:ascii="Book Antiqua" w:eastAsia="Book Antiqua" w:hAnsi="Book Antiqua" w:cs="Book Antiqua"/>
          <w:color w:val="000000"/>
          <w:u w:color="0000EE"/>
          <w:vertAlign w:val="superscript"/>
        </w:rPr>
        <w:t>32</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LTH diameters were measured at a pressure of 30 cm H</w:t>
      </w:r>
      <w:r>
        <w:rPr>
          <w:rFonts w:ascii="Book Antiqua" w:eastAsia="Book Antiqua" w:hAnsi="Book Antiqua" w:cs="Book Antiqua"/>
          <w:color w:val="000000"/>
          <w:vertAlign w:val="subscript"/>
        </w:rPr>
        <w:t>2</w:t>
      </w:r>
      <w:r>
        <w:rPr>
          <w:rFonts w:ascii="Book Antiqua" w:eastAsia="Book Antiqua" w:hAnsi="Book Antiqua" w:cs="Book Antiqua"/>
          <w:color w:val="000000"/>
        </w:rPr>
        <w:t>O, which simulates the physiological status of the mean PV pressure of 18 cm 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(13-24 cm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w:t>
      </w:r>
      <w:proofErr w:type="gramEnd"/>
      <w:r w:rsidR="00000000">
        <w:fldChar w:fldCharType="begin"/>
      </w:r>
      <w:r w:rsidR="00000000">
        <w:instrText>HYPERLINK \l "_ENREF_33" \o "Thompson, 2020 #33"</w:instrText>
      </w:r>
      <w:r w:rsidR="00000000">
        <w:fldChar w:fldCharType="separate"/>
      </w:r>
      <w:r>
        <w:rPr>
          <w:rFonts w:ascii="Book Antiqua" w:eastAsia="Book Antiqua" w:hAnsi="Book Antiqua" w:cs="Book Antiqua"/>
          <w:color w:val="000000"/>
          <w:u w:color="0000EE"/>
          <w:vertAlign w:val="superscript"/>
        </w:rPr>
        <w:t>33</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F786DDA" w14:textId="571BCF14" w:rsidR="009C5EF3" w:rsidRPr="00364A46" w:rsidRDefault="00164FAA">
      <w:pPr>
        <w:spacing w:line="360" w:lineRule="auto"/>
        <w:ind w:firstLine="360"/>
        <w:jc w:val="both"/>
        <w:rPr>
          <w:rFonts w:ascii="Book Antiqua" w:hAnsi="Book Antiqua"/>
        </w:rPr>
      </w:pPr>
      <w:r>
        <w:rPr>
          <w:rFonts w:ascii="Book Antiqua" w:eastAsia="Book Antiqua" w:hAnsi="Book Antiqua" w:cs="Book Antiqua"/>
          <w:color w:val="000000"/>
        </w:rPr>
        <w:t xml:space="preserve">Studying the structure of the LTH wall is essential to evaluate its potential as a graft for PV/SMV reconstruction. VVG staining revealed that EF, CF and SM content in the LTH wall were similar to PVs, which suggested that the LTH had characteristics similar to major abdominal vessels, such as vascular stiffness as well as contraction, and relaxation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sidR="00000000">
        <w:fldChar w:fldCharType="begin"/>
      </w:r>
      <w:r w:rsidR="00000000">
        <w:instrText>HYPERLINK \l "_ENREF_34" \o "Fischer, 1966 #34"</w:instrText>
      </w:r>
      <w:r w:rsidR="00000000">
        <w:fldChar w:fldCharType="separate"/>
      </w:r>
      <w:r>
        <w:rPr>
          <w:rFonts w:ascii="Book Antiqua" w:eastAsia="Book Antiqua" w:hAnsi="Book Antiqua" w:cs="Book Antiqua"/>
          <w:color w:val="000000"/>
          <w:u w:color="0000EE"/>
          <w:vertAlign w:val="superscript"/>
        </w:rPr>
        <w:t>34-38</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the relative abundance of EFs, CFs and SM suggests that histologically LTH can be used as a graft to reconstruct the PV and/or SMV.</w:t>
      </w:r>
    </w:p>
    <w:p w14:paraId="4A1B41DA" w14:textId="60E40B5B" w:rsidR="009C5EF3" w:rsidRPr="00364A46" w:rsidRDefault="00164FAA">
      <w:pPr>
        <w:spacing w:line="360" w:lineRule="auto"/>
        <w:ind w:firstLine="480"/>
        <w:jc w:val="both"/>
        <w:rPr>
          <w:rFonts w:ascii="Book Antiqua" w:hAnsi="Book Antiqua"/>
        </w:rPr>
      </w:pPr>
      <w:r>
        <w:rPr>
          <w:rFonts w:ascii="Book Antiqua" w:eastAsia="Book Antiqua" w:hAnsi="Book Antiqua" w:cs="Book Antiqua"/>
          <w:color w:val="000000"/>
        </w:rPr>
        <w:t>After PV and/or SMV reconstruction, vascular patency is key for a technically successful procedure</w:t>
      </w:r>
      <w:r>
        <w:rPr>
          <w:rFonts w:ascii="Book Antiqua" w:eastAsia="Book Antiqua" w:hAnsi="Book Antiqua" w:cs="Book Antiqua"/>
          <w:color w:val="000000"/>
          <w:vertAlign w:val="superscript"/>
        </w:rPr>
        <w:t>[</w:t>
      </w:r>
      <w:hyperlink r:id="rId8" w:history="1">
        <w:r>
          <w:rPr>
            <w:rFonts w:ascii="Book Antiqua" w:eastAsia="Book Antiqua" w:hAnsi="Book Antiqua" w:cs="Book Antiqua"/>
            <w:color w:val="000000"/>
            <w:vertAlign w:val="superscript"/>
          </w:rPr>
          <w:t>26</w:t>
        </w:r>
      </w:hyperlink>
      <w:r>
        <w:rPr>
          <w:rFonts w:ascii="Book Antiqua" w:eastAsia="Book Antiqua" w:hAnsi="Book Antiqua" w:cs="Book Antiqua"/>
          <w:color w:val="000000"/>
          <w:vertAlign w:val="superscript"/>
        </w:rPr>
        <w:t>,</w:t>
      </w:r>
      <w:hyperlink r:id="rId9" w:history="1">
        <w:r>
          <w:rPr>
            <w:rFonts w:ascii="Book Antiqua" w:eastAsia="Book Antiqua" w:hAnsi="Book Antiqua" w:cs="Book Antiqua"/>
            <w:color w:val="000000"/>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Vascular endothelial cells act as a vascular barrier and mediate hemostatic and antithrombotic functions, which can affect the patency of blood vessels and reduce the risk of thrombosis</w:t>
      </w:r>
      <w:r>
        <w:rPr>
          <w:rFonts w:ascii="Book Antiqua" w:eastAsia="Book Antiqua" w:hAnsi="Book Antiqua" w:cs="Book Antiqua"/>
          <w:color w:val="000000"/>
          <w:vertAlign w:val="superscript"/>
        </w:rPr>
        <w:t>[</w:t>
      </w:r>
      <w:hyperlink w:anchor="_ENREF_39" w:tooltip="Yau, 2015 #39" w:history="1">
        <w:r>
          <w:rPr>
            <w:rFonts w:ascii="Book Antiqua" w:eastAsia="Book Antiqua" w:hAnsi="Book Antiqua" w:cs="Book Antiqua"/>
            <w:color w:val="000000"/>
            <w:u w:color="0000EE"/>
            <w:vertAlign w:val="superscript"/>
          </w:rPr>
          <w:t>39</w:t>
        </w:r>
      </w:hyperlink>
      <w:r>
        <w:rPr>
          <w:rFonts w:ascii="Book Antiqua" w:eastAsia="Book Antiqua" w:hAnsi="Book Antiqua" w:cs="Book Antiqua"/>
          <w:color w:val="000000"/>
          <w:vertAlign w:val="superscript"/>
        </w:rPr>
        <w:t>,</w:t>
      </w:r>
      <w:hyperlink w:anchor="_ENREF_40" w:tooltip="Luo, 2020 #40" w:history="1">
        <w:r>
          <w:rPr>
            <w:rFonts w:ascii="Book Antiqua" w:eastAsia="Book Antiqua" w:hAnsi="Book Antiqua" w:cs="Book Antiqua"/>
            <w:color w:val="000000"/>
            <w:u w:color="0000EE"/>
            <w:vertAlign w:val="superscript"/>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F72623">
        <w:rPr>
          <w:rFonts w:ascii="Book Antiqua" w:eastAsia="Book Antiqua" w:hAnsi="Book Antiqua" w:cs="Book Antiqua"/>
          <w:color w:val="000000"/>
        </w:rPr>
        <w:t>HE</w:t>
      </w:r>
      <w:r>
        <w:rPr>
          <w:rFonts w:ascii="Book Antiqua" w:eastAsia="Book Antiqua" w:hAnsi="Book Antiqua" w:cs="Book Antiqua"/>
          <w:color w:val="000000"/>
        </w:rPr>
        <w:t xml:space="preserve"> staining showed that the inner surface of LTH was smooth and covered with endothelial cells. Immunohistochemical staining revealed the expression of </w:t>
      </w:r>
      <w:proofErr w:type="spellStart"/>
      <w:r>
        <w:rPr>
          <w:rFonts w:ascii="Book Antiqua" w:eastAsia="Book Antiqua" w:hAnsi="Book Antiqua" w:cs="Book Antiqua"/>
          <w:color w:val="000000"/>
        </w:rPr>
        <w:t>FVIIIAg</w:t>
      </w:r>
      <w:proofErr w:type="spellEnd"/>
      <w:r>
        <w:rPr>
          <w:rFonts w:ascii="Book Antiqua" w:eastAsia="Book Antiqua" w:hAnsi="Book Antiqua" w:cs="Book Antiqua"/>
          <w:color w:val="000000"/>
        </w:rPr>
        <w:t xml:space="preserve"> and CD34 at the inner surface of LTH, confirming the presence of vascular endothelial cells.</w:t>
      </w:r>
      <w:r w:rsidR="00F72623">
        <w:rPr>
          <w:rFonts w:ascii="Book Antiqua" w:eastAsia="Book Antiqua" w:hAnsi="Book Antiqua" w:cs="Book Antiqua"/>
          <w:color w:val="000000"/>
        </w:rPr>
        <w:t xml:space="preserve"> </w:t>
      </w:r>
    </w:p>
    <w:p w14:paraId="12BA1334" w14:textId="77777777" w:rsidR="009C5EF3" w:rsidRPr="00364A46" w:rsidRDefault="00164FAA">
      <w:pPr>
        <w:spacing w:line="360" w:lineRule="auto"/>
        <w:ind w:firstLine="480"/>
        <w:jc w:val="both"/>
        <w:rPr>
          <w:rFonts w:ascii="Book Antiqua" w:hAnsi="Book Antiqua"/>
        </w:rPr>
      </w:pPr>
      <w:r>
        <w:rPr>
          <w:rFonts w:ascii="Book Antiqua" w:eastAsia="Book Antiqua" w:hAnsi="Book Antiqua" w:cs="Book Antiqua"/>
          <w:color w:val="000000"/>
        </w:rPr>
        <w:t xml:space="preserve">Nitric oxide and t-PA, which are synthesized by endothelial cells, play important roles in thrombosis prevention. Abnormal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function is associated with an increased risk of endothelial dysfunction</w:t>
      </w:r>
      <w:r>
        <w:rPr>
          <w:rFonts w:ascii="Book Antiqua" w:eastAsia="Book Antiqua" w:hAnsi="Book Antiqua" w:cs="Book Antiqua"/>
          <w:color w:val="000000"/>
          <w:vertAlign w:val="superscript"/>
        </w:rPr>
        <w:t>[</w:t>
      </w:r>
      <w:hyperlink w:anchor="_ENREF_40" w:tooltip="Luo, 2020 #40" w:history="1">
        <w:r>
          <w:rPr>
            <w:rFonts w:ascii="Book Antiqua" w:eastAsia="Book Antiqua" w:hAnsi="Book Antiqua" w:cs="Book Antiqua"/>
            <w:color w:val="000000"/>
            <w:u w:color="0000EE"/>
            <w:vertAlign w:val="superscript"/>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in turn can be mitigated by upregulating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expression</w:t>
      </w:r>
      <w:r>
        <w:rPr>
          <w:rFonts w:ascii="Book Antiqua" w:eastAsia="Book Antiqua" w:hAnsi="Book Antiqua" w:cs="Book Antiqua"/>
          <w:color w:val="000000"/>
          <w:vertAlign w:val="superscript"/>
        </w:rPr>
        <w:t>[</w:t>
      </w:r>
      <w:hyperlink w:anchor="_ENREF_41" w:tooltip="Chen, 2019 #41" w:history="1">
        <w:r>
          <w:rPr>
            <w:rFonts w:ascii="Book Antiqua" w:eastAsia="Book Antiqua" w:hAnsi="Book Antiqua" w:cs="Book Antiqua"/>
            <w:color w:val="000000"/>
            <w:u w:color="0000EE"/>
            <w:vertAlign w:val="superscript"/>
          </w:rPr>
          <w:t>41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demonstrated that increasing t-PA production reduced thrombus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sidR="00000000">
        <w:fldChar w:fldCharType="begin"/>
      </w:r>
      <w:r w:rsidR="00000000">
        <w:instrText>HYPERLINK \l "_ENREF_42" \o "Larsson, 2016 #42"</w:instrText>
      </w:r>
      <w:r w:rsidR="00000000">
        <w:fldChar w:fldCharType="separate"/>
      </w:r>
      <w:r>
        <w:rPr>
          <w:rFonts w:ascii="Book Antiqua" w:eastAsia="Book Antiqua" w:hAnsi="Book Antiqua" w:cs="Book Antiqua"/>
          <w:color w:val="000000"/>
          <w:u w:color="0000EE"/>
          <w:vertAlign w:val="superscript"/>
        </w:rPr>
        <w:t>42-44</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current study found that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t-PA can be expressed in LTH endothelial cells, suggestive of its anti-thrombosis function.</w:t>
      </w:r>
    </w:p>
    <w:p w14:paraId="077F5E8D" w14:textId="015C6E1B"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surgical procedure, operating time, blood loss, PV clamping time, overall perioperative morbidity rate and mortality rate in this case series was similar to previous </w:t>
      </w:r>
      <w:r>
        <w:rPr>
          <w:rFonts w:ascii="Book Antiqua" w:eastAsia="Book Antiqua" w:hAnsi="Book Antiqua" w:cs="Book Antiqua"/>
          <w:color w:val="000000"/>
        </w:rPr>
        <w:lastRenderedPageBreak/>
        <w:t>studies</w:t>
      </w:r>
      <w:r>
        <w:rPr>
          <w:rFonts w:ascii="Book Antiqua" w:eastAsia="Book Antiqua" w:hAnsi="Book Antiqua" w:cs="Book Antiqua"/>
          <w:color w:val="000000"/>
          <w:vertAlign w:val="superscript"/>
        </w:rPr>
        <w:t>[</w:t>
      </w:r>
      <w:hyperlink w:anchor="_ENREF_23" w:tooltip="Kaneoka, 2009 #23" w:history="1">
        <w:r>
          <w:rPr>
            <w:rFonts w:ascii="Book Antiqua" w:eastAsia="Book Antiqua" w:hAnsi="Book Antiqua" w:cs="Book Antiqua"/>
            <w:color w:val="000000"/>
            <w:u w:color="0000EE"/>
            <w:vertAlign w:val="superscript"/>
          </w:rPr>
          <w:t>23</w:t>
        </w:r>
      </w:hyperlink>
      <w:r>
        <w:rPr>
          <w:rFonts w:ascii="Book Antiqua" w:eastAsia="Book Antiqua" w:hAnsi="Book Antiqua" w:cs="Book Antiqua"/>
          <w:color w:val="000000"/>
          <w:vertAlign w:val="superscript"/>
        </w:rPr>
        <w:t>,</w:t>
      </w:r>
      <w:hyperlink w:anchor="_ENREF_45" w:tooltip="Chu, 2010 #45" w:history="1">
        <w:r>
          <w:rPr>
            <w:rFonts w:ascii="Book Antiqua" w:eastAsia="Book Antiqua" w:hAnsi="Book Antiqua" w:cs="Book Antiqua"/>
            <w:color w:val="000000"/>
            <w:u w:color="0000EE"/>
            <w:vertAlign w:val="superscript"/>
          </w:rPr>
          <w:t>45</w:t>
        </w:r>
      </w:hyperlink>
      <w:r>
        <w:rPr>
          <w:rFonts w:ascii="Book Antiqua" w:eastAsia="Book Antiqua" w:hAnsi="Book Antiqua" w:cs="Book Antiqua"/>
          <w:color w:val="000000"/>
          <w:vertAlign w:val="superscript"/>
        </w:rPr>
        <w:t>,</w:t>
      </w:r>
      <w:hyperlink w:anchor="_ENREF_46" w:tooltip="Gong, 2013 #46" w:history="1">
        <w:r>
          <w:rPr>
            <w:rFonts w:ascii="Book Antiqua" w:eastAsia="Book Antiqua" w:hAnsi="Book Antiqua" w:cs="Book Antiqua"/>
            <w:color w:val="000000"/>
            <w:u w:color="0000EE"/>
            <w:vertAlign w:val="superscript"/>
          </w:rPr>
          <w:t>46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Postoperative partial thrombosis led to vascular stenosis in 5/26 patients, which was less than that reported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sidR="00000000">
        <w:fldChar w:fldCharType="begin"/>
      </w:r>
      <w:r w:rsidR="00000000">
        <w:instrText>HYPERLINK \l "_ENREF_6" \o "Kim, 2013 #6"</w:instrText>
      </w:r>
      <w:r w:rsidR="00000000">
        <w:fldChar w:fldCharType="separate"/>
      </w:r>
      <w:r>
        <w:rPr>
          <w:rFonts w:ascii="Book Antiqua" w:eastAsia="Book Antiqua" w:hAnsi="Book Antiqua" w:cs="Book Antiqua"/>
          <w:color w:val="000000"/>
          <w:u w:color="0000EE"/>
          <w:vertAlign w:val="superscript"/>
        </w:rPr>
        <w:t>6</w:t>
      </w:r>
      <w:r w:rsidR="00000000">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45" w:tooltip="Chu, 2010 #45" w:history="1">
        <w:r>
          <w:rPr>
            <w:rFonts w:ascii="Book Antiqua" w:eastAsia="Book Antiqua" w:hAnsi="Book Antiqua" w:cs="Book Antiqua"/>
            <w:color w:val="000000"/>
            <w:u w:color="0000EE"/>
            <w:vertAlign w:val="superscript"/>
          </w:rPr>
          <w:t>45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No patients developed uncontrollable portal hypertension or liver dysfunction. It is suggested that LTH as a graft for PV and/or SMV reconstruction is safe and reliable.</w:t>
      </w:r>
    </w:p>
    <w:p w14:paraId="3C5B0497" w14:textId="77777777" w:rsidR="009C5EF3" w:rsidRPr="00364A46" w:rsidRDefault="00164FAA">
      <w:pPr>
        <w:spacing w:line="360" w:lineRule="auto"/>
        <w:ind w:firstLineChars="200" w:firstLine="480"/>
        <w:jc w:val="both"/>
        <w:rPr>
          <w:rFonts w:ascii="Book Antiqua" w:hAnsi="Book Antiqua"/>
        </w:rPr>
      </w:pPr>
      <w:r>
        <w:rPr>
          <w:rFonts w:ascii="Book Antiqua" w:eastAsia="Book Antiqua" w:hAnsi="Book Antiqua" w:cs="Book Antiqua"/>
          <w:color w:val="000000"/>
        </w:rPr>
        <w:t>We acknowledge that the clinical study is limited by its retrospective nature and the small number of patients. Larger prospective studies should be conducted in the future to validate the findings of this study. However, this study is one of the largest studies that exclusively focused on patients with venous reconstruction using a recanalized LTH graft during PD.</w:t>
      </w:r>
    </w:p>
    <w:p w14:paraId="0ACBE5A2" w14:textId="77777777" w:rsidR="009C5EF3" w:rsidRPr="00364A46" w:rsidRDefault="009C5EF3" w:rsidP="00364A46">
      <w:pPr>
        <w:spacing w:line="360" w:lineRule="auto"/>
        <w:jc w:val="both"/>
        <w:rPr>
          <w:rFonts w:ascii="Book Antiqua" w:hAnsi="Book Antiqua"/>
        </w:rPr>
      </w:pPr>
    </w:p>
    <w:p w14:paraId="4B3523FC"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0B253DC" w14:textId="51F8A40D"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In conclusion, the recanalized length of the LTH was suitable for reconstruction of the PV and SMV, and the dilated diameter and histological characteristics of the LTH were similar to the PV and SMV. Using the LTH as an autologous graft to reconstruct these vessels has achieved good clinical results and fits ideal characteristics including a wide range of sources, low cost, good histocompatibility and does not cause additional damage to patients. Based on the present study, we recommend the LTH as an autologous graft for PV and or SMV reconstruction in patients suffering from pancreaticobiliary cancer with PV/SMV involvement.</w:t>
      </w:r>
    </w:p>
    <w:p w14:paraId="64480C8A" w14:textId="77777777" w:rsidR="009C5EF3" w:rsidRPr="00364A46" w:rsidRDefault="009C5EF3" w:rsidP="00364A46">
      <w:pPr>
        <w:spacing w:line="360" w:lineRule="auto"/>
        <w:jc w:val="both"/>
        <w:rPr>
          <w:rFonts w:ascii="Book Antiqua" w:hAnsi="Book Antiqua"/>
        </w:rPr>
      </w:pPr>
    </w:p>
    <w:p w14:paraId="3B16005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619081D"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background</w:t>
      </w:r>
    </w:p>
    <w:p w14:paraId="195924F1"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Grafts may be required for portal vein (PV) and/or superior mesenteric vein (SMV) reconstruction during a pancreaticoduodenectomy (PD) procedure combined with PV and/or SMV resection. These grafts, including autogenous, homologous and artificial blood vessels, each have their own limitations. Therefore, it is necessary to explore more suitable grafts for PV and/or SMV reconstruction.</w:t>
      </w:r>
    </w:p>
    <w:p w14:paraId="0BEAF451" w14:textId="77777777" w:rsidR="009C5EF3" w:rsidRPr="00364A46" w:rsidRDefault="009C5EF3">
      <w:pPr>
        <w:spacing w:line="360" w:lineRule="auto"/>
        <w:jc w:val="both"/>
        <w:rPr>
          <w:rFonts w:ascii="Book Antiqua" w:hAnsi="Book Antiqua"/>
        </w:rPr>
      </w:pPr>
    </w:p>
    <w:p w14:paraId="4FAB74D5"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motivation</w:t>
      </w:r>
    </w:p>
    <w:p w14:paraId="7FADEC10" w14:textId="4ABA60F0"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lastRenderedPageBreak/>
        <w:t>The ligamentum teres hepatis (LTH) is a fibrous remnant of the obliterated umbilical vein and can be recanalized. If the diameter and the histological characteristics of the dilated LTH tube wall are similar to the PV and SMV, and if the dilated LTH can be successfully used for PV and SMV reconstruction clinically, a novel PV and SMV graft will be acquired that has many sources, no additional medical costs and no immune rejection response.</w:t>
      </w:r>
    </w:p>
    <w:p w14:paraId="4E46161A" w14:textId="77777777" w:rsidR="009C5EF3" w:rsidRPr="00364A46" w:rsidRDefault="009C5EF3">
      <w:pPr>
        <w:spacing w:line="360" w:lineRule="auto"/>
        <w:jc w:val="both"/>
        <w:rPr>
          <w:rFonts w:ascii="Book Antiqua" w:hAnsi="Book Antiqua"/>
        </w:rPr>
      </w:pPr>
    </w:p>
    <w:p w14:paraId="71CAB9A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objectives</w:t>
      </w:r>
    </w:p>
    <w:p w14:paraId="09427167" w14:textId="6B25B0CD"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To evaluate the feasibility of using the LTH as an autologous substitute for the reconstruction of the PV and/or SMV during PD and to provide basic and clinical evidence for using the LTH as an autologous graft for the PV and/or SMV reconstruction.</w:t>
      </w:r>
    </w:p>
    <w:p w14:paraId="55053596" w14:textId="77777777" w:rsidR="009C5EF3" w:rsidRPr="00364A46" w:rsidRDefault="009C5EF3">
      <w:pPr>
        <w:spacing w:line="360" w:lineRule="auto"/>
        <w:jc w:val="both"/>
        <w:rPr>
          <w:rFonts w:ascii="Book Antiqua" w:hAnsi="Book Antiqua"/>
        </w:rPr>
      </w:pPr>
    </w:p>
    <w:p w14:paraId="43E5AC09"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methods</w:t>
      </w:r>
    </w:p>
    <w:p w14:paraId="5D05A85D" w14:textId="1FFC8B9B"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dilated length, diameter, tube wall histological characteristics and endothelial cell function of the LTH were measured and observed, and the results were compared to the PV and SMV for the first time. The outcomes of 26 patients who underwent PD where the LTH was used for PV and/or SMV reconstruction were studied, which is the largest sample size to date that exclusively focused on patients with venous reconstruction using a recanalized LTH graft during PD. The patency of the reconstructed PV and/or SMV using LTH as the autologous graft was reported for the first time.</w:t>
      </w:r>
    </w:p>
    <w:p w14:paraId="3D18E27C" w14:textId="77777777" w:rsidR="009C5EF3" w:rsidRPr="00364A46" w:rsidRDefault="009C5EF3">
      <w:pPr>
        <w:spacing w:line="360" w:lineRule="auto"/>
        <w:jc w:val="both"/>
        <w:rPr>
          <w:rFonts w:ascii="Book Antiqua" w:hAnsi="Book Antiqua"/>
        </w:rPr>
      </w:pPr>
    </w:p>
    <w:p w14:paraId="7EB57BB2"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results</w:t>
      </w:r>
    </w:p>
    <w:p w14:paraId="135754E7" w14:textId="368478C6"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length, diameter and histological characteristics of the LTH tube wall were similar to the PV and/or SMV. The tunica intima of the LTH was covered with endothelial cells, and these cells functioned normally. The LTH as an autologous graft for PV and/or SMV reconstruction was successfully used in the clinic. However, larger prospective studies should be conducted in the future to validate the findings of this study.</w:t>
      </w:r>
    </w:p>
    <w:p w14:paraId="1860D180" w14:textId="77777777" w:rsidR="009C5EF3" w:rsidRPr="00364A46" w:rsidRDefault="009C5EF3">
      <w:pPr>
        <w:spacing w:line="360" w:lineRule="auto"/>
        <w:jc w:val="both"/>
        <w:rPr>
          <w:rFonts w:ascii="Book Antiqua" w:hAnsi="Book Antiqua"/>
        </w:rPr>
      </w:pPr>
    </w:p>
    <w:p w14:paraId="5551DC16"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t>Research conclusions</w:t>
      </w:r>
    </w:p>
    <w:p w14:paraId="407527D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LTH can be used as an autologous graft for PV and/or SMV reconstruction.</w:t>
      </w:r>
    </w:p>
    <w:p w14:paraId="69870407" w14:textId="77777777" w:rsidR="009C5EF3" w:rsidRPr="00364A46" w:rsidRDefault="009C5EF3">
      <w:pPr>
        <w:spacing w:line="360" w:lineRule="auto"/>
        <w:jc w:val="both"/>
        <w:rPr>
          <w:rFonts w:ascii="Book Antiqua" w:hAnsi="Book Antiqua"/>
        </w:rPr>
      </w:pPr>
    </w:p>
    <w:p w14:paraId="7BB269F7"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i/>
          <w:color w:val="000000"/>
        </w:rPr>
        <w:lastRenderedPageBreak/>
        <w:t>Research perspectives</w:t>
      </w:r>
    </w:p>
    <w:p w14:paraId="06981861" w14:textId="131A1801"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establishment of a homologous blood vessel bank using the LTH as grafts is expected.</w:t>
      </w:r>
    </w:p>
    <w:p w14:paraId="13EBE73B" w14:textId="77777777" w:rsidR="009C5EF3" w:rsidRDefault="009C5EF3">
      <w:pPr>
        <w:spacing w:line="360" w:lineRule="auto"/>
        <w:jc w:val="both"/>
        <w:rPr>
          <w:rFonts w:ascii="Book Antiqua" w:eastAsia="Book Antiqua" w:hAnsi="Book Antiqua" w:cs="Book Antiqua"/>
          <w:color w:val="000000"/>
        </w:rPr>
      </w:pPr>
    </w:p>
    <w:p w14:paraId="5C12796E" w14:textId="77777777" w:rsidR="009C5EF3" w:rsidRPr="00364A46" w:rsidRDefault="00164FAA">
      <w:pPr>
        <w:spacing w:line="360" w:lineRule="auto"/>
        <w:jc w:val="both"/>
        <w:rPr>
          <w:rFonts w:ascii="Book Antiqua" w:hAnsi="Book Antiqua"/>
          <w:b/>
          <w:u w:val="single"/>
        </w:rPr>
      </w:pPr>
      <w:r>
        <w:rPr>
          <w:rFonts w:ascii="Book Antiqua" w:eastAsia="Book Antiqua" w:hAnsi="Book Antiqua" w:cs="Book Antiqua"/>
          <w:b/>
          <w:bCs/>
          <w:color w:val="000000"/>
          <w:u w:val="single"/>
        </w:rPr>
        <w:t>ACKNOWLEDGEMENT</w:t>
      </w:r>
    </w:p>
    <w:p w14:paraId="4BC9573D" w14:textId="6B178A32"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The funding bodies had no role in the design of the study, the collection, analysis, or interpretation of the data or writing the manuscript.</w:t>
      </w:r>
    </w:p>
    <w:p w14:paraId="062496AE" w14:textId="77777777" w:rsidR="009C5EF3" w:rsidRPr="00364A46" w:rsidRDefault="009C5EF3">
      <w:pPr>
        <w:spacing w:line="360" w:lineRule="auto"/>
        <w:jc w:val="both"/>
        <w:rPr>
          <w:rFonts w:ascii="Book Antiqua" w:hAnsi="Book Antiqua"/>
        </w:rPr>
      </w:pPr>
    </w:p>
    <w:p w14:paraId="44B54AAE"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REFERENCES</w:t>
      </w:r>
    </w:p>
    <w:p w14:paraId="79FEDB43"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Riediger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Makowiec</w:t>
      </w:r>
      <w:proofErr w:type="spellEnd"/>
      <w:r>
        <w:rPr>
          <w:rFonts w:ascii="Book Antiqua" w:eastAsia="Book Antiqua" w:hAnsi="Book Antiqua" w:cs="Book Antiqua"/>
          <w:color w:val="000000"/>
        </w:rPr>
        <w:t xml:space="preserve"> F, Fischer E, Adam U, </w:t>
      </w:r>
      <w:proofErr w:type="spellStart"/>
      <w:r>
        <w:rPr>
          <w:rFonts w:ascii="Book Antiqua" w:eastAsia="Book Antiqua" w:hAnsi="Book Antiqua" w:cs="Book Antiqua"/>
          <w:color w:val="000000"/>
        </w:rPr>
        <w:t>Hopt</w:t>
      </w:r>
      <w:proofErr w:type="spellEnd"/>
      <w:r>
        <w:rPr>
          <w:rFonts w:ascii="Book Antiqua" w:eastAsia="Book Antiqua" w:hAnsi="Book Antiqua" w:cs="Book Antiqua"/>
          <w:color w:val="000000"/>
        </w:rPr>
        <w:t xml:space="preserve"> UT. Postoperative morbidity and long-term survival after pancreaticoduodenectomy with superior </w:t>
      </w:r>
      <w:proofErr w:type="spellStart"/>
      <w:r>
        <w:rPr>
          <w:rFonts w:ascii="Book Antiqua" w:eastAsia="Book Antiqua" w:hAnsi="Book Antiqua" w:cs="Book Antiqua"/>
          <w:color w:val="000000"/>
        </w:rPr>
        <w:t>mesenterico</w:t>
      </w:r>
      <w:proofErr w:type="spellEnd"/>
      <w:r>
        <w:rPr>
          <w:rFonts w:ascii="Book Antiqua" w:eastAsia="Book Antiqua" w:hAnsi="Book Antiqua" w:cs="Book Antiqua"/>
          <w:color w:val="000000"/>
        </w:rPr>
        <w:t xml:space="preserve">-portal vein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1106-1115 [PMID: 16966029 DOI: 10.1016/j.gassur.2006.04.002]</w:t>
      </w:r>
    </w:p>
    <w:p w14:paraId="412E8251"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Adham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Mirza DF, </w:t>
      </w:r>
      <w:proofErr w:type="spellStart"/>
      <w:r>
        <w:rPr>
          <w:rFonts w:ascii="Book Antiqua" w:eastAsia="Book Antiqua" w:hAnsi="Book Antiqua" w:cs="Book Antiqua"/>
          <w:color w:val="000000"/>
        </w:rPr>
        <w:t>Chapuis</w:t>
      </w:r>
      <w:proofErr w:type="spellEnd"/>
      <w:r>
        <w:rPr>
          <w:rFonts w:ascii="Book Antiqua" w:eastAsia="Book Antiqua" w:hAnsi="Book Antiqua" w:cs="Book Antiqua"/>
          <w:color w:val="000000"/>
        </w:rPr>
        <w:t xml:space="preserve"> F, Mayer AD, Bramhall SR, Coldham C, </w:t>
      </w:r>
      <w:proofErr w:type="spellStart"/>
      <w:r>
        <w:rPr>
          <w:rFonts w:ascii="Book Antiqua" w:eastAsia="Book Antiqua" w:hAnsi="Book Antiqua" w:cs="Book Antiqua"/>
          <w:color w:val="000000"/>
        </w:rPr>
        <w:t>Baulieux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Buckels</w:t>
      </w:r>
      <w:proofErr w:type="spellEnd"/>
      <w:r>
        <w:rPr>
          <w:rFonts w:ascii="Book Antiqua" w:eastAsia="Book Antiqua" w:hAnsi="Book Antiqua" w:cs="Book Antiqua"/>
          <w:color w:val="000000"/>
        </w:rPr>
        <w:t xml:space="preserve"> J. Results of vascular resections during pancreatectomy from two European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an analysis of survival and disease-free survival explicative factors.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465-473 [PMID: 18333103 DOI: 10.1080/13651820600839944]</w:t>
      </w:r>
    </w:p>
    <w:p w14:paraId="304A2356"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Murakami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T, Hashimoto Y, Nakashima A, Kondo N, Nakagawa N, </w:t>
      </w:r>
      <w:proofErr w:type="spellStart"/>
      <w:r>
        <w:rPr>
          <w:rFonts w:ascii="Book Antiqua" w:eastAsia="Book Antiqua" w:hAnsi="Book Antiqua" w:cs="Book Antiqua"/>
          <w:color w:val="000000"/>
        </w:rPr>
        <w:t>Sueda</w:t>
      </w:r>
      <w:proofErr w:type="spellEnd"/>
      <w:r>
        <w:rPr>
          <w:rFonts w:ascii="Book Antiqua" w:eastAsia="Book Antiqua" w:hAnsi="Book Antiqua" w:cs="Book Antiqua"/>
          <w:color w:val="000000"/>
        </w:rPr>
        <w:t xml:space="preserve"> T. Benefit of portal or superior mesenteric vein resection with adjuvant chemotherapy for patients with pancreatic head carcinoma.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414-421 [PMID: 22886567 DOI: 10.1002/jso.23229]</w:t>
      </w:r>
    </w:p>
    <w:p w14:paraId="273A5FC7"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Ramacciato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Mercantini</w:t>
      </w:r>
      <w:proofErr w:type="spellEnd"/>
      <w:r>
        <w:rPr>
          <w:rFonts w:ascii="Book Antiqua" w:eastAsia="Book Antiqua" w:hAnsi="Book Antiqua" w:cs="Book Antiqua"/>
          <w:color w:val="000000"/>
        </w:rPr>
        <w:t xml:space="preserve"> P, Petrucciani N, </w:t>
      </w:r>
      <w:proofErr w:type="spellStart"/>
      <w:r>
        <w:rPr>
          <w:rFonts w:ascii="Book Antiqua" w:eastAsia="Book Antiqua" w:hAnsi="Book Antiqua" w:cs="Book Antiqua"/>
          <w:color w:val="000000"/>
        </w:rPr>
        <w:t>Giaccaglia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Nigri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Del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M. Does portal-superior mesenteric vein invasion still indicate irresectability for pancreatic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817-825 [PMID: 19156463 DOI: 10.1245/s10434-008-0281-8]</w:t>
      </w:r>
    </w:p>
    <w:p w14:paraId="05791E5A"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Cai Y, Zhao W, Gao P, Li Y, Liu X, Peng B. Laparoscopic pancreatoduodenectomy combined with portal-superior mesenteric vein resection and reconstruction with interposition graft: Case series.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e14204 [PMID: 30653175 DOI: 10.1097/MD.0000000000014204]</w:t>
      </w:r>
    </w:p>
    <w:p w14:paraId="128E19FF"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PT</w:t>
      </w:r>
      <w:r>
        <w:rPr>
          <w:rFonts w:ascii="Book Antiqua" w:eastAsia="Book Antiqua" w:hAnsi="Book Antiqua" w:cs="Book Antiqua"/>
          <w:color w:val="000000"/>
        </w:rPr>
        <w:t xml:space="preserve">, Wei AC, </w:t>
      </w:r>
      <w:proofErr w:type="spellStart"/>
      <w:r>
        <w:rPr>
          <w:rFonts w:ascii="Book Antiqua" w:eastAsia="Book Antiqua" w:hAnsi="Book Antiqua" w:cs="Book Antiqua"/>
          <w:color w:val="000000"/>
        </w:rPr>
        <w:t>Atenafu</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Cavallucci</w:t>
      </w:r>
      <w:proofErr w:type="spellEnd"/>
      <w:r>
        <w:rPr>
          <w:rFonts w:ascii="Book Antiqua" w:eastAsia="Book Antiqua" w:hAnsi="Book Antiqua" w:cs="Book Antiqua"/>
          <w:color w:val="000000"/>
        </w:rPr>
        <w:t xml:space="preserve"> D, Cleary SP, Moulton CA, Greig PD,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Serra S, </w:t>
      </w:r>
      <w:proofErr w:type="spellStart"/>
      <w:r>
        <w:rPr>
          <w:rFonts w:ascii="Book Antiqua" w:eastAsia="Book Antiqua" w:hAnsi="Book Antiqua" w:cs="Book Antiqua"/>
          <w:color w:val="000000"/>
        </w:rPr>
        <w:t>McGilvray</w:t>
      </w:r>
      <w:proofErr w:type="spellEnd"/>
      <w:r>
        <w:rPr>
          <w:rFonts w:ascii="Book Antiqua" w:eastAsia="Book Antiqua" w:hAnsi="Book Antiqua" w:cs="Book Antiqua"/>
          <w:color w:val="000000"/>
        </w:rPr>
        <w:t xml:space="preserve"> ID. Planned </w:t>
      </w:r>
      <w:r>
        <w:rPr>
          <w:rFonts w:ascii="Book Antiqua" w:eastAsia="Book Antiqua" w:hAnsi="Book Antiqua" w:cs="Book Antiqua"/>
          <w:i/>
          <w:iCs/>
          <w:color w:val="000000"/>
        </w:rPr>
        <w:t>vs</w:t>
      </w:r>
      <w:r>
        <w:rPr>
          <w:rFonts w:ascii="Book Antiqua" w:eastAsia="Book Antiqua" w:hAnsi="Book Antiqua" w:cs="Book Antiqua"/>
          <w:color w:val="000000"/>
        </w:rPr>
        <w:t xml:space="preserve"> unplanned portal vein resections during </w:t>
      </w:r>
      <w:r>
        <w:rPr>
          <w:rFonts w:ascii="Book Antiqua" w:eastAsia="Book Antiqua" w:hAnsi="Book Antiqua" w:cs="Book Antiqua"/>
          <w:color w:val="000000"/>
        </w:rPr>
        <w:lastRenderedPageBreak/>
        <w:t xml:space="preserve">pancreaticoduodenectomy for adenocarcinoma.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100</w:t>
      </w:r>
      <w:r>
        <w:rPr>
          <w:rFonts w:ascii="Book Antiqua" w:eastAsia="Book Antiqua" w:hAnsi="Book Antiqua" w:cs="Book Antiqua"/>
          <w:color w:val="000000"/>
        </w:rPr>
        <w:t>: 1349-1356 [PMID: 23939847 DOI: 10.1002/bjs.9222]</w:t>
      </w:r>
    </w:p>
    <w:p w14:paraId="7088010F"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Evans DB</w:t>
      </w:r>
      <w:r>
        <w:rPr>
          <w:rFonts w:ascii="Book Antiqua" w:eastAsia="Book Antiqua" w:hAnsi="Book Antiqua" w:cs="Book Antiqua"/>
          <w:color w:val="000000"/>
        </w:rPr>
        <w:t xml:space="preserve">, Farnell MB,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Vollmer C Jr, Strasberg SM,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Surgical treatment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and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pancreas cancer: expert consensus statement.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1736-1744 [PMID: 19387741 DOI: 10.1245/s10434-009-0416-6]</w:t>
      </w:r>
    </w:p>
    <w:p w14:paraId="2C9D89D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Kim SM</w:t>
      </w:r>
      <w:r>
        <w:rPr>
          <w:rFonts w:ascii="Book Antiqua" w:eastAsia="Book Antiqua" w:hAnsi="Book Antiqua" w:cs="Book Antiqua"/>
          <w:color w:val="000000"/>
        </w:rPr>
        <w:t xml:space="preserve">, Min SK, Park D, Min SI, Jang JY, Kim SW, Ha J, Kim SJ. Reconstruction of portal vein and superior mesenteric vein after extensive resection for pancreatic cancer. </w:t>
      </w:r>
      <w:r>
        <w:rPr>
          <w:rFonts w:ascii="Book Antiqua" w:eastAsia="Book Antiqua" w:hAnsi="Book Antiqua" w:cs="Book Antiqua"/>
          <w:i/>
          <w:iCs/>
          <w:color w:val="000000"/>
        </w:rPr>
        <w:t>J Korean Surg Soc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346-352 [PMID: 23741692 DOI: 10.4174/jkss.2013.84.6.346]</w:t>
      </w:r>
    </w:p>
    <w:p w14:paraId="32BE04CD"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Sakamoto Y, Nara S, Ban D, Esaki M, Shimada K, </w:t>
      </w:r>
      <w:proofErr w:type="spellStart"/>
      <w:r>
        <w:rPr>
          <w:rFonts w:ascii="Book Antiqua" w:eastAsia="Book Antiqua" w:hAnsi="Book Antiqua" w:cs="Book Antiqua"/>
          <w:color w:val="000000"/>
        </w:rPr>
        <w:t>Kosuge</w:t>
      </w:r>
      <w:proofErr w:type="spellEnd"/>
      <w:r>
        <w:rPr>
          <w:rFonts w:ascii="Book Antiqua" w:eastAsia="Book Antiqua" w:hAnsi="Book Antiqua" w:cs="Book Antiqua"/>
          <w:color w:val="000000"/>
        </w:rPr>
        <w:t xml:space="preserve"> T. Reconstruction of the portal and hepatic veins using venous grafts customized from the bilateral gonadal veins.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394</w:t>
      </w:r>
      <w:r>
        <w:rPr>
          <w:rFonts w:ascii="Book Antiqua" w:eastAsia="Book Antiqua" w:hAnsi="Book Antiqua" w:cs="Book Antiqua"/>
          <w:color w:val="000000"/>
        </w:rPr>
        <w:t>: 1115-1121 [PMID: 19421769 DOI: 10.1007/s00423-009-0500-1]</w:t>
      </w:r>
    </w:p>
    <w:p w14:paraId="3ECB0470"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Ikegami T</w:t>
      </w:r>
      <w:r>
        <w:rPr>
          <w:rFonts w:ascii="Book Antiqua" w:eastAsia="Book Antiqua" w:hAnsi="Book Antiqua" w:cs="Book Antiqua"/>
          <w:color w:val="000000"/>
        </w:rPr>
        <w:t xml:space="preserve">, Wang H, Imai D, Bekki Y,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Yamashita Y, Toshima T, </w:t>
      </w:r>
      <w:proofErr w:type="spellStart"/>
      <w:r>
        <w:rPr>
          <w:rFonts w:ascii="Book Antiqua" w:eastAsia="Book Antiqua" w:hAnsi="Book Antiqua" w:cs="Book Antiqua"/>
          <w:color w:val="000000"/>
        </w:rPr>
        <w:t>Soejima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Maehara Y. Pathological analysis of opened round ligaments as venous patch grafts in living donor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1245-1251 [PMID: 23894128 DOI: 10.1002/lt.23716]</w:t>
      </w:r>
    </w:p>
    <w:p w14:paraId="0D761FF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Stüben</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Heumann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Stürznickel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Li J. Successful Use of the Recanalized Remnant Umbilical Vein as a Patch Graft for Venous Reconstruction in Abdominal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1227-1231 [PMID: 30783956 DOI: 10.1007/s11605-019-04150-y]</w:t>
      </w:r>
    </w:p>
    <w:p w14:paraId="07B53A6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Costalat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Alquier</w:t>
      </w:r>
      <w:proofErr w:type="spellEnd"/>
      <w:r>
        <w:rPr>
          <w:rFonts w:ascii="Book Antiqua" w:eastAsia="Book Antiqua" w:hAnsi="Book Antiqua" w:cs="Book Antiqua"/>
          <w:color w:val="000000"/>
        </w:rPr>
        <w:t xml:space="preserve"> Y. Combined laparoscopic and endoscopic treatment of perforated gastroduodenal ulcer using the ligamentum teres hepatis (LTH).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9</w:t>
      </w:r>
      <w:r>
        <w:rPr>
          <w:rFonts w:ascii="Book Antiqua" w:eastAsia="Book Antiqua" w:hAnsi="Book Antiqua" w:cs="Book Antiqua"/>
          <w:color w:val="000000"/>
        </w:rPr>
        <w:t>: 677-9; discussion 680 [PMID: 7482162 DOI: 10.1007/BF00187938]</w:t>
      </w:r>
    </w:p>
    <w:p w14:paraId="4E8F0618"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Ying DJ</w:t>
      </w:r>
      <w:r>
        <w:rPr>
          <w:rFonts w:ascii="Book Antiqua" w:eastAsia="Book Antiqua" w:hAnsi="Book Antiqua" w:cs="Book Antiqua"/>
          <w:color w:val="000000"/>
        </w:rPr>
        <w:t xml:space="preserve">, Ho GT, Cai JX. Anatomic bases of the vascularized hepatic teres ligament flap.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19</w:t>
      </w:r>
      <w:r>
        <w:rPr>
          <w:rFonts w:ascii="Book Antiqua" w:eastAsia="Book Antiqua" w:hAnsi="Book Antiqua" w:cs="Book Antiqua"/>
          <w:color w:val="000000"/>
        </w:rPr>
        <w:t>: 293-294 [PMID: 9413074 DOI: 10.1007/BF01637594]</w:t>
      </w:r>
    </w:p>
    <w:p w14:paraId="5FE99DC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Hur</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Kim HJ, Lee KS. Termination of the ligamentum venosum and the topographic relationship between the left portal vein, left hepatic artery, and ligamentum venosum in the fissures for the ligamentum teres and ligamentum venosum.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37</w:t>
      </w:r>
      <w:r>
        <w:rPr>
          <w:rFonts w:ascii="Book Antiqua" w:eastAsia="Book Antiqua" w:hAnsi="Book Antiqua" w:cs="Book Antiqua"/>
          <w:color w:val="000000"/>
        </w:rPr>
        <w:t>: 449-455 [PMID: 25209709 DOI: 10.1007/s00276-014-1367-6]</w:t>
      </w:r>
    </w:p>
    <w:p w14:paraId="2057046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Tan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Kow</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KH. Moving towards the New International Study Group for Pancreatic Surgery (ISGPS) definitions in pancreaticoduodenectomy: a comparison between the old and new.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566-572 [PMID: 21762300 DOI: 10.1111/j.1477-2574.</w:t>
      </w:r>
      <w:proofErr w:type="gramStart"/>
      <w:r>
        <w:rPr>
          <w:rFonts w:ascii="Book Antiqua" w:eastAsia="Book Antiqua" w:hAnsi="Book Antiqua" w:cs="Book Antiqua"/>
          <w:color w:val="000000"/>
        </w:rPr>
        <w:t>2011.00336.x</w:t>
      </w:r>
      <w:proofErr w:type="gramEnd"/>
      <w:r>
        <w:rPr>
          <w:rFonts w:ascii="Book Antiqua" w:eastAsia="Book Antiqua" w:hAnsi="Book Antiqua" w:cs="Book Antiqua"/>
          <w:color w:val="000000"/>
        </w:rPr>
        <w:t>]</w:t>
      </w:r>
    </w:p>
    <w:p w14:paraId="4550E232"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Dindo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Demartines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Classification of surgical complications: a new proposal with evaluation in a cohort of 6336 patients and results of a survey.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240</w:t>
      </w:r>
      <w:r>
        <w:rPr>
          <w:rFonts w:ascii="Book Antiqua" w:eastAsia="Book Antiqua" w:hAnsi="Book Antiqua" w:cs="Book Antiqua"/>
          <w:color w:val="000000"/>
        </w:rPr>
        <w:t>: 205-213 [PMID: 15273542 DOI: 10.1097/01.sla.</w:t>
      </w:r>
      <w:proofErr w:type="gramStart"/>
      <w:r>
        <w:rPr>
          <w:rFonts w:ascii="Book Antiqua" w:eastAsia="Book Antiqua" w:hAnsi="Book Antiqua" w:cs="Book Antiqua"/>
          <w:color w:val="000000"/>
        </w:rPr>
        <w:t>0000133083.54934.ae</w:t>
      </w:r>
      <w:proofErr w:type="gramEnd"/>
      <w:r>
        <w:rPr>
          <w:rFonts w:ascii="Book Antiqua" w:eastAsia="Book Antiqua" w:hAnsi="Book Antiqua" w:cs="Book Antiqua"/>
          <w:color w:val="000000"/>
        </w:rPr>
        <w:t>]</w:t>
      </w:r>
    </w:p>
    <w:p w14:paraId="4B027EE4"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Kleive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Berstad</w:t>
      </w:r>
      <w:proofErr w:type="spellEnd"/>
      <w:r>
        <w:rPr>
          <w:rFonts w:ascii="Book Antiqua" w:eastAsia="Book Antiqua" w:hAnsi="Book Antiqua" w:cs="Book Antiqua"/>
          <w:color w:val="000000"/>
        </w:rPr>
        <w:t xml:space="preserve"> AE, Sahakyan MA, Verbeke CS, </w:t>
      </w:r>
      <w:proofErr w:type="spellStart"/>
      <w:r>
        <w:rPr>
          <w:rFonts w:ascii="Book Antiqua" w:eastAsia="Book Antiqua" w:hAnsi="Book Antiqua" w:cs="Book Antiqua"/>
          <w:color w:val="000000"/>
        </w:rPr>
        <w:t>Naper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Haugvik</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Gladhaug</w:t>
      </w:r>
      <w:proofErr w:type="spellEnd"/>
      <w:r>
        <w:rPr>
          <w:rFonts w:ascii="Book Antiqua" w:eastAsia="Book Antiqua" w:hAnsi="Book Antiqua" w:cs="Book Antiqua"/>
          <w:color w:val="000000"/>
        </w:rPr>
        <w:t xml:space="preserve"> IP, Line PD, </w:t>
      </w:r>
      <w:proofErr w:type="spellStart"/>
      <w:r>
        <w:rPr>
          <w:rFonts w:ascii="Book Antiqua" w:eastAsia="Book Antiqua" w:hAnsi="Book Antiqua" w:cs="Book Antiqua"/>
          <w:color w:val="000000"/>
        </w:rPr>
        <w:t>Labori</w:t>
      </w:r>
      <w:proofErr w:type="spellEnd"/>
      <w:r>
        <w:rPr>
          <w:rFonts w:ascii="Book Antiqua" w:eastAsia="Book Antiqua" w:hAnsi="Book Antiqua" w:cs="Book Antiqua"/>
          <w:color w:val="000000"/>
        </w:rPr>
        <w:t xml:space="preserve"> KJ. Portal vein reconstruction using primary anastomosis or venous interposition allograft in pancreatic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66-74 [PMID: 29128301 DOI: 10.1016/j.jvsv.2017.09.003]</w:t>
      </w:r>
    </w:p>
    <w:p w14:paraId="39CACBCB"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Nakao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Kodera Y, Yamada S, Sugimoto H,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S, Nakamura S, Morita S, Takeda S. Correlation between radiographic classification and pathological grade of portal vein wall invasion in pancreatic head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255</w:t>
      </w:r>
      <w:r>
        <w:rPr>
          <w:rFonts w:ascii="Book Antiqua" w:eastAsia="Book Antiqua" w:hAnsi="Book Antiqua" w:cs="Book Antiqua"/>
          <w:color w:val="000000"/>
        </w:rPr>
        <w:t>: 103-108 [PMID: 22156923 DOI: 10.1097/SLA.0b013e318237872e]</w:t>
      </w:r>
    </w:p>
    <w:p w14:paraId="33F8F1DB"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Raut CP</w:t>
      </w:r>
      <w:r>
        <w:rPr>
          <w:rFonts w:ascii="Book Antiqua" w:eastAsia="Book Antiqua" w:hAnsi="Book Antiqua" w:cs="Book Antiqua"/>
          <w:color w:val="000000"/>
        </w:rPr>
        <w:t xml:space="preserve">, Tseng JF, Sun CC, Wang H, Wolff RA, Crane CH, Hwang R,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Abdalla EK, Lee JE, Pisters PW, Evans DB. Impact of resection status on pattern of failure and survival after pancreaticoduodenectomy for pancreatic adenocarcinoma.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246</w:t>
      </w:r>
      <w:r>
        <w:rPr>
          <w:rFonts w:ascii="Book Antiqua" w:eastAsia="Book Antiqua" w:hAnsi="Book Antiqua" w:cs="Book Antiqua"/>
          <w:color w:val="000000"/>
        </w:rPr>
        <w:t>: 52-60 [PMID: 17592291 DOI: 10.1097/01.sla.0000259391.84304.2b]</w:t>
      </w:r>
    </w:p>
    <w:p w14:paraId="7063207E"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Makuuchi M, Sugawara Y, </w:t>
      </w:r>
      <w:proofErr w:type="spellStart"/>
      <w:r>
        <w:rPr>
          <w:rFonts w:ascii="Book Antiqua" w:eastAsia="Book Antiqua" w:hAnsi="Book Antiqua" w:cs="Book Antiqua"/>
          <w:color w:val="000000"/>
        </w:rPr>
        <w:t>Midorikawa</w:t>
      </w:r>
      <w:proofErr w:type="spellEnd"/>
      <w:r>
        <w:rPr>
          <w:rFonts w:ascii="Book Antiqua" w:eastAsia="Book Antiqua" w:hAnsi="Book Antiqua" w:cs="Book Antiqua"/>
          <w:color w:val="000000"/>
        </w:rPr>
        <w:t xml:space="preserve"> Y, Sakamoto Y, Takayama T, </w:t>
      </w:r>
      <w:proofErr w:type="spellStart"/>
      <w:r>
        <w:rPr>
          <w:rFonts w:ascii="Book Antiqua" w:eastAsia="Book Antiqua" w:hAnsi="Book Antiqua" w:cs="Book Antiqua"/>
          <w:color w:val="000000"/>
        </w:rPr>
        <w:t>Harihara</w:t>
      </w:r>
      <w:proofErr w:type="spellEnd"/>
      <w:r>
        <w:rPr>
          <w:rFonts w:ascii="Book Antiqua" w:eastAsia="Book Antiqua" w:hAnsi="Book Antiqua" w:cs="Book Antiqua"/>
          <w:color w:val="000000"/>
        </w:rPr>
        <w:t xml:space="preserve"> Y. Reconstruction of the hepatic and portal veins using a patch graft from the right ovarian vein.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176</w:t>
      </w:r>
      <w:r>
        <w:rPr>
          <w:rFonts w:ascii="Book Antiqua" w:eastAsia="Book Antiqua" w:hAnsi="Book Antiqua" w:cs="Book Antiqua"/>
          <w:color w:val="000000"/>
        </w:rPr>
        <w:t>: 295-297 [PMID: 9776163 DOI: 10.1016/s0002-9610(98)00149-4]</w:t>
      </w:r>
    </w:p>
    <w:p w14:paraId="25E27BF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Fleming JB</w:t>
      </w:r>
      <w:r>
        <w:rPr>
          <w:rFonts w:ascii="Book Antiqua" w:eastAsia="Book Antiqua" w:hAnsi="Book Antiqua" w:cs="Book Antiqua"/>
          <w:color w:val="000000"/>
        </w:rPr>
        <w:t xml:space="preserve">, Barnett CC, </w:t>
      </w:r>
      <w:proofErr w:type="spellStart"/>
      <w:r>
        <w:rPr>
          <w:rFonts w:ascii="Book Antiqua" w:eastAsia="Book Antiqua" w:hAnsi="Book Antiqua" w:cs="Book Antiqua"/>
          <w:color w:val="000000"/>
        </w:rPr>
        <w:t>Clagett</w:t>
      </w:r>
      <w:proofErr w:type="spellEnd"/>
      <w:r>
        <w:rPr>
          <w:rFonts w:ascii="Book Antiqua" w:eastAsia="Book Antiqua" w:hAnsi="Book Antiqua" w:cs="Book Antiqua"/>
          <w:color w:val="000000"/>
        </w:rPr>
        <w:t xml:space="preserve"> GP. Superficial femoral vein as a conduit for portal vein reconstruction during pancreaticoduodenectomy.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140</w:t>
      </w:r>
      <w:r>
        <w:rPr>
          <w:rFonts w:ascii="Book Antiqua" w:eastAsia="Book Antiqua" w:hAnsi="Book Antiqua" w:cs="Book Antiqua"/>
          <w:color w:val="000000"/>
        </w:rPr>
        <w:t>: 698-701 [PMID: 16027337 DOI: 10.1001/archsurg.140.7.698]</w:t>
      </w:r>
    </w:p>
    <w:p w14:paraId="7CBB2FE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Smoot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Christein</w:t>
      </w:r>
      <w:proofErr w:type="spellEnd"/>
      <w:r>
        <w:rPr>
          <w:rFonts w:ascii="Book Antiqua" w:eastAsia="Book Antiqua" w:hAnsi="Book Antiqua" w:cs="Book Antiqua"/>
          <w:color w:val="000000"/>
        </w:rPr>
        <w:t xml:space="preserve"> JD, Farnell MB. An innovative option for venous reconstruction after pancreaticoduodenectomy: the left renal vein.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425-431 [PMID: 17436125 DOI: 10.1007/s11605-007-0131-1]</w:t>
      </w:r>
    </w:p>
    <w:p w14:paraId="3429F4C8"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Kaneoka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Yamaguchi A, </w:t>
      </w:r>
      <w:proofErr w:type="spellStart"/>
      <w:r>
        <w:rPr>
          <w:rFonts w:ascii="Book Antiqua" w:eastAsia="Book Antiqua" w:hAnsi="Book Antiqua" w:cs="Book Antiqua"/>
          <w:color w:val="000000"/>
        </w:rPr>
        <w:t>Isogai</w:t>
      </w:r>
      <w:proofErr w:type="spellEnd"/>
      <w:r>
        <w:rPr>
          <w:rFonts w:ascii="Book Antiqua" w:eastAsia="Book Antiqua" w:hAnsi="Book Antiqua" w:cs="Book Antiqua"/>
          <w:color w:val="000000"/>
        </w:rPr>
        <w:t xml:space="preserve"> M. Portal or superior mesenteric vein resection for pancreatic head adenocarcinoma: prognostic value of the length of venous resection.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2009; </w:t>
      </w:r>
      <w:r>
        <w:rPr>
          <w:rFonts w:ascii="Book Antiqua" w:eastAsia="Book Antiqua" w:hAnsi="Book Antiqua" w:cs="Book Antiqua"/>
          <w:b/>
          <w:bCs/>
          <w:color w:val="000000"/>
        </w:rPr>
        <w:t>145</w:t>
      </w:r>
      <w:r>
        <w:rPr>
          <w:rFonts w:ascii="Book Antiqua" w:eastAsia="Book Antiqua" w:hAnsi="Book Antiqua" w:cs="Book Antiqua"/>
          <w:color w:val="000000"/>
        </w:rPr>
        <w:t>: 417-425 [PMID: 19303991 DOI: 10.1016/j.surg.2008.12.009]</w:t>
      </w:r>
    </w:p>
    <w:p w14:paraId="48A06F4D"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Zhiying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Haidong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Xiaolei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Yongliang</w:t>
      </w:r>
      <w:proofErr w:type="spellEnd"/>
      <w:r>
        <w:rPr>
          <w:rFonts w:ascii="Book Antiqua" w:eastAsia="Book Antiqua" w:hAnsi="Book Antiqua" w:cs="Book Antiqua"/>
          <w:color w:val="000000"/>
        </w:rPr>
        <w:t xml:space="preserve"> S, Shuang S, </w:t>
      </w:r>
      <w:proofErr w:type="spellStart"/>
      <w:r>
        <w:rPr>
          <w:rFonts w:ascii="Book Antiqua" w:eastAsia="Book Antiqua" w:hAnsi="Book Antiqua" w:cs="Book Antiqua"/>
          <w:color w:val="000000"/>
        </w:rPr>
        <w:t>Liguo</w:t>
      </w:r>
      <w:proofErr w:type="spellEnd"/>
      <w:r>
        <w:rPr>
          <w:rFonts w:ascii="Book Antiqua" w:eastAsia="Book Antiqua" w:hAnsi="Book Antiqua" w:cs="Book Antiqua"/>
          <w:color w:val="000000"/>
        </w:rPr>
        <w:t xml:space="preserve"> L, Li X, </w:t>
      </w:r>
      <w:proofErr w:type="spellStart"/>
      <w:r>
        <w:rPr>
          <w:rFonts w:ascii="Book Antiqua" w:eastAsia="Book Antiqua" w:hAnsi="Book Antiqua" w:cs="Book Antiqua"/>
          <w:color w:val="000000"/>
        </w:rPr>
        <w:t>Atyah</w:t>
      </w:r>
      <w:proofErr w:type="spellEnd"/>
      <w:r>
        <w:rPr>
          <w:rFonts w:ascii="Book Antiqua" w:eastAsia="Book Antiqua" w:hAnsi="Book Antiqua" w:cs="Book Antiqua"/>
          <w:color w:val="000000"/>
        </w:rPr>
        <w:t xml:space="preserve"> M. The falciform ligament as a graft for portal-superior mesenteric vein reconstruction in pancreatectomy.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218</w:t>
      </w:r>
      <w:r>
        <w:rPr>
          <w:rFonts w:ascii="Book Antiqua" w:eastAsia="Book Antiqua" w:hAnsi="Book Antiqua" w:cs="Book Antiqua"/>
          <w:color w:val="000000"/>
        </w:rPr>
        <w:t>: 226-231 [PMID: 28985853 DOI: 10.1016/j.jss.2017.05.090]</w:t>
      </w:r>
    </w:p>
    <w:p w14:paraId="4DDAC43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Shao Y</w:t>
      </w:r>
      <w:r>
        <w:rPr>
          <w:rFonts w:ascii="Book Antiqua" w:eastAsia="Book Antiqua" w:hAnsi="Book Antiqua" w:cs="Book Antiqua"/>
          <w:color w:val="000000"/>
        </w:rPr>
        <w:t xml:space="preserve">, Yan S, Zhang QY, Shen Y, Zhang M, Wang WL, Zheng SS. Autologous falciform ligament graft as A substitute for mesentericoportal vein reconstruction in pancreaticoduodenectomy.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159-162 [PMID: 29581044 DOI: 10.1016/j.ijsu.2018.03.045]</w:t>
      </w:r>
    </w:p>
    <w:p w14:paraId="5CA6A415"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Yoshioka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Uchinami</w:t>
      </w:r>
      <w:proofErr w:type="spellEnd"/>
      <w:r>
        <w:rPr>
          <w:rFonts w:ascii="Book Antiqua" w:eastAsia="Book Antiqua" w:hAnsi="Book Antiqua" w:cs="Book Antiqua"/>
          <w:color w:val="000000"/>
        </w:rPr>
        <w:t xml:space="preserve"> H, Watanabe G, Iida M, Nakagawa Y, Miyazawa H, Yoshida M, Yamamoto Y. Domino Reconstruction of the Portal Vein Using the External Iliac Vein and an </w:t>
      </w:r>
      <w:proofErr w:type="spellStart"/>
      <w:r>
        <w:rPr>
          <w:rFonts w:ascii="Book Antiqua" w:eastAsia="Book Antiqua" w:hAnsi="Book Antiqua" w:cs="Book Antiqua"/>
          <w:color w:val="000000"/>
        </w:rPr>
        <w:t>ePTFE</w:t>
      </w:r>
      <w:proofErr w:type="spellEnd"/>
      <w:r>
        <w:rPr>
          <w:rFonts w:ascii="Book Antiqua" w:eastAsia="Book Antiqua" w:hAnsi="Book Antiqua" w:cs="Book Antiqua"/>
          <w:color w:val="000000"/>
        </w:rPr>
        <w:t xml:space="preserve"> Graft in Pancreatic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1278-1286 [PMID: 28378316 DOI: 10.1007/s11605-017-3413-2]</w:t>
      </w:r>
    </w:p>
    <w:p w14:paraId="7FF1B09D"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Kostov</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Dimov</w:t>
      </w:r>
      <w:proofErr w:type="spellEnd"/>
      <w:r>
        <w:rPr>
          <w:rFonts w:ascii="Book Antiqua" w:eastAsia="Book Antiqua" w:hAnsi="Book Antiqua" w:cs="Book Antiqua"/>
          <w:color w:val="000000"/>
        </w:rPr>
        <w:t xml:space="preserve"> R. Portal vein reconstruction during pancreaticoduodenal resection using an internal jugular vein as a graft.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2021; </w:t>
      </w:r>
      <w:r>
        <w:rPr>
          <w:rFonts w:ascii="Book Antiqua" w:eastAsia="Book Antiqua" w:hAnsi="Book Antiqua" w:cs="Book Antiqua"/>
          <w:b/>
          <w:bCs/>
          <w:color w:val="000000"/>
        </w:rPr>
        <w:t>63</w:t>
      </w:r>
      <w:r>
        <w:rPr>
          <w:rFonts w:ascii="Book Antiqua" w:eastAsia="Book Antiqua" w:hAnsi="Book Antiqua" w:cs="Book Antiqua"/>
          <w:color w:val="000000"/>
        </w:rPr>
        <w:t>: 429-432 [PMID: 34196146 DOI: 10.3897/folmed.</w:t>
      </w:r>
      <w:proofErr w:type="gramStart"/>
      <w:r>
        <w:rPr>
          <w:rFonts w:ascii="Book Antiqua" w:eastAsia="Book Antiqua" w:hAnsi="Book Antiqua" w:cs="Book Antiqua"/>
          <w:color w:val="000000"/>
        </w:rPr>
        <w:t>63.e</w:t>
      </w:r>
      <w:proofErr w:type="gramEnd"/>
      <w:r>
        <w:rPr>
          <w:rFonts w:ascii="Book Antiqua" w:eastAsia="Book Antiqua" w:hAnsi="Book Antiqua" w:cs="Book Antiqua"/>
          <w:color w:val="000000"/>
        </w:rPr>
        <w:t>55650]</w:t>
      </w:r>
    </w:p>
    <w:p w14:paraId="761161F4"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Saglam</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Usta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Otan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Kayaalp</w:t>
      </w:r>
      <w:proofErr w:type="spellEnd"/>
      <w:r>
        <w:rPr>
          <w:rFonts w:ascii="Book Antiqua" w:eastAsia="Book Antiqua" w:hAnsi="Book Antiqua" w:cs="Book Antiqua"/>
          <w:color w:val="000000"/>
        </w:rPr>
        <w:t xml:space="preserve"> C, Aydin C, Yilmaz S. Portal vein reconstruction with cryopreserved vascular grafts: A two-edged sword.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2022; </w:t>
      </w:r>
      <w:r>
        <w:rPr>
          <w:rFonts w:ascii="Book Antiqua" w:eastAsia="Book Antiqua" w:hAnsi="Book Antiqua" w:cs="Book Antiqua"/>
          <w:b/>
          <w:bCs/>
          <w:color w:val="000000"/>
        </w:rPr>
        <w:t>26</w:t>
      </w:r>
      <w:r>
        <w:rPr>
          <w:rFonts w:ascii="Book Antiqua" w:eastAsia="Book Antiqua" w:hAnsi="Book Antiqua" w:cs="Book Antiqua"/>
          <w:color w:val="000000"/>
        </w:rPr>
        <w:t>: e14206 [PMID: 34889009 DOI: 10.1111/petr.14206]</w:t>
      </w:r>
    </w:p>
    <w:p w14:paraId="13E7D5A3"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Chen QP,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K, Guan QH, Zhang F, Lin XT. Feasibility study on reconstruction of portal vein/ superior mesenteric vein using </w:t>
      </w:r>
      <w:proofErr w:type="spellStart"/>
      <w:r>
        <w:rPr>
          <w:rFonts w:ascii="Book Antiqua" w:eastAsia="Book Antiqua" w:hAnsi="Book Antiqua" w:cs="Book Antiqua"/>
          <w:color w:val="000000"/>
        </w:rPr>
        <w:t>ligmentum</w:t>
      </w:r>
      <w:proofErr w:type="spellEnd"/>
      <w:r>
        <w:rPr>
          <w:rFonts w:ascii="Book Antiqua" w:eastAsia="Book Antiqua" w:hAnsi="Book Antiqua" w:cs="Book Antiqua"/>
          <w:color w:val="000000"/>
        </w:rPr>
        <w:t xml:space="preserve"> teres.</w:t>
      </w:r>
      <w:r>
        <w:rPr>
          <w:rFonts w:ascii="Book Antiqua" w:eastAsia="Book Antiqua" w:hAnsi="Book Antiqua" w:cs="Book Antiqua"/>
          <w:i/>
          <w:iCs/>
          <w:color w:val="000000"/>
        </w:rPr>
        <w:t xml:space="preserve"> Shandong Yi Yao</w:t>
      </w:r>
      <w:r>
        <w:rPr>
          <w:rFonts w:ascii="Book Antiqua" w:eastAsia="Book Antiqua" w:hAnsi="Book Antiqua" w:cs="Book Antiqua"/>
          <w:color w:val="000000"/>
        </w:rPr>
        <w:t xml:space="preserve"> 2006; </w:t>
      </w:r>
      <w:r>
        <w:rPr>
          <w:rFonts w:ascii="Book Antiqua" w:eastAsia="Book Antiqua" w:hAnsi="Book Antiqua" w:cs="Book Antiqua"/>
          <w:b/>
          <w:bCs/>
          <w:color w:val="000000"/>
        </w:rPr>
        <w:t>46</w:t>
      </w:r>
      <w:r>
        <w:rPr>
          <w:rFonts w:ascii="Book Antiqua" w:eastAsia="Book Antiqua" w:hAnsi="Book Antiqua" w:cs="Book Antiqua"/>
          <w:color w:val="000000"/>
        </w:rPr>
        <w:t>: 7-8 [DOI: 10.3969/j.issn.1002-266X.2006.36.004]</w:t>
      </w:r>
    </w:p>
    <w:p w14:paraId="3FFB9BC4"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Gunasekaran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Mosna</w:t>
      </w:r>
      <w:proofErr w:type="spellEnd"/>
      <w:r>
        <w:rPr>
          <w:rFonts w:ascii="Book Antiqua" w:eastAsia="Book Antiqua" w:hAnsi="Book Antiqua" w:cs="Book Antiqua"/>
          <w:color w:val="000000"/>
        </w:rPr>
        <w:t xml:space="preserve"> LC, Savino JA.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reconstruction using an umbilical vein patch during pancreaticoduodenectomy (Whipple procedure).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217</w:t>
      </w:r>
      <w:r>
        <w:rPr>
          <w:rFonts w:ascii="Book Antiqua" w:eastAsia="Book Antiqua" w:hAnsi="Book Antiqua" w:cs="Book Antiqua"/>
          <w:color w:val="000000"/>
        </w:rPr>
        <w:t>: e9-11 [PMID: 23870231 DOI: 10.1016/j.jamcollsurg.2013.04.034]</w:t>
      </w:r>
    </w:p>
    <w:p w14:paraId="329387F8"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Wei Q</w:t>
      </w:r>
      <w:r>
        <w:rPr>
          <w:rFonts w:ascii="Book Antiqua" w:eastAsia="Book Antiqua" w:hAnsi="Book Antiqua" w:cs="Book Antiqua"/>
          <w:color w:val="000000"/>
        </w:rPr>
        <w:t xml:space="preserve">, Chen QP, Guan QH, Zhu WT. Repair of the portal vein using a hepatic ligamentum teres patch for laparoscopic pancreatoduodenectomy: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2879-2887 [PMID: 31616706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7.i18.2879]</w:t>
      </w:r>
    </w:p>
    <w:p w14:paraId="60D3FFC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Zhu WT,</w:t>
      </w:r>
      <w:r>
        <w:rPr>
          <w:rFonts w:ascii="Book Antiqua" w:eastAsia="Book Antiqua" w:hAnsi="Book Antiqua" w:cs="Book Antiqua"/>
          <w:color w:val="000000"/>
        </w:rPr>
        <w:t xml:space="preserve"> Chen QP, Guan QH, Zhang F, Zhang CX, Huang Q, Wang HT. Comparative study of the length and diameter in recanalized adult ligamentum teres hepatic and their auto-portal vein and superior mesenteric vein.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Putong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Wenxian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386-393 [DOI: 10.3877/cma.j.issn.1674-0793.2012.05.004]</w:t>
      </w:r>
    </w:p>
    <w:p w14:paraId="4009129F"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Thompson SM</w:t>
      </w:r>
      <w:r>
        <w:rPr>
          <w:rFonts w:ascii="Book Antiqua" w:eastAsia="Book Antiqua" w:hAnsi="Book Antiqua" w:cs="Book Antiqua"/>
          <w:color w:val="000000"/>
        </w:rPr>
        <w:t xml:space="preserve">, Fleming CJ, </w:t>
      </w:r>
      <w:proofErr w:type="spellStart"/>
      <w:r>
        <w:rPr>
          <w:rFonts w:ascii="Book Antiqua" w:eastAsia="Book Antiqua" w:hAnsi="Book Antiqua" w:cs="Book Antiqua"/>
          <w:color w:val="000000"/>
        </w:rPr>
        <w:t>Yohanathan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Truty</w:t>
      </w:r>
      <w:proofErr w:type="spellEnd"/>
      <w:r>
        <w:rPr>
          <w:rFonts w:ascii="Book Antiqua" w:eastAsia="Book Antiqua" w:hAnsi="Book Antiqua" w:cs="Book Antiqua"/>
          <w:color w:val="000000"/>
        </w:rPr>
        <w:t xml:space="preserve"> MJ, Kendrick ML, Andrews JC.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Venous Complications after Pancreatic Surgery with Venous Reconstruction: Imaging and Intervention.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531-544 [PMID: 31977263 DOI: 10.1148/rg.2020190100]</w:t>
      </w:r>
    </w:p>
    <w:p w14:paraId="371C2B9D"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Fischer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Llaurado</w:t>
      </w:r>
      <w:proofErr w:type="spellEnd"/>
      <w:r>
        <w:rPr>
          <w:rFonts w:ascii="Book Antiqua" w:eastAsia="Book Antiqua" w:hAnsi="Book Antiqua" w:cs="Book Antiqua"/>
          <w:color w:val="000000"/>
        </w:rPr>
        <w:t xml:space="preserve"> JG. Collagen and elastin content in canine arteries selected from functionally different vascular beds.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1966; </w:t>
      </w:r>
      <w:r>
        <w:rPr>
          <w:rFonts w:ascii="Book Antiqua" w:eastAsia="Book Antiqua" w:hAnsi="Book Antiqua" w:cs="Book Antiqua"/>
          <w:b/>
          <w:bCs/>
          <w:color w:val="000000"/>
        </w:rPr>
        <w:t>19</w:t>
      </w:r>
      <w:r>
        <w:rPr>
          <w:rFonts w:ascii="Book Antiqua" w:eastAsia="Book Antiqua" w:hAnsi="Book Antiqua" w:cs="Book Antiqua"/>
          <w:color w:val="000000"/>
        </w:rPr>
        <w:t>: 394-399 [PMID: 5914851 DOI: 10.1161/01.res.19.2.394]</w:t>
      </w:r>
    </w:p>
    <w:p w14:paraId="4EC1F54F"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Zhao X, </w:t>
      </w:r>
      <w:proofErr w:type="spellStart"/>
      <w:r>
        <w:rPr>
          <w:rFonts w:ascii="Book Antiqua" w:eastAsia="Book Antiqua" w:hAnsi="Book Antiqua" w:cs="Book Antiqua"/>
          <w:color w:val="000000"/>
        </w:rPr>
        <w:t>Vatner</w:t>
      </w:r>
      <w:proofErr w:type="spellEnd"/>
      <w:r>
        <w:rPr>
          <w:rFonts w:ascii="Book Antiqua" w:eastAsia="Book Antiqua" w:hAnsi="Book Antiqua" w:cs="Book Antiqua"/>
          <w:color w:val="000000"/>
        </w:rPr>
        <w:t xml:space="preserve"> DE, McNulty T, Bishop S, Sun Z, Shen YT, Chen L, </w:t>
      </w:r>
      <w:proofErr w:type="spellStart"/>
      <w:r>
        <w:rPr>
          <w:rFonts w:ascii="Book Antiqua" w:eastAsia="Book Antiqua" w:hAnsi="Book Antiqua" w:cs="Book Antiqua"/>
          <w:color w:val="000000"/>
        </w:rPr>
        <w:t>Meininger</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Vatner</w:t>
      </w:r>
      <w:proofErr w:type="spellEnd"/>
      <w:r>
        <w:rPr>
          <w:rFonts w:ascii="Book Antiqua" w:eastAsia="Book Antiqua" w:hAnsi="Book Antiqua" w:cs="Book Antiqua"/>
          <w:color w:val="000000"/>
        </w:rPr>
        <w:t xml:space="preserve"> SF. Extracellular Matrix Disarray as a Mechanism for Greater Abdominal Versus Thoracic Aortic Stiffness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Aging in Primates.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700-706 [PMID: 26891739 DOI: 10.1161/ATVBAHA.115.306563]</w:t>
      </w:r>
    </w:p>
    <w:p w14:paraId="01ECB849"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Latimer CA</w:t>
      </w:r>
      <w:r>
        <w:rPr>
          <w:rFonts w:ascii="Book Antiqua" w:eastAsia="Book Antiqua" w:hAnsi="Book Antiqua" w:cs="Book Antiqua"/>
          <w:color w:val="000000"/>
        </w:rPr>
        <w:t xml:space="preserve">, Nelson M, Moore CM, Martin KE. Effect of collagen and elastin content on the burst pressure of human blood vessel seals formed with a bipolar tissue sealing system.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186</w:t>
      </w:r>
      <w:r>
        <w:rPr>
          <w:rFonts w:ascii="Book Antiqua" w:eastAsia="Book Antiqua" w:hAnsi="Book Antiqua" w:cs="Book Antiqua"/>
          <w:color w:val="000000"/>
        </w:rPr>
        <w:t>: 73-80 [PMID: 24035229 DOI: 10.1016/j.jss.2013.08.003]</w:t>
      </w:r>
    </w:p>
    <w:p w14:paraId="7166812A"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Steucke</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Tracy PV, </w:t>
      </w:r>
      <w:proofErr w:type="spellStart"/>
      <w:r>
        <w:rPr>
          <w:rFonts w:ascii="Book Antiqua" w:eastAsia="Book Antiqua" w:hAnsi="Book Antiqua" w:cs="Book Antiqua"/>
          <w:color w:val="000000"/>
        </w:rPr>
        <w:t>Hald</w:t>
      </w:r>
      <w:proofErr w:type="spellEnd"/>
      <w:r>
        <w:rPr>
          <w:rFonts w:ascii="Book Antiqua" w:eastAsia="Book Antiqua" w:hAnsi="Book Antiqua" w:cs="Book Antiqua"/>
          <w:color w:val="000000"/>
        </w:rPr>
        <w:t xml:space="preserve"> ES, Hall JL, Alford PW. Vascular smooth muscle cell functional contractility depends on extracellular mechanical properties.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3044-3051 [PMID: 26283412 DOI: 10.1016/j.jbiomech.2015.07.029]</w:t>
      </w:r>
    </w:p>
    <w:p w14:paraId="04760E64"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Brozovich</w:t>
      </w:r>
      <w:proofErr w:type="spellEnd"/>
      <w:r>
        <w:rPr>
          <w:rFonts w:ascii="Book Antiqua" w:eastAsia="Book Antiqua" w:hAnsi="Book Antiqua" w:cs="Book Antiqua"/>
          <w:b/>
          <w:bCs/>
          <w:color w:val="000000"/>
        </w:rPr>
        <w:t xml:space="preserve"> FV</w:t>
      </w:r>
      <w:r>
        <w:rPr>
          <w:rFonts w:ascii="Book Antiqua" w:eastAsia="Book Antiqua" w:hAnsi="Book Antiqua" w:cs="Book Antiqua"/>
          <w:color w:val="000000"/>
        </w:rPr>
        <w:t xml:space="preserve">, Nicholson CJ, Degen CV, Gao YZ, Aggarwal M, Morgan KG. Mechanisms of Vascular Smooth Muscle Contraction and the Basis for Pharmacologic Treatment of Smooth Muscle Disorders.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476-532 [PMID: 27037223 DOI: 10.1124/pr.115.010652]</w:t>
      </w:r>
    </w:p>
    <w:p w14:paraId="4012CC8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Yau</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Teoh H, Verma S. Endothelial cell control of thrombosis. </w:t>
      </w:r>
      <w:r>
        <w:rPr>
          <w:rFonts w:ascii="Book Antiqua" w:eastAsia="Book Antiqua" w:hAnsi="Book Antiqua" w:cs="Book Antiqua"/>
          <w:i/>
          <w:iCs/>
          <w:color w:val="000000"/>
        </w:rPr>
        <w:t xml:space="preserve">BMC Cardiovasc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130 [PMID: 26481314 DOI: 10.1186/s12872-015-0124-z]</w:t>
      </w:r>
    </w:p>
    <w:p w14:paraId="2C3DF5DF"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Luo Y</w:t>
      </w:r>
      <w:r>
        <w:rPr>
          <w:rFonts w:ascii="Book Antiqua" w:eastAsia="Book Antiqua" w:hAnsi="Book Antiqua" w:cs="Book Antiqua"/>
          <w:color w:val="000000"/>
        </w:rPr>
        <w:t xml:space="preserve">, Wang Y, Luo W. C allele of -786 T&gt;C polymorphism in the promoter region of endothelial nitric oxide synthase is responsible for endothelial dysfunction in the patients </w:t>
      </w:r>
      <w:r>
        <w:rPr>
          <w:rFonts w:ascii="Book Antiqua" w:eastAsia="Book Antiqua" w:hAnsi="Book Antiqua" w:cs="Book Antiqua"/>
          <w:color w:val="000000"/>
        </w:rPr>
        <w:lastRenderedPageBreak/>
        <w:t xml:space="preserve">with rheumatoid arthritis.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363-370 [PMID: 31209933 DOI: 10.1002/jcb.29184]</w:t>
      </w:r>
    </w:p>
    <w:p w14:paraId="600E2BC6"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Chen J</w:t>
      </w:r>
      <w:r>
        <w:rPr>
          <w:rFonts w:ascii="Book Antiqua" w:eastAsia="Book Antiqua" w:hAnsi="Book Antiqua" w:cs="Book Antiqua"/>
          <w:color w:val="000000"/>
        </w:rPr>
        <w:t xml:space="preserve">, Zhang J, Shaik NF, Yi B, Wei X, Yang XF, Naik UP, Summer R, Yan G, Xu X, Sun J. The histone deacetylase inhibitor tubacin mitigates endothelial dysfunction by up-regulating the expression of endothelial nitric oxide synthase.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294</w:t>
      </w:r>
      <w:r>
        <w:rPr>
          <w:rFonts w:ascii="Book Antiqua" w:eastAsia="Book Antiqua" w:hAnsi="Book Antiqua" w:cs="Book Antiqua"/>
          <w:color w:val="000000"/>
        </w:rPr>
        <w:t>: 19565-19576 [PMID: 31719145 DOI: 10.1074/jbc.RA119.011317]</w:t>
      </w:r>
    </w:p>
    <w:p w14:paraId="1AB23AE0"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Larsson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Alwis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Niego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Sashindranath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Fogelstrand</w:t>
      </w:r>
      <w:proofErr w:type="spellEnd"/>
      <w:r>
        <w:rPr>
          <w:rFonts w:ascii="Book Antiqua" w:eastAsia="Book Antiqua" w:hAnsi="Book Antiqua" w:cs="Book Antiqua"/>
          <w:color w:val="000000"/>
        </w:rPr>
        <w:t xml:space="preserve"> P, Wu MC, </w:t>
      </w:r>
      <w:proofErr w:type="spellStart"/>
      <w:r>
        <w:rPr>
          <w:rFonts w:ascii="Book Antiqua" w:eastAsia="Book Antiqua" w:hAnsi="Book Antiqua" w:cs="Book Antiqua"/>
          <w:color w:val="000000"/>
        </w:rPr>
        <w:t>Glise</w:t>
      </w:r>
      <w:proofErr w:type="spellEnd"/>
      <w:r>
        <w:rPr>
          <w:rFonts w:ascii="Book Antiqua" w:eastAsia="Book Antiqua" w:hAnsi="Book Antiqua" w:cs="Book Antiqua"/>
          <w:color w:val="000000"/>
        </w:rPr>
        <w:t xml:space="preserve"> L, Magnusson M, </w:t>
      </w:r>
      <w:proofErr w:type="spellStart"/>
      <w:r>
        <w:rPr>
          <w:rFonts w:ascii="Book Antiqua" w:eastAsia="Book Antiqua" w:hAnsi="Book Antiqua" w:cs="Book Antiqua"/>
          <w:color w:val="000000"/>
        </w:rPr>
        <w:t>Daglas</w:t>
      </w:r>
      <w:proofErr w:type="spellEnd"/>
      <w:r>
        <w:rPr>
          <w:rFonts w:ascii="Book Antiqua" w:eastAsia="Book Antiqua" w:hAnsi="Book Antiqua" w:cs="Book Antiqua"/>
          <w:color w:val="000000"/>
        </w:rPr>
        <w:t xml:space="preserve"> M, Bergh N, Jackson SP, </w:t>
      </w:r>
      <w:proofErr w:type="spellStart"/>
      <w:r>
        <w:rPr>
          <w:rFonts w:ascii="Book Antiqua" w:eastAsia="Book Antiqua" w:hAnsi="Book Antiqua" w:cs="Book Antiqua"/>
          <w:color w:val="000000"/>
        </w:rPr>
        <w:t>Medcalf</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Jern</w:t>
      </w:r>
      <w:proofErr w:type="spellEnd"/>
      <w:r>
        <w:rPr>
          <w:rFonts w:ascii="Book Antiqua" w:eastAsia="Book Antiqua" w:hAnsi="Book Antiqua" w:cs="Book Antiqua"/>
          <w:color w:val="000000"/>
        </w:rPr>
        <w:t xml:space="preserve"> S. Valproic acid selectively increases vascular endothelial tissue-type plasminogen activator production and reduces thrombus formation in the mouse.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2496-2508 [PMID: 27706906 DOI: 10.1111/jth.13527]</w:t>
      </w:r>
    </w:p>
    <w:p w14:paraId="42896516"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Montt-Guevara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Palla</w:t>
      </w:r>
      <w:proofErr w:type="spellEnd"/>
      <w:r>
        <w:rPr>
          <w:rFonts w:ascii="Book Antiqua" w:eastAsia="Book Antiqua" w:hAnsi="Book Antiqua" w:cs="Book Antiqua"/>
          <w:color w:val="000000"/>
        </w:rPr>
        <w:t xml:space="preserve"> G, Spina S, </w:t>
      </w:r>
      <w:proofErr w:type="spellStart"/>
      <w:r>
        <w:rPr>
          <w:rFonts w:ascii="Book Antiqua" w:eastAsia="Book Antiqua" w:hAnsi="Book Antiqua" w:cs="Book Antiqua"/>
          <w:color w:val="000000"/>
        </w:rPr>
        <w:t>Bernacchi</w:t>
      </w:r>
      <w:proofErr w:type="spellEnd"/>
      <w:r>
        <w:rPr>
          <w:rFonts w:ascii="Book Antiqua" w:eastAsia="Book Antiqua" w:hAnsi="Book Antiqua" w:cs="Book Antiqua"/>
          <w:color w:val="000000"/>
        </w:rPr>
        <w:t xml:space="preserve"> G, Cecchi E, </w:t>
      </w:r>
      <w:proofErr w:type="spellStart"/>
      <w:r>
        <w:rPr>
          <w:rFonts w:ascii="Book Antiqua" w:eastAsia="Book Antiqua" w:hAnsi="Book Antiqua" w:cs="Book Antiqua"/>
          <w:color w:val="000000"/>
        </w:rPr>
        <w:t>Campelo</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Shortrede</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Canu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Simoncini</w:t>
      </w:r>
      <w:proofErr w:type="spellEnd"/>
      <w:r>
        <w:rPr>
          <w:rFonts w:ascii="Book Antiqua" w:eastAsia="Book Antiqua" w:hAnsi="Book Antiqua" w:cs="Book Antiqua"/>
          <w:color w:val="000000"/>
        </w:rPr>
        <w:t xml:space="preserve"> T. Regulatory effects of </w:t>
      </w:r>
      <w:proofErr w:type="spellStart"/>
      <w:r>
        <w:rPr>
          <w:rFonts w:ascii="Book Antiqua" w:eastAsia="Book Antiqua" w:hAnsi="Book Antiqua" w:cs="Book Antiqua"/>
          <w:color w:val="000000"/>
        </w:rPr>
        <w:t>estetrol</w:t>
      </w:r>
      <w:proofErr w:type="spellEnd"/>
      <w:r>
        <w:rPr>
          <w:rFonts w:ascii="Book Antiqua" w:eastAsia="Book Antiqua" w:hAnsi="Book Antiqua" w:cs="Book Antiqua"/>
          <w:color w:val="000000"/>
        </w:rPr>
        <w:t xml:space="preserve"> on the endothelial plasminogen pathway and endothelial cell migration. </w:t>
      </w:r>
      <w:proofErr w:type="spellStart"/>
      <w:r>
        <w:rPr>
          <w:rFonts w:ascii="Book Antiqua" w:eastAsia="Book Antiqua" w:hAnsi="Book Antiqua" w:cs="Book Antiqua"/>
          <w:i/>
          <w:iCs/>
          <w:color w:val="000000"/>
        </w:rPr>
        <w:t>Maturitas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1-9 [PMID: 28364860 DOI: 10.1016/j.maturitas.2017.02.005]</w:t>
      </w:r>
    </w:p>
    <w:p w14:paraId="2BF7E24C"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Schoergenhofer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Matzneller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Mußbacher</w:t>
      </w:r>
      <w:proofErr w:type="spellEnd"/>
      <w:r>
        <w:rPr>
          <w:rFonts w:ascii="Book Antiqua" w:eastAsia="Book Antiqua" w:hAnsi="Book Antiqua" w:cs="Book Antiqua"/>
          <w:color w:val="000000"/>
        </w:rPr>
        <w:t xml:space="preserve"> M, Schmid JA, </w:t>
      </w:r>
      <w:proofErr w:type="spellStart"/>
      <w:r>
        <w:rPr>
          <w:rFonts w:ascii="Book Antiqua" w:eastAsia="Book Antiqua" w:hAnsi="Book Antiqua" w:cs="Book Antiqua"/>
          <w:color w:val="000000"/>
        </w:rPr>
        <w:t>Jilma-Stohlawetz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Zeitlinger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Jilma</w:t>
      </w:r>
      <w:proofErr w:type="spellEnd"/>
      <w:r>
        <w:rPr>
          <w:rFonts w:ascii="Book Antiqua" w:eastAsia="Book Antiqua" w:hAnsi="Book Antiqua" w:cs="Book Antiqua"/>
          <w:color w:val="000000"/>
        </w:rPr>
        <w:t xml:space="preserve"> B. Colistin dampens fibrinolysis and endothelial activation during </w:t>
      </w:r>
      <w:proofErr w:type="spellStart"/>
      <w:r>
        <w:rPr>
          <w:rFonts w:ascii="Book Antiqua" w:eastAsia="Book Antiqua" w:hAnsi="Book Antiqua" w:cs="Book Antiqua"/>
          <w:color w:val="000000"/>
        </w:rPr>
        <w:t>endotoxaemia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double blind</w:t>
      </w:r>
      <w:proofErr w:type="gramEnd"/>
      <w:r>
        <w:rPr>
          <w:rFonts w:ascii="Book Antiqua" w:eastAsia="Book Antiqua" w:hAnsi="Book Antiqua" w:cs="Book Antiqua"/>
          <w:color w:val="000000"/>
        </w:rPr>
        <w:t xml:space="preserve"> trial.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117</w:t>
      </w:r>
      <w:r>
        <w:rPr>
          <w:rFonts w:ascii="Book Antiqua" w:eastAsia="Book Antiqua" w:hAnsi="Book Antiqua" w:cs="Book Antiqua"/>
          <w:color w:val="000000"/>
        </w:rPr>
        <w:t>: 1714-1721 [PMID: 28796276 DOI: 10.1160/TH17-03-0196]</w:t>
      </w:r>
    </w:p>
    <w:p w14:paraId="5FB14743"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Chu CK</w:t>
      </w:r>
      <w:r>
        <w:rPr>
          <w:rFonts w:ascii="Book Antiqua" w:eastAsia="Book Antiqua" w:hAnsi="Book Antiqua" w:cs="Book Antiqua"/>
          <w:color w:val="000000"/>
        </w:rPr>
        <w:t xml:space="preserve">, Farnell MB, Nguyen JH, Stauffer JA, </w:t>
      </w:r>
      <w:proofErr w:type="spellStart"/>
      <w:r>
        <w:rPr>
          <w:rFonts w:ascii="Book Antiqua" w:eastAsia="Book Antiqua" w:hAnsi="Book Antiqua" w:cs="Book Antiqua"/>
          <w:color w:val="000000"/>
        </w:rPr>
        <w:t>Kooby</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Sclabas</w:t>
      </w:r>
      <w:proofErr w:type="spellEnd"/>
      <w:r>
        <w:rPr>
          <w:rFonts w:ascii="Book Antiqua" w:eastAsia="Book Antiqua" w:hAnsi="Book Antiqua" w:cs="Book Antiqua"/>
          <w:color w:val="000000"/>
        </w:rPr>
        <w:t xml:space="preserve"> GM, Sarmiento JM. Prosthetic graft reconstruction after portal vein resection in pancreaticoduodenectomy: a multicenter analysis.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211</w:t>
      </w:r>
      <w:r>
        <w:rPr>
          <w:rFonts w:ascii="Book Antiqua" w:eastAsia="Book Antiqua" w:hAnsi="Book Antiqua" w:cs="Book Antiqua"/>
          <w:color w:val="000000"/>
        </w:rPr>
        <w:t>: 316-324 [PMID: 20800187 DOI: 10.1016/j.jamcollsurg.2010.04.005]</w:t>
      </w:r>
    </w:p>
    <w:p w14:paraId="2F07C463"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Gong Y</w:t>
      </w:r>
      <w:r>
        <w:rPr>
          <w:rFonts w:ascii="Book Antiqua" w:eastAsia="Book Antiqua" w:hAnsi="Book Antiqua" w:cs="Book Antiqua"/>
          <w:color w:val="000000"/>
        </w:rPr>
        <w:t xml:space="preserve">, Zhang L, He T, Ding J, Zhang H, Chen G, Zhang D, Wu Z, Chen Q, Fan H, Wang Q,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Wang H. Pancreaticoduodenectomy combined with vascular resection and reconstruction for patients with locally advanced pancreatic cancer: a multicenter, retrospective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e70340 [PMID: 23936411 DOI: 10.1371/journal.pone.0070340]</w:t>
      </w:r>
    </w:p>
    <w:p w14:paraId="70D26490" w14:textId="77777777" w:rsidR="00280058" w:rsidRDefault="00280058">
      <w:pPr>
        <w:spacing w:line="360" w:lineRule="auto"/>
        <w:jc w:val="both"/>
        <w:sectPr w:rsidR="00280058">
          <w:pgSz w:w="12240" w:h="15840"/>
          <w:pgMar w:top="1440" w:right="1440" w:bottom="1440" w:left="1440" w:header="720" w:footer="720" w:gutter="0"/>
          <w:cols w:space="720"/>
          <w:docGrid w:linePitch="360"/>
        </w:sectPr>
      </w:pPr>
    </w:p>
    <w:p w14:paraId="705B1D0C"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27640E1" w14:textId="773FB6D9" w:rsidR="009C5EF3" w:rsidRDefault="00164F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approved by the Ethics Committee of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Hospital, No. 2019-LW-023.</w:t>
      </w:r>
    </w:p>
    <w:p w14:paraId="3DA3EAC1" w14:textId="77777777" w:rsidR="009C5EF3" w:rsidRDefault="009C5EF3">
      <w:pPr>
        <w:spacing w:line="360" w:lineRule="auto"/>
        <w:jc w:val="both"/>
        <w:rPr>
          <w:rFonts w:ascii="Book Antiqua" w:eastAsia="Book Antiqua" w:hAnsi="Book Antiqua" w:cs="Book Antiqua"/>
          <w:color w:val="000000"/>
        </w:rPr>
      </w:pPr>
    </w:p>
    <w:p w14:paraId="5471C10F" w14:textId="77777777" w:rsidR="009C5EF3" w:rsidRDefault="00164F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2B083936" w14:textId="77777777" w:rsidR="009C5EF3" w:rsidRPr="00364A46" w:rsidRDefault="009C5EF3">
      <w:pPr>
        <w:spacing w:line="360" w:lineRule="auto"/>
        <w:jc w:val="both"/>
        <w:rPr>
          <w:rFonts w:ascii="Book Antiqua" w:hAnsi="Book Antiqua"/>
        </w:rPr>
      </w:pPr>
    </w:p>
    <w:p w14:paraId="7587A182"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related conflicts of interest to declare.</w:t>
      </w:r>
    </w:p>
    <w:p w14:paraId="6F4BF0B5" w14:textId="77777777" w:rsidR="009C5EF3" w:rsidRPr="00364A46" w:rsidRDefault="009C5EF3">
      <w:pPr>
        <w:spacing w:line="360" w:lineRule="auto"/>
        <w:jc w:val="both"/>
        <w:rPr>
          <w:rFonts w:ascii="Book Antiqua" w:hAnsi="Book Antiqua"/>
        </w:rPr>
      </w:pPr>
    </w:p>
    <w:p w14:paraId="4F5E52F4" w14:textId="6FBCF70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that support the findings of this study are available on request from the corresponding author. The data are not publicly available due to privacy or ethical restrictions</w:t>
      </w:r>
      <w:r w:rsidR="002D4B7F">
        <w:rPr>
          <w:rFonts w:ascii="Book Antiqua" w:eastAsia="Book Antiqua" w:hAnsi="Book Antiqua" w:cs="Book Antiqua"/>
          <w:color w:val="000000"/>
        </w:rPr>
        <w:t>.</w:t>
      </w:r>
    </w:p>
    <w:p w14:paraId="70A13693" w14:textId="77777777" w:rsidR="009C5EF3" w:rsidRPr="00364A46" w:rsidRDefault="009C5EF3">
      <w:pPr>
        <w:spacing w:line="360" w:lineRule="auto"/>
        <w:jc w:val="both"/>
        <w:rPr>
          <w:rFonts w:ascii="Book Antiqua" w:hAnsi="Book Antiqua"/>
        </w:rPr>
      </w:pPr>
    </w:p>
    <w:p w14:paraId="73B7A0BB"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669E2589" w14:textId="77777777" w:rsidR="009C5EF3" w:rsidRPr="00364A46" w:rsidRDefault="009C5EF3">
      <w:pPr>
        <w:spacing w:line="360" w:lineRule="auto"/>
        <w:jc w:val="both"/>
        <w:rPr>
          <w:rFonts w:ascii="Book Antiqua" w:hAnsi="Book Antiqua"/>
        </w:rPr>
      </w:pPr>
    </w:p>
    <w:p w14:paraId="5C12DF7F"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14E619" w14:textId="77777777" w:rsidR="009C5EF3" w:rsidRPr="00364A46" w:rsidRDefault="009C5EF3">
      <w:pPr>
        <w:spacing w:line="360" w:lineRule="auto"/>
        <w:jc w:val="both"/>
        <w:rPr>
          <w:rFonts w:ascii="Book Antiqua" w:hAnsi="Book Antiqua"/>
        </w:rPr>
      </w:pPr>
    </w:p>
    <w:p w14:paraId="4BCC3A8D"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4EF1B85"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FFB787" w14:textId="77777777" w:rsidR="009C5EF3" w:rsidRPr="00364A46" w:rsidRDefault="009C5EF3">
      <w:pPr>
        <w:spacing w:line="360" w:lineRule="auto"/>
        <w:jc w:val="both"/>
        <w:rPr>
          <w:rFonts w:ascii="Book Antiqua" w:hAnsi="Book Antiqua"/>
        </w:rPr>
      </w:pPr>
    </w:p>
    <w:p w14:paraId="54307369"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12, 2022</w:t>
      </w:r>
    </w:p>
    <w:p w14:paraId="61C853EA"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2023</w:t>
      </w:r>
    </w:p>
    <w:p w14:paraId="5D4830DE"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35878DF7" w14:textId="77777777" w:rsidR="009C5EF3" w:rsidRPr="00364A46" w:rsidRDefault="009C5EF3">
      <w:pPr>
        <w:spacing w:line="360" w:lineRule="auto"/>
        <w:jc w:val="both"/>
        <w:rPr>
          <w:rFonts w:ascii="Book Antiqua" w:hAnsi="Book Antiqua"/>
        </w:rPr>
      </w:pPr>
    </w:p>
    <w:p w14:paraId="2C5E03FD"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DCBD0C9"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157A9E"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60E0A2A"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Grade A (Excellent): A</w:t>
      </w:r>
    </w:p>
    <w:p w14:paraId="13A8D663"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Grade B (Very good): 0</w:t>
      </w:r>
    </w:p>
    <w:p w14:paraId="4F354172"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Grade C (Good): C</w:t>
      </w:r>
    </w:p>
    <w:p w14:paraId="491C9612"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Grade D (Fair): 0</w:t>
      </w:r>
    </w:p>
    <w:p w14:paraId="68B5FA57" w14:textId="77777777" w:rsidR="009C5EF3" w:rsidRPr="00364A46" w:rsidRDefault="00164FAA">
      <w:pPr>
        <w:spacing w:line="360" w:lineRule="auto"/>
        <w:jc w:val="both"/>
        <w:rPr>
          <w:rFonts w:ascii="Book Antiqua" w:hAnsi="Book Antiqua"/>
        </w:rPr>
      </w:pPr>
      <w:r>
        <w:rPr>
          <w:rFonts w:ascii="Book Antiqua" w:eastAsia="Book Antiqua" w:hAnsi="Book Antiqua" w:cs="Book Antiqua"/>
          <w:color w:val="000000"/>
        </w:rPr>
        <w:t>Grade E (Poor): 0</w:t>
      </w:r>
    </w:p>
    <w:p w14:paraId="2851D896" w14:textId="77777777" w:rsidR="009C5EF3" w:rsidRPr="00364A46" w:rsidRDefault="009C5EF3">
      <w:pPr>
        <w:spacing w:line="360" w:lineRule="auto"/>
        <w:jc w:val="both"/>
        <w:rPr>
          <w:rFonts w:ascii="Book Antiqua" w:hAnsi="Book Antiqua"/>
        </w:rPr>
      </w:pPr>
    </w:p>
    <w:p w14:paraId="1E6D78F6" w14:textId="50FD54BF" w:rsidR="00280058" w:rsidRDefault="00164FAA">
      <w:pPr>
        <w:spacing w:line="360" w:lineRule="auto"/>
        <w:jc w:val="both"/>
        <w:sectPr w:rsidR="0028005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Fernández-</w:t>
      </w:r>
      <w:proofErr w:type="spellStart"/>
      <w:r>
        <w:rPr>
          <w:rFonts w:ascii="Book Antiqua" w:eastAsia="Book Antiqua" w:hAnsi="Book Antiqua" w:cs="Book Antiqua"/>
          <w:color w:val="000000"/>
        </w:rPr>
        <w:t>Placencia</w:t>
      </w:r>
      <w:proofErr w:type="spellEnd"/>
      <w:r>
        <w:rPr>
          <w:rFonts w:ascii="Book Antiqua" w:eastAsia="Book Antiqua" w:hAnsi="Book Antiqua" w:cs="Book Antiqua"/>
          <w:color w:val="000000"/>
        </w:rPr>
        <w:t xml:space="preserve"> RM, Peru; Shah OJ,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w:t>
      </w:r>
      <w:r w:rsidRPr="00364A46">
        <w:rPr>
          <w:rFonts w:ascii="Book Antiqua" w:hAnsi="Book Antiqua"/>
          <w:color w:val="000000"/>
        </w:rPr>
        <w:t xml:space="preserve"> </w:t>
      </w:r>
      <w:r>
        <w:rPr>
          <w:rFonts w:ascii="Book Antiqua" w:eastAsia="Book Antiqua" w:hAnsi="Book Antiqua" w:cs="Book Antiqua"/>
          <w:bCs/>
          <w:color w:val="000000"/>
        </w:rPr>
        <w:t>Filipodia</w:t>
      </w:r>
      <w:r w:rsidRPr="00364A46">
        <w:rPr>
          <w:rFonts w:ascii="Book Antiqua" w:hAnsi="Book Antiqua"/>
          <w:color w:val="000000"/>
        </w:rPr>
        <w:t xml:space="preserve"> </w:t>
      </w:r>
      <w:r>
        <w:rPr>
          <w:rFonts w:ascii="Book Antiqua" w:eastAsia="Book Antiqua" w:hAnsi="Book Antiqua" w:cs="Book Antiqua"/>
          <w:b/>
          <w:color w:val="000000"/>
        </w:rPr>
        <w:t xml:space="preserve">P-Editor: </w:t>
      </w:r>
      <w:r w:rsidR="00364A46">
        <w:rPr>
          <w:rFonts w:ascii="Book Antiqua" w:eastAsia="Book Antiqua" w:hAnsi="Book Antiqua" w:cs="Book Antiqua"/>
          <w:bCs/>
          <w:color w:val="000000"/>
        </w:rPr>
        <w:t>Zhang H</w:t>
      </w:r>
    </w:p>
    <w:p w14:paraId="654BC5EC" w14:textId="77777777" w:rsidR="009C5EF3" w:rsidRPr="00364A46" w:rsidRDefault="00164FAA">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6F4DEE7" w14:textId="0D897EFC" w:rsidR="009C5EF3" w:rsidRDefault="0075730D">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0C8108C" wp14:editId="4130F08F">
            <wp:extent cx="3591770" cy="1931217"/>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1770" cy="1931217"/>
                    </a:xfrm>
                    <a:prstGeom prst="rect">
                      <a:avLst/>
                    </a:prstGeom>
                  </pic:spPr>
                </pic:pic>
              </a:graphicData>
            </a:graphic>
          </wp:inline>
        </w:drawing>
      </w:r>
    </w:p>
    <w:p w14:paraId="1B181A8A" w14:textId="03E17E34" w:rsidR="009C5EF3" w:rsidRPr="0075730D" w:rsidRDefault="00164FAA">
      <w:pPr>
        <w:spacing w:line="360" w:lineRule="auto"/>
        <w:jc w:val="both"/>
        <w:rPr>
          <w:rFonts w:ascii="Book Antiqua" w:hAnsi="Book Antiqua"/>
          <w:color w:val="000000"/>
        </w:rPr>
      </w:pPr>
      <w:r>
        <w:rPr>
          <w:rFonts w:ascii="Book Antiqua" w:eastAsia="Book Antiqua" w:hAnsi="Book Antiqua" w:cs="Book Antiqua"/>
          <w:b/>
          <w:bCs/>
          <w:color w:val="000000"/>
        </w:rPr>
        <w:t>Figure 1 Ligamentum teres hepatis recanalization.</w:t>
      </w:r>
      <w:r w:rsidR="0075730D">
        <w:rPr>
          <w:rFonts w:ascii="Book Antiqua" w:eastAsia="Book Antiqua" w:hAnsi="Book Antiqua" w:cs="Book Antiqua"/>
          <w:b/>
          <w:bCs/>
          <w:color w:val="000000"/>
        </w:rPr>
        <w:t xml:space="preserve"> </w:t>
      </w:r>
      <w:r w:rsidR="0075730D" w:rsidRPr="0075730D">
        <w:rPr>
          <w:rFonts w:ascii="Book Antiqua" w:eastAsia="Book Antiqua" w:hAnsi="Book Antiqua" w:cs="Book Antiqua"/>
          <w:color w:val="000000"/>
        </w:rPr>
        <w:t>A</w:t>
      </w:r>
      <w:r w:rsidR="0075730D">
        <w:rPr>
          <w:rFonts w:ascii="Book Antiqua" w:eastAsia="Book Antiqua" w:hAnsi="Book Antiqua" w:cs="Book Antiqua"/>
          <w:color w:val="000000"/>
        </w:rPr>
        <w:t xml:space="preserve"> and B</w:t>
      </w:r>
      <w:r w:rsidR="0075730D" w:rsidRPr="0075730D">
        <w:rPr>
          <w:rFonts w:ascii="Book Antiqua" w:eastAsia="Book Antiqua" w:hAnsi="Book Antiqua" w:cs="Book Antiqua"/>
          <w:color w:val="000000"/>
        </w:rPr>
        <w:t xml:space="preserve">: The remnant lumen of the </w:t>
      </w:r>
      <w:r w:rsidR="001472A3">
        <w:rPr>
          <w:rFonts w:ascii="Book Antiqua" w:eastAsia="Book Antiqua" w:hAnsi="Book Antiqua" w:cs="Book Antiqua"/>
          <w:color w:val="000000"/>
        </w:rPr>
        <w:t xml:space="preserve">ligamentum teres hepatis </w:t>
      </w:r>
      <w:r w:rsidR="0075730D" w:rsidRPr="0075730D">
        <w:rPr>
          <w:rFonts w:ascii="Book Antiqua" w:eastAsia="Book Antiqua" w:hAnsi="Book Antiqua" w:cs="Book Antiqua"/>
          <w:color w:val="000000"/>
        </w:rPr>
        <w:t>was identified and recanalized using a mosquito clamp (A) and a 3 mm probe (B)</w:t>
      </w:r>
      <w:r w:rsidR="0075730D">
        <w:rPr>
          <w:rFonts w:ascii="Book Antiqua" w:eastAsia="Book Antiqua" w:hAnsi="Book Antiqua" w:cs="Book Antiqua"/>
          <w:color w:val="000000"/>
        </w:rPr>
        <w:t>; C: A</w:t>
      </w:r>
      <w:r w:rsidR="0075730D" w:rsidRPr="0075730D">
        <w:rPr>
          <w:rFonts w:ascii="Book Antiqua" w:eastAsia="Book Antiqua" w:hAnsi="Book Antiqua" w:cs="Book Antiqua"/>
          <w:color w:val="000000"/>
        </w:rPr>
        <w:t xml:space="preserve"> bolus of normal saline was injected into the lumen from the proximal end to further enlarge the lumen.</w:t>
      </w:r>
    </w:p>
    <w:p w14:paraId="61A65AE5" w14:textId="05092328" w:rsidR="009C5EF3" w:rsidRPr="00364A46" w:rsidRDefault="00F72623">
      <w:pPr>
        <w:spacing w:line="360" w:lineRule="auto"/>
        <w:jc w:val="both"/>
      </w:pPr>
      <w:r>
        <w:br w:type="page"/>
      </w:r>
    </w:p>
    <w:p w14:paraId="069ACB29" w14:textId="2BEA0C7A" w:rsidR="00C825F6" w:rsidRDefault="00C825F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4CED5D31" wp14:editId="7701E02C">
            <wp:extent cx="3831344" cy="36819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1344" cy="3681991"/>
                    </a:xfrm>
                    <a:prstGeom prst="rect">
                      <a:avLst/>
                    </a:prstGeom>
                  </pic:spPr>
                </pic:pic>
              </a:graphicData>
            </a:graphic>
          </wp:inline>
        </w:drawing>
      </w:r>
    </w:p>
    <w:p w14:paraId="45F9E7AC" w14:textId="4A966483"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Vascular reconstruction.</w:t>
      </w:r>
      <w:r>
        <w:rPr>
          <w:rFonts w:ascii="Book Antiqua" w:eastAsia="Book Antiqua" w:hAnsi="Book Antiqua" w:cs="Book Antiqua"/>
          <w:color w:val="000000"/>
        </w:rPr>
        <w:t xml:space="preserve"> A: Tangential resection of the involved vein with the preservation of portal vein (PV)-splenic vein (SV)-superior mesenteric vein (SMV) confluence; B: Vein reconstruction with ligamentum teres hepatis (LTH) patch; C: PV reconstruction with an interposition LTH graft with the preservation of SV-SMV confluence; D: Repair of the SMV with an interposition LTH graft with the preservation of PV-SV confluence. The white arrows indicate the anastomosis line. </w:t>
      </w:r>
      <w:r w:rsidR="00F72623">
        <w:rPr>
          <w:rFonts w:ascii="Book Antiqua" w:eastAsia="Book Antiqua" w:hAnsi="Book Antiqua" w:cs="Book Antiqua"/>
          <w:color w:val="000000"/>
        </w:rPr>
        <w:t>LTH: Ligamentum teres hepatis; PV: Portal vein; SMV: Superior mesenteric vein; SV: Splenic vein; P: Pancreas</w:t>
      </w:r>
      <w:r>
        <w:rPr>
          <w:rFonts w:ascii="Book Antiqua" w:eastAsia="Book Antiqua" w:hAnsi="Book Antiqua" w:cs="Book Antiqua"/>
          <w:color w:val="000000"/>
        </w:rPr>
        <w:t>; HA: Hepatic artery.</w:t>
      </w:r>
    </w:p>
    <w:p w14:paraId="7B38BCA0" w14:textId="4615554C" w:rsidR="009C5EF3" w:rsidRPr="00364A46" w:rsidRDefault="00F72623">
      <w:pPr>
        <w:spacing w:line="360" w:lineRule="auto"/>
        <w:jc w:val="both"/>
      </w:pPr>
      <w:r>
        <w:br w:type="page"/>
      </w:r>
    </w:p>
    <w:p w14:paraId="3E21ABF3" w14:textId="0358D79C" w:rsidR="00C825F6" w:rsidRDefault="00C825F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2543AFE" wp14:editId="5413574E">
            <wp:extent cx="4227585" cy="193243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7585" cy="1932436"/>
                    </a:xfrm>
                    <a:prstGeom prst="rect">
                      <a:avLst/>
                    </a:prstGeom>
                  </pic:spPr>
                </pic:pic>
              </a:graphicData>
            </a:graphic>
          </wp:inline>
        </w:drawing>
      </w:r>
    </w:p>
    <w:p w14:paraId="4AA9498D" w14:textId="3B7622CB"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Figure 3 Images of the reconstructed portal vein and/or superior mesenteric vein.</w:t>
      </w:r>
      <w:r>
        <w:rPr>
          <w:rFonts w:ascii="Book Antiqua" w:eastAsia="Book Antiqua" w:hAnsi="Book Antiqua" w:cs="Book Antiqua"/>
          <w:color w:val="000000"/>
        </w:rPr>
        <w:t xml:space="preserve"> A: Doppler ultrasound showed a patent vascular lumen; B: Enhanced computed tomography scan revealed a patent vascular lumen (blue arrow). PV: Portal vein; SMV: Superior mesenteric vein.</w:t>
      </w:r>
    </w:p>
    <w:p w14:paraId="102E51DF" w14:textId="3A45BE70" w:rsidR="009C5EF3" w:rsidRPr="00364A46" w:rsidRDefault="00F72623">
      <w:pPr>
        <w:spacing w:line="360" w:lineRule="auto"/>
        <w:jc w:val="both"/>
      </w:pPr>
      <w:r>
        <w:br w:type="page"/>
      </w:r>
    </w:p>
    <w:p w14:paraId="591ECA0D" w14:textId="10324CC9" w:rsidR="00C825F6" w:rsidRDefault="00C825F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4B86607" wp14:editId="62E353DE">
            <wp:extent cx="5760732" cy="3163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32" cy="3163830"/>
                    </a:xfrm>
                    <a:prstGeom prst="rect">
                      <a:avLst/>
                    </a:prstGeom>
                  </pic:spPr>
                </pic:pic>
              </a:graphicData>
            </a:graphic>
          </wp:inline>
        </w:drawing>
      </w:r>
    </w:p>
    <w:p w14:paraId="5C0787BD" w14:textId="20A79C2A" w:rsidR="009C5EF3" w:rsidRPr="00364A46" w:rsidRDefault="00164FAA">
      <w:pPr>
        <w:spacing w:line="360" w:lineRule="auto"/>
        <w:jc w:val="both"/>
        <w:rPr>
          <w:rFonts w:ascii="Book Antiqua" w:hAnsi="Book Antiqua"/>
        </w:rPr>
      </w:pPr>
      <w:r>
        <w:rPr>
          <w:rFonts w:ascii="Book Antiqua" w:eastAsia="Book Antiqua" w:hAnsi="Book Antiqua" w:cs="Book Antiqua"/>
          <w:b/>
          <w:bCs/>
          <w:color w:val="000000"/>
        </w:rPr>
        <w:t xml:space="preserve">Figure 4 Distribution and function of endothelial cells and relative content of collagen fibers, elastic fibers and smooth muscle in ligamentum teres hepatis. </w:t>
      </w:r>
      <w:r>
        <w:rPr>
          <w:rFonts w:ascii="Book Antiqua" w:eastAsia="Book Antiqua" w:hAnsi="Book Antiqua" w:cs="Book Antiqua"/>
          <w:color w:val="000000"/>
        </w:rPr>
        <w:t xml:space="preserve">A: The ligamentum teres hepatis (LTH) lumen (× 100 magnification); B: Endothelial cells (black arrow, × 400 magnification); C: LTH after </w:t>
      </w:r>
      <w:proofErr w:type="spellStart"/>
      <w:r>
        <w:rPr>
          <w:rFonts w:ascii="Book Antiqua" w:eastAsia="Book Antiqua" w:hAnsi="Book Antiqua" w:cs="Book Antiqua"/>
          <w:color w:val="000000"/>
        </w:rPr>
        <w:t>Verhoeff</w:t>
      </w:r>
      <w:proofErr w:type="spellEnd"/>
      <w:r>
        <w:rPr>
          <w:rFonts w:ascii="Book Antiqua" w:eastAsia="Book Antiqua" w:hAnsi="Book Antiqua" w:cs="Book Antiqua"/>
          <w:color w:val="000000"/>
        </w:rPr>
        <w:t xml:space="preserve">-Van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w:t>
      </w:r>
      <w:r w:rsidR="00F72623">
        <w:rPr>
          <w:rFonts w:ascii="Book Antiqua" w:eastAsia="Book Antiqua" w:hAnsi="Book Antiqua" w:cs="Book Antiqua"/>
          <w:color w:val="000000"/>
        </w:rPr>
        <w:t xml:space="preserve">(VVG) </w:t>
      </w:r>
      <w:r>
        <w:rPr>
          <w:rFonts w:ascii="Book Antiqua" w:eastAsia="Book Antiqua" w:hAnsi="Book Antiqua" w:cs="Book Antiqua"/>
          <w:color w:val="000000"/>
        </w:rPr>
        <w:t xml:space="preserve">staining (× 400 magnification); D: The portal vein (PV) after </w:t>
      </w:r>
      <w:r w:rsidR="00F72623">
        <w:rPr>
          <w:rFonts w:ascii="Book Antiqua" w:eastAsia="Book Antiqua" w:hAnsi="Book Antiqua" w:cs="Book Antiqua"/>
          <w:color w:val="000000"/>
        </w:rPr>
        <w:t>VVG</w:t>
      </w:r>
      <w:r>
        <w:rPr>
          <w:rFonts w:ascii="Book Antiqua" w:eastAsia="Book Antiqua" w:hAnsi="Book Antiqua" w:cs="Book Antiqua"/>
          <w:color w:val="000000"/>
        </w:rPr>
        <w:t xml:space="preserve"> staining. Elastic fibers (red), collagen fibers (black) and smooth muscle (yellow) (× 400 magnification); E: CD34 expression in LTH endothelial cells (× 400 magnification); F: CD34 expression in PV endothelial cells (× 400 magnification); G: Factor VIII-related antigen </w:t>
      </w:r>
      <w:r w:rsidR="00F72623">
        <w:rPr>
          <w:rFonts w:ascii="Book Antiqua" w:eastAsia="Book Antiqua" w:hAnsi="Book Antiqua" w:cs="Book Antiqua"/>
          <w:color w:val="000000"/>
        </w:rPr>
        <w:t>(</w:t>
      </w:r>
      <w:proofErr w:type="spellStart"/>
      <w:r w:rsidR="00F72623">
        <w:rPr>
          <w:rFonts w:ascii="Book Antiqua" w:eastAsia="Book Antiqua" w:hAnsi="Book Antiqua" w:cs="Book Antiqua"/>
          <w:color w:val="000000"/>
        </w:rPr>
        <w:t>FVIIIAg</w:t>
      </w:r>
      <w:proofErr w:type="spellEnd"/>
      <w:r w:rsidR="00F72623">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in LTH endothelial cells (× 400 magnification); H: </w:t>
      </w:r>
      <w:proofErr w:type="spellStart"/>
      <w:r w:rsidR="00F72623">
        <w:rPr>
          <w:rFonts w:ascii="Book Antiqua" w:eastAsia="Book Antiqua" w:hAnsi="Book Antiqua" w:cs="Book Antiqua"/>
          <w:color w:val="000000"/>
        </w:rPr>
        <w:t>FVIIIAg</w:t>
      </w:r>
      <w:proofErr w:type="spellEnd"/>
      <w:r>
        <w:rPr>
          <w:rFonts w:ascii="Book Antiqua" w:eastAsia="Book Antiqua" w:hAnsi="Book Antiqua" w:cs="Book Antiqua"/>
          <w:color w:val="000000"/>
        </w:rPr>
        <w:t xml:space="preserve"> expression in PV endothelial cells (× 400 magnification); I: Endothelial nitric oxide synthase </w:t>
      </w:r>
      <w:r w:rsidR="00F72623">
        <w:rPr>
          <w:rFonts w:ascii="Book Antiqua" w:eastAsia="Book Antiqua" w:hAnsi="Book Antiqua" w:cs="Book Antiqua"/>
          <w:color w:val="000000"/>
        </w:rPr>
        <w:t>(</w:t>
      </w:r>
      <w:proofErr w:type="spellStart"/>
      <w:r w:rsidR="00364A46">
        <w:rPr>
          <w:rFonts w:ascii="Book Antiqua" w:eastAsia="Book Antiqua" w:hAnsi="Book Antiqua" w:cs="Book Antiqua"/>
          <w:color w:val="000000"/>
        </w:rPr>
        <w:t>eNOS</w:t>
      </w:r>
      <w:proofErr w:type="spellEnd"/>
      <w:r w:rsidR="00F72623">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in LTH endothelial cells (× 400 magnification); J: </w:t>
      </w:r>
      <w:proofErr w:type="spellStart"/>
      <w:r w:rsidR="00F72623">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expression in PV endothelial cells (× 400 magnification); K: Tissue type plasminogen activator (t-PA) expression in LTH endothelial cells (× 400 magnification); L: Tissue type plasminogen activator expression in PV endothelial cells (× 400 magnification</w:t>
      </w:r>
      <w:r w:rsidR="00F72623">
        <w:rPr>
          <w:rFonts w:ascii="Book Antiqua" w:eastAsia="Book Antiqua" w:hAnsi="Book Antiqua" w:cs="Book Antiqua"/>
          <w:color w:val="000000"/>
        </w:rPr>
        <w:t xml:space="preserve">). </w:t>
      </w:r>
    </w:p>
    <w:p w14:paraId="27EF528D" w14:textId="1EE0EE11" w:rsidR="009C5EF3" w:rsidRDefault="00F72623">
      <w:pPr>
        <w:spacing w:line="360" w:lineRule="auto"/>
        <w:jc w:val="both"/>
        <w:rPr>
          <w:rFonts w:ascii="Book Antiqua" w:hAnsi="Book Antiqua"/>
        </w:rPr>
      </w:pPr>
      <w:r>
        <w:br w:type="page"/>
      </w:r>
    </w:p>
    <w:p w14:paraId="233EAC7D" w14:textId="57333057" w:rsidR="009C5EF3" w:rsidRPr="00364A46" w:rsidRDefault="00C825F6">
      <w:pPr>
        <w:spacing w:line="360" w:lineRule="auto"/>
        <w:jc w:val="both"/>
      </w:pPr>
      <w:r>
        <w:rPr>
          <w:noProof/>
        </w:rPr>
        <w:lastRenderedPageBreak/>
        <w:drawing>
          <wp:inline distT="0" distB="0" distL="0" distR="0" wp14:anchorId="61D25158" wp14:editId="53172726">
            <wp:extent cx="5760732" cy="2377445"/>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32" cy="2377445"/>
                    </a:xfrm>
                    <a:prstGeom prst="rect">
                      <a:avLst/>
                    </a:prstGeom>
                  </pic:spPr>
                </pic:pic>
              </a:graphicData>
            </a:graphic>
          </wp:inline>
        </w:drawing>
      </w:r>
    </w:p>
    <w:p w14:paraId="366BF2E7" w14:textId="77777777" w:rsidR="009C5EF3" w:rsidRPr="00364A46" w:rsidRDefault="00164FAA">
      <w:pPr>
        <w:spacing w:line="360" w:lineRule="auto"/>
        <w:jc w:val="both"/>
      </w:pPr>
      <w:r>
        <w:rPr>
          <w:rFonts w:ascii="Book Antiqua" w:eastAsia="Book Antiqua" w:hAnsi="Book Antiqua" w:cs="Book Antiqua"/>
          <w:b/>
          <w:bCs/>
          <w:color w:val="000000"/>
        </w:rPr>
        <w:t>Figure 5 Postoperative cumulative survival and vascular stenosis rate curve.</w:t>
      </w:r>
      <w:r>
        <w:rPr>
          <w:rFonts w:ascii="Book Antiqua" w:eastAsia="Book Antiqua" w:hAnsi="Book Antiqua" w:cs="Book Antiqua"/>
          <w:color w:val="000000"/>
        </w:rPr>
        <w:t xml:space="preserve"> A: The cumulative survival curve of the 26 patients undergoing pancreatoduodenectomy with venous resection and reconstruction; B: The vascular stenosis rate curve of the 26 patients undergoing portal vein and/or superior mesenteric vein reconstruction with ligamentum teres hepatis.</w:t>
      </w:r>
    </w:p>
    <w:p w14:paraId="02C4D269" w14:textId="3CAD8F9F" w:rsidR="009C5EF3" w:rsidRDefault="00F72623">
      <w:pPr>
        <w:adjustRightInd w:val="0"/>
        <w:snapToGrid w:val="0"/>
        <w:spacing w:line="360" w:lineRule="auto"/>
        <w:jc w:val="both"/>
        <w:rPr>
          <w:rFonts w:ascii="Book Antiqua" w:eastAsia="DengXian" w:hAnsi="Book Antiqua"/>
          <w:b/>
        </w:rPr>
      </w:pPr>
      <w:r>
        <w:br w:type="page"/>
      </w:r>
      <w:r w:rsidR="00164FAA">
        <w:rPr>
          <w:rFonts w:ascii="Book Antiqua" w:hAnsi="Book Antiqua"/>
          <w:b/>
        </w:rPr>
        <w:lastRenderedPageBreak/>
        <w:t xml:space="preserve">Table 1 Diameter of the dilated ligamentum teres hepatis </w:t>
      </w:r>
    </w:p>
    <w:tbl>
      <w:tblPr>
        <w:tblW w:w="5000" w:type="pct"/>
        <w:tblBorders>
          <w:top w:val="single" w:sz="4" w:space="0" w:color="auto"/>
          <w:bottom w:val="single" w:sz="4" w:space="0" w:color="auto"/>
        </w:tblBorders>
        <w:tblLook w:val="04A0" w:firstRow="1" w:lastRow="0" w:firstColumn="1" w:lastColumn="0" w:noHBand="0" w:noVBand="1"/>
      </w:tblPr>
      <w:tblGrid>
        <w:gridCol w:w="3827"/>
        <w:gridCol w:w="1706"/>
        <w:gridCol w:w="3827"/>
      </w:tblGrid>
      <w:tr w:rsidR="009C5EF3" w14:paraId="0C43313E" w14:textId="77777777" w:rsidTr="00364A46">
        <w:tc>
          <w:tcPr>
            <w:tcW w:w="2044" w:type="pct"/>
            <w:tcBorders>
              <w:top w:val="single" w:sz="4" w:space="0" w:color="auto"/>
              <w:bottom w:val="single" w:sz="4" w:space="0" w:color="auto"/>
            </w:tcBorders>
          </w:tcPr>
          <w:p w14:paraId="53C8AFBB"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Measure point</w:t>
            </w:r>
            <w:r>
              <w:rPr>
                <w:rFonts w:ascii="Book Antiqua" w:hAnsi="Book Antiqua"/>
                <w:b/>
                <w:bCs/>
                <w:vertAlign w:val="superscript"/>
              </w:rPr>
              <w:t>1</w:t>
            </w:r>
          </w:p>
        </w:tc>
        <w:tc>
          <w:tcPr>
            <w:tcW w:w="911" w:type="pct"/>
            <w:tcBorders>
              <w:top w:val="single" w:sz="4" w:space="0" w:color="auto"/>
              <w:bottom w:val="single" w:sz="4" w:space="0" w:color="auto"/>
            </w:tcBorders>
          </w:tcPr>
          <w:p w14:paraId="550A6B82"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Cases</w:t>
            </w:r>
          </w:p>
        </w:tc>
        <w:tc>
          <w:tcPr>
            <w:tcW w:w="2044" w:type="pct"/>
            <w:tcBorders>
              <w:top w:val="single" w:sz="4" w:space="0" w:color="auto"/>
              <w:bottom w:val="single" w:sz="4" w:space="0" w:color="auto"/>
            </w:tcBorders>
          </w:tcPr>
          <w:p w14:paraId="0BCB2B27" w14:textId="6036AE8A" w:rsidR="009C5EF3" w:rsidRDefault="00164FAA">
            <w:pPr>
              <w:adjustRightInd w:val="0"/>
              <w:snapToGrid w:val="0"/>
              <w:spacing w:line="360" w:lineRule="auto"/>
              <w:jc w:val="both"/>
              <w:rPr>
                <w:rFonts w:ascii="Book Antiqua" w:hAnsi="Book Antiqua"/>
                <w:b/>
                <w:bCs/>
              </w:rPr>
            </w:pPr>
            <w:r>
              <w:rPr>
                <w:rFonts w:ascii="Book Antiqua" w:hAnsi="Book Antiqua"/>
                <w:b/>
                <w:bCs/>
              </w:rPr>
              <w:t>Diameter in mm</w:t>
            </w:r>
          </w:p>
        </w:tc>
      </w:tr>
      <w:tr w:rsidR="009C5EF3" w14:paraId="0FBC8AE1" w14:textId="77777777" w:rsidTr="00364A46">
        <w:tc>
          <w:tcPr>
            <w:tcW w:w="2044" w:type="pct"/>
            <w:tcBorders>
              <w:top w:val="single" w:sz="4" w:space="0" w:color="auto"/>
            </w:tcBorders>
          </w:tcPr>
          <w:p w14:paraId="08C4C23C"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c>
          <w:tcPr>
            <w:tcW w:w="911" w:type="pct"/>
            <w:tcBorders>
              <w:top w:val="single" w:sz="4" w:space="0" w:color="auto"/>
            </w:tcBorders>
          </w:tcPr>
          <w:p w14:paraId="7F5C3FCD" w14:textId="77777777" w:rsidR="009C5EF3" w:rsidRDefault="00164FAA">
            <w:pPr>
              <w:adjustRightInd w:val="0"/>
              <w:snapToGrid w:val="0"/>
              <w:spacing w:line="360" w:lineRule="auto"/>
              <w:jc w:val="both"/>
              <w:rPr>
                <w:rFonts w:ascii="Book Antiqua" w:hAnsi="Book Antiqua"/>
              </w:rPr>
            </w:pPr>
            <w:r>
              <w:rPr>
                <w:rFonts w:ascii="Book Antiqua" w:hAnsi="Book Antiqua"/>
              </w:rPr>
              <w:t>104</w:t>
            </w:r>
          </w:p>
        </w:tc>
        <w:tc>
          <w:tcPr>
            <w:tcW w:w="2044" w:type="pct"/>
            <w:tcBorders>
              <w:top w:val="single" w:sz="4" w:space="0" w:color="auto"/>
            </w:tcBorders>
          </w:tcPr>
          <w:p w14:paraId="11088AAB" w14:textId="77777777" w:rsidR="009C5EF3" w:rsidRDefault="00164FAA">
            <w:pPr>
              <w:adjustRightInd w:val="0"/>
              <w:snapToGrid w:val="0"/>
              <w:spacing w:line="360" w:lineRule="auto"/>
              <w:jc w:val="both"/>
              <w:rPr>
                <w:rFonts w:ascii="Book Antiqua" w:hAnsi="Book Antiqua"/>
              </w:rPr>
            </w:pPr>
            <w:r>
              <w:rPr>
                <w:rFonts w:ascii="Book Antiqua" w:hAnsi="Book Antiqua"/>
              </w:rPr>
              <w:t>12.82 ± 1.32</w:t>
            </w:r>
          </w:p>
        </w:tc>
      </w:tr>
      <w:tr w:rsidR="009C5EF3" w14:paraId="7E8FCC66" w14:textId="77777777" w:rsidTr="00364A46">
        <w:tc>
          <w:tcPr>
            <w:tcW w:w="2044" w:type="pct"/>
          </w:tcPr>
          <w:p w14:paraId="4F289B86" w14:textId="77777777" w:rsidR="009C5EF3" w:rsidRDefault="00164FAA">
            <w:pPr>
              <w:adjustRightInd w:val="0"/>
              <w:snapToGrid w:val="0"/>
              <w:spacing w:line="360" w:lineRule="auto"/>
              <w:jc w:val="both"/>
              <w:rPr>
                <w:rFonts w:ascii="Book Antiqua" w:hAnsi="Book Antiqua"/>
              </w:rPr>
            </w:pPr>
            <w:r>
              <w:rPr>
                <w:rFonts w:ascii="Book Antiqua" w:hAnsi="Book Antiqua"/>
              </w:rPr>
              <w:t>2</w:t>
            </w:r>
          </w:p>
        </w:tc>
        <w:tc>
          <w:tcPr>
            <w:tcW w:w="911" w:type="pct"/>
          </w:tcPr>
          <w:p w14:paraId="63E34FF3" w14:textId="77777777" w:rsidR="009C5EF3" w:rsidRDefault="00164FAA">
            <w:pPr>
              <w:adjustRightInd w:val="0"/>
              <w:snapToGrid w:val="0"/>
              <w:spacing w:line="360" w:lineRule="auto"/>
              <w:jc w:val="both"/>
              <w:rPr>
                <w:rFonts w:ascii="Book Antiqua" w:hAnsi="Book Antiqua"/>
              </w:rPr>
            </w:pPr>
            <w:r>
              <w:rPr>
                <w:rFonts w:ascii="Book Antiqua" w:hAnsi="Book Antiqua"/>
              </w:rPr>
              <w:t>104</w:t>
            </w:r>
          </w:p>
        </w:tc>
        <w:tc>
          <w:tcPr>
            <w:tcW w:w="2044" w:type="pct"/>
          </w:tcPr>
          <w:p w14:paraId="227F092D" w14:textId="77777777" w:rsidR="009C5EF3" w:rsidRDefault="00164FAA">
            <w:pPr>
              <w:adjustRightInd w:val="0"/>
              <w:snapToGrid w:val="0"/>
              <w:spacing w:line="360" w:lineRule="auto"/>
              <w:jc w:val="both"/>
              <w:rPr>
                <w:rFonts w:ascii="Book Antiqua" w:hAnsi="Book Antiqua"/>
              </w:rPr>
            </w:pPr>
            <w:r>
              <w:rPr>
                <w:rFonts w:ascii="Book Antiqua" w:hAnsi="Book Antiqua"/>
              </w:rPr>
              <w:t>12.10 ± 1.29</w:t>
            </w:r>
          </w:p>
        </w:tc>
      </w:tr>
      <w:tr w:rsidR="009C5EF3" w14:paraId="239973E2" w14:textId="77777777" w:rsidTr="00364A46">
        <w:tc>
          <w:tcPr>
            <w:tcW w:w="2044" w:type="pct"/>
          </w:tcPr>
          <w:p w14:paraId="6DA16913" w14:textId="77777777" w:rsidR="009C5EF3" w:rsidRDefault="00164FAA">
            <w:pPr>
              <w:adjustRightInd w:val="0"/>
              <w:snapToGrid w:val="0"/>
              <w:spacing w:line="360" w:lineRule="auto"/>
              <w:jc w:val="both"/>
              <w:rPr>
                <w:rFonts w:ascii="Book Antiqua" w:hAnsi="Book Antiqua"/>
              </w:rPr>
            </w:pPr>
            <w:r>
              <w:rPr>
                <w:rFonts w:ascii="Book Antiqua" w:hAnsi="Book Antiqua"/>
              </w:rPr>
              <w:t>3</w:t>
            </w:r>
          </w:p>
        </w:tc>
        <w:tc>
          <w:tcPr>
            <w:tcW w:w="911" w:type="pct"/>
          </w:tcPr>
          <w:p w14:paraId="64490033" w14:textId="77777777" w:rsidR="009C5EF3" w:rsidRDefault="00164FAA">
            <w:pPr>
              <w:adjustRightInd w:val="0"/>
              <w:snapToGrid w:val="0"/>
              <w:spacing w:line="360" w:lineRule="auto"/>
              <w:jc w:val="both"/>
              <w:rPr>
                <w:rFonts w:ascii="Book Antiqua" w:hAnsi="Book Antiqua"/>
              </w:rPr>
            </w:pPr>
            <w:r>
              <w:rPr>
                <w:rFonts w:ascii="Book Antiqua" w:hAnsi="Book Antiqua"/>
              </w:rPr>
              <w:t>104</w:t>
            </w:r>
          </w:p>
        </w:tc>
        <w:tc>
          <w:tcPr>
            <w:tcW w:w="2044" w:type="pct"/>
          </w:tcPr>
          <w:p w14:paraId="5F999FEF" w14:textId="77777777" w:rsidR="009C5EF3" w:rsidRDefault="00164FAA">
            <w:pPr>
              <w:adjustRightInd w:val="0"/>
              <w:snapToGrid w:val="0"/>
              <w:spacing w:line="360" w:lineRule="auto"/>
              <w:jc w:val="both"/>
              <w:rPr>
                <w:rFonts w:ascii="Book Antiqua" w:hAnsi="Book Antiqua"/>
              </w:rPr>
            </w:pPr>
            <w:r>
              <w:rPr>
                <w:rFonts w:ascii="Book Antiqua" w:hAnsi="Book Antiqua"/>
              </w:rPr>
              <w:t>11.19 ± 1.15</w:t>
            </w:r>
          </w:p>
        </w:tc>
      </w:tr>
      <w:tr w:rsidR="009C5EF3" w14:paraId="0C1C1031" w14:textId="77777777" w:rsidTr="00364A46">
        <w:tc>
          <w:tcPr>
            <w:tcW w:w="2044" w:type="pct"/>
          </w:tcPr>
          <w:p w14:paraId="50FF79B2" w14:textId="77777777" w:rsidR="009C5EF3" w:rsidRDefault="00164FAA">
            <w:pPr>
              <w:adjustRightInd w:val="0"/>
              <w:snapToGrid w:val="0"/>
              <w:spacing w:line="360" w:lineRule="auto"/>
              <w:jc w:val="both"/>
              <w:rPr>
                <w:rFonts w:ascii="Book Antiqua" w:hAnsi="Book Antiqua"/>
              </w:rPr>
            </w:pPr>
            <w:r>
              <w:rPr>
                <w:rFonts w:ascii="Book Antiqua" w:hAnsi="Book Antiqua"/>
              </w:rPr>
              <w:t>4</w:t>
            </w:r>
          </w:p>
        </w:tc>
        <w:tc>
          <w:tcPr>
            <w:tcW w:w="911" w:type="pct"/>
          </w:tcPr>
          <w:p w14:paraId="73EC7E46" w14:textId="77777777" w:rsidR="009C5EF3" w:rsidRDefault="00164FAA">
            <w:pPr>
              <w:adjustRightInd w:val="0"/>
              <w:snapToGrid w:val="0"/>
              <w:spacing w:line="360" w:lineRule="auto"/>
              <w:jc w:val="both"/>
              <w:rPr>
                <w:rFonts w:ascii="Book Antiqua" w:hAnsi="Book Antiqua"/>
              </w:rPr>
            </w:pPr>
            <w:r>
              <w:rPr>
                <w:rFonts w:ascii="Book Antiqua" w:hAnsi="Book Antiqua"/>
              </w:rPr>
              <w:t>104</w:t>
            </w:r>
          </w:p>
        </w:tc>
        <w:tc>
          <w:tcPr>
            <w:tcW w:w="2044" w:type="pct"/>
          </w:tcPr>
          <w:p w14:paraId="52B530C0" w14:textId="77777777" w:rsidR="009C5EF3" w:rsidRDefault="00164FAA">
            <w:pPr>
              <w:adjustRightInd w:val="0"/>
              <w:snapToGrid w:val="0"/>
              <w:spacing w:line="360" w:lineRule="auto"/>
              <w:jc w:val="both"/>
              <w:rPr>
                <w:rFonts w:ascii="Book Antiqua" w:hAnsi="Book Antiqua"/>
              </w:rPr>
            </w:pPr>
            <w:r>
              <w:rPr>
                <w:rFonts w:ascii="Book Antiqua" w:hAnsi="Book Antiqua"/>
              </w:rPr>
              <w:t>10.30 ± 1.09</w:t>
            </w:r>
          </w:p>
        </w:tc>
      </w:tr>
      <w:tr w:rsidR="009C5EF3" w14:paraId="68E984ED" w14:textId="77777777" w:rsidTr="00364A46">
        <w:tc>
          <w:tcPr>
            <w:tcW w:w="2044" w:type="pct"/>
          </w:tcPr>
          <w:p w14:paraId="2BA5E47F" w14:textId="77777777" w:rsidR="009C5EF3" w:rsidRDefault="00164FAA">
            <w:pPr>
              <w:adjustRightInd w:val="0"/>
              <w:snapToGrid w:val="0"/>
              <w:spacing w:line="360" w:lineRule="auto"/>
              <w:jc w:val="both"/>
              <w:rPr>
                <w:rFonts w:ascii="Book Antiqua" w:hAnsi="Book Antiqua"/>
              </w:rPr>
            </w:pPr>
            <w:r>
              <w:rPr>
                <w:rFonts w:ascii="Book Antiqua" w:hAnsi="Book Antiqua"/>
              </w:rPr>
              <w:t>5</w:t>
            </w:r>
          </w:p>
        </w:tc>
        <w:tc>
          <w:tcPr>
            <w:tcW w:w="911" w:type="pct"/>
          </w:tcPr>
          <w:p w14:paraId="163B9490" w14:textId="77777777" w:rsidR="009C5EF3" w:rsidRDefault="00164FAA">
            <w:pPr>
              <w:adjustRightInd w:val="0"/>
              <w:snapToGrid w:val="0"/>
              <w:spacing w:line="360" w:lineRule="auto"/>
              <w:jc w:val="both"/>
              <w:rPr>
                <w:rFonts w:ascii="Book Antiqua" w:hAnsi="Book Antiqua"/>
              </w:rPr>
            </w:pPr>
            <w:r>
              <w:rPr>
                <w:rFonts w:ascii="Book Antiqua" w:hAnsi="Book Antiqua"/>
              </w:rPr>
              <w:t>104</w:t>
            </w:r>
          </w:p>
        </w:tc>
        <w:tc>
          <w:tcPr>
            <w:tcW w:w="2044" w:type="pct"/>
          </w:tcPr>
          <w:p w14:paraId="06BF032D" w14:textId="77777777" w:rsidR="009C5EF3" w:rsidRDefault="00164FAA">
            <w:pPr>
              <w:adjustRightInd w:val="0"/>
              <w:snapToGrid w:val="0"/>
              <w:spacing w:line="360" w:lineRule="auto"/>
              <w:jc w:val="both"/>
              <w:rPr>
                <w:rFonts w:ascii="Book Antiqua" w:hAnsi="Book Antiqua"/>
              </w:rPr>
            </w:pPr>
            <w:r>
              <w:rPr>
                <w:rFonts w:ascii="Book Antiqua" w:hAnsi="Book Antiqua"/>
              </w:rPr>
              <w:t>9.55 ± 1.09</w:t>
            </w:r>
          </w:p>
        </w:tc>
      </w:tr>
      <w:tr w:rsidR="009C5EF3" w14:paraId="303E28C6" w14:textId="77777777" w:rsidTr="00364A46">
        <w:tc>
          <w:tcPr>
            <w:tcW w:w="2044" w:type="pct"/>
          </w:tcPr>
          <w:p w14:paraId="619D5F0C" w14:textId="77777777" w:rsidR="009C5EF3" w:rsidRDefault="00164FAA">
            <w:pPr>
              <w:adjustRightInd w:val="0"/>
              <w:snapToGrid w:val="0"/>
              <w:spacing w:line="360" w:lineRule="auto"/>
              <w:jc w:val="both"/>
              <w:rPr>
                <w:rFonts w:ascii="Book Antiqua" w:hAnsi="Book Antiqua"/>
              </w:rPr>
            </w:pPr>
            <w:r>
              <w:rPr>
                <w:rFonts w:ascii="Book Antiqua" w:hAnsi="Book Antiqua"/>
              </w:rPr>
              <w:t>6</w:t>
            </w:r>
          </w:p>
        </w:tc>
        <w:tc>
          <w:tcPr>
            <w:tcW w:w="911" w:type="pct"/>
          </w:tcPr>
          <w:p w14:paraId="6D543F3A" w14:textId="77777777" w:rsidR="009C5EF3" w:rsidRDefault="00164FAA">
            <w:pPr>
              <w:adjustRightInd w:val="0"/>
              <w:snapToGrid w:val="0"/>
              <w:spacing w:line="360" w:lineRule="auto"/>
              <w:jc w:val="both"/>
              <w:rPr>
                <w:rFonts w:ascii="Book Antiqua" w:hAnsi="Book Antiqua"/>
              </w:rPr>
            </w:pPr>
            <w:r>
              <w:rPr>
                <w:rFonts w:ascii="Book Antiqua" w:hAnsi="Book Antiqua"/>
              </w:rPr>
              <w:t>103</w:t>
            </w:r>
          </w:p>
        </w:tc>
        <w:tc>
          <w:tcPr>
            <w:tcW w:w="2044" w:type="pct"/>
          </w:tcPr>
          <w:p w14:paraId="540A752D" w14:textId="77777777" w:rsidR="009C5EF3" w:rsidRDefault="00164FAA">
            <w:pPr>
              <w:adjustRightInd w:val="0"/>
              <w:snapToGrid w:val="0"/>
              <w:spacing w:line="360" w:lineRule="auto"/>
              <w:jc w:val="both"/>
              <w:rPr>
                <w:rFonts w:ascii="Book Antiqua" w:hAnsi="Book Antiqua"/>
              </w:rPr>
            </w:pPr>
            <w:r>
              <w:rPr>
                <w:rFonts w:ascii="Book Antiqua" w:hAnsi="Book Antiqua"/>
              </w:rPr>
              <w:t>8.87 ± 1.12</w:t>
            </w:r>
          </w:p>
        </w:tc>
      </w:tr>
      <w:tr w:rsidR="009C5EF3" w14:paraId="1FD82BA4" w14:textId="77777777" w:rsidTr="00364A46">
        <w:tc>
          <w:tcPr>
            <w:tcW w:w="2044" w:type="pct"/>
          </w:tcPr>
          <w:p w14:paraId="5BAEFD35" w14:textId="77777777" w:rsidR="009C5EF3" w:rsidRDefault="00164FAA">
            <w:pPr>
              <w:adjustRightInd w:val="0"/>
              <w:snapToGrid w:val="0"/>
              <w:spacing w:line="360" w:lineRule="auto"/>
              <w:jc w:val="both"/>
              <w:rPr>
                <w:rFonts w:ascii="Book Antiqua" w:hAnsi="Book Antiqua"/>
              </w:rPr>
            </w:pPr>
            <w:r>
              <w:rPr>
                <w:rFonts w:ascii="Book Antiqua" w:hAnsi="Book Antiqua"/>
              </w:rPr>
              <w:t>7</w:t>
            </w:r>
          </w:p>
        </w:tc>
        <w:tc>
          <w:tcPr>
            <w:tcW w:w="911" w:type="pct"/>
          </w:tcPr>
          <w:p w14:paraId="6334CCD1" w14:textId="77777777" w:rsidR="009C5EF3" w:rsidRDefault="00164FAA">
            <w:pPr>
              <w:adjustRightInd w:val="0"/>
              <w:snapToGrid w:val="0"/>
              <w:spacing w:line="360" w:lineRule="auto"/>
              <w:jc w:val="both"/>
              <w:rPr>
                <w:rFonts w:ascii="Book Antiqua" w:hAnsi="Book Antiqua"/>
              </w:rPr>
            </w:pPr>
            <w:r>
              <w:rPr>
                <w:rFonts w:ascii="Book Antiqua" w:hAnsi="Book Antiqua"/>
              </w:rPr>
              <w:t>84</w:t>
            </w:r>
          </w:p>
        </w:tc>
        <w:tc>
          <w:tcPr>
            <w:tcW w:w="2044" w:type="pct"/>
          </w:tcPr>
          <w:p w14:paraId="7BA263B6" w14:textId="77777777" w:rsidR="009C5EF3" w:rsidRDefault="00164FAA">
            <w:pPr>
              <w:adjustRightInd w:val="0"/>
              <w:snapToGrid w:val="0"/>
              <w:spacing w:line="360" w:lineRule="auto"/>
              <w:jc w:val="both"/>
              <w:rPr>
                <w:rFonts w:ascii="Book Antiqua" w:hAnsi="Book Antiqua"/>
              </w:rPr>
            </w:pPr>
            <w:r>
              <w:rPr>
                <w:rFonts w:ascii="Book Antiqua" w:hAnsi="Book Antiqua"/>
              </w:rPr>
              <w:t>8.19 ± 1.30</w:t>
            </w:r>
          </w:p>
        </w:tc>
      </w:tr>
      <w:tr w:rsidR="009C5EF3" w14:paraId="0AD021C4" w14:textId="77777777" w:rsidTr="00364A46">
        <w:tc>
          <w:tcPr>
            <w:tcW w:w="2044" w:type="pct"/>
          </w:tcPr>
          <w:p w14:paraId="430EE30F" w14:textId="77777777" w:rsidR="009C5EF3" w:rsidRDefault="00164FAA">
            <w:pPr>
              <w:adjustRightInd w:val="0"/>
              <w:snapToGrid w:val="0"/>
              <w:spacing w:line="360" w:lineRule="auto"/>
              <w:jc w:val="both"/>
              <w:rPr>
                <w:rFonts w:ascii="Book Antiqua" w:hAnsi="Book Antiqua"/>
              </w:rPr>
            </w:pPr>
            <w:r>
              <w:rPr>
                <w:rFonts w:ascii="Book Antiqua" w:hAnsi="Book Antiqua"/>
              </w:rPr>
              <w:t>8</w:t>
            </w:r>
          </w:p>
        </w:tc>
        <w:tc>
          <w:tcPr>
            <w:tcW w:w="911" w:type="pct"/>
          </w:tcPr>
          <w:p w14:paraId="2D297DEF" w14:textId="77777777" w:rsidR="009C5EF3" w:rsidRDefault="00164FAA">
            <w:pPr>
              <w:adjustRightInd w:val="0"/>
              <w:snapToGrid w:val="0"/>
              <w:spacing w:line="360" w:lineRule="auto"/>
              <w:jc w:val="both"/>
              <w:rPr>
                <w:rFonts w:ascii="Book Antiqua" w:hAnsi="Book Antiqua"/>
              </w:rPr>
            </w:pPr>
            <w:r>
              <w:rPr>
                <w:rFonts w:ascii="Book Antiqua" w:hAnsi="Book Antiqua"/>
              </w:rPr>
              <w:t>67</w:t>
            </w:r>
          </w:p>
        </w:tc>
        <w:tc>
          <w:tcPr>
            <w:tcW w:w="2044" w:type="pct"/>
          </w:tcPr>
          <w:p w14:paraId="2BD0F83E" w14:textId="77777777" w:rsidR="009C5EF3" w:rsidRDefault="00164FAA">
            <w:pPr>
              <w:adjustRightInd w:val="0"/>
              <w:snapToGrid w:val="0"/>
              <w:spacing w:line="360" w:lineRule="auto"/>
              <w:jc w:val="both"/>
              <w:rPr>
                <w:rFonts w:ascii="Book Antiqua" w:hAnsi="Book Antiqua"/>
              </w:rPr>
            </w:pPr>
            <w:r>
              <w:rPr>
                <w:rFonts w:ascii="Book Antiqua" w:hAnsi="Book Antiqua"/>
              </w:rPr>
              <w:t>7.60 ± 1.32</w:t>
            </w:r>
          </w:p>
        </w:tc>
      </w:tr>
      <w:tr w:rsidR="009C5EF3" w14:paraId="7DBA1971" w14:textId="77777777" w:rsidTr="00364A46">
        <w:tc>
          <w:tcPr>
            <w:tcW w:w="2044" w:type="pct"/>
          </w:tcPr>
          <w:p w14:paraId="6DAC1B5D" w14:textId="77777777" w:rsidR="009C5EF3" w:rsidRDefault="00164FAA">
            <w:pPr>
              <w:adjustRightInd w:val="0"/>
              <w:snapToGrid w:val="0"/>
              <w:spacing w:line="360" w:lineRule="auto"/>
              <w:jc w:val="both"/>
              <w:rPr>
                <w:rFonts w:ascii="Book Antiqua" w:hAnsi="Book Antiqua"/>
              </w:rPr>
            </w:pPr>
            <w:r>
              <w:rPr>
                <w:rFonts w:ascii="Book Antiqua" w:hAnsi="Book Antiqua"/>
              </w:rPr>
              <w:t>9</w:t>
            </w:r>
          </w:p>
        </w:tc>
        <w:tc>
          <w:tcPr>
            <w:tcW w:w="911" w:type="pct"/>
          </w:tcPr>
          <w:p w14:paraId="7EA2C3B4" w14:textId="77777777" w:rsidR="009C5EF3" w:rsidRDefault="00164FAA">
            <w:pPr>
              <w:adjustRightInd w:val="0"/>
              <w:snapToGrid w:val="0"/>
              <w:spacing w:line="360" w:lineRule="auto"/>
              <w:jc w:val="both"/>
              <w:rPr>
                <w:rFonts w:ascii="Book Antiqua" w:hAnsi="Book Antiqua"/>
              </w:rPr>
            </w:pPr>
            <w:r>
              <w:rPr>
                <w:rFonts w:ascii="Book Antiqua" w:hAnsi="Book Antiqua"/>
              </w:rPr>
              <w:t>44</w:t>
            </w:r>
          </w:p>
        </w:tc>
        <w:tc>
          <w:tcPr>
            <w:tcW w:w="2044" w:type="pct"/>
          </w:tcPr>
          <w:p w14:paraId="453AD996" w14:textId="77777777" w:rsidR="009C5EF3" w:rsidRDefault="00164FAA">
            <w:pPr>
              <w:adjustRightInd w:val="0"/>
              <w:snapToGrid w:val="0"/>
              <w:spacing w:line="360" w:lineRule="auto"/>
              <w:jc w:val="both"/>
              <w:rPr>
                <w:rFonts w:ascii="Book Antiqua" w:hAnsi="Book Antiqua"/>
              </w:rPr>
            </w:pPr>
            <w:r>
              <w:rPr>
                <w:rFonts w:ascii="Book Antiqua" w:hAnsi="Book Antiqua"/>
              </w:rPr>
              <w:t>7.37 ± 1.16</w:t>
            </w:r>
          </w:p>
        </w:tc>
      </w:tr>
      <w:tr w:rsidR="009C5EF3" w14:paraId="586BB9A5" w14:textId="77777777" w:rsidTr="00364A46">
        <w:tc>
          <w:tcPr>
            <w:tcW w:w="2044" w:type="pct"/>
          </w:tcPr>
          <w:p w14:paraId="676F0EF7" w14:textId="77777777" w:rsidR="009C5EF3" w:rsidRDefault="00164FAA">
            <w:pPr>
              <w:adjustRightInd w:val="0"/>
              <w:snapToGrid w:val="0"/>
              <w:spacing w:line="360" w:lineRule="auto"/>
              <w:jc w:val="both"/>
              <w:rPr>
                <w:rFonts w:ascii="Book Antiqua" w:hAnsi="Book Antiqua"/>
              </w:rPr>
            </w:pPr>
            <w:r>
              <w:rPr>
                <w:rFonts w:ascii="Book Antiqua" w:hAnsi="Book Antiqua"/>
              </w:rPr>
              <w:t>10</w:t>
            </w:r>
          </w:p>
        </w:tc>
        <w:tc>
          <w:tcPr>
            <w:tcW w:w="911" w:type="pct"/>
          </w:tcPr>
          <w:p w14:paraId="2A9E10F1" w14:textId="77777777" w:rsidR="009C5EF3" w:rsidRDefault="00164FAA">
            <w:pPr>
              <w:adjustRightInd w:val="0"/>
              <w:snapToGrid w:val="0"/>
              <w:spacing w:line="360" w:lineRule="auto"/>
              <w:jc w:val="both"/>
              <w:rPr>
                <w:rFonts w:ascii="Book Antiqua" w:hAnsi="Book Antiqua"/>
              </w:rPr>
            </w:pPr>
            <w:r>
              <w:rPr>
                <w:rFonts w:ascii="Book Antiqua" w:hAnsi="Book Antiqua"/>
              </w:rPr>
              <w:t>20</w:t>
            </w:r>
          </w:p>
        </w:tc>
        <w:tc>
          <w:tcPr>
            <w:tcW w:w="2044" w:type="pct"/>
          </w:tcPr>
          <w:p w14:paraId="0CFCC705" w14:textId="77777777" w:rsidR="009C5EF3" w:rsidRDefault="00164FAA">
            <w:pPr>
              <w:adjustRightInd w:val="0"/>
              <w:snapToGrid w:val="0"/>
              <w:spacing w:line="360" w:lineRule="auto"/>
              <w:jc w:val="both"/>
              <w:rPr>
                <w:rFonts w:ascii="Book Antiqua" w:hAnsi="Book Antiqua"/>
              </w:rPr>
            </w:pPr>
            <w:r>
              <w:rPr>
                <w:rFonts w:ascii="Book Antiqua" w:hAnsi="Book Antiqua"/>
              </w:rPr>
              <w:t>7.06 ± 1.88</w:t>
            </w:r>
          </w:p>
        </w:tc>
      </w:tr>
    </w:tbl>
    <w:p w14:paraId="37BDDCF0" w14:textId="77777777" w:rsidR="009C5EF3" w:rsidRDefault="00164FAA">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At 1 cm intervals from the cranial end to the caudal end.</w:t>
      </w:r>
    </w:p>
    <w:p w14:paraId="4C481E7E" w14:textId="2E1C109E" w:rsidR="009C5EF3" w:rsidRDefault="00F72623">
      <w:pPr>
        <w:adjustRightInd w:val="0"/>
        <w:snapToGrid w:val="0"/>
        <w:spacing w:line="360" w:lineRule="auto"/>
        <w:jc w:val="both"/>
        <w:rPr>
          <w:rFonts w:ascii="Book Antiqua" w:hAnsi="Book Antiqua"/>
          <w:b/>
        </w:rPr>
      </w:pPr>
      <w:r>
        <w:rPr>
          <w:rFonts w:ascii="Book Antiqua" w:hAnsi="Book Antiqua"/>
          <w:b/>
        </w:rPr>
        <w:br w:type="page"/>
      </w:r>
      <w:r w:rsidR="00164FAA">
        <w:rPr>
          <w:rFonts w:ascii="Book Antiqua" w:hAnsi="Book Antiqua"/>
          <w:b/>
        </w:rPr>
        <w:lastRenderedPageBreak/>
        <w:t>Table 2 Relative content and stiffness index of fibers in the ligamentum teres hepatis and portal vein</w:t>
      </w:r>
    </w:p>
    <w:tbl>
      <w:tblPr>
        <w:tblW w:w="0" w:type="auto"/>
        <w:tblBorders>
          <w:top w:val="single" w:sz="4" w:space="0" w:color="auto"/>
          <w:bottom w:val="single" w:sz="4" w:space="0" w:color="auto"/>
        </w:tblBorders>
        <w:tblLook w:val="04A0" w:firstRow="1" w:lastRow="0" w:firstColumn="1" w:lastColumn="0" w:noHBand="0" w:noVBand="1"/>
      </w:tblPr>
      <w:tblGrid>
        <w:gridCol w:w="1008"/>
        <w:gridCol w:w="1428"/>
        <w:gridCol w:w="1428"/>
        <w:gridCol w:w="1428"/>
        <w:gridCol w:w="1308"/>
      </w:tblGrid>
      <w:tr w:rsidR="009C5EF3" w14:paraId="3CF441D2" w14:textId="77777777" w:rsidTr="00364A46">
        <w:trPr>
          <w:trHeight w:val="20"/>
        </w:trPr>
        <w:tc>
          <w:tcPr>
            <w:tcW w:w="0" w:type="auto"/>
            <w:tcBorders>
              <w:top w:val="single" w:sz="4" w:space="0" w:color="auto"/>
              <w:bottom w:val="single" w:sz="4" w:space="0" w:color="auto"/>
            </w:tcBorders>
          </w:tcPr>
          <w:p w14:paraId="05C6AE0E" w14:textId="77777777" w:rsidR="009C5EF3" w:rsidRDefault="009C5EF3">
            <w:pPr>
              <w:adjustRightInd w:val="0"/>
              <w:snapToGrid w:val="0"/>
              <w:spacing w:line="360" w:lineRule="auto"/>
              <w:jc w:val="both"/>
              <w:rPr>
                <w:rFonts w:ascii="Book Antiqua" w:hAnsi="Book Antiqua"/>
                <w:b/>
                <w:bCs/>
              </w:rPr>
            </w:pPr>
          </w:p>
        </w:tc>
        <w:tc>
          <w:tcPr>
            <w:tcW w:w="0" w:type="auto"/>
            <w:tcBorders>
              <w:top w:val="single" w:sz="4" w:space="0" w:color="auto"/>
              <w:bottom w:val="single" w:sz="4" w:space="0" w:color="auto"/>
            </w:tcBorders>
          </w:tcPr>
          <w:p w14:paraId="3210003D"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EF (%)</w:t>
            </w:r>
          </w:p>
        </w:tc>
        <w:tc>
          <w:tcPr>
            <w:tcW w:w="0" w:type="auto"/>
            <w:tcBorders>
              <w:top w:val="single" w:sz="4" w:space="0" w:color="auto"/>
              <w:bottom w:val="single" w:sz="4" w:space="0" w:color="auto"/>
            </w:tcBorders>
          </w:tcPr>
          <w:p w14:paraId="2AE603FF"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CF (%)</w:t>
            </w:r>
          </w:p>
        </w:tc>
        <w:tc>
          <w:tcPr>
            <w:tcW w:w="0" w:type="auto"/>
            <w:tcBorders>
              <w:top w:val="single" w:sz="4" w:space="0" w:color="auto"/>
              <w:bottom w:val="single" w:sz="4" w:space="0" w:color="auto"/>
            </w:tcBorders>
          </w:tcPr>
          <w:p w14:paraId="55340D53"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SM (%)</w:t>
            </w:r>
          </w:p>
        </w:tc>
        <w:tc>
          <w:tcPr>
            <w:tcW w:w="0" w:type="auto"/>
            <w:tcBorders>
              <w:top w:val="single" w:sz="4" w:space="0" w:color="auto"/>
              <w:bottom w:val="single" w:sz="4" w:space="0" w:color="auto"/>
            </w:tcBorders>
          </w:tcPr>
          <w:p w14:paraId="48F01220" w14:textId="77777777" w:rsidR="009C5EF3" w:rsidRDefault="00164FAA">
            <w:pPr>
              <w:adjustRightInd w:val="0"/>
              <w:snapToGrid w:val="0"/>
              <w:spacing w:line="360" w:lineRule="auto"/>
              <w:jc w:val="both"/>
              <w:rPr>
                <w:rFonts w:ascii="Book Antiqua" w:hAnsi="Book Antiqua"/>
                <w:b/>
                <w:bCs/>
              </w:rPr>
            </w:pPr>
            <w:r>
              <w:rPr>
                <w:rFonts w:ascii="Book Antiqua" w:hAnsi="Book Antiqua"/>
                <w:b/>
                <w:bCs/>
              </w:rPr>
              <w:t>C/E</w:t>
            </w:r>
          </w:p>
        </w:tc>
      </w:tr>
      <w:tr w:rsidR="009C5EF3" w14:paraId="360089FB" w14:textId="77777777" w:rsidTr="00364A46">
        <w:trPr>
          <w:trHeight w:val="20"/>
        </w:trPr>
        <w:tc>
          <w:tcPr>
            <w:tcW w:w="0" w:type="auto"/>
            <w:tcBorders>
              <w:top w:val="single" w:sz="4" w:space="0" w:color="auto"/>
            </w:tcBorders>
          </w:tcPr>
          <w:p w14:paraId="018DFA39" w14:textId="77777777" w:rsidR="009C5EF3" w:rsidRDefault="00164FAA">
            <w:pPr>
              <w:adjustRightInd w:val="0"/>
              <w:snapToGrid w:val="0"/>
              <w:spacing w:line="360" w:lineRule="auto"/>
              <w:jc w:val="both"/>
              <w:rPr>
                <w:rFonts w:ascii="Book Antiqua" w:hAnsi="Book Antiqua"/>
              </w:rPr>
            </w:pPr>
            <w:r>
              <w:rPr>
                <w:rFonts w:ascii="Book Antiqua" w:hAnsi="Book Antiqua"/>
              </w:rPr>
              <w:t>LTH</w:t>
            </w:r>
          </w:p>
        </w:tc>
        <w:tc>
          <w:tcPr>
            <w:tcW w:w="0" w:type="auto"/>
            <w:tcBorders>
              <w:top w:val="single" w:sz="4" w:space="0" w:color="auto"/>
            </w:tcBorders>
          </w:tcPr>
          <w:p w14:paraId="3EC50385" w14:textId="77777777" w:rsidR="009C5EF3" w:rsidRDefault="00164FAA">
            <w:pPr>
              <w:adjustRightInd w:val="0"/>
              <w:snapToGrid w:val="0"/>
              <w:spacing w:line="360" w:lineRule="auto"/>
              <w:jc w:val="both"/>
              <w:rPr>
                <w:rFonts w:ascii="Book Antiqua" w:hAnsi="Book Antiqua"/>
              </w:rPr>
            </w:pPr>
            <w:r>
              <w:rPr>
                <w:rFonts w:ascii="Book Antiqua" w:hAnsi="Book Antiqua"/>
              </w:rPr>
              <w:t>11.23 ± 3.40</w:t>
            </w:r>
          </w:p>
        </w:tc>
        <w:tc>
          <w:tcPr>
            <w:tcW w:w="0" w:type="auto"/>
            <w:tcBorders>
              <w:top w:val="single" w:sz="4" w:space="0" w:color="auto"/>
            </w:tcBorders>
          </w:tcPr>
          <w:p w14:paraId="2724E29B" w14:textId="77777777" w:rsidR="009C5EF3" w:rsidRDefault="00164FAA">
            <w:pPr>
              <w:adjustRightInd w:val="0"/>
              <w:snapToGrid w:val="0"/>
              <w:spacing w:line="360" w:lineRule="auto"/>
              <w:jc w:val="both"/>
              <w:rPr>
                <w:rFonts w:ascii="Book Antiqua" w:hAnsi="Book Antiqua"/>
              </w:rPr>
            </w:pPr>
            <w:r>
              <w:rPr>
                <w:rFonts w:ascii="Book Antiqua" w:hAnsi="Book Antiqua"/>
              </w:rPr>
              <w:t>33.51 ± 7.71</w:t>
            </w:r>
          </w:p>
        </w:tc>
        <w:tc>
          <w:tcPr>
            <w:tcW w:w="0" w:type="auto"/>
            <w:tcBorders>
              <w:top w:val="single" w:sz="4" w:space="0" w:color="auto"/>
            </w:tcBorders>
          </w:tcPr>
          <w:p w14:paraId="4D1618B8" w14:textId="77777777" w:rsidR="009C5EF3" w:rsidRDefault="00164FAA">
            <w:pPr>
              <w:adjustRightInd w:val="0"/>
              <w:snapToGrid w:val="0"/>
              <w:spacing w:line="360" w:lineRule="auto"/>
              <w:jc w:val="both"/>
              <w:rPr>
                <w:rFonts w:ascii="Book Antiqua" w:hAnsi="Book Antiqua"/>
              </w:rPr>
            </w:pPr>
            <w:r>
              <w:rPr>
                <w:rFonts w:ascii="Book Antiqua" w:hAnsi="Book Antiqua"/>
              </w:rPr>
              <w:t>15.61 ± 5.26</w:t>
            </w:r>
          </w:p>
        </w:tc>
        <w:tc>
          <w:tcPr>
            <w:tcW w:w="0" w:type="auto"/>
            <w:tcBorders>
              <w:top w:val="single" w:sz="4" w:space="0" w:color="auto"/>
            </w:tcBorders>
          </w:tcPr>
          <w:p w14:paraId="63BF1E76" w14:textId="77777777" w:rsidR="009C5EF3" w:rsidRDefault="00164FAA">
            <w:pPr>
              <w:adjustRightInd w:val="0"/>
              <w:snapToGrid w:val="0"/>
              <w:spacing w:line="360" w:lineRule="auto"/>
              <w:jc w:val="both"/>
              <w:rPr>
                <w:rFonts w:ascii="Book Antiqua" w:hAnsi="Book Antiqua"/>
              </w:rPr>
            </w:pPr>
            <w:r>
              <w:rPr>
                <w:rFonts w:ascii="Book Antiqua" w:hAnsi="Book Antiqua"/>
              </w:rPr>
              <w:t>3.27 ± 1.22</w:t>
            </w:r>
          </w:p>
        </w:tc>
      </w:tr>
      <w:tr w:rsidR="009C5EF3" w14:paraId="0D5B204C" w14:textId="77777777" w:rsidTr="00364A46">
        <w:trPr>
          <w:trHeight w:val="20"/>
        </w:trPr>
        <w:tc>
          <w:tcPr>
            <w:tcW w:w="0" w:type="auto"/>
          </w:tcPr>
          <w:p w14:paraId="4DBA385A" w14:textId="77777777" w:rsidR="009C5EF3" w:rsidRDefault="00164FAA">
            <w:pPr>
              <w:adjustRightInd w:val="0"/>
              <w:snapToGrid w:val="0"/>
              <w:spacing w:line="360" w:lineRule="auto"/>
              <w:jc w:val="both"/>
              <w:rPr>
                <w:rFonts w:ascii="Book Antiqua" w:hAnsi="Book Antiqua"/>
              </w:rPr>
            </w:pPr>
            <w:r>
              <w:rPr>
                <w:rFonts w:ascii="Book Antiqua" w:hAnsi="Book Antiqua"/>
              </w:rPr>
              <w:t>PV</w:t>
            </w:r>
          </w:p>
        </w:tc>
        <w:tc>
          <w:tcPr>
            <w:tcW w:w="0" w:type="auto"/>
          </w:tcPr>
          <w:p w14:paraId="7C10AA2F" w14:textId="77777777" w:rsidR="009C5EF3" w:rsidRDefault="00164FAA">
            <w:pPr>
              <w:adjustRightInd w:val="0"/>
              <w:snapToGrid w:val="0"/>
              <w:spacing w:line="360" w:lineRule="auto"/>
              <w:jc w:val="both"/>
              <w:rPr>
                <w:rFonts w:ascii="Book Antiqua" w:hAnsi="Book Antiqua"/>
              </w:rPr>
            </w:pPr>
            <w:r>
              <w:rPr>
                <w:rFonts w:ascii="Book Antiqua" w:hAnsi="Book Antiqua"/>
              </w:rPr>
              <w:t>11.57 ± 2.80</w:t>
            </w:r>
          </w:p>
        </w:tc>
        <w:tc>
          <w:tcPr>
            <w:tcW w:w="0" w:type="auto"/>
          </w:tcPr>
          <w:p w14:paraId="265DD6F2" w14:textId="77777777" w:rsidR="009C5EF3" w:rsidRDefault="00164FAA">
            <w:pPr>
              <w:adjustRightInd w:val="0"/>
              <w:snapToGrid w:val="0"/>
              <w:spacing w:line="360" w:lineRule="auto"/>
              <w:jc w:val="both"/>
              <w:rPr>
                <w:rFonts w:ascii="Book Antiqua" w:hAnsi="Book Antiqua"/>
              </w:rPr>
            </w:pPr>
            <w:r>
              <w:rPr>
                <w:rFonts w:ascii="Book Antiqua" w:hAnsi="Book Antiqua"/>
              </w:rPr>
              <w:t>32.11 ± 4.82</w:t>
            </w:r>
          </w:p>
        </w:tc>
        <w:tc>
          <w:tcPr>
            <w:tcW w:w="0" w:type="auto"/>
          </w:tcPr>
          <w:p w14:paraId="790BBDC7" w14:textId="77777777" w:rsidR="009C5EF3" w:rsidRDefault="00164FAA">
            <w:pPr>
              <w:adjustRightInd w:val="0"/>
              <w:snapToGrid w:val="0"/>
              <w:spacing w:line="360" w:lineRule="auto"/>
              <w:jc w:val="both"/>
              <w:rPr>
                <w:rFonts w:ascii="Book Antiqua" w:hAnsi="Book Antiqua"/>
              </w:rPr>
            </w:pPr>
            <w:r>
              <w:rPr>
                <w:rFonts w:ascii="Book Antiqua" w:hAnsi="Book Antiqua"/>
              </w:rPr>
              <w:t>16.74 ± 4.83</w:t>
            </w:r>
          </w:p>
        </w:tc>
        <w:tc>
          <w:tcPr>
            <w:tcW w:w="0" w:type="auto"/>
          </w:tcPr>
          <w:p w14:paraId="527C8084" w14:textId="77777777" w:rsidR="009C5EF3" w:rsidRDefault="00164FAA">
            <w:pPr>
              <w:adjustRightInd w:val="0"/>
              <w:snapToGrid w:val="0"/>
              <w:spacing w:line="360" w:lineRule="auto"/>
              <w:jc w:val="both"/>
              <w:rPr>
                <w:rFonts w:ascii="Book Antiqua" w:hAnsi="Book Antiqua"/>
              </w:rPr>
            </w:pPr>
            <w:r>
              <w:rPr>
                <w:rFonts w:ascii="Book Antiqua" w:hAnsi="Book Antiqua"/>
              </w:rPr>
              <w:t>3.94 ± 0.85</w:t>
            </w:r>
          </w:p>
        </w:tc>
      </w:tr>
      <w:tr w:rsidR="009C5EF3" w14:paraId="3D52922F" w14:textId="77777777" w:rsidTr="00364A46">
        <w:trPr>
          <w:trHeight w:val="20"/>
        </w:trPr>
        <w:tc>
          <w:tcPr>
            <w:tcW w:w="0" w:type="auto"/>
          </w:tcPr>
          <w:p w14:paraId="7BF2BD00" w14:textId="77777777" w:rsidR="009C5EF3" w:rsidRDefault="00164FAA">
            <w:pPr>
              <w:adjustRightInd w:val="0"/>
              <w:snapToGrid w:val="0"/>
              <w:spacing w:line="360" w:lineRule="auto"/>
              <w:jc w:val="both"/>
              <w:rPr>
                <w:rFonts w:ascii="Book Antiqua" w:hAnsi="Book Antiqua"/>
              </w:rPr>
            </w:pPr>
            <w:r>
              <w:rPr>
                <w:rFonts w:ascii="Book Antiqua" w:hAnsi="Book Antiqua"/>
                <w:i/>
                <w:iCs/>
              </w:rPr>
              <w:t>P</w:t>
            </w:r>
            <w:r>
              <w:rPr>
                <w:rFonts w:ascii="Book Antiqua" w:hAnsi="Book Antiqua"/>
              </w:rPr>
              <w:t xml:space="preserve"> value</w:t>
            </w:r>
          </w:p>
        </w:tc>
        <w:tc>
          <w:tcPr>
            <w:tcW w:w="0" w:type="auto"/>
          </w:tcPr>
          <w:p w14:paraId="2A49AE73" w14:textId="77777777" w:rsidR="009C5EF3" w:rsidRDefault="00164FAA">
            <w:pPr>
              <w:adjustRightInd w:val="0"/>
              <w:snapToGrid w:val="0"/>
              <w:spacing w:line="360" w:lineRule="auto"/>
              <w:jc w:val="both"/>
              <w:rPr>
                <w:rFonts w:ascii="Book Antiqua" w:hAnsi="Book Antiqua"/>
              </w:rPr>
            </w:pPr>
            <w:r>
              <w:rPr>
                <w:rFonts w:ascii="Book Antiqua" w:hAnsi="Book Antiqua"/>
              </w:rPr>
              <w:t>0.62</w:t>
            </w:r>
          </w:p>
        </w:tc>
        <w:tc>
          <w:tcPr>
            <w:tcW w:w="0" w:type="auto"/>
          </w:tcPr>
          <w:p w14:paraId="67B63895" w14:textId="77777777" w:rsidR="009C5EF3" w:rsidRDefault="00164FAA">
            <w:pPr>
              <w:adjustRightInd w:val="0"/>
              <w:snapToGrid w:val="0"/>
              <w:spacing w:line="360" w:lineRule="auto"/>
              <w:jc w:val="both"/>
              <w:rPr>
                <w:rFonts w:ascii="Book Antiqua" w:hAnsi="Book Antiqua"/>
              </w:rPr>
            </w:pPr>
            <w:r>
              <w:rPr>
                <w:rFonts w:ascii="Book Antiqua" w:hAnsi="Book Antiqua"/>
              </w:rPr>
              <w:t>0.33</w:t>
            </w:r>
          </w:p>
        </w:tc>
        <w:tc>
          <w:tcPr>
            <w:tcW w:w="0" w:type="auto"/>
          </w:tcPr>
          <w:p w14:paraId="54A59EEB" w14:textId="77777777" w:rsidR="009C5EF3" w:rsidRDefault="00164FAA">
            <w:pPr>
              <w:adjustRightInd w:val="0"/>
              <w:snapToGrid w:val="0"/>
              <w:spacing w:line="360" w:lineRule="auto"/>
              <w:jc w:val="both"/>
              <w:rPr>
                <w:rFonts w:ascii="Book Antiqua" w:hAnsi="Book Antiqua"/>
              </w:rPr>
            </w:pPr>
            <w:r>
              <w:rPr>
                <w:rFonts w:ascii="Book Antiqua" w:hAnsi="Book Antiqua"/>
              </w:rPr>
              <w:t>0.32</w:t>
            </w:r>
          </w:p>
        </w:tc>
        <w:tc>
          <w:tcPr>
            <w:tcW w:w="0" w:type="auto"/>
          </w:tcPr>
          <w:p w14:paraId="70CE81B3" w14:textId="77777777" w:rsidR="009C5EF3" w:rsidRDefault="00164FAA">
            <w:pPr>
              <w:adjustRightInd w:val="0"/>
              <w:snapToGrid w:val="0"/>
              <w:spacing w:line="360" w:lineRule="auto"/>
              <w:jc w:val="both"/>
              <w:rPr>
                <w:rFonts w:ascii="Book Antiqua" w:hAnsi="Book Antiqua"/>
              </w:rPr>
            </w:pPr>
            <w:r>
              <w:rPr>
                <w:rFonts w:ascii="Book Antiqua" w:hAnsi="Book Antiqua"/>
              </w:rPr>
              <w:t>0.16</w:t>
            </w:r>
          </w:p>
        </w:tc>
      </w:tr>
    </w:tbl>
    <w:p w14:paraId="23BEED1E" w14:textId="3F0CB308" w:rsidR="009C5EF3" w:rsidRDefault="00164FAA">
      <w:pPr>
        <w:adjustRightInd w:val="0"/>
        <w:snapToGrid w:val="0"/>
        <w:spacing w:line="360" w:lineRule="auto"/>
        <w:jc w:val="both"/>
        <w:rPr>
          <w:rFonts w:ascii="Book Antiqua" w:hAnsi="Book Antiqua"/>
        </w:rPr>
      </w:pPr>
      <w:r>
        <w:rPr>
          <w:rFonts w:ascii="Book Antiqua" w:hAnsi="Book Antiqua"/>
          <w:i/>
        </w:rPr>
        <w:t>P</w:t>
      </w:r>
      <w:r>
        <w:rPr>
          <w:rFonts w:ascii="Book Antiqua" w:hAnsi="Book Antiqua"/>
        </w:rPr>
        <w:t xml:space="preserve"> &lt; 0.05 was considered statistically significant.</w:t>
      </w:r>
      <w:r>
        <w:rPr>
          <w:rFonts w:ascii="Book Antiqua" w:hAnsi="Book Antiqua"/>
          <w:lang w:eastAsia="zh-CN"/>
        </w:rPr>
        <w:t xml:space="preserve"> </w:t>
      </w:r>
      <w:r>
        <w:rPr>
          <w:rFonts w:ascii="Book Antiqua" w:hAnsi="Book Antiqua"/>
        </w:rPr>
        <w:t>C/E: Collagen/elastic (stiffness index); CF: Collagen fiber; EF: Elastic fiber; LTH: Ligamentum teres hepatis; PV: Portal vein; SM: Smooth muscle.</w:t>
      </w:r>
      <w:bookmarkStart w:id="2" w:name="_Hlk116413158"/>
    </w:p>
    <w:p w14:paraId="6E9B5BC8" w14:textId="588385AE" w:rsidR="009C5EF3" w:rsidRDefault="00F72623">
      <w:pPr>
        <w:adjustRightInd w:val="0"/>
        <w:snapToGrid w:val="0"/>
        <w:spacing w:line="360" w:lineRule="auto"/>
        <w:jc w:val="both"/>
        <w:rPr>
          <w:rFonts w:ascii="Book Antiqua" w:hAnsi="Book Antiqua"/>
        </w:rPr>
      </w:pPr>
      <w:r>
        <w:br w:type="page"/>
      </w:r>
    </w:p>
    <w:p w14:paraId="591CF739" w14:textId="77777777" w:rsidR="009C5EF3" w:rsidRPr="00364A46" w:rsidRDefault="00164FAA">
      <w:pPr>
        <w:adjustRightInd w:val="0"/>
        <w:snapToGrid w:val="0"/>
        <w:spacing w:line="360" w:lineRule="auto"/>
        <w:jc w:val="both"/>
        <w:rPr>
          <w:rFonts w:ascii="Book Antiqua" w:hAnsi="Book Antiqua"/>
          <w:b/>
        </w:rPr>
      </w:pPr>
      <w:r>
        <w:rPr>
          <w:rFonts w:ascii="Book Antiqua" w:eastAsia="SimSun" w:hAnsi="Book Antiqua"/>
          <w:b/>
        </w:rPr>
        <w:lastRenderedPageBreak/>
        <w:t>Table 3 Intraoperative data from 26 total patients</w:t>
      </w:r>
      <w:bookmarkEnd w:id="2"/>
    </w:p>
    <w:tbl>
      <w:tblPr>
        <w:tblW w:w="0" w:type="auto"/>
        <w:tblBorders>
          <w:top w:val="single" w:sz="4" w:space="0" w:color="auto"/>
          <w:bottom w:val="single" w:sz="4" w:space="0" w:color="auto"/>
        </w:tblBorders>
        <w:tblLayout w:type="fixed"/>
        <w:tblLook w:val="04A0" w:firstRow="1" w:lastRow="0" w:firstColumn="1" w:lastColumn="0" w:noHBand="0" w:noVBand="1"/>
      </w:tblPr>
      <w:tblGrid>
        <w:gridCol w:w="5560"/>
        <w:gridCol w:w="3200"/>
      </w:tblGrid>
      <w:tr w:rsidR="009C5EF3" w14:paraId="1E4F1FC7" w14:textId="77777777" w:rsidTr="00364A46">
        <w:tc>
          <w:tcPr>
            <w:tcW w:w="5560" w:type="dxa"/>
            <w:tcBorders>
              <w:top w:val="single" w:sz="4" w:space="0" w:color="auto"/>
              <w:bottom w:val="single" w:sz="4" w:space="0" w:color="auto"/>
            </w:tcBorders>
          </w:tcPr>
          <w:p w14:paraId="47453161" w14:textId="77777777" w:rsidR="009C5EF3" w:rsidRDefault="00164FAA">
            <w:pPr>
              <w:adjustRightInd w:val="0"/>
              <w:snapToGrid w:val="0"/>
              <w:spacing w:line="360" w:lineRule="auto"/>
              <w:jc w:val="both"/>
              <w:rPr>
                <w:rFonts w:ascii="Book Antiqua" w:eastAsia="SimSun" w:hAnsi="Book Antiqua"/>
                <w:b/>
                <w:bCs/>
              </w:rPr>
            </w:pPr>
            <w:r>
              <w:rPr>
                <w:rFonts w:ascii="Book Antiqua" w:eastAsia="SimSun" w:hAnsi="Book Antiqua"/>
                <w:b/>
                <w:bCs/>
              </w:rPr>
              <w:t>Variable</w:t>
            </w:r>
          </w:p>
        </w:tc>
        <w:tc>
          <w:tcPr>
            <w:tcW w:w="3200" w:type="dxa"/>
            <w:tcBorders>
              <w:top w:val="single" w:sz="4" w:space="0" w:color="auto"/>
              <w:bottom w:val="single" w:sz="4" w:space="0" w:color="auto"/>
            </w:tcBorders>
          </w:tcPr>
          <w:p w14:paraId="448430C0" w14:textId="77777777" w:rsidR="009C5EF3" w:rsidRDefault="00164FAA">
            <w:pPr>
              <w:adjustRightInd w:val="0"/>
              <w:snapToGrid w:val="0"/>
              <w:spacing w:line="360" w:lineRule="auto"/>
              <w:jc w:val="both"/>
              <w:rPr>
                <w:rFonts w:ascii="Book Antiqua" w:eastAsia="SimSun" w:hAnsi="Book Antiqua"/>
                <w:b/>
                <w:bCs/>
              </w:rPr>
            </w:pPr>
            <w:r>
              <w:rPr>
                <w:rFonts w:ascii="Book Antiqua" w:eastAsia="SimSun" w:hAnsi="Book Antiqua"/>
                <w:b/>
                <w:bCs/>
              </w:rPr>
              <w:t>Value</w:t>
            </w:r>
          </w:p>
        </w:tc>
      </w:tr>
      <w:tr w:rsidR="009C5EF3" w14:paraId="67BF2D58" w14:textId="77777777" w:rsidTr="00364A46">
        <w:tc>
          <w:tcPr>
            <w:tcW w:w="5560" w:type="dxa"/>
            <w:tcBorders>
              <w:top w:val="single" w:sz="4" w:space="0" w:color="auto"/>
            </w:tcBorders>
          </w:tcPr>
          <w:p w14:paraId="5C82C997"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Type of venous resection + reconstruction</w:t>
            </w:r>
          </w:p>
        </w:tc>
        <w:tc>
          <w:tcPr>
            <w:tcW w:w="3200" w:type="dxa"/>
            <w:tcBorders>
              <w:top w:val="single" w:sz="4" w:space="0" w:color="auto"/>
            </w:tcBorders>
          </w:tcPr>
          <w:p w14:paraId="207C9DD1" w14:textId="77777777" w:rsidR="009C5EF3" w:rsidRDefault="009C5EF3">
            <w:pPr>
              <w:adjustRightInd w:val="0"/>
              <w:snapToGrid w:val="0"/>
              <w:spacing w:line="360" w:lineRule="auto"/>
              <w:jc w:val="both"/>
              <w:rPr>
                <w:rFonts w:ascii="Book Antiqua" w:eastAsia="SimSun" w:hAnsi="Book Antiqua"/>
              </w:rPr>
            </w:pPr>
          </w:p>
        </w:tc>
      </w:tr>
      <w:tr w:rsidR="009C5EF3" w14:paraId="252B5F5B" w14:textId="77777777" w:rsidTr="00364A46">
        <w:tc>
          <w:tcPr>
            <w:tcW w:w="5560" w:type="dxa"/>
          </w:tcPr>
          <w:p w14:paraId="2C3B81AE"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 xml:space="preserve">Tangential + patch, </w:t>
            </w:r>
            <w:r>
              <w:rPr>
                <w:rFonts w:ascii="Book Antiqua" w:eastAsia="SimSun" w:hAnsi="Book Antiqua"/>
                <w:i/>
                <w:iCs/>
              </w:rPr>
              <w:t>n</w:t>
            </w:r>
            <w:r>
              <w:rPr>
                <w:rFonts w:ascii="Book Antiqua" w:eastAsia="SimSun" w:hAnsi="Book Antiqua"/>
              </w:rPr>
              <w:t xml:space="preserve"> (%)</w:t>
            </w:r>
          </w:p>
        </w:tc>
        <w:tc>
          <w:tcPr>
            <w:tcW w:w="3200" w:type="dxa"/>
          </w:tcPr>
          <w:p w14:paraId="01EABB98"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5 (19.23)</w:t>
            </w:r>
          </w:p>
        </w:tc>
      </w:tr>
      <w:tr w:rsidR="009C5EF3" w14:paraId="2C9E9865" w14:textId="77777777" w:rsidTr="00364A46">
        <w:tc>
          <w:tcPr>
            <w:tcW w:w="5560" w:type="dxa"/>
          </w:tcPr>
          <w:p w14:paraId="0BF5F530"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 xml:space="preserve">Segmental + interposition, </w:t>
            </w:r>
            <w:r>
              <w:rPr>
                <w:rFonts w:ascii="Book Antiqua" w:eastAsia="SimSun" w:hAnsi="Book Antiqua"/>
                <w:i/>
                <w:iCs/>
              </w:rPr>
              <w:t>n</w:t>
            </w:r>
            <w:r>
              <w:rPr>
                <w:rFonts w:ascii="Book Antiqua" w:eastAsia="SimSun" w:hAnsi="Book Antiqua"/>
              </w:rPr>
              <w:t xml:space="preserve"> (%)</w:t>
            </w:r>
          </w:p>
        </w:tc>
        <w:tc>
          <w:tcPr>
            <w:tcW w:w="3200" w:type="dxa"/>
          </w:tcPr>
          <w:p w14:paraId="75CBF5B8"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21 (80.77)</w:t>
            </w:r>
          </w:p>
        </w:tc>
      </w:tr>
      <w:tr w:rsidR="009C5EF3" w14:paraId="5C64157C" w14:textId="77777777" w:rsidTr="00364A46">
        <w:tc>
          <w:tcPr>
            <w:tcW w:w="5560" w:type="dxa"/>
          </w:tcPr>
          <w:p w14:paraId="5B491A9B" w14:textId="721A445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Length of the segmental resected vein in mm</w:t>
            </w:r>
          </w:p>
        </w:tc>
        <w:tc>
          <w:tcPr>
            <w:tcW w:w="3200" w:type="dxa"/>
          </w:tcPr>
          <w:p w14:paraId="1E8E83D4"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40 (35-50)</w:t>
            </w:r>
          </w:p>
        </w:tc>
      </w:tr>
      <w:tr w:rsidR="009C5EF3" w14:paraId="04EF0949" w14:textId="77777777" w:rsidTr="00364A46">
        <w:tc>
          <w:tcPr>
            <w:tcW w:w="5560" w:type="dxa"/>
          </w:tcPr>
          <w:p w14:paraId="06991C1A" w14:textId="08E71312"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Length of the interposition graft in mm</w:t>
            </w:r>
          </w:p>
        </w:tc>
        <w:tc>
          <w:tcPr>
            <w:tcW w:w="3200" w:type="dxa"/>
          </w:tcPr>
          <w:p w14:paraId="3AD7D40F"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40 (30-40)</w:t>
            </w:r>
          </w:p>
        </w:tc>
      </w:tr>
      <w:tr w:rsidR="009C5EF3" w14:paraId="6920F7E8" w14:textId="77777777" w:rsidTr="00364A46">
        <w:tc>
          <w:tcPr>
            <w:tcW w:w="5560" w:type="dxa"/>
          </w:tcPr>
          <w:p w14:paraId="6143F415" w14:textId="7E498C96"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Operative time in min</w:t>
            </w:r>
          </w:p>
        </w:tc>
        <w:tc>
          <w:tcPr>
            <w:tcW w:w="3200" w:type="dxa"/>
          </w:tcPr>
          <w:p w14:paraId="06F7BD2C"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485 (397.50-572.75)</w:t>
            </w:r>
          </w:p>
        </w:tc>
      </w:tr>
      <w:tr w:rsidR="009C5EF3" w14:paraId="3FC69B3B" w14:textId="77777777" w:rsidTr="00364A46">
        <w:tc>
          <w:tcPr>
            <w:tcW w:w="5560" w:type="dxa"/>
          </w:tcPr>
          <w:p w14:paraId="30D35E97" w14:textId="2005E1A9"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Blood loss at surgery in mL</w:t>
            </w:r>
          </w:p>
        </w:tc>
        <w:tc>
          <w:tcPr>
            <w:tcW w:w="3200" w:type="dxa"/>
          </w:tcPr>
          <w:p w14:paraId="37E0A27E"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200 (150-300)</w:t>
            </w:r>
          </w:p>
        </w:tc>
      </w:tr>
      <w:tr w:rsidR="009C5EF3" w14:paraId="5DB34EDF" w14:textId="77777777" w:rsidTr="00364A46">
        <w:tc>
          <w:tcPr>
            <w:tcW w:w="5560" w:type="dxa"/>
          </w:tcPr>
          <w:p w14:paraId="413E1002" w14:textId="783B2C91"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Vein clamping time in min</w:t>
            </w:r>
          </w:p>
        </w:tc>
        <w:tc>
          <w:tcPr>
            <w:tcW w:w="3200" w:type="dxa"/>
          </w:tcPr>
          <w:p w14:paraId="04F8F3F2" w14:textId="77777777"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50 (40-60)</w:t>
            </w:r>
          </w:p>
        </w:tc>
      </w:tr>
    </w:tbl>
    <w:p w14:paraId="42E5B78C" w14:textId="1129B9F4" w:rsidR="009C5EF3" w:rsidRDefault="00164FAA">
      <w:pPr>
        <w:adjustRightInd w:val="0"/>
        <w:snapToGrid w:val="0"/>
        <w:spacing w:line="360" w:lineRule="auto"/>
        <w:jc w:val="both"/>
        <w:rPr>
          <w:rFonts w:ascii="Book Antiqua" w:eastAsia="SimSun" w:hAnsi="Book Antiqua"/>
        </w:rPr>
      </w:pPr>
      <w:r>
        <w:rPr>
          <w:rFonts w:ascii="Book Antiqua" w:eastAsia="SimSun" w:hAnsi="Book Antiqua"/>
        </w:rPr>
        <w:t>Data are expressed as medians and interquartile ranges unless otherwise indicated.</w:t>
      </w:r>
    </w:p>
    <w:p w14:paraId="01BF5D57" w14:textId="69C4434A" w:rsidR="009C5EF3" w:rsidRDefault="00F72623">
      <w:pPr>
        <w:adjustRightInd w:val="0"/>
        <w:snapToGrid w:val="0"/>
        <w:spacing w:line="360" w:lineRule="auto"/>
        <w:jc w:val="both"/>
        <w:rPr>
          <w:rFonts w:ascii="Book Antiqua" w:hAnsi="Book Antiqua"/>
        </w:rPr>
      </w:pPr>
      <w:r>
        <w:rPr>
          <w:rFonts w:ascii="Book Antiqua" w:hAnsi="Book Antiqua"/>
        </w:rPr>
        <w:br w:type="page"/>
      </w:r>
    </w:p>
    <w:p w14:paraId="256C802A" w14:textId="77777777" w:rsidR="009C5EF3" w:rsidRDefault="00164FAA">
      <w:pPr>
        <w:adjustRightInd w:val="0"/>
        <w:snapToGrid w:val="0"/>
        <w:spacing w:line="360" w:lineRule="auto"/>
        <w:jc w:val="both"/>
        <w:rPr>
          <w:rFonts w:ascii="Book Antiqua" w:hAnsi="Book Antiqua"/>
          <w:b/>
        </w:rPr>
      </w:pPr>
      <w:r>
        <w:rPr>
          <w:rFonts w:ascii="Book Antiqua" w:hAnsi="Book Antiqua"/>
          <w:b/>
        </w:rPr>
        <w:lastRenderedPageBreak/>
        <w:t xml:space="preserve">Table 4 Postoperative </w:t>
      </w:r>
      <w:r>
        <w:rPr>
          <w:rFonts w:ascii="Book Antiqua" w:eastAsia="Book Antiqua" w:hAnsi="Book Antiqua" w:cs="Book Antiqua"/>
          <w:b/>
          <w:bCs/>
          <w:color w:val="000000"/>
        </w:rPr>
        <w:t>outcomes</w:t>
      </w:r>
    </w:p>
    <w:tbl>
      <w:tblPr>
        <w:tblW w:w="8331" w:type="dxa"/>
        <w:tblBorders>
          <w:top w:val="single" w:sz="4" w:space="0" w:color="auto"/>
          <w:bottom w:val="single" w:sz="4" w:space="0" w:color="auto"/>
        </w:tblBorders>
        <w:tblLayout w:type="fixed"/>
        <w:tblLook w:val="04A0" w:firstRow="1" w:lastRow="0" w:firstColumn="1" w:lastColumn="0" w:noHBand="0" w:noVBand="1"/>
      </w:tblPr>
      <w:tblGrid>
        <w:gridCol w:w="6237"/>
        <w:gridCol w:w="2094"/>
      </w:tblGrid>
      <w:tr w:rsidR="009C5EF3" w14:paraId="5840FA4A" w14:textId="77777777" w:rsidTr="00364A46">
        <w:trPr>
          <w:trHeight w:val="189"/>
        </w:trPr>
        <w:tc>
          <w:tcPr>
            <w:tcW w:w="6237" w:type="dxa"/>
            <w:tcBorders>
              <w:top w:val="single" w:sz="4" w:space="0" w:color="auto"/>
              <w:bottom w:val="single" w:sz="4" w:space="0" w:color="auto"/>
            </w:tcBorders>
          </w:tcPr>
          <w:p w14:paraId="4E7D8F85" w14:textId="77777777" w:rsidR="009C5EF3" w:rsidRDefault="00164FAA">
            <w:pPr>
              <w:adjustRightInd w:val="0"/>
              <w:snapToGrid w:val="0"/>
              <w:spacing w:line="360" w:lineRule="auto"/>
              <w:jc w:val="both"/>
              <w:rPr>
                <w:rFonts w:ascii="Book Antiqua" w:hAnsi="Book Antiqua"/>
              </w:rPr>
            </w:pPr>
            <w:r>
              <w:rPr>
                <w:rFonts w:ascii="Book Antiqua" w:hAnsi="Book Antiqua"/>
                <w:b/>
              </w:rPr>
              <w:t>Postoperative complications</w:t>
            </w:r>
          </w:p>
        </w:tc>
        <w:tc>
          <w:tcPr>
            <w:tcW w:w="2094" w:type="dxa"/>
            <w:tcBorders>
              <w:top w:val="single" w:sz="4" w:space="0" w:color="auto"/>
              <w:bottom w:val="single" w:sz="4" w:space="0" w:color="auto"/>
            </w:tcBorders>
          </w:tcPr>
          <w:p w14:paraId="41F7BE01" w14:textId="77777777" w:rsidR="009C5EF3" w:rsidRPr="00364A46" w:rsidRDefault="00164FAA">
            <w:pPr>
              <w:adjustRightInd w:val="0"/>
              <w:snapToGrid w:val="0"/>
              <w:spacing w:line="360" w:lineRule="auto"/>
              <w:jc w:val="both"/>
              <w:rPr>
                <w:rFonts w:ascii="Book Antiqua" w:hAnsi="Book Antiqua"/>
                <w:b/>
              </w:rPr>
            </w:pPr>
            <w:r>
              <w:rPr>
                <w:rFonts w:ascii="Book Antiqua" w:hAnsi="Book Antiqua"/>
                <w:b/>
                <w:bCs/>
              </w:rPr>
              <w:t>Patients</w:t>
            </w:r>
          </w:p>
        </w:tc>
      </w:tr>
      <w:tr w:rsidR="009C5EF3" w14:paraId="5CC12A60" w14:textId="77777777" w:rsidTr="00364A46">
        <w:trPr>
          <w:trHeight w:val="189"/>
        </w:trPr>
        <w:tc>
          <w:tcPr>
            <w:tcW w:w="6237" w:type="dxa"/>
            <w:tcBorders>
              <w:top w:val="single" w:sz="4" w:space="0" w:color="auto"/>
            </w:tcBorders>
          </w:tcPr>
          <w:p w14:paraId="4FCEBF20" w14:textId="77777777" w:rsidR="009C5EF3" w:rsidRDefault="00164FAA">
            <w:pPr>
              <w:adjustRightInd w:val="0"/>
              <w:snapToGrid w:val="0"/>
              <w:spacing w:line="360" w:lineRule="auto"/>
              <w:jc w:val="both"/>
              <w:rPr>
                <w:rFonts w:ascii="Book Antiqua" w:hAnsi="Book Antiqua"/>
              </w:rPr>
            </w:pPr>
            <w:r>
              <w:rPr>
                <w:rFonts w:ascii="Book Antiqua" w:hAnsi="Book Antiqua"/>
              </w:rPr>
              <w:t>Grade I</w:t>
            </w:r>
          </w:p>
        </w:tc>
        <w:tc>
          <w:tcPr>
            <w:tcW w:w="2094" w:type="dxa"/>
            <w:tcBorders>
              <w:top w:val="single" w:sz="4" w:space="0" w:color="auto"/>
            </w:tcBorders>
          </w:tcPr>
          <w:p w14:paraId="49870B16" w14:textId="77777777" w:rsidR="009C5EF3" w:rsidRDefault="00164FAA">
            <w:pPr>
              <w:adjustRightInd w:val="0"/>
              <w:snapToGrid w:val="0"/>
              <w:spacing w:line="360" w:lineRule="auto"/>
              <w:jc w:val="both"/>
              <w:rPr>
                <w:rFonts w:ascii="Book Antiqua" w:hAnsi="Book Antiqua"/>
              </w:rPr>
            </w:pPr>
            <w:r>
              <w:rPr>
                <w:rFonts w:ascii="Book Antiqua" w:hAnsi="Book Antiqua"/>
              </w:rPr>
              <w:t>3</w:t>
            </w:r>
          </w:p>
        </w:tc>
      </w:tr>
      <w:tr w:rsidR="009C5EF3" w14:paraId="56578AD7" w14:textId="77777777" w:rsidTr="00364A46">
        <w:trPr>
          <w:trHeight w:val="189"/>
        </w:trPr>
        <w:tc>
          <w:tcPr>
            <w:tcW w:w="6237" w:type="dxa"/>
          </w:tcPr>
          <w:p w14:paraId="7983877A"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Bile leakage</w:t>
            </w:r>
          </w:p>
        </w:tc>
        <w:tc>
          <w:tcPr>
            <w:tcW w:w="2094" w:type="dxa"/>
          </w:tcPr>
          <w:p w14:paraId="45F15505" w14:textId="77777777" w:rsidR="009C5EF3" w:rsidRDefault="00164FAA">
            <w:pPr>
              <w:adjustRightInd w:val="0"/>
              <w:snapToGrid w:val="0"/>
              <w:spacing w:line="360" w:lineRule="auto"/>
              <w:jc w:val="both"/>
              <w:rPr>
                <w:rFonts w:ascii="Book Antiqua" w:hAnsi="Book Antiqua"/>
              </w:rPr>
            </w:pPr>
            <w:r>
              <w:rPr>
                <w:rFonts w:ascii="Book Antiqua" w:hAnsi="Book Antiqua"/>
              </w:rPr>
              <w:t>2</w:t>
            </w:r>
          </w:p>
        </w:tc>
      </w:tr>
      <w:tr w:rsidR="009C5EF3" w14:paraId="1E918CC2" w14:textId="77777777" w:rsidTr="00364A46">
        <w:trPr>
          <w:trHeight w:val="189"/>
        </w:trPr>
        <w:tc>
          <w:tcPr>
            <w:tcW w:w="6237" w:type="dxa"/>
          </w:tcPr>
          <w:p w14:paraId="777634C4"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Pulmonary infection</w:t>
            </w:r>
          </w:p>
        </w:tc>
        <w:tc>
          <w:tcPr>
            <w:tcW w:w="2094" w:type="dxa"/>
          </w:tcPr>
          <w:p w14:paraId="0CD33B2B"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241CF438" w14:textId="77777777" w:rsidTr="00364A46">
        <w:trPr>
          <w:trHeight w:val="189"/>
        </w:trPr>
        <w:tc>
          <w:tcPr>
            <w:tcW w:w="6237" w:type="dxa"/>
          </w:tcPr>
          <w:p w14:paraId="50D1A16D" w14:textId="77777777" w:rsidR="009C5EF3" w:rsidRDefault="00164FAA">
            <w:pPr>
              <w:adjustRightInd w:val="0"/>
              <w:snapToGrid w:val="0"/>
              <w:spacing w:line="360" w:lineRule="auto"/>
              <w:jc w:val="both"/>
              <w:rPr>
                <w:rFonts w:ascii="Book Antiqua" w:hAnsi="Book Antiqua"/>
              </w:rPr>
            </w:pPr>
            <w:r>
              <w:rPr>
                <w:rFonts w:ascii="Book Antiqua" w:hAnsi="Book Antiqua"/>
              </w:rPr>
              <w:t>Grade II</w:t>
            </w:r>
          </w:p>
        </w:tc>
        <w:tc>
          <w:tcPr>
            <w:tcW w:w="2094" w:type="dxa"/>
          </w:tcPr>
          <w:p w14:paraId="152AC038" w14:textId="77777777" w:rsidR="009C5EF3" w:rsidRDefault="00164FAA">
            <w:pPr>
              <w:adjustRightInd w:val="0"/>
              <w:snapToGrid w:val="0"/>
              <w:spacing w:line="360" w:lineRule="auto"/>
              <w:jc w:val="both"/>
              <w:rPr>
                <w:rFonts w:ascii="Book Antiqua" w:hAnsi="Book Antiqua"/>
              </w:rPr>
            </w:pPr>
            <w:r>
              <w:rPr>
                <w:rFonts w:ascii="Book Antiqua" w:hAnsi="Book Antiqua"/>
              </w:rPr>
              <w:t>5</w:t>
            </w:r>
          </w:p>
        </w:tc>
      </w:tr>
      <w:tr w:rsidR="009C5EF3" w14:paraId="2F6A3F8D" w14:textId="77777777" w:rsidTr="00364A46">
        <w:trPr>
          <w:trHeight w:val="189"/>
        </w:trPr>
        <w:tc>
          <w:tcPr>
            <w:tcW w:w="6237" w:type="dxa"/>
          </w:tcPr>
          <w:p w14:paraId="05D1D3F3"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Pancreatic leakage</w:t>
            </w:r>
          </w:p>
        </w:tc>
        <w:tc>
          <w:tcPr>
            <w:tcW w:w="2094" w:type="dxa"/>
          </w:tcPr>
          <w:p w14:paraId="5DBCCF51"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51D1364B" w14:textId="77777777" w:rsidTr="00364A46">
        <w:trPr>
          <w:trHeight w:val="189"/>
        </w:trPr>
        <w:tc>
          <w:tcPr>
            <w:tcW w:w="6237" w:type="dxa"/>
          </w:tcPr>
          <w:p w14:paraId="1A14D7FF" w14:textId="1BBF360E"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Delayed gastric emptying, grade B</w:t>
            </w:r>
          </w:p>
        </w:tc>
        <w:tc>
          <w:tcPr>
            <w:tcW w:w="2094" w:type="dxa"/>
          </w:tcPr>
          <w:p w14:paraId="2CAF07F6"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6C461E65" w14:textId="77777777" w:rsidTr="00364A46">
        <w:trPr>
          <w:trHeight w:val="189"/>
        </w:trPr>
        <w:tc>
          <w:tcPr>
            <w:tcW w:w="6237" w:type="dxa"/>
          </w:tcPr>
          <w:p w14:paraId="621CB17D"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Pulmonary infection</w:t>
            </w:r>
          </w:p>
        </w:tc>
        <w:tc>
          <w:tcPr>
            <w:tcW w:w="2094" w:type="dxa"/>
          </w:tcPr>
          <w:p w14:paraId="01D1E4E0" w14:textId="77777777" w:rsidR="009C5EF3" w:rsidRDefault="00164FAA">
            <w:pPr>
              <w:adjustRightInd w:val="0"/>
              <w:snapToGrid w:val="0"/>
              <w:spacing w:line="360" w:lineRule="auto"/>
              <w:jc w:val="both"/>
              <w:rPr>
                <w:rFonts w:ascii="Book Antiqua" w:hAnsi="Book Antiqua"/>
              </w:rPr>
            </w:pPr>
            <w:r>
              <w:rPr>
                <w:rFonts w:ascii="Book Antiqua" w:hAnsi="Book Antiqua"/>
              </w:rPr>
              <w:t>2</w:t>
            </w:r>
          </w:p>
        </w:tc>
      </w:tr>
      <w:tr w:rsidR="009C5EF3" w14:paraId="62288F07" w14:textId="77777777" w:rsidTr="00364A46">
        <w:trPr>
          <w:trHeight w:val="189"/>
        </w:trPr>
        <w:tc>
          <w:tcPr>
            <w:tcW w:w="6237" w:type="dxa"/>
          </w:tcPr>
          <w:p w14:paraId="5908EB4C"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Gastrointestinal hemorrhage</w:t>
            </w:r>
          </w:p>
        </w:tc>
        <w:tc>
          <w:tcPr>
            <w:tcW w:w="2094" w:type="dxa"/>
          </w:tcPr>
          <w:p w14:paraId="4637B506"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61A13E9D" w14:textId="77777777" w:rsidTr="00364A46">
        <w:trPr>
          <w:trHeight w:val="189"/>
        </w:trPr>
        <w:tc>
          <w:tcPr>
            <w:tcW w:w="6237" w:type="dxa"/>
          </w:tcPr>
          <w:p w14:paraId="4903F64E" w14:textId="77777777" w:rsidR="009C5EF3" w:rsidRDefault="00164FAA">
            <w:pPr>
              <w:adjustRightInd w:val="0"/>
              <w:snapToGrid w:val="0"/>
              <w:spacing w:line="360" w:lineRule="auto"/>
              <w:jc w:val="both"/>
              <w:rPr>
                <w:rFonts w:ascii="Book Antiqua" w:hAnsi="Book Antiqua"/>
              </w:rPr>
            </w:pPr>
            <w:r>
              <w:rPr>
                <w:rFonts w:ascii="Book Antiqua" w:hAnsi="Book Antiqua"/>
              </w:rPr>
              <w:t>Grade III</w:t>
            </w:r>
          </w:p>
        </w:tc>
        <w:tc>
          <w:tcPr>
            <w:tcW w:w="2094" w:type="dxa"/>
          </w:tcPr>
          <w:p w14:paraId="380CE45B" w14:textId="77777777" w:rsidR="009C5EF3" w:rsidRDefault="00164FAA">
            <w:pPr>
              <w:adjustRightInd w:val="0"/>
              <w:snapToGrid w:val="0"/>
              <w:spacing w:line="360" w:lineRule="auto"/>
              <w:jc w:val="both"/>
              <w:rPr>
                <w:rFonts w:ascii="Book Antiqua" w:hAnsi="Book Antiqua"/>
              </w:rPr>
            </w:pPr>
            <w:r>
              <w:rPr>
                <w:rFonts w:ascii="Book Antiqua" w:hAnsi="Book Antiqua"/>
              </w:rPr>
              <w:t>2</w:t>
            </w:r>
          </w:p>
        </w:tc>
      </w:tr>
      <w:tr w:rsidR="009C5EF3" w14:paraId="165D0E9F" w14:textId="77777777" w:rsidTr="00364A46">
        <w:trPr>
          <w:trHeight w:val="189"/>
        </w:trPr>
        <w:tc>
          <w:tcPr>
            <w:tcW w:w="6237" w:type="dxa"/>
          </w:tcPr>
          <w:p w14:paraId="01EBF8C9" w14:textId="77777777" w:rsidR="009C5EF3" w:rsidRDefault="00164FAA">
            <w:pPr>
              <w:adjustRightInd w:val="0"/>
              <w:snapToGrid w:val="0"/>
              <w:spacing w:line="360" w:lineRule="auto"/>
              <w:ind w:firstLineChars="100" w:firstLine="240"/>
              <w:jc w:val="both"/>
              <w:rPr>
                <w:rFonts w:ascii="Book Antiqua" w:hAnsi="Book Antiqua"/>
              </w:rPr>
            </w:pPr>
            <w:r>
              <w:rPr>
                <w:rFonts w:ascii="Book Antiqua" w:hAnsi="Book Antiqua"/>
              </w:rPr>
              <w:t>Gastrointestinal bleeding</w:t>
            </w:r>
          </w:p>
        </w:tc>
        <w:tc>
          <w:tcPr>
            <w:tcW w:w="2094" w:type="dxa"/>
          </w:tcPr>
          <w:p w14:paraId="54B3F223"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0476A575" w14:textId="77777777" w:rsidTr="00364A46">
        <w:trPr>
          <w:trHeight w:val="189"/>
        </w:trPr>
        <w:tc>
          <w:tcPr>
            <w:tcW w:w="6237" w:type="dxa"/>
          </w:tcPr>
          <w:p w14:paraId="0B06B571" w14:textId="77777777" w:rsidR="009C5EF3" w:rsidRDefault="00164FAA">
            <w:pPr>
              <w:adjustRightInd w:val="0"/>
              <w:snapToGrid w:val="0"/>
              <w:spacing w:line="360" w:lineRule="auto"/>
              <w:ind w:firstLineChars="100" w:firstLine="240"/>
              <w:jc w:val="both"/>
              <w:rPr>
                <w:rFonts w:ascii="Book Antiqua" w:hAnsi="Book Antiqua"/>
              </w:rPr>
            </w:pPr>
            <w:proofErr w:type="spellStart"/>
            <w:r>
              <w:rPr>
                <w:rFonts w:ascii="Book Antiqua" w:hAnsi="Book Antiqua"/>
              </w:rPr>
              <w:t>Lymphorrhea</w:t>
            </w:r>
            <w:proofErr w:type="spellEnd"/>
            <w:r>
              <w:rPr>
                <w:rFonts w:ascii="Book Antiqua" w:hAnsi="Book Antiqua"/>
              </w:rPr>
              <w:t xml:space="preserve"> requiring abdominocentesis</w:t>
            </w:r>
          </w:p>
        </w:tc>
        <w:tc>
          <w:tcPr>
            <w:tcW w:w="2094" w:type="dxa"/>
          </w:tcPr>
          <w:p w14:paraId="1B6B7510" w14:textId="77777777" w:rsidR="009C5EF3" w:rsidRDefault="00164FAA">
            <w:pPr>
              <w:adjustRightInd w:val="0"/>
              <w:snapToGrid w:val="0"/>
              <w:spacing w:line="360" w:lineRule="auto"/>
              <w:jc w:val="both"/>
              <w:rPr>
                <w:rFonts w:ascii="Book Antiqua" w:hAnsi="Book Antiqua"/>
              </w:rPr>
            </w:pPr>
            <w:r>
              <w:rPr>
                <w:rFonts w:ascii="Book Antiqua" w:hAnsi="Book Antiqua"/>
              </w:rPr>
              <w:t>1</w:t>
            </w:r>
          </w:p>
        </w:tc>
      </w:tr>
      <w:tr w:rsidR="009C5EF3" w14:paraId="2370BD42" w14:textId="77777777" w:rsidTr="00364A46">
        <w:trPr>
          <w:trHeight w:val="189"/>
        </w:trPr>
        <w:tc>
          <w:tcPr>
            <w:tcW w:w="6237" w:type="dxa"/>
          </w:tcPr>
          <w:p w14:paraId="56B62749" w14:textId="77777777" w:rsidR="009C5EF3" w:rsidRDefault="00164FAA">
            <w:pPr>
              <w:adjustRightInd w:val="0"/>
              <w:snapToGrid w:val="0"/>
              <w:spacing w:line="360" w:lineRule="auto"/>
              <w:jc w:val="both"/>
              <w:rPr>
                <w:rFonts w:ascii="Book Antiqua" w:hAnsi="Book Antiqua"/>
              </w:rPr>
            </w:pPr>
            <w:r>
              <w:rPr>
                <w:rFonts w:ascii="Book Antiqua" w:hAnsi="Book Antiqua"/>
              </w:rPr>
              <w:t>Grade IV</w:t>
            </w:r>
          </w:p>
        </w:tc>
        <w:tc>
          <w:tcPr>
            <w:tcW w:w="2094" w:type="dxa"/>
          </w:tcPr>
          <w:p w14:paraId="250DF4B0" w14:textId="77777777" w:rsidR="009C5EF3" w:rsidRDefault="00164FAA">
            <w:pPr>
              <w:adjustRightInd w:val="0"/>
              <w:snapToGrid w:val="0"/>
              <w:spacing w:line="360" w:lineRule="auto"/>
              <w:jc w:val="both"/>
              <w:rPr>
                <w:rFonts w:ascii="Book Antiqua" w:hAnsi="Book Antiqua"/>
              </w:rPr>
            </w:pPr>
            <w:r>
              <w:rPr>
                <w:rFonts w:ascii="Book Antiqua" w:hAnsi="Book Antiqua"/>
              </w:rPr>
              <w:t>0</w:t>
            </w:r>
          </w:p>
        </w:tc>
      </w:tr>
      <w:tr w:rsidR="009C5EF3" w14:paraId="3C4A107D" w14:textId="77777777" w:rsidTr="00364A46">
        <w:trPr>
          <w:trHeight w:val="189"/>
        </w:trPr>
        <w:tc>
          <w:tcPr>
            <w:tcW w:w="6237" w:type="dxa"/>
          </w:tcPr>
          <w:p w14:paraId="37196518" w14:textId="6059A184" w:rsidR="009C5EF3" w:rsidRDefault="00164FAA">
            <w:pPr>
              <w:adjustRightInd w:val="0"/>
              <w:snapToGrid w:val="0"/>
              <w:spacing w:line="360" w:lineRule="auto"/>
              <w:jc w:val="both"/>
              <w:rPr>
                <w:rFonts w:ascii="Book Antiqua" w:hAnsi="Book Antiqua"/>
              </w:rPr>
            </w:pPr>
            <w:r>
              <w:rPr>
                <w:rFonts w:ascii="Book Antiqua" w:hAnsi="Book Antiqua"/>
              </w:rPr>
              <w:t>Grade V, death</w:t>
            </w:r>
          </w:p>
        </w:tc>
        <w:tc>
          <w:tcPr>
            <w:tcW w:w="2094" w:type="dxa"/>
          </w:tcPr>
          <w:p w14:paraId="64481492" w14:textId="77777777" w:rsidR="009C5EF3" w:rsidRDefault="00164FAA">
            <w:pPr>
              <w:adjustRightInd w:val="0"/>
              <w:snapToGrid w:val="0"/>
              <w:spacing w:line="360" w:lineRule="auto"/>
              <w:jc w:val="both"/>
              <w:rPr>
                <w:rFonts w:ascii="Book Antiqua" w:hAnsi="Book Antiqua"/>
              </w:rPr>
            </w:pPr>
            <w:r>
              <w:rPr>
                <w:rFonts w:ascii="Book Antiqua" w:hAnsi="Book Antiqua"/>
              </w:rPr>
              <w:t>2</w:t>
            </w:r>
          </w:p>
        </w:tc>
      </w:tr>
      <w:tr w:rsidR="009C5EF3" w14:paraId="793F9DA5" w14:textId="77777777" w:rsidTr="00364A46">
        <w:trPr>
          <w:trHeight w:val="189"/>
        </w:trPr>
        <w:tc>
          <w:tcPr>
            <w:tcW w:w="6237" w:type="dxa"/>
          </w:tcPr>
          <w:p w14:paraId="00675106" w14:textId="77777777" w:rsidR="009C5EF3" w:rsidRDefault="00164FAA">
            <w:pPr>
              <w:adjustRightInd w:val="0"/>
              <w:snapToGrid w:val="0"/>
              <w:spacing w:line="360" w:lineRule="auto"/>
              <w:jc w:val="both"/>
              <w:rPr>
                <w:rFonts w:ascii="Book Antiqua" w:hAnsi="Book Antiqua"/>
              </w:rPr>
            </w:pPr>
            <w:r>
              <w:rPr>
                <w:rFonts w:ascii="Book Antiqua" w:hAnsi="Book Antiqua"/>
              </w:rPr>
              <w:t xml:space="preserve">Overall morbidity, </w:t>
            </w:r>
            <w:r>
              <w:rPr>
                <w:rFonts w:ascii="Book Antiqua" w:hAnsi="Book Antiqua"/>
                <w:i/>
                <w:iCs/>
              </w:rPr>
              <w:t>n</w:t>
            </w:r>
            <w:r>
              <w:rPr>
                <w:rFonts w:ascii="Book Antiqua" w:hAnsi="Book Antiqua"/>
              </w:rPr>
              <w:t>/total (%)</w:t>
            </w:r>
          </w:p>
        </w:tc>
        <w:tc>
          <w:tcPr>
            <w:tcW w:w="2094" w:type="dxa"/>
          </w:tcPr>
          <w:p w14:paraId="169BFCD8" w14:textId="77777777" w:rsidR="009C5EF3" w:rsidRDefault="00164FAA">
            <w:pPr>
              <w:adjustRightInd w:val="0"/>
              <w:snapToGrid w:val="0"/>
              <w:spacing w:line="360" w:lineRule="auto"/>
              <w:jc w:val="both"/>
              <w:rPr>
                <w:rFonts w:ascii="Book Antiqua" w:hAnsi="Book Antiqua"/>
              </w:rPr>
            </w:pPr>
            <w:r>
              <w:rPr>
                <w:rFonts w:ascii="Book Antiqua" w:hAnsi="Book Antiqua"/>
              </w:rPr>
              <w:t>10/26 (38.46)</w:t>
            </w:r>
          </w:p>
        </w:tc>
      </w:tr>
      <w:tr w:rsidR="009C5EF3" w14:paraId="7A5688E3" w14:textId="77777777" w:rsidTr="00364A46">
        <w:trPr>
          <w:trHeight w:val="40"/>
        </w:trPr>
        <w:tc>
          <w:tcPr>
            <w:tcW w:w="6237" w:type="dxa"/>
          </w:tcPr>
          <w:p w14:paraId="188FAD79" w14:textId="77777777" w:rsidR="009C5EF3" w:rsidRDefault="00164FAA">
            <w:pPr>
              <w:adjustRightInd w:val="0"/>
              <w:snapToGrid w:val="0"/>
              <w:spacing w:line="360" w:lineRule="auto"/>
              <w:jc w:val="both"/>
              <w:rPr>
                <w:rFonts w:ascii="Book Antiqua" w:hAnsi="Book Antiqua"/>
              </w:rPr>
            </w:pPr>
            <w:r>
              <w:rPr>
                <w:rFonts w:ascii="Book Antiqua" w:hAnsi="Book Antiqua"/>
              </w:rPr>
              <w:t xml:space="preserve">Overall mortality, </w:t>
            </w:r>
            <w:r>
              <w:rPr>
                <w:rFonts w:ascii="Book Antiqua" w:hAnsi="Book Antiqua"/>
                <w:i/>
                <w:iCs/>
              </w:rPr>
              <w:t>n</w:t>
            </w:r>
            <w:r>
              <w:rPr>
                <w:rFonts w:ascii="Book Antiqua" w:hAnsi="Book Antiqua"/>
              </w:rPr>
              <w:t>/total (%)</w:t>
            </w:r>
          </w:p>
        </w:tc>
        <w:tc>
          <w:tcPr>
            <w:tcW w:w="2094" w:type="dxa"/>
          </w:tcPr>
          <w:p w14:paraId="5AFEC19D" w14:textId="77777777" w:rsidR="009C5EF3" w:rsidRDefault="00164FAA">
            <w:pPr>
              <w:adjustRightInd w:val="0"/>
              <w:snapToGrid w:val="0"/>
              <w:spacing w:line="360" w:lineRule="auto"/>
              <w:jc w:val="both"/>
              <w:rPr>
                <w:rFonts w:ascii="Book Antiqua" w:hAnsi="Book Antiqua"/>
              </w:rPr>
            </w:pPr>
            <w:r>
              <w:rPr>
                <w:rFonts w:ascii="Book Antiqua" w:hAnsi="Book Antiqua"/>
              </w:rPr>
              <w:t>2/26 (7.69)</w:t>
            </w:r>
          </w:p>
        </w:tc>
      </w:tr>
    </w:tbl>
    <w:p w14:paraId="64CE5909" w14:textId="77777777" w:rsidR="009C5EF3" w:rsidRPr="00364A46" w:rsidRDefault="00164FAA">
      <w:pPr>
        <w:adjustRightInd w:val="0"/>
        <w:snapToGrid w:val="0"/>
        <w:spacing w:line="360" w:lineRule="auto"/>
        <w:jc w:val="both"/>
        <w:rPr>
          <w:rFonts w:ascii="Book Antiqua" w:hAnsi="Book Antiqua"/>
        </w:rPr>
      </w:pPr>
      <w:r>
        <w:rPr>
          <w:rFonts w:ascii="Book Antiqua" w:hAnsi="Book Antiqua"/>
        </w:rPr>
        <w:t xml:space="preserve">Data are expressed as </w:t>
      </w:r>
      <w:r>
        <w:rPr>
          <w:rFonts w:ascii="Book Antiqua" w:hAnsi="Book Antiqua"/>
          <w:i/>
          <w:iCs/>
        </w:rPr>
        <w:t>n</w:t>
      </w:r>
      <w:r>
        <w:rPr>
          <w:rFonts w:ascii="Book Antiqua" w:hAnsi="Book Antiqua"/>
        </w:rPr>
        <w:t>, unless otherwise indicated.</w:t>
      </w:r>
    </w:p>
    <w:sectPr w:rsidR="009C5EF3" w:rsidRPr="00364A4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F8E1" w14:textId="77777777" w:rsidR="00515F39" w:rsidRDefault="00515F39">
      <w:r>
        <w:separator/>
      </w:r>
    </w:p>
  </w:endnote>
  <w:endnote w:type="continuationSeparator" w:id="0">
    <w:p w14:paraId="1ADA2546" w14:textId="77777777" w:rsidR="00515F39" w:rsidRDefault="00515F39">
      <w:r>
        <w:continuationSeparator/>
      </w:r>
    </w:p>
  </w:endnote>
  <w:endnote w:type="continuationNotice" w:id="1">
    <w:p w14:paraId="21E98C3B" w14:textId="77777777" w:rsidR="00515F39" w:rsidRDefault="00515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523456"/>
    </w:sdtPr>
    <w:sdtContent>
      <w:sdt>
        <w:sdtPr>
          <w:id w:val="757638123"/>
        </w:sdtPr>
        <w:sdtContent>
          <w:p w14:paraId="6E970F84" w14:textId="77777777" w:rsidR="00280058" w:rsidRDefault="00F7262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43B1F0F" w14:textId="77777777" w:rsidR="00280058" w:rsidRDefault="00280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0737547"/>
      <w:docPartObj>
        <w:docPartGallery w:val="AutoText"/>
      </w:docPartObj>
    </w:sdtPr>
    <w:sdtContent>
      <w:sdt>
        <w:sdtPr>
          <w:rPr>
            <w:rFonts w:ascii="Book Antiqua" w:hAnsi="Book Antiqua"/>
            <w:sz w:val="24"/>
            <w:szCs w:val="24"/>
          </w:rPr>
          <w:id w:val="-1769616900"/>
          <w:docPartObj>
            <w:docPartGallery w:val="AutoText"/>
          </w:docPartObj>
        </w:sdtPr>
        <w:sdtContent>
          <w:p w14:paraId="058EE104" w14:textId="77777777" w:rsidR="009C5EF3" w:rsidRPr="00364A46" w:rsidRDefault="00164FAA" w:rsidP="00364A46">
            <w:pPr>
              <w:pStyle w:val="Footer"/>
              <w:jc w:val="right"/>
              <w:rPr>
                <w:rFonts w:ascii="Book Antiqua" w:hAnsi="Book Antiqua"/>
                <w:sz w:val="24"/>
              </w:rPr>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4675B" w14:textId="77777777" w:rsidR="00515F39" w:rsidRDefault="00515F39">
      <w:r>
        <w:separator/>
      </w:r>
    </w:p>
  </w:footnote>
  <w:footnote w:type="continuationSeparator" w:id="0">
    <w:p w14:paraId="4895E35C" w14:textId="77777777" w:rsidR="00515F39" w:rsidRDefault="00515F39">
      <w:r>
        <w:continuationSeparator/>
      </w:r>
    </w:p>
  </w:footnote>
  <w:footnote w:type="continuationNotice" w:id="1">
    <w:p w14:paraId="68AFCB5E" w14:textId="77777777" w:rsidR="00515F39" w:rsidRDefault="00515F39"/>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IzZmEyNDI3MmMwYzgzMGIxOGU2OWEwNjVlNzg2NTgifQ=="/>
  </w:docVars>
  <w:rsids>
    <w:rsidRoot w:val="00A77B3E"/>
    <w:rsid w:val="00084C95"/>
    <w:rsid w:val="000E0234"/>
    <w:rsid w:val="001142F3"/>
    <w:rsid w:val="00143CC4"/>
    <w:rsid w:val="001472A3"/>
    <w:rsid w:val="00164FAA"/>
    <w:rsid w:val="001C1517"/>
    <w:rsid w:val="001C4A45"/>
    <w:rsid w:val="00207F21"/>
    <w:rsid w:val="00213EDD"/>
    <w:rsid w:val="00226E12"/>
    <w:rsid w:val="00280058"/>
    <w:rsid w:val="00287EA7"/>
    <w:rsid w:val="002D4B7F"/>
    <w:rsid w:val="002E348F"/>
    <w:rsid w:val="00300950"/>
    <w:rsid w:val="00343BA7"/>
    <w:rsid w:val="00364A46"/>
    <w:rsid w:val="0037186D"/>
    <w:rsid w:val="003E12F3"/>
    <w:rsid w:val="00416404"/>
    <w:rsid w:val="00420DFA"/>
    <w:rsid w:val="0045541A"/>
    <w:rsid w:val="00463FA7"/>
    <w:rsid w:val="00481594"/>
    <w:rsid w:val="004901B8"/>
    <w:rsid w:val="004C6C40"/>
    <w:rsid w:val="005157C2"/>
    <w:rsid w:val="00515F39"/>
    <w:rsid w:val="0054600F"/>
    <w:rsid w:val="005A1DC4"/>
    <w:rsid w:val="00612BBD"/>
    <w:rsid w:val="00616C8A"/>
    <w:rsid w:val="00633DB8"/>
    <w:rsid w:val="006D6B74"/>
    <w:rsid w:val="0075730D"/>
    <w:rsid w:val="00762AFA"/>
    <w:rsid w:val="007F4BCC"/>
    <w:rsid w:val="00805683"/>
    <w:rsid w:val="00820CEB"/>
    <w:rsid w:val="00840161"/>
    <w:rsid w:val="00844DD3"/>
    <w:rsid w:val="008A11B6"/>
    <w:rsid w:val="008A32A7"/>
    <w:rsid w:val="008F0F61"/>
    <w:rsid w:val="00937B20"/>
    <w:rsid w:val="00953EE3"/>
    <w:rsid w:val="009C5EF3"/>
    <w:rsid w:val="00A77B3E"/>
    <w:rsid w:val="00AD03C0"/>
    <w:rsid w:val="00B27E83"/>
    <w:rsid w:val="00B5345B"/>
    <w:rsid w:val="00B5691B"/>
    <w:rsid w:val="00B71269"/>
    <w:rsid w:val="00C07857"/>
    <w:rsid w:val="00C659AE"/>
    <w:rsid w:val="00C825F6"/>
    <w:rsid w:val="00CA2A55"/>
    <w:rsid w:val="00CB4F94"/>
    <w:rsid w:val="00CB534E"/>
    <w:rsid w:val="00D31A93"/>
    <w:rsid w:val="00DF1A03"/>
    <w:rsid w:val="00E24328"/>
    <w:rsid w:val="00E33FC2"/>
    <w:rsid w:val="00E3454B"/>
    <w:rsid w:val="00E64F63"/>
    <w:rsid w:val="00EB0C30"/>
    <w:rsid w:val="00F56A2E"/>
    <w:rsid w:val="00F72623"/>
    <w:rsid w:val="00F901A3"/>
    <w:rsid w:val="00F96C14"/>
    <w:rsid w:val="00FA5127"/>
    <w:rsid w:val="159968FB"/>
    <w:rsid w:val="25382DA3"/>
    <w:rsid w:val="321D621A"/>
    <w:rsid w:val="3ADC7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50182"/>
  <w15:docId w15:val="{6AB2FEBA-359A-2B43-B4D8-EF9B16F4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qFormat/>
    <w:rsid w:val="00164FAA"/>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basedOn w:val="DefaultParagraphFont"/>
    <w:semiHidden/>
    <w:unhideWhenUsed/>
    <w:qFormat/>
    <w:rPr>
      <w:sz w:val="21"/>
      <w:szCs w:val="21"/>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Revision1">
    <w:name w:val="Revision1"/>
    <w:hidden/>
    <w:uiPriority w:val="99"/>
    <w:semiHidden/>
    <w:rPr>
      <w:sz w:val="24"/>
      <w:szCs w:val="24"/>
    </w:rPr>
  </w:style>
  <w:style w:type="paragraph" w:styleId="Revision">
    <w:name w:val="Revision"/>
    <w:hidden/>
    <w:uiPriority w:val="99"/>
    <w:semiHidden/>
    <w:rsid w:val="005A1D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C:/Users/Susie/Downloads/_ENREF_26"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hictr.org.cn" TargetMode="Externa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file:///C:/Users/Susie/Downloads/_ENREF_2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7095</Words>
  <Characters>40442</Characters>
  <Application>Microsoft Office Word</Application>
  <DocSecurity>0</DocSecurity>
  <Lines>337</Lines>
  <Paragraphs>94</Paragraphs>
  <ScaleCrop>false</ScaleCrop>
  <Company/>
  <LinksUpToDate>false</LinksUpToDate>
  <CharactersWithSpaces>47443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 Ma</cp:lastModifiedBy>
  <cp:revision>3</cp:revision>
  <dcterms:created xsi:type="dcterms:W3CDTF">2023-03-16T04:04:00Z</dcterms:created>
  <dcterms:modified xsi:type="dcterms:W3CDTF">2023-03-16T04:06:00Z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60AB1400FB414B32B6D7193BC0160FB2</vt:lpwstr>
  </property>
</Properties>
</file>