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0721B" w14:textId="77777777" w:rsidR="00BA6BF8"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Diabetes</w:t>
      </w:r>
    </w:p>
    <w:p w14:paraId="68863DE3" w14:textId="77777777" w:rsidR="00BA6BF8"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82701</w:t>
      </w:r>
    </w:p>
    <w:p w14:paraId="010123A2" w14:textId="77777777" w:rsidR="00BA6BF8"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REVIEW</w:t>
      </w:r>
    </w:p>
    <w:p w14:paraId="23C09C20" w14:textId="77777777" w:rsidR="00BA6BF8" w:rsidRDefault="00BA6BF8">
      <w:pPr>
        <w:spacing w:line="360" w:lineRule="auto"/>
        <w:jc w:val="both"/>
        <w:rPr>
          <w:rFonts w:ascii="Book Antiqua" w:hAnsi="Book Antiqua"/>
        </w:rPr>
      </w:pPr>
    </w:p>
    <w:p w14:paraId="2F3239CA" w14:textId="77777777" w:rsidR="00BA6BF8" w:rsidRDefault="00000000">
      <w:pPr>
        <w:spacing w:line="360" w:lineRule="auto"/>
        <w:jc w:val="both"/>
        <w:rPr>
          <w:rFonts w:ascii="Book Antiqua" w:hAnsi="Book Antiqua"/>
        </w:rPr>
      </w:pPr>
      <w:r>
        <w:rPr>
          <w:rFonts w:ascii="Book Antiqua" w:eastAsia="Book Antiqua" w:hAnsi="Book Antiqua" w:cs="Book Antiqua"/>
          <w:b/>
          <w:color w:val="000000"/>
        </w:rPr>
        <w:t>Genetics of diabetes</w:t>
      </w:r>
    </w:p>
    <w:p w14:paraId="34DFC846" w14:textId="77777777" w:rsidR="00BA6BF8" w:rsidRDefault="00BA6BF8">
      <w:pPr>
        <w:spacing w:line="360" w:lineRule="auto"/>
        <w:jc w:val="both"/>
        <w:rPr>
          <w:rFonts w:ascii="Book Antiqua" w:hAnsi="Book Antiqua"/>
        </w:rPr>
      </w:pPr>
    </w:p>
    <w:p w14:paraId="0812E503"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 xml:space="preserve">Goyal S </w:t>
      </w:r>
      <w:r>
        <w:rPr>
          <w:rFonts w:ascii="Book Antiqua" w:eastAsia="Book Antiqua" w:hAnsi="Book Antiqua" w:cs="Book Antiqua"/>
          <w:i/>
          <w:iCs/>
          <w:color w:val="000000"/>
        </w:rPr>
        <w:t>et al</w:t>
      </w:r>
      <w:r>
        <w:rPr>
          <w:rFonts w:ascii="Book Antiqua" w:eastAsia="Book Antiqua" w:hAnsi="Book Antiqua" w:cs="Book Antiqua"/>
          <w:color w:val="000000"/>
        </w:rPr>
        <w:t>. Genetics of diabetes</w:t>
      </w:r>
    </w:p>
    <w:p w14:paraId="57E84911" w14:textId="77777777" w:rsidR="00BA6BF8" w:rsidRDefault="00BA6BF8">
      <w:pPr>
        <w:spacing w:line="360" w:lineRule="auto"/>
        <w:jc w:val="both"/>
        <w:rPr>
          <w:rFonts w:ascii="Book Antiqua" w:hAnsi="Book Antiqua"/>
        </w:rPr>
      </w:pPr>
    </w:p>
    <w:p w14:paraId="0547F060" w14:textId="77777777" w:rsidR="00BA6BF8" w:rsidRDefault="00000000">
      <w:pPr>
        <w:spacing w:line="360" w:lineRule="auto"/>
        <w:jc w:val="both"/>
        <w:rPr>
          <w:rFonts w:ascii="Book Antiqua" w:hAnsi="Book Antiqua"/>
          <w:lang w:val="it-IT"/>
        </w:rPr>
      </w:pPr>
      <w:r>
        <w:rPr>
          <w:rFonts w:ascii="Book Antiqua" w:eastAsia="Book Antiqua" w:hAnsi="Book Antiqua" w:cs="Book Antiqua"/>
          <w:color w:val="000000"/>
          <w:lang w:val="it-IT"/>
        </w:rPr>
        <w:t>Shiwali Goyal, Jyoti Rani, Mohd Akbar Bhat, Vanita Vanita</w:t>
      </w:r>
    </w:p>
    <w:p w14:paraId="33DD50EB" w14:textId="77777777" w:rsidR="00BA6BF8" w:rsidRDefault="00BA6BF8">
      <w:pPr>
        <w:spacing w:line="360" w:lineRule="auto"/>
        <w:jc w:val="both"/>
        <w:rPr>
          <w:rFonts w:ascii="Book Antiqua" w:hAnsi="Book Antiqua"/>
          <w:lang w:val="it-IT"/>
        </w:rPr>
      </w:pPr>
    </w:p>
    <w:p w14:paraId="4C760A22" w14:textId="77777777" w:rsidR="00BA6BF8" w:rsidRDefault="00000000">
      <w:pPr>
        <w:spacing w:line="360" w:lineRule="auto"/>
        <w:jc w:val="both"/>
        <w:rPr>
          <w:rFonts w:ascii="Book Antiqua" w:hAnsi="Book Antiqua"/>
        </w:rPr>
      </w:pPr>
      <w:r>
        <w:rPr>
          <w:rFonts w:ascii="Book Antiqua" w:eastAsia="Book Antiqua" w:hAnsi="Book Antiqua" w:cs="Book Antiqua"/>
          <w:b/>
          <w:bCs/>
          <w:color w:val="000000"/>
        </w:rPr>
        <w:t xml:space="preserve">Shiwali Goyal, </w:t>
      </w:r>
      <w:r>
        <w:rPr>
          <w:rFonts w:ascii="Book Antiqua" w:eastAsia="Book Antiqua" w:hAnsi="Book Antiqua" w:cs="Book Antiqua"/>
          <w:color w:val="000000"/>
        </w:rPr>
        <w:t>Department of Ophthalmic Genetics and Visual Function Branch, National Eye Institute, Rockville, MD 20852, United States</w:t>
      </w:r>
    </w:p>
    <w:p w14:paraId="676F8E1F" w14:textId="77777777" w:rsidR="00BA6BF8" w:rsidRDefault="00BA6BF8">
      <w:pPr>
        <w:spacing w:line="360" w:lineRule="auto"/>
        <w:jc w:val="both"/>
        <w:rPr>
          <w:rFonts w:ascii="Book Antiqua" w:hAnsi="Book Antiqua"/>
        </w:rPr>
      </w:pPr>
    </w:p>
    <w:p w14:paraId="3DAC17F3" w14:textId="77777777" w:rsidR="00BA6BF8" w:rsidRDefault="00000000">
      <w:pPr>
        <w:spacing w:line="360" w:lineRule="auto"/>
        <w:jc w:val="both"/>
        <w:rPr>
          <w:rFonts w:ascii="Book Antiqua" w:hAnsi="Book Antiqua"/>
        </w:rPr>
      </w:pPr>
      <w:r>
        <w:rPr>
          <w:rFonts w:ascii="Book Antiqua" w:eastAsia="Book Antiqua" w:hAnsi="Book Antiqua" w:cs="Book Antiqua"/>
          <w:b/>
          <w:bCs/>
          <w:color w:val="000000"/>
        </w:rPr>
        <w:t xml:space="preserve">Jyoti Rani, Vanita Vanita, </w:t>
      </w:r>
      <w:r>
        <w:rPr>
          <w:rFonts w:ascii="Book Antiqua" w:eastAsia="Book Antiqua" w:hAnsi="Book Antiqua" w:cs="Book Antiqua"/>
          <w:color w:val="000000"/>
        </w:rPr>
        <w:t>Department of Human Genetics, Guru Nanak Dev University, Amritsar 143005, Punjab, India</w:t>
      </w:r>
    </w:p>
    <w:p w14:paraId="0E1F9335" w14:textId="77777777" w:rsidR="00BA6BF8" w:rsidRDefault="00BA6BF8">
      <w:pPr>
        <w:spacing w:line="360" w:lineRule="auto"/>
        <w:jc w:val="both"/>
        <w:rPr>
          <w:rFonts w:ascii="Book Antiqua" w:hAnsi="Book Antiqua"/>
        </w:rPr>
      </w:pPr>
    </w:p>
    <w:p w14:paraId="6C5F0821" w14:textId="77777777" w:rsidR="00BA6BF8" w:rsidRDefault="00000000">
      <w:pPr>
        <w:spacing w:line="360" w:lineRule="auto"/>
        <w:jc w:val="both"/>
        <w:rPr>
          <w:rFonts w:ascii="Book Antiqua" w:hAnsi="Book Antiqua"/>
        </w:rPr>
      </w:pPr>
      <w:r>
        <w:rPr>
          <w:rFonts w:ascii="Book Antiqua" w:eastAsia="Book Antiqua" w:hAnsi="Book Antiqua" w:cs="Book Antiqua"/>
          <w:b/>
          <w:bCs/>
          <w:color w:val="000000"/>
        </w:rPr>
        <w:t xml:space="preserve">Mohd Akbar Bhat, </w:t>
      </w:r>
      <w:r>
        <w:rPr>
          <w:rFonts w:ascii="Book Antiqua" w:eastAsia="Book Antiqua" w:hAnsi="Book Antiqua" w:cs="Book Antiqua"/>
          <w:color w:val="000000"/>
        </w:rPr>
        <w:t>Department of Ophthalmology, Georgetown University Medical Center, Washington DC, DC 20057, United States</w:t>
      </w:r>
    </w:p>
    <w:p w14:paraId="14C7DCD1" w14:textId="77777777" w:rsidR="00BA6BF8" w:rsidRDefault="00BA6BF8">
      <w:pPr>
        <w:spacing w:line="360" w:lineRule="auto"/>
        <w:jc w:val="both"/>
        <w:rPr>
          <w:rFonts w:ascii="Book Antiqua" w:hAnsi="Book Antiqua"/>
        </w:rPr>
      </w:pPr>
    </w:p>
    <w:p w14:paraId="526EF718" w14:textId="77777777" w:rsidR="00BA6BF8"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Goyal S, Rani J, Bhat MA, Vanita V contributed data collection; Goyal S, Rani J, Bhat MA, Vanita V contributed manuscript writing; Vanita V contributed to edit the manuscript; All the authors have read and approved the final version of this manuscript.</w:t>
      </w:r>
    </w:p>
    <w:p w14:paraId="060A4444" w14:textId="77777777" w:rsidR="00BA6BF8" w:rsidRDefault="00BA6BF8">
      <w:pPr>
        <w:spacing w:line="360" w:lineRule="auto"/>
        <w:jc w:val="both"/>
        <w:rPr>
          <w:rFonts w:ascii="Book Antiqua" w:hAnsi="Book Antiqua"/>
          <w:lang w:val="en-GB"/>
        </w:rPr>
      </w:pPr>
    </w:p>
    <w:p w14:paraId="52E9916F" w14:textId="77777777" w:rsidR="00BA6BF8"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Vanita Vanita, PhD, Professor, </w:t>
      </w:r>
      <w:r>
        <w:rPr>
          <w:rFonts w:ascii="Book Antiqua" w:eastAsia="Book Antiqua" w:hAnsi="Book Antiqua" w:cs="Book Antiqua"/>
          <w:color w:val="000000"/>
        </w:rPr>
        <w:t>Department of Human Genetics, Guru Nanak Dev University, GT Road, Amritsar 143005, Punjab, India. vanita.humangenetics@gmail.com</w:t>
      </w:r>
    </w:p>
    <w:p w14:paraId="657D3A05" w14:textId="77777777" w:rsidR="00BA6BF8" w:rsidRDefault="00BA6BF8">
      <w:pPr>
        <w:spacing w:line="360" w:lineRule="auto"/>
        <w:jc w:val="both"/>
        <w:rPr>
          <w:rFonts w:ascii="Book Antiqua" w:hAnsi="Book Antiqua"/>
        </w:rPr>
      </w:pPr>
    </w:p>
    <w:p w14:paraId="1027C4D6" w14:textId="77777777" w:rsidR="00BA6BF8"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December 26, 2022</w:t>
      </w:r>
    </w:p>
    <w:p w14:paraId="60B6F23F" w14:textId="77777777" w:rsidR="00BA6BF8"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Revised: </w:t>
      </w:r>
      <w:r>
        <w:rPr>
          <w:rFonts w:ascii="Book Antiqua" w:eastAsia="Book Antiqua" w:hAnsi="Book Antiqua" w:cs="Book Antiqua"/>
        </w:rPr>
        <w:t>March 13, 2023</w:t>
      </w:r>
    </w:p>
    <w:p w14:paraId="6578570A" w14:textId="77777777" w:rsidR="00BA6BF8"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April 17, 2023</w:t>
      </w:r>
    </w:p>
    <w:p w14:paraId="54B01A03" w14:textId="77777777" w:rsidR="00BA6BF8"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rPr>
        <w:t>June</w:t>
      </w:r>
      <w:r>
        <w:rPr>
          <w:rFonts w:ascii="Book Antiqua" w:eastAsia="宋体" w:hAnsi="Book Antiqua" w:cs="Book Antiqua" w:hint="eastAsia"/>
          <w:lang w:eastAsia="zh-CN"/>
        </w:rPr>
        <w:t xml:space="preserve"> </w:t>
      </w:r>
      <w:r>
        <w:rPr>
          <w:rFonts w:ascii="Book Antiqua" w:eastAsia="Book Antiqua" w:hAnsi="Book Antiqua" w:cs="Book Antiqua"/>
        </w:rPr>
        <w:t>15,</w:t>
      </w:r>
      <w:r>
        <w:rPr>
          <w:rFonts w:ascii="Book Antiqua" w:eastAsia="宋体" w:hAnsi="Book Antiqua" w:cs="Book Antiqua" w:hint="eastAsia"/>
          <w:lang w:eastAsia="zh-CN"/>
        </w:rPr>
        <w:t xml:space="preserve"> </w:t>
      </w:r>
      <w:r>
        <w:rPr>
          <w:rFonts w:ascii="Book Antiqua" w:eastAsia="Book Antiqua" w:hAnsi="Book Antiqua" w:cs="Book Antiqua"/>
        </w:rPr>
        <w:t>2023</w:t>
      </w:r>
    </w:p>
    <w:p w14:paraId="02E2B6D7" w14:textId="77777777" w:rsidR="00BA6BF8" w:rsidRDefault="00BA6BF8">
      <w:pPr>
        <w:spacing w:line="360" w:lineRule="auto"/>
        <w:jc w:val="both"/>
        <w:rPr>
          <w:rFonts w:ascii="Book Antiqua" w:hAnsi="Book Antiqua"/>
        </w:rPr>
        <w:sectPr w:rsidR="00BA6BF8">
          <w:footerReference w:type="default" r:id="rId7"/>
          <w:pgSz w:w="12240" w:h="15840"/>
          <w:pgMar w:top="1440" w:right="1440" w:bottom="1440" w:left="1440" w:header="720" w:footer="720" w:gutter="0"/>
          <w:cols w:space="720"/>
          <w:docGrid w:linePitch="360"/>
        </w:sectPr>
      </w:pPr>
    </w:p>
    <w:p w14:paraId="4E8D1019" w14:textId="77777777" w:rsidR="00BA6BF8"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4AF7F8E"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Diabetes mellitus is a complicated disease characterized by a complex interplay of genetic, epigenetic, and environmental variables. It is one of the world's fastest-growing diseases, with 783 million adults expected to be affected by 2045. Devastating macrovascular consequences (cerebrovascular disease, cardiovascular disease, and peripheral vascular disease) and microvascular complications (like retinopathy, nephropathy, and neuropathy) increase mortality, blindness, kidney failure, and overall quality of life in individuals with diabetes. Clinical risk factors and glycemic management alone cannot predict the development of vascular problems; multiple genetic investigations have revealed a clear hereditary component to both diabetes and its related complications. In the twenty-first century, technological advancements (genome-wide association studies, next-generation sequencing, and exome-sequencing) have led to the identification of genetic variants associated with diabetes, however, these variants can only explain a small proportion of the total heritability of the condition. In this review, we address some of the likely explanations for this "missing heritability", for diabetes such as the significance of uncommon variants, gene-environment interactions, and epigenetics. Current discoveries clinical value, management of diabetes, and future research directions are also discussed.</w:t>
      </w:r>
    </w:p>
    <w:p w14:paraId="2BBD275B" w14:textId="77777777" w:rsidR="00BA6BF8" w:rsidRDefault="00BA6BF8">
      <w:pPr>
        <w:spacing w:line="360" w:lineRule="auto"/>
        <w:jc w:val="both"/>
        <w:rPr>
          <w:rFonts w:ascii="Book Antiqua" w:hAnsi="Book Antiqua"/>
        </w:rPr>
      </w:pPr>
    </w:p>
    <w:p w14:paraId="129B8D73" w14:textId="77777777" w:rsidR="00BA6BF8"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Type 1 diabetes; Type 2 diabetes; Gestational diabetes mellitus; </w:t>
      </w:r>
      <w:r>
        <w:rPr>
          <w:rFonts w:ascii="Book Antiqua" w:eastAsia="Book Antiqua" w:hAnsi="Book Antiqua" w:cs="Book Antiqua"/>
          <w:color w:val="000000"/>
        </w:rPr>
        <w:t>Maturity-onset diabetes of young</w:t>
      </w:r>
      <w:r>
        <w:rPr>
          <w:rFonts w:ascii="Book Antiqua" w:eastAsia="Book Antiqua" w:hAnsi="Book Antiqua" w:cs="Book Antiqua"/>
        </w:rPr>
        <w:t>; Genome-wide association studies; Common variants; Rare variants</w:t>
      </w:r>
    </w:p>
    <w:p w14:paraId="764378B0" w14:textId="77777777" w:rsidR="007131DD" w:rsidRDefault="007131DD" w:rsidP="007131DD">
      <w:bookmarkStart w:id="0" w:name="_Hlk137061568"/>
    </w:p>
    <w:p w14:paraId="1579E9AE" w14:textId="77777777" w:rsidR="007131DD" w:rsidRDefault="007131DD" w:rsidP="007131DD">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bookmarkEnd w:id="0"/>
    <w:p w14:paraId="748E41E0" w14:textId="77777777" w:rsidR="00BA6BF8" w:rsidRDefault="00BA6BF8">
      <w:pPr>
        <w:spacing w:line="360" w:lineRule="auto"/>
        <w:jc w:val="both"/>
        <w:rPr>
          <w:rFonts w:ascii="Book Antiqua" w:hAnsi="Book Antiqua"/>
        </w:rPr>
      </w:pPr>
    </w:p>
    <w:p w14:paraId="5C7D04AB" w14:textId="5982A4F1" w:rsidR="007131DD" w:rsidRDefault="007131DD">
      <w:pPr>
        <w:spacing w:line="360" w:lineRule="auto"/>
        <w:jc w:val="both"/>
        <w:rPr>
          <w:rFonts w:ascii="Book Antiqua" w:eastAsia="Book Antiqua" w:hAnsi="Book Antiqua" w:cs="Book Antiqua"/>
        </w:rPr>
      </w:pPr>
      <w:r w:rsidRPr="00484FF4">
        <w:rPr>
          <w:rFonts w:ascii="Book Antiqua" w:eastAsia="Book Antiqua" w:hAnsi="Book Antiqua" w:cs="Book Antiqua"/>
          <w:b/>
          <w:bCs/>
        </w:rPr>
        <w:t>Citation</w:t>
      </w:r>
      <w:r>
        <w:rPr>
          <w:rFonts w:ascii="Book Antiqua" w:eastAsia="Book Antiqua" w:hAnsi="Book Antiqua" w:cs="Book Antiqua"/>
        </w:rPr>
        <w:t xml:space="preserve">: Goyal S, Rani J, Bhat MA, Vanita V. Genetics of diabetes. </w:t>
      </w:r>
      <w:r>
        <w:rPr>
          <w:rFonts w:ascii="Book Antiqua" w:eastAsia="Book Antiqua" w:hAnsi="Book Antiqua" w:cs="Book Antiqua"/>
          <w:i/>
          <w:iCs/>
        </w:rPr>
        <w:t>World J Diabetes</w:t>
      </w:r>
      <w:r>
        <w:rPr>
          <w:rFonts w:ascii="Book Antiqua" w:eastAsia="Book Antiqua" w:hAnsi="Book Antiqua" w:cs="Book Antiqua"/>
        </w:rPr>
        <w:t xml:space="preserve"> 2023; </w:t>
      </w:r>
      <w:r>
        <w:rPr>
          <w:rFonts w:ascii="Book Antiqua" w:eastAsia="Book Antiqua" w:hAnsi="Book Antiqua" w:cs="Book Antiqua" w:hint="eastAsia"/>
        </w:rPr>
        <w:t>1</w:t>
      </w:r>
      <w:r>
        <w:rPr>
          <w:rFonts w:ascii="Book Antiqua" w:eastAsia="宋体" w:hAnsi="Book Antiqua" w:cs="Book Antiqua" w:hint="eastAsia"/>
          <w:lang w:eastAsia="zh-CN"/>
        </w:rPr>
        <w:t>4</w:t>
      </w:r>
      <w:r>
        <w:rPr>
          <w:rFonts w:ascii="Book Antiqua" w:eastAsia="Book Antiqua" w:hAnsi="Book Antiqua" w:cs="Book Antiqua" w:hint="eastAsia"/>
        </w:rPr>
        <w:t>(</w:t>
      </w:r>
      <w:r>
        <w:rPr>
          <w:rFonts w:ascii="Book Antiqua" w:eastAsia="宋体" w:hAnsi="Book Antiqua" w:cs="Book Antiqua" w:hint="eastAsia"/>
          <w:lang w:eastAsia="zh-CN"/>
        </w:rPr>
        <w:t>6</w:t>
      </w:r>
      <w:r>
        <w:rPr>
          <w:rFonts w:ascii="Book Antiqua" w:eastAsia="Book Antiqua" w:hAnsi="Book Antiqua" w:cs="Book Antiqua" w:hint="eastAsia"/>
        </w:rPr>
        <w:t xml:space="preserve">): </w:t>
      </w:r>
      <w:r w:rsidRPr="007131DD">
        <w:rPr>
          <w:rFonts w:ascii="Book Antiqua" w:eastAsia="Book Antiqua" w:hAnsi="Book Antiqua" w:cs="Book Antiqua"/>
        </w:rPr>
        <w:t>656-679</w:t>
      </w:r>
    </w:p>
    <w:p w14:paraId="620455F2" w14:textId="15842F34" w:rsidR="007131DD" w:rsidRDefault="00000000">
      <w:pPr>
        <w:spacing w:line="360" w:lineRule="auto"/>
        <w:jc w:val="both"/>
        <w:rPr>
          <w:rFonts w:ascii="Book Antiqua" w:eastAsia="Book Antiqua" w:hAnsi="Book Antiqua" w:cs="Book Antiqua"/>
        </w:rPr>
      </w:pPr>
      <w:r w:rsidRPr="007131DD">
        <w:rPr>
          <w:rFonts w:ascii="Book Antiqua" w:eastAsia="Book Antiqua" w:hAnsi="Book Antiqua" w:cs="Book Antiqua" w:hint="eastAsia"/>
          <w:b/>
          <w:bCs/>
        </w:rPr>
        <w:t>URL</w:t>
      </w:r>
      <w:r>
        <w:rPr>
          <w:rFonts w:ascii="Book Antiqua" w:eastAsia="Book Antiqua" w:hAnsi="Book Antiqua" w:cs="Book Antiqua" w:hint="eastAsia"/>
        </w:rPr>
        <w:t>: https://www.wjgnet.com/1948-9358/full/v1</w:t>
      </w:r>
      <w:r>
        <w:rPr>
          <w:rFonts w:ascii="Book Antiqua" w:eastAsia="宋体" w:hAnsi="Book Antiqua" w:cs="Book Antiqua" w:hint="eastAsia"/>
          <w:lang w:eastAsia="zh-CN"/>
        </w:rPr>
        <w:t>4</w:t>
      </w:r>
      <w:r>
        <w:rPr>
          <w:rFonts w:ascii="Book Antiqua" w:eastAsia="Book Antiqua" w:hAnsi="Book Antiqua" w:cs="Book Antiqua" w:hint="eastAsia"/>
        </w:rPr>
        <w:t>/i</w:t>
      </w:r>
      <w:r>
        <w:rPr>
          <w:rFonts w:ascii="Book Antiqua" w:eastAsia="宋体" w:hAnsi="Book Antiqua" w:cs="Book Antiqua" w:hint="eastAsia"/>
          <w:lang w:eastAsia="zh-CN"/>
        </w:rPr>
        <w:t>6</w:t>
      </w:r>
      <w:r>
        <w:rPr>
          <w:rFonts w:ascii="Book Antiqua" w:eastAsia="Book Antiqua" w:hAnsi="Book Antiqua" w:cs="Book Antiqua" w:hint="eastAsia"/>
        </w:rPr>
        <w:t>/</w:t>
      </w:r>
      <w:r w:rsidR="007131DD" w:rsidRPr="007131DD">
        <w:rPr>
          <w:rFonts w:ascii="Book Antiqua" w:eastAsia="Book Antiqua" w:hAnsi="Book Antiqua" w:cs="Book Antiqua"/>
        </w:rPr>
        <w:t>656</w:t>
      </w:r>
      <w:r>
        <w:rPr>
          <w:rFonts w:ascii="Book Antiqua" w:eastAsia="Book Antiqua" w:hAnsi="Book Antiqua" w:cs="Book Antiqua" w:hint="eastAsia"/>
        </w:rPr>
        <w:t>.htm</w:t>
      </w:r>
    </w:p>
    <w:p w14:paraId="10822B0F" w14:textId="0E235A82" w:rsidR="00BA6BF8" w:rsidRDefault="00000000" w:rsidP="007131DD">
      <w:pPr>
        <w:spacing w:line="360" w:lineRule="auto"/>
        <w:jc w:val="both"/>
        <w:rPr>
          <w:rFonts w:ascii="Book Antiqua" w:hAnsi="Book Antiqua"/>
        </w:rPr>
      </w:pPr>
      <w:r w:rsidRPr="007131DD">
        <w:rPr>
          <w:rFonts w:ascii="Book Antiqua" w:eastAsia="Book Antiqua" w:hAnsi="Book Antiqua" w:cs="Book Antiqua" w:hint="eastAsia"/>
          <w:b/>
          <w:bCs/>
        </w:rPr>
        <w:lastRenderedPageBreak/>
        <w:t>DOI</w:t>
      </w:r>
      <w:r>
        <w:rPr>
          <w:rFonts w:ascii="Book Antiqua" w:eastAsia="Book Antiqua" w:hAnsi="Book Antiqua" w:cs="Book Antiqua" w:hint="eastAsia"/>
        </w:rPr>
        <w:t>: https://dx.doi.org/10.4239/wjd.v1</w:t>
      </w:r>
      <w:r>
        <w:rPr>
          <w:rFonts w:ascii="Book Antiqua" w:eastAsia="宋体" w:hAnsi="Book Antiqua" w:cs="Book Antiqua" w:hint="eastAsia"/>
          <w:lang w:eastAsia="zh-CN"/>
        </w:rPr>
        <w:t>4</w:t>
      </w:r>
      <w:r>
        <w:rPr>
          <w:rFonts w:ascii="Book Antiqua" w:eastAsia="Book Antiqua" w:hAnsi="Book Antiqua" w:cs="Book Antiqua" w:hint="eastAsia"/>
        </w:rPr>
        <w:t>.i</w:t>
      </w:r>
      <w:r>
        <w:rPr>
          <w:rFonts w:ascii="Book Antiqua" w:eastAsia="宋体" w:hAnsi="Book Antiqua" w:cs="Book Antiqua" w:hint="eastAsia"/>
          <w:lang w:eastAsia="zh-CN"/>
        </w:rPr>
        <w:t>6</w:t>
      </w:r>
      <w:r>
        <w:rPr>
          <w:rFonts w:ascii="Book Antiqua" w:eastAsia="Book Antiqua" w:hAnsi="Book Antiqua" w:cs="Book Antiqua" w:hint="eastAsia"/>
        </w:rPr>
        <w:t>.</w:t>
      </w:r>
      <w:r w:rsidR="007131DD" w:rsidRPr="007131DD">
        <w:rPr>
          <w:rFonts w:ascii="Book Antiqua" w:eastAsia="Book Antiqua" w:hAnsi="Book Antiqua" w:cs="Book Antiqua"/>
        </w:rPr>
        <w:t>656</w:t>
      </w:r>
    </w:p>
    <w:p w14:paraId="6CBA9B83" w14:textId="77777777" w:rsidR="00BA6BF8" w:rsidRDefault="00BA6BF8">
      <w:pPr>
        <w:spacing w:line="360" w:lineRule="auto"/>
        <w:jc w:val="both"/>
        <w:rPr>
          <w:rFonts w:ascii="Book Antiqua" w:hAnsi="Book Antiqua"/>
          <w:lang w:eastAsia="zh-CN"/>
        </w:rPr>
      </w:pPr>
    </w:p>
    <w:p w14:paraId="4DECF237" w14:textId="77777777" w:rsidR="00BA6BF8"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Diabetes pathogenesis encompasses genetic, epigenetic, and environmental variables and their interactions. To date, the examined common variations can explain just a small portion of the heritability of diabetes. Furthermore, the technique of integrating the associated variants as a type of genetic risk score does not accurately predict diabetes risk. As a result, the trend for genetic risk factors for diabetes is shifting from common to rare variants. Aside from genetic variables, systemic data from other transomics such as epigenomics, transcriptomics, proteomics, metabolomics, and metagenomics will contribute to a better understanding of genetic determinants in the progression of metabolic illnesses like diabetes. Technological, computational, and collaborative developments continue to uncover novel genetic diabetes risk factors. There are high prospects for tailored diabetes treatment in the future, based on increased knowledge of the molecular genetic profile of the patients.</w:t>
      </w:r>
    </w:p>
    <w:p w14:paraId="16150B1D" w14:textId="77777777" w:rsidR="00BA6BF8" w:rsidRDefault="00BA6BF8">
      <w:pPr>
        <w:spacing w:line="360" w:lineRule="auto"/>
        <w:jc w:val="both"/>
        <w:rPr>
          <w:rFonts w:ascii="Book Antiqua" w:hAnsi="Book Antiqua"/>
        </w:rPr>
      </w:pPr>
    </w:p>
    <w:p w14:paraId="405816ED" w14:textId="77777777" w:rsidR="00BA6BF8"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0E744F34"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Diabetes mellitus (DM) is a set of diverse metabolic illnesses characterized by disturbances in the metabolism of glucose, resulting in hyperglycemia and glucose intolerance. Diabetes can occur either by the failure of the body to produce insulin, resistance to the action of insulin, or both</w:t>
      </w:r>
      <w:r>
        <w:rPr>
          <w:rFonts w:ascii="Book Antiqua" w:eastAsia="Book Antiqua" w:hAnsi="Book Antiqua" w:cs="Book Antiqua"/>
          <w:color w:val="000000"/>
          <w:vertAlign w:val="superscript"/>
        </w:rPr>
        <w:t>[1,2]</w:t>
      </w:r>
      <w:r>
        <w:rPr>
          <w:rFonts w:ascii="Book Antiqua" w:eastAsia="Book Antiqua" w:hAnsi="Book Antiqua" w:cs="Book Antiqua"/>
          <w:color w:val="000000"/>
        </w:rPr>
        <w:t>. DM is one of the most common endocrinological disorders worldwide. Its prevalence is rising because of physiological risk factors such as socioeconomic level, stress, obesity, hyperlipidemia, and hypertension. In addition to these, changes in behavioral patterns such as unhealthy lifestyles and eating habits can contribute significantly to the pathogenesis of diabetes</w:t>
      </w:r>
      <w:r>
        <w:rPr>
          <w:rFonts w:ascii="Book Antiqua" w:eastAsia="Book Antiqua" w:hAnsi="Book Antiqua" w:cs="Book Antiqua"/>
          <w:color w:val="000000"/>
          <w:vertAlign w:val="superscript"/>
        </w:rPr>
        <w:t>[3]</w:t>
      </w:r>
      <w:r>
        <w:rPr>
          <w:rFonts w:ascii="Book Antiqua" w:eastAsia="Book Antiqua" w:hAnsi="Book Antiqua" w:cs="Book Antiqua"/>
          <w:color w:val="000000"/>
        </w:rPr>
        <w:t>. DM has a devastating effect on different organs of the body such as the heart, kidneys, nerves, and eyes, and can lead to the development of various long-term microvascular or macrovascular complications</w:t>
      </w:r>
      <w:r>
        <w:rPr>
          <w:rFonts w:ascii="Book Antiqua" w:eastAsia="Book Antiqua" w:hAnsi="Book Antiqua" w:cs="Book Antiqua"/>
          <w:color w:val="000000"/>
          <w:vertAlign w:val="superscript"/>
        </w:rPr>
        <w:t>[4,5]</w:t>
      </w:r>
      <w:r>
        <w:rPr>
          <w:rFonts w:ascii="Book Antiqua" w:eastAsia="Book Antiqua" w:hAnsi="Book Antiqua" w:cs="Book Antiqua"/>
          <w:color w:val="000000"/>
        </w:rPr>
        <w:t>. The rapid global increase in instances of diabetes, which affects people's life expectancy and quality of life, places a significant public health burden on society</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1F0F2DD9" w14:textId="77777777" w:rsidR="00BA6BF8" w:rsidRDefault="00BA6BF8">
      <w:pPr>
        <w:spacing w:line="360" w:lineRule="auto"/>
        <w:jc w:val="both"/>
        <w:rPr>
          <w:rFonts w:ascii="Book Antiqua" w:hAnsi="Book Antiqua"/>
        </w:rPr>
      </w:pPr>
    </w:p>
    <w:p w14:paraId="245E9AE7" w14:textId="77777777" w:rsidR="00BA6BF8" w:rsidRDefault="00000000">
      <w:pPr>
        <w:spacing w:line="360" w:lineRule="auto"/>
        <w:jc w:val="both"/>
        <w:rPr>
          <w:rFonts w:ascii="Book Antiqua" w:hAnsi="Book Antiqua"/>
        </w:rPr>
      </w:pPr>
      <w:r>
        <w:rPr>
          <w:rFonts w:ascii="Book Antiqua" w:eastAsia="Book Antiqua" w:hAnsi="Book Antiqua" w:cs="Book Antiqua"/>
          <w:b/>
          <w:bCs/>
          <w:caps/>
          <w:color w:val="000000"/>
          <w:u w:val="single"/>
        </w:rPr>
        <w:t>Classification of Diabetes Mellitus</w:t>
      </w:r>
    </w:p>
    <w:p w14:paraId="5C6944D1"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 xml:space="preserve">DM can be broadly classified into four types (Figure 1) </w:t>
      </w:r>
      <w:r>
        <w:rPr>
          <w:rFonts w:ascii="Book Antiqua" w:eastAsia="Book Antiqua" w:hAnsi="Book Antiqua" w:cs="Book Antiqua"/>
          <w:i/>
          <w:iCs/>
          <w:color w:val="000000"/>
        </w:rPr>
        <w:t>i.e.</w:t>
      </w:r>
      <w:r>
        <w:rPr>
          <w:rFonts w:ascii="Book Antiqua" w:eastAsia="Book Antiqua" w:hAnsi="Book Antiqua" w:cs="Book Antiqua"/>
          <w:color w:val="000000"/>
        </w:rPr>
        <w:t>, type 1 DM (T1DM), type 2 DM (T2DM), gestational DM (GDM), and maturity-onset diabetes of young (MODY)</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Of these, T2DM is the most prevalent form of diabetes accounting for 90% of all cases worldwide. </w:t>
      </w:r>
    </w:p>
    <w:p w14:paraId="4D81E8E8" w14:textId="77777777" w:rsidR="00BA6BF8" w:rsidRDefault="00BA6BF8">
      <w:pPr>
        <w:spacing w:line="360" w:lineRule="auto"/>
        <w:jc w:val="both"/>
        <w:rPr>
          <w:rFonts w:ascii="Book Antiqua" w:hAnsi="Book Antiqua"/>
        </w:rPr>
      </w:pPr>
    </w:p>
    <w:p w14:paraId="0BD0E41A" w14:textId="77777777" w:rsidR="00BA6BF8" w:rsidRDefault="00000000">
      <w:pPr>
        <w:spacing w:line="360" w:lineRule="auto"/>
        <w:jc w:val="both"/>
        <w:rPr>
          <w:rFonts w:ascii="Book Antiqua" w:hAnsi="Book Antiqua"/>
        </w:rPr>
      </w:pPr>
      <w:r>
        <w:rPr>
          <w:rFonts w:ascii="Book Antiqua" w:eastAsia="Book Antiqua" w:hAnsi="Book Antiqua" w:cs="Book Antiqua"/>
          <w:b/>
          <w:bCs/>
          <w:i/>
          <w:iCs/>
          <w:color w:val="000000"/>
        </w:rPr>
        <w:t>Type 1 diabetes mellitus</w:t>
      </w:r>
    </w:p>
    <w:p w14:paraId="67CB686C"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T1DM is also known as insulin-dependent DM (IDDM) or juvenile-onset diabetes. T1DM is caused by the autoimmune destruction of pancreatic beta cells by a T-cell-mediated inflammatory response, resulting in reduced insulin production. T1DM accounts for around 5%-10% of the individuals diagnosed with diabetes and approximately 80%-90% of cases with diabetes among children and adolescents</w:t>
      </w:r>
      <w:r>
        <w:rPr>
          <w:rFonts w:ascii="Book Antiqua" w:eastAsia="Book Antiqua" w:hAnsi="Book Antiqua" w:cs="Book Antiqua"/>
          <w:color w:val="000000"/>
          <w:vertAlign w:val="superscript"/>
        </w:rPr>
        <w:t>[8]</w:t>
      </w:r>
      <w:r>
        <w:rPr>
          <w:rFonts w:ascii="Book Antiqua" w:eastAsia="Book Antiqua" w:hAnsi="Book Antiqua" w:cs="Book Antiqua"/>
          <w:color w:val="000000"/>
        </w:rPr>
        <w:t>. The interaction between T-lymphocytes and autoantigens causes beta-cell death. In newborns and children, the rate of beta cell loss is relatively variable with rapid progression. Adults are more likely to develop the slowly progressive form, commonly known as latent autoimmune diabetes in adults (LADA). At this stage, the body secretes little or no insulin, and patients frequently become dependent on insulin for survival</w:t>
      </w:r>
      <w:r>
        <w:rPr>
          <w:rFonts w:ascii="Book Antiqua" w:eastAsia="Book Antiqua" w:hAnsi="Book Antiqua" w:cs="Book Antiqua"/>
          <w:color w:val="000000"/>
          <w:vertAlign w:val="superscript"/>
        </w:rPr>
        <w:t>[2,9]</w:t>
      </w:r>
      <w:r>
        <w:rPr>
          <w:rFonts w:ascii="Book Antiqua" w:eastAsia="Book Antiqua" w:hAnsi="Book Antiqua" w:cs="Book Antiqua"/>
          <w:color w:val="000000"/>
        </w:rPr>
        <w:t>.</w:t>
      </w:r>
    </w:p>
    <w:p w14:paraId="0171F32B" w14:textId="77777777" w:rsidR="00BA6BF8" w:rsidRDefault="00BA6BF8">
      <w:pPr>
        <w:spacing w:line="360" w:lineRule="auto"/>
        <w:jc w:val="both"/>
        <w:rPr>
          <w:rFonts w:ascii="Book Antiqua" w:hAnsi="Book Antiqua"/>
        </w:rPr>
      </w:pPr>
    </w:p>
    <w:p w14:paraId="0B8A7CBC" w14:textId="77777777" w:rsidR="00BA6BF8" w:rsidRDefault="00000000">
      <w:pPr>
        <w:spacing w:line="360" w:lineRule="auto"/>
        <w:jc w:val="both"/>
        <w:rPr>
          <w:rFonts w:ascii="Book Antiqua" w:hAnsi="Book Antiqua"/>
        </w:rPr>
      </w:pPr>
      <w:r>
        <w:rPr>
          <w:rFonts w:ascii="Book Antiqua" w:eastAsia="Book Antiqua" w:hAnsi="Book Antiqua" w:cs="Book Antiqua"/>
          <w:b/>
          <w:bCs/>
          <w:i/>
          <w:iCs/>
          <w:color w:val="000000"/>
        </w:rPr>
        <w:t>Type 2 diabetes mellitus</w:t>
      </w:r>
    </w:p>
    <w:p w14:paraId="5ADFF00B"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T2DM is the most common type of diabetes, accounting for almost 90% of all cases globally. T2DM is characterized by insulin insensitivity caused by insulin resistance, poor insulin production, and pancreatic beta-cell destruction. The increased demand for insulin in the target tissues caused by insulin resistance could not be met due to beta cell abnormalities, resulting in hyperglycemia</w:t>
      </w:r>
      <w:r>
        <w:rPr>
          <w:rFonts w:ascii="Book Antiqua" w:eastAsia="Book Antiqua" w:hAnsi="Book Antiqua" w:cs="Book Antiqua"/>
          <w:color w:val="000000"/>
          <w:vertAlign w:val="superscript"/>
        </w:rPr>
        <w:t>[10]</w:t>
      </w:r>
      <w:r>
        <w:rPr>
          <w:rFonts w:ascii="Book Antiqua" w:eastAsia="Book Antiqua" w:hAnsi="Book Antiqua" w:cs="Book Antiqua"/>
          <w:color w:val="000000"/>
        </w:rPr>
        <w:t>. T2DM is a complex condition characterized by a combination of genetic as well as environmental variables, such as stress, obesity, and lack of physical activity</w:t>
      </w:r>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5C08C0BB" w14:textId="77777777" w:rsidR="00BA6BF8" w:rsidRDefault="00BA6BF8">
      <w:pPr>
        <w:spacing w:line="360" w:lineRule="auto"/>
        <w:jc w:val="both"/>
        <w:rPr>
          <w:rFonts w:ascii="Book Antiqua" w:hAnsi="Book Antiqua"/>
        </w:rPr>
      </w:pPr>
    </w:p>
    <w:p w14:paraId="56D6A94A" w14:textId="77777777" w:rsidR="00BA6BF8" w:rsidRDefault="00000000">
      <w:pPr>
        <w:spacing w:line="360" w:lineRule="auto"/>
        <w:jc w:val="both"/>
        <w:rPr>
          <w:rFonts w:ascii="Book Antiqua" w:hAnsi="Book Antiqua"/>
        </w:rPr>
      </w:pPr>
      <w:r>
        <w:rPr>
          <w:rFonts w:ascii="Book Antiqua" w:eastAsia="Book Antiqua" w:hAnsi="Book Antiqua" w:cs="Book Antiqua"/>
          <w:b/>
          <w:bCs/>
          <w:i/>
          <w:iCs/>
          <w:color w:val="000000"/>
        </w:rPr>
        <w:t>Gestational diabetes mellitus</w:t>
      </w:r>
    </w:p>
    <w:p w14:paraId="0429502E"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lastRenderedPageBreak/>
        <w:t>Gestational diabetes is most common in pregnant women and accounts for about 7% of all pregnancy cases. Females having a history of GDM are 10 times more likely to develop postpartum T2DM, cardiovascular disease, and metabolic perturbation in the future</w:t>
      </w:r>
      <w:r>
        <w:rPr>
          <w:rFonts w:ascii="Book Antiqua" w:eastAsia="Book Antiqua" w:hAnsi="Book Antiqua" w:cs="Book Antiqua"/>
          <w:color w:val="000000"/>
          <w:vertAlign w:val="superscript"/>
        </w:rPr>
        <w:t>[12]</w:t>
      </w:r>
      <w:r>
        <w:rPr>
          <w:rFonts w:ascii="Book Antiqua" w:eastAsia="Book Antiqua" w:hAnsi="Book Antiqua" w:cs="Book Antiqua"/>
          <w:color w:val="000000"/>
        </w:rPr>
        <w:t>. Furthermore, children of pregnant women with gestational diabetes are at risk of anomalies related to glucose metabolism and have a 40 to 60 percent chance of getting diabetes in adulthood</w:t>
      </w:r>
      <w:r>
        <w:rPr>
          <w:rFonts w:ascii="Book Antiqua" w:eastAsia="Book Antiqua" w:hAnsi="Book Antiqua" w:cs="Book Antiqua"/>
          <w:color w:val="000000"/>
          <w:vertAlign w:val="superscript"/>
        </w:rPr>
        <w:t>[13]</w:t>
      </w:r>
      <w:r>
        <w:rPr>
          <w:rFonts w:ascii="Book Antiqua" w:eastAsia="Book Antiqua" w:hAnsi="Book Antiqua" w:cs="Book Antiqua"/>
          <w:color w:val="000000"/>
        </w:rPr>
        <w:t>. Women with a family history of diabetes and obese women are more likely to develop gestational diabetes</w:t>
      </w:r>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3FF5B573" w14:textId="77777777" w:rsidR="00BA6BF8" w:rsidRDefault="00BA6BF8">
      <w:pPr>
        <w:spacing w:line="360" w:lineRule="auto"/>
        <w:jc w:val="both"/>
        <w:rPr>
          <w:rFonts w:ascii="Book Antiqua" w:hAnsi="Book Antiqua"/>
        </w:rPr>
      </w:pPr>
    </w:p>
    <w:p w14:paraId="503ED438" w14:textId="77777777" w:rsidR="00BA6BF8" w:rsidRDefault="00000000">
      <w:pPr>
        <w:spacing w:line="360" w:lineRule="auto"/>
        <w:jc w:val="both"/>
        <w:rPr>
          <w:rFonts w:ascii="Book Antiqua" w:hAnsi="Book Antiqua"/>
        </w:rPr>
      </w:pPr>
      <w:r>
        <w:rPr>
          <w:rFonts w:ascii="Book Antiqua" w:eastAsia="Book Antiqua" w:hAnsi="Book Antiqua" w:cs="Book Antiqua"/>
          <w:b/>
          <w:bCs/>
          <w:i/>
          <w:iCs/>
          <w:color w:val="000000"/>
        </w:rPr>
        <w:t>Maturity onset diabetes of young</w:t>
      </w:r>
    </w:p>
    <w:p w14:paraId="15604136"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MODY, a monogenic variant of type 2 diabetes, has an autosomal dominant inheritance pattern and is characterized mostly by insulin secretion abnormalities, however, with normal insulin action</w:t>
      </w:r>
      <w:r>
        <w:rPr>
          <w:rFonts w:ascii="Book Antiqua" w:eastAsia="Book Antiqua" w:hAnsi="Book Antiqua" w:cs="Book Antiqua"/>
          <w:color w:val="000000"/>
          <w:vertAlign w:val="superscript"/>
        </w:rPr>
        <w:t>[15]</w:t>
      </w:r>
      <w:r>
        <w:rPr>
          <w:rFonts w:ascii="Book Antiqua" w:eastAsia="Book Antiqua" w:hAnsi="Book Antiqua" w:cs="Book Antiqua"/>
          <w:color w:val="000000"/>
        </w:rPr>
        <w:t>. MODY generally occurs before the age of 25 years or during childhood</w:t>
      </w:r>
      <w:r>
        <w:rPr>
          <w:rFonts w:ascii="Book Antiqua" w:eastAsia="Book Antiqua" w:hAnsi="Book Antiqua" w:cs="Book Antiqua"/>
          <w:color w:val="000000"/>
          <w:vertAlign w:val="superscript"/>
        </w:rPr>
        <w:t>[2]</w:t>
      </w:r>
      <w:r>
        <w:rPr>
          <w:rFonts w:ascii="Book Antiqua" w:eastAsia="Book Antiqua" w:hAnsi="Book Antiqua" w:cs="Book Antiqua"/>
          <w:color w:val="000000"/>
        </w:rPr>
        <w:t>. Roughly 2%-5% of type 2 diabetes patients have been estimated to have MODY. Different types of MODY are classified based on underlying genetic defect: MODY1 (</w:t>
      </w:r>
      <w:r>
        <w:rPr>
          <w:rFonts w:ascii="Book Antiqua" w:eastAsia="Book Antiqua" w:hAnsi="Book Antiqua" w:cs="Book Antiqua"/>
          <w:i/>
          <w:iCs/>
          <w:color w:val="000000"/>
        </w:rPr>
        <w:t>HNF4A</w:t>
      </w:r>
      <w:r>
        <w:rPr>
          <w:rFonts w:ascii="Book Antiqua" w:eastAsia="Book Antiqua" w:hAnsi="Book Antiqua" w:cs="Book Antiqua"/>
          <w:color w:val="000000"/>
        </w:rPr>
        <w:t>); MODY2 (</w:t>
      </w:r>
      <w:r>
        <w:rPr>
          <w:rFonts w:ascii="Book Antiqua" w:eastAsia="Book Antiqua" w:hAnsi="Book Antiqua" w:cs="Book Antiqua"/>
          <w:i/>
          <w:iCs/>
          <w:color w:val="000000"/>
        </w:rPr>
        <w:t>GCK</w:t>
      </w:r>
      <w:r>
        <w:rPr>
          <w:rFonts w:ascii="Book Antiqua" w:eastAsia="Book Antiqua" w:hAnsi="Book Antiqua" w:cs="Book Antiqua"/>
          <w:color w:val="000000"/>
        </w:rPr>
        <w:t>); MODY3 (</w:t>
      </w:r>
      <w:r>
        <w:rPr>
          <w:rFonts w:ascii="Book Antiqua" w:eastAsia="Book Antiqua" w:hAnsi="Book Antiqua" w:cs="Book Antiqua"/>
          <w:i/>
          <w:iCs/>
          <w:color w:val="000000"/>
        </w:rPr>
        <w:t>HNF1A</w:t>
      </w:r>
      <w:r>
        <w:rPr>
          <w:rFonts w:ascii="Book Antiqua" w:eastAsia="Book Antiqua" w:hAnsi="Book Antiqua" w:cs="Book Antiqua"/>
          <w:color w:val="000000"/>
        </w:rPr>
        <w:t>); MODY4 (</w:t>
      </w:r>
      <w:r>
        <w:rPr>
          <w:rFonts w:ascii="Book Antiqua" w:eastAsia="Book Antiqua" w:hAnsi="Book Antiqua" w:cs="Book Antiqua"/>
          <w:i/>
          <w:iCs/>
          <w:color w:val="000000"/>
        </w:rPr>
        <w:t>PDX1</w:t>
      </w:r>
      <w:r>
        <w:rPr>
          <w:rFonts w:ascii="Book Antiqua" w:eastAsia="Book Antiqua" w:hAnsi="Book Antiqua" w:cs="Book Antiqua"/>
          <w:color w:val="000000"/>
        </w:rPr>
        <w:t>); MODY5 (</w:t>
      </w:r>
      <w:r>
        <w:rPr>
          <w:rFonts w:ascii="Book Antiqua" w:eastAsia="Book Antiqua" w:hAnsi="Book Antiqua" w:cs="Book Antiqua"/>
          <w:i/>
          <w:iCs/>
          <w:color w:val="000000"/>
        </w:rPr>
        <w:t>HNF1B</w:t>
      </w:r>
      <w:r>
        <w:rPr>
          <w:rFonts w:ascii="Book Antiqua" w:eastAsia="Book Antiqua" w:hAnsi="Book Antiqua" w:cs="Book Antiqua"/>
          <w:color w:val="000000"/>
        </w:rPr>
        <w:t>); MODY6 (</w:t>
      </w:r>
      <w:r>
        <w:rPr>
          <w:rFonts w:ascii="Book Antiqua" w:eastAsia="Book Antiqua" w:hAnsi="Book Antiqua" w:cs="Book Antiqua"/>
          <w:i/>
          <w:iCs/>
          <w:color w:val="000000"/>
        </w:rPr>
        <w:t>NEUROD1</w:t>
      </w:r>
      <w:r>
        <w:rPr>
          <w:rFonts w:ascii="Book Antiqua" w:eastAsia="Book Antiqua" w:hAnsi="Book Antiqua" w:cs="Book Antiqua"/>
          <w:color w:val="000000"/>
        </w:rPr>
        <w:t>); MODY12 (</w:t>
      </w:r>
      <w:r>
        <w:rPr>
          <w:rFonts w:ascii="Book Antiqua" w:eastAsia="Book Antiqua" w:hAnsi="Book Antiqua" w:cs="Book Antiqua"/>
          <w:i/>
          <w:iCs/>
          <w:color w:val="000000"/>
        </w:rPr>
        <w:t>ABCC8</w:t>
      </w:r>
      <w:r>
        <w:rPr>
          <w:rFonts w:ascii="Book Antiqua" w:eastAsia="Book Antiqua" w:hAnsi="Book Antiqua" w:cs="Book Antiqua"/>
          <w:color w:val="000000"/>
        </w:rPr>
        <w:t>), and MODY13 (</w:t>
      </w:r>
      <w:r>
        <w:rPr>
          <w:rFonts w:ascii="Book Antiqua" w:eastAsia="Book Antiqua" w:hAnsi="Book Antiqua" w:cs="Book Antiqua"/>
          <w:i/>
          <w:iCs/>
          <w:color w:val="000000"/>
        </w:rPr>
        <w:t>KCNJ11</w:t>
      </w:r>
      <w:r>
        <w:rPr>
          <w:rFonts w:ascii="Book Antiqua" w:eastAsia="Book Antiqua" w:hAnsi="Book Antiqua" w:cs="Book Antiqua"/>
          <w:color w:val="000000"/>
        </w:rPr>
        <w:t>).</w:t>
      </w:r>
    </w:p>
    <w:p w14:paraId="28B2786E" w14:textId="77777777" w:rsidR="00BA6BF8" w:rsidRDefault="00BA6BF8">
      <w:pPr>
        <w:spacing w:line="360" w:lineRule="auto"/>
        <w:jc w:val="both"/>
        <w:rPr>
          <w:rFonts w:ascii="Book Antiqua" w:hAnsi="Book Antiqua"/>
        </w:rPr>
      </w:pPr>
    </w:p>
    <w:p w14:paraId="61C2D632" w14:textId="77777777" w:rsidR="00BA6BF8" w:rsidRDefault="00000000">
      <w:pPr>
        <w:spacing w:line="360" w:lineRule="auto"/>
        <w:jc w:val="both"/>
        <w:rPr>
          <w:rFonts w:ascii="Book Antiqua" w:hAnsi="Book Antiqua"/>
        </w:rPr>
      </w:pPr>
      <w:r>
        <w:rPr>
          <w:rFonts w:ascii="Book Antiqua" w:eastAsia="Book Antiqua" w:hAnsi="Book Antiqua" w:cs="Book Antiqua"/>
          <w:b/>
          <w:bCs/>
          <w:caps/>
          <w:color w:val="000000"/>
          <w:u w:val="single"/>
        </w:rPr>
        <w:t>Atypical Diabetes Mellitus</w:t>
      </w:r>
    </w:p>
    <w:p w14:paraId="0AA02BE3"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There are two atypical types of DM: LADA and ketosis-prone DM (KPDM), both of which are prone to misdiagnosis, leading to ineffective management.</w:t>
      </w:r>
    </w:p>
    <w:p w14:paraId="3DC05046" w14:textId="77777777" w:rsidR="00BA6BF8" w:rsidRDefault="00BA6BF8">
      <w:pPr>
        <w:spacing w:line="360" w:lineRule="auto"/>
        <w:jc w:val="both"/>
        <w:rPr>
          <w:rFonts w:ascii="Book Antiqua" w:hAnsi="Book Antiqua"/>
        </w:rPr>
      </w:pPr>
    </w:p>
    <w:p w14:paraId="15D458BC" w14:textId="77777777" w:rsidR="00BA6BF8" w:rsidRDefault="00000000">
      <w:pPr>
        <w:spacing w:line="360" w:lineRule="auto"/>
        <w:jc w:val="both"/>
        <w:rPr>
          <w:rFonts w:ascii="Book Antiqua" w:hAnsi="Book Antiqua"/>
        </w:rPr>
      </w:pPr>
      <w:r>
        <w:rPr>
          <w:rFonts w:ascii="Book Antiqua" w:eastAsia="Book Antiqua" w:hAnsi="Book Antiqua" w:cs="Book Antiqua"/>
          <w:b/>
          <w:bCs/>
          <w:i/>
          <w:iCs/>
          <w:color w:val="000000"/>
        </w:rPr>
        <w:t>Latent autoimmune diabetes of adults</w:t>
      </w:r>
    </w:p>
    <w:p w14:paraId="0E5CECD5"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LADA is a kind of autoimmune diabetes that resembles T1DM, but the onset is during adulthood, and it progresses slowly toward absolute insulin insufficiency than classical childhood-onset T1DM, which requires prompt exogenous insulin therapy</w:t>
      </w:r>
      <w:r>
        <w:rPr>
          <w:rFonts w:ascii="Book Antiqua" w:eastAsia="Book Antiqua" w:hAnsi="Book Antiqua" w:cs="Book Antiqua"/>
          <w:color w:val="000000"/>
          <w:vertAlign w:val="superscript"/>
        </w:rPr>
        <w:t>[16]</w:t>
      </w:r>
      <w:r>
        <w:rPr>
          <w:rFonts w:ascii="Book Antiqua" w:eastAsia="Book Antiqua" w:hAnsi="Book Antiqua" w:cs="Book Antiqua"/>
          <w:color w:val="000000"/>
        </w:rPr>
        <w:t>. Approximately 2%-12% of all DM patients may have LADA</w:t>
      </w:r>
      <w:r>
        <w:rPr>
          <w:rFonts w:ascii="Book Antiqua" w:eastAsia="Book Antiqua" w:hAnsi="Book Antiqua" w:cs="Book Antiqua"/>
          <w:color w:val="000000"/>
          <w:vertAlign w:val="superscript"/>
        </w:rPr>
        <w:t>[17]</w:t>
      </w:r>
      <w:r>
        <w:rPr>
          <w:rFonts w:ascii="Book Antiqua" w:eastAsia="Book Antiqua" w:hAnsi="Book Antiqua" w:cs="Book Antiqua"/>
          <w:color w:val="000000"/>
        </w:rPr>
        <w:t>. Most LADA patients do not require insulin at the time of diagnosis; nevertheless, they do have diabetes-specific autoantibodies. As a result, they have characteristics of both T1DM and T2DM and are at risk of being misdiagnosed as having T2DM</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According to studies from China, Korea, </w:t>
      </w:r>
      <w:r>
        <w:rPr>
          <w:rFonts w:ascii="Book Antiqua" w:eastAsia="Book Antiqua" w:hAnsi="Book Antiqua" w:cs="Book Antiqua"/>
          <w:color w:val="000000"/>
        </w:rPr>
        <w:lastRenderedPageBreak/>
        <w:t>India, and the United Arab Emirates, the prevalence of LADA is 5.7%, 4.4% to 5.3%, 2.6% to 3.2%, and 2.6%, respectively</w:t>
      </w:r>
      <w:r>
        <w:rPr>
          <w:rFonts w:ascii="Book Antiqua" w:eastAsia="Book Antiqua" w:hAnsi="Book Antiqua" w:cs="Book Antiqua"/>
          <w:color w:val="000000"/>
          <w:vertAlign w:val="superscript"/>
        </w:rPr>
        <w:t>[19]</w:t>
      </w:r>
      <w:r>
        <w:rPr>
          <w:rFonts w:ascii="Book Antiqua" w:eastAsia="Book Antiqua" w:hAnsi="Book Antiqua" w:cs="Book Antiqua"/>
          <w:color w:val="000000"/>
        </w:rPr>
        <w:t>. Usage of clinical risk tools (age of onset of diabetes &lt; 50 years, acute symptoms of hyperglycemia at the time of onset, body mass index &lt; 25 kg/m</w:t>
      </w:r>
      <w:r>
        <w:rPr>
          <w:rFonts w:ascii="Book Antiqua" w:eastAsia="Book Antiqua" w:hAnsi="Book Antiqua" w:cs="Book Antiqua"/>
          <w:color w:val="000000"/>
          <w:vertAlign w:val="superscript"/>
        </w:rPr>
        <w:t>2</w:t>
      </w:r>
      <w:r>
        <w:rPr>
          <w:rFonts w:ascii="Book Antiqua" w:eastAsia="Book Antiqua" w:hAnsi="Book Antiqua" w:cs="Book Antiqua"/>
          <w:color w:val="000000"/>
        </w:rPr>
        <w:t>, family history or personal history of autoimmune disease), and evaluation of C-peptide level can help identify individuals at higher risk of LADA in adults</w:t>
      </w:r>
      <w:r>
        <w:rPr>
          <w:rFonts w:ascii="Book Antiqua" w:eastAsia="Book Antiqua" w:hAnsi="Book Antiqua" w:cs="Book Antiqua"/>
          <w:color w:val="000000"/>
          <w:vertAlign w:val="superscript"/>
        </w:rPr>
        <w:t>[19]</w:t>
      </w:r>
      <w:r>
        <w:rPr>
          <w:rFonts w:ascii="Book Antiqua" w:eastAsia="Book Antiqua" w:hAnsi="Book Antiqua" w:cs="Book Antiqua"/>
          <w:color w:val="000000"/>
        </w:rPr>
        <w:t>.</w:t>
      </w:r>
    </w:p>
    <w:p w14:paraId="1DF65443" w14:textId="77777777" w:rsidR="00BA6BF8" w:rsidRDefault="00BA6BF8">
      <w:pPr>
        <w:spacing w:line="360" w:lineRule="auto"/>
        <w:jc w:val="both"/>
        <w:rPr>
          <w:rFonts w:ascii="Book Antiqua" w:hAnsi="Book Antiqua"/>
        </w:rPr>
      </w:pPr>
    </w:p>
    <w:p w14:paraId="0E0B609D" w14:textId="77777777" w:rsidR="00BA6BF8" w:rsidRDefault="00000000">
      <w:pPr>
        <w:spacing w:line="360" w:lineRule="auto"/>
        <w:jc w:val="both"/>
        <w:rPr>
          <w:rFonts w:ascii="Book Antiqua" w:hAnsi="Book Antiqua"/>
        </w:rPr>
      </w:pPr>
      <w:r>
        <w:rPr>
          <w:rFonts w:ascii="Book Antiqua" w:eastAsia="Book Antiqua" w:hAnsi="Book Antiqua" w:cs="Book Antiqua"/>
          <w:b/>
          <w:bCs/>
          <w:i/>
          <w:iCs/>
          <w:color w:val="000000"/>
        </w:rPr>
        <w:t>Ketosis-prone diabetes mellitus</w:t>
      </w:r>
    </w:p>
    <w:p w14:paraId="65862B71"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Diabetic ketoacidosis is a potentially fatal but treatable complication of DM that is characterized by hyperglycemia, metabolic acidosis, and ketonemia as a result of absolute or relative insulin insufficiency</w:t>
      </w:r>
      <w:r>
        <w:rPr>
          <w:rFonts w:ascii="Book Antiqua" w:eastAsia="Book Antiqua" w:hAnsi="Book Antiqua" w:cs="Book Antiqua"/>
          <w:color w:val="000000"/>
          <w:vertAlign w:val="superscript"/>
        </w:rPr>
        <w:t>[20]</w:t>
      </w:r>
      <w:r>
        <w:rPr>
          <w:rFonts w:ascii="Book Antiqua" w:eastAsia="Book Antiqua" w:hAnsi="Book Antiqua" w:cs="Book Antiqua"/>
          <w:color w:val="000000"/>
        </w:rPr>
        <w:t>. Although the actual prevalence of KPDM is unknown, men have a higher prevalence than women</w:t>
      </w:r>
      <w:r>
        <w:rPr>
          <w:rFonts w:ascii="Book Antiqua" w:eastAsia="Book Antiqua" w:hAnsi="Book Antiqua" w:cs="Book Antiqua"/>
          <w:color w:val="000000"/>
          <w:vertAlign w:val="superscript"/>
        </w:rPr>
        <w:t>[21]</w:t>
      </w:r>
      <w:r>
        <w:rPr>
          <w:rFonts w:ascii="Book Antiqua" w:eastAsia="Book Antiqua" w:hAnsi="Book Antiqua" w:cs="Book Antiqua"/>
          <w:color w:val="000000"/>
        </w:rPr>
        <w:t>. Patients with KPDM typically show acute and very recent history (mostly &lt; 4 wk) of hyperglycemic symptoms such as polyuria, polydipsia, and weight-loss</w:t>
      </w:r>
      <w:r>
        <w:rPr>
          <w:rFonts w:ascii="Book Antiqua" w:eastAsia="Book Antiqua" w:hAnsi="Book Antiqua" w:cs="Book Antiqua"/>
          <w:color w:val="000000"/>
          <w:vertAlign w:val="superscript"/>
        </w:rPr>
        <w:t>[22,23]</w:t>
      </w:r>
      <w:r>
        <w:rPr>
          <w:rFonts w:ascii="Book Antiqua" w:eastAsia="Book Antiqua" w:hAnsi="Book Antiqua" w:cs="Book Antiqua"/>
          <w:color w:val="000000"/>
        </w:rPr>
        <w:t xml:space="preserve">. </w:t>
      </w:r>
    </w:p>
    <w:p w14:paraId="673D8808" w14:textId="77777777" w:rsidR="00BA6BF8" w:rsidRDefault="00BA6BF8">
      <w:pPr>
        <w:spacing w:line="360" w:lineRule="auto"/>
        <w:jc w:val="both"/>
        <w:rPr>
          <w:rFonts w:ascii="Book Antiqua" w:hAnsi="Book Antiqua"/>
        </w:rPr>
      </w:pPr>
    </w:p>
    <w:p w14:paraId="3E989005" w14:textId="77777777" w:rsidR="00BA6BF8" w:rsidRDefault="00000000">
      <w:pPr>
        <w:spacing w:line="360" w:lineRule="auto"/>
        <w:jc w:val="both"/>
        <w:rPr>
          <w:rFonts w:ascii="Book Antiqua" w:hAnsi="Book Antiqua"/>
        </w:rPr>
      </w:pPr>
      <w:r>
        <w:rPr>
          <w:rFonts w:ascii="Book Antiqua" w:eastAsia="Book Antiqua" w:hAnsi="Book Antiqua" w:cs="Book Antiqua"/>
          <w:b/>
          <w:bCs/>
          <w:caps/>
          <w:color w:val="000000"/>
          <w:u w:val="single"/>
        </w:rPr>
        <w:t>Global Prevalence of Diabetes Mellitus</w:t>
      </w:r>
    </w:p>
    <w:p w14:paraId="7DD9E5FB"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Diabetes is one of the fastest-growing global health emergencies of the 21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century (Figure 2). Diabetes affected around 537 million people in 2021, and this number is projected to reach 643 million by 2030 and 783 million by 2045, which is a nearly 46% increase in its prevalence</w:t>
      </w:r>
      <w:r>
        <w:rPr>
          <w:rFonts w:ascii="Book Antiqua" w:eastAsia="Book Antiqua" w:hAnsi="Book Antiqua" w:cs="Book Antiqua"/>
          <w:color w:val="000000"/>
          <w:vertAlign w:val="superscript"/>
        </w:rPr>
        <w:t>[24]</w:t>
      </w:r>
      <w:r>
        <w:rPr>
          <w:rFonts w:ascii="Book Antiqua" w:eastAsia="Book Antiqua" w:hAnsi="Book Antiqua" w:cs="Book Antiqua"/>
          <w:color w:val="000000"/>
        </w:rPr>
        <w:t>. Middle-income countries are expected to see the greatest percentage increase in the prevalence of diabetes, followed by high- and low-income countries. In 2021, there were approximately 8.4 million individuals worldwide with T1DM, of which 1.5 million were younger than 20 years of age. In 2040 the prevalence of T1DM has been predicted to increase to 13.5-17.4 million (60%-107% higher than in 2021)</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The frequency of the most common type of DM </w:t>
      </w:r>
      <w:r>
        <w:rPr>
          <w:rFonts w:ascii="Book Antiqua" w:eastAsia="Book Antiqua" w:hAnsi="Book Antiqua" w:cs="Book Antiqua"/>
          <w:i/>
          <w:iCs/>
          <w:color w:val="000000"/>
        </w:rPr>
        <w:t>i.e.</w:t>
      </w:r>
      <w:r>
        <w:rPr>
          <w:rFonts w:ascii="Book Antiqua" w:eastAsia="Book Antiqua" w:hAnsi="Book Antiqua" w:cs="Book Antiqua"/>
          <w:color w:val="000000"/>
        </w:rPr>
        <w:t>, T2DM varies substantially by region, with low and middle-income countries accounting for almost 80% of all T2DM cases</w:t>
      </w:r>
      <w:r>
        <w:rPr>
          <w:rFonts w:ascii="Book Antiqua" w:eastAsia="Book Antiqua" w:hAnsi="Book Antiqua" w:cs="Book Antiqua"/>
          <w:color w:val="000000"/>
          <w:vertAlign w:val="superscript"/>
        </w:rPr>
        <w:t>[26]</w:t>
      </w:r>
      <w:r>
        <w:rPr>
          <w:rFonts w:ascii="Book Antiqua" w:eastAsia="Book Antiqua" w:hAnsi="Book Antiqua" w:cs="Book Antiqua"/>
          <w:color w:val="000000"/>
        </w:rPr>
        <w:t>. This variance in diabetes incidence across the globe may be attributable to environmental as well as lifestyle factors apart from underlying genetic components. Globally, the prevalence of GDM varies greatly (from 1% to 28%) depending on demographic variables (</w:t>
      </w:r>
      <w:r>
        <w:rPr>
          <w:rFonts w:ascii="Book Antiqua" w:eastAsia="Book Antiqua" w:hAnsi="Book Antiqua" w:cs="Book Antiqua"/>
          <w:i/>
          <w:iCs/>
          <w:color w:val="000000"/>
        </w:rPr>
        <w:t>e.g.</w:t>
      </w:r>
      <w:r>
        <w:rPr>
          <w:rFonts w:ascii="Book Antiqua" w:eastAsia="Book Antiqua" w:hAnsi="Book Antiqua" w:cs="Book Antiqua"/>
          <w:color w:val="000000"/>
        </w:rPr>
        <w:t xml:space="preserve">, maternal age, socioeconomic status, race or ethnicity, or </w:t>
      </w:r>
      <w:r>
        <w:rPr>
          <w:rFonts w:ascii="Book Antiqua" w:eastAsia="Book Antiqua" w:hAnsi="Book Antiqua" w:cs="Book Antiqua"/>
          <w:color w:val="000000"/>
        </w:rPr>
        <w:lastRenderedPageBreak/>
        <w:t xml:space="preserve">body composition), screening methods, and diagnostic criteria. The estimated prevalence of MODY is 1 in 10000 for adults and 1 in 23000 for children. </w:t>
      </w:r>
    </w:p>
    <w:p w14:paraId="2B58CA0B" w14:textId="77777777" w:rsidR="00BA6BF8" w:rsidRDefault="00BA6BF8">
      <w:pPr>
        <w:spacing w:line="360" w:lineRule="auto"/>
        <w:jc w:val="both"/>
        <w:rPr>
          <w:rFonts w:ascii="Book Antiqua" w:hAnsi="Book Antiqua"/>
        </w:rPr>
      </w:pPr>
    </w:p>
    <w:p w14:paraId="084BC537" w14:textId="77777777" w:rsidR="00BA6BF8" w:rsidRDefault="00000000">
      <w:pPr>
        <w:spacing w:line="360" w:lineRule="auto"/>
        <w:jc w:val="both"/>
        <w:rPr>
          <w:rFonts w:ascii="Book Antiqua" w:hAnsi="Book Antiqua"/>
        </w:rPr>
      </w:pPr>
      <w:r>
        <w:rPr>
          <w:rFonts w:ascii="Book Antiqua" w:eastAsia="Book Antiqua" w:hAnsi="Book Antiqua" w:cs="Book Antiqua"/>
          <w:b/>
          <w:bCs/>
          <w:caps/>
          <w:color w:val="000000"/>
          <w:u w:val="single"/>
        </w:rPr>
        <w:t>Pathogenesis of Diabetes Mellitus</w:t>
      </w:r>
    </w:p>
    <w:p w14:paraId="5DD991D1"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The pathogenesis of type 2 DM is influenced by eight key abnormalities described collectively as "the ominous octet"</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(Figure 3). Reduced insulin secretion, decreased incretin action, increased lipolysis, increased glucose reabsorption, decreased glucose uptake, neurotransmitter dysfunction, increased hepatic glucose synthesis, and increased glucagon secretion are examples of these</w:t>
      </w:r>
      <w:r>
        <w:rPr>
          <w:rFonts w:ascii="Book Antiqua" w:eastAsia="Book Antiqua" w:hAnsi="Book Antiqua" w:cs="Book Antiqua"/>
          <w:color w:val="000000"/>
          <w:vertAlign w:val="superscript"/>
        </w:rPr>
        <w:t>[27,28]</w:t>
      </w:r>
      <w:r>
        <w:rPr>
          <w:rFonts w:ascii="Book Antiqua" w:eastAsia="Book Antiqua" w:hAnsi="Book Antiqua" w:cs="Book Antiqua"/>
          <w:color w:val="000000"/>
        </w:rPr>
        <w:t>. Therapy options for T2DM should target these documented pathophysiological abnormalities while also using a patient-centered approach that incorporates aspects other than glycemic control, such as lowering overall cardiovascular risk</w:t>
      </w:r>
      <w:r>
        <w:rPr>
          <w:rFonts w:ascii="Book Antiqua" w:eastAsia="Book Antiqua" w:hAnsi="Book Antiqua" w:cs="Book Antiqua"/>
          <w:color w:val="000000"/>
          <w:vertAlign w:val="superscript"/>
        </w:rPr>
        <w:t>[29,30]</w:t>
      </w:r>
      <w:r>
        <w:rPr>
          <w:rFonts w:ascii="Book Antiqua" w:eastAsia="Book Antiqua" w:hAnsi="Book Antiqua" w:cs="Book Antiqua"/>
          <w:color w:val="000000"/>
        </w:rPr>
        <w:t>. Recent research has indicated that during the progression of T2DM, pancreatic β-cells undergo dynamic compensation and decompensation processes, with metabolic stressors such as endoplasmic reticulum stress, oxidative stress, and apoptosis acting as major regulators of the β-cell dynamics</w:t>
      </w:r>
      <w:r>
        <w:rPr>
          <w:rFonts w:ascii="Book Antiqua" w:eastAsia="Book Antiqua" w:hAnsi="Book Antiqua" w:cs="Book Antiqua"/>
          <w:color w:val="000000"/>
          <w:vertAlign w:val="superscript"/>
        </w:rPr>
        <w:t>[31]</w:t>
      </w:r>
      <w:r>
        <w:rPr>
          <w:rFonts w:ascii="Book Antiqua" w:eastAsia="Book Antiqua" w:hAnsi="Book Antiqua" w:cs="Book Antiqua"/>
          <w:color w:val="000000"/>
        </w:rPr>
        <w:t>.</w:t>
      </w:r>
    </w:p>
    <w:p w14:paraId="7EBBD9A9" w14:textId="77777777" w:rsidR="00BA6BF8"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T1DM is characterized by the autoimmune death of pancreatic beta cells produced by a T-cell-mediated inflammatory response, which results in decreased insulin production (Figure 3). On the other hand, in GDM, glucose intolerance develops usually in the second trimester which results in adverse impacts on both mother and offspring (Figure 3). MODY is caused by mutations in the </w:t>
      </w:r>
      <w:r>
        <w:rPr>
          <w:rFonts w:ascii="Book Antiqua" w:eastAsia="Book Antiqua" w:hAnsi="Book Antiqua" w:cs="Book Antiqua"/>
          <w:i/>
          <w:iCs/>
          <w:color w:val="000000"/>
        </w:rPr>
        <w:t>GCK</w:t>
      </w:r>
      <w:r>
        <w:rPr>
          <w:rFonts w:ascii="Book Antiqua" w:eastAsia="Book Antiqua" w:hAnsi="Book Antiqua" w:cs="Book Antiqua"/>
          <w:color w:val="000000"/>
        </w:rPr>
        <w:t xml:space="preserve">, </w:t>
      </w:r>
      <w:r>
        <w:rPr>
          <w:rFonts w:ascii="Book Antiqua" w:eastAsia="Book Antiqua" w:hAnsi="Book Antiqua" w:cs="Book Antiqua"/>
          <w:i/>
          <w:iCs/>
          <w:color w:val="000000"/>
        </w:rPr>
        <w:t>HNF</w:t>
      </w:r>
      <w:r>
        <w:rPr>
          <w:rFonts w:ascii="Book Antiqua" w:eastAsia="Book Antiqua" w:hAnsi="Book Antiqua" w:cs="Book Antiqua"/>
          <w:color w:val="000000"/>
        </w:rPr>
        <w:t xml:space="preserve">, and </w:t>
      </w:r>
      <w:r>
        <w:rPr>
          <w:rFonts w:ascii="Book Antiqua" w:eastAsia="Book Antiqua" w:hAnsi="Book Antiqua" w:cs="Book Antiqua"/>
          <w:i/>
          <w:iCs/>
          <w:color w:val="000000"/>
        </w:rPr>
        <w:t>NEUROD1</w:t>
      </w:r>
      <w:r>
        <w:rPr>
          <w:rFonts w:ascii="Book Antiqua" w:eastAsia="Book Antiqua" w:hAnsi="Book Antiqua" w:cs="Book Antiqua"/>
          <w:color w:val="000000"/>
        </w:rPr>
        <w:t xml:space="preserve"> genes, which are involved in glucose metabolism, insulin control, glucose transport, and fetal pancreas development.</w:t>
      </w:r>
    </w:p>
    <w:p w14:paraId="079A2754" w14:textId="77777777" w:rsidR="00BA6BF8"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Several pathways play a significant role in causing the microvascular and macrovascular complications associated with T2DM. Hexosamine biosynthetic pathway is implicated in the development of insulin resistance and diabetic vascular problems. It has been reported that hyperglycemia increases the production of transforming growth factor-beta, a prosclerotic cytokine implicated in the development of diabetic nephropathy</w:t>
      </w:r>
      <w:r>
        <w:rPr>
          <w:rFonts w:ascii="Book Antiqua" w:eastAsia="Book Antiqua" w:hAnsi="Book Antiqua" w:cs="Book Antiqua"/>
          <w:color w:val="000000"/>
          <w:vertAlign w:val="superscript"/>
        </w:rPr>
        <w:t>[32]</w:t>
      </w:r>
      <w:r>
        <w:rPr>
          <w:rFonts w:ascii="Book Antiqua" w:eastAsia="Book Antiqua" w:hAnsi="Book Antiqua" w:cs="Book Antiqua"/>
          <w:color w:val="000000"/>
        </w:rPr>
        <w:t>. The polyol pathway is a two-step metabolic mechanism that converts glucose to sorbitol and then to fructose</w:t>
      </w:r>
      <w:r>
        <w:rPr>
          <w:rFonts w:ascii="Book Antiqua" w:eastAsia="Book Antiqua" w:hAnsi="Book Antiqua" w:cs="Book Antiqua"/>
          <w:color w:val="000000"/>
          <w:vertAlign w:val="superscript"/>
        </w:rPr>
        <w:t>[33,34]</w:t>
      </w:r>
      <w:r>
        <w:rPr>
          <w:rFonts w:ascii="Book Antiqua" w:eastAsia="Book Antiqua" w:hAnsi="Book Antiqua" w:cs="Book Antiqua"/>
          <w:color w:val="000000"/>
        </w:rPr>
        <w:t xml:space="preserve">. It has long been assumed that the polyol </w:t>
      </w:r>
      <w:r>
        <w:rPr>
          <w:rFonts w:ascii="Book Antiqua" w:eastAsia="Book Antiqua" w:hAnsi="Book Antiqua" w:cs="Book Antiqua"/>
          <w:color w:val="000000"/>
        </w:rPr>
        <w:lastRenderedPageBreak/>
        <w:t>pathway is almost silent under normal physiological conditions but becomes active and detrimental under hyperglycemic conditions. The protein kinase C pathway in diabetes promotes vascular contractility in an endothelium-independent way through K</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channel inactivation and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sensitization of myofilaments in vascular smooth muscle cells</w:t>
      </w:r>
      <w:r>
        <w:rPr>
          <w:rFonts w:ascii="Book Antiqua" w:eastAsia="Book Antiqua" w:hAnsi="Book Antiqua" w:cs="Book Antiqua"/>
          <w:color w:val="000000"/>
          <w:vertAlign w:val="superscript"/>
        </w:rPr>
        <w:t>[35]</w:t>
      </w:r>
      <w:r>
        <w:rPr>
          <w:rFonts w:ascii="Book Antiqua" w:eastAsia="Book Antiqua" w:hAnsi="Book Antiqua" w:cs="Book Antiqua"/>
          <w:color w:val="000000"/>
        </w:rPr>
        <w:t>. The binding of advanced glycation end products to its receptor activates a range of signaling pathways, which further enhances oxidative stress, hence leading to nerve cell damage and apoptosis</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w:t>
      </w:r>
    </w:p>
    <w:p w14:paraId="3FE3699A" w14:textId="77777777" w:rsidR="00BA6BF8" w:rsidRDefault="00BA6BF8">
      <w:pPr>
        <w:spacing w:line="360" w:lineRule="auto"/>
        <w:jc w:val="both"/>
        <w:rPr>
          <w:rFonts w:ascii="Book Antiqua" w:hAnsi="Book Antiqua"/>
        </w:rPr>
      </w:pPr>
    </w:p>
    <w:p w14:paraId="1257199B" w14:textId="77777777" w:rsidR="00BA6BF8" w:rsidRDefault="00000000">
      <w:pPr>
        <w:spacing w:line="360" w:lineRule="auto"/>
        <w:jc w:val="both"/>
        <w:rPr>
          <w:rFonts w:ascii="Book Antiqua" w:hAnsi="Book Antiqua"/>
        </w:rPr>
      </w:pPr>
      <w:r>
        <w:rPr>
          <w:rFonts w:ascii="Book Antiqua" w:eastAsia="Book Antiqua" w:hAnsi="Book Antiqua" w:cs="Book Antiqua"/>
          <w:b/>
          <w:bCs/>
          <w:caps/>
          <w:color w:val="000000"/>
          <w:u w:val="single"/>
        </w:rPr>
        <w:t>Identification of Diabetes Susceptibility Genes</w:t>
      </w:r>
    </w:p>
    <w:p w14:paraId="327E0EED"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Family and twin studies have reported 20%-80% of heritability in diabetes. First-degree relatives of people with T2DM are three times more likely to get the disease than people without a positive family history</w:t>
      </w:r>
      <w:r>
        <w:rPr>
          <w:rFonts w:ascii="Book Antiqua" w:eastAsia="Book Antiqua" w:hAnsi="Book Antiqua" w:cs="Book Antiqua"/>
          <w:color w:val="000000"/>
          <w:vertAlign w:val="superscript"/>
        </w:rPr>
        <w:t>[37]</w:t>
      </w:r>
      <w:r>
        <w:rPr>
          <w:rFonts w:ascii="Book Antiqua" w:eastAsia="Book Antiqua" w:hAnsi="Book Antiqua" w:cs="Book Antiqua"/>
          <w:color w:val="000000"/>
        </w:rPr>
        <w:t>. Even though diabetes from both the maternal and paternal side increases the risk of acquiring diabetes, the Framingham Offspring research reported that offspring with maternal diabetes had a slightly higher risk of impaired glucose tolerance than those with paternal diabetes</w:t>
      </w:r>
      <w:r>
        <w:rPr>
          <w:rFonts w:ascii="Book Antiqua" w:eastAsia="Book Antiqua" w:hAnsi="Book Antiqua" w:cs="Book Antiqua"/>
          <w:color w:val="000000"/>
          <w:vertAlign w:val="superscript"/>
        </w:rPr>
        <w:t>[24]</w:t>
      </w:r>
      <w:r>
        <w:rPr>
          <w:rFonts w:ascii="Book Antiqua" w:eastAsia="Book Antiqua" w:hAnsi="Book Antiqua" w:cs="Book Antiqua"/>
          <w:color w:val="000000"/>
        </w:rPr>
        <w:t>. Multiple twin concordance studies in T2DM found that monozygotic twins had a greater concordance rate than dizygotic twins, indicating that the condition has a significant genetic component</w:t>
      </w:r>
      <w:r>
        <w:rPr>
          <w:rFonts w:ascii="Book Antiqua" w:eastAsia="Book Antiqua" w:hAnsi="Book Antiqua" w:cs="Book Antiqua"/>
          <w:color w:val="000000"/>
          <w:vertAlign w:val="superscript"/>
        </w:rPr>
        <w:t>[37]</w:t>
      </w:r>
      <w:r>
        <w:rPr>
          <w:rFonts w:ascii="Book Antiqua" w:eastAsia="Book Antiqua" w:hAnsi="Book Antiqua" w:cs="Book Antiqua"/>
          <w:color w:val="000000"/>
        </w:rPr>
        <w:t>. On the other hand for T1DM, monozygotic twins have a concordance rate of 40%-50% in population-based twin studies</w:t>
      </w:r>
      <w:r>
        <w:rPr>
          <w:rFonts w:ascii="Book Antiqua" w:eastAsia="Book Antiqua" w:hAnsi="Book Antiqua" w:cs="Book Antiqua"/>
          <w:color w:val="000000"/>
          <w:vertAlign w:val="superscript"/>
        </w:rPr>
        <w:t>[38]</w:t>
      </w:r>
      <w:r>
        <w:rPr>
          <w:rFonts w:ascii="Book Antiqua" w:eastAsia="Book Antiqua" w:hAnsi="Book Antiqua" w:cs="Book Antiqua"/>
          <w:color w:val="000000"/>
        </w:rPr>
        <w:t>. The following methods have been used to identify the diabetes risk gene.</w:t>
      </w:r>
    </w:p>
    <w:p w14:paraId="290F55BE" w14:textId="77777777" w:rsidR="00BA6BF8" w:rsidRDefault="00BA6BF8">
      <w:pPr>
        <w:spacing w:line="360" w:lineRule="auto"/>
        <w:jc w:val="both"/>
        <w:rPr>
          <w:rFonts w:ascii="Book Antiqua" w:hAnsi="Book Antiqua"/>
        </w:rPr>
      </w:pPr>
    </w:p>
    <w:p w14:paraId="4C5923FA" w14:textId="77777777" w:rsidR="00BA6BF8" w:rsidRDefault="00000000">
      <w:pPr>
        <w:spacing w:line="360" w:lineRule="auto"/>
        <w:jc w:val="both"/>
        <w:rPr>
          <w:rFonts w:ascii="Book Antiqua" w:hAnsi="Book Antiqua"/>
        </w:rPr>
      </w:pPr>
      <w:r>
        <w:rPr>
          <w:rFonts w:ascii="Book Antiqua" w:eastAsia="Book Antiqua" w:hAnsi="Book Antiqua" w:cs="Book Antiqua"/>
          <w:b/>
          <w:bCs/>
          <w:i/>
          <w:iCs/>
          <w:color w:val="000000"/>
        </w:rPr>
        <w:t>Genetic linkage studies</w:t>
      </w:r>
    </w:p>
    <w:p w14:paraId="12C61261"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Linkage analysis is based on the principle that genetic sequences located on the same chromosome tend to be inherited together and are not separated during meiotic homologous recombination. It is typically used in family studies to determine the position of an associated variant(s)</w:t>
      </w:r>
      <w:r>
        <w:rPr>
          <w:rFonts w:ascii="Book Antiqua" w:eastAsia="Book Antiqua" w:hAnsi="Book Antiqua" w:cs="Book Antiqua"/>
          <w:color w:val="000000"/>
          <w:vertAlign w:val="superscript"/>
        </w:rPr>
        <w:t>[39,40]</w:t>
      </w:r>
      <w:r>
        <w:rPr>
          <w:rFonts w:ascii="Book Antiqua" w:eastAsia="Book Antiqua" w:hAnsi="Book Antiqua" w:cs="Book Antiqua"/>
          <w:color w:val="000000"/>
        </w:rPr>
        <w:t>. Linkage studies have successfully uncovered genetic variations that cause monogenic diseases such as MODY</w:t>
      </w:r>
      <w:r>
        <w:rPr>
          <w:rFonts w:ascii="Book Antiqua" w:eastAsia="Book Antiqua" w:hAnsi="Book Antiqua" w:cs="Book Antiqua"/>
          <w:color w:val="000000"/>
          <w:vertAlign w:val="superscript"/>
        </w:rPr>
        <w:t>[41]</w:t>
      </w:r>
      <w:r>
        <w:rPr>
          <w:rFonts w:ascii="Book Antiqua" w:eastAsia="Book Antiqua" w:hAnsi="Book Antiqua" w:cs="Book Antiqua"/>
          <w:color w:val="000000"/>
        </w:rPr>
        <w:t>. In 1996, using linkage analysis, major histocompatibility complex loci (HLA) on chromosome 6 were identified as the genetic susceptibility loci for T1DM</w:t>
      </w:r>
      <w:r>
        <w:rPr>
          <w:rFonts w:ascii="Book Antiqua" w:eastAsia="Book Antiqua" w:hAnsi="Book Antiqua" w:cs="Book Antiqua"/>
          <w:color w:val="000000"/>
          <w:vertAlign w:val="superscript"/>
        </w:rPr>
        <w:t>[42]</w:t>
      </w:r>
      <w:r>
        <w:rPr>
          <w:rFonts w:ascii="Book Antiqua" w:eastAsia="Book Antiqua" w:hAnsi="Book Antiqua" w:cs="Book Antiqua"/>
          <w:color w:val="000000"/>
        </w:rPr>
        <w:t>. In 2004, the calpain-10 gene (</w:t>
      </w:r>
      <w:r>
        <w:rPr>
          <w:rFonts w:ascii="Book Antiqua" w:eastAsia="Book Antiqua" w:hAnsi="Book Antiqua" w:cs="Book Antiqua"/>
          <w:i/>
          <w:iCs/>
          <w:color w:val="000000"/>
        </w:rPr>
        <w:t>CAPN10</w:t>
      </w:r>
      <w:r>
        <w:rPr>
          <w:rFonts w:ascii="Book Antiqua" w:eastAsia="Book Antiqua" w:hAnsi="Book Antiqua" w:cs="Book Antiqua"/>
          <w:color w:val="000000"/>
        </w:rPr>
        <w:t xml:space="preserve">) on </w:t>
      </w:r>
      <w:r>
        <w:rPr>
          <w:rFonts w:ascii="Book Antiqua" w:eastAsia="Book Antiqua" w:hAnsi="Book Antiqua" w:cs="Book Antiqua"/>
          <w:color w:val="000000"/>
        </w:rPr>
        <w:lastRenderedPageBreak/>
        <w:t>chromosome 2 was identified as the cause of T2DM using genome-wide screening and positional cloning</w:t>
      </w:r>
      <w:r>
        <w:rPr>
          <w:rFonts w:ascii="Book Antiqua" w:eastAsia="Book Antiqua" w:hAnsi="Book Antiqua" w:cs="Book Antiqua"/>
          <w:color w:val="000000"/>
          <w:vertAlign w:val="superscript"/>
        </w:rPr>
        <w:t>[43,44]</w:t>
      </w:r>
      <w:r>
        <w:rPr>
          <w:rFonts w:ascii="Book Antiqua" w:eastAsia="Book Antiqua" w:hAnsi="Book Antiqua" w:cs="Book Antiqua"/>
          <w:color w:val="000000"/>
        </w:rPr>
        <w:t xml:space="preserve">. </w:t>
      </w:r>
      <w:r>
        <w:rPr>
          <w:rFonts w:ascii="Book Antiqua" w:eastAsia="Book Antiqua" w:hAnsi="Book Antiqua" w:cs="Book Antiqua"/>
          <w:i/>
          <w:iCs/>
          <w:color w:val="000000"/>
        </w:rPr>
        <w:t>TCF7L2</w:t>
      </w:r>
      <w:r>
        <w:rPr>
          <w:rFonts w:ascii="Book Antiqua" w:eastAsia="Book Antiqua" w:hAnsi="Book Antiqua" w:cs="Book Antiqua"/>
          <w:color w:val="000000"/>
        </w:rPr>
        <w:t>, the now well-known T2DM gene, was mapped to chromosome 10 in a Mexican-American group in the year 1999 and has been replicated several times in T2DM genome-wide association studies (GWAS)</w:t>
      </w:r>
      <w:r>
        <w:rPr>
          <w:rFonts w:ascii="Book Antiqua" w:eastAsia="Book Antiqua" w:hAnsi="Book Antiqua" w:cs="Book Antiqua"/>
          <w:color w:val="000000"/>
          <w:vertAlign w:val="superscript"/>
        </w:rPr>
        <w:t>[45,46]</w:t>
      </w:r>
      <w:r>
        <w:rPr>
          <w:rFonts w:ascii="Book Antiqua" w:eastAsia="Book Antiqua" w:hAnsi="Book Antiqua" w:cs="Book Antiqua"/>
          <w:color w:val="000000"/>
        </w:rPr>
        <w:t xml:space="preserve">. </w:t>
      </w:r>
      <w:r>
        <w:rPr>
          <w:rFonts w:ascii="Book Antiqua" w:eastAsia="Book Antiqua" w:hAnsi="Book Antiqua" w:cs="Book Antiqua"/>
          <w:i/>
          <w:iCs/>
          <w:color w:val="000000"/>
        </w:rPr>
        <w:t>TCF7L2</w:t>
      </w:r>
      <w:r>
        <w:rPr>
          <w:rFonts w:ascii="Book Antiqua" w:eastAsia="Book Antiqua" w:hAnsi="Book Antiqua" w:cs="Book Antiqua"/>
          <w:color w:val="000000"/>
        </w:rPr>
        <w:t xml:space="preserve"> plays an important role in the Wnt/β-catenin signaling pathway and helps in regulating the expression of genes in lipid metabolism in adipocytes and glucose-induced insulin exocytosis.</w:t>
      </w:r>
    </w:p>
    <w:p w14:paraId="53BBBD92" w14:textId="77777777" w:rsidR="00BA6BF8" w:rsidRDefault="00BA6BF8">
      <w:pPr>
        <w:spacing w:line="360" w:lineRule="auto"/>
        <w:jc w:val="both"/>
        <w:rPr>
          <w:rFonts w:ascii="Book Antiqua" w:hAnsi="Book Antiqua"/>
        </w:rPr>
      </w:pPr>
    </w:p>
    <w:p w14:paraId="64647BEE" w14:textId="77777777" w:rsidR="00BA6BF8" w:rsidRDefault="00000000">
      <w:pPr>
        <w:spacing w:line="360" w:lineRule="auto"/>
        <w:jc w:val="both"/>
        <w:rPr>
          <w:rFonts w:ascii="Book Antiqua" w:hAnsi="Book Antiqua"/>
        </w:rPr>
      </w:pPr>
      <w:r>
        <w:rPr>
          <w:rFonts w:ascii="Book Antiqua" w:eastAsia="Book Antiqua" w:hAnsi="Book Antiqua" w:cs="Book Antiqua"/>
          <w:b/>
          <w:bCs/>
          <w:i/>
          <w:iCs/>
          <w:color w:val="000000"/>
        </w:rPr>
        <w:t>Candidate gene association studies</w:t>
      </w:r>
    </w:p>
    <w:p w14:paraId="7DF336E5"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It is a hypothesis-driven method in which candidate genes are chosen based on prior knowledge such as a gene's biological function, position, or probable significance about a given phenotype</w:t>
      </w:r>
      <w:r>
        <w:rPr>
          <w:rFonts w:ascii="Book Antiqua" w:eastAsia="Book Antiqua" w:hAnsi="Book Antiqua" w:cs="Book Antiqua"/>
          <w:color w:val="000000"/>
          <w:vertAlign w:val="superscript"/>
        </w:rPr>
        <w:t>[47]</w:t>
      </w:r>
      <w:r>
        <w:rPr>
          <w:rFonts w:ascii="Book Antiqua" w:eastAsia="Book Antiqua" w:hAnsi="Book Antiqua" w:cs="Book Antiqua"/>
          <w:color w:val="000000"/>
        </w:rPr>
        <w:t>. This method is usually more suitable in studies where individuals are unrelated</w:t>
      </w:r>
      <w:r>
        <w:rPr>
          <w:rFonts w:ascii="Book Antiqua" w:eastAsia="Book Antiqua" w:hAnsi="Book Antiqua" w:cs="Book Antiqua"/>
          <w:color w:val="000000"/>
          <w:vertAlign w:val="superscript"/>
        </w:rPr>
        <w:t>[48]</w:t>
      </w:r>
      <w:r>
        <w:rPr>
          <w:rFonts w:ascii="Book Antiqua" w:eastAsia="Book Antiqua" w:hAnsi="Book Antiqua" w:cs="Book Antiqua"/>
          <w:color w:val="000000"/>
        </w:rPr>
        <w:t>. Candidate gene studies revealed an association between T2DM and insulin receptor substrate 1 (</w:t>
      </w:r>
      <w:r>
        <w:rPr>
          <w:rFonts w:ascii="Book Antiqua" w:eastAsia="Book Antiqua" w:hAnsi="Book Antiqua" w:cs="Book Antiqua"/>
          <w:i/>
          <w:iCs/>
          <w:color w:val="000000"/>
        </w:rPr>
        <w:t>IRS1</w:t>
      </w:r>
      <w:r>
        <w:rPr>
          <w:rFonts w:ascii="Book Antiqua" w:eastAsia="Book Antiqua" w:hAnsi="Book Antiqua" w:cs="Book Antiqua"/>
          <w:color w:val="000000"/>
        </w:rPr>
        <w:t>), peroxisome proliferator-activated receptor gamma (</w:t>
      </w:r>
      <w:r>
        <w:rPr>
          <w:rFonts w:ascii="Book Antiqua" w:eastAsia="Book Antiqua" w:hAnsi="Book Antiqua" w:cs="Book Antiqua"/>
          <w:i/>
          <w:iCs/>
          <w:color w:val="000000"/>
        </w:rPr>
        <w:t>PPARG</w:t>
      </w:r>
      <w:r>
        <w:rPr>
          <w:rFonts w:ascii="Book Antiqua" w:eastAsia="Book Antiqua" w:hAnsi="Book Antiqua" w:cs="Book Antiqua"/>
          <w:color w:val="000000"/>
        </w:rPr>
        <w:t>), and insulin receptor substrate 2 (</w:t>
      </w:r>
      <w:r>
        <w:rPr>
          <w:rFonts w:ascii="Book Antiqua" w:eastAsia="Book Antiqua" w:hAnsi="Book Antiqua" w:cs="Book Antiqua"/>
          <w:i/>
          <w:iCs/>
          <w:color w:val="000000"/>
        </w:rPr>
        <w:t>IRS2</w:t>
      </w:r>
      <w:r>
        <w:rPr>
          <w:rFonts w:ascii="Book Antiqua" w:eastAsia="Book Antiqua" w:hAnsi="Book Antiqua" w:cs="Book Antiqua"/>
          <w:color w:val="000000"/>
        </w:rPr>
        <w:t>), Wolfram syndrome 1 (wolframin) (</w:t>
      </w:r>
      <w:r>
        <w:rPr>
          <w:rFonts w:ascii="Book Antiqua" w:eastAsia="Book Antiqua" w:hAnsi="Book Antiqua" w:cs="Book Antiqua"/>
          <w:i/>
          <w:iCs/>
          <w:color w:val="000000"/>
        </w:rPr>
        <w:t>WFS1</w:t>
      </w:r>
      <w:r>
        <w:rPr>
          <w:rFonts w:ascii="Book Antiqua" w:eastAsia="Book Antiqua" w:hAnsi="Book Antiqua" w:cs="Book Antiqua"/>
          <w:color w:val="000000"/>
        </w:rPr>
        <w:t>), potassium inwardly-rectifying channel, subfamily J, member 11 (</w:t>
      </w:r>
      <w:r>
        <w:rPr>
          <w:rFonts w:ascii="Book Antiqua" w:eastAsia="Book Antiqua" w:hAnsi="Book Antiqua" w:cs="Book Antiqua"/>
          <w:i/>
          <w:iCs/>
          <w:color w:val="000000"/>
        </w:rPr>
        <w:t>KCNJ11</w:t>
      </w:r>
      <w:r>
        <w:rPr>
          <w:rFonts w:ascii="Book Antiqua" w:eastAsia="Book Antiqua" w:hAnsi="Book Antiqua" w:cs="Book Antiqua"/>
          <w:color w:val="000000"/>
        </w:rPr>
        <w:t>), HNF1 homeobox A (</w:t>
      </w:r>
      <w:r>
        <w:rPr>
          <w:rFonts w:ascii="Book Antiqua" w:eastAsia="Book Antiqua" w:hAnsi="Book Antiqua" w:cs="Book Antiqua"/>
          <w:i/>
          <w:iCs/>
          <w:color w:val="000000"/>
        </w:rPr>
        <w:t>HNF1A</w:t>
      </w:r>
      <w:r>
        <w:rPr>
          <w:rFonts w:ascii="Book Antiqua" w:eastAsia="Book Antiqua" w:hAnsi="Book Antiqua" w:cs="Book Antiqua"/>
          <w:color w:val="000000"/>
        </w:rPr>
        <w:t>), and HNF1 homeobox B (</w:t>
      </w:r>
      <w:r>
        <w:rPr>
          <w:rFonts w:ascii="Book Antiqua" w:eastAsia="Book Antiqua" w:hAnsi="Book Antiqua" w:cs="Book Antiqua"/>
          <w:i/>
          <w:iCs/>
          <w:color w:val="000000"/>
        </w:rPr>
        <w:t>HNF1B</w:t>
      </w:r>
      <w:r>
        <w:rPr>
          <w:rFonts w:ascii="Book Antiqua" w:eastAsia="Book Antiqua" w:hAnsi="Book Antiqua" w:cs="Book Antiqua"/>
          <w:color w:val="000000"/>
        </w:rPr>
        <w:t>)</w:t>
      </w:r>
      <w:r>
        <w:rPr>
          <w:rFonts w:ascii="Book Antiqua" w:eastAsia="Book Antiqua" w:hAnsi="Book Antiqua" w:cs="Book Antiqua"/>
          <w:color w:val="000000"/>
          <w:vertAlign w:val="superscript"/>
        </w:rPr>
        <w:t>[49]</w:t>
      </w:r>
      <w:r>
        <w:rPr>
          <w:rFonts w:ascii="Book Antiqua" w:eastAsia="Book Antiqua" w:hAnsi="Book Antiqua" w:cs="Book Antiqua"/>
          <w:color w:val="000000"/>
        </w:rPr>
        <w:t>. By association studies for T1DM, four non-HLA genes with established risk loci [</w:t>
      </w:r>
      <w:r>
        <w:rPr>
          <w:rFonts w:ascii="Book Antiqua" w:eastAsia="Book Antiqua" w:hAnsi="Book Antiqua" w:cs="Book Antiqua"/>
          <w:i/>
          <w:iCs/>
          <w:color w:val="000000"/>
        </w:rPr>
        <w:t>HLA</w:t>
      </w:r>
      <w:r>
        <w:rPr>
          <w:rFonts w:ascii="Book Antiqua" w:eastAsia="Book Antiqua" w:hAnsi="Book Antiqua" w:cs="Book Antiqua"/>
          <w:color w:val="000000"/>
        </w:rPr>
        <w:t xml:space="preserve">, </w:t>
      </w:r>
      <w:r>
        <w:rPr>
          <w:rFonts w:ascii="Book Antiqua" w:eastAsia="Book Antiqua" w:hAnsi="Book Antiqua" w:cs="Book Antiqua"/>
          <w:i/>
          <w:iCs/>
          <w:color w:val="000000"/>
        </w:rPr>
        <w:t>INS</w:t>
      </w:r>
      <w:r>
        <w:rPr>
          <w:rFonts w:ascii="Book Antiqua" w:eastAsia="Book Antiqua" w:hAnsi="Book Antiqua" w:cs="Book Antiqua"/>
          <w:color w:val="000000"/>
        </w:rPr>
        <w:t xml:space="preserve"> (insulin), </w:t>
      </w:r>
      <w:r>
        <w:rPr>
          <w:rFonts w:ascii="Book Antiqua" w:eastAsia="Book Antiqua" w:hAnsi="Book Antiqua" w:cs="Book Antiqua"/>
          <w:i/>
          <w:iCs/>
          <w:color w:val="000000"/>
        </w:rPr>
        <w:t>CTLA4</w:t>
      </w:r>
      <w:r>
        <w:rPr>
          <w:rFonts w:ascii="Book Antiqua" w:eastAsia="Book Antiqua" w:hAnsi="Book Antiqua" w:cs="Book Antiqua"/>
          <w:color w:val="000000"/>
        </w:rPr>
        <w:t xml:space="preserve"> (cytotoxic T-lymphocyte antigen 4), </w:t>
      </w:r>
      <w:r>
        <w:rPr>
          <w:rFonts w:ascii="Book Antiqua" w:eastAsia="Book Antiqua" w:hAnsi="Book Antiqua" w:cs="Book Antiqua"/>
          <w:i/>
          <w:iCs/>
          <w:color w:val="000000"/>
        </w:rPr>
        <w:t>PTPN22</w:t>
      </w:r>
      <w:r>
        <w:rPr>
          <w:rFonts w:ascii="Book Antiqua" w:eastAsia="Book Antiqua" w:hAnsi="Book Antiqua" w:cs="Book Antiqua"/>
          <w:color w:val="000000"/>
        </w:rPr>
        <w:t>]</w:t>
      </w:r>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could be identified. Of all the genes identified for gestational DM; </w:t>
      </w:r>
      <w:r>
        <w:rPr>
          <w:rFonts w:ascii="Book Antiqua" w:eastAsia="Book Antiqua" w:hAnsi="Book Antiqua" w:cs="Book Antiqua"/>
          <w:i/>
          <w:iCs/>
          <w:color w:val="000000"/>
        </w:rPr>
        <w:t>TCF7L2</w:t>
      </w:r>
      <w:r>
        <w:rPr>
          <w:rFonts w:ascii="Book Antiqua" w:eastAsia="Book Antiqua" w:hAnsi="Book Antiqua" w:cs="Book Antiqua"/>
          <w:color w:val="000000"/>
        </w:rPr>
        <w:t xml:space="preserve">, </w:t>
      </w:r>
      <w:r>
        <w:rPr>
          <w:rFonts w:ascii="Book Antiqua" w:eastAsia="Book Antiqua" w:hAnsi="Book Antiqua" w:cs="Book Antiqua"/>
          <w:i/>
          <w:iCs/>
          <w:color w:val="000000"/>
        </w:rPr>
        <w:t>MTNR1B</w:t>
      </w:r>
      <w:r>
        <w:rPr>
          <w:rFonts w:ascii="Book Antiqua" w:eastAsia="Book Antiqua" w:hAnsi="Book Antiqua" w:cs="Book Antiqua"/>
          <w:color w:val="000000"/>
        </w:rPr>
        <w:t xml:space="preserve">, </w:t>
      </w:r>
      <w:r>
        <w:rPr>
          <w:rFonts w:ascii="Book Antiqua" w:eastAsia="Book Antiqua" w:hAnsi="Book Antiqua" w:cs="Book Antiqua"/>
          <w:i/>
          <w:iCs/>
          <w:color w:val="000000"/>
        </w:rPr>
        <w:t>CDKAL1</w:t>
      </w:r>
      <w:r>
        <w:rPr>
          <w:rFonts w:ascii="Book Antiqua" w:eastAsia="Book Antiqua" w:hAnsi="Book Antiqua" w:cs="Book Antiqua"/>
          <w:color w:val="000000"/>
        </w:rPr>
        <w:t xml:space="preserve">, </w:t>
      </w:r>
      <w:r>
        <w:rPr>
          <w:rFonts w:ascii="Book Antiqua" w:eastAsia="Book Antiqua" w:hAnsi="Book Antiqua" w:cs="Book Antiqua"/>
          <w:i/>
          <w:iCs/>
          <w:color w:val="000000"/>
        </w:rPr>
        <w:t>IRS1</w:t>
      </w:r>
      <w:r>
        <w:rPr>
          <w:rFonts w:ascii="Book Antiqua" w:eastAsia="Book Antiqua" w:hAnsi="Book Antiqua" w:cs="Book Antiqua"/>
          <w:color w:val="000000"/>
        </w:rPr>
        <w:t xml:space="preserve">, and </w:t>
      </w:r>
      <w:r>
        <w:rPr>
          <w:rFonts w:ascii="Book Antiqua" w:eastAsia="Book Antiqua" w:hAnsi="Book Antiqua" w:cs="Book Antiqua"/>
          <w:i/>
          <w:iCs/>
          <w:color w:val="000000"/>
        </w:rPr>
        <w:t>KCNQ1</w:t>
      </w:r>
      <w:r>
        <w:rPr>
          <w:rFonts w:ascii="Book Antiqua" w:eastAsia="Book Antiqua" w:hAnsi="Book Antiqua" w:cs="Book Antiqua"/>
          <w:color w:val="000000"/>
        </w:rPr>
        <w:t xml:space="preserve"> candidate genes are the most common, whereas other identified genes are ethnic-specific. On the other hand, MODY is inherited in an autosomal dominant pattern and manifests itself as a result of mutations in transcription factor genes such as </w:t>
      </w:r>
      <w:r>
        <w:rPr>
          <w:rFonts w:ascii="Book Antiqua" w:eastAsia="Book Antiqua" w:hAnsi="Book Antiqua" w:cs="Book Antiqua"/>
          <w:i/>
          <w:iCs/>
          <w:color w:val="000000"/>
        </w:rPr>
        <w:t>HNF4</w:t>
      </w:r>
      <w:r>
        <w:rPr>
          <w:rFonts w:ascii="Book Antiqua" w:eastAsia="Book Antiqua" w:hAnsi="Book Antiqua" w:cs="Book Antiqua"/>
          <w:color w:val="000000"/>
        </w:rPr>
        <w:t xml:space="preserve"> (hepatocyte nuclear factor), </w:t>
      </w:r>
      <w:r>
        <w:rPr>
          <w:rFonts w:ascii="Book Antiqua" w:eastAsia="Book Antiqua" w:hAnsi="Book Antiqua" w:cs="Book Antiqua"/>
          <w:i/>
          <w:iCs/>
          <w:color w:val="000000"/>
        </w:rPr>
        <w:t>HNF1</w:t>
      </w:r>
      <w:r>
        <w:rPr>
          <w:rFonts w:ascii="Book Antiqua" w:eastAsia="Book Antiqua" w:hAnsi="Book Antiqua" w:cs="Book Antiqua"/>
          <w:color w:val="000000"/>
        </w:rPr>
        <w:t xml:space="preserve">, </w:t>
      </w:r>
      <w:r>
        <w:rPr>
          <w:rFonts w:ascii="Book Antiqua" w:eastAsia="Book Antiqua" w:hAnsi="Book Antiqua" w:cs="Book Antiqua"/>
          <w:i/>
          <w:iCs/>
          <w:color w:val="000000"/>
        </w:rPr>
        <w:t>IPF1</w:t>
      </w:r>
      <w:r>
        <w:rPr>
          <w:rFonts w:ascii="Book Antiqua" w:eastAsia="Book Antiqua" w:hAnsi="Book Antiqua" w:cs="Book Antiqua"/>
          <w:color w:val="000000"/>
        </w:rPr>
        <w:t xml:space="preserve"> (insulin promoter factor), and neuro-D1</w:t>
      </w:r>
      <w:r>
        <w:rPr>
          <w:rFonts w:ascii="Book Antiqua" w:eastAsia="Book Antiqua" w:hAnsi="Book Antiqua" w:cs="Book Antiqua"/>
          <w:color w:val="000000"/>
          <w:vertAlign w:val="superscript"/>
        </w:rPr>
        <w:t>[51,52]</w:t>
      </w:r>
      <w:r>
        <w:rPr>
          <w:rFonts w:ascii="Book Antiqua" w:eastAsia="Book Antiqua" w:hAnsi="Book Antiqua" w:cs="Book Antiqua"/>
          <w:color w:val="000000"/>
        </w:rPr>
        <w:t>.</w:t>
      </w:r>
    </w:p>
    <w:p w14:paraId="768DDC6F" w14:textId="77777777" w:rsidR="00BA6BF8" w:rsidRDefault="00BA6BF8">
      <w:pPr>
        <w:spacing w:line="360" w:lineRule="auto"/>
        <w:jc w:val="both"/>
        <w:rPr>
          <w:rFonts w:ascii="Book Antiqua" w:hAnsi="Book Antiqua"/>
        </w:rPr>
      </w:pPr>
    </w:p>
    <w:p w14:paraId="3B4E883C" w14:textId="77777777" w:rsidR="00BA6BF8" w:rsidRDefault="00000000">
      <w:pPr>
        <w:spacing w:line="360" w:lineRule="auto"/>
        <w:jc w:val="both"/>
        <w:rPr>
          <w:rFonts w:ascii="Book Antiqua" w:hAnsi="Book Antiqua"/>
        </w:rPr>
      </w:pPr>
      <w:r>
        <w:rPr>
          <w:rFonts w:ascii="Book Antiqua" w:eastAsia="Book Antiqua" w:hAnsi="Book Antiqua" w:cs="Book Antiqua"/>
          <w:b/>
          <w:bCs/>
          <w:i/>
          <w:iCs/>
          <w:color w:val="000000"/>
        </w:rPr>
        <w:t>Genome-wide association studies</w:t>
      </w:r>
    </w:p>
    <w:p w14:paraId="4ECD2DA7"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GWAS are large-scale hypothesis-free investigations that entail the fast scanning of genetic variants (SNPs on genotyping arrays) across the complete human genome to uncover unique genetic associations with a certain trait</w:t>
      </w:r>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The initial T2DM-related </w:t>
      </w:r>
      <w:r>
        <w:rPr>
          <w:rFonts w:ascii="Book Antiqua" w:eastAsia="Book Antiqua" w:hAnsi="Book Antiqua" w:cs="Book Antiqua"/>
          <w:color w:val="000000"/>
        </w:rPr>
        <w:lastRenderedPageBreak/>
        <w:t>GWAS studies identified hematopoietic expressed homeobox (</w:t>
      </w:r>
      <w:r>
        <w:rPr>
          <w:rFonts w:ascii="Book Antiqua" w:eastAsia="Book Antiqua" w:hAnsi="Book Antiqua" w:cs="Book Antiqua"/>
          <w:i/>
          <w:iCs/>
          <w:color w:val="000000"/>
        </w:rPr>
        <w:t>HHEX</w:t>
      </w:r>
      <w:r>
        <w:rPr>
          <w:rFonts w:ascii="Book Antiqua" w:eastAsia="Book Antiqua" w:hAnsi="Book Antiqua" w:cs="Book Antiqua"/>
          <w:color w:val="000000"/>
        </w:rPr>
        <w:t>), solute carrier family 30 member 8 (</w:t>
      </w:r>
      <w:r>
        <w:rPr>
          <w:rFonts w:ascii="Book Antiqua" w:eastAsia="Book Antiqua" w:hAnsi="Book Antiqua" w:cs="Book Antiqua"/>
          <w:i/>
          <w:iCs/>
          <w:color w:val="000000"/>
        </w:rPr>
        <w:t>SLC30A8</w:t>
      </w:r>
      <w:r>
        <w:rPr>
          <w:rFonts w:ascii="Book Antiqua" w:eastAsia="Book Antiqua" w:hAnsi="Book Antiqua" w:cs="Book Antiqua"/>
          <w:color w:val="000000"/>
        </w:rPr>
        <w:t>), cyclin-dependent kinase inhibitor 31 2A/2B (</w:t>
      </w:r>
      <w:r>
        <w:rPr>
          <w:rFonts w:ascii="Book Antiqua" w:eastAsia="Book Antiqua" w:hAnsi="Book Antiqua" w:cs="Book Antiqua"/>
          <w:i/>
          <w:iCs/>
          <w:color w:val="000000"/>
        </w:rPr>
        <w:t>CDKN2A/2B</w:t>
      </w:r>
      <w:r>
        <w:rPr>
          <w:rFonts w:ascii="Book Antiqua" w:eastAsia="Book Antiqua" w:hAnsi="Book Antiqua" w:cs="Book Antiqua"/>
          <w:color w:val="000000"/>
        </w:rPr>
        <w:t>), insulin-like growth factor 2 mRNA binding protein 2 (</w:t>
      </w:r>
      <w:r>
        <w:rPr>
          <w:rFonts w:ascii="Book Antiqua" w:eastAsia="Book Antiqua" w:hAnsi="Book Antiqua" w:cs="Book Antiqua"/>
          <w:i/>
          <w:iCs/>
          <w:color w:val="000000"/>
        </w:rPr>
        <w:t>IGF2BP2</w:t>
      </w:r>
      <w:r>
        <w:rPr>
          <w:rFonts w:ascii="Book Antiqua" w:eastAsia="Book Antiqua" w:hAnsi="Book Antiqua" w:cs="Book Antiqua"/>
          <w:color w:val="000000"/>
        </w:rPr>
        <w:t>), CDK5 regulatory subunit associated protein 1 Like 1 (</w:t>
      </w:r>
      <w:r>
        <w:rPr>
          <w:rFonts w:ascii="Book Antiqua" w:eastAsia="Book Antiqua" w:hAnsi="Book Antiqua" w:cs="Book Antiqua"/>
          <w:i/>
          <w:iCs/>
          <w:color w:val="000000"/>
        </w:rPr>
        <w:t>CDKAL1</w:t>
      </w:r>
      <w:r>
        <w:rPr>
          <w:rFonts w:ascii="Book Antiqua" w:eastAsia="Book Antiqua" w:hAnsi="Book Antiqua" w:cs="Book Antiqua"/>
          <w:color w:val="000000"/>
        </w:rPr>
        <w:t>), and FTO alpha-ketoglutarate (</w:t>
      </w:r>
      <w:r>
        <w:rPr>
          <w:rFonts w:ascii="Book Antiqua" w:eastAsia="Book Antiqua" w:hAnsi="Book Antiqua" w:cs="Book Antiqua"/>
          <w:i/>
          <w:iCs/>
          <w:color w:val="000000"/>
        </w:rPr>
        <w:t>FTO</w:t>
      </w:r>
      <w:r>
        <w:rPr>
          <w:rFonts w:ascii="Book Antiqua" w:eastAsia="Book Antiqua" w:hAnsi="Book Antiqua" w:cs="Book Antiqua"/>
          <w:color w:val="000000"/>
        </w:rPr>
        <w:t>)</w:t>
      </w:r>
      <w:r>
        <w:rPr>
          <w:rFonts w:ascii="Book Antiqua" w:eastAsia="Book Antiqua" w:hAnsi="Book Antiqua" w:cs="Book Antiqua"/>
          <w:color w:val="000000"/>
          <w:vertAlign w:val="superscript"/>
        </w:rPr>
        <w:t>[54-58]</w:t>
      </w:r>
      <w:r>
        <w:rPr>
          <w:rFonts w:ascii="Book Antiqua" w:eastAsia="Book Antiqua" w:hAnsi="Book Antiqua" w:cs="Book Antiqua"/>
          <w:color w:val="000000"/>
        </w:rPr>
        <w:t>. Approximately 250 significant susceptibility loci for T2DM have been identified to date (https://www.ebi.ac.uk/gwas/efotraits/MONDO_0005148). On the other hand, for T1DM by GWAS more than 60 loci have so far been discovered (https://www.ebi.ac.uk/gwas/efotraits/MONDO_0005147), revealing the pathways underlying the disease, and overlaps with autoimmune diseases</w:t>
      </w:r>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GWAS in T1DM has not only verified the previously reported T1DM loci but also uncovered several novel variations, such as those near the </w:t>
      </w:r>
      <w:r>
        <w:rPr>
          <w:rFonts w:ascii="Book Antiqua" w:eastAsia="Book Antiqua" w:hAnsi="Book Antiqua" w:cs="Book Antiqua"/>
          <w:i/>
          <w:iCs/>
          <w:color w:val="000000"/>
        </w:rPr>
        <w:t xml:space="preserve">KIAA0350 </w:t>
      </w:r>
      <w:r>
        <w:rPr>
          <w:rFonts w:ascii="Book Antiqua" w:eastAsia="Book Antiqua" w:hAnsi="Book Antiqua" w:cs="Book Antiqua"/>
          <w:color w:val="000000"/>
        </w:rPr>
        <w:t>(</w:t>
      </w:r>
      <w:r>
        <w:rPr>
          <w:rFonts w:ascii="Book Antiqua" w:eastAsia="Book Antiqua" w:hAnsi="Book Antiqua" w:cs="Book Antiqua"/>
          <w:i/>
          <w:iCs/>
          <w:color w:val="000000"/>
        </w:rPr>
        <w:t>CLEC16A</w:t>
      </w:r>
      <w:r>
        <w:rPr>
          <w:rFonts w:ascii="Book Antiqua" w:eastAsia="Book Antiqua" w:hAnsi="Book Antiqua" w:cs="Book Antiqua"/>
          <w:color w:val="000000"/>
        </w:rPr>
        <w:t xml:space="preserve"> approved symbol)</w:t>
      </w:r>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gene and with </w:t>
      </w:r>
      <w:r>
        <w:rPr>
          <w:rFonts w:ascii="Book Antiqua" w:eastAsia="Book Antiqua" w:hAnsi="Book Antiqua" w:cs="Book Antiqua"/>
          <w:i/>
          <w:iCs/>
          <w:color w:val="000000"/>
        </w:rPr>
        <w:t>UBASH3A</w:t>
      </w:r>
      <w:r>
        <w:rPr>
          <w:rFonts w:ascii="Book Antiqua" w:eastAsia="Book Antiqua" w:hAnsi="Book Antiqua" w:cs="Book Antiqua"/>
          <w:color w:val="000000"/>
        </w:rPr>
        <w:t xml:space="preserve"> (ubiquitin-associated and SH3 containing A)</w:t>
      </w:r>
      <w:r>
        <w:rPr>
          <w:rFonts w:ascii="Book Antiqua" w:eastAsia="Book Antiqua" w:hAnsi="Book Antiqua" w:cs="Book Antiqua"/>
          <w:color w:val="000000"/>
          <w:vertAlign w:val="superscript"/>
        </w:rPr>
        <w:t>[61]</w:t>
      </w:r>
      <w:r>
        <w:rPr>
          <w:rFonts w:ascii="Book Antiqua" w:eastAsia="Book Antiqua" w:hAnsi="Book Antiqua" w:cs="Book Antiqua"/>
          <w:color w:val="000000"/>
        </w:rPr>
        <w:t>. To our knowledge, to date, only three GWAS have been conducted for GDM</w:t>
      </w:r>
      <w:r>
        <w:rPr>
          <w:rFonts w:ascii="Book Antiqua" w:eastAsia="Book Antiqua" w:hAnsi="Book Antiqua" w:cs="Book Antiqua"/>
          <w:color w:val="000000"/>
          <w:vertAlign w:val="superscript"/>
        </w:rPr>
        <w:t>[62-64]</w:t>
      </w:r>
      <w:r>
        <w:rPr>
          <w:rFonts w:ascii="Book Antiqua" w:eastAsia="Book Antiqua" w:hAnsi="Book Antiqua" w:cs="Book Antiqua"/>
          <w:color w:val="000000"/>
        </w:rPr>
        <w:t xml:space="preserve">. Kwak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identified two significant GDM variants, rs7754840 and rs10830962 in the intronic region of </w:t>
      </w:r>
      <w:r>
        <w:rPr>
          <w:rFonts w:ascii="Book Antiqua" w:eastAsia="Book Antiqua" w:hAnsi="Book Antiqua" w:cs="Book Antiqua"/>
          <w:i/>
          <w:iCs/>
          <w:color w:val="000000"/>
        </w:rPr>
        <w:t>CDKAL1</w:t>
      </w:r>
      <w:r>
        <w:rPr>
          <w:rFonts w:ascii="Book Antiqua" w:eastAsia="Book Antiqua" w:hAnsi="Book Antiqua" w:cs="Book Antiqua"/>
          <w:color w:val="000000"/>
        </w:rPr>
        <w:t xml:space="preserve">, and upstream of </w:t>
      </w:r>
      <w:r>
        <w:rPr>
          <w:rFonts w:ascii="Book Antiqua" w:eastAsia="Book Antiqua" w:hAnsi="Book Antiqua" w:cs="Book Antiqua"/>
          <w:i/>
          <w:iCs/>
          <w:color w:val="000000"/>
        </w:rPr>
        <w:t>MTNR1B</w:t>
      </w:r>
      <w:r>
        <w:rPr>
          <w:rFonts w:ascii="Book Antiqua" w:eastAsia="Book Antiqua" w:hAnsi="Book Antiqua" w:cs="Book Antiqua"/>
          <w:color w:val="000000"/>
        </w:rPr>
        <w:t xml:space="preserve">, respectively. On the other hand, Wu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identified 23 SNPs in four genes: </w:t>
      </w:r>
      <w:r>
        <w:rPr>
          <w:rFonts w:ascii="Book Antiqua" w:eastAsia="Book Antiqua" w:hAnsi="Book Antiqua" w:cs="Book Antiqua"/>
          <w:i/>
          <w:iCs/>
          <w:color w:val="000000"/>
        </w:rPr>
        <w:t>CTIF</w:t>
      </w:r>
      <w:r>
        <w:rPr>
          <w:rFonts w:ascii="Book Antiqua" w:eastAsia="Book Antiqua" w:hAnsi="Book Antiqua" w:cs="Book Antiqua"/>
          <w:color w:val="000000"/>
        </w:rPr>
        <w:t xml:space="preserve">, </w:t>
      </w:r>
      <w:r>
        <w:rPr>
          <w:rFonts w:ascii="Book Antiqua" w:eastAsia="Book Antiqua" w:hAnsi="Book Antiqua" w:cs="Book Antiqua"/>
          <w:i/>
          <w:iCs/>
          <w:color w:val="000000"/>
        </w:rPr>
        <w:t>CDH18</w:t>
      </w:r>
      <w:r>
        <w:rPr>
          <w:rFonts w:ascii="Book Antiqua" w:eastAsia="Book Antiqua" w:hAnsi="Book Antiqua" w:cs="Book Antiqua"/>
          <w:color w:val="000000"/>
        </w:rPr>
        <w:t xml:space="preserve">, </w:t>
      </w:r>
      <w:r>
        <w:rPr>
          <w:rFonts w:ascii="Book Antiqua" w:eastAsia="Book Antiqua" w:hAnsi="Book Antiqua" w:cs="Book Antiqua"/>
          <w:i/>
          <w:iCs/>
          <w:color w:val="000000"/>
        </w:rPr>
        <w:t>PTGIS</w:t>
      </w:r>
      <w:r>
        <w:rPr>
          <w:rFonts w:ascii="Book Antiqua" w:eastAsia="Book Antiqua" w:hAnsi="Book Antiqua" w:cs="Book Antiqua"/>
          <w:color w:val="000000"/>
        </w:rPr>
        <w:t xml:space="preserve">, and </w:t>
      </w:r>
      <w:r>
        <w:rPr>
          <w:rFonts w:ascii="Book Antiqua" w:eastAsia="Book Antiqua" w:hAnsi="Book Antiqua" w:cs="Book Antiqua"/>
          <w:i/>
          <w:iCs/>
          <w:color w:val="000000"/>
        </w:rPr>
        <w:t>SYNPR</w:t>
      </w:r>
      <w:r>
        <w:rPr>
          <w:rFonts w:ascii="Book Antiqua" w:eastAsia="Book Antiqua" w:hAnsi="Book Antiqua" w:cs="Book Antiqua"/>
          <w:color w:val="000000"/>
        </w:rPr>
        <w:t xml:space="preserve"> to be associated with GDM. Recently, Pervjakova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through multi-ancestry meta-analysis reported five loci (mapping to/near </w:t>
      </w:r>
      <w:r>
        <w:rPr>
          <w:rFonts w:ascii="Book Antiqua" w:eastAsia="Book Antiqua" w:hAnsi="Book Antiqua" w:cs="Book Antiqua"/>
          <w:i/>
          <w:iCs/>
          <w:color w:val="000000"/>
        </w:rPr>
        <w:t>MTNR1B</w:t>
      </w:r>
      <w:r>
        <w:rPr>
          <w:rFonts w:ascii="Book Antiqua" w:eastAsia="Book Antiqua" w:hAnsi="Book Antiqua" w:cs="Book Antiqua"/>
          <w:color w:val="000000"/>
        </w:rPr>
        <w:t xml:space="preserve">, </w:t>
      </w:r>
      <w:r>
        <w:rPr>
          <w:rFonts w:ascii="Book Antiqua" w:eastAsia="Book Antiqua" w:hAnsi="Book Antiqua" w:cs="Book Antiqua"/>
          <w:i/>
          <w:iCs/>
          <w:color w:val="000000"/>
        </w:rPr>
        <w:t>TCF7L2</w:t>
      </w:r>
      <w:r>
        <w:rPr>
          <w:rFonts w:ascii="Book Antiqua" w:eastAsia="Book Antiqua" w:hAnsi="Book Antiqua" w:cs="Book Antiqua"/>
          <w:color w:val="000000"/>
        </w:rPr>
        <w:t xml:space="preserve">, </w:t>
      </w:r>
      <w:r>
        <w:rPr>
          <w:rFonts w:ascii="Book Antiqua" w:eastAsia="Book Antiqua" w:hAnsi="Book Antiqua" w:cs="Book Antiqua"/>
          <w:i/>
          <w:iCs/>
          <w:color w:val="000000"/>
        </w:rPr>
        <w:t>CDKAL1</w:t>
      </w:r>
      <w:r>
        <w:rPr>
          <w:rFonts w:ascii="Book Antiqua" w:eastAsia="Book Antiqua" w:hAnsi="Book Antiqua" w:cs="Book Antiqua"/>
          <w:color w:val="000000"/>
        </w:rPr>
        <w:t xml:space="preserve">, </w:t>
      </w:r>
      <w:r>
        <w:rPr>
          <w:rFonts w:ascii="Book Antiqua" w:eastAsia="Book Antiqua" w:hAnsi="Book Antiqua" w:cs="Book Antiqua"/>
          <w:i/>
          <w:iCs/>
          <w:color w:val="000000"/>
        </w:rPr>
        <w:t>CDKN2A</w:t>
      </w:r>
      <w:r>
        <w:rPr>
          <w:rFonts w:ascii="Book Antiqua" w:eastAsia="Book Antiqua" w:hAnsi="Book Antiqua" w:cs="Book Antiqua"/>
          <w:color w:val="000000"/>
        </w:rPr>
        <w:t>-</w:t>
      </w:r>
      <w:r>
        <w:rPr>
          <w:rFonts w:ascii="Book Antiqua" w:eastAsia="Book Antiqua" w:hAnsi="Book Antiqua" w:cs="Book Antiqua"/>
          <w:i/>
          <w:iCs/>
          <w:color w:val="000000"/>
        </w:rPr>
        <w:t>CDKN2B</w:t>
      </w:r>
      <w:r>
        <w:rPr>
          <w:rFonts w:ascii="Book Antiqua" w:eastAsia="Book Antiqua" w:hAnsi="Book Antiqua" w:cs="Book Antiqua"/>
          <w:color w:val="000000"/>
        </w:rPr>
        <w:t xml:space="preserve">, and </w:t>
      </w:r>
      <w:r>
        <w:rPr>
          <w:rFonts w:ascii="Book Antiqua" w:eastAsia="Book Antiqua" w:hAnsi="Book Antiqua" w:cs="Book Antiqua"/>
          <w:i/>
          <w:iCs/>
          <w:color w:val="000000"/>
        </w:rPr>
        <w:t>HKDC1</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through genome-wide association studies for GDM. Using a meta-analysis approach, the genetic architecture of T1DM and T2DM has been determined in many populations with different ethnic backgrounds</w:t>
      </w:r>
      <w:r>
        <w:rPr>
          <w:rFonts w:ascii="Book Antiqua" w:eastAsia="Book Antiqua" w:hAnsi="Book Antiqua" w:cs="Book Antiqua"/>
          <w:color w:val="000000"/>
          <w:vertAlign w:val="superscript"/>
        </w:rPr>
        <w:t>[65-74]</w:t>
      </w:r>
      <w:r>
        <w:rPr>
          <w:rFonts w:ascii="Book Antiqua" w:eastAsia="Book Antiqua" w:hAnsi="Book Antiqua" w:cs="Book Antiqua"/>
          <w:color w:val="000000"/>
        </w:rPr>
        <w:t>.</w:t>
      </w:r>
    </w:p>
    <w:p w14:paraId="305D40ED" w14:textId="77777777" w:rsidR="00BA6BF8"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There are many challenges to the GWAS approach. The current GWAS genotyping arrays are based on HapMap and the 1000 genome project dataset, and these are designed to target common SNPs (MAF &gt; 5%). As a result, the prior GWAS did not directly investigate rare variants for an association with the trait</w:t>
      </w:r>
      <w:r>
        <w:rPr>
          <w:rFonts w:ascii="Book Antiqua" w:eastAsia="Book Antiqua" w:hAnsi="Book Antiqua" w:cs="Book Antiqua"/>
          <w:color w:val="000000"/>
          <w:vertAlign w:val="superscript"/>
        </w:rPr>
        <w:t>[75]</w:t>
      </w:r>
      <w:r>
        <w:rPr>
          <w:rFonts w:ascii="Book Antiqua" w:eastAsia="Book Antiqua" w:hAnsi="Book Antiqua" w:cs="Book Antiqua"/>
          <w:color w:val="000000"/>
        </w:rPr>
        <w:t xml:space="preserve">. Also, the observed variants that are linked to the trait may not be the causal variations, but rather be in linkage disequilibrium with the causal variants. Furthermore, since the variant is often located outside the coding regions and may affect genes and regulatory elements at a distance, it is usually difficult to understand how the variant affects the trait. </w:t>
      </w:r>
    </w:p>
    <w:p w14:paraId="04909519" w14:textId="77777777" w:rsidR="00BA6BF8" w:rsidRDefault="00BA6BF8">
      <w:pPr>
        <w:spacing w:line="360" w:lineRule="auto"/>
        <w:jc w:val="both"/>
        <w:rPr>
          <w:rFonts w:ascii="Book Antiqua" w:hAnsi="Book Antiqua"/>
        </w:rPr>
      </w:pPr>
    </w:p>
    <w:p w14:paraId="39B4A11F" w14:textId="77777777" w:rsidR="00BA6BF8" w:rsidRDefault="00000000">
      <w:pPr>
        <w:spacing w:line="360" w:lineRule="auto"/>
        <w:jc w:val="both"/>
        <w:rPr>
          <w:rFonts w:ascii="Book Antiqua" w:hAnsi="Book Antiqua"/>
        </w:rPr>
      </w:pPr>
      <w:r>
        <w:rPr>
          <w:rFonts w:ascii="Book Antiqua" w:eastAsia="Book Antiqua" w:hAnsi="Book Antiqua" w:cs="Book Antiqua"/>
          <w:b/>
          <w:bCs/>
          <w:i/>
          <w:iCs/>
          <w:color w:val="000000"/>
        </w:rPr>
        <w:t>Genome-wide rare variants association studies</w:t>
      </w:r>
    </w:p>
    <w:p w14:paraId="6195EF36"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The 'common disease, rare variant' hypothesis, in contrast to the standard 'common disease, common variant' paradigm, says that many rare genetic variations with relatively high penetrance play a significant influence in the elevated risk of common diseases</w:t>
      </w:r>
      <w:r>
        <w:rPr>
          <w:rFonts w:ascii="Book Antiqua" w:eastAsia="Book Antiqua" w:hAnsi="Book Antiqua" w:cs="Book Antiqua"/>
          <w:color w:val="000000"/>
          <w:vertAlign w:val="superscript"/>
        </w:rPr>
        <w:t>[76]</w:t>
      </w:r>
      <w:r>
        <w:rPr>
          <w:rFonts w:ascii="Book Antiqua" w:eastAsia="Book Antiqua" w:hAnsi="Book Antiqua" w:cs="Book Antiqua"/>
          <w:color w:val="000000"/>
        </w:rPr>
        <w:t xml:space="preserve">. Huyghe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[77]</w:t>
      </w:r>
      <w:r>
        <w:rPr>
          <w:rFonts w:ascii="Book Antiqua" w:eastAsia="Book Antiqua" w:hAnsi="Book Antiqua" w:cs="Book Antiqua"/>
          <w:color w:val="000000"/>
        </w:rPr>
        <w:t xml:space="preserve"> for the first time in 2013 investigated the significance of low-frequency variants (minor allele frequency &lt; 5%) associated with the risk of T2DM or T2DM-related traits using the Illumina exome array technique. Two low-frequency variants in </w:t>
      </w:r>
      <w:r>
        <w:rPr>
          <w:rFonts w:ascii="Book Antiqua" w:eastAsia="Book Antiqua" w:hAnsi="Book Antiqua" w:cs="Book Antiqua"/>
          <w:i/>
          <w:iCs/>
          <w:color w:val="000000"/>
        </w:rPr>
        <w:t>SGSM2</w:t>
      </w:r>
      <w:r>
        <w:rPr>
          <w:rFonts w:ascii="Book Antiqua" w:eastAsia="Book Antiqua" w:hAnsi="Book Antiqua" w:cs="Book Antiqua"/>
          <w:color w:val="000000"/>
        </w:rPr>
        <w:t xml:space="preserve"> and </w:t>
      </w:r>
      <w:r>
        <w:rPr>
          <w:rFonts w:ascii="Book Antiqua" w:eastAsia="Book Antiqua" w:hAnsi="Book Antiqua" w:cs="Book Antiqua"/>
          <w:i/>
          <w:iCs/>
          <w:color w:val="000000"/>
        </w:rPr>
        <w:t>MADD</w:t>
      </w:r>
      <w:r>
        <w:rPr>
          <w:rFonts w:ascii="Book Antiqua" w:eastAsia="Book Antiqua" w:hAnsi="Book Antiqua" w:cs="Book Antiqua"/>
          <w:color w:val="000000"/>
        </w:rPr>
        <w:t xml:space="preserve"> were reported to be associated with fasting proinsulin concentrations and three novel variants in </w:t>
      </w:r>
      <w:r>
        <w:rPr>
          <w:rFonts w:ascii="Book Antiqua" w:eastAsia="Book Antiqua" w:hAnsi="Book Antiqua" w:cs="Book Antiqua"/>
          <w:i/>
          <w:iCs/>
          <w:color w:val="000000"/>
        </w:rPr>
        <w:t>TBC1D30</w:t>
      </w:r>
      <w:r>
        <w:rPr>
          <w:rFonts w:ascii="Book Antiqua" w:eastAsia="Book Antiqua" w:hAnsi="Book Antiqua" w:cs="Book Antiqua"/>
          <w:color w:val="000000"/>
        </w:rPr>
        <w:t xml:space="preserve">, </w:t>
      </w:r>
      <w:r>
        <w:rPr>
          <w:rFonts w:ascii="Book Antiqua" w:eastAsia="Book Antiqua" w:hAnsi="Book Antiqua" w:cs="Book Antiqua"/>
          <w:i/>
          <w:iCs/>
          <w:color w:val="000000"/>
        </w:rPr>
        <w:t>KANK1</w:t>
      </w:r>
      <w:r>
        <w:rPr>
          <w:rFonts w:ascii="Book Antiqua" w:eastAsia="Book Antiqua" w:hAnsi="Book Antiqua" w:cs="Book Antiqua"/>
          <w:color w:val="000000"/>
        </w:rPr>
        <w:t xml:space="preserve">, and </w:t>
      </w:r>
      <w:r>
        <w:rPr>
          <w:rFonts w:ascii="Book Antiqua" w:eastAsia="Book Antiqua" w:hAnsi="Book Antiqua" w:cs="Book Antiqua"/>
          <w:i/>
          <w:iCs/>
          <w:color w:val="000000"/>
        </w:rPr>
        <w:t>PAM</w:t>
      </w:r>
      <w:r>
        <w:rPr>
          <w:rFonts w:ascii="Book Antiqua" w:eastAsia="Book Antiqua" w:hAnsi="Book Antiqua" w:cs="Book Antiqua"/>
          <w:color w:val="000000"/>
        </w:rPr>
        <w:t xml:space="preserve"> genes were reported with proinsulin or insulinogenic index. Later in 2014, Steinthorsdottir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using an exome sequencing technique in the Icelandic population, reported three more T2DM-associated low-frequency variants in </w:t>
      </w:r>
      <w:r>
        <w:rPr>
          <w:rFonts w:ascii="Book Antiqua" w:eastAsia="Book Antiqua" w:hAnsi="Book Antiqua" w:cs="Book Antiqua"/>
          <w:i/>
          <w:iCs/>
          <w:color w:val="000000"/>
        </w:rPr>
        <w:t>CCND2</w:t>
      </w:r>
      <w:r>
        <w:rPr>
          <w:rFonts w:ascii="Book Antiqua" w:eastAsia="Book Antiqua" w:hAnsi="Book Antiqua" w:cs="Book Antiqua"/>
          <w:color w:val="000000"/>
        </w:rPr>
        <w:t xml:space="preserve">, </w:t>
      </w:r>
      <w:r>
        <w:rPr>
          <w:rFonts w:ascii="Book Antiqua" w:eastAsia="Book Antiqua" w:hAnsi="Book Antiqua" w:cs="Book Antiqua"/>
          <w:i/>
          <w:iCs/>
          <w:color w:val="000000"/>
        </w:rPr>
        <w:t>PAM</w:t>
      </w:r>
      <w:r>
        <w:rPr>
          <w:rFonts w:ascii="Book Antiqua" w:eastAsia="Book Antiqua" w:hAnsi="Book Antiqua" w:cs="Book Antiqua"/>
          <w:color w:val="000000"/>
        </w:rPr>
        <w:t xml:space="preserve">, and </w:t>
      </w:r>
      <w:r>
        <w:rPr>
          <w:rFonts w:ascii="Book Antiqua" w:eastAsia="Book Antiqua" w:hAnsi="Book Antiqua" w:cs="Book Antiqua"/>
          <w:i/>
          <w:iCs/>
          <w:color w:val="000000"/>
        </w:rPr>
        <w:t>PDX1</w:t>
      </w:r>
      <w:r>
        <w:rPr>
          <w:rFonts w:ascii="Book Antiqua" w:eastAsia="Book Antiqua" w:hAnsi="Book Antiqua" w:cs="Book Antiqua"/>
          <w:color w:val="000000"/>
        </w:rPr>
        <w:t xml:space="preserve">. In the following years, rare variants in </w:t>
      </w:r>
      <w:r>
        <w:rPr>
          <w:rFonts w:ascii="Book Antiqua" w:eastAsia="Book Antiqua" w:hAnsi="Book Antiqua" w:cs="Book Antiqua"/>
          <w:i/>
          <w:iCs/>
          <w:color w:val="000000"/>
        </w:rPr>
        <w:t>MTNR1B</w:t>
      </w:r>
      <w:r>
        <w:rPr>
          <w:rFonts w:ascii="Book Antiqua" w:eastAsia="Book Antiqua" w:hAnsi="Book Antiqua" w:cs="Book Antiqua"/>
          <w:color w:val="000000"/>
        </w:rPr>
        <w:t xml:space="preserve">, </w:t>
      </w:r>
      <w:r>
        <w:rPr>
          <w:rFonts w:ascii="Book Antiqua" w:eastAsia="Book Antiqua" w:hAnsi="Book Antiqua" w:cs="Book Antiqua"/>
          <w:i/>
          <w:iCs/>
          <w:color w:val="000000"/>
        </w:rPr>
        <w:t>HNF1</w:t>
      </w:r>
      <w:r>
        <w:rPr>
          <w:rFonts w:ascii="Book Antiqua" w:eastAsia="Book Antiqua" w:hAnsi="Book Antiqua" w:cs="Book Antiqua"/>
          <w:color w:val="000000"/>
        </w:rPr>
        <w:t xml:space="preserve">, and </w:t>
      </w:r>
      <w:r>
        <w:rPr>
          <w:rFonts w:ascii="Book Antiqua" w:eastAsia="Book Antiqua" w:hAnsi="Book Antiqua" w:cs="Book Antiqua"/>
          <w:i/>
          <w:iCs/>
          <w:color w:val="000000"/>
        </w:rPr>
        <w:t>G6PC2</w:t>
      </w:r>
      <w:r>
        <w:rPr>
          <w:rFonts w:ascii="Book Antiqua" w:eastAsia="Book Antiqua" w:hAnsi="Book Antiqua" w:cs="Book Antiqua"/>
          <w:color w:val="000000"/>
        </w:rPr>
        <w:t xml:space="preserve"> genes were also reported to be associated with T2DM or T2D-related traits</w:t>
      </w:r>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Nejentsev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reported four rare variants (rs35667974, rs35337543, rs35732034, and rs35744605) in </w:t>
      </w:r>
      <w:r>
        <w:rPr>
          <w:rFonts w:ascii="Book Antiqua" w:eastAsia="Book Antiqua" w:hAnsi="Book Antiqua" w:cs="Book Antiqua"/>
          <w:i/>
          <w:iCs/>
          <w:color w:val="000000"/>
        </w:rPr>
        <w:t>IFIH1</w:t>
      </w:r>
      <w:r>
        <w:rPr>
          <w:rFonts w:ascii="Book Antiqua" w:eastAsia="Book Antiqua" w:hAnsi="Book Antiqua" w:cs="Book Antiqua"/>
          <w:color w:val="000000"/>
        </w:rPr>
        <w:t xml:space="preserve">, a gene previously discovered in T1DM GWAS. Additionally, a cluster of rare detrimental variations in </w:t>
      </w:r>
      <w:r>
        <w:rPr>
          <w:rFonts w:ascii="Book Antiqua" w:eastAsia="Book Antiqua" w:hAnsi="Book Antiqua" w:cs="Book Antiqua"/>
          <w:i/>
          <w:iCs/>
          <w:color w:val="000000"/>
        </w:rPr>
        <w:t xml:space="preserve">PTPN22 </w:t>
      </w:r>
      <w:r>
        <w:rPr>
          <w:rFonts w:ascii="Book Antiqua" w:eastAsia="Book Antiqua" w:hAnsi="Book Antiqua" w:cs="Book Antiqua"/>
          <w:color w:val="000000"/>
        </w:rPr>
        <w:t>was identified for T1DM, comprising two novel frameshift mutations (rs538819444 and rs371865329) and two missense variants (rs74163663 and rs56048322)</w:t>
      </w:r>
      <w:r>
        <w:rPr>
          <w:rFonts w:ascii="Book Antiqua" w:eastAsia="Book Antiqua" w:hAnsi="Book Antiqua" w:cs="Book Antiqua"/>
          <w:color w:val="000000"/>
          <w:vertAlign w:val="superscript"/>
        </w:rPr>
        <w:t>[80]</w:t>
      </w:r>
      <w:r>
        <w:rPr>
          <w:rFonts w:ascii="Book Antiqua" w:eastAsia="Book Antiqua" w:hAnsi="Book Antiqua" w:cs="Book Antiqua"/>
          <w:color w:val="000000"/>
        </w:rPr>
        <w:t>.</w:t>
      </w:r>
    </w:p>
    <w:p w14:paraId="5006D95C" w14:textId="77777777" w:rsidR="00BA6BF8" w:rsidRDefault="00BA6BF8">
      <w:pPr>
        <w:spacing w:line="360" w:lineRule="auto"/>
        <w:jc w:val="both"/>
        <w:rPr>
          <w:rFonts w:ascii="Book Antiqua" w:hAnsi="Book Antiqua"/>
        </w:rPr>
      </w:pPr>
    </w:p>
    <w:p w14:paraId="31CD8A18" w14:textId="77777777" w:rsidR="00BA6BF8" w:rsidRDefault="00000000">
      <w:pPr>
        <w:spacing w:line="360" w:lineRule="auto"/>
        <w:jc w:val="both"/>
        <w:rPr>
          <w:rFonts w:ascii="Book Antiqua" w:hAnsi="Book Antiqua"/>
        </w:rPr>
      </w:pPr>
      <w:r>
        <w:rPr>
          <w:rFonts w:ascii="Book Antiqua" w:eastAsia="Book Antiqua" w:hAnsi="Book Antiqua" w:cs="Book Antiqua"/>
          <w:b/>
          <w:bCs/>
          <w:caps/>
          <w:color w:val="000000"/>
          <w:u w:val="single"/>
        </w:rPr>
        <w:t>Epigenetic Alterations in T2DM</w:t>
      </w:r>
    </w:p>
    <w:p w14:paraId="3537953C"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 xml:space="preserve">The term "epigenetics" refers to heritable alterations in gene function that occur without a change in the nucleotide sequence. Epigenetic changes can be inherited from one cell generation to the next and in some cases, can be inherited through the generations. Epigenetic changes can also develop during life, either randomly or in response to environmental stimuli, impacting the effects of genetic variants and so acting as a gene-environment interaction mechanism. Both DNA methylation and histone modifications can amend the response of our genome to the environment during life. The involvement of intrauterine DNA methylation and imprinting in the programming of diabetogenic </w:t>
      </w:r>
      <w:r>
        <w:rPr>
          <w:rFonts w:ascii="Book Antiqua" w:eastAsia="Book Antiqua" w:hAnsi="Book Antiqua" w:cs="Book Antiqua"/>
          <w:color w:val="000000"/>
        </w:rPr>
        <w:lastRenderedPageBreak/>
        <w:t>effects later in life has received significant interest in the etiology of the T2DM</w:t>
      </w:r>
      <w:r>
        <w:rPr>
          <w:rFonts w:ascii="Book Antiqua" w:eastAsia="Book Antiqua" w:hAnsi="Book Antiqua" w:cs="Book Antiqua"/>
          <w:color w:val="000000"/>
          <w:vertAlign w:val="superscript"/>
        </w:rPr>
        <w:t>[81]</w:t>
      </w:r>
      <w:r>
        <w:rPr>
          <w:rFonts w:ascii="Book Antiqua" w:eastAsia="Book Antiqua" w:hAnsi="Book Antiqua" w:cs="Book Antiqua"/>
          <w:color w:val="000000"/>
        </w:rPr>
        <w:t xml:space="preserve">. An intriguing study by Dabelea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found that intrauterine diabetes exposure increased the incidence of diabetes and obesity in offspring compared to siblings born before their mothers' diabetes onset. However, the precise mechanism underlying this maternal impact is unknown. Some studies have suggested a role of epigenetic regulation of genes involved in energy metabolism, appetite control, and -cell function, such as </w:t>
      </w:r>
      <w:r>
        <w:rPr>
          <w:rFonts w:ascii="Book Antiqua" w:eastAsia="Book Antiqua" w:hAnsi="Book Antiqua" w:cs="Book Antiqua"/>
          <w:i/>
          <w:iCs/>
          <w:color w:val="000000"/>
        </w:rPr>
        <w:t>PPARA</w:t>
      </w:r>
      <w:r>
        <w:rPr>
          <w:rFonts w:ascii="Book Antiqua" w:eastAsia="Book Antiqua" w:hAnsi="Book Antiqua" w:cs="Book Antiqua"/>
          <w:color w:val="000000"/>
          <w:vertAlign w:val="superscript"/>
        </w:rPr>
        <w:t>[83]</w:t>
      </w:r>
      <w:r>
        <w:rPr>
          <w:rFonts w:ascii="Book Antiqua" w:eastAsia="Book Antiqua" w:hAnsi="Book Antiqua" w:cs="Book Antiqua"/>
          <w:color w:val="000000"/>
        </w:rPr>
        <w:t xml:space="preserve">, </w:t>
      </w:r>
      <w:r>
        <w:rPr>
          <w:rFonts w:ascii="Book Antiqua" w:eastAsia="Book Antiqua" w:hAnsi="Book Antiqua" w:cs="Book Antiqua"/>
          <w:i/>
          <w:iCs/>
          <w:color w:val="000000"/>
        </w:rPr>
        <w:t>LEP</w:t>
      </w:r>
      <w:r>
        <w:rPr>
          <w:rFonts w:ascii="Book Antiqua" w:eastAsia="Book Antiqua" w:hAnsi="Book Antiqua" w:cs="Book Antiqua"/>
          <w:color w:val="000000"/>
          <w:vertAlign w:val="superscript"/>
        </w:rPr>
        <w:t>[84]</w:t>
      </w:r>
      <w:r>
        <w:rPr>
          <w:rFonts w:ascii="Book Antiqua" w:eastAsia="Book Antiqua" w:hAnsi="Book Antiqua" w:cs="Book Antiqua"/>
          <w:color w:val="000000"/>
        </w:rPr>
        <w:t>, and pancreatic and duodenal homeobox 1 (</w:t>
      </w:r>
      <w:r>
        <w:rPr>
          <w:rFonts w:ascii="Book Antiqua" w:eastAsia="Book Antiqua" w:hAnsi="Book Antiqua" w:cs="Book Antiqua"/>
          <w:i/>
          <w:iCs/>
          <w:color w:val="000000"/>
        </w:rPr>
        <w:t>PDX1</w:t>
      </w:r>
      <w:r>
        <w:rPr>
          <w:rFonts w:ascii="Book Antiqua" w:eastAsia="Book Antiqua" w:hAnsi="Book Antiqua" w:cs="Book Antiqua"/>
          <w:color w:val="000000"/>
        </w:rPr>
        <w:t>)</w:t>
      </w:r>
      <w:r>
        <w:rPr>
          <w:rFonts w:ascii="Book Antiqua" w:eastAsia="Book Antiqua" w:hAnsi="Book Antiqua" w:cs="Book Antiqua"/>
          <w:color w:val="000000"/>
          <w:vertAlign w:val="superscript"/>
        </w:rPr>
        <w:t>[85]</w:t>
      </w:r>
      <w:r>
        <w:rPr>
          <w:rFonts w:ascii="Book Antiqua" w:eastAsia="Book Antiqua" w:hAnsi="Book Antiqua" w:cs="Book Antiqua"/>
          <w:color w:val="000000"/>
        </w:rPr>
        <w:t xml:space="preserve">. </w:t>
      </w:r>
    </w:p>
    <w:p w14:paraId="3064E275" w14:textId="77777777" w:rsidR="00BA6BF8" w:rsidRDefault="00BA6BF8">
      <w:pPr>
        <w:spacing w:line="360" w:lineRule="auto"/>
        <w:jc w:val="both"/>
        <w:rPr>
          <w:rFonts w:ascii="Book Antiqua" w:hAnsi="Book Antiqua"/>
        </w:rPr>
      </w:pPr>
    </w:p>
    <w:p w14:paraId="29507D2B" w14:textId="77777777" w:rsidR="00BA6BF8" w:rsidRDefault="00000000">
      <w:pPr>
        <w:spacing w:line="360" w:lineRule="auto"/>
        <w:jc w:val="both"/>
        <w:rPr>
          <w:rFonts w:ascii="Book Antiqua" w:hAnsi="Book Antiqua"/>
        </w:rPr>
      </w:pPr>
      <w:r>
        <w:rPr>
          <w:rFonts w:ascii="Book Antiqua" w:eastAsia="Book Antiqua" w:hAnsi="Book Antiqua" w:cs="Book Antiqua"/>
          <w:b/>
          <w:bCs/>
          <w:caps/>
          <w:color w:val="000000"/>
          <w:u w:val="single"/>
        </w:rPr>
        <w:t xml:space="preserve">MicroRNAs </w:t>
      </w:r>
    </w:p>
    <w:p w14:paraId="0FDEAC39"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MicroRNAs (miRNAs) have emerged as promising novel biomarkers for T2DM and related problems due to their metabolic stability and abundance in various body fluids including blood and cerebrospinal fluid. miRNAs are a class of endogenous, small (18-25 nucleotide) RNA that regulates many cellular activities by suppressing gene expression</w:t>
      </w:r>
      <w:r>
        <w:rPr>
          <w:rFonts w:ascii="Book Antiqua" w:eastAsia="Book Antiqua" w:hAnsi="Book Antiqua" w:cs="Book Antiqua"/>
          <w:color w:val="000000"/>
          <w:vertAlign w:val="superscript"/>
        </w:rPr>
        <w:t>[86]</w:t>
      </w:r>
      <w:r>
        <w:rPr>
          <w:rFonts w:ascii="Book Antiqua" w:eastAsia="Book Antiqua" w:hAnsi="Book Antiqua" w:cs="Book Antiqua"/>
          <w:color w:val="000000"/>
        </w:rPr>
        <w:t>. According to recent research, differential concentrations of circulating miRNAs (Table 1)</w:t>
      </w:r>
      <w:r>
        <w:rPr>
          <w:rFonts w:ascii="Book Antiqua" w:eastAsia="Book Antiqua" w:hAnsi="Book Antiqua" w:cs="Book Antiqua"/>
          <w:color w:val="000000"/>
          <w:vertAlign w:val="superscript"/>
        </w:rPr>
        <w:t>[87-128]</w:t>
      </w:r>
      <w:r>
        <w:rPr>
          <w:rFonts w:ascii="Book Antiqua" w:eastAsia="Book Antiqua" w:hAnsi="Book Antiqua" w:cs="Book Antiqua"/>
          <w:b/>
          <w:bCs/>
          <w:color w:val="000000"/>
        </w:rPr>
        <w:t xml:space="preserve"> </w:t>
      </w:r>
      <w:r>
        <w:rPr>
          <w:rFonts w:ascii="Book Antiqua" w:eastAsia="Book Antiqua" w:hAnsi="Book Antiqua" w:cs="Book Antiqua"/>
          <w:color w:val="000000"/>
        </w:rPr>
        <w:t>may offer the intriguing potential for diabetes (T1DM, T2DM, MODY, and GDM) diagnosis, prognosis, and treatment monitoring.</w:t>
      </w:r>
    </w:p>
    <w:p w14:paraId="6C81B2C3" w14:textId="77777777" w:rsidR="00BA6BF8" w:rsidRDefault="00BA6BF8">
      <w:pPr>
        <w:spacing w:line="360" w:lineRule="auto"/>
        <w:jc w:val="both"/>
        <w:rPr>
          <w:rFonts w:ascii="Book Antiqua" w:hAnsi="Book Antiqua"/>
        </w:rPr>
      </w:pPr>
    </w:p>
    <w:p w14:paraId="46B3DB8D" w14:textId="77777777" w:rsidR="00BA6BF8" w:rsidRDefault="00000000">
      <w:pPr>
        <w:spacing w:line="360" w:lineRule="auto"/>
        <w:jc w:val="both"/>
        <w:rPr>
          <w:rFonts w:ascii="Book Antiqua" w:hAnsi="Book Antiqua"/>
        </w:rPr>
      </w:pPr>
      <w:r>
        <w:rPr>
          <w:rFonts w:ascii="Book Antiqua" w:eastAsia="Book Antiqua" w:hAnsi="Book Antiqua" w:cs="Book Antiqua"/>
          <w:b/>
          <w:bCs/>
          <w:caps/>
          <w:color w:val="000000"/>
          <w:u w:val="single"/>
        </w:rPr>
        <w:t>Polygenic Risk Scores for T2DM</w:t>
      </w:r>
    </w:p>
    <w:p w14:paraId="7CFA7BAC"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 xml:space="preserve">Since, T2DM is the most common form of diabetes, hence most of the </w:t>
      </w:r>
      <w:bookmarkStart w:id="1" w:name="_Hlk131412383"/>
      <w:r>
        <w:rPr>
          <w:rFonts w:ascii="Book Antiqua" w:eastAsia="Book Antiqua" w:hAnsi="Book Antiqua" w:cs="Book Antiqua"/>
          <w:color w:val="000000"/>
        </w:rPr>
        <w:t>polygenic risk scores</w:t>
      </w:r>
      <w:bookmarkEnd w:id="1"/>
      <w:r>
        <w:rPr>
          <w:rFonts w:ascii="Book Antiqua" w:eastAsia="Book Antiqua" w:hAnsi="Book Antiqua" w:cs="Book Antiqua"/>
          <w:color w:val="000000"/>
        </w:rPr>
        <w:t xml:space="preserve"> (PRSs) studies have been performed on T2DM. GWAS investigations have enabled the development of PRSs or genetic risk score (GRS) that assess an individual's lifetime genetic risk for various diseases. Several studies on coronary artery disease have been reported</w:t>
      </w:r>
      <w:r>
        <w:rPr>
          <w:rFonts w:ascii="Book Antiqua" w:eastAsia="Book Antiqua" w:hAnsi="Book Antiqua" w:cs="Book Antiqua"/>
          <w:color w:val="000000"/>
          <w:vertAlign w:val="superscript"/>
        </w:rPr>
        <w:t>[129-132]</w:t>
      </w:r>
      <w:r>
        <w:rPr>
          <w:rFonts w:ascii="Book Antiqua" w:eastAsia="Book Antiqua" w:hAnsi="Book Antiqua" w:cs="Book Antiqua"/>
          <w:color w:val="000000"/>
        </w:rPr>
        <w:t>, however, there is a scarcity of reports on the prediction models for diabetes (T1DM, T2DM, and GDM). The area under the receiver operating characteristics curve is a measure of the prediction accuracy of the constructed PRS</w:t>
      </w:r>
      <w:r>
        <w:rPr>
          <w:rFonts w:ascii="Book Antiqua" w:eastAsia="Book Antiqua" w:hAnsi="Book Antiqua" w:cs="Book Antiqua"/>
          <w:color w:val="000000"/>
          <w:vertAlign w:val="superscript"/>
        </w:rPr>
        <w:t>[133]</w:t>
      </w:r>
      <w:r>
        <w:rPr>
          <w:rFonts w:ascii="Book Antiqua" w:eastAsia="Book Antiqua" w:hAnsi="Book Antiqua" w:cs="Book Antiqua"/>
          <w:color w:val="000000"/>
        </w:rPr>
        <w:t>. One of the first research estimated a T2DM GRS using a combination of 18 loci and reported that genetic information only marginally improved risk prediction when paired with standard clinical risk factors such as age, gender, or diabetes family history</w:t>
      </w:r>
      <w:r>
        <w:rPr>
          <w:rFonts w:ascii="Book Antiqua" w:eastAsia="Book Antiqua" w:hAnsi="Book Antiqua" w:cs="Book Antiqua"/>
          <w:color w:val="000000"/>
          <w:vertAlign w:val="superscript"/>
        </w:rPr>
        <w:t>[134-136]</w:t>
      </w:r>
      <w:r>
        <w:rPr>
          <w:rFonts w:ascii="Book Antiqua" w:eastAsia="Book Antiqua" w:hAnsi="Book Antiqua" w:cs="Book Antiqua"/>
          <w:color w:val="000000"/>
        </w:rPr>
        <w:t xml:space="preserve"> (Table 2). There has been a rise of interest in GRS in recent years, utilizing many more loci reported from </w:t>
      </w:r>
      <w:r>
        <w:rPr>
          <w:rFonts w:ascii="Book Antiqua" w:eastAsia="Book Antiqua" w:hAnsi="Book Antiqua" w:cs="Book Antiqua"/>
          <w:color w:val="000000"/>
        </w:rPr>
        <w:lastRenderedPageBreak/>
        <w:t>large-scale, multi-ancestry cohorts. T2DM GRS studies from large datasets</w:t>
      </w:r>
      <w:r>
        <w:rPr>
          <w:rFonts w:ascii="Book Antiqua" w:eastAsia="Book Antiqua" w:hAnsi="Book Antiqua" w:cs="Book Antiqua"/>
          <w:color w:val="000000"/>
          <w:vertAlign w:val="superscript"/>
        </w:rPr>
        <w:t>[137-139]</w:t>
      </w:r>
      <w:r>
        <w:rPr>
          <w:rFonts w:ascii="Book Antiqua" w:eastAsia="Book Antiqua" w:hAnsi="Book Antiqua" w:cs="Book Antiqua"/>
          <w:color w:val="000000"/>
        </w:rPr>
        <w:t xml:space="preserve"> reported that GRS constructed from multi-ethnic computed weights indicated a marginal increase in predictive power as compared to single-ancestry computed weights, the reason might be heterogeneity across different ancestries (Table 2)</w:t>
      </w:r>
      <w:r>
        <w:rPr>
          <w:rFonts w:ascii="Book Antiqua" w:eastAsia="Book Antiqua" w:hAnsi="Book Antiqua" w:cs="Book Antiqua"/>
          <w:color w:val="000000"/>
          <w:vertAlign w:val="superscript"/>
        </w:rPr>
        <w:t>[140-149]</w:t>
      </w:r>
      <w:r>
        <w:rPr>
          <w:rFonts w:ascii="Book Antiqua" w:eastAsia="Book Antiqua" w:hAnsi="Book Antiqua" w:cs="Book Antiqua"/>
          <w:color w:val="000000"/>
        </w:rPr>
        <w:t>.</w:t>
      </w:r>
    </w:p>
    <w:p w14:paraId="30677251" w14:textId="77777777" w:rsidR="00BA6BF8"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PRSs have also been demonstrated to predict pre-diabetes and T2DM in women with a history of GDM (Table 3)</w:t>
      </w:r>
      <w:r>
        <w:rPr>
          <w:rFonts w:ascii="Book Antiqua" w:eastAsia="Book Antiqua" w:hAnsi="Book Antiqua" w:cs="Book Antiqua"/>
          <w:color w:val="000000"/>
          <w:vertAlign w:val="superscript"/>
        </w:rPr>
        <w:t>[150-153]</w:t>
      </w:r>
      <w:r>
        <w:rPr>
          <w:rFonts w:ascii="Book Antiqua" w:eastAsia="Book Antiqua" w:hAnsi="Book Antiqua" w:cs="Book Antiqua"/>
          <w:color w:val="000000"/>
        </w:rPr>
        <w:t>. Some studies have found that using a PRS in conjunction with traditional T2DM risk factors improves discrimination of the risk of pre-diabetes in women with prior GDM, potentially giving more accurate tools for the prediction of future T2DM.</w:t>
      </w:r>
    </w:p>
    <w:p w14:paraId="0B995895" w14:textId="77777777" w:rsidR="00BA6BF8"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GRS, on the other hand, may have a role in recognizing high-risk patients before clinical risk markers become apparent. It needs to be shown whether GRS data can drive preventive therapy to meaningfully reduce rates of future incident T2DM.</w:t>
      </w:r>
    </w:p>
    <w:p w14:paraId="14E806BA" w14:textId="77777777" w:rsidR="00BA6BF8" w:rsidRDefault="00BA6BF8">
      <w:pPr>
        <w:spacing w:line="360" w:lineRule="auto"/>
        <w:jc w:val="both"/>
        <w:rPr>
          <w:rFonts w:ascii="Book Antiqua" w:hAnsi="Book Antiqua"/>
        </w:rPr>
      </w:pPr>
    </w:p>
    <w:p w14:paraId="2456C2B2" w14:textId="77777777" w:rsidR="00BA6BF8" w:rsidRDefault="00000000">
      <w:pPr>
        <w:spacing w:line="360" w:lineRule="auto"/>
        <w:jc w:val="both"/>
        <w:rPr>
          <w:rFonts w:ascii="Book Antiqua" w:hAnsi="Book Antiqua"/>
        </w:rPr>
      </w:pPr>
      <w:r>
        <w:rPr>
          <w:rFonts w:ascii="Book Antiqua" w:eastAsia="Book Antiqua" w:hAnsi="Book Antiqua" w:cs="Book Antiqua"/>
          <w:b/>
          <w:bCs/>
          <w:caps/>
          <w:color w:val="000000"/>
          <w:u w:val="single"/>
        </w:rPr>
        <w:t>Lifestyle Modifications, Environmental Factors, and Management of Diabetes Mellitus</w:t>
      </w:r>
    </w:p>
    <w:p w14:paraId="2F77F830"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In the long term, the pharmacological strategy for treating diabetes may be only partially effective. Major changes in patients' lifestyles (change in physical activity, dietary alteration, stress management, and improved sleeping patterns), along with treatments through pharmacological techniques, are required to ensure optimal disease management. Self-monitoring of blood glucose is an excellent tool for monitoring glycemic status. Current American Diabetes Association (ADA) guidelines urge its use in all patients with T1DM, T2DM, or any other form of diabetes (</w:t>
      </w:r>
      <w:r>
        <w:rPr>
          <w:rFonts w:ascii="Book Antiqua" w:eastAsia="Book Antiqua" w:hAnsi="Book Antiqua" w:cs="Book Antiqua"/>
          <w:i/>
          <w:iCs/>
          <w:color w:val="000000"/>
        </w:rPr>
        <w:t>e.g.</w:t>
      </w:r>
      <w:r>
        <w:rPr>
          <w:rFonts w:ascii="Book Antiqua" w:eastAsia="Book Antiqua" w:hAnsi="Book Antiqua" w:cs="Book Antiqua"/>
          <w:color w:val="000000"/>
        </w:rPr>
        <w:t>, gestational diabetes) that requires numerous subcutaneous insulin injections</w:t>
      </w:r>
      <w:r>
        <w:rPr>
          <w:rFonts w:ascii="Book Antiqua" w:eastAsia="Book Antiqua" w:hAnsi="Book Antiqua" w:cs="Book Antiqua"/>
          <w:color w:val="000000"/>
          <w:vertAlign w:val="superscript"/>
        </w:rPr>
        <w:t>[154]</w:t>
      </w:r>
      <w:r>
        <w:rPr>
          <w:rFonts w:ascii="Book Antiqua" w:eastAsia="Book Antiqua" w:hAnsi="Book Antiqua" w:cs="Book Antiqua"/>
          <w:color w:val="000000"/>
        </w:rPr>
        <w:t xml:space="preserve">. Continuous glucose monitoring systems </w:t>
      </w:r>
      <w:r>
        <w:rPr>
          <w:rFonts w:ascii="Book Antiqua" w:eastAsia="Book Antiqua" w:hAnsi="Book Antiqua" w:cs="Book Antiqua"/>
          <w:i/>
          <w:iCs/>
          <w:color w:val="000000"/>
        </w:rPr>
        <w:t>i.e.</w:t>
      </w:r>
      <w:r>
        <w:rPr>
          <w:rFonts w:ascii="Book Antiqua" w:eastAsia="Book Antiqua" w:hAnsi="Book Antiqua" w:cs="Book Antiqua"/>
          <w:color w:val="000000"/>
        </w:rPr>
        <w:t>, Dexcom G6, Frestyle Libre 1 and 2, GlucoMen day, Eversense, Eversense XL, S7 EasySense, Guardian, and Connect have been reported to be of great use to diabetics. Insulin pens are the most often utilized method of insulin administration in T2DM patients</w:t>
      </w:r>
      <w:r>
        <w:rPr>
          <w:rFonts w:ascii="Book Antiqua" w:eastAsia="Book Antiqua" w:hAnsi="Book Antiqua" w:cs="Book Antiqua"/>
          <w:color w:val="000000"/>
          <w:vertAlign w:val="superscript"/>
        </w:rPr>
        <w:t>[155]</w:t>
      </w:r>
      <w:r>
        <w:rPr>
          <w:rFonts w:ascii="Book Antiqua" w:eastAsia="Book Antiqua" w:hAnsi="Book Antiqua" w:cs="Book Antiqua"/>
          <w:color w:val="000000"/>
        </w:rPr>
        <w:t>. Users can track boluses, calculate remaining insulin, check insulin temperature, and receive dosage reminders using Bluetooth-enabled insulin pen caps and attachments that connect to smartphone apps</w:t>
      </w:r>
      <w:r>
        <w:rPr>
          <w:rFonts w:ascii="Book Antiqua" w:eastAsia="Book Antiqua" w:hAnsi="Book Antiqua" w:cs="Book Antiqua"/>
          <w:color w:val="000000"/>
          <w:vertAlign w:val="superscript"/>
        </w:rPr>
        <w:t>[156]</w:t>
      </w:r>
      <w:r>
        <w:rPr>
          <w:rFonts w:ascii="Book Antiqua" w:eastAsia="Book Antiqua" w:hAnsi="Book Antiqua" w:cs="Book Antiqua"/>
          <w:color w:val="000000"/>
        </w:rPr>
        <w:t xml:space="preserve">. The integration of insulin pumps </w:t>
      </w:r>
      <w:r>
        <w:rPr>
          <w:rFonts w:ascii="Book Antiqua" w:eastAsia="Book Antiqua" w:hAnsi="Book Antiqua" w:cs="Book Antiqua"/>
          <w:color w:val="000000"/>
        </w:rPr>
        <w:lastRenderedPageBreak/>
        <w:t xml:space="preserve">with other diabetes technologies developed over the last decade has paved the way for techniques of optimally regulating blood glucose while minimizing user stress. For the management of LADA C-peptide levels should be monitored every 6 mo. For KPDM patients lifestyle modifications as stated above have been proposed to successfully treat the disease. </w:t>
      </w:r>
    </w:p>
    <w:p w14:paraId="287914E4" w14:textId="77777777" w:rsidR="00BA6BF8"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In addition to the above-mentioned methods, the following steps can be taken to control blood sugar levels.</w:t>
      </w:r>
    </w:p>
    <w:p w14:paraId="4823454C" w14:textId="77777777" w:rsidR="00BA6BF8" w:rsidRDefault="00BA6BF8">
      <w:pPr>
        <w:spacing w:line="360" w:lineRule="auto"/>
        <w:jc w:val="both"/>
        <w:rPr>
          <w:rFonts w:ascii="Book Antiqua" w:hAnsi="Book Antiqua"/>
        </w:rPr>
      </w:pPr>
    </w:p>
    <w:p w14:paraId="0C263F9E" w14:textId="77777777" w:rsidR="00BA6BF8" w:rsidRDefault="00000000">
      <w:pPr>
        <w:spacing w:line="360" w:lineRule="auto"/>
        <w:jc w:val="both"/>
        <w:rPr>
          <w:rFonts w:ascii="Book Antiqua" w:hAnsi="Book Antiqua"/>
        </w:rPr>
      </w:pPr>
      <w:r>
        <w:rPr>
          <w:rFonts w:ascii="Book Antiqua" w:eastAsia="Book Antiqua" w:hAnsi="Book Antiqua" w:cs="Book Antiqua"/>
          <w:b/>
          <w:bCs/>
          <w:i/>
          <w:iCs/>
          <w:color w:val="000000"/>
        </w:rPr>
        <w:t>Physical activity</w:t>
      </w:r>
    </w:p>
    <w:p w14:paraId="32633D0F"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Physical exercise is positively associated with controlled hyperglycemia levels among T2DM patients. Moderate physical activity (walking, gardening, regular household chores) on a regular basis has been shown to be an effective method to reducing the long-term symptoms of diabetes</w:t>
      </w:r>
      <w:r>
        <w:rPr>
          <w:rFonts w:ascii="Book Antiqua" w:eastAsia="Book Antiqua" w:hAnsi="Book Antiqua" w:cs="Book Antiqua"/>
          <w:color w:val="000000"/>
          <w:vertAlign w:val="superscript"/>
        </w:rPr>
        <w:t>[157]</w:t>
      </w:r>
      <w:r>
        <w:rPr>
          <w:rFonts w:ascii="Book Antiqua" w:eastAsia="Book Antiqua" w:hAnsi="Book Antiqua" w:cs="Book Antiqua"/>
          <w:color w:val="000000"/>
        </w:rPr>
        <w:t>. In women with type 2 diabetes, yoga practice is more beneficial than the same course of aerobic exercise in enhancing sleep quality, hence, yoga activity can thus be recommended to these patients</w:t>
      </w:r>
      <w:r>
        <w:rPr>
          <w:rFonts w:ascii="Book Antiqua" w:eastAsia="Book Antiqua" w:hAnsi="Book Antiqua" w:cs="Book Antiqua"/>
          <w:color w:val="000000"/>
          <w:vertAlign w:val="superscript"/>
        </w:rPr>
        <w:t>[158]</w:t>
      </w:r>
      <w:r>
        <w:rPr>
          <w:rFonts w:ascii="Book Antiqua" w:eastAsia="Book Antiqua" w:hAnsi="Book Antiqua" w:cs="Book Antiqua"/>
          <w:color w:val="000000"/>
        </w:rPr>
        <w:t>. The identification of cytokines such as irisin, osteocalcin, and adiponectin has led to the assumption that they may be important hormonal mediators of exercise therapy for diabetes and metabolic illnesses, although the precise mechanism remains unknown</w:t>
      </w:r>
      <w:r>
        <w:rPr>
          <w:rFonts w:ascii="Book Antiqua" w:eastAsia="Book Antiqua" w:hAnsi="Book Antiqua" w:cs="Book Antiqua"/>
          <w:color w:val="000000"/>
          <w:vertAlign w:val="superscript"/>
        </w:rPr>
        <w:t>[159-161]</w:t>
      </w:r>
      <w:r>
        <w:rPr>
          <w:rFonts w:ascii="Book Antiqua" w:eastAsia="Book Antiqua" w:hAnsi="Book Antiqua" w:cs="Book Antiqua"/>
          <w:color w:val="000000"/>
        </w:rPr>
        <w:t xml:space="preserve">. </w:t>
      </w:r>
    </w:p>
    <w:p w14:paraId="242A25D1" w14:textId="77777777" w:rsidR="00BA6BF8" w:rsidRDefault="00BA6BF8">
      <w:pPr>
        <w:spacing w:line="360" w:lineRule="auto"/>
        <w:jc w:val="both"/>
        <w:rPr>
          <w:rFonts w:ascii="Book Antiqua" w:hAnsi="Book Antiqua"/>
        </w:rPr>
      </w:pPr>
    </w:p>
    <w:p w14:paraId="7FF993B2" w14:textId="77777777" w:rsidR="00BA6BF8" w:rsidRDefault="00000000">
      <w:pPr>
        <w:spacing w:line="360" w:lineRule="auto"/>
        <w:jc w:val="both"/>
        <w:rPr>
          <w:rFonts w:ascii="Book Antiqua" w:hAnsi="Book Antiqua"/>
        </w:rPr>
      </w:pPr>
      <w:r>
        <w:rPr>
          <w:rFonts w:ascii="Book Antiqua" w:eastAsia="Book Antiqua" w:hAnsi="Book Antiqua" w:cs="Book Antiqua"/>
          <w:b/>
          <w:bCs/>
          <w:i/>
          <w:iCs/>
          <w:color w:val="000000"/>
        </w:rPr>
        <w:t>Dietary changes</w:t>
      </w:r>
    </w:p>
    <w:p w14:paraId="24A40C87"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Strict adherence to a restricted diet combined with adequate physical exercise is strongly linked to a lower incidence of diabetes</w:t>
      </w:r>
      <w:r>
        <w:rPr>
          <w:rFonts w:ascii="Book Antiqua" w:eastAsia="Book Antiqua" w:hAnsi="Book Antiqua" w:cs="Book Antiqua"/>
          <w:color w:val="000000"/>
          <w:vertAlign w:val="superscript"/>
        </w:rPr>
        <w:t>[162]</w:t>
      </w:r>
      <w:r>
        <w:rPr>
          <w:rFonts w:ascii="Book Antiqua" w:eastAsia="Book Antiqua" w:hAnsi="Book Antiqua" w:cs="Book Antiqua"/>
          <w:color w:val="000000"/>
        </w:rPr>
        <w:t>. The incorporation of a Paleolithic diet (a diet rich in lean meat, fish, fruits, and vegetables) into the daily routine of diabetic patients resulted in a significant improvement in glucose management</w:t>
      </w:r>
      <w:r>
        <w:rPr>
          <w:rFonts w:ascii="Book Antiqua" w:eastAsia="Book Antiqua" w:hAnsi="Book Antiqua" w:cs="Book Antiqua"/>
          <w:color w:val="000000"/>
          <w:vertAlign w:val="superscript"/>
        </w:rPr>
        <w:t>[163]</w:t>
      </w:r>
      <w:r>
        <w:rPr>
          <w:rFonts w:ascii="Book Antiqua" w:eastAsia="Book Antiqua" w:hAnsi="Book Antiqua" w:cs="Book Antiqua"/>
          <w:color w:val="000000"/>
        </w:rPr>
        <w:t>. Foods that are naturally abundant in dietary fiber also contain a variety of chemicals that may help decrease glycemia. For example, bioactive proteins, polyphenolic compounds, and other phytochemicals</w:t>
      </w:r>
      <w:r>
        <w:rPr>
          <w:rFonts w:ascii="Book Antiqua" w:eastAsia="Book Antiqua" w:hAnsi="Book Antiqua" w:cs="Book Antiqua"/>
          <w:color w:val="000000"/>
          <w:vertAlign w:val="superscript"/>
        </w:rPr>
        <w:t>[164]</w:t>
      </w:r>
      <w:r>
        <w:rPr>
          <w:rFonts w:ascii="Book Antiqua" w:eastAsia="Book Antiqua" w:hAnsi="Book Antiqua" w:cs="Book Antiqua"/>
          <w:color w:val="000000"/>
        </w:rPr>
        <w:t xml:space="preserve">. Additionally, according to current research, meal timing and frequency, missing meals, and fasting are all linked to metabolic syndrome. Eating frequently and in the morning may help to prevent metabolic syndrome. Understanding </w:t>
      </w:r>
      <w:r>
        <w:rPr>
          <w:rFonts w:ascii="Book Antiqua" w:eastAsia="Book Antiqua" w:hAnsi="Book Antiqua" w:cs="Book Antiqua"/>
          <w:color w:val="000000"/>
        </w:rPr>
        <w:lastRenderedPageBreak/>
        <w:t>the impact of dietary choices on health is just as important as understanding the impact of nutrients on health.</w:t>
      </w:r>
    </w:p>
    <w:p w14:paraId="44814A12" w14:textId="77777777" w:rsidR="00BA6BF8" w:rsidRDefault="00BA6BF8">
      <w:pPr>
        <w:spacing w:line="360" w:lineRule="auto"/>
        <w:jc w:val="both"/>
        <w:rPr>
          <w:rFonts w:ascii="Book Antiqua" w:hAnsi="Book Antiqua"/>
        </w:rPr>
      </w:pPr>
    </w:p>
    <w:p w14:paraId="2F0362C4" w14:textId="77777777" w:rsidR="00BA6BF8" w:rsidRDefault="00000000">
      <w:pPr>
        <w:spacing w:line="360" w:lineRule="auto"/>
        <w:jc w:val="both"/>
        <w:rPr>
          <w:rFonts w:ascii="Book Antiqua" w:hAnsi="Book Antiqua"/>
        </w:rPr>
      </w:pPr>
      <w:r>
        <w:rPr>
          <w:rFonts w:ascii="Book Antiqua" w:eastAsia="Book Antiqua" w:hAnsi="Book Antiqua" w:cs="Book Antiqua"/>
          <w:b/>
          <w:bCs/>
          <w:i/>
          <w:iCs/>
          <w:color w:val="000000"/>
        </w:rPr>
        <w:t>Stress</w:t>
      </w:r>
    </w:p>
    <w:p w14:paraId="2FF0C4F5"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The bulk of T2DM and T1DM-related parameters, including the release of glucose (and lipids) in circulation, the development of inflammatory cytokines, and raised blood pressure, are heavily influenced by psychological stress</w:t>
      </w:r>
      <w:r>
        <w:rPr>
          <w:rFonts w:ascii="Book Antiqua" w:eastAsia="Book Antiqua" w:hAnsi="Book Antiqua" w:cs="Book Antiqua"/>
          <w:color w:val="000000"/>
          <w:vertAlign w:val="superscript"/>
        </w:rPr>
        <w:t>[165]</w:t>
      </w:r>
      <w:r>
        <w:rPr>
          <w:rFonts w:ascii="Book Antiqua" w:eastAsia="Book Antiqua" w:hAnsi="Book Antiqua" w:cs="Book Antiqua"/>
          <w:color w:val="000000"/>
        </w:rPr>
        <w:t>. The underlying mechanisms entail a complex neuroendocrine structure that includes both the central nervous system and the peripheral nervous system. In one study, when type 2 diabetes patients were subjected to acute stress during the postprandial period, significant increases in blood glucose levels were seen</w:t>
      </w:r>
      <w:r>
        <w:rPr>
          <w:rFonts w:ascii="Book Antiqua" w:eastAsia="Book Antiqua" w:hAnsi="Book Antiqua" w:cs="Book Antiqua"/>
          <w:color w:val="000000"/>
          <w:vertAlign w:val="superscript"/>
        </w:rPr>
        <w:t>[166]</w:t>
      </w:r>
      <w:r>
        <w:rPr>
          <w:rFonts w:ascii="Book Antiqua" w:eastAsia="Book Antiqua" w:hAnsi="Book Antiqua" w:cs="Book Antiqua"/>
          <w:color w:val="000000"/>
        </w:rPr>
        <w:t>. Treatment options, including stress management therapies, appear to be a promising approach for effectively preventing or reducing type 2 diabetes incidence.</w:t>
      </w:r>
    </w:p>
    <w:p w14:paraId="42C0B6FB" w14:textId="77777777" w:rsidR="00BA6BF8" w:rsidRDefault="00BA6BF8">
      <w:pPr>
        <w:spacing w:line="360" w:lineRule="auto"/>
        <w:jc w:val="both"/>
        <w:rPr>
          <w:rFonts w:ascii="Book Antiqua" w:hAnsi="Book Antiqua"/>
        </w:rPr>
      </w:pPr>
    </w:p>
    <w:p w14:paraId="76389C10" w14:textId="77777777" w:rsidR="00BA6BF8" w:rsidRDefault="00000000">
      <w:pPr>
        <w:spacing w:line="360" w:lineRule="auto"/>
        <w:jc w:val="both"/>
        <w:rPr>
          <w:rFonts w:ascii="Book Antiqua" w:hAnsi="Book Antiqua"/>
        </w:rPr>
      </w:pPr>
      <w:r>
        <w:rPr>
          <w:rFonts w:ascii="Book Antiqua" w:eastAsia="Book Antiqua" w:hAnsi="Book Antiqua" w:cs="Book Antiqua"/>
          <w:b/>
          <w:bCs/>
          <w:i/>
          <w:iCs/>
          <w:color w:val="000000"/>
        </w:rPr>
        <w:t>Sleep patterns</w:t>
      </w:r>
    </w:p>
    <w:p w14:paraId="74C80CB1"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Another modifiable lifestyle choice that has been shown to influence metabolic health and energy status is sleep. Sleeping pattern optimization is critical in the diabetes management</w:t>
      </w:r>
      <w:r>
        <w:rPr>
          <w:rFonts w:ascii="Book Antiqua" w:eastAsia="Book Antiqua" w:hAnsi="Book Antiqua" w:cs="Book Antiqua"/>
          <w:color w:val="000000"/>
          <w:vertAlign w:val="superscript"/>
        </w:rPr>
        <w:t>[167]</w:t>
      </w:r>
      <w:r>
        <w:rPr>
          <w:rFonts w:ascii="Book Antiqua" w:eastAsia="Book Antiqua" w:hAnsi="Book Antiqua" w:cs="Book Antiqua"/>
          <w:color w:val="000000"/>
        </w:rPr>
        <w:t>. According to a population-based study, short sleep (less than 5 h) or insomnia is related to an elevated risk of T2DM</w:t>
      </w:r>
      <w:r>
        <w:rPr>
          <w:rFonts w:ascii="Book Antiqua" w:eastAsia="Book Antiqua" w:hAnsi="Book Antiqua" w:cs="Book Antiqua"/>
          <w:color w:val="000000"/>
          <w:vertAlign w:val="superscript"/>
        </w:rPr>
        <w:t>[168]</w:t>
      </w:r>
      <w:r>
        <w:rPr>
          <w:rFonts w:ascii="Book Antiqua" w:eastAsia="Book Antiqua" w:hAnsi="Book Antiqua" w:cs="Book Antiqua"/>
          <w:color w:val="000000"/>
        </w:rPr>
        <w:t>. Poor sleep was linked to increased glycated hemoglobin (HbA1c) levels (&gt; 7%) and insulin resistance in T2DM patients in previous research</w:t>
      </w:r>
      <w:r>
        <w:rPr>
          <w:rFonts w:ascii="Book Antiqua" w:eastAsia="Book Antiqua" w:hAnsi="Book Antiqua" w:cs="Book Antiqua"/>
          <w:color w:val="000000"/>
          <w:vertAlign w:val="superscript"/>
        </w:rPr>
        <w:t>[167]</w:t>
      </w:r>
      <w:r>
        <w:rPr>
          <w:rFonts w:ascii="Book Antiqua" w:eastAsia="Book Antiqua" w:hAnsi="Book Antiqua" w:cs="Book Antiqua"/>
          <w:color w:val="000000"/>
        </w:rPr>
        <w:t>. Similar results has been observed for T1DM also, where persons with T1DM who reported sleeping more than 6 h had 0.24% lower A1C values than those who slept less than 6 h</w:t>
      </w:r>
      <w:r>
        <w:rPr>
          <w:rFonts w:ascii="Book Antiqua" w:eastAsia="Book Antiqua" w:hAnsi="Book Antiqua" w:cs="Book Antiqua"/>
          <w:color w:val="000000"/>
          <w:vertAlign w:val="superscript"/>
        </w:rPr>
        <w:t>[169]</w:t>
      </w:r>
      <w:r>
        <w:rPr>
          <w:rFonts w:ascii="Book Antiqua" w:eastAsia="Book Antiqua" w:hAnsi="Book Antiqua" w:cs="Book Antiqua"/>
          <w:color w:val="000000"/>
        </w:rPr>
        <w:t>.</w:t>
      </w:r>
    </w:p>
    <w:p w14:paraId="399BDE4F" w14:textId="77777777" w:rsidR="00BA6BF8" w:rsidRDefault="00BA6BF8">
      <w:pPr>
        <w:spacing w:line="360" w:lineRule="auto"/>
        <w:jc w:val="both"/>
        <w:rPr>
          <w:rFonts w:ascii="Book Antiqua" w:hAnsi="Book Antiqua"/>
        </w:rPr>
      </w:pPr>
    </w:p>
    <w:p w14:paraId="2BAC47DB" w14:textId="77777777" w:rsidR="00BA6BF8" w:rsidRDefault="00000000">
      <w:pPr>
        <w:spacing w:line="360" w:lineRule="auto"/>
        <w:jc w:val="both"/>
        <w:rPr>
          <w:rFonts w:ascii="Book Antiqua" w:hAnsi="Book Antiqua"/>
        </w:rPr>
      </w:pPr>
      <w:r>
        <w:rPr>
          <w:rFonts w:ascii="Book Antiqua" w:eastAsia="Book Antiqua" w:hAnsi="Book Antiqua" w:cs="Book Antiqua"/>
          <w:b/>
          <w:bCs/>
          <w:i/>
          <w:iCs/>
          <w:color w:val="000000"/>
        </w:rPr>
        <w:t>One-step or two-step diagnosis for GDM</w:t>
      </w:r>
    </w:p>
    <w:p w14:paraId="0B4D5728"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The one step or two step techniques are used to diagnose gestational DM. The one step method consists of a 2-h oral glucose tolerance test with a 75-g glucose overload that examines plasma glucose concentration at fasting, 1 h, and 2 h following glucose delivery. A positive result is characterized as a number more than 92, 180, or 153 mg/dL</w:t>
      </w:r>
      <w:r>
        <w:rPr>
          <w:rFonts w:ascii="Book Antiqua" w:eastAsia="Book Antiqua" w:hAnsi="Book Antiqua" w:cs="Book Antiqua"/>
          <w:color w:val="000000"/>
          <w:vertAlign w:val="superscript"/>
        </w:rPr>
        <w:t>[170-172]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 two-step method comprises a nonfasting oral 50-g glucose load followed by a glucose blood measurement 1 h later. A positive result is defined as a blood glucose level greater than 130, 135, or 140 mg/dL; the most used number is 135 mg/dL. A diagnostic test is performed after a positive screening test</w:t>
      </w:r>
      <w:r>
        <w:rPr>
          <w:rFonts w:ascii="Book Antiqua" w:eastAsia="Book Antiqua" w:hAnsi="Book Antiqua" w:cs="Book Antiqua"/>
          <w:color w:val="000000"/>
          <w:vertAlign w:val="superscript"/>
        </w:rPr>
        <w:t>[173]</w:t>
      </w:r>
      <w:r>
        <w:rPr>
          <w:rFonts w:ascii="Book Antiqua" w:eastAsia="Book Antiqua" w:hAnsi="Book Antiqua" w:cs="Book Antiqua"/>
          <w:color w:val="000000"/>
        </w:rPr>
        <w:t>.</w:t>
      </w:r>
    </w:p>
    <w:p w14:paraId="31154EA8" w14:textId="77777777" w:rsidR="00BA6BF8" w:rsidRDefault="00BA6BF8">
      <w:pPr>
        <w:spacing w:line="360" w:lineRule="auto"/>
        <w:jc w:val="both"/>
        <w:rPr>
          <w:rFonts w:ascii="Book Antiqua" w:hAnsi="Book Antiqua"/>
        </w:rPr>
      </w:pPr>
    </w:p>
    <w:p w14:paraId="1977548E" w14:textId="77777777" w:rsidR="00BA6BF8" w:rsidRDefault="00000000">
      <w:pPr>
        <w:spacing w:line="360" w:lineRule="auto"/>
        <w:jc w:val="both"/>
        <w:rPr>
          <w:rFonts w:ascii="Book Antiqua" w:hAnsi="Book Antiqua"/>
        </w:rPr>
      </w:pPr>
      <w:r>
        <w:rPr>
          <w:rFonts w:ascii="Book Antiqua" w:eastAsia="Book Antiqua" w:hAnsi="Book Antiqua" w:cs="Book Antiqua"/>
          <w:b/>
          <w:bCs/>
          <w:caps/>
          <w:color w:val="000000"/>
          <w:u w:val="single"/>
        </w:rPr>
        <w:t>Pharmacogenomics in Diabetes Mellitus</w:t>
      </w:r>
    </w:p>
    <w:p w14:paraId="11F3970B"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 xml:space="preserve">Pharmacogenomics is the process of developing a genetically personalized therapy strategy to obtain the best optimal individual response. Several polymorphisms in the genes </w:t>
      </w:r>
      <w:r>
        <w:rPr>
          <w:rFonts w:ascii="Book Antiqua" w:eastAsia="Book Antiqua" w:hAnsi="Book Antiqua" w:cs="Book Antiqua"/>
          <w:i/>
          <w:iCs/>
          <w:color w:val="000000"/>
        </w:rPr>
        <w:t>i.e.</w:t>
      </w:r>
      <w:r>
        <w:rPr>
          <w:rFonts w:ascii="Book Antiqua" w:eastAsia="Book Antiqua" w:hAnsi="Book Antiqua" w:cs="Book Antiqua"/>
          <w:color w:val="000000"/>
        </w:rPr>
        <w:t xml:space="preserve">, </w:t>
      </w:r>
      <w:r>
        <w:rPr>
          <w:rFonts w:ascii="Book Antiqua" w:eastAsia="Book Antiqua" w:hAnsi="Book Antiqua" w:cs="Book Antiqua"/>
          <w:i/>
          <w:iCs/>
          <w:color w:val="000000"/>
        </w:rPr>
        <w:t>ABCC8</w:t>
      </w:r>
      <w:r>
        <w:rPr>
          <w:rFonts w:ascii="Book Antiqua" w:eastAsia="Book Antiqua" w:hAnsi="Book Antiqua" w:cs="Book Antiqua"/>
          <w:color w:val="000000"/>
        </w:rPr>
        <w:t xml:space="preserve">, </w:t>
      </w:r>
      <w:r>
        <w:rPr>
          <w:rFonts w:ascii="Book Antiqua" w:eastAsia="Book Antiqua" w:hAnsi="Book Antiqua" w:cs="Book Antiqua"/>
          <w:i/>
          <w:iCs/>
          <w:color w:val="000000"/>
        </w:rPr>
        <w:t>KCNJ11</w:t>
      </w:r>
      <w:r>
        <w:rPr>
          <w:rFonts w:ascii="Book Antiqua" w:eastAsia="Book Antiqua" w:hAnsi="Book Antiqua" w:cs="Book Antiqua"/>
          <w:color w:val="000000"/>
        </w:rPr>
        <w:t xml:space="preserve">, </w:t>
      </w:r>
      <w:r>
        <w:rPr>
          <w:rFonts w:ascii="Book Antiqua" w:eastAsia="Book Antiqua" w:hAnsi="Book Antiqua" w:cs="Book Antiqua"/>
          <w:i/>
          <w:iCs/>
          <w:color w:val="000000"/>
        </w:rPr>
        <w:t>TCF7L2</w:t>
      </w:r>
      <w:r>
        <w:rPr>
          <w:rFonts w:ascii="Book Antiqua" w:eastAsia="Book Antiqua" w:hAnsi="Book Antiqua" w:cs="Book Antiqua"/>
          <w:color w:val="000000"/>
        </w:rPr>
        <w:t xml:space="preserve">, </w:t>
      </w:r>
      <w:r>
        <w:rPr>
          <w:rFonts w:ascii="Book Antiqua" w:eastAsia="Book Antiqua" w:hAnsi="Book Antiqua" w:cs="Book Antiqua"/>
          <w:i/>
          <w:iCs/>
          <w:color w:val="000000"/>
        </w:rPr>
        <w:t>CYP2C9</w:t>
      </w:r>
      <w:r>
        <w:rPr>
          <w:rFonts w:ascii="Book Antiqua" w:eastAsia="Book Antiqua" w:hAnsi="Book Antiqua" w:cs="Book Antiqua"/>
          <w:color w:val="000000"/>
        </w:rPr>
        <w:t xml:space="preserve">, </w:t>
      </w:r>
      <w:r>
        <w:rPr>
          <w:rFonts w:ascii="Book Antiqua" w:eastAsia="Book Antiqua" w:hAnsi="Book Antiqua" w:cs="Book Antiqua"/>
          <w:i/>
          <w:iCs/>
          <w:color w:val="000000"/>
        </w:rPr>
        <w:t>IRS1</w:t>
      </w:r>
      <w:r>
        <w:rPr>
          <w:rFonts w:ascii="Book Antiqua" w:eastAsia="Book Antiqua" w:hAnsi="Book Antiqua" w:cs="Book Antiqua"/>
          <w:color w:val="000000"/>
        </w:rPr>
        <w:t xml:space="preserve">, </w:t>
      </w:r>
      <w:r>
        <w:rPr>
          <w:rFonts w:ascii="Book Antiqua" w:eastAsia="Book Antiqua" w:hAnsi="Book Antiqua" w:cs="Book Antiqua"/>
          <w:i/>
          <w:iCs/>
          <w:color w:val="000000"/>
        </w:rPr>
        <w:t>CDKAL1</w:t>
      </w:r>
      <w:r>
        <w:rPr>
          <w:rFonts w:ascii="Book Antiqua" w:eastAsia="Book Antiqua" w:hAnsi="Book Antiqua" w:cs="Book Antiqua"/>
          <w:color w:val="000000"/>
        </w:rPr>
        <w:t xml:space="preserve">, </w:t>
      </w:r>
      <w:r>
        <w:rPr>
          <w:rFonts w:ascii="Book Antiqua" w:eastAsia="Book Antiqua" w:hAnsi="Book Antiqua" w:cs="Book Antiqua"/>
          <w:i/>
          <w:iCs/>
          <w:color w:val="000000"/>
        </w:rPr>
        <w:t>CDKN2A</w:t>
      </w:r>
      <w:r>
        <w:rPr>
          <w:rFonts w:ascii="Book Antiqua" w:eastAsia="Book Antiqua" w:hAnsi="Book Antiqua" w:cs="Book Antiqua"/>
          <w:color w:val="000000"/>
        </w:rPr>
        <w:t xml:space="preserve">, </w:t>
      </w:r>
      <w:r>
        <w:rPr>
          <w:rFonts w:ascii="Book Antiqua" w:eastAsia="Book Antiqua" w:hAnsi="Book Antiqua" w:cs="Book Antiqua"/>
          <w:i/>
          <w:iCs/>
          <w:color w:val="000000"/>
        </w:rPr>
        <w:t>CDKN2B</w:t>
      </w:r>
      <w:r>
        <w:rPr>
          <w:rFonts w:ascii="Book Antiqua" w:eastAsia="Book Antiqua" w:hAnsi="Book Antiqua" w:cs="Book Antiqua"/>
          <w:color w:val="000000"/>
        </w:rPr>
        <w:t xml:space="preserve">, </w:t>
      </w:r>
      <w:r>
        <w:rPr>
          <w:rFonts w:ascii="Book Antiqua" w:eastAsia="Book Antiqua" w:hAnsi="Book Antiqua" w:cs="Book Antiqua"/>
          <w:i/>
          <w:iCs/>
          <w:color w:val="000000"/>
        </w:rPr>
        <w:t>KCNQ1</w:t>
      </w:r>
      <w:r>
        <w:rPr>
          <w:rFonts w:ascii="Book Antiqua" w:eastAsia="Book Antiqua" w:hAnsi="Book Antiqua" w:cs="Book Antiqua"/>
          <w:color w:val="000000"/>
        </w:rPr>
        <w:t xml:space="preserve">, </w:t>
      </w:r>
      <w:r>
        <w:rPr>
          <w:rFonts w:ascii="Book Antiqua" w:eastAsia="Book Antiqua" w:hAnsi="Book Antiqua" w:cs="Book Antiqua"/>
          <w:i/>
          <w:iCs/>
          <w:color w:val="000000"/>
        </w:rPr>
        <w:t>NOS1AP</w:t>
      </w:r>
      <w:r>
        <w:rPr>
          <w:rFonts w:ascii="Book Antiqua" w:eastAsia="Book Antiqua" w:hAnsi="Book Antiqua" w:cs="Book Antiqua"/>
          <w:color w:val="000000"/>
        </w:rPr>
        <w:t xml:space="preserve">, and </w:t>
      </w:r>
      <w:r>
        <w:rPr>
          <w:rFonts w:ascii="Book Antiqua" w:eastAsia="Book Antiqua" w:hAnsi="Book Antiqua" w:cs="Book Antiqua"/>
          <w:i/>
          <w:iCs/>
          <w:color w:val="000000"/>
        </w:rPr>
        <w:t>CAPN10</w:t>
      </w:r>
      <w:r>
        <w:rPr>
          <w:rFonts w:ascii="Book Antiqua" w:eastAsia="Book Antiqua" w:hAnsi="Book Antiqua" w:cs="Book Antiqua"/>
          <w:color w:val="000000"/>
        </w:rPr>
        <w:t xml:space="preserve"> have been explored in recent years in relation to the therapeutic response of various anti-diabetic medicines</w:t>
      </w:r>
      <w:r>
        <w:rPr>
          <w:rFonts w:ascii="Book Antiqua" w:eastAsia="Book Antiqua" w:hAnsi="Book Antiqua" w:cs="Book Antiqua"/>
          <w:color w:val="000000"/>
          <w:vertAlign w:val="superscript"/>
        </w:rPr>
        <w:t>[174]</w:t>
      </w:r>
      <w:r>
        <w:rPr>
          <w:rFonts w:ascii="Book Antiqua" w:eastAsia="Book Antiqua" w:hAnsi="Book Antiqua" w:cs="Book Antiqua"/>
          <w:color w:val="000000"/>
        </w:rPr>
        <w:t>. The American Association of Clinical Endocrinologists/American College of Endocrinology and the ADA in addition to metformin had proposed four oral options (sulfonylurea, thiazolidinedione, dipeptidyl peptidase-4 inhibitor, sodium-glucose cotransporter 2 inhibitor) and injectable agents (glucagon-like peptide-1 receptor agonist or basal insulin) for lowering blood glucose levels (Figure 3). Although these drugs have important therapeutic effects on diabetes, their long-term impact has not been accomplished, and their responses in individuals also display variances</w:t>
      </w:r>
      <w:r>
        <w:rPr>
          <w:rFonts w:ascii="Book Antiqua" w:eastAsia="Book Antiqua" w:hAnsi="Book Antiqua" w:cs="Book Antiqua"/>
          <w:color w:val="000000"/>
          <w:vertAlign w:val="superscript"/>
        </w:rPr>
        <w:t>[175,176]</w:t>
      </w:r>
      <w:r>
        <w:rPr>
          <w:rFonts w:ascii="Book Antiqua" w:eastAsia="Book Antiqua" w:hAnsi="Book Antiqua" w:cs="Book Antiqua"/>
          <w:color w:val="000000"/>
        </w:rPr>
        <w:t>. Moreover, some agents produce adverse side effects, such as hypoglycemia, weight gain, gastrointestinal discomfort, urogenital infections, discomfort at the injection site, and in some cases heart failure</w:t>
      </w:r>
      <w:r>
        <w:rPr>
          <w:rFonts w:ascii="Book Antiqua" w:eastAsia="Book Antiqua" w:hAnsi="Book Antiqua" w:cs="Book Antiqua"/>
          <w:color w:val="000000"/>
          <w:vertAlign w:val="superscript"/>
        </w:rPr>
        <w:t>[177]</w:t>
      </w:r>
      <w:r>
        <w:rPr>
          <w:rFonts w:ascii="Book Antiqua" w:eastAsia="Book Antiqua" w:hAnsi="Book Antiqua" w:cs="Book Antiqua"/>
          <w:color w:val="000000"/>
        </w:rPr>
        <w:t xml:space="preserve">. </w:t>
      </w:r>
    </w:p>
    <w:p w14:paraId="48F6311A" w14:textId="77777777" w:rsidR="00BA6BF8" w:rsidRDefault="00BA6BF8">
      <w:pPr>
        <w:spacing w:line="360" w:lineRule="auto"/>
        <w:jc w:val="both"/>
        <w:rPr>
          <w:rFonts w:ascii="Book Antiqua" w:hAnsi="Book Antiqua"/>
        </w:rPr>
      </w:pPr>
    </w:p>
    <w:p w14:paraId="27C67D73" w14:textId="77777777" w:rsidR="00BA6BF8" w:rsidRDefault="00000000">
      <w:pPr>
        <w:spacing w:line="360" w:lineRule="auto"/>
        <w:jc w:val="both"/>
        <w:rPr>
          <w:rFonts w:ascii="Book Antiqua" w:hAnsi="Book Antiqua"/>
        </w:rPr>
      </w:pPr>
      <w:r>
        <w:rPr>
          <w:rFonts w:ascii="Book Antiqua" w:eastAsia="Book Antiqua" w:hAnsi="Book Antiqua" w:cs="Book Antiqua"/>
          <w:b/>
          <w:bCs/>
          <w:i/>
          <w:iCs/>
          <w:color w:val="000000"/>
        </w:rPr>
        <w:t>Potential therapeutic drugs with new targets for diabetes</w:t>
      </w:r>
    </w:p>
    <w:p w14:paraId="04C777CD"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 xml:space="preserve">It is important to identify and develop novel targets to improve the therapeutic efficacy of present anti-diabetic medications, reduce the risk of side effects, and even reverse the development of diabetes. Many potential antidiabetic drugs </w:t>
      </w:r>
      <w:r>
        <w:rPr>
          <w:rFonts w:ascii="Book Antiqua" w:eastAsia="Book Antiqua" w:hAnsi="Book Antiqua" w:cs="Book Antiqua"/>
          <w:i/>
          <w:iCs/>
          <w:color w:val="000000"/>
        </w:rPr>
        <w:t>i.e.</w:t>
      </w:r>
      <w:r>
        <w:rPr>
          <w:rFonts w:ascii="Book Antiqua" w:eastAsia="Book Antiqua" w:hAnsi="Book Antiqua" w:cs="Book Antiqua"/>
          <w:color w:val="000000"/>
        </w:rPr>
        <w:t xml:space="preserve">, Dorzagliatin (glucokinase activators), BI 135585 [b-hydroxysteroid dehydrogenase-1 inhibitors (11-b-HSD1 inhibitors)], DS-8500a (G-protein-coupled receptor 119 agonists), and PF-06291874/LGD-6972 (glucagon receptor antagonists) with new targets are currently </w:t>
      </w:r>
      <w:r>
        <w:rPr>
          <w:rFonts w:ascii="Book Antiqua" w:eastAsia="Book Antiqua" w:hAnsi="Book Antiqua" w:cs="Book Antiqua"/>
          <w:color w:val="000000"/>
        </w:rPr>
        <w:lastRenderedPageBreak/>
        <w:t>undergoing clinical trials. These drugs may become new diabetes treatment options and provide more therapeutic alternatives for diabetes patients.</w:t>
      </w:r>
    </w:p>
    <w:p w14:paraId="734BB0D6" w14:textId="77777777" w:rsidR="00BA6BF8"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There is growing evidence that vitamin D insufficiency may play a critical role in the T2DM etiology</w:t>
      </w:r>
      <w:r>
        <w:rPr>
          <w:rFonts w:ascii="Book Antiqua" w:eastAsia="Book Antiqua" w:hAnsi="Book Antiqua" w:cs="Book Antiqua"/>
          <w:color w:val="000000"/>
          <w:vertAlign w:val="superscript"/>
        </w:rPr>
        <w:t>[178]</w:t>
      </w:r>
      <w:r>
        <w:rPr>
          <w:rFonts w:ascii="Book Antiqua" w:eastAsia="Book Antiqua" w:hAnsi="Book Antiqua" w:cs="Book Antiqua"/>
          <w:color w:val="000000"/>
        </w:rPr>
        <w:t>. Thus, in a randomized controlled study, the oral daily doses of vitamin D supplementation with metformin significantly reduced HbA1c levels after 3 and 6 mo of supplementation, compared to the metformin alone</w:t>
      </w:r>
      <w:r>
        <w:rPr>
          <w:rFonts w:ascii="Book Antiqua" w:eastAsia="Book Antiqua" w:hAnsi="Book Antiqua" w:cs="Book Antiqua"/>
          <w:color w:val="000000"/>
          <w:vertAlign w:val="superscript"/>
        </w:rPr>
        <w:t>[179]</w:t>
      </w:r>
      <w:r>
        <w:rPr>
          <w:rFonts w:ascii="Book Antiqua" w:eastAsia="Book Antiqua" w:hAnsi="Book Antiqua" w:cs="Book Antiqua"/>
          <w:color w:val="000000"/>
        </w:rPr>
        <w:t>.</w:t>
      </w:r>
    </w:p>
    <w:p w14:paraId="39CBF8E1" w14:textId="77777777" w:rsidR="00BA6BF8" w:rsidRDefault="00BA6BF8">
      <w:pPr>
        <w:spacing w:line="360" w:lineRule="auto"/>
        <w:jc w:val="both"/>
        <w:rPr>
          <w:rFonts w:ascii="Book Antiqua" w:hAnsi="Book Antiqua"/>
        </w:rPr>
      </w:pPr>
    </w:p>
    <w:p w14:paraId="6117A262" w14:textId="77777777" w:rsidR="00BA6BF8" w:rsidRDefault="00000000">
      <w:pPr>
        <w:spacing w:line="360" w:lineRule="auto"/>
        <w:jc w:val="both"/>
        <w:rPr>
          <w:rFonts w:ascii="Book Antiqua" w:hAnsi="Book Antiqua"/>
        </w:rPr>
      </w:pPr>
      <w:r>
        <w:rPr>
          <w:rFonts w:ascii="Book Antiqua" w:eastAsia="Book Antiqua" w:hAnsi="Book Antiqua" w:cs="Book Antiqua"/>
          <w:b/>
          <w:bCs/>
          <w:caps/>
          <w:color w:val="000000"/>
          <w:u w:val="single"/>
        </w:rPr>
        <w:t>Phytoconstituents: An Alternative Option</w:t>
      </w:r>
    </w:p>
    <w:p w14:paraId="62BD70DA"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In diabetic patients, monotherapies combined with herbal extracts or phytoconstituents demonstrated significant improvements in blood glucose levels. Plant-derived chemical compounds have also proven to be potential alternatives. Table 4</w:t>
      </w:r>
      <w:r>
        <w:rPr>
          <w:rFonts w:ascii="Book Antiqua" w:eastAsia="Book Antiqua" w:hAnsi="Book Antiqua" w:cs="Book Antiqua"/>
          <w:color w:val="000000"/>
          <w:vertAlign w:val="superscript"/>
        </w:rPr>
        <w:t>[180-194]</w:t>
      </w:r>
      <w:r>
        <w:rPr>
          <w:rFonts w:ascii="Book Antiqua" w:eastAsia="Book Antiqua" w:hAnsi="Book Antiqua" w:cs="Book Antiqua"/>
          <w:color w:val="000000"/>
        </w:rPr>
        <w:t xml:space="preserve"> shows the known effects of various phytoconstituents on diabetes. Diabetes can be managed using either nonpharmacological (reasonable diet and exercise) or pharmacological (drugs or insulin) techniques. However, T2DM medication is expensive for patients and has substantial adverse effects. Plants appear to offer an appealing alternative to traditional diabetes treatment. They comprise complex compounds including many natural bioactive principles with less adverse effects.</w:t>
      </w:r>
    </w:p>
    <w:p w14:paraId="189F4093" w14:textId="77777777" w:rsidR="00BA6BF8" w:rsidRDefault="00BA6BF8">
      <w:pPr>
        <w:spacing w:line="360" w:lineRule="auto"/>
        <w:jc w:val="both"/>
        <w:rPr>
          <w:rFonts w:ascii="Book Antiqua" w:hAnsi="Book Antiqua"/>
        </w:rPr>
      </w:pPr>
    </w:p>
    <w:p w14:paraId="307D1807" w14:textId="77777777" w:rsidR="00BA6BF8"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A0F891A" w14:textId="77777777" w:rsidR="00BA6BF8" w:rsidRDefault="00000000">
      <w:pPr>
        <w:spacing w:line="360" w:lineRule="auto"/>
        <w:jc w:val="both"/>
        <w:rPr>
          <w:rFonts w:ascii="Book Antiqua" w:hAnsi="Book Antiqua"/>
        </w:rPr>
      </w:pPr>
      <w:r>
        <w:rPr>
          <w:rFonts w:ascii="Book Antiqua" w:eastAsia="Book Antiqua" w:hAnsi="Book Antiqua" w:cs="Book Antiqua"/>
          <w:color w:val="000000"/>
        </w:rPr>
        <w:t xml:space="preserve">Diabetes pathogenesis encompasses genetic, epigenetic, and environmental variables and their interactions. To date, the examined common variations can explain just a small portion of the heritability of diabetes. Furthermore, the technique of integrating the associated variants as a type of GRS does not accurately predict diabetes risk. As a result, the trend for genetic risk factors for diabetes is shifting from common to rare variants. Aside from genetic variables, systemic data from other trans-omics such as epigenomics, transcriptomics, proteomics, metabolomics, and metagenomics will contribute to a better understanding of genetic determinants in the progression of metabolic illnesses like diabetes. Technological, computational, and collaborative developments continue to uncover novel genetic diabetes risk factors. There are high prospects for tailored diabetes </w:t>
      </w:r>
      <w:r>
        <w:rPr>
          <w:rFonts w:ascii="Book Antiqua" w:eastAsia="Book Antiqua" w:hAnsi="Book Antiqua" w:cs="Book Antiqua"/>
          <w:color w:val="000000"/>
        </w:rPr>
        <w:lastRenderedPageBreak/>
        <w:t xml:space="preserve">treatment in the future, based on increased knowledge of the molecular genetic profile of the patients. </w:t>
      </w:r>
    </w:p>
    <w:p w14:paraId="510B8C00" w14:textId="77777777" w:rsidR="00BA6BF8" w:rsidRDefault="00BA6BF8"/>
    <w:p w14:paraId="4306C8DF" w14:textId="77777777" w:rsidR="00BA6BF8"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7654E9ED" w14:textId="77777777" w:rsidR="00BA6BF8" w:rsidRDefault="00000000">
      <w:pPr>
        <w:spacing w:line="360" w:lineRule="auto"/>
        <w:jc w:val="both"/>
        <w:rPr>
          <w:rFonts w:ascii="Book Antiqua" w:hAnsi="Book Antiqua"/>
        </w:rPr>
      </w:pPr>
      <w:r>
        <w:rPr>
          <w:rFonts w:ascii="Book Antiqua" w:hAnsi="Book Antiqua"/>
        </w:rPr>
        <w:t xml:space="preserve">1 </w:t>
      </w:r>
      <w:r>
        <w:rPr>
          <w:rFonts w:ascii="Book Antiqua" w:hAnsi="Book Antiqua"/>
          <w:b/>
          <w:bCs/>
        </w:rPr>
        <w:t>Zimmet P</w:t>
      </w:r>
      <w:r>
        <w:rPr>
          <w:rFonts w:ascii="Book Antiqua" w:hAnsi="Book Antiqua"/>
        </w:rPr>
        <w:t xml:space="preserve">, Alberti KG, Shaw J. Global and societal implications of the diabetes epidemic. </w:t>
      </w:r>
      <w:r>
        <w:rPr>
          <w:rFonts w:ascii="Book Antiqua" w:hAnsi="Book Antiqua"/>
          <w:i/>
          <w:iCs/>
        </w:rPr>
        <w:t>Nature</w:t>
      </w:r>
      <w:r>
        <w:rPr>
          <w:rFonts w:ascii="Book Antiqua" w:hAnsi="Book Antiqua"/>
        </w:rPr>
        <w:t xml:space="preserve"> 2001; </w:t>
      </w:r>
      <w:r>
        <w:rPr>
          <w:rFonts w:ascii="Book Antiqua" w:hAnsi="Book Antiqua"/>
          <w:b/>
          <w:bCs/>
        </w:rPr>
        <w:t>414</w:t>
      </w:r>
      <w:r>
        <w:rPr>
          <w:rFonts w:ascii="Book Antiqua" w:hAnsi="Book Antiqua"/>
        </w:rPr>
        <w:t>: 782-787 [PMID: 11742409 DOI: 10.1038/414782a]</w:t>
      </w:r>
    </w:p>
    <w:p w14:paraId="329F1DE9" w14:textId="77777777" w:rsidR="00BA6BF8"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American Diabetes Association</w:t>
      </w:r>
      <w:r>
        <w:rPr>
          <w:rFonts w:ascii="Book Antiqua" w:hAnsi="Book Antiqua"/>
        </w:rPr>
        <w:t xml:space="preserve">. Standards of medical care in diabetes--2009. </w:t>
      </w:r>
      <w:r>
        <w:rPr>
          <w:rFonts w:ascii="Book Antiqua" w:hAnsi="Book Antiqua"/>
          <w:i/>
          <w:iCs/>
        </w:rPr>
        <w:t>Diabetes Care</w:t>
      </w:r>
      <w:r>
        <w:rPr>
          <w:rFonts w:ascii="Book Antiqua" w:hAnsi="Book Antiqua"/>
        </w:rPr>
        <w:t xml:space="preserve"> 2009; </w:t>
      </w:r>
      <w:r>
        <w:rPr>
          <w:rFonts w:ascii="Book Antiqua" w:hAnsi="Book Antiqua"/>
          <w:b/>
          <w:bCs/>
        </w:rPr>
        <w:t xml:space="preserve">32 </w:t>
      </w:r>
      <w:r>
        <w:rPr>
          <w:rFonts w:ascii="Book Antiqua" w:hAnsi="Book Antiqua"/>
        </w:rPr>
        <w:t>Suppl 1: S13-S61 [PMID: 19118286 DOI: 10.2337/dc09-S013]</w:t>
      </w:r>
    </w:p>
    <w:p w14:paraId="1D4B5461" w14:textId="77777777" w:rsidR="00BA6BF8"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Kutsuma A</w:t>
      </w:r>
      <w:r>
        <w:rPr>
          <w:rFonts w:ascii="Book Antiqua" w:hAnsi="Book Antiqua"/>
        </w:rPr>
        <w:t xml:space="preserve">, Nakajima K, Suwa K. Potential Association between Breakfast Skipping and Concomitant Late-Night-Dinner Eating with Metabolic Syndrome and Proteinuria in the Japanese Population. </w:t>
      </w:r>
      <w:r>
        <w:rPr>
          <w:rFonts w:ascii="Book Antiqua" w:hAnsi="Book Antiqua"/>
          <w:i/>
          <w:iCs/>
        </w:rPr>
        <w:t>Scientifica (Cairo)</w:t>
      </w:r>
      <w:r>
        <w:rPr>
          <w:rFonts w:ascii="Book Antiqua" w:hAnsi="Book Antiqua"/>
        </w:rPr>
        <w:t xml:space="preserve"> 2014; </w:t>
      </w:r>
      <w:r>
        <w:rPr>
          <w:rFonts w:ascii="Book Antiqua" w:hAnsi="Book Antiqua"/>
          <w:b/>
          <w:bCs/>
        </w:rPr>
        <w:t>2014</w:t>
      </w:r>
      <w:r>
        <w:rPr>
          <w:rFonts w:ascii="Book Antiqua" w:hAnsi="Book Antiqua"/>
        </w:rPr>
        <w:t>: 253581 [PMID: 24982814 DOI: 10.1155/2014/253581]</w:t>
      </w:r>
    </w:p>
    <w:p w14:paraId="6DF0D3D1" w14:textId="77777777" w:rsidR="00BA6BF8"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Fowler MJ.</w:t>
      </w:r>
      <w:r>
        <w:rPr>
          <w:rFonts w:ascii="Book Antiqua" w:hAnsi="Book Antiqua"/>
        </w:rPr>
        <w:t xml:space="preserve"> Microvascular and macrovascular complications of diabetes. </w:t>
      </w:r>
      <w:r>
        <w:rPr>
          <w:rFonts w:ascii="Book Antiqua" w:hAnsi="Book Antiqua"/>
          <w:i/>
          <w:iCs/>
        </w:rPr>
        <w:t>Clin Diabetes 1</w:t>
      </w:r>
      <w:r>
        <w:rPr>
          <w:rFonts w:ascii="Book Antiqua" w:hAnsi="Book Antiqua"/>
        </w:rPr>
        <w:t xml:space="preserve"> 2008; </w:t>
      </w:r>
      <w:r>
        <w:rPr>
          <w:rFonts w:ascii="Book Antiqua" w:hAnsi="Book Antiqua"/>
          <w:b/>
          <w:bCs/>
        </w:rPr>
        <w:t>26</w:t>
      </w:r>
      <w:r>
        <w:rPr>
          <w:rFonts w:ascii="Book Antiqua" w:hAnsi="Book Antiqua"/>
        </w:rPr>
        <w:t>: 77–82 [DOI: 10.2337/diaclin.26.2.77]</w:t>
      </w:r>
    </w:p>
    <w:p w14:paraId="4AFAFD2D" w14:textId="77777777" w:rsidR="00BA6BF8"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Kwak SH</w:t>
      </w:r>
      <w:r>
        <w:rPr>
          <w:rFonts w:ascii="Book Antiqua" w:hAnsi="Book Antiqua"/>
        </w:rPr>
        <w:t xml:space="preserve">, Park KS. Genetic Studies on Diabetic Microvascular Complications: Focusing on Genome-Wide Association Studies. </w:t>
      </w:r>
      <w:r>
        <w:rPr>
          <w:rFonts w:ascii="Book Antiqua" w:hAnsi="Book Antiqua"/>
          <w:i/>
          <w:iCs/>
        </w:rPr>
        <w:t>Endocrinol Metab (Seoul)</w:t>
      </w:r>
      <w:r>
        <w:rPr>
          <w:rFonts w:ascii="Book Antiqua" w:hAnsi="Book Antiqua"/>
        </w:rPr>
        <w:t xml:space="preserve"> 2015; </w:t>
      </w:r>
      <w:r>
        <w:rPr>
          <w:rFonts w:ascii="Book Antiqua" w:hAnsi="Book Antiqua"/>
          <w:b/>
          <w:bCs/>
        </w:rPr>
        <w:t>30</w:t>
      </w:r>
      <w:r>
        <w:rPr>
          <w:rFonts w:ascii="Book Antiqua" w:hAnsi="Book Antiqua"/>
        </w:rPr>
        <w:t>: 147-158 [PMID: 26194074 DOI: 10.3803/EnM.2015.30.2.147]</w:t>
      </w:r>
    </w:p>
    <w:p w14:paraId="19CF71C1" w14:textId="77777777" w:rsidR="00BA6BF8"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Kirigia JM</w:t>
      </w:r>
      <w:r>
        <w:rPr>
          <w:rFonts w:ascii="Book Antiqua" w:hAnsi="Book Antiqua"/>
        </w:rPr>
        <w:t xml:space="preserve">, Sambo HB, Sambo LG, Barry SP. Economic burden of diabetes mellitus in the WHO African region. </w:t>
      </w:r>
      <w:r>
        <w:rPr>
          <w:rFonts w:ascii="Book Antiqua" w:hAnsi="Book Antiqua"/>
          <w:i/>
          <w:iCs/>
        </w:rPr>
        <w:t>BMC Int Health Hum Rights</w:t>
      </w:r>
      <w:r>
        <w:rPr>
          <w:rFonts w:ascii="Book Antiqua" w:hAnsi="Book Antiqua"/>
        </w:rPr>
        <w:t xml:space="preserve"> 2009; </w:t>
      </w:r>
      <w:r>
        <w:rPr>
          <w:rFonts w:ascii="Book Antiqua" w:hAnsi="Book Antiqua"/>
          <w:b/>
          <w:bCs/>
        </w:rPr>
        <w:t>9</w:t>
      </w:r>
      <w:r>
        <w:rPr>
          <w:rFonts w:ascii="Book Antiqua" w:hAnsi="Book Antiqua"/>
        </w:rPr>
        <w:t>: 6 [PMID: 19335903 DOI: 10.1186/1472-698X-9-6]</w:t>
      </w:r>
    </w:p>
    <w:p w14:paraId="464BBAC0" w14:textId="77777777" w:rsidR="00BA6BF8" w:rsidRDefault="00000000">
      <w:pPr>
        <w:spacing w:line="360" w:lineRule="auto"/>
        <w:jc w:val="both"/>
        <w:rPr>
          <w:rFonts w:ascii="Book Antiqua" w:hAnsi="Book Antiqua"/>
        </w:rPr>
      </w:pPr>
      <w:r>
        <w:rPr>
          <w:rFonts w:ascii="Book Antiqua" w:hAnsi="Book Antiqua"/>
        </w:rPr>
        <w:t xml:space="preserve">7 Report of the Expert Committee on the Diagnosis and Classification of Diabetes Mellitus. </w:t>
      </w:r>
      <w:r>
        <w:rPr>
          <w:rFonts w:ascii="Book Antiqua" w:hAnsi="Book Antiqua"/>
          <w:i/>
          <w:iCs/>
        </w:rPr>
        <w:t>Diabetes Care</w:t>
      </w:r>
      <w:r>
        <w:rPr>
          <w:rFonts w:ascii="Book Antiqua" w:hAnsi="Book Antiqua"/>
        </w:rPr>
        <w:t xml:space="preserve"> 1997; </w:t>
      </w:r>
      <w:r>
        <w:rPr>
          <w:rFonts w:ascii="Book Antiqua" w:hAnsi="Book Antiqua"/>
          <w:b/>
          <w:bCs/>
        </w:rPr>
        <w:t>20</w:t>
      </w:r>
      <w:r>
        <w:rPr>
          <w:rFonts w:ascii="Book Antiqua" w:hAnsi="Book Antiqua"/>
        </w:rPr>
        <w:t>: 1183-1197 [PMID: 9203460 DOI: 10.2337/diacare.20.7.1183]</w:t>
      </w:r>
    </w:p>
    <w:p w14:paraId="62483615" w14:textId="77777777" w:rsidR="00BA6BF8"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Dabelea D</w:t>
      </w:r>
      <w:r>
        <w:rPr>
          <w:rFonts w:ascii="Book Antiqua" w:hAnsi="Book Antiqua"/>
        </w:rPr>
        <w:t xml:space="preserve">, Mayer-Davis EJ, Saydah S, Imperatore G, Linder B, Divers J, Bell R, Badaru A, Talton JW, Crume T, Liese AD, Merchant AT, Lawrence JM, Reynolds K, Dolan L, Liu LL, Hamman RF; SEARCH for Diabetes in Youth Study. Prevalence of type 1 and type 2 diabetes among children and adolescents from 2001 to 2009. </w:t>
      </w:r>
      <w:r>
        <w:rPr>
          <w:rFonts w:ascii="Book Antiqua" w:hAnsi="Book Antiqua"/>
          <w:i/>
          <w:iCs/>
        </w:rPr>
        <w:t>JAMA</w:t>
      </w:r>
      <w:r>
        <w:rPr>
          <w:rFonts w:ascii="Book Antiqua" w:hAnsi="Book Antiqua"/>
        </w:rPr>
        <w:t xml:space="preserve"> 2014; </w:t>
      </w:r>
      <w:r>
        <w:rPr>
          <w:rFonts w:ascii="Book Antiqua" w:hAnsi="Book Antiqua"/>
          <w:b/>
          <w:bCs/>
        </w:rPr>
        <w:t>311</w:t>
      </w:r>
      <w:r>
        <w:rPr>
          <w:rFonts w:ascii="Book Antiqua" w:hAnsi="Book Antiqua"/>
        </w:rPr>
        <w:t>: 1778-1786 [PMID: 24794371 DOI: 10.1001/jama.2014.3201]</w:t>
      </w:r>
    </w:p>
    <w:p w14:paraId="074FB7C6" w14:textId="77777777" w:rsidR="00BA6BF8" w:rsidRDefault="00000000">
      <w:pPr>
        <w:spacing w:line="360" w:lineRule="auto"/>
        <w:jc w:val="both"/>
        <w:rPr>
          <w:rFonts w:ascii="Book Antiqua" w:hAnsi="Book Antiqua"/>
        </w:rPr>
      </w:pPr>
      <w:r>
        <w:rPr>
          <w:rFonts w:ascii="Book Antiqua" w:hAnsi="Book Antiqua"/>
        </w:rPr>
        <w:lastRenderedPageBreak/>
        <w:t xml:space="preserve">9 </w:t>
      </w:r>
      <w:r>
        <w:rPr>
          <w:rFonts w:ascii="Book Antiqua" w:hAnsi="Book Antiqua"/>
          <w:b/>
          <w:bCs/>
        </w:rPr>
        <w:t>Sena CM</w:t>
      </w:r>
      <w:r>
        <w:rPr>
          <w:rFonts w:ascii="Book Antiqua" w:hAnsi="Book Antiqua"/>
        </w:rPr>
        <w:t xml:space="preserve">, Bento CF, Pereira P, Seiça R. Diabetes mellitus: new challenges and innovative therapies. </w:t>
      </w:r>
      <w:r>
        <w:rPr>
          <w:rFonts w:ascii="Book Antiqua" w:hAnsi="Book Antiqua"/>
          <w:i/>
          <w:iCs/>
        </w:rPr>
        <w:t>EPMA J</w:t>
      </w:r>
      <w:r>
        <w:rPr>
          <w:rFonts w:ascii="Book Antiqua" w:hAnsi="Book Antiqua"/>
        </w:rPr>
        <w:t xml:space="preserve"> 2010; </w:t>
      </w:r>
      <w:r>
        <w:rPr>
          <w:rFonts w:ascii="Book Antiqua" w:hAnsi="Book Antiqua"/>
          <w:b/>
          <w:bCs/>
        </w:rPr>
        <w:t>1</w:t>
      </w:r>
      <w:r>
        <w:rPr>
          <w:rFonts w:ascii="Book Antiqua" w:hAnsi="Book Antiqua"/>
        </w:rPr>
        <w:t>: 138-163 [PMID: 23199048 DOI: 10.1007/s13167-010-0010-9]</w:t>
      </w:r>
    </w:p>
    <w:p w14:paraId="1849C8E0" w14:textId="77777777" w:rsidR="00BA6BF8"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Druet C</w:t>
      </w:r>
      <w:r>
        <w:rPr>
          <w:rFonts w:ascii="Book Antiqua" w:hAnsi="Book Antiqua"/>
        </w:rPr>
        <w:t xml:space="preserve">, Tubiana-Rufi N, Chevenne D, Rigal O, Polak M, Levy-Marchal C. Characterization of insulin secretion and resistance in type 2 diabetes of adolescents. </w:t>
      </w:r>
      <w:r>
        <w:rPr>
          <w:rFonts w:ascii="Book Antiqua" w:hAnsi="Book Antiqua"/>
          <w:i/>
          <w:iCs/>
        </w:rPr>
        <w:t>J Clin Endocrinol Metab</w:t>
      </w:r>
      <w:r>
        <w:rPr>
          <w:rFonts w:ascii="Book Antiqua" w:hAnsi="Book Antiqua"/>
        </w:rPr>
        <w:t xml:space="preserve"> 2006; </w:t>
      </w:r>
      <w:r>
        <w:rPr>
          <w:rFonts w:ascii="Book Antiqua" w:hAnsi="Book Antiqua"/>
          <w:b/>
          <w:bCs/>
        </w:rPr>
        <w:t>91</w:t>
      </w:r>
      <w:r>
        <w:rPr>
          <w:rFonts w:ascii="Book Antiqua" w:hAnsi="Book Antiqua"/>
        </w:rPr>
        <w:t>: 401-404 [PMID: 16291705 DOI: 10.1210/jc.2005-1672]</w:t>
      </w:r>
    </w:p>
    <w:p w14:paraId="61ABF7B7" w14:textId="77777777" w:rsidR="00BA6BF8"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Wolfs MG</w:t>
      </w:r>
      <w:r>
        <w:rPr>
          <w:rFonts w:ascii="Book Antiqua" w:hAnsi="Book Antiqua"/>
        </w:rPr>
        <w:t xml:space="preserve">, Hofker MH, Wijmenga C, van Haeften TW. Type 2 Diabetes Mellitus: New Genetic Insights will Lead to New Therapeutics. </w:t>
      </w:r>
      <w:r>
        <w:rPr>
          <w:rFonts w:ascii="Book Antiqua" w:hAnsi="Book Antiqua"/>
          <w:i/>
          <w:iCs/>
        </w:rPr>
        <w:t>Curr Genomics</w:t>
      </w:r>
      <w:r>
        <w:rPr>
          <w:rFonts w:ascii="Book Antiqua" w:hAnsi="Book Antiqua"/>
        </w:rPr>
        <w:t xml:space="preserve"> 2009; </w:t>
      </w:r>
      <w:r>
        <w:rPr>
          <w:rFonts w:ascii="Book Antiqua" w:hAnsi="Book Antiqua"/>
          <w:b/>
          <w:bCs/>
        </w:rPr>
        <w:t>10</w:t>
      </w:r>
      <w:r>
        <w:rPr>
          <w:rFonts w:ascii="Book Antiqua" w:hAnsi="Book Antiqua"/>
        </w:rPr>
        <w:t>: 110-118 [PMID: 19794883 DOI: 10.2174/138920209787847023]</w:t>
      </w:r>
    </w:p>
    <w:p w14:paraId="1D4B061E" w14:textId="77777777" w:rsidR="00BA6BF8"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 xml:space="preserve">Lemos Costa TMR, </w:t>
      </w:r>
      <w:r>
        <w:rPr>
          <w:rFonts w:ascii="Book Antiqua" w:hAnsi="Book Antiqua"/>
        </w:rPr>
        <w:t xml:space="preserve">Detsch JM, Pimazoni-Netto A, de Almeida ACR, Sztal-Mazer S, de Oliveira LMT, Nascimento DJ, Réa RR. Glycemic variability and mean weekly glucose in the evaluation and treatment of blood glucose in gestational diabetes mellitus; evidence for lower neonatal complications. </w:t>
      </w:r>
      <w:r>
        <w:rPr>
          <w:rFonts w:ascii="Book Antiqua" w:hAnsi="Book Antiqua"/>
          <w:i/>
          <w:iCs/>
        </w:rPr>
        <w:t>J Diabetes Metab</w:t>
      </w:r>
      <w:r>
        <w:rPr>
          <w:rFonts w:ascii="Book Antiqua" w:hAnsi="Book Antiqua" w:hint="eastAsia"/>
          <w:lang w:eastAsia="zh-CN"/>
        </w:rPr>
        <w:t xml:space="preserve"> </w:t>
      </w:r>
      <w:r>
        <w:rPr>
          <w:rFonts w:ascii="Book Antiqua" w:hAnsi="Book Antiqua"/>
        </w:rPr>
        <w:t xml:space="preserve">2011; </w:t>
      </w:r>
      <w:r>
        <w:rPr>
          <w:rFonts w:ascii="Book Antiqua" w:hAnsi="Book Antiqua"/>
          <w:b/>
          <w:bCs/>
        </w:rPr>
        <w:t>2</w:t>
      </w:r>
      <w:r>
        <w:rPr>
          <w:rFonts w:ascii="Book Antiqua" w:hAnsi="Book Antiqua"/>
        </w:rPr>
        <w:t xml:space="preserve"> [DOI: 10.4172/2155-6156.1000137]</w:t>
      </w:r>
    </w:p>
    <w:p w14:paraId="6236702F" w14:textId="77777777" w:rsidR="00BA6BF8"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Philips JC</w:t>
      </w:r>
      <w:r>
        <w:rPr>
          <w:rFonts w:ascii="Book Antiqua" w:hAnsi="Book Antiqua"/>
        </w:rPr>
        <w:t xml:space="preserve">, Emonts P, Pintiaux A, Kirkpatrick C, Scheen AJ. [Management of gestational diabetes]. </w:t>
      </w:r>
      <w:r>
        <w:rPr>
          <w:rFonts w:ascii="Book Antiqua" w:hAnsi="Book Antiqua"/>
          <w:i/>
          <w:iCs/>
        </w:rPr>
        <w:t>Rev Med Liege</w:t>
      </w:r>
      <w:r>
        <w:rPr>
          <w:rFonts w:ascii="Book Antiqua" w:hAnsi="Book Antiqua"/>
        </w:rPr>
        <w:t xml:space="preserve"> 2013; </w:t>
      </w:r>
      <w:r>
        <w:rPr>
          <w:rFonts w:ascii="Book Antiqua" w:hAnsi="Book Antiqua"/>
          <w:b/>
          <w:bCs/>
        </w:rPr>
        <w:t>68</w:t>
      </w:r>
      <w:r>
        <w:rPr>
          <w:rFonts w:ascii="Book Antiqua" w:hAnsi="Book Antiqua"/>
        </w:rPr>
        <w:t>: 489-496 [PMID: 24180206]</w:t>
      </w:r>
    </w:p>
    <w:p w14:paraId="5D7A9942" w14:textId="77777777" w:rsidR="00BA6BF8" w:rsidRDefault="00000000">
      <w:pPr>
        <w:spacing w:line="360" w:lineRule="auto"/>
        <w:jc w:val="both"/>
        <w:rPr>
          <w:rFonts w:ascii="Book Antiqua" w:hAnsi="Book Antiqua"/>
        </w:rPr>
      </w:pPr>
      <w:r>
        <w:rPr>
          <w:rFonts w:ascii="Book Antiqua" w:hAnsi="Book Antiqua"/>
          <w:lang w:val="es-MX"/>
        </w:rPr>
        <w:t xml:space="preserve">14 </w:t>
      </w:r>
      <w:r>
        <w:rPr>
          <w:rFonts w:ascii="Book Antiqua" w:hAnsi="Book Antiqua"/>
          <w:b/>
          <w:bCs/>
          <w:lang w:val="es-MX"/>
        </w:rPr>
        <w:t>Buchanan TA</w:t>
      </w:r>
      <w:r>
        <w:rPr>
          <w:rFonts w:ascii="Book Antiqua" w:hAnsi="Book Antiqua"/>
          <w:lang w:val="es-MX"/>
        </w:rPr>
        <w:t xml:space="preserve">, Xiang AH, Page KA. </w:t>
      </w:r>
      <w:r>
        <w:rPr>
          <w:rFonts w:ascii="Book Antiqua" w:hAnsi="Book Antiqua"/>
        </w:rPr>
        <w:t xml:space="preserve">Gestational diabetes mellitus: risks and management during and after pregnancy. </w:t>
      </w:r>
      <w:r>
        <w:rPr>
          <w:rFonts w:ascii="Book Antiqua" w:hAnsi="Book Antiqua"/>
          <w:i/>
          <w:iCs/>
        </w:rPr>
        <w:t>Nat Rev Endocrinol</w:t>
      </w:r>
      <w:r>
        <w:rPr>
          <w:rFonts w:ascii="Book Antiqua" w:hAnsi="Book Antiqua"/>
        </w:rPr>
        <w:t xml:space="preserve"> 2012; </w:t>
      </w:r>
      <w:r>
        <w:rPr>
          <w:rFonts w:ascii="Book Antiqua" w:hAnsi="Book Antiqua"/>
          <w:b/>
          <w:bCs/>
        </w:rPr>
        <w:t>8</w:t>
      </w:r>
      <w:r>
        <w:rPr>
          <w:rFonts w:ascii="Book Antiqua" w:hAnsi="Book Antiqua"/>
        </w:rPr>
        <w:t>: 639-649 [PMID: 22751341 DOI: 10.1038/nrendo.2012.96]</w:t>
      </w:r>
    </w:p>
    <w:p w14:paraId="43565F2E" w14:textId="77777777" w:rsidR="00BA6BF8"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McDonald TJ</w:t>
      </w:r>
      <w:r>
        <w:rPr>
          <w:rFonts w:ascii="Book Antiqua" w:hAnsi="Book Antiqua"/>
        </w:rPr>
        <w:t xml:space="preserve">, Colclough K, Brown R, Shields B, Shepherd M, Bingley P, Williams A, Hattersley AT, Ellard S. Islet autoantibodies can discriminate maturity-onset diabetes of the young (MODY) from Type 1 diabetes. </w:t>
      </w:r>
      <w:r>
        <w:rPr>
          <w:rFonts w:ascii="Book Antiqua" w:hAnsi="Book Antiqua"/>
          <w:i/>
          <w:iCs/>
        </w:rPr>
        <w:t>Diabet Med</w:t>
      </w:r>
      <w:r>
        <w:rPr>
          <w:rFonts w:ascii="Book Antiqua" w:hAnsi="Book Antiqua"/>
        </w:rPr>
        <w:t xml:space="preserve"> 2011; </w:t>
      </w:r>
      <w:r>
        <w:rPr>
          <w:rFonts w:ascii="Book Antiqua" w:hAnsi="Book Antiqua"/>
          <w:b/>
          <w:bCs/>
        </w:rPr>
        <w:t>28</w:t>
      </w:r>
      <w:r>
        <w:rPr>
          <w:rFonts w:ascii="Book Antiqua" w:hAnsi="Book Antiqua"/>
        </w:rPr>
        <w:t>: 1028-1033 [PMID: 21395678 DOI: 10.1111/j.1464-5491.2011.03287.x]</w:t>
      </w:r>
    </w:p>
    <w:p w14:paraId="638E3842" w14:textId="77777777" w:rsidR="00BA6BF8"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Guglielmi C</w:t>
      </w:r>
      <w:r>
        <w:rPr>
          <w:rFonts w:ascii="Book Antiqua" w:hAnsi="Book Antiqua"/>
        </w:rPr>
        <w:t xml:space="preserve">, Palermo A, Pozzilli P. Latent autoimmune diabetes in the adults (LADA) in Asia: from pathogenesis and epidemiology to therapy. </w:t>
      </w:r>
      <w:r>
        <w:rPr>
          <w:rFonts w:ascii="Book Antiqua" w:hAnsi="Book Antiqua"/>
          <w:i/>
          <w:iCs/>
        </w:rPr>
        <w:t>Diabetes Metab Res Rev</w:t>
      </w:r>
      <w:r>
        <w:rPr>
          <w:rFonts w:ascii="Book Antiqua" w:hAnsi="Book Antiqua"/>
        </w:rPr>
        <w:t xml:space="preserve"> 2012; </w:t>
      </w:r>
      <w:r>
        <w:rPr>
          <w:rFonts w:ascii="Book Antiqua" w:hAnsi="Book Antiqua"/>
          <w:b/>
          <w:bCs/>
        </w:rPr>
        <w:t xml:space="preserve">28 </w:t>
      </w:r>
      <w:r>
        <w:rPr>
          <w:rFonts w:ascii="Book Antiqua" w:hAnsi="Book Antiqua"/>
        </w:rPr>
        <w:t>Suppl 2: 40-46 [PMID: 23280865 DOI: 10.1002/dmrr.2345]</w:t>
      </w:r>
    </w:p>
    <w:p w14:paraId="62111FEE" w14:textId="77777777" w:rsidR="00BA6BF8" w:rsidRDefault="00000000">
      <w:pPr>
        <w:spacing w:line="360" w:lineRule="auto"/>
        <w:jc w:val="both"/>
        <w:rPr>
          <w:rFonts w:ascii="Book Antiqua" w:hAnsi="Book Antiqua"/>
        </w:rPr>
      </w:pPr>
      <w:r>
        <w:rPr>
          <w:rFonts w:ascii="Book Antiqua" w:hAnsi="Book Antiqua"/>
        </w:rPr>
        <w:t xml:space="preserve">17 </w:t>
      </w:r>
      <w:r>
        <w:rPr>
          <w:rFonts w:ascii="Book Antiqua" w:hAnsi="Book Antiqua"/>
          <w:b/>
          <w:bCs/>
        </w:rPr>
        <w:t>Naik RG</w:t>
      </w:r>
      <w:r>
        <w:rPr>
          <w:rFonts w:ascii="Book Antiqua" w:hAnsi="Book Antiqua"/>
        </w:rPr>
        <w:t xml:space="preserve">, Brooks-Worrell BM, Palmer JP. Latent autoimmune diabetes in adults. </w:t>
      </w:r>
      <w:r>
        <w:rPr>
          <w:rFonts w:ascii="Book Antiqua" w:hAnsi="Book Antiqua"/>
          <w:i/>
          <w:iCs/>
        </w:rPr>
        <w:t>J Clin Endocrinol Metab</w:t>
      </w:r>
      <w:r>
        <w:rPr>
          <w:rFonts w:ascii="Book Antiqua" w:hAnsi="Book Antiqua"/>
        </w:rPr>
        <w:t xml:space="preserve"> 2009; </w:t>
      </w:r>
      <w:r>
        <w:rPr>
          <w:rFonts w:ascii="Book Antiqua" w:hAnsi="Book Antiqua"/>
          <w:b/>
          <w:bCs/>
        </w:rPr>
        <w:t>94</w:t>
      </w:r>
      <w:r>
        <w:rPr>
          <w:rFonts w:ascii="Book Antiqua" w:hAnsi="Book Antiqua"/>
        </w:rPr>
        <w:t>: 4635-4644 [PMID: 19837918 DOI: 10.1210/jc.2009-1120]</w:t>
      </w:r>
    </w:p>
    <w:p w14:paraId="4602D323" w14:textId="77777777" w:rsidR="00BA6BF8" w:rsidRDefault="00000000">
      <w:pPr>
        <w:spacing w:line="360" w:lineRule="auto"/>
        <w:jc w:val="both"/>
        <w:rPr>
          <w:rFonts w:ascii="Book Antiqua" w:hAnsi="Book Antiqua"/>
        </w:rPr>
      </w:pPr>
      <w:r>
        <w:rPr>
          <w:rFonts w:ascii="Book Antiqua" w:hAnsi="Book Antiqua"/>
          <w:lang w:val="it-IT"/>
        </w:rPr>
        <w:lastRenderedPageBreak/>
        <w:t xml:space="preserve">18 </w:t>
      </w:r>
      <w:r>
        <w:rPr>
          <w:rFonts w:ascii="Book Antiqua" w:hAnsi="Book Antiqua"/>
          <w:b/>
          <w:bCs/>
          <w:lang w:val="it-IT"/>
        </w:rPr>
        <w:t>Buzzetti R</w:t>
      </w:r>
      <w:r>
        <w:rPr>
          <w:rFonts w:ascii="Book Antiqua" w:hAnsi="Book Antiqua"/>
          <w:lang w:val="it-IT"/>
        </w:rPr>
        <w:t xml:space="preserve">, Tuomi T, Mauricio D, Pietropaolo M, Zhou Z, Pozzilli P, Leslie RD. </w:t>
      </w:r>
      <w:r>
        <w:rPr>
          <w:rFonts w:ascii="Book Antiqua" w:hAnsi="Book Antiqua"/>
        </w:rPr>
        <w:t xml:space="preserve">Management of Latent Autoimmune Diabetes in Adults: A Consensus Statement From an International Expert Panel. </w:t>
      </w:r>
      <w:r>
        <w:rPr>
          <w:rFonts w:ascii="Book Antiqua" w:hAnsi="Book Antiqua"/>
          <w:i/>
          <w:iCs/>
        </w:rPr>
        <w:t>Diabetes</w:t>
      </w:r>
      <w:r>
        <w:rPr>
          <w:rFonts w:ascii="Book Antiqua" w:hAnsi="Book Antiqua"/>
        </w:rPr>
        <w:t xml:space="preserve"> 2020; </w:t>
      </w:r>
      <w:r>
        <w:rPr>
          <w:rFonts w:ascii="Book Antiqua" w:hAnsi="Book Antiqua"/>
          <w:b/>
          <w:bCs/>
        </w:rPr>
        <w:t>69</w:t>
      </w:r>
      <w:r>
        <w:rPr>
          <w:rFonts w:ascii="Book Antiqua" w:hAnsi="Book Antiqua"/>
        </w:rPr>
        <w:t>: 2037-2047 [PMID: 32847960 DOI: 10.2337/dbi20-0017]</w:t>
      </w:r>
    </w:p>
    <w:p w14:paraId="756AD235" w14:textId="77777777" w:rsidR="00BA6BF8" w:rsidRDefault="00000000">
      <w:pPr>
        <w:spacing w:line="360" w:lineRule="auto"/>
        <w:jc w:val="both"/>
        <w:rPr>
          <w:rFonts w:ascii="Book Antiqua" w:hAnsi="Book Antiqua"/>
        </w:rPr>
      </w:pPr>
      <w:r>
        <w:rPr>
          <w:rFonts w:ascii="Book Antiqua" w:hAnsi="Book Antiqua"/>
        </w:rPr>
        <w:t xml:space="preserve">19 </w:t>
      </w:r>
      <w:r>
        <w:rPr>
          <w:rFonts w:ascii="Book Antiqua" w:hAnsi="Book Antiqua"/>
          <w:b/>
          <w:bCs/>
        </w:rPr>
        <w:t>Patil SP</w:t>
      </w:r>
      <w:r>
        <w:rPr>
          <w:rFonts w:ascii="Book Antiqua" w:hAnsi="Book Antiqua"/>
        </w:rPr>
        <w:t xml:space="preserve">. Atypical Diabetes and Management Considerations. </w:t>
      </w:r>
      <w:r>
        <w:rPr>
          <w:rFonts w:ascii="Book Antiqua" w:hAnsi="Book Antiqua"/>
          <w:i/>
          <w:iCs/>
        </w:rPr>
        <w:t>Prim Care</w:t>
      </w:r>
      <w:r>
        <w:rPr>
          <w:rFonts w:ascii="Book Antiqua" w:hAnsi="Book Antiqua"/>
        </w:rPr>
        <w:t xml:space="preserve"> 2022; </w:t>
      </w:r>
      <w:r>
        <w:rPr>
          <w:rFonts w:ascii="Book Antiqua" w:hAnsi="Book Antiqua"/>
          <w:b/>
          <w:bCs/>
        </w:rPr>
        <w:t>49</w:t>
      </w:r>
      <w:r>
        <w:rPr>
          <w:rFonts w:ascii="Book Antiqua" w:hAnsi="Book Antiqua"/>
        </w:rPr>
        <w:t>: 225-237 [PMID: 35595479 DOI: 10.1016/j.pop.2021.11.003]</w:t>
      </w:r>
    </w:p>
    <w:p w14:paraId="1E0F3C0F" w14:textId="77777777" w:rsidR="00BA6BF8" w:rsidRDefault="00000000">
      <w:pPr>
        <w:spacing w:line="360" w:lineRule="auto"/>
        <w:jc w:val="both"/>
        <w:rPr>
          <w:rFonts w:ascii="Book Antiqua" w:hAnsi="Book Antiqua"/>
        </w:rPr>
      </w:pPr>
      <w:r>
        <w:rPr>
          <w:rFonts w:ascii="Book Antiqua" w:hAnsi="Book Antiqua"/>
        </w:rPr>
        <w:t xml:space="preserve">20 </w:t>
      </w:r>
      <w:r>
        <w:rPr>
          <w:rFonts w:ascii="Book Antiqua" w:hAnsi="Book Antiqua"/>
          <w:b/>
          <w:bCs/>
        </w:rPr>
        <w:t>Nyenwe EA</w:t>
      </w:r>
      <w:r>
        <w:rPr>
          <w:rFonts w:ascii="Book Antiqua" w:hAnsi="Book Antiqua"/>
        </w:rPr>
        <w:t xml:space="preserve">, Kitabchi AE. The evolution of diabetic ketoacidosis: An update of its etiology, pathogenesis and management. </w:t>
      </w:r>
      <w:r>
        <w:rPr>
          <w:rFonts w:ascii="Book Antiqua" w:hAnsi="Book Antiqua"/>
          <w:i/>
          <w:iCs/>
        </w:rPr>
        <w:t>Metabolism</w:t>
      </w:r>
      <w:r>
        <w:rPr>
          <w:rFonts w:ascii="Book Antiqua" w:hAnsi="Book Antiqua"/>
        </w:rPr>
        <w:t xml:space="preserve"> 2016; </w:t>
      </w:r>
      <w:r>
        <w:rPr>
          <w:rFonts w:ascii="Book Antiqua" w:hAnsi="Book Antiqua"/>
          <w:b/>
          <w:bCs/>
        </w:rPr>
        <w:t>65</w:t>
      </w:r>
      <w:r>
        <w:rPr>
          <w:rFonts w:ascii="Book Antiqua" w:hAnsi="Book Antiqua"/>
        </w:rPr>
        <w:t>: 507-521 [PMID: 26975543 DOI: 10.1016/j.metabol.2015.12.007]</w:t>
      </w:r>
    </w:p>
    <w:p w14:paraId="497FC837" w14:textId="77777777" w:rsidR="00BA6BF8" w:rsidRDefault="00000000">
      <w:pPr>
        <w:spacing w:line="360" w:lineRule="auto"/>
        <w:jc w:val="both"/>
        <w:rPr>
          <w:rFonts w:ascii="Book Antiqua" w:hAnsi="Book Antiqua"/>
        </w:rPr>
      </w:pPr>
      <w:r>
        <w:rPr>
          <w:rFonts w:ascii="Book Antiqua" w:hAnsi="Book Antiqua"/>
        </w:rPr>
        <w:t xml:space="preserve">21 </w:t>
      </w:r>
      <w:r>
        <w:rPr>
          <w:rFonts w:ascii="Book Antiqua" w:hAnsi="Book Antiqua"/>
          <w:b/>
          <w:bCs/>
        </w:rPr>
        <w:t>Kitabchi AE</w:t>
      </w:r>
      <w:r>
        <w:rPr>
          <w:rFonts w:ascii="Book Antiqua" w:hAnsi="Book Antiqua"/>
        </w:rPr>
        <w:t xml:space="preserve">. Ketosis-prone diabetes--a new subgroup of patients with atypical type 1 and type 2 diabetes? </w:t>
      </w:r>
      <w:r>
        <w:rPr>
          <w:rFonts w:ascii="Book Antiqua" w:hAnsi="Book Antiqua"/>
          <w:i/>
          <w:iCs/>
        </w:rPr>
        <w:t>J Clin Endocrinol Metab</w:t>
      </w:r>
      <w:r>
        <w:rPr>
          <w:rFonts w:ascii="Book Antiqua" w:hAnsi="Book Antiqua"/>
        </w:rPr>
        <w:t xml:space="preserve"> 2003; </w:t>
      </w:r>
      <w:r>
        <w:rPr>
          <w:rFonts w:ascii="Book Antiqua" w:hAnsi="Book Antiqua"/>
          <w:b/>
          <w:bCs/>
        </w:rPr>
        <w:t>88</w:t>
      </w:r>
      <w:r>
        <w:rPr>
          <w:rFonts w:ascii="Book Antiqua" w:hAnsi="Book Antiqua"/>
        </w:rPr>
        <w:t>: 5087-5089 [PMID: 14602730 DOI: 10.1210/jc.2003-031656]</w:t>
      </w:r>
    </w:p>
    <w:p w14:paraId="4630CBBC" w14:textId="77777777" w:rsidR="00BA6BF8" w:rsidRDefault="00000000">
      <w:pPr>
        <w:spacing w:line="360" w:lineRule="auto"/>
        <w:jc w:val="both"/>
        <w:rPr>
          <w:rFonts w:ascii="Book Antiqua" w:hAnsi="Book Antiqua"/>
        </w:rPr>
      </w:pPr>
      <w:r>
        <w:rPr>
          <w:rFonts w:ascii="Book Antiqua" w:hAnsi="Book Antiqua"/>
        </w:rPr>
        <w:t xml:space="preserve">22 </w:t>
      </w:r>
      <w:r>
        <w:rPr>
          <w:rFonts w:ascii="Book Antiqua" w:hAnsi="Book Antiqua"/>
          <w:b/>
          <w:bCs/>
        </w:rPr>
        <w:t>Umpierrez GE</w:t>
      </w:r>
      <w:r>
        <w:rPr>
          <w:rFonts w:ascii="Book Antiqua" w:hAnsi="Book Antiqua"/>
        </w:rPr>
        <w:t xml:space="preserve">, Casals MM, Gebhart SP, Mixon PS, Clark WS, Phillips LS. Diabetic ketoacidosis in obese African-Americans. </w:t>
      </w:r>
      <w:r>
        <w:rPr>
          <w:rFonts w:ascii="Book Antiqua" w:hAnsi="Book Antiqua"/>
          <w:i/>
          <w:iCs/>
        </w:rPr>
        <w:t>Diabetes</w:t>
      </w:r>
      <w:r>
        <w:rPr>
          <w:rFonts w:ascii="Book Antiqua" w:hAnsi="Book Antiqua"/>
        </w:rPr>
        <w:t xml:space="preserve"> 1995; </w:t>
      </w:r>
      <w:r>
        <w:rPr>
          <w:rFonts w:ascii="Book Antiqua" w:hAnsi="Book Antiqua"/>
          <w:b/>
          <w:bCs/>
        </w:rPr>
        <w:t>44</w:t>
      </w:r>
      <w:r>
        <w:rPr>
          <w:rFonts w:ascii="Book Antiqua" w:hAnsi="Book Antiqua"/>
        </w:rPr>
        <w:t>: 790-795 [PMID: 7789647 DOI: 10.2337/diabetes.44.7.790]</w:t>
      </w:r>
    </w:p>
    <w:p w14:paraId="5904B866" w14:textId="77777777" w:rsidR="00BA6BF8" w:rsidRDefault="00000000">
      <w:pPr>
        <w:spacing w:line="360" w:lineRule="auto"/>
        <w:jc w:val="both"/>
        <w:rPr>
          <w:rFonts w:ascii="Book Antiqua" w:hAnsi="Book Antiqua"/>
        </w:rPr>
      </w:pPr>
      <w:r>
        <w:rPr>
          <w:rFonts w:ascii="Book Antiqua" w:hAnsi="Book Antiqua"/>
        </w:rPr>
        <w:t xml:space="preserve">23 </w:t>
      </w:r>
      <w:r>
        <w:rPr>
          <w:rFonts w:ascii="Book Antiqua" w:hAnsi="Book Antiqua"/>
          <w:b/>
          <w:bCs/>
        </w:rPr>
        <w:t>Vellanki P</w:t>
      </w:r>
      <w:r>
        <w:rPr>
          <w:rFonts w:ascii="Book Antiqua" w:hAnsi="Book Antiqua"/>
        </w:rPr>
        <w:t xml:space="preserve">, Umpierrez GE. Diabetic ketoacidosis: A common debut of diabetes among african americans with type 2 diabetes. </w:t>
      </w:r>
      <w:r>
        <w:rPr>
          <w:rFonts w:ascii="Book Antiqua" w:hAnsi="Book Antiqua"/>
          <w:i/>
          <w:iCs/>
        </w:rPr>
        <w:t>Endocr Pract</w:t>
      </w:r>
      <w:r>
        <w:rPr>
          <w:rFonts w:ascii="Book Antiqua" w:hAnsi="Book Antiqua"/>
        </w:rPr>
        <w:t xml:space="preserve"> 2017; </w:t>
      </w:r>
      <w:r>
        <w:rPr>
          <w:rFonts w:ascii="Book Antiqua" w:hAnsi="Book Antiqua"/>
          <w:b/>
          <w:bCs/>
        </w:rPr>
        <w:t>23</w:t>
      </w:r>
      <w:r>
        <w:rPr>
          <w:rFonts w:ascii="Book Antiqua" w:hAnsi="Book Antiqua"/>
        </w:rPr>
        <w:t>: 971-978 [PMID: 28534682 DOI: 10.4158/EP161679.RA]</w:t>
      </w:r>
    </w:p>
    <w:p w14:paraId="2522F760" w14:textId="77777777" w:rsidR="00BA6BF8" w:rsidRDefault="00000000">
      <w:pPr>
        <w:spacing w:line="360" w:lineRule="auto"/>
        <w:jc w:val="both"/>
        <w:rPr>
          <w:rFonts w:ascii="Book Antiqua" w:hAnsi="Book Antiqua"/>
        </w:rPr>
      </w:pPr>
      <w:r>
        <w:rPr>
          <w:rFonts w:ascii="Book Antiqua" w:hAnsi="Book Antiqua"/>
        </w:rPr>
        <w:t xml:space="preserve">24 </w:t>
      </w:r>
      <w:r>
        <w:rPr>
          <w:rFonts w:ascii="Book Antiqua" w:hAnsi="Book Antiqua"/>
          <w:b/>
          <w:bCs/>
        </w:rPr>
        <w:t>Sun H</w:t>
      </w:r>
      <w:r>
        <w:rPr>
          <w:rFonts w:ascii="Book Antiqua" w:hAnsi="Book Antiqua"/>
        </w:rPr>
        <w:t xml:space="preserve">, Saeedi P, Karuranga S, Pinkepank M, Ogurtsova K, Duncan BB, Stein C, Basit A, Chan JCN, Mbanya JC, Pavkov ME, Ramachandaran A, Wild SH, James S, Herman WH, Zhang P, Bommer C, Kuo S, Boyko EJ, Magliano DJ. IDF Diabetes Atlas: Global, regional and country-level diabetes prevalence estimates for 2021 and projections for 2045. </w:t>
      </w:r>
      <w:r>
        <w:rPr>
          <w:rFonts w:ascii="Book Antiqua" w:hAnsi="Book Antiqua"/>
          <w:i/>
          <w:iCs/>
        </w:rPr>
        <w:t>Diabetes Res Clin Pract</w:t>
      </w:r>
      <w:r>
        <w:rPr>
          <w:rFonts w:ascii="Book Antiqua" w:hAnsi="Book Antiqua"/>
        </w:rPr>
        <w:t xml:space="preserve"> 2022; </w:t>
      </w:r>
      <w:r>
        <w:rPr>
          <w:rFonts w:ascii="Book Antiqua" w:hAnsi="Book Antiqua"/>
          <w:b/>
          <w:bCs/>
        </w:rPr>
        <w:t>183</w:t>
      </w:r>
      <w:r>
        <w:rPr>
          <w:rFonts w:ascii="Book Antiqua" w:hAnsi="Book Antiqua"/>
        </w:rPr>
        <w:t>: 109119 [PMID: 34879977 DOI: 10.1016/j.diabres.2021.109119]</w:t>
      </w:r>
    </w:p>
    <w:p w14:paraId="4978DAF1" w14:textId="77777777" w:rsidR="00BA6BF8" w:rsidRDefault="00000000">
      <w:pPr>
        <w:spacing w:line="360" w:lineRule="auto"/>
        <w:jc w:val="both"/>
        <w:rPr>
          <w:rFonts w:ascii="Book Antiqua" w:hAnsi="Book Antiqua"/>
        </w:rPr>
      </w:pPr>
      <w:r>
        <w:rPr>
          <w:rFonts w:ascii="Book Antiqua" w:hAnsi="Book Antiqua"/>
        </w:rPr>
        <w:t xml:space="preserve">25 </w:t>
      </w:r>
      <w:r>
        <w:rPr>
          <w:rFonts w:ascii="Book Antiqua" w:hAnsi="Book Antiqua"/>
          <w:b/>
          <w:bCs/>
        </w:rPr>
        <w:t>Gregory GA</w:t>
      </w:r>
      <w:r>
        <w:rPr>
          <w:rFonts w:ascii="Book Antiqua" w:hAnsi="Book Antiqua"/>
        </w:rPr>
        <w:t xml:space="preserve">, Robinson TIG, Linklater SE, Wang F, Colagiuri S, de Beaufort C, Donaghue KC; International Diabetes Federation Diabetes Atlas Type 1 Diabetes in Adults Special Interest Group, Magliano DJ, Maniam J, Orchard TJ, Rai P, Ogle GD. Global incidence, prevalence, and mortality of type 1 diabetes in 2021 with projection to </w:t>
      </w:r>
      <w:r>
        <w:rPr>
          <w:rFonts w:ascii="Book Antiqua" w:hAnsi="Book Antiqua"/>
        </w:rPr>
        <w:lastRenderedPageBreak/>
        <w:t xml:space="preserve">2040: a modelling study. </w:t>
      </w:r>
      <w:r>
        <w:rPr>
          <w:rFonts w:ascii="Book Antiqua" w:hAnsi="Book Antiqua"/>
          <w:i/>
          <w:iCs/>
        </w:rPr>
        <w:t>Lancet Diabetes Endocrinol</w:t>
      </w:r>
      <w:r>
        <w:rPr>
          <w:rFonts w:ascii="Book Antiqua" w:hAnsi="Book Antiqua"/>
        </w:rPr>
        <w:t xml:space="preserve"> 2022; </w:t>
      </w:r>
      <w:r>
        <w:rPr>
          <w:rFonts w:ascii="Book Antiqua" w:hAnsi="Book Antiqua"/>
          <w:b/>
          <w:bCs/>
        </w:rPr>
        <w:t>10</w:t>
      </w:r>
      <w:r>
        <w:rPr>
          <w:rFonts w:ascii="Book Antiqua" w:hAnsi="Book Antiqua"/>
        </w:rPr>
        <w:t>: 741-760 [PMID: 36113507 DOI: 10.1016/S2213-8587(22)00218-2]</w:t>
      </w:r>
    </w:p>
    <w:p w14:paraId="3C742AD0" w14:textId="77777777" w:rsidR="00BA6BF8"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Deshmukh C,</w:t>
      </w:r>
      <w:r>
        <w:rPr>
          <w:rFonts w:ascii="Book Antiqua" w:hAnsi="Book Antiqua"/>
        </w:rPr>
        <w:t xml:space="preserve"> Jain A, Nahata BR. Diabetes Mellitus: A Review.</w:t>
      </w:r>
      <w:r>
        <w:t xml:space="preserve"> </w:t>
      </w:r>
      <w:r>
        <w:rPr>
          <w:rFonts w:ascii="Book Antiqua" w:hAnsi="Book Antiqua"/>
          <w:i/>
          <w:iCs/>
        </w:rPr>
        <w:t>Indian J. Pure Appl. Biosci</w:t>
      </w:r>
      <w:r>
        <w:rPr>
          <w:rFonts w:ascii="Book Antiqua" w:hAnsi="Book Antiqua"/>
        </w:rPr>
        <w:t xml:space="preserve"> 2015; </w:t>
      </w:r>
      <w:r>
        <w:rPr>
          <w:rFonts w:ascii="Book Antiqua" w:hAnsi="Book Antiqua"/>
          <w:b/>
          <w:bCs/>
        </w:rPr>
        <w:t xml:space="preserve">3: </w:t>
      </w:r>
      <w:r>
        <w:rPr>
          <w:rFonts w:ascii="Book Antiqua" w:hAnsi="Book Antiqua"/>
        </w:rPr>
        <w:t>224-230</w:t>
      </w:r>
    </w:p>
    <w:p w14:paraId="4F9B508B" w14:textId="77777777" w:rsidR="00BA6BF8" w:rsidRDefault="00000000">
      <w:pPr>
        <w:spacing w:line="360" w:lineRule="auto"/>
        <w:jc w:val="both"/>
        <w:rPr>
          <w:rFonts w:ascii="Book Antiqua" w:hAnsi="Book Antiqua"/>
        </w:rPr>
      </w:pPr>
      <w:r>
        <w:rPr>
          <w:rFonts w:ascii="Book Antiqua" w:hAnsi="Book Antiqua"/>
        </w:rPr>
        <w:t xml:space="preserve">27 </w:t>
      </w:r>
      <w:r>
        <w:rPr>
          <w:rFonts w:ascii="Book Antiqua" w:hAnsi="Book Antiqua"/>
          <w:b/>
          <w:bCs/>
        </w:rPr>
        <w:t>Defronzo RA</w:t>
      </w:r>
      <w:r>
        <w:rPr>
          <w:rFonts w:ascii="Book Antiqua" w:hAnsi="Book Antiqua"/>
        </w:rPr>
        <w:t xml:space="preserve">. Banting Lecture. From the triumvirate to the ominous octet: a new paradigm for the treatment of type 2 diabetes mellitus. </w:t>
      </w:r>
      <w:r>
        <w:rPr>
          <w:rFonts w:ascii="Book Antiqua" w:hAnsi="Book Antiqua"/>
          <w:i/>
          <w:iCs/>
        </w:rPr>
        <w:t>Diabetes</w:t>
      </w:r>
      <w:r>
        <w:rPr>
          <w:rFonts w:ascii="Book Antiqua" w:hAnsi="Book Antiqua"/>
        </w:rPr>
        <w:t xml:space="preserve"> 2009; </w:t>
      </w:r>
      <w:r>
        <w:rPr>
          <w:rFonts w:ascii="Book Antiqua" w:hAnsi="Book Antiqua"/>
          <w:b/>
          <w:bCs/>
        </w:rPr>
        <w:t>58</w:t>
      </w:r>
      <w:r>
        <w:rPr>
          <w:rFonts w:ascii="Book Antiqua" w:hAnsi="Book Antiqua"/>
        </w:rPr>
        <w:t>: 773-795 [PMID: 19336687 DOI: 10.2337/db09-9028]</w:t>
      </w:r>
    </w:p>
    <w:p w14:paraId="146DBC51" w14:textId="77777777" w:rsidR="00BA6BF8" w:rsidRDefault="00000000">
      <w:pPr>
        <w:spacing w:line="360" w:lineRule="auto"/>
        <w:jc w:val="both"/>
        <w:rPr>
          <w:rFonts w:ascii="Book Antiqua" w:hAnsi="Book Antiqua"/>
        </w:rPr>
      </w:pPr>
      <w:r>
        <w:rPr>
          <w:rFonts w:ascii="Book Antiqua" w:hAnsi="Book Antiqua"/>
        </w:rPr>
        <w:t xml:space="preserve">28 </w:t>
      </w:r>
      <w:r>
        <w:rPr>
          <w:rFonts w:ascii="Book Antiqua" w:hAnsi="Book Antiqua"/>
          <w:b/>
          <w:bCs/>
        </w:rPr>
        <w:t>Schwartz SS</w:t>
      </w:r>
      <w:r>
        <w:rPr>
          <w:rFonts w:ascii="Book Antiqua" w:hAnsi="Book Antiqua"/>
        </w:rPr>
        <w:t xml:space="preserve">, Epstein S, Corkey BE, Grant SF, Gavin JR 3rd, Aguilar RB. The Time Is Right for a New Classification System for Diabetes: Rationale and Implications of the β-Cell-Centric Classification Schema. </w:t>
      </w:r>
      <w:r>
        <w:rPr>
          <w:rFonts w:ascii="Book Antiqua" w:hAnsi="Book Antiqua"/>
          <w:i/>
          <w:iCs/>
        </w:rPr>
        <w:t>Diabetes Care</w:t>
      </w:r>
      <w:r>
        <w:rPr>
          <w:rFonts w:ascii="Book Antiqua" w:hAnsi="Book Antiqua"/>
        </w:rPr>
        <w:t xml:space="preserve"> 2016; </w:t>
      </w:r>
      <w:r>
        <w:rPr>
          <w:rFonts w:ascii="Book Antiqua" w:hAnsi="Book Antiqua"/>
          <w:b/>
          <w:bCs/>
        </w:rPr>
        <w:t>39</w:t>
      </w:r>
      <w:r>
        <w:rPr>
          <w:rFonts w:ascii="Book Antiqua" w:hAnsi="Book Antiqua"/>
        </w:rPr>
        <w:t>: 179-186 [PMID: 26798148 DOI: 10.2337/dc15-1585]</w:t>
      </w:r>
    </w:p>
    <w:p w14:paraId="50DE1E68" w14:textId="77777777" w:rsidR="00BA6BF8" w:rsidRDefault="00000000">
      <w:pPr>
        <w:spacing w:line="360" w:lineRule="auto"/>
        <w:jc w:val="both"/>
        <w:rPr>
          <w:rFonts w:ascii="Book Antiqua" w:hAnsi="Book Antiqua"/>
        </w:rPr>
      </w:pPr>
      <w:r>
        <w:rPr>
          <w:rFonts w:ascii="Book Antiqua" w:hAnsi="Book Antiqua"/>
        </w:rPr>
        <w:t xml:space="preserve">29 </w:t>
      </w:r>
      <w:r>
        <w:rPr>
          <w:rFonts w:ascii="Book Antiqua" w:hAnsi="Book Antiqua"/>
          <w:b/>
          <w:bCs/>
        </w:rPr>
        <w:t>Garber AJ</w:t>
      </w:r>
      <w:r>
        <w:rPr>
          <w:rFonts w:ascii="Book Antiqua" w:hAnsi="Book Antiqua"/>
        </w:rPr>
        <w:t xml:space="preserve">, Abrahamson MJ, Barzilay JI, Blonde L, Bloomgarden ZT, Bush MA, Dagogo-Jack S, DeFronzo RA, Einhorn D, Fonseca VA, Garber JR, Garvey WT, Grunberger G, Handelsman Y, Hirsch IB, Jellinger PS, McGill JB, Mechanick JI, Rosenblit PD, Umpierrez GE. Consensus statement by the american association of clinical endocrinologists and american college of endocrinology on the comprehensive type 2 diabetes management algorithm - 2017 executive summary. </w:t>
      </w:r>
      <w:r>
        <w:rPr>
          <w:rFonts w:ascii="Book Antiqua" w:hAnsi="Book Antiqua"/>
          <w:i/>
          <w:iCs/>
        </w:rPr>
        <w:t>Endocr Pract</w:t>
      </w:r>
      <w:r>
        <w:rPr>
          <w:rFonts w:ascii="Book Antiqua" w:hAnsi="Book Antiqua"/>
        </w:rPr>
        <w:t xml:space="preserve"> 2017; </w:t>
      </w:r>
      <w:r>
        <w:rPr>
          <w:rFonts w:ascii="Book Antiqua" w:hAnsi="Book Antiqua"/>
          <w:b/>
          <w:bCs/>
        </w:rPr>
        <w:t>23</w:t>
      </w:r>
      <w:r>
        <w:rPr>
          <w:rFonts w:ascii="Book Antiqua" w:hAnsi="Book Antiqua"/>
        </w:rPr>
        <w:t>: 207-238 [PMID: 28095040 DOI: 10.4158/EP161682.CS]</w:t>
      </w:r>
    </w:p>
    <w:p w14:paraId="74415159" w14:textId="77777777" w:rsidR="00BA6BF8" w:rsidRDefault="00000000">
      <w:pPr>
        <w:spacing w:line="360" w:lineRule="auto"/>
        <w:jc w:val="both"/>
        <w:rPr>
          <w:rFonts w:ascii="Book Antiqua" w:hAnsi="Book Antiqua"/>
        </w:rPr>
      </w:pPr>
      <w:r>
        <w:rPr>
          <w:rFonts w:ascii="Book Antiqua" w:hAnsi="Book Antiqua"/>
        </w:rPr>
        <w:t xml:space="preserve">30 </w:t>
      </w:r>
      <w:r>
        <w:rPr>
          <w:rFonts w:ascii="Book Antiqua" w:hAnsi="Book Antiqua"/>
          <w:b/>
          <w:bCs/>
        </w:rPr>
        <w:t>Inzucchi SE</w:t>
      </w:r>
      <w:r>
        <w:rPr>
          <w:rFonts w:ascii="Book Antiqua" w:hAnsi="Book Antiqua"/>
        </w:rPr>
        <w:t xml:space="preserve">, Bergenstal RM, Buse JB, Diamant M, Ferrannini E, Nauck M, Peters AL, Tsapas A, Wender R, Matthews DR. Management of hyperglycemia in type 2 diabetes, 2015: a patient-centered approach: update to a position statement of the American Diabetes Association and the European Association for the Study of Diabetes. </w:t>
      </w:r>
      <w:r>
        <w:rPr>
          <w:rFonts w:ascii="Book Antiqua" w:hAnsi="Book Antiqua"/>
          <w:i/>
          <w:iCs/>
        </w:rPr>
        <w:t>Diabetes Care</w:t>
      </w:r>
      <w:r>
        <w:rPr>
          <w:rFonts w:ascii="Book Antiqua" w:hAnsi="Book Antiqua"/>
        </w:rPr>
        <w:t xml:space="preserve"> 2015; </w:t>
      </w:r>
      <w:r>
        <w:rPr>
          <w:rFonts w:ascii="Book Antiqua" w:hAnsi="Book Antiqua"/>
          <w:b/>
          <w:bCs/>
        </w:rPr>
        <w:t>38</w:t>
      </w:r>
      <w:r>
        <w:rPr>
          <w:rFonts w:ascii="Book Antiqua" w:hAnsi="Book Antiqua"/>
        </w:rPr>
        <w:t>: 140-149 [PMID: 25538310 DOI: 10.2337/dc14-2441]</w:t>
      </w:r>
    </w:p>
    <w:p w14:paraId="08DAADCF" w14:textId="77777777" w:rsidR="00BA6BF8" w:rsidRDefault="00000000">
      <w:pPr>
        <w:spacing w:line="360" w:lineRule="auto"/>
        <w:jc w:val="both"/>
        <w:rPr>
          <w:rFonts w:ascii="Book Antiqua" w:hAnsi="Book Antiqua"/>
        </w:rPr>
      </w:pPr>
      <w:r>
        <w:rPr>
          <w:rFonts w:ascii="Book Antiqua" w:hAnsi="Book Antiqua"/>
        </w:rPr>
        <w:t xml:space="preserve">31 </w:t>
      </w:r>
      <w:r>
        <w:rPr>
          <w:rFonts w:ascii="Book Antiqua" w:hAnsi="Book Antiqua"/>
          <w:b/>
          <w:bCs/>
        </w:rPr>
        <w:t>Lv C</w:t>
      </w:r>
      <w:r>
        <w:rPr>
          <w:rFonts w:ascii="Book Antiqua" w:hAnsi="Book Antiqua"/>
        </w:rPr>
        <w:t xml:space="preserve">, Sun Y, Zhang ZY, Aboelela Z, Qiu X, Meng ZX. β-cell dynamics in type 2 diabetes and in dietary and exercise interventions. </w:t>
      </w:r>
      <w:r>
        <w:rPr>
          <w:rFonts w:ascii="Book Antiqua" w:hAnsi="Book Antiqua"/>
          <w:i/>
          <w:iCs/>
        </w:rPr>
        <w:t>J Mol Cell Biol</w:t>
      </w:r>
      <w:r>
        <w:rPr>
          <w:rFonts w:ascii="Book Antiqua" w:hAnsi="Book Antiqua"/>
        </w:rPr>
        <w:t xml:space="preserve"> 2022; </w:t>
      </w:r>
      <w:r>
        <w:rPr>
          <w:rFonts w:ascii="Book Antiqua" w:hAnsi="Book Antiqua"/>
          <w:b/>
          <w:bCs/>
        </w:rPr>
        <w:t>14</w:t>
      </w:r>
      <w:r>
        <w:rPr>
          <w:rFonts w:ascii="Book Antiqua" w:hAnsi="Book Antiqua"/>
        </w:rPr>
        <w:t xml:space="preserve"> [PMID: 35929791 DOI: 10.1093/jmcb/mjac046]</w:t>
      </w:r>
    </w:p>
    <w:p w14:paraId="484A9605" w14:textId="77777777" w:rsidR="00BA6BF8" w:rsidRDefault="00000000">
      <w:pPr>
        <w:spacing w:line="360" w:lineRule="auto"/>
        <w:jc w:val="both"/>
        <w:rPr>
          <w:rFonts w:ascii="Book Antiqua" w:hAnsi="Book Antiqua"/>
        </w:rPr>
      </w:pPr>
      <w:r>
        <w:rPr>
          <w:rFonts w:ascii="Book Antiqua" w:hAnsi="Book Antiqua"/>
        </w:rPr>
        <w:t xml:space="preserve">32 </w:t>
      </w:r>
      <w:r>
        <w:rPr>
          <w:rFonts w:ascii="Book Antiqua" w:hAnsi="Book Antiqua"/>
          <w:b/>
          <w:bCs/>
        </w:rPr>
        <w:t>Schleicher ED</w:t>
      </w:r>
      <w:r>
        <w:rPr>
          <w:rFonts w:ascii="Book Antiqua" w:hAnsi="Book Antiqua"/>
        </w:rPr>
        <w:t xml:space="preserve">, Weigert C. Role of the hexosamine biosynthetic pathway in diabetic nephropathy. </w:t>
      </w:r>
      <w:r>
        <w:rPr>
          <w:rFonts w:ascii="Book Antiqua" w:hAnsi="Book Antiqua"/>
          <w:i/>
          <w:iCs/>
        </w:rPr>
        <w:t>Kidney Int Suppl</w:t>
      </w:r>
      <w:r>
        <w:rPr>
          <w:rFonts w:ascii="Book Antiqua" w:hAnsi="Book Antiqua"/>
        </w:rPr>
        <w:t xml:space="preserve"> 2000; </w:t>
      </w:r>
      <w:r>
        <w:rPr>
          <w:rFonts w:ascii="Book Antiqua" w:hAnsi="Book Antiqua"/>
          <w:b/>
          <w:bCs/>
        </w:rPr>
        <w:t>77</w:t>
      </w:r>
      <w:r>
        <w:rPr>
          <w:rFonts w:ascii="Book Antiqua" w:hAnsi="Book Antiqua"/>
        </w:rPr>
        <w:t>: S13-S18 [PMID: 10997685 DOI: 10.1046/j.1523-1755.2000.07703.x]</w:t>
      </w:r>
    </w:p>
    <w:p w14:paraId="706A2404" w14:textId="77777777" w:rsidR="00BA6BF8" w:rsidRDefault="00000000">
      <w:pPr>
        <w:spacing w:line="360" w:lineRule="auto"/>
        <w:jc w:val="both"/>
        <w:rPr>
          <w:rFonts w:ascii="Book Antiqua" w:hAnsi="Book Antiqua"/>
        </w:rPr>
      </w:pPr>
      <w:r>
        <w:rPr>
          <w:rFonts w:ascii="Book Antiqua" w:hAnsi="Book Antiqua"/>
        </w:rPr>
        <w:lastRenderedPageBreak/>
        <w:t xml:space="preserve">33 </w:t>
      </w:r>
      <w:r>
        <w:rPr>
          <w:rFonts w:ascii="Book Antiqua" w:hAnsi="Book Antiqua"/>
          <w:b/>
          <w:bCs/>
        </w:rPr>
        <w:t>HERS HG</w:t>
      </w:r>
      <w:r>
        <w:rPr>
          <w:rFonts w:ascii="Book Antiqua" w:hAnsi="Book Antiqua"/>
        </w:rPr>
        <w:t xml:space="preserve">. The mechanism of the transformation of glucose in fructose in the seminal vesicles. </w:t>
      </w:r>
      <w:r>
        <w:rPr>
          <w:rFonts w:ascii="Book Antiqua" w:hAnsi="Book Antiqua"/>
          <w:i/>
          <w:iCs/>
        </w:rPr>
        <w:t>Biochim Biophys Acta</w:t>
      </w:r>
      <w:r>
        <w:rPr>
          <w:rFonts w:ascii="Book Antiqua" w:hAnsi="Book Antiqua"/>
        </w:rPr>
        <w:t xml:space="preserve"> 1956; </w:t>
      </w:r>
      <w:r>
        <w:rPr>
          <w:rFonts w:ascii="Book Antiqua" w:hAnsi="Book Antiqua"/>
          <w:b/>
          <w:bCs/>
        </w:rPr>
        <w:t>22</w:t>
      </w:r>
      <w:r>
        <w:rPr>
          <w:rFonts w:ascii="Book Antiqua" w:hAnsi="Book Antiqua"/>
        </w:rPr>
        <w:t>: 202-203 [PMID: 13373872 DOI: 10.1016/0006-3002(56)90247-5]</w:t>
      </w:r>
    </w:p>
    <w:p w14:paraId="32F4A45E" w14:textId="77777777" w:rsidR="00BA6BF8" w:rsidRDefault="00000000">
      <w:pPr>
        <w:spacing w:line="360" w:lineRule="auto"/>
        <w:jc w:val="both"/>
        <w:rPr>
          <w:rFonts w:ascii="Book Antiqua" w:hAnsi="Book Antiqua"/>
        </w:rPr>
      </w:pPr>
      <w:r>
        <w:rPr>
          <w:rFonts w:ascii="Book Antiqua" w:hAnsi="Book Antiqua"/>
        </w:rPr>
        <w:t xml:space="preserve">34 </w:t>
      </w:r>
      <w:r>
        <w:rPr>
          <w:rFonts w:ascii="Book Antiqua" w:hAnsi="Book Antiqua"/>
          <w:b/>
          <w:bCs/>
        </w:rPr>
        <w:t>Brownlee M</w:t>
      </w:r>
      <w:r>
        <w:rPr>
          <w:rFonts w:ascii="Book Antiqua" w:hAnsi="Book Antiqua"/>
        </w:rPr>
        <w:t xml:space="preserve">. Biochemistry and molecular cell biology of diabetic complications. </w:t>
      </w:r>
      <w:r>
        <w:rPr>
          <w:rFonts w:ascii="Book Antiqua" w:hAnsi="Book Antiqua"/>
          <w:i/>
          <w:iCs/>
        </w:rPr>
        <w:t>Nature</w:t>
      </w:r>
      <w:r>
        <w:rPr>
          <w:rFonts w:ascii="Book Antiqua" w:hAnsi="Book Antiqua"/>
        </w:rPr>
        <w:t xml:space="preserve"> 2001; </w:t>
      </w:r>
      <w:r>
        <w:rPr>
          <w:rFonts w:ascii="Book Antiqua" w:hAnsi="Book Antiqua"/>
          <w:b/>
          <w:bCs/>
        </w:rPr>
        <w:t>414</w:t>
      </w:r>
      <w:r>
        <w:rPr>
          <w:rFonts w:ascii="Book Antiqua" w:hAnsi="Book Antiqua"/>
        </w:rPr>
        <w:t>: 813-820 [PMID: 11742414 DOI: 10.1038/414813a]</w:t>
      </w:r>
    </w:p>
    <w:p w14:paraId="6E5267D0" w14:textId="77777777" w:rsidR="00BA6BF8" w:rsidRDefault="00000000">
      <w:pPr>
        <w:spacing w:line="360" w:lineRule="auto"/>
        <w:jc w:val="both"/>
        <w:rPr>
          <w:rFonts w:ascii="Book Antiqua" w:hAnsi="Book Antiqua"/>
        </w:rPr>
      </w:pPr>
      <w:r>
        <w:rPr>
          <w:rFonts w:ascii="Book Antiqua" w:hAnsi="Book Antiqua"/>
        </w:rPr>
        <w:t xml:space="preserve">35 </w:t>
      </w:r>
      <w:r>
        <w:rPr>
          <w:rFonts w:ascii="Book Antiqua" w:hAnsi="Book Antiqua"/>
          <w:b/>
          <w:bCs/>
        </w:rPr>
        <w:t>Kizub IV</w:t>
      </w:r>
      <w:r>
        <w:rPr>
          <w:rFonts w:ascii="Book Antiqua" w:hAnsi="Book Antiqua"/>
        </w:rPr>
        <w:t xml:space="preserve">, Klymenko KI, Soloviev AI. Protein kinase C in enhanced vascular tone in diabetes mellitus. </w:t>
      </w:r>
      <w:r>
        <w:rPr>
          <w:rFonts w:ascii="Book Antiqua" w:hAnsi="Book Antiqua"/>
          <w:i/>
          <w:iCs/>
        </w:rPr>
        <w:t>Int J Cardiol</w:t>
      </w:r>
      <w:r>
        <w:rPr>
          <w:rFonts w:ascii="Book Antiqua" w:hAnsi="Book Antiqua"/>
        </w:rPr>
        <w:t xml:space="preserve"> 2014; </w:t>
      </w:r>
      <w:r>
        <w:rPr>
          <w:rFonts w:ascii="Book Antiqua" w:hAnsi="Book Antiqua"/>
          <w:b/>
          <w:bCs/>
        </w:rPr>
        <w:t>174</w:t>
      </w:r>
      <w:r>
        <w:rPr>
          <w:rFonts w:ascii="Book Antiqua" w:hAnsi="Book Antiqua"/>
        </w:rPr>
        <w:t>: 230-242 [PMID: 24794552 DOI: 10.1016/j.ijcard.2014.04.117]</w:t>
      </w:r>
    </w:p>
    <w:p w14:paraId="6A658335" w14:textId="77777777" w:rsidR="00BA6BF8" w:rsidRDefault="00000000">
      <w:pPr>
        <w:spacing w:line="360" w:lineRule="auto"/>
        <w:jc w:val="both"/>
        <w:rPr>
          <w:rFonts w:ascii="Book Antiqua" w:hAnsi="Book Antiqua"/>
        </w:rPr>
      </w:pPr>
      <w:r>
        <w:rPr>
          <w:rFonts w:ascii="Book Antiqua" w:hAnsi="Book Antiqua"/>
        </w:rPr>
        <w:t xml:space="preserve">36 </w:t>
      </w:r>
      <w:r>
        <w:rPr>
          <w:rFonts w:ascii="Book Antiqua" w:hAnsi="Book Antiqua"/>
          <w:b/>
          <w:bCs/>
        </w:rPr>
        <w:t>Kay AM</w:t>
      </w:r>
      <w:r>
        <w:rPr>
          <w:rFonts w:ascii="Book Antiqua" w:hAnsi="Book Antiqua"/>
        </w:rPr>
        <w:t xml:space="preserve">, Simpson CL, Stewart JA Jr. The Role of AGE/RAGE Signaling in Diabetes-Mediated Vascular Calcification. </w:t>
      </w:r>
      <w:r>
        <w:rPr>
          <w:rFonts w:ascii="Book Antiqua" w:hAnsi="Book Antiqua"/>
          <w:i/>
          <w:iCs/>
        </w:rPr>
        <w:t>J Diabetes Res</w:t>
      </w:r>
      <w:r>
        <w:rPr>
          <w:rFonts w:ascii="Book Antiqua" w:hAnsi="Book Antiqua"/>
        </w:rPr>
        <w:t xml:space="preserve"> 2016; </w:t>
      </w:r>
      <w:r>
        <w:rPr>
          <w:rFonts w:ascii="Book Antiqua" w:hAnsi="Book Antiqua"/>
          <w:b/>
          <w:bCs/>
        </w:rPr>
        <w:t>2016</w:t>
      </w:r>
      <w:r>
        <w:rPr>
          <w:rFonts w:ascii="Book Antiqua" w:hAnsi="Book Antiqua"/>
        </w:rPr>
        <w:t>: 6809703 [PMID: 27547766 DOI: 10.1155/2016/6809703]</w:t>
      </w:r>
    </w:p>
    <w:p w14:paraId="536770C7" w14:textId="77777777" w:rsidR="00BA6BF8" w:rsidRDefault="00000000">
      <w:pPr>
        <w:spacing w:line="360" w:lineRule="auto"/>
        <w:jc w:val="both"/>
        <w:rPr>
          <w:rFonts w:ascii="Book Antiqua" w:hAnsi="Book Antiqua"/>
        </w:rPr>
      </w:pPr>
      <w:r>
        <w:rPr>
          <w:rFonts w:ascii="Book Antiqua" w:hAnsi="Book Antiqua"/>
        </w:rPr>
        <w:t xml:space="preserve">37 </w:t>
      </w:r>
      <w:r>
        <w:rPr>
          <w:rFonts w:ascii="Book Antiqua" w:hAnsi="Book Antiqua"/>
          <w:b/>
          <w:bCs/>
        </w:rPr>
        <w:t>Ali O</w:t>
      </w:r>
      <w:r>
        <w:rPr>
          <w:rFonts w:ascii="Book Antiqua" w:hAnsi="Book Antiqua"/>
        </w:rPr>
        <w:t xml:space="preserve">. Genetics of type 2 diabetes. </w:t>
      </w:r>
      <w:r>
        <w:rPr>
          <w:rFonts w:ascii="Book Antiqua" w:hAnsi="Book Antiqua"/>
          <w:i/>
          <w:iCs/>
        </w:rPr>
        <w:t>World J Diabetes</w:t>
      </w:r>
      <w:r>
        <w:rPr>
          <w:rFonts w:ascii="Book Antiqua" w:hAnsi="Book Antiqua"/>
        </w:rPr>
        <w:t xml:space="preserve"> 2013; </w:t>
      </w:r>
      <w:r>
        <w:rPr>
          <w:rFonts w:ascii="Book Antiqua" w:hAnsi="Book Antiqua"/>
          <w:b/>
          <w:bCs/>
        </w:rPr>
        <w:t>4</w:t>
      </w:r>
      <w:r>
        <w:rPr>
          <w:rFonts w:ascii="Book Antiqua" w:hAnsi="Book Antiqua"/>
        </w:rPr>
        <w:t>: 114-123 [PMID: 23961321 DOI: 10.4239/wjd.v4.i4.114]</w:t>
      </w:r>
    </w:p>
    <w:p w14:paraId="425E6B0B" w14:textId="77777777" w:rsidR="00BA6BF8" w:rsidRDefault="00000000">
      <w:pPr>
        <w:spacing w:line="360" w:lineRule="auto"/>
        <w:jc w:val="both"/>
        <w:rPr>
          <w:rFonts w:ascii="Book Antiqua" w:hAnsi="Book Antiqua"/>
        </w:rPr>
      </w:pPr>
      <w:r>
        <w:rPr>
          <w:rFonts w:ascii="Book Antiqua" w:hAnsi="Book Antiqua"/>
        </w:rPr>
        <w:t xml:space="preserve">38 </w:t>
      </w:r>
      <w:r>
        <w:rPr>
          <w:rFonts w:ascii="Book Antiqua" w:hAnsi="Book Antiqua"/>
          <w:b/>
          <w:bCs/>
        </w:rPr>
        <w:t>Kyvik KO</w:t>
      </w:r>
      <w:r>
        <w:rPr>
          <w:rFonts w:ascii="Book Antiqua" w:hAnsi="Book Antiqua"/>
        </w:rPr>
        <w:t xml:space="preserve">, Green A, Beck-Nielsen H. Concordance rates of insulin dependent diabetes mellitus: a population based study of young Danish twins. </w:t>
      </w:r>
      <w:r>
        <w:rPr>
          <w:rFonts w:ascii="Book Antiqua" w:hAnsi="Book Antiqua"/>
          <w:i/>
          <w:iCs/>
        </w:rPr>
        <w:t>BMJ</w:t>
      </w:r>
      <w:r>
        <w:rPr>
          <w:rFonts w:ascii="Book Antiqua" w:hAnsi="Book Antiqua"/>
        </w:rPr>
        <w:t xml:space="preserve"> 1995; </w:t>
      </w:r>
      <w:r>
        <w:rPr>
          <w:rFonts w:ascii="Book Antiqua" w:hAnsi="Book Antiqua"/>
          <w:b/>
          <w:bCs/>
        </w:rPr>
        <w:t>311</w:t>
      </w:r>
      <w:r>
        <w:rPr>
          <w:rFonts w:ascii="Book Antiqua" w:hAnsi="Book Antiqua"/>
        </w:rPr>
        <w:t>: 913-917 [PMID: 7580548 DOI: 10.1136/bmj.311.7010.913]</w:t>
      </w:r>
    </w:p>
    <w:p w14:paraId="3B3D5C4A" w14:textId="77777777" w:rsidR="00BA6BF8" w:rsidRDefault="00000000">
      <w:pPr>
        <w:spacing w:line="360" w:lineRule="auto"/>
        <w:jc w:val="both"/>
        <w:rPr>
          <w:rFonts w:ascii="Book Antiqua" w:hAnsi="Book Antiqua"/>
        </w:rPr>
      </w:pPr>
      <w:r>
        <w:rPr>
          <w:rFonts w:ascii="Book Antiqua" w:hAnsi="Book Antiqua"/>
        </w:rPr>
        <w:t xml:space="preserve">39 </w:t>
      </w:r>
      <w:r>
        <w:rPr>
          <w:rFonts w:ascii="Book Antiqua" w:hAnsi="Book Antiqua"/>
          <w:b/>
          <w:bCs/>
        </w:rPr>
        <w:t>Ott J</w:t>
      </w:r>
      <w:r>
        <w:rPr>
          <w:rFonts w:ascii="Book Antiqua" w:hAnsi="Book Antiqua"/>
        </w:rPr>
        <w:t xml:space="preserve">, Wang J, Leal SM. Genetic linkage analysis in the age of whole-genome sequencing. </w:t>
      </w:r>
      <w:r>
        <w:rPr>
          <w:rFonts w:ascii="Book Antiqua" w:hAnsi="Book Antiqua"/>
          <w:i/>
          <w:iCs/>
        </w:rPr>
        <w:t>Nat Rev Genet</w:t>
      </w:r>
      <w:r>
        <w:rPr>
          <w:rFonts w:ascii="Book Antiqua" w:hAnsi="Book Antiqua"/>
        </w:rPr>
        <w:t xml:space="preserve"> 2015; </w:t>
      </w:r>
      <w:r>
        <w:rPr>
          <w:rFonts w:ascii="Book Antiqua" w:hAnsi="Book Antiqua"/>
          <w:b/>
          <w:bCs/>
        </w:rPr>
        <w:t>16</w:t>
      </w:r>
      <w:r>
        <w:rPr>
          <w:rFonts w:ascii="Book Antiqua" w:hAnsi="Book Antiqua"/>
        </w:rPr>
        <w:t>: 275-284 [PMID: 25824869 DOI: 10.1038/nrg3908]</w:t>
      </w:r>
    </w:p>
    <w:p w14:paraId="3C0A4DD0" w14:textId="77777777" w:rsidR="00BA6BF8" w:rsidRDefault="00000000">
      <w:pPr>
        <w:spacing w:line="360" w:lineRule="auto"/>
        <w:jc w:val="both"/>
        <w:rPr>
          <w:rFonts w:ascii="Book Antiqua" w:hAnsi="Book Antiqua"/>
        </w:rPr>
      </w:pPr>
      <w:r>
        <w:rPr>
          <w:rFonts w:ascii="Book Antiqua" w:hAnsi="Book Antiqua"/>
        </w:rPr>
        <w:t xml:space="preserve">40 </w:t>
      </w:r>
      <w:r>
        <w:rPr>
          <w:rFonts w:ascii="Book Antiqua" w:hAnsi="Book Antiqua"/>
          <w:b/>
          <w:bCs/>
        </w:rPr>
        <w:t>Hattersley AT</w:t>
      </w:r>
      <w:r>
        <w:rPr>
          <w:rFonts w:ascii="Book Antiqua" w:hAnsi="Book Antiqua"/>
        </w:rPr>
        <w:t xml:space="preserve">, Turner RC, Permutt MA, Patel P, Tanizawa Y, Chiu KC, O'Rahilly S, Watkins PJ, Wainscoat JS. Linkage of type 2 diabetes to the glucokinase gene. </w:t>
      </w:r>
      <w:r>
        <w:rPr>
          <w:rFonts w:ascii="Book Antiqua" w:hAnsi="Book Antiqua"/>
          <w:i/>
          <w:iCs/>
        </w:rPr>
        <w:t>Lancet</w:t>
      </w:r>
      <w:r>
        <w:rPr>
          <w:rFonts w:ascii="Book Antiqua" w:hAnsi="Book Antiqua"/>
        </w:rPr>
        <w:t xml:space="preserve"> 1992; </w:t>
      </w:r>
      <w:r>
        <w:rPr>
          <w:rFonts w:ascii="Book Antiqua" w:hAnsi="Book Antiqua"/>
          <w:b/>
          <w:bCs/>
        </w:rPr>
        <w:t>339</w:t>
      </w:r>
      <w:r>
        <w:rPr>
          <w:rFonts w:ascii="Book Antiqua" w:hAnsi="Book Antiqua"/>
        </w:rPr>
        <w:t>: 1307-1310 [PMID: 1349989 DOI: 10.1016/0140-6736(92)91958-B]</w:t>
      </w:r>
    </w:p>
    <w:p w14:paraId="7257F09D" w14:textId="77777777" w:rsidR="00BA6BF8" w:rsidRDefault="00000000">
      <w:pPr>
        <w:spacing w:line="360" w:lineRule="auto"/>
        <w:jc w:val="both"/>
        <w:rPr>
          <w:rFonts w:ascii="Book Antiqua" w:hAnsi="Book Antiqua"/>
        </w:rPr>
      </w:pPr>
      <w:r>
        <w:rPr>
          <w:rFonts w:ascii="Book Antiqua" w:hAnsi="Book Antiqua"/>
        </w:rPr>
        <w:t xml:space="preserve">41 </w:t>
      </w:r>
      <w:r>
        <w:rPr>
          <w:rFonts w:ascii="Book Antiqua" w:hAnsi="Book Antiqua"/>
          <w:b/>
          <w:bCs/>
        </w:rPr>
        <w:t>Vaxillaire M</w:t>
      </w:r>
      <w:r>
        <w:rPr>
          <w:rFonts w:ascii="Book Antiqua" w:hAnsi="Book Antiqua"/>
        </w:rPr>
        <w:t xml:space="preserve">, Froguel P. Genetic basis of maturity-onset diabetes of the young. </w:t>
      </w:r>
      <w:r>
        <w:rPr>
          <w:rFonts w:ascii="Book Antiqua" w:hAnsi="Book Antiqua"/>
          <w:i/>
          <w:iCs/>
        </w:rPr>
        <w:t>Endocrinol Metab Clin North Am</w:t>
      </w:r>
      <w:r>
        <w:rPr>
          <w:rFonts w:ascii="Book Antiqua" w:hAnsi="Book Antiqua"/>
        </w:rPr>
        <w:t xml:space="preserve"> 2006; </w:t>
      </w:r>
      <w:r>
        <w:rPr>
          <w:rFonts w:ascii="Book Antiqua" w:hAnsi="Book Antiqua"/>
          <w:b/>
          <w:bCs/>
        </w:rPr>
        <w:t>35</w:t>
      </w:r>
      <w:r>
        <w:rPr>
          <w:rFonts w:ascii="Book Antiqua" w:hAnsi="Book Antiqua"/>
        </w:rPr>
        <w:t>: 371-384, x [PMID: 16632099 DOI: 10.1016/j.ecl.2006.02.009]</w:t>
      </w:r>
    </w:p>
    <w:p w14:paraId="32B69EE3" w14:textId="77777777" w:rsidR="00BA6BF8" w:rsidRDefault="00000000">
      <w:pPr>
        <w:spacing w:line="360" w:lineRule="auto"/>
        <w:jc w:val="both"/>
        <w:rPr>
          <w:rFonts w:ascii="Book Antiqua" w:hAnsi="Book Antiqua"/>
        </w:rPr>
      </w:pPr>
      <w:r>
        <w:rPr>
          <w:rFonts w:ascii="Book Antiqua" w:hAnsi="Book Antiqua"/>
        </w:rPr>
        <w:t xml:space="preserve">42 </w:t>
      </w:r>
      <w:r>
        <w:rPr>
          <w:rFonts w:ascii="Book Antiqua" w:hAnsi="Book Antiqua"/>
          <w:b/>
          <w:bCs/>
        </w:rPr>
        <w:t>She JX</w:t>
      </w:r>
      <w:r>
        <w:rPr>
          <w:rFonts w:ascii="Book Antiqua" w:hAnsi="Book Antiqua"/>
        </w:rPr>
        <w:t xml:space="preserve">, Marron MP. Genetic susceptibility factors in type 1 diabetes: linkage, disequilibrium and functional analyses. </w:t>
      </w:r>
      <w:r>
        <w:rPr>
          <w:rFonts w:ascii="Book Antiqua" w:hAnsi="Book Antiqua"/>
          <w:i/>
          <w:iCs/>
        </w:rPr>
        <w:t>Curr Opin Immunol</w:t>
      </w:r>
      <w:r>
        <w:rPr>
          <w:rFonts w:ascii="Book Antiqua" w:hAnsi="Book Antiqua"/>
        </w:rPr>
        <w:t xml:space="preserve"> 1998; </w:t>
      </w:r>
      <w:r>
        <w:rPr>
          <w:rFonts w:ascii="Book Antiqua" w:hAnsi="Book Antiqua"/>
          <w:b/>
          <w:bCs/>
        </w:rPr>
        <w:t>10</w:t>
      </w:r>
      <w:r>
        <w:rPr>
          <w:rFonts w:ascii="Book Antiqua" w:hAnsi="Book Antiqua"/>
        </w:rPr>
        <w:t>: 682-689 [PMID: 9914216 DOI: 10.1016/S0952-7915(98)80089-7]</w:t>
      </w:r>
    </w:p>
    <w:p w14:paraId="22FA3B04" w14:textId="77777777" w:rsidR="00BA6BF8" w:rsidRDefault="00000000">
      <w:pPr>
        <w:spacing w:line="360" w:lineRule="auto"/>
        <w:jc w:val="both"/>
        <w:rPr>
          <w:rFonts w:ascii="Book Antiqua" w:hAnsi="Book Antiqua"/>
        </w:rPr>
      </w:pPr>
      <w:r>
        <w:rPr>
          <w:rFonts w:ascii="Book Antiqua" w:hAnsi="Book Antiqua"/>
        </w:rPr>
        <w:t xml:space="preserve">43 </w:t>
      </w:r>
      <w:r>
        <w:rPr>
          <w:rFonts w:ascii="Book Antiqua" w:hAnsi="Book Antiqua"/>
          <w:b/>
          <w:bCs/>
        </w:rPr>
        <w:t>Song Y</w:t>
      </w:r>
      <w:r>
        <w:rPr>
          <w:rFonts w:ascii="Book Antiqua" w:hAnsi="Book Antiqua"/>
        </w:rPr>
        <w:t>, Niu T, Manson JE, Kwiatkowski DJ, Liu S. Are variants in the CAPN10 gene related to risk of type 2 diabetes? A quantitative assessment of population and family-</w:t>
      </w:r>
      <w:r>
        <w:rPr>
          <w:rFonts w:ascii="Book Antiqua" w:hAnsi="Book Antiqua"/>
        </w:rPr>
        <w:lastRenderedPageBreak/>
        <w:t xml:space="preserve">based association studies. </w:t>
      </w:r>
      <w:r>
        <w:rPr>
          <w:rFonts w:ascii="Book Antiqua" w:hAnsi="Book Antiqua"/>
          <w:i/>
          <w:iCs/>
        </w:rPr>
        <w:t>Am J Hum Genet</w:t>
      </w:r>
      <w:r>
        <w:rPr>
          <w:rFonts w:ascii="Book Antiqua" w:hAnsi="Book Antiqua"/>
        </w:rPr>
        <w:t xml:space="preserve"> 2004; </w:t>
      </w:r>
      <w:r>
        <w:rPr>
          <w:rFonts w:ascii="Book Antiqua" w:hAnsi="Book Antiqua"/>
          <w:b/>
          <w:bCs/>
        </w:rPr>
        <w:t>74</w:t>
      </w:r>
      <w:r>
        <w:rPr>
          <w:rFonts w:ascii="Book Antiqua" w:hAnsi="Book Antiqua"/>
        </w:rPr>
        <w:t>: 208-222 [PMID: 14730479 DOI: 10.1086/381400]</w:t>
      </w:r>
    </w:p>
    <w:p w14:paraId="74B6C60B" w14:textId="77777777" w:rsidR="00BA6BF8" w:rsidRDefault="00000000">
      <w:pPr>
        <w:spacing w:line="360" w:lineRule="auto"/>
        <w:jc w:val="both"/>
        <w:rPr>
          <w:rFonts w:ascii="Book Antiqua" w:hAnsi="Book Antiqua"/>
        </w:rPr>
      </w:pPr>
      <w:r>
        <w:rPr>
          <w:rFonts w:ascii="Book Antiqua" w:hAnsi="Book Antiqua"/>
        </w:rPr>
        <w:t xml:space="preserve">44 </w:t>
      </w:r>
      <w:r>
        <w:rPr>
          <w:rFonts w:ascii="Book Antiqua" w:hAnsi="Book Antiqua"/>
          <w:b/>
          <w:bCs/>
        </w:rPr>
        <w:t>Tripathy D</w:t>
      </w:r>
      <w:r>
        <w:rPr>
          <w:rFonts w:ascii="Book Antiqua" w:hAnsi="Book Antiqua"/>
        </w:rPr>
        <w:t xml:space="preserve">, Eriksson KF, Orho-Melander M, Fredriksson J, Ahlqvist G, Groop L. Parallel manifestation of insulin resistance and beta cell decompensation is compatible with a common defect in Type 2 diabetes. </w:t>
      </w:r>
      <w:r>
        <w:rPr>
          <w:rFonts w:ascii="Book Antiqua" w:hAnsi="Book Antiqua"/>
          <w:i/>
          <w:iCs/>
        </w:rPr>
        <w:t>Diabetologia</w:t>
      </w:r>
      <w:r>
        <w:rPr>
          <w:rFonts w:ascii="Book Antiqua" w:hAnsi="Book Antiqua"/>
        </w:rPr>
        <w:t xml:space="preserve"> 2004; </w:t>
      </w:r>
      <w:r>
        <w:rPr>
          <w:rFonts w:ascii="Book Antiqua" w:hAnsi="Book Antiqua"/>
          <w:b/>
          <w:bCs/>
        </w:rPr>
        <w:t>47</w:t>
      </w:r>
      <w:r>
        <w:rPr>
          <w:rFonts w:ascii="Book Antiqua" w:hAnsi="Book Antiqua"/>
        </w:rPr>
        <w:t>: 782-793 [PMID: 15114470 DOI: 10.1007/s00125-004-1393-8]</w:t>
      </w:r>
    </w:p>
    <w:p w14:paraId="22D879AD" w14:textId="77777777" w:rsidR="00BA6BF8" w:rsidRDefault="00000000">
      <w:pPr>
        <w:spacing w:line="360" w:lineRule="auto"/>
        <w:jc w:val="both"/>
        <w:rPr>
          <w:rFonts w:ascii="Book Antiqua" w:hAnsi="Book Antiqua"/>
        </w:rPr>
      </w:pPr>
      <w:r>
        <w:rPr>
          <w:rFonts w:ascii="Book Antiqua" w:hAnsi="Book Antiqua"/>
        </w:rPr>
        <w:t xml:space="preserve">45 </w:t>
      </w:r>
      <w:r>
        <w:rPr>
          <w:rFonts w:ascii="Book Antiqua" w:hAnsi="Book Antiqua"/>
          <w:b/>
          <w:bCs/>
        </w:rPr>
        <w:t>Duggirala R</w:t>
      </w:r>
      <w:r>
        <w:rPr>
          <w:rFonts w:ascii="Book Antiqua" w:hAnsi="Book Antiqua"/>
        </w:rPr>
        <w:t xml:space="preserve">, Blangero J, Almasy L, Dyer TD, Williams KL, Leach RJ, O'Connell P, Stern MP. Linkage of type 2 diabetes mellitus and of age at onset to a genetic location on chromosome 10q in Mexican Americans. </w:t>
      </w:r>
      <w:r>
        <w:rPr>
          <w:rFonts w:ascii="Book Antiqua" w:hAnsi="Book Antiqua"/>
          <w:i/>
          <w:iCs/>
        </w:rPr>
        <w:t>Am J Hum Genet</w:t>
      </w:r>
      <w:r>
        <w:rPr>
          <w:rFonts w:ascii="Book Antiqua" w:hAnsi="Book Antiqua"/>
        </w:rPr>
        <w:t xml:space="preserve"> 1999; </w:t>
      </w:r>
      <w:r>
        <w:rPr>
          <w:rFonts w:ascii="Book Antiqua" w:hAnsi="Book Antiqua"/>
          <w:b/>
          <w:bCs/>
        </w:rPr>
        <w:t>64</w:t>
      </w:r>
      <w:r>
        <w:rPr>
          <w:rFonts w:ascii="Book Antiqua" w:hAnsi="Book Antiqua"/>
        </w:rPr>
        <w:t>: 1127-1140 [PMID: 10090898 DOI: 10.1086/302316]</w:t>
      </w:r>
    </w:p>
    <w:p w14:paraId="65C0A80E" w14:textId="77777777" w:rsidR="00BA6BF8" w:rsidRDefault="00000000">
      <w:pPr>
        <w:spacing w:line="360" w:lineRule="auto"/>
        <w:jc w:val="both"/>
        <w:rPr>
          <w:rFonts w:ascii="Book Antiqua" w:hAnsi="Book Antiqua"/>
        </w:rPr>
      </w:pPr>
      <w:r>
        <w:rPr>
          <w:rFonts w:ascii="Book Antiqua" w:hAnsi="Book Antiqua"/>
        </w:rPr>
        <w:t xml:space="preserve">46 </w:t>
      </w:r>
      <w:r>
        <w:rPr>
          <w:rFonts w:ascii="Book Antiqua" w:hAnsi="Book Antiqua"/>
          <w:b/>
          <w:bCs/>
        </w:rPr>
        <w:t>Grant SF</w:t>
      </w:r>
      <w:r>
        <w:rPr>
          <w:rFonts w:ascii="Book Antiqua" w:hAnsi="Book Antiqua"/>
        </w:rPr>
        <w:t xml:space="preserve">, Thorleifsson G, Reynisdottir I, Benediktsson R, Manolescu A, Sainz J, Helgason A, Stefansson H, Emilsson V, Helgadottir A, Styrkarsdottir U, Magnusson KP, Walters GB, Palsdottir E, Jonsdottir T, Gudmundsdottir T, Gylfason A, Saemundsdottir J, Wilensky RL, Reilly MP, Rader DJ, Bagger Y, Christiansen C, Gudnason V, Sigurdsson G, Thorsteinsdottir U, Gulcher JR, Kong A, Stefansson K. Variant of transcription factor 7-like 2 (TCF7L2) gene confers risk of type 2 diabetes. </w:t>
      </w:r>
      <w:r>
        <w:rPr>
          <w:rFonts w:ascii="Book Antiqua" w:hAnsi="Book Antiqua"/>
          <w:i/>
          <w:iCs/>
        </w:rPr>
        <w:t>Nat Genet</w:t>
      </w:r>
      <w:r>
        <w:rPr>
          <w:rFonts w:ascii="Book Antiqua" w:hAnsi="Book Antiqua"/>
        </w:rPr>
        <w:t xml:space="preserve"> 2006; </w:t>
      </w:r>
      <w:r>
        <w:rPr>
          <w:rFonts w:ascii="Book Antiqua" w:hAnsi="Book Antiqua"/>
          <w:b/>
          <w:bCs/>
        </w:rPr>
        <w:t>38</w:t>
      </w:r>
      <w:r>
        <w:rPr>
          <w:rFonts w:ascii="Book Antiqua" w:hAnsi="Book Antiqua"/>
        </w:rPr>
        <w:t>: 320-323 [PMID: 16415884 DOI: 10.1038/ng1732]</w:t>
      </w:r>
    </w:p>
    <w:p w14:paraId="2AFC027F" w14:textId="77777777" w:rsidR="00BA6BF8" w:rsidRDefault="00000000">
      <w:pPr>
        <w:spacing w:line="360" w:lineRule="auto"/>
        <w:jc w:val="both"/>
        <w:rPr>
          <w:rFonts w:ascii="Book Antiqua" w:hAnsi="Book Antiqua"/>
        </w:rPr>
      </w:pPr>
      <w:r>
        <w:rPr>
          <w:rFonts w:ascii="Book Antiqua" w:hAnsi="Book Antiqua"/>
        </w:rPr>
        <w:t xml:space="preserve">47 </w:t>
      </w:r>
      <w:r>
        <w:rPr>
          <w:rFonts w:ascii="Book Antiqua" w:hAnsi="Book Antiqua"/>
          <w:b/>
          <w:bCs/>
        </w:rPr>
        <w:t>Teare MD</w:t>
      </w:r>
      <w:r>
        <w:rPr>
          <w:rFonts w:ascii="Book Antiqua" w:hAnsi="Book Antiqua"/>
        </w:rPr>
        <w:t xml:space="preserve">. Candidate gene association studies. </w:t>
      </w:r>
      <w:r>
        <w:rPr>
          <w:rFonts w:ascii="Book Antiqua" w:hAnsi="Book Antiqua"/>
          <w:i/>
          <w:iCs/>
        </w:rPr>
        <w:t>Methods Mol Biol</w:t>
      </w:r>
      <w:r>
        <w:rPr>
          <w:rFonts w:ascii="Book Antiqua" w:hAnsi="Book Antiqua"/>
        </w:rPr>
        <w:t xml:space="preserve"> 2011; </w:t>
      </w:r>
      <w:r>
        <w:rPr>
          <w:rFonts w:ascii="Book Antiqua" w:hAnsi="Book Antiqua"/>
          <w:b/>
          <w:bCs/>
        </w:rPr>
        <w:t>713</w:t>
      </w:r>
      <w:r>
        <w:rPr>
          <w:rFonts w:ascii="Book Antiqua" w:hAnsi="Book Antiqua"/>
        </w:rPr>
        <w:t>: 105-117 [PMID: 21153614 DOI: 10.1007/978-1-60327-416-6_8]</w:t>
      </w:r>
    </w:p>
    <w:p w14:paraId="20F87AB6" w14:textId="77777777" w:rsidR="00BA6BF8" w:rsidRDefault="00000000">
      <w:pPr>
        <w:spacing w:line="360" w:lineRule="auto"/>
        <w:jc w:val="both"/>
        <w:rPr>
          <w:rFonts w:ascii="Book Antiqua" w:hAnsi="Book Antiqua"/>
        </w:rPr>
      </w:pPr>
      <w:r>
        <w:rPr>
          <w:rFonts w:ascii="Book Antiqua" w:hAnsi="Book Antiqua"/>
        </w:rPr>
        <w:t xml:space="preserve">48 </w:t>
      </w:r>
      <w:r>
        <w:rPr>
          <w:rFonts w:ascii="Book Antiqua" w:hAnsi="Book Antiqua"/>
          <w:b/>
          <w:bCs/>
        </w:rPr>
        <w:t>Kwon JM</w:t>
      </w:r>
      <w:r>
        <w:rPr>
          <w:rFonts w:ascii="Book Antiqua" w:hAnsi="Book Antiqua"/>
        </w:rPr>
        <w:t xml:space="preserve">, Goate AM. The candidate gene approach. </w:t>
      </w:r>
      <w:r>
        <w:rPr>
          <w:rFonts w:ascii="Book Antiqua" w:hAnsi="Book Antiqua"/>
          <w:i/>
          <w:iCs/>
        </w:rPr>
        <w:t>Alcohol Res Health</w:t>
      </w:r>
      <w:r>
        <w:rPr>
          <w:rFonts w:ascii="Book Antiqua" w:hAnsi="Book Antiqua"/>
        </w:rPr>
        <w:t xml:space="preserve"> 2000; </w:t>
      </w:r>
      <w:r>
        <w:rPr>
          <w:rFonts w:ascii="Book Antiqua" w:hAnsi="Book Antiqua"/>
          <w:b/>
          <w:bCs/>
        </w:rPr>
        <w:t>24</w:t>
      </w:r>
      <w:r>
        <w:rPr>
          <w:rFonts w:ascii="Book Antiqua" w:hAnsi="Book Antiqua"/>
        </w:rPr>
        <w:t>: 164-168 [PMID: 11199286]</w:t>
      </w:r>
    </w:p>
    <w:p w14:paraId="778850E9" w14:textId="77777777" w:rsidR="00BA6BF8" w:rsidRDefault="00000000">
      <w:pPr>
        <w:spacing w:line="360" w:lineRule="auto"/>
        <w:jc w:val="both"/>
        <w:rPr>
          <w:rFonts w:ascii="Book Antiqua" w:hAnsi="Book Antiqua"/>
        </w:rPr>
      </w:pPr>
      <w:r>
        <w:rPr>
          <w:rFonts w:ascii="Book Antiqua" w:hAnsi="Book Antiqua"/>
        </w:rPr>
        <w:t xml:space="preserve">49 </w:t>
      </w:r>
      <w:r>
        <w:rPr>
          <w:rFonts w:ascii="Book Antiqua" w:hAnsi="Book Antiqua"/>
          <w:b/>
          <w:bCs/>
        </w:rPr>
        <w:t>Barroso I</w:t>
      </w:r>
      <w:r>
        <w:rPr>
          <w:rFonts w:ascii="Book Antiqua" w:hAnsi="Book Antiqua"/>
        </w:rPr>
        <w:t xml:space="preserve">, Luan J, Middelberg RP, Harding AH, Franks PW, Jakes RW, Clayton D, Schafer AJ, O'Rahilly S, Wareham NJ. Candidate gene association study in type 2 diabetes indicates a role for genes involved in beta-cell function as well as insulin action. </w:t>
      </w:r>
      <w:r>
        <w:rPr>
          <w:rFonts w:ascii="Book Antiqua" w:hAnsi="Book Antiqua"/>
          <w:i/>
          <w:iCs/>
        </w:rPr>
        <w:t>PLoS Biol</w:t>
      </w:r>
      <w:r>
        <w:rPr>
          <w:rFonts w:ascii="Book Antiqua" w:hAnsi="Book Antiqua"/>
        </w:rPr>
        <w:t xml:space="preserve"> 2003; </w:t>
      </w:r>
      <w:r>
        <w:rPr>
          <w:rFonts w:ascii="Book Antiqua" w:hAnsi="Book Antiqua"/>
          <w:b/>
          <w:bCs/>
        </w:rPr>
        <w:t>1</w:t>
      </w:r>
      <w:r>
        <w:rPr>
          <w:rFonts w:ascii="Book Antiqua" w:hAnsi="Book Antiqua"/>
        </w:rPr>
        <w:t>: E20 [PMID: 14551916 DOI: 10.1371/journal.pbio.0000020]</w:t>
      </w:r>
    </w:p>
    <w:p w14:paraId="4394EEB5" w14:textId="77777777" w:rsidR="00BA6BF8" w:rsidRDefault="00000000">
      <w:pPr>
        <w:spacing w:line="360" w:lineRule="auto"/>
        <w:jc w:val="both"/>
        <w:rPr>
          <w:rFonts w:ascii="Book Antiqua" w:hAnsi="Book Antiqua"/>
        </w:rPr>
      </w:pPr>
      <w:r>
        <w:rPr>
          <w:rFonts w:ascii="Book Antiqua" w:hAnsi="Book Antiqua"/>
        </w:rPr>
        <w:t xml:space="preserve">50 </w:t>
      </w:r>
      <w:r>
        <w:rPr>
          <w:rFonts w:ascii="Book Antiqua" w:hAnsi="Book Antiqua"/>
          <w:b/>
          <w:bCs/>
        </w:rPr>
        <w:t>Rich SS</w:t>
      </w:r>
      <w:r>
        <w:rPr>
          <w:rFonts w:ascii="Book Antiqua" w:hAnsi="Book Antiqua"/>
        </w:rPr>
        <w:t xml:space="preserve">. Genetics and its potential to improve type 1 diabetes care. </w:t>
      </w:r>
      <w:r>
        <w:rPr>
          <w:rFonts w:ascii="Book Antiqua" w:hAnsi="Book Antiqua"/>
          <w:i/>
          <w:iCs/>
        </w:rPr>
        <w:t>Curr Opin Endocrinol Diabetes Obes</w:t>
      </w:r>
      <w:r>
        <w:rPr>
          <w:rFonts w:ascii="Book Antiqua" w:hAnsi="Book Antiqua"/>
        </w:rPr>
        <w:t xml:space="preserve"> 2017; </w:t>
      </w:r>
      <w:r>
        <w:rPr>
          <w:rFonts w:ascii="Book Antiqua" w:hAnsi="Book Antiqua"/>
          <w:b/>
          <w:bCs/>
        </w:rPr>
        <w:t>24</w:t>
      </w:r>
      <w:r>
        <w:rPr>
          <w:rFonts w:ascii="Book Antiqua" w:hAnsi="Book Antiqua"/>
        </w:rPr>
        <w:t>: 279-284 [PMID: 28509690 DOI: 10.1097/MED.0000000000000347]</w:t>
      </w:r>
    </w:p>
    <w:p w14:paraId="43967D88" w14:textId="77777777" w:rsidR="00BA6BF8" w:rsidRDefault="00000000">
      <w:pPr>
        <w:spacing w:line="360" w:lineRule="auto"/>
        <w:jc w:val="both"/>
        <w:rPr>
          <w:rFonts w:ascii="Book Antiqua" w:hAnsi="Book Antiqua"/>
        </w:rPr>
      </w:pPr>
      <w:r>
        <w:rPr>
          <w:rFonts w:ascii="Book Antiqua" w:hAnsi="Book Antiqua"/>
        </w:rPr>
        <w:lastRenderedPageBreak/>
        <w:t xml:space="preserve">51 </w:t>
      </w:r>
      <w:r>
        <w:rPr>
          <w:rFonts w:ascii="Book Antiqua" w:hAnsi="Book Antiqua"/>
          <w:b/>
          <w:bCs/>
        </w:rPr>
        <w:t>American Diabetes Association</w:t>
      </w:r>
      <w:r>
        <w:rPr>
          <w:rFonts w:ascii="Book Antiqua" w:hAnsi="Book Antiqua"/>
        </w:rPr>
        <w:t xml:space="preserve">. Diagnosis and classification of diabetes mellitus. </w:t>
      </w:r>
      <w:r>
        <w:rPr>
          <w:rFonts w:ascii="Book Antiqua" w:hAnsi="Book Antiqua"/>
          <w:i/>
          <w:iCs/>
        </w:rPr>
        <w:t>Diabetes Care</w:t>
      </w:r>
      <w:r>
        <w:rPr>
          <w:rFonts w:ascii="Book Antiqua" w:hAnsi="Book Antiqua"/>
        </w:rPr>
        <w:t xml:space="preserve"> 2004; </w:t>
      </w:r>
      <w:r>
        <w:rPr>
          <w:rFonts w:ascii="Book Antiqua" w:hAnsi="Book Antiqua"/>
          <w:b/>
          <w:bCs/>
        </w:rPr>
        <w:t xml:space="preserve">27 </w:t>
      </w:r>
      <w:r>
        <w:rPr>
          <w:rFonts w:ascii="Book Antiqua" w:hAnsi="Book Antiqua"/>
        </w:rPr>
        <w:t>Suppl 1: S5-S10 [PMID: 14693921 DOI: 10.2337/diacare.27.2007.S5]</w:t>
      </w:r>
    </w:p>
    <w:p w14:paraId="7F5A93D5" w14:textId="77777777" w:rsidR="00BA6BF8" w:rsidRDefault="00000000">
      <w:pPr>
        <w:spacing w:line="360" w:lineRule="auto"/>
        <w:jc w:val="both"/>
        <w:rPr>
          <w:rFonts w:ascii="Book Antiqua" w:hAnsi="Book Antiqua"/>
        </w:rPr>
      </w:pPr>
      <w:r>
        <w:rPr>
          <w:rFonts w:ascii="Book Antiqua" w:hAnsi="Book Antiqua"/>
        </w:rPr>
        <w:t xml:space="preserve">52 Classification and diagnosis of diabetes mellitus and other categories of glucose intolerance. National Diabetes Data Group. </w:t>
      </w:r>
      <w:r>
        <w:rPr>
          <w:rFonts w:ascii="Book Antiqua" w:hAnsi="Book Antiqua"/>
          <w:i/>
          <w:iCs/>
        </w:rPr>
        <w:t>Diabetes</w:t>
      </w:r>
      <w:r>
        <w:rPr>
          <w:rFonts w:ascii="Book Antiqua" w:hAnsi="Book Antiqua"/>
        </w:rPr>
        <w:t xml:space="preserve"> 1979; </w:t>
      </w:r>
      <w:r>
        <w:rPr>
          <w:rFonts w:ascii="Book Antiqua" w:hAnsi="Book Antiqua"/>
          <w:b/>
          <w:bCs/>
        </w:rPr>
        <w:t>28</w:t>
      </w:r>
      <w:r>
        <w:rPr>
          <w:rFonts w:ascii="Book Antiqua" w:hAnsi="Book Antiqua"/>
        </w:rPr>
        <w:t>: 1039-1057 [PMID: 510803 DOI: 10.2337/diab.28.12.1039]</w:t>
      </w:r>
    </w:p>
    <w:p w14:paraId="50E652E1" w14:textId="77777777" w:rsidR="00BA6BF8" w:rsidRDefault="00000000">
      <w:pPr>
        <w:spacing w:line="360" w:lineRule="auto"/>
        <w:jc w:val="both"/>
        <w:rPr>
          <w:rFonts w:ascii="Book Antiqua" w:hAnsi="Book Antiqua"/>
        </w:rPr>
      </w:pPr>
      <w:r>
        <w:rPr>
          <w:rFonts w:ascii="Book Antiqua" w:hAnsi="Book Antiqua"/>
        </w:rPr>
        <w:t xml:space="preserve">53 </w:t>
      </w:r>
      <w:r>
        <w:rPr>
          <w:rFonts w:ascii="Book Antiqua" w:hAnsi="Book Antiqua"/>
          <w:b/>
          <w:bCs/>
        </w:rPr>
        <w:t>Bush WS</w:t>
      </w:r>
      <w:r>
        <w:rPr>
          <w:rFonts w:ascii="Book Antiqua" w:hAnsi="Book Antiqua"/>
        </w:rPr>
        <w:t xml:space="preserve">, Moore JH. Chapter 11: Genome-wide association studies. </w:t>
      </w:r>
      <w:r>
        <w:rPr>
          <w:rFonts w:ascii="Book Antiqua" w:hAnsi="Book Antiqua"/>
          <w:i/>
          <w:iCs/>
        </w:rPr>
        <w:t>PLoS Comput Biol</w:t>
      </w:r>
      <w:r>
        <w:rPr>
          <w:rFonts w:ascii="Book Antiqua" w:hAnsi="Book Antiqua"/>
        </w:rPr>
        <w:t xml:space="preserve"> 2012; </w:t>
      </w:r>
      <w:r>
        <w:rPr>
          <w:rFonts w:ascii="Book Antiqua" w:hAnsi="Book Antiqua"/>
          <w:b/>
          <w:bCs/>
        </w:rPr>
        <w:t>8</w:t>
      </w:r>
      <w:r>
        <w:rPr>
          <w:rFonts w:ascii="Book Antiqua" w:hAnsi="Book Antiqua"/>
        </w:rPr>
        <w:t>: e1002822 [PMID: 23300413 DOI: 10.1371/journal.pcbi.1002822]</w:t>
      </w:r>
    </w:p>
    <w:p w14:paraId="2F066F5C" w14:textId="77777777" w:rsidR="00BA6BF8" w:rsidRDefault="00000000">
      <w:pPr>
        <w:spacing w:line="360" w:lineRule="auto"/>
        <w:jc w:val="both"/>
        <w:rPr>
          <w:rFonts w:ascii="Book Antiqua" w:hAnsi="Book Antiqua"/>
        </w:rPr>
      </w:pPr>
      <w:r>
        <w:rPr>
          <w:rFonts w:ascii="Book Antiqua" w:hAnsi="Book Antiqua"/>
        </w:rPr>
        <w:t xml:space="preserve">54 </w:t>
      </w:r>
      <w:r>
        <w:rPr>
          <w:rFonts w:ascii="Book Antiqua" w:hAnsi="Book Antiqua"/>
          <w:b/>
          <w:bCs/>
        </w:rPr>
        <w:t>Frayling TM</w:t>
      </w:r>
      <w:r>
        <w:rPr>
          <w:rFonts w:ascii="Book Antiqua" w:hAnsi="Book Antiqua"/>
        </w:rPr>
        <w:t xml:space="preserve">, Timpson NJ, Weedon MN, Zeggini E, Freathy RM, Lindgren CM, Perry JR, Elliott KS, Lango H, Rayner NW, Shields B, Harries LW, Barrett JC, Ellard S, Groves CJ, Knight B, Patch AM, Ness AR, Ebrahim S, Lawlor DA, Ring SM, Ben-Shlomo Y, Jarvelin MR, Sovio U, Bennett AJ, Melzer D, Ferrucci L, Loos RJ, Barroso I, Wareham NJ, Karpe F, Owen KR, Cardon LR, Walker M, Hitman GA, Palmer CN, Doney AS, Morris AD, Smith GD, Hattersley AT, McCarthy MI. A common variant in the FTO gene is associated with body mass index and predisposes to childhood and adult obesity. </w:t>
      </w:r>
      <w:r>
        <w:rPr>
          <w:rFonts w:ascii="Book Antiqua" w:hAnsi="Book Antiqua"/>
          <w:i/>
          <w:iCs/>
        </w:rPr>
        <w:t>Science</w:t>
      </w:r>
      <w:r>
        <w:rPr>
          <w:rFonts w:ascii="Book Antiqua" w:hAnsi="Book Antiqua"/>
        </w:rPr>
        <w:t xml:space="preserve"> 2007; </w:t>
      </w:r>
      <w:r>
        <w:rPr>
          <w:rFonts w:ascii="Book Antiqua" w:hAnsi="Book Antiqua"/>
          <w:b/>
          <w:bCs/>
        </w:rPr>
        <w:t>316</w:t>
      </w:r>
      <w:r>
        <w:rPr>
          <w:rFonts w:ascii="Book Antiqua" w:hAnsi="Book Antiqua"/>
        </w:rPr>
        <w:t>: 889-894 [PMID: 17434869 DOI: 10.1126/science.1141634]</w:t>
      </w:r>
    </w:p>
    <w:p w14:paraId="24EAEC4C" w14:textId="77777777" w:rsidR="00BA6BF8" w:rsidRDefault="00000000">
      <w:pPr>
        <w:spacing w:line="360" w:lineRule="auto"/>
        <w:jc w:val="both"/>
        <w:rPr>
          <w:rFonts w:ascii="Book Antiqua" w:hAnsi="Book Antiqua"/>
        </w:rPr>
      </w:pPr>
      <w:r>
        <w:rPr>
          <w:rFonts w:ascii="Book Antiqua" w:hAnsi="Book Antiqua"/>
        </w:rPr>
        <w:t xml:space="preserve">55 </w:t>
      </w:r>
      <w:r>
        <w:rPr>
          <w:rFonts w:ascii="Book Antiqua" w:hAnsi="Book Antiqua"/>
          <w:b/>
          <w:bCs/>
        </w:rPr>
        <w:t>Dina C</w:t>
      </w:r>
      <w:r>
        <w:rPr>
          <w:rFonts w:ascii="Book Antiqua" w:hAnsi="Book Antiqua"/>
        </w:rPr>
        <w:t xml:space="preserve">, Meyre D, Gallina S, Durand E, Körner A, Jacobson P, Carlsson LM, Kiess W, Vatin V, Lecoeur C, Delplanque J, Vaillant E, Pattou F, Ruiz J, Weill J, Levy-Marchal C, Horber F, Potoczna N, Hercberg S, Le Stunff C, Bougnères P, Kovacs P, Marre M, Balkau B, Cauchi S, Chèvre JC, Froguel P. Variation in FTO contributes to childhood obesity and severe adult obesity. </w:t>
      </w:r>
      <w:r>
        <w:rPr>
          <w:rFonts w:ascii="Book Antiqua" w:hAnsi="Book Antiqua"/>
          <w:i/>
          <w:iCs/>
        </w:rPr>
        <w:t>Nat Genet</w:t>
      </w:r>
      <w:r>
        <w:rPr>
          <w:rFonts w:ascii="Book Antiqua" w:hAnsi="Book Antiqua"/>
        </w:rPr>
        <w:t xml:space="preserve"> 2007; </w:t>
      </w:r>
      <w:r>
        <w:rPr>
          <w:rFonts w:ascii="Book Antiqua" w:hAnsi="Book Antiqua"/>
          <w:b/>
          <w:bCs/>
        </w:rPr>
        <w:t>39</w:t>
      </w:r>
      <w:r>
        <w:rPr>
          <w:rFonts w:ascii="Book Antiqua" w:hAnsi="Book Antiqua"/>
        </w:rPr>
        <w:t>: 724-726 [PMID: 17496892 DOI: 10.1038/ng2048]</w:t>
      </w:r>
    </w:p>
    <w:p w14:paraId="6377EB36" w14:textId="77777777" w:rsidR="00BA6BF8" w:rsidRDefault="00000000">
      <w:pPr>
        <w:spacing w:line="360" w:lineRule="auto"/>
        <w:jc w:val="both"/>
        <w:rPr>
          <w:rFonts w:ascii="Book Antiqua" w:hAnsi="Book Antiqua"/>
        </w:rPr>
      </w:pPr>
      <w:r>
        <w:rPr>
          <w:rFonts w:ascii="Book Antiqua" w:hAnsi="Book Antiqua"/>
        </w:rPr>
        <w:t xml:space="preserve">56 </w:t>
      </w:r>
      <w:r>
        <w:rPr>
          <w:rFonts w:ascii="Book Antiqua" w:hAnsi="Book Antiqua"/>
          <w:b/>
          <w:bCs/>
        </w:rPr>
        <w:t>Saxena R</w:t>
      </w:r>
      <w:r>
        <w:rPr>
          <w:rFonts w:ascii="Book Antiqua" w:hAnsi="Book Antiqua"/>
        </w:rPr>
        <w:t xml:space="preserve">, Voight BF, Lyssenko V, Burtt NP, de Bakker PI, Chen H, Roix JJ, Kathiresan S, Hirschhorn JN, Daly MJ, Hughes TE, Groop L, Altshuler D, Almgren P, Florez JC, Meyer J, Ardlie K, Bengtsson Boström K, Isomaa B, Lettre G, Lindblad U, Lyon HN, Melander O, Newton-Cheh C, Nilsson P, Orho-Melander M, Råstam L, Speliotes EK, Taskinen MR, Tuomi T, Guiducci C, Berglund A, Carlson J, Gianniny L, Hackett R, Hall L, Holmkvist J, Laurila E, Sjögren M, Sterner M, Surti A, Svensson M, Svensson M, Tewhey R, Blumenstiel B, Parkin M, Defelice M, Barry R, Brodeur W, Camarata J, Chia N, Fava M, Gibbons J, Handsaker B, Healy C, Nguyen K, Gates C, Sougnez C, Gage D, Nizzari M, Gabriel SB, Chirn GW, Ma Q, Parikh H, Richardson D, Ricke D, Purcell S, </w:t>
      </w:r>
      <w:r>
        <w:rPr>
          <w:rFonts w:ascii="Book Antiqua" w:hAnsi="Book Antiqua"/>
        </w:rPr>
        <w:lastRenderedPageBreak/>
        <w:t xml:space="preserve">Diabetes Genetics Initiative of Broad Institute of Harvard and MIT, Lund University, and Novartis Institutes of BioMedical Research. Genome-wide association analysis identifies loci for type 2 diabetes and triglyceride levels. </w:t>
      </w:r>
      <w:r>
        <w:rPr>
          <w:rFonts w:ascii="Book Antiqua" w:hAnsi="Book Antiqua"/>
          <w:i/>
          <w:iCs/>
        </w:rPr>
        <w:t>Science</w:t>
      </w:r>
      <w:r>
        <w:rPr>
          <w:rFonts w:ascii="Book Antiqua" w:hAnsi="Book Antiqua"/>
        </w:rPr>
        <w:t xml:space="preserve"> 2007; </w:t>
      </w:r>
      <w:r>
        <w:rPr>
          <w:rFonts w:ascii="Book Antiqua" w:hAnsi="Book Antiqua"/>
          <w:b/>
          <w:bCs/>
        </w:rPr>
        <w:t>316</w:t>
      </w:r>
      <w:r>
        <w:rPr>
          <w:rFonts w:ascii="Book Antiqua" w:hAnsi="Book Antiqua"/>
        </w:rPr>
        <w:t>: 1331-1336 [PMID: 17463246 DOI: 10.1126/science.1142358]</w:t>
      </w:r>
    </w:p>
    <w:p w14:paraId="0A875B06" w14:textId="77777777" w:rsidR="00BA6BF8" w:rsidRDefault="00000000">
      <w:pPr>
        <w:spacing w:line="360" w:lineRule="auto"/>
        <w:jc w:val="both"/>
        <w:rPr>
          <w:rFonts w:ascii="Book Antiqua" w:hAnsi="Book Antiqua"/>
        </w:rPr>
      </w:pPr>
      <w:r>
        <w:rPr>
          <w:rFonts w:ascii="Book Antiqua" w:hAnsi="Book Antiqua"/>
        </w:rPr>
        <w:t xml:space="preserve">57 </w:t>
      </w:r>
      <w:r>
        <w:rPr>
          <w:rFonts w:ascii="Book Antiqua" w:hAnsi="Book Antiqua"/>
          <w:b/>
          <w:bCs/>
        </w:rPr>
        <w:t>Sanghera DK</w:t>
      </w:r>
      <w:r>
        <w:rPr>
          <w:rFonts w:ascii="Book Antiqua" w:hAnsi="Book Antiqua"/>
        </w:rPr>
        <w:t xml:space="preserve">, Ortega L, Han S, Singh J, Ralhan SK, Wander GS, Mehra NK, Mulvihill JJ, Ferrell RE, Nath SK, Kamboh MI. Impact of nine common type 2 diabetes risk polymorphisms in Asian Indian Sikhs: PPARG2 (Pro12Ala), IGF2BP2, TCF7L2 and FTO variants confer a significant risk. </w:t>
      </w:r>
      <w:r>
        <w:rPr>
          <w:rFonts w:ascii="Book Antiqua" w:hAnsi="Book Antiqua"/>
          <w:i/>
          <w:iCs/>
        </w:rPr>
        <w:t>BMC Med Genet</w:t>
      </w:r>
      <w:r>
        <w:rPr>
          <w:rFonts w:ascii="Book Antiqua" w:hAnsi="Book Antiqua"/>
        </w:rPr>
        <w:t xml:space="preserve"> 2008; </w:t>
      </w:r>
      <w:r>
        <w:rPr>
          <w:rFonts w:ascii="Book Antiqua" w:hAnsi="Book Antiqua"/>
          <w:b/>
          <w:bCs/>
        </w:rPr>
        <w:t>9</w:t>
      </w:r>
      <w:r>
        <w:rPr>
          <w:rFonts w:ascii="Book Antiqua" w:hAnsi="Book Antiqua"/>
        </w:rPr>
        <w:t>: 59 [PMID: 18598350 DOI: 10.1186/1471-2350-9-59]</w:t>
      </w:r>
    </w:p>
    <w:p w14:paraId="05BBB7F2" w14:textId="77777777" w:rsidR="00BA6BF8" w:rsidRDefault="00000000">
      <w:pPr>
        <w:spacing w:line="360" w:lineRule="auto"/>
        <w:jc w:val="both"/>
        <w:rPr>
          <w:rFonts w:ascii="Book Antiqua" w:hAnsi="Book Antiqua"/>
        </w:rPr>
      </w:pPr>
      <w:r>
        <w:rPr>
          <w:rFonts w:ascii="Book Antiqua" w:hAnsi="Book Antiqua"/>
        </w:rPr>
        <w:t xml:space="preserve">58 </w:t>
      </w:r>
      <w:r>
        <w:rPr>
          <w:rFonts w:ascii="Book Antiqua" w:hAnsi="Book Antiqua"/>
          <w:b/>
          <w:bCs/>
        </w:rPr>
        <w:t>Zeggini E</w:t>
      </w:r>
      <w:r>
        <w:rPr>
          <w:rFonts w:ascii="Book Antiqua" w:hAnsi="Book Antiqua"/>
        </w:rPr>
        <w:t xml:space="preserve">, Weedon MN, Lindgren CM, Frayling TM, Elliott KS, Lango H, Timpson NJ, Perry JR, Rayner NW, Freathy RM, Barrett JC, Shields B, Morris AP, Ellard S, Groves CJ, Harries LW, Marchini JL, Owen KR, Knight B, Cardon LR, Walker M, Hitman GA, Morris AD, Doney AS; Wellcome Trust Case Control Consortium (WTCCC), McCarthy MI, Hattersley AT. Replication of genome-wide association signals in UK samples reveals risk loci for type 2 diabetes. </w:t>
      </w:r>
      <w:r>
        <w:rPr>
          <w:rFonts w:ascii="Book Antiqua" w:hAnsi="Book Antiqua"/>
          <w:i/>
          <w:iCs/>
        </w:rPr>
        <w:t>Science</w:t>
      </w:r>
      <w:r>
        <w:rPr>
          <w:rFonts w:ascii="Book Antiqua" w:hAnsi="Book Antiqua"/>
        </w:rPr>
        <w:t xml:space="preserve"> 2007; </w:t>
      </w:r>
      <w:r>
        <w:rPr>
          <w:rFonts w:ascii="Book Antiqua" w:hAnsi="Book Antiqua"/>
          <w:b/>
          <w:bCs/>
        </w:rPr>
        <w:t>316</w:t>
      </w:r>
      <w:r>
        <w:rPr>
          <w:rFonts w:ascii="Book Antiqua" w:hAnsi="Book Antiqua"/>
        </w:rPr>
        <w:t>: 1336-1341 [PMID: 17463249 DOI: 10.1126/science.1142364]</w:t>
      </w:r>
    </w:p>
    <w:p w14:paraId="0D8C6C53" w14:textId="77777777" w:rsidR="00BA6BF8" w:rsidRDefault="00000000">
      <w:pPr>
        <w:spacing w:line="360" w:lineRule="auto"/>
        <w:jc w:val="both"/>
        <w:rPr>
          <w:rFonts w:ascii="Book Antiqua" w:hAnsi="Book Antiqua"/>
        </w:rPr>
      </w:pPr>
      <w:r>
        <w:rPr>
          <w:rFonts w:ascii="Book Antiqua" w:hAnsi="Book Antiqua"/>
        </w:rPr>
        <w:t xml:space="preserve">59 </w:t>
      </w:r>
      <w:r>
        <w:rPr>
          <w:rFonts w:ascii="Book Antiqua" w:hAnsi="Book Antiqua"/>
          <w:b/>
          <w:bCs/>
        </w:rPr>
        <w:t>Cerosaletti K</w:t>
      </w:r>
      <w:r>
        <w:rPr>
          <w:rFonts w:ascii="Book Antiqua" w:hAnsi="Book Antiqua"/>
        </w:rPr>
        <w:t xml:space="preserve">, Hao W, Greenbaum CJ. Erratum. Genetics coming of age in type 1 diabetes. Diabetes Care 2019;42:189-191. </w:t>
      </w:r>
      <w:r>
        <w:rPr>
          <w:rFonts w:ascii="Book Antiqua" w:hAnsi="Book Antiqua"/>
          <w:i/>
          <w:iCs/>
        </w:rPr>
        <w:t>Diabetes Care</w:t>
      </w:r>
      <w:r>
        <w:rPr>
          <w:rFonts w:ascii="Book Antiqua" w:hAnsi="Book Antiqua"/>
        </w:rPr>
        <w:t xml:space="preserve"> 2019; </w:t>
      </w:r>
      <w:r>
        <w:rPr>
          <w:rFonts w:ascii="Book Antiqua" w:hAnsi="Book Antiqua"/>
          <w:b/>
          <w:bCs/>
        </w:rPr>
        <w:t>42</w:t>
      </w:r>
      <w:r>
        <w:rPr>
          <w:rFonts w:ascii="Book Antiqua" w:hAnsi="Book Antiqua"/>
        </w:rPr>
        <w:t>: 987 [PMID: 30885949 DOI: 10.2337/dc19-er05]</w:t>
      </w:r>
    </w:p>
    <w:p w14:paraId="5F246279" w14:textId="77777777" w:rsidR="00BA6BF8" w:rsidRDefault="00000000">
      <w:pPr>
        <w:spacing w:line="360" w:lineRule="auto"/>
        <w:jc w:val="both"/>
        <w:rPr>
          <w:rFonts w:ascii="Book Antiqua" w:hAnsi="Book Antiqua"/>
        </w:rPr>
      </w:pPr>
      <w:r>
        <w:rPr>
          <w:rFonts w:ascii="Book Antiqua" w:hAnsi="Book Antiqua"/>
        </w:rPr>
        <w:t xml:space="preserve">60 </w:t>
      </w:r>
      <w:r>
        <w:rPr>
          <w:rFonts w:ascii="Book Antiqua" w:hAnsi="Book Antiqua"/>
          <w:b/>
          <w:bCs/>
        </w:rPr>
        <w:t>Hakonarson H</w:t>
      </w:r>
      <w:r>
        <w:rPr>
          <w:rFonts w:ascii="Book Antiqua" w:hAnsi="Book Antiqua"/>
        </w:rPr>
        <w:t xml:space="preserve">, Grant SF, Bradfield JP, Marchand L, Kim CE, Glessner JT, Grabs R, Casalunovo T, Taback SP, Frackelton EC, Lawson ML, Robinson LJ, Skraban R, Lu Y, Chiavacci RM, Stanley CA, Kirsch SE, Rappaport EF, Orange JS, Monos DS, Devoto M, Qu HQ, Polychronakos C. A genome-wide association study identifies KIAA0350 as a type 1 diabetes gene. </w:t>
      </w:r>
      <w:r>
        <w:rPr>
          <w:rFonts w:ascii="Book Antiqua" w:hAnsi="Book Antiqua"/>
          <w:i/>
          <w:iCs/>
        </w:rPr>
        <w:t>Nature</w:t>
      </w:r>
      <w:r>
        <w:rPr>
          <w:rFonts w:ascii="Book Antiqua" w:hAnsi="Book Antiqua"/>
        </w:rPr>
        <w:t xml:space="preserve"> 2007; </w:t>
      </w:r>
      <w:r>
        <w:rPr>
          <w:rFonts w:ascii="Book Antiqua" w:hAnsi="Book Antiqua"/>
          <w:b/>
          <w:bCs/>
        </w:rPr>
        <w:t>448</w:t>
      </w:r>
      <w:r>
        <w:rPr>
          <w:rFonts w:ascii="Book Antiqua" w:hAnsi="Book Antiqua"/>
        </w:rPr>
        <w:t>: 591-594 [PMID: 17632545 DOI: 10.1038/nature06010]</w:t>
      </w:r>
    </w:p>
    <w:p w14:paraId="11E2B040" w14:textId="77777777" w:rsidR="00BA6BF8" w:rsidRDefault="00000000">
      <w:pPr>
        <w:spacing w:line="360" w:lineRule="auto"/>
        <w:jc w:val="both"/>
        <w:rPr>
          <w:rFonts w:ascii="Book Antiqua" w:hAnsi="Book Antiqua"/>
        </w:rPr>
      </w:pPr>
      <w:r>
        <w:rPr>
          <w:rFonts w:ascii="Book Antiqua" w:hAnsi="Book Antiqua"/>
        </w:rPr>
        <w:t xml:space="preserve">61 </w:t>
      </w:r>
      <w:r>
        <w:rPr>
          <w:rFonts w:ascii="Book Antiqua" w:hAnsi="Book Antiqua"/>
          <w:b/>
          <w:bCs/>
        </w:rPr>
        <w:t>Concannon P</w:t>
      </w:r>
      <w:r>
        <w:rPr>
          <w:rFonts w:ascii="Book Antiqua" w:hAnsi="Book Antiqua"/>
        </w:rPr>
        <w:t xml:space="preserve">, Onengut-Gumuscu S, Todd JA, Smyth DJ, Pociot F, Bergholdt R, Akolkar B, Erlich HA, Hilner JE, Julier C, Morahan G, Nerup J, Nierras CR, Chen WM, Rich SS; Type 1 Diabetes Genetics Consortium. A human type 1 diabetes susceptibility </w:t>
      </w:r>
      <w:r>
        <w:rPr>
          <w:rFonts w:ascii="Book Antiqua" w:hAnsi="Book Antiqua"/>
        </w:rPr>
        <w:lastRenderedPageBreak/>
        <w:t xml:space="preserve">locus maps to chromosome 21q22.3. </w:t>
      </w:r>
      <w:r>
        <w:rPr>
          <w:rFonts w:ascii="Book Antiqua" w:hAnsi="Book Antiqua"/>
          <w:i/>
          <w:iCs/>
        </w:rPr>
        <w:t>Diabetes</w:t>
      </w:r>
      <w:r>
        <w:rPr>
          <w:rFonts w:ascii="Book Antiqua" w:hAnsi="Book Antiqua"/>
        </w:rPr>
        <w:t xml:space="preserve"> 2008; </w:t>
      </w:r>
      <w:r>
        <w:rPr>
          <w:rFonts w:ascii="Book Antiqua" w:hAnsi="Book Antiqua"/>
          <w:b/>
          <w:bCs/>
        </w:rPr>
        <w:t>57</w:t>
      </w:r>
      <w:r>
        <w:rPr>
          <w:rFonts w:ascii="Book Antiqua" w:hAnsi="Book Antiqua"/>
        </w:rPr>
        <w:t>: 2858-2861 [PMID: 18647951 DOI: 10.2337/db08-0753]</w:t>
      </w:r>
    </w:p>
    <w:p w14:paraId="40903721" w14:textId="77777777" w:rsidR="00BA6BF8" w:rsidRDefault="00000000">
      <w:pPr>
        <w:spacing w:line="360" w:lineRule="auto"/>
        <w:jc w:val="both"/>
        <w:rPr>
          <w:rFonts w:ascii="Book Antiqua" w:hAnsi="Book Antiqua"/>
        </w:rPr>
      </w:pPr>
      <w:r>
        <w:rPr>
          <w:rFonts w:ascii="Book Antiqua" w:hAnsi="Book Antiqua"/>
        </w:rPr>
        <w:t xml:space="preserve">62 </w:t>
      </w:r>
      <w:r>
        <w:rPr>
          <w:rFonts w:ascii="Book Antiqua" w:hAnsi="Book Antiqua"/>
          <w:b/>
          <w:bCs/>
        </w:rPr>
        <w:t>Kwak SH</w:t>
      </w:r>
      <w:r>
        <w:rPr>
          <w:rFonts w:ascii="Book Antiqua" w:hAnsi="Book Antiqua"/>
        </w:rPr>
        <w:t xml:space="preserve">, Kim SH, Cho YM, Go MJ, Cho YS, Choi SH, Moon MK, Jung HS, Shin HD, Kang HM, Cho NH, Lee IK, Kim SY, Han BG, Jang HC, Park KS. A genome-wide association study of gestational diabetes mellitus in Korean women. </w:t>
      </w:r>
      <w:r>
        <w:rPr>
          <w:rFonts w:ascii="Book Antiqua" w:hAnsi="Book Antiqua"/>
          <w:i/>
          <w:iCs/>
        </w:rPr>
        <w:t>Diabetes</w:t>
      </w:r>
      <w:r>
        <w:rPr>
          <w:rFonts w:ascii="Book Antiqua" w:hAnsi="Book Antiqua"/>
        </w:rPr>
        <w:t xml:space="preserve"> 2012; </w:t>
      </w:r>
      <w:r>
        <w:rPr>
          <w:rFonts w:ascii="Book Antiqua" w:hAnsi="Book Antiqua"/>
          <w:b/>
          <w:bCs/>
        </w:rPr>
        <w:t>61</w:t>
      </w:r>
      <w:r>
        <w:rPr>
          <w:rFonts w:ascii="Book Antiqua" w:hAnsi="Book Antiqua"/>
        </w:rPr>
        <w:t>: 531-541 [PMID: 22233651 DOI: 10.2337/db11-1034]</w:t>
      </w:r>
    </w:p>
    <w:p w14:paraId="779FC972" w14:textId="77777777" w:rsidR="00BA6BF8" w:rsidRDefault="00000000">
      <w:pPr>
        <w:spacing w:line="360" w:lineRule="auto"/>
        <w:jc w:val="both"/>
        <w:rPr>
          <w:rFonts w:ascii="Book Antiqua" w:hAnsi="Book Antiqua"/>
        </w:rPr>
      </w:pPr>
      <w:r>
        <w:rPr>
          <w:rFonts w:ascii="Book Antiqua" w:hAnsi="Book Antiqua"/>
        </w:rPr>
        <w:t xml:space="preserve">63 </w:t>
      </w:r>
      <w:r>
        <w:rPr>
          <w:rFonts w:ascii="Book Antiqua" w:hAnsi="Book Antiqua"/>
          <w:b/>
          <w:bCs/>
        </w:rPr>
        <w:t>Wu NN</w:t>
      </w:r>
      <w:r>
        <w:rPr>
          <w:rFonts w:ascii="Book Antiqua" w:hAnsi="Book Antiqua"/>
        </w:rPr>
        <w:t xml:space="preserve">, Zhao D, Ma W, Lang JN, Liu SM, Fu Y, Wang X, Wang ZW, Li Q. A genome-wide association study of gestational diabetes mellitus in Chinese women. </w:t>
      </w:r>
      <w:r>
        <w:rPr>
          <w:rFonts w:ascii="Book Antiqua" w:hAnsi="Book Antiqua"/>
          <w:i/>
          <w:iCs/>
        </w:rPr>
        <w:t>J Matern Fetal Neonatal Med</w:t>
      </w:r>
      <w:r>
        <w:rPr>
          <w:rFonts w:ascii="Book Antiqua" w:hAnsi="Book Antiqua"/>
        </w:rPr>
        <w:t xml:space="preserve"> 2021; </w:t>
      </w:r>
      <w:r>
        <w:rPr>
          <w:rFonts w:ascii="Book Antiqua" w:hAnsi="Book Antiqua"/>
          <w:b/>
          <w:bCs/>
        </w:rPr>
        <w:t>34</w:t>
      </w:r>
      <w:r>
        <w:rPr>
          <w:rFonts w:ascii="Book Antiqua" w:hAnsi="Book Antiqua"/>
        </w:rPr>
        <w:t>: 1557-1564 [PMID: 31269844 DOI: 10.1080/14767058.2019.1640205]</w:t>
      </w:r>
    </w:p>
    <w:p w14:paraId="48002029" w14:textId="77777777" w:rsidR="00BA6BF8" w:rsidRDefault="00000000">
      <w:pPr>
        <w:spacing w:line="360" w:lineRule="auto"/>
        <w:jc w:val="both"/>
        <w:rPr>
          <w:rFonts w:ascii="Book Antiqua" w:hAnsi="Book Antiqua"/>
        </w:rPr>
      </w:pPr>
      <w:r>
        <w:rPr>
          <w:rFonts w:ascii="Book Antiqua" w:hAnsi="Book Antiqua"/>
        </w:rPr>
        <w:t xml:space="preserve">64 </w:t>
      </w:r>
      <w:r>
        <w:rPr>
          <w:rFonts w:ascii="Book Antiqua" w:hAnsi="Book Antiqua"/>
          <w:b/>
          <w:bCs/>
        </w:rPr>
        <w:t>Pervjakova N</w:t>
      </w:r>
      <w:r>
        <w:rPr>
          <w:rFonts w:ascii="Book Antiqua" w:hAnsi="Book Antiqua"/>
        </w:rPr>
        <w:t xml:space="preserve">, Moen GH, Borges MC, Ferreira T, Cook JP, Allard C, Beaumont RN, Canouil M, Hatem G, Heiskala A, Joensuu A, Karhunen V, Kwak SH, Lin FTJ, Liu J, Rifas-Shiman S, Tam CH, Tam WH, Thorleifsson G, Andrew T, Auvinen J, Bhowmik B, Bonnefond A, Delahaye F, Demirkan A, Froguel P, Haller-Kikkatalo K, Hardardottir H, Hummel S, Hussain A, Kajantie E, Keikkala E, Khamis A, Lahti J, Lekva T, Mustaniemi S, Sommer C, Tagoma A, Tzala E, Uibo R, Vääräsmäki M, Villa PM, Birkeland KI, Bouchard L, Duijn CM, Finer S, Groop L, Hämäläinen E, Hayes GM, Hitman GA, Jang HC, Järvelin MR, Jenum AK, Laivuori H, Ma RC, Melander O, Oken E, Park KS, Perron P, Prasad RB, Qvigstad E, Sebert S, Stefansson K, Steinthorsdottir V, Tuomi T, Hivert MF, Franks PW, McCarthy MI, Lindgren CM, Freathy RM, Lawlor DA, Morris AP, Mägi R. Multi-ancestry genome-wide association study of gestational diabetes mellitus highlights genetic links with type 2 diabetes. </w:t>
      </w:r>
      <w:r>
        <w:rPr>
          <w:rFonts w:ascii="Book Antiqua" w:hAnsi="Book Antiqua"/>
          <w:i/>
          <w:iCs/>
        </w:rPr>
        <w:t>Hum Mol Genet</w:t>
      </w:r>
      <w:r>
        <w:rPr>
          <w:rFonts w:ascii="Book Antiqua" w:hAnsi="Book Antiqua"/>
        </w:rPr>
        <w:t xml:space="preserve"> 2022; </w:t>
      </w:r>
      <w:r>
        <w:rPr>
          <w:rFonts w:ascii="Book Antiqua" w:hAnsi="Book Antiqua"/>
          <w:b/>
          <w:bCs/>
        </w:rPr>
        <w:t>31</w:t>
      </w:r>
      <w:r>
        <w:rPr>
          <w:rFonts w:ascii="Book Antiqua" w:hAnsi="Book Antiqua"/>
        </w:rPr>
        <w:t>: 3377-3391 [PMID: 35220425 DOI: 10.1093/hmg/ddac050]</w:t>
      </w:r>
    </w:p>
    <w:p w14:paraId="47DEA793" w14:textId="77777777" w:rsidR="00BA6BF8" w:rsidRDefault="00000000">
      <w:pPr>
        <w:spacing w:line="360" w:lineRule="auto"/>
        <w:jc w:val="both"/>
        <w:rPr>
          <w:rFonts w:ascii="Book Antiqua" w:hAnsi="Book Antiqua"/>
        </w:rPr>
      </w:pPr>
      <w:r>
        <w:rPr>
          <w:rFonts w:ascii="Book Antiqua" w:hAnsi="Book Antiqua"/>
        </w:rPr>
        <w:t xml:space="preserve">65 </w:t>
      </w:r>
      <w:r>
        <w:rPr>
          <w:rFonts w:ascii="Book Antiqua" w:hAnsi="Book Antiqua"/>
          <w:b/>
          <w:bCs/>
        </w:rPr>
        <w:t>Strawbridge RJ</w:t>
      </w:r>
      <w:r>
        <w:rPr>
          <w:rFonts w:ascii="Book Antiqua" w:hAnsi="Book Antiqua"/>
        </w:rPr>
        <w:t xml:space="preserve">, Dupuis J, Prokopenko I, Barker A, Ahlqvist E, Rybin D, Petrie JR, Travers ME, Bouatia-Naji N, Dimas AS, Nica A, Wheeler E, Chen H, Voight BF, Taneera J, Kanoni S, Peden JF, Turrini F, Gustafsson S, Zabena C, Almgren P, Barker DJ, Barnes D, Dennison EM, Eriksson JG, Eriksson P, Eury E, Folkersen L, Fox CS, Frayling TM, Goel A, Gu HF, Horikoshi M, Isomaa B, Jackson AU, Jameson KA, Kajantie E, Kerr-Conte J, Kuulasmaa T, Kuusisto J, Loos RJ, Luan J, Makrilakis K, Manning AK, Martínez-Larrad MT, Narisu N, Nastase Mannila M, Ohrvik J, Osmond C, Pascoe L, Payne F, Sayer AA, </w:t>
      </w:r>
      <w:r>
        <w:rPr>
          <w:rFonts w:ascii="Book Antiqua" w:hAnsi="Book Antiqua"/>
        </w:rPr>
        <w:lastRenderedPageBreak/>
        <w:t xml:space="preserve">Sennblad B, Silveira A, Stancáková A, Stirrups K, Swift AJ, Syvänen AC, Tuomi T, van 't Hooft FM, Walker M, Weedon MN, Xie W, Zethelius B; DIAGRAM Consortium; GIANT Consortium; MuTHER Consortium; CARDIoGRAM Consortium; C4D Consortium, Ongen H, Mälarstig A, Hopewell JC, Saleheen D, Chambers J, Parish S, Danesh J, Kooner J, Ostenson CG, Lind L, Cooper CC, Serrano-Ríos M, Ferrannini E, Forsen TJ, Clarke R, Franzosi MG, Seedorf U, Watkins H, Froguel P, Johnson P, Deloukas P, Collins FS, Laakso M, Dermitzakis ET, Boehnke M, McCarthy MI, Wareham NJ, Groop L, Pattou F, Gloyn AL, Dedoussis GV, Lyssenko V, Meigs JB, Barroso I, Watanabe RM, Ingelsson E, Langenberg C, Hamsten A, Florez JC. Genome-wide association identifies nine common variants associated with fasting proinsulin levels and provides new insights into the pathophysiology of type 2 diabetes. </w:t>
      </w:r>
      <w:r>
        <w:rPr>
          <w:rFonts w:ascii="Book Antiqua" w:hAnsi="Book Antiqua"/>
          <w:i/>
          <w:iCs/>
        </w:rPr>
        <w:t>Diabetes</w:t>
      </w:r>
      <w:r>
        <w:rPr>
          <w:rFonts w:ascii="Book Antiqua" w:hAnsi="Book Antiqua"/>
        </w:rPr>
        <w:t xml:space="preserve"> 2011; </w:t>
      </w:r>
      <w:r>
        <w:rPr>
          <w:rFonts w:ascii="Book Antiqua" w:hAnsi="Book Antiqua"/>
          <w:b/>
          <w:bCs/>
        </w:rPr>
        <w:t>60</w:t>
      </w:r>
      <w:r>
        <w:rPr>
          <w:rFonts w:ascii="Book Antiqua" w:hAnsi="Book Antiqua"/>
        </w:rPr>
        <w:t>: 2624-2634 [PMID: 21873549 DOI: 10.2337/db11-0415]</w:t>
      </w:r>
    </w:p>
    <w:p w14:paraId="43CF94B5" w14:textId="77777777" w:rsidR="00BA6BF8" w:rsidRDefault="00000000">
      <w:pPr>
        <w:spacing w:line="360" w:lineRule="auto"/>
        <w:jc w:val="both"/>
        <w:rPr>
          <w:rFonts w:ascii="Book Antiqua" w:hAnsi="Book Antiqua"/>
        </w:rPr>
      </w:pPr>
      <w:r>
        <w:rPr>
          <w:rFonts w:ascii="Book Antiqua" w:hAnsi="Book Antiqua"/>
        </w:rPr>
        <w:t xml:space="preserve">66 </w:t>
      </w:r>
      <w:r>
        <w:rPr>
          <w:rFonts w:ascii="Book Antiqua" w:hAnsi="Book Antiqua"/>
          <w:b/>
          <w:bCs/>
        </w:rPr>
        <w:t>Ahlqvist E</w:t>
      </w:r>
      <w:r>
        <w:rPr>
          <w:rFonts w:ascii="Book Antiqua" w:hAnsi="Book Antiqua"/>
        </w:rPr>
        <w:t xml:space="preserve">, Ahluwalia TS, Groop L. Genetics of type 2 diabetes. </w:t>
      </w:r>
      <w:r>
        <w:rPr>
          <w:rFonts w:ascii="Book Antiqua" w:hAnsi="Book Antiqua"/>
          <w:i/>
          <w:iCs/>
        </w:rPr>
        <w:t>Clin Chem</w:t>
      </w:r>
      <w:r>
        <w:rPr>
          <w:rFonts w:ascii="Book Antiqua" w:hAnsi="Book Antiqua"/>
        </w:rPr>
        <w:t xml:space="preserve"> 2011; </w:t>
      </w:r>
      <w:r>
        <w:rPr>
          <w:rFonts w:ascii="Book Antiqua" w:hAnsi="Book Antiqua"/>
          <w:b/>
          <w:bCs/>
        </w:rPr>
        <w:t>57</w:t>
      </w:r>
      <w:r>
        <w:rPr>
          <w:rFonts w:ascii="Book Antiqua" w:hAnsi="Book Antiqua"/>
        </w:rPr>
        <w:t>: 241-254 [PMID: 21119033 DOI: 10.1373/clinchem.2010.157016]</w:t>
      </w:r>
    </w:p>
    <w:p w14:paraId="0D88C996" w14:textId="77777777" w:rsidR="00BA6BF8" w:rsidRDefault="00000000">
      <w:pPr>
        <w:spacing w:line="360" w:lineRule="auto"/>
        <w:jc w:val="both"/>
        <w:rPr>
          <w:rFonts w:ascii="Book Antiqua" w:hAnsi="Book Antiqua"/>
        </w:rPr>
      </w:pPr>
      <w:r>
        <w:rPr>
          <w:rFonts w:ascii="Book Antiqua" w:hAnsi="Book Antiqua"/>
        </w:rPr>
        <w:t xml:space="preserve">67 </w:t>
      </w:r>
      <w:r>
        <w:rPr>
          <w:rFonts w:ascii="Book Antiqua" w:hAnsi="Book Antiqua"/>
          <w:b/>
          <w:bCs/>
        </w:rPr>
        <w:t>Tabassum R</w:t>
      </w:r>
      <w:r>
        <w:rPr>
          <w:rFonts w:ascii="Book Antiqua" w:hAnsi="Book Antiqua"/>
        </w:rPr>
        <w:t xml:space="preserve">, Chauhan G, Dwivedi OP, Mahajan A, Jaiswal A, Kaur I, Bandesh K, Singh T, Mathai BJ, Pandey Y, Chidambaram M, Sharma A, Chavali S, Sengupta S, Ramakrishnan L, Venkatesh P, Aggarwal SK, Ghosh S, Prabhakaran D, Srinath RK, Saxena M, Banerjee M, Mathur S, Bhansali A, Shah VN, Madhu SV, Marwaha RK, Basu A, Scaria V, McCarthy MI; DIAGRAM; INDICO, Venkatesan R, Mohan V, Tandon N, Bharadwaj D. Genome-wide association study for type 2 diabetes in Indians identifies a new susceptibility locus at 2q21. </w:t>
      </w:r>
      <w:r>
        <w:rPr>
          <w:rFonts w:ascii="Book Antiqua" w:hAnsi="Book Antiqua"/>
          <w:i/>
          <w:iCs/>
        </w:rPr>
        <w:t>Diabetes</w:t>
      </w:r>
      <w:r>
        <w:rPr>
          <w:rFonts w:ascii="Book Antiqua" w:hAnsi="Book Antiqua"/>
        </w:rPr>
        <w:t xml:space="preserve"> 2013; </w:t>
      </w:r>
      <w:r>
        <w:rPr>
          <w:rFonts w:ascii="Book Antiqua" w:hAnsi="Book Antiqua"/>
          <w:b/>
          <w:bCs/>
        </w:rPr>
        <w:t>62</w:t>
      </w:r>
      <w:r>
        <w:rPr>
          <w:rFonts w:ascii="Book Antiqua" w:hAnsi="Book Antiqua"/>
        </w:rPr>
        <w:t>: 977-986 [PMID: 23209189 DOI: 10.2337/db12-0406]</w:t>
      </w:r>
    </w:p>
    <w:p w14:paraId="53AA2D33" w14:textId="77777777" w:rsidR="00BA6BF8" w:rsidRDefault="00000000">
      <w:pPr>
        <w:spacing w:line="360" w:lineRule="auto"/>
        <w:jc w:val="both"/>
        <w:rPr>
          <w:rFonts w:ascii="Book Antiqua" w:hAnsi="Book Antiqua"/>
        </w:rPr>
      </w:pPr>
      <w:r>
        <w:rPr>
          <w:rFonts w:ascii="Book Antiqua" w:hAnsi="Book Antiqua"/>
        </w:rPr>
        <w:t xml:space="preserve">68 </w:t>
      </w:r>
      <w:r>
        <w:rPr>
          <w:rFonts w:ascii="Book Antiqua" w:hAnsi="Book Antiqua"/>
          <w:b/>
          <w:bCs/>
        </w:rPr>
        <w:t>Steinthorsdottir V</w:t>
      </w:r>
      <w:r>
        <w:rPr>
          <w:rFonts w:ascii="Book Antiqua" w:hAnsi="Book Antiqua"/>
        </w:rPr>
        <w:t xml:space="preserve">, Thorleifsson G, Sulem P, Helgason H, Grarup N, Sigurdsson A, Helgadottir HT, Johannsdottir H, Magnusson OT, Gudjonsson SA, Justesen JM, Harder MN, Jørgensen ME, Christensen C, Brandslund I, Sandbæk A, Lauritzen T, Vestergaard H, Linneberg A, Jørgensen T, Hansen T, Daneshpour MS, Fallah MS, Hreidarsson AB, Sigurdsson G, Azizi F, Benediktsson R, Masson G, Helgason A, Kong A, Gudbjartsson DF, Pedersen O, Thorsteinsdottir U, Stefansson K. Identification of low-frequency and </w:t>
      </w:r>
      <w:r>
        <w:rPr>
          <w:rFonts w:ascii="Book Antiqua" w:hAnsi="Book Antiqua"/>
        </w:rPr>
        <w:lastRenderedPageBreak/>
        <w:t xml:space="preserve">rare sequence variants associated with elevated or reduced risk of type 2 diabetes. </w:t>
      </w:r>
      <w:r>
        <w:rPr>
          <w:rFonts w:ascii="Book Antiqua" w:hAnsi="Book Antiqua"/>
          <w:i/>
          <w:iCs/>
        </w:rPr>
        <w:t>Nat Genet</w:t>
      </w:r>
      <w:r>
        <w:rPr>
          <w:rFonts w:ascii="Book Antiqua" w:hAnsi="Book Antiqua"/>
        </w:rPr>
        <w:t xml:space="preserve"> 2014; </w:t>
      </w:r>
      <w:r>
        <w:rPr>
          <w:rFonts w:ascii="Book Antiqua" w:hAnsi="Book Antiqua"/>
          <w:b/>
          <w:bCs/>
        </w:rPr>
        <w:t>46</w:t>
      </w:r>
      <w:r>
        <w:rPr>
          <w:rFonts w:ascii="Book Antiqua" w:hAnsi="Book Antiqua"/>
        </w:rPr>
        <w:t>: 294-298 [PMID: 24464100 DOI: 10.1038/ng.2882]</w:t>
      </w:r>
    </w:p>
    <w:p w14:paraId="4294CFB9" w14:textId="77777777" w:rsidR="00BA6BF8" w:rsidRDefault="00000000">
      <w:pPr>
        <w:spacing w:line="360" w:lineRule="auto"/>
        <w:jc w:val="both"/>
        <w:rPr>
          <w:rFonts w:ascii="Book Antiqua" w:hAnsi="Book Antiqua"/>
        </w:rPr>
      </w:pPr>
      <w:r>
        <w:rPr>
          <w:rFonts w:ascii="Book Antiqua" w:hAnsi="Book Antiqua"/>
        </w:rPr>
        <w:t xml:space="preserve">69 </w:t>
      </w:r>
      <w:r>
        <w:rPr>
          <w:rFonts w:ascii="Book Antiqua" w:hAnsi="Book Antiqua"/>
          <w:b/>
          <w:bCs/>
        </w:rPr>
        <w:t>Go MJ</w:t>
      </w:r>
      <w:r>
        <w:rPr>
          <w:rFonts w:ascii="Book Antiqua" w:hAnsi="Book Antiqua"/>
        </w:rPr>
        <w:t xml:space="preserve">, Lee Y, Park S, Kwak SH, Kim BJ, Lee J. Genetic-risk assessment of GWAS-derived susceptibility loci for type 2 diabetes in a 10 year follow-up of a population-based cohort study. </w:t>
      </w:r>
      <w:r>
        <w:rPr>
          <w:rFonts w:ascii="Book Antiqua" w:hAnsi="Book Antiqua"/>
          <w:i/>
          <w:iCs/>
        </w:rPr>
        <w:t>J Hum Genet</w:t>
      </w:r>
      <w:r>
        <w:rPr>
          <w:rFonts w:ascii="Book Antiqua" w:hAnsi="Book Antiqua"/>
        </w:rPr>
        <w:t xml:space="preserve"> 2016; </w:t>
      </w:r>
      <w:r>
        <w:rPr>
          <w:rFonts w:ascii="Book Antiqua" w:hAnsi="Book Antiqua"/>
          <w:b/>
          <w:bCs/>
        </w:rPr>
        <w:t>61</w:t>
      </w:r>
      <w:r>
        <w:rPr>
          <w:rFonts w:ascii="Book Antiqua" w:hAnsi="Book Antiqua"/>
        </w:rPr>
        <w:t>: 1009-1012 [PMID: 27439680 DOI: 10.1038/jhg.2016.93]</w:t>
      </w:r>
    </w:p>
    <w:p w14:paraId="61F1D003" w14:textId="77777777" w:rsidR="00BA6BF8" w:rsidRDefault="00000000">
      <w:pPr>
        <w:spacing w:line="360" w:lineRule="auto"/>
        <w:jc w:val="both"/>
        <w:rPr>
          <w:rFonts w:ascii="Book Antiqua" w:hAnsi="Book Antiqua"/>
        </w:rPr>
      </w:pPr>
      <w:r>
        <w:rPr>
          <w:rFonts w:ascii="Book Antiqua" w:hAnsi="Book Antiqua"/>
        </w:rPr>
        <w:t xml:space="preserve">70 </w:t>
      </w:r>
      <w:r>
        <w:rPr>
          <w:rFonts w:ascii="Book Antiqua" w:hAnsi="Book Antiqua"/>
          <w:b/>
          <w:bCs/>
        </w:rPr>
        <w:t>Fuchsberger C</w:t>
      </w:r>
      <w:r>
        <w:rPr>
          <w:rFonts w:ascii="Book Antiqua" w:hAnsi="Book Antiqua"/>
        </w:rPr>
        <w:t xml:space="preserve">, Flannick J, Teslovich TM, Mahajan A, Agarwala V, Gaulton KJ, Ma C, Fontanillas P, Moutsianas L, McCarthy DJ, Rivas MA, Perry JRB, Sim X, Blackwell TW, Robertson NR, Rayner NW, Cingolani P, Locke AE, Tajes JF, Highland HM, Dupuis J, Chines PS, Lindgren CM, Hartl C, Jackson AU, Chen H, Huyghe JR, van de Bunt M, Pearson RD, Kumar A, Müller-Nurasyid M, Grarup N, Stringham HM, Gamazon ER, Lee J, Chen Y, Scott RA, Below JE, Chen P, Huang J, Go MJ, Stitzel ML, Pasko D, Parker SCJ, Varga TV, Green T, Beer NL, Day-Williams AG, Ferreira T, Fingerlin T, Horikoshi M, Hu C, Huh I, Ikram MK, Kim BJ, Kim Y, Kim YJ, Kwon MS, Lee J, Lee S, Lin KH, Maxwell TJ, Nagai Y, Wang X, Welch RP, Yoon J, Zhang W, Barzilai N, Voight BF, Han BG, Jenkinson CP, Kuulasmaa T, Kuusisto J, Manning A, Ng MCY, Palmer ND, Balkau B, Stančáková A, Abboud HE, Boeing H, Giedraitis V, Prabhakaran D, Gottesman O, Scott J, Carey J, Kwan P, Grant G, Smith JD, Neale BM, Purcell S, Butterworth AS, Howson JMM, Lee HM, Lu Y, Kwak SH, Zhao W, Danesh J, Lam VKL, Park KS, Saleheen D, So WY, Tam CHT, Afzal U, Aguilar D, Arya R, Aung T, Chan E, Navarro C, Cheng CY, Palli D, Correa A, Curran JE, Rybin D, Farook VS, Fowler SP, Freedman BI, Griswold M, Hale DE, Hicks PJ, Khor CC, Kumar S, Lehne B, Thuillier D, Lim WY, Liu J, van der Schouw YT, Loh M, Musani SK, Puppala S, Scott WR, Yengo L, Tan ST, Taylor HA Jr, Thameem F, Wilson G Sr, Wong TY, Njølstad PR, Levy JC, Mangino M, Bonnycastle LL, Schwarzmayr T, Fadista J, Surdulescu GL, Herder C, Groves CJ, Wieland T, Bork-Jensen J, Brandslund I, Christensen C, Koistinen HA, Doney ASF, Kinnunen L, Esko T, Farmer AJ, Hakaste L, Hodgkiss D, Kravic J, Lyssenko V, Hollensted M, Jørgensen ME, Jørgensen T, Ladenvall C, Justesen JM, Käräjämäki A, Kriebel J, Rathmann W, Lannfelt L, Lauritzen T, Narisu N, Linneberg A, Melander O, Milani L, Neville M, Orho-Melander M, Qi L, Qi Q, Roden M, Rolandsson O, Swift A, Rosengren AH, Stirrups K, Wood AR, Mihailov E, Blancher C, </w:t>
      </w:r>
      <w:r>
        <w:rPr>
          <w:rFonts w:ascii="Book Antiqua" w:hAnsi="Book Antiqua"/>
        </w:rPr>
        <w:lastRenderedPageBreak/>
        <w:t xml:space="preserve">Carneiro MO, Maguire J, Poplin R, Shakir K, Fennell T, DePristo M, de Angelis MH, Deloukas P, Gjesing AP, Jun G, Nilsson P, Murphy J, Onofrio R, Thorand B, Hansen T, Meisinger C, Hu FB, Isomaa B, Karpe F, Liang L, Peters A, Huth C, O'Rahilly SP, Palmer CNA, Pedersen O, Rauramaa R, Tuomilehto J, Salomaa V, Watanabe RM, Syvänen AC, Bergman RN, Bharadwaj D, Bottinger EP, Cho YS, Chandak GR, Chan JCN, Chia KS, Daly MJ, Ebrahim SB, Langenberg C, Elliott P, Jablonski KA, Lehman DM, Jia W, Ma RCW, Pollin TI, Sandhu M, Tandon N, Froguel P, Barroso I, Teo YY, Zeggini E, Loos RJF, Small KS, Ried JS, DeFronzo RA, Grallert H, Glaser B, Metspalu A, Wareham NJ, Walker M, Banks E, Gieger C, Ingelsson E, Im HK, Illig T, Franks PW, Buck G, Trakalo J, Buck D, Prokopenko I, Mägi R, Lind L, Farjoun Y, Owen KR, Gloyn AL, Strauch K, Tuomi T, Kooner JS, Lee JY, Park T, Donnelly P, Morris AD, Hattersley AT, Bowden DW, Collins FS, Atzmon G, Chambers JC, Spector TD, Laakso M, Strom TM, Bell GI, Blangero J, Duggirala R, Tai ES, McVean G, Hanis CL, Wilson JG, Seielstad M, Frayling TM, Meigs JB, Cox NJ, Sladek R, Lander ES, Gabriel S, Burtt NP, Mohlke KL, Meitinger T, Groop L, Abecasis G, Florez JC, Scott LJ, Morris AP, Kang HM, Boehnke M, Altshuler D, McCarthy MI. The genetic architecture of type 2 diabetes. </w:t>
      </w:r>
      <w:r>
        <w:rPr>
          <w:rFonts w:ascii="Book Antiqua" w:hAnsi="Book Antiqua"/>
          <w:i/>
          <w:iCs/>
        </w:rPr>
        <w:t>Nature</w:t>
      </w:r>
      <w:r>
        <w:rPr>
          <w:rFonts w:ascii="Book Antiqua" w:hAnsi="Book Antiqua"/>
        </w:rPr>
        <w:t xml:space="preserve"> 2016; </w:t>
      </w:r>
      <w:r>
        <w:rPr>
          <w:rFonts w:ascii="Book Antiqua" w:hAnsi="Book Antiqua"/>
          <w:b/>
          <w:bCs/>
        </w:rPr>
        <w:t>536</w:t>
      </w:r>
      <w:r>
        <w:rPr>
          <w:rFonts w:ascii="Book Antiqua" w:hAnsi="Book Antiqua"/>
        </w:rPr>
        <w:t>: 41-47 [PMID: 27398621 DOI: 10.1038/nature18642]</w:t>
      </w:r>
    </w:p>
    <w:p w14:paraId="14C5DAD5" w14:textId="77777777" w:rsidR="00BA6BF8" w:rsidRDefault="00000000">
      <w:pPr>
        <w:spacing w:line="360" w:lineRule="auto"/>
        <w:jc w:val="both"/>
        <w:rPr>
          <w:rFonts w:ascii="Book Antiqua" w:hAnsi="Book Antiqua"/>
        </w:rPr>
      </w:pPr>
      <w:r>
        <w:rPr>
          <w:rFonts w:ascii="Book Antiqua" w:hAnsi="Book Antiqua"/>
        </w:rPr>
        <w:t xml:space="preserve">71 </w:t>
      </w:r>
      <w:r>
        <w:rPr>
          <w:rFonts w:ascii="Book Antiqua" w:hAnsi="Book Antiqua"/>
          <w:b/>
          <w:bCs/>
        </w:rPr>
        <w:t>Wang X</w:t>
      </w:r>
      <w:r>
        <w:rPr>
          <w:rFonts w:ascii="Book Antiqua" w:hAnsi="Book Antiqua"/>
        </w:rPr>
        <w:t xml:space="preserve">, Strizich G, Hu Y, Wang T, Kaplan RC, Qi Q. Genetic markers of type 2 diabetes: Progress in genome-wide association studies and clinical application for risk prediction. </w:t>
      </w:r>
      <w:r>
        <w:rPr>
          <w:rFonts w:ascii="Book Antiqua" w:hAnsi="Book Antiqua"/>
          <w:i/>
          <w:iCs/>
        </w:rPr>
        <w:t>J Diabetes</w:t>
      </w:r>
      <w:r>
        <w:rPr>
          <w:rFonts w:ascii="Book Antiqua" w:hAnsi="Book Antiqua"/>
        </w:rPr>
        <w:t xml:space="preserve"> 2016; </w:t>
      </w:r>
      <w:r>
        <w:rPr>
          <w:rFonts w:ascii="Book Antiqua" w:hAnsi="Book Antiqua"/>
          <w:b/>
          <w:bCs/>
        </w:rPr>
        <w:t>8</w:t>
      </w:r>
      <w:r>
        <w:rPr>
          <w:rFonts w:ascii="Book Antiqua" w:hAnsi="Book Antiqua"/>
        </w:rPr>
        <w:t>: 24-35 [PMID: 26119161 DOI: 10.1111/1753-0407.12323]</w:t>
      </w:r>
    </w:p>
    <w:p w14:paraId="0568EBC2" w14:textId="77777777" w:rsidR="00BA6BF8" w:rsidRDefault="00000000">
      <w:pPr>
        <w:spacing w:line="360" w:lineRule="auto"/>
        <w:jc w:val="both"/>
        <w:rPr>
          <w:rFonts w:ascii="Book Antiqua" w:hAnsi="Book Antiqua"/>
        </w:rPr>
      </w:pPr>
      <w:r>
        <w:rPr>
          <w:rFonts w:ascii="Book Antiqua" w:hAnsi="Book Antiqua"/>
        </w:rPr>
        <w:t xml:space="preserve">72 </w:t>
      </w:r>
      <w:r>
        <w:rPr>
          <w:rFonts w:ascii="Book Antiqua" w:hAnsi="Book Antiqua"/>
          <w:b/>
          <w:bCs/>
        </w:rPr>
        <w:t>Scott RA</w:t>
      </w:r>
      <w:r>
        <w:rPr>
          <w:rFonts w:ascii="Book Antiqua" w:hAnsi="Book Antiqua"/>
        </w:rPr>
        <w:t xml:space="preserve">, Scott LJ, Mägi R, Marullo L, Gaulton KJ, Kaakinen M, Pervjakova N, Pers TH, Johnson AD, Eicher JD, Jackson AU, Ferreira T, Lee Y, Ma C, Steinthorsdottir V, Thorleifsson G, Qi L, Van Zuydam NR, Mahajan A, Chen H, Almgren P, Voight BF, Grallert H, Müller-Nurasyid M, Ried JS, Rayner NW, Robertson N, Karssen LC, van Leeuwen EM, Willems SM, Fuchsberger C, Kwan P, Teslovich TM, Chanda P, Li M, Lu Y, Dina C, Thuillier D, Yengo L, Jiang L, Sparso T, Kestler HA, Chheda H, Eisele L, Gustafsson S, Frånberg M, Strawbridge RJ, Benediktsson R, Hreidarsson AB, Kong A, Sigurðsson G, Kerrison ND, Luan J, Liang L, Meitinger T, Roden M, Thorand B, Esko T, Mihailov E, Fox C, Liu CT, Rybin D, Isomaa B, Lyssenko V, Tuomi T, Couper DJ, Pankow </w:t>
      </w:r>
      <w:r>
        <w:rPr>
          <w:rFonts w:ascii="Book Antiqua" w:hAnsi="Book Antiqua"/>
        </w:rPr>
        <w:lastRenderedPageBreak/>
        <w:t>JS, Grarup N, Have CT, Jørgensen ME, Jørgensen T, Linneberg A, Cornelis MC, van Dam RM, Hunter DJ, Kraft P, Sun Q, Edkins S, Owen KR, Perry JRB, Wood AR, Zeggini E, Tajes-Fernandes J, Abecasis GR, Bonnycastle LL, Chines PS, Stringham HM, Koistinen HA, Kinnunen L, Sennblad B, Mühleisen TW, Nöthen MM, Pechlivanis S, Baldassarre D, Gertow K, Humphries SE, Tremoli E, Klopp N, Meyer J, Steinbach G, Wennauer R, Eriksson JG, M</w:t>
      </w:r>
      <w:r>
        <w:rPr>
          <w:rFonts w:ascii="Cambria" w:hAnsi="Cambria" w:cs="Cambria"/>
        </w:rPr>
        <w:t>ӓ</w:t>
      </w:r>
      <w:r>
        <w:rPr>
          <w:rFonts w:ascii="Book Antiqua" w:hAnsi="Book Antiqua"/>
        </w:rPr>
        <w:t>nnist</w:t>
      </w:r>
      <w:r>
        <w:rPr>
          <w:rFonts w:ascii="Book Antiqua" w:hAnsi="Book Antiqua" w:cs="Book Antiqua"/>
        </w:rPr>
        <w:t>ö</w:t>
      </w:r>
      <w:r>
        <w:rPr>
          <w:rFonts w:ascii="Book Antiqua" w:hAnsi="Book Antiqua"/>
        </w:rPr>
        <w:t xml:space="preserve"> S, Peltonen L, Tikkanen E, Charpentier G, Eury E, Lobbens S, Gigante B, Leander K, McLeod O, Bottinger EP, Gottesman O, Ruderfer D, Blüher M, Kovacs P, Tonjes A, Maruthur NM, Scapoli C, Erbel R, Jöckel KH, Moebus S, de Faire U, Hamsten A, Stumvoll M, Deloukas P, Donnelly PJ, Frayling TM, Hattersley AT, Ripatti S, Salomaa V, Pedersen NL, Boehm BO, Bergman RN, Collins FS, Mohlke KL, Tuomilehto J, Hansen T, Pedersen O, Barroso I, Lannfelt L, Ingelsson E, Lind L, Lindgren CM, Cauchi S, Froguel P, Loos RJF, Balkau B, Boeing H, Franks PW, Barricarte Gurrea A, Palli D, van der Schouw YT, Altshuler D, Groop LC, Langenberg C, Wareham NJ, Sijbrands E, van Duijn CM, Florez JC, Meigs JB, Boerwinkle E, Gieger C, Strauch K, Metspalu A, Morris AD, Palmer CNA, Hu FB, Thorsteinsdottir U, Stefansson K, Dupuis J, Morris AP, Boehnke M, McCarthy MI, Prokopenko I; DIAbetes Genetics Replication And Meta-analysis (DIAGRAM) Consortium. An Expanded Genome-Wide Association Study of Type 2 Diabetes in Europeans. </w:t>
      </w:r>
      <w:r>
        <w:rPr>
          <w:rFonts w:ascii="Book Antiqua" w:hAnsi="Book Antiqua"/>
          <w:i/>
          <w:iCs/>
        </w:rPr>
        <w:t>Diabetes</w:t>
      </w:r>
      <w:r>
        <w:rPr>
          <w:rFonts w:ascii="Book Antiqua" w:hAnsi="Book Antiqua"/>
        </w:rPr>
        <w:t xml:space="preserve"> 2017; </w:t>
      </w:r>
      <w:r>
        <w:rPr>
          <w:rFonts w:ascii="Book Antiqua" w:hAnsi="Book Antiqua"/>
          <w:b/>
          <w:bCs/>
        </w:rPr>
        <w:t>66</w:t>
      </w:r>
      <w:r>
        <w:rPr>
          <w:rFonts w:ascii="Book Antiqua" w:hAnsi="Book Antiqua"/>
        </w:rPr>
        <w:t>: 2888-2902 [PMID: 28566273 DOI: 10.2337/db16-1253]</w:t>
      </w:r>
    </w:p>
    <w:p w14:paraId="252924CE" w14:textId="77777777" w:rsidR="00BA6BF8" w:rsidRDefault="00000000">
      <w:pPr>
        <w:spacing w:line="360" w:lineRule="auto"/>
        <w:jc w:val="both"/>
        <w:rPr>
          <w:rFonts w:ascii="Book Antiqua" w:hAnsi="Book Antiqua"/>
        </w:rPr>
      </w:pPr>
      <w:r>
        <w:rPr>
          <w:rFonts w:ascii="Book Antiqua" w:hAnsi="Book Antiqua"/>
        </w:rPr>
        <w:t xml:space="preserve">73 </w:t>
      </w:r>
      <w:r>
        <w:rPr>
          <w:rFonts w:ascii="Book Antiqua" w:hAnsi="Book Antiqua"/>
          <w:b/>
          <w:bCs/>
        </w:rPr>
        <w:t>Onengut-Gumuscu S</w:t>
      </w:r>
      <w:r>
        <w:rPr>
          <w:rFonts w:ascii="Book Antiqua" w:hAnsi="Book Antiqua"/>
        </w:rPr>
        <w:t xml:space="preserve">, Chen WM, Burren O, Cooper NJ, Quinlan AR, Mychaleckyj JC, Farber E, Bonnie JK, Szpak M, Schofield E, Achuthan P, Guo H, Fortune MD, Stevens H, Walker NM, Ward LD, Kundaje A, Kellis M, Daly MJ, Barrett JC, Cooper JD, Deloukas P; Type 1 Diabetes Genetics Consortium, Todd JA, Wallace C, Concannon P, Rich SS. Fine mapping of type 1 diabetes susceptibility loci and evidence for colocalization of causal variants with lymphoid gene enhancers. </w:t>
      </w:r>
      <w:r>
        <w:rPr>
          <w:rFonts w:ascii="Book Antiqua" w:hAnsi="Book Antiqua"/>
          <w:i/>
          <w:iCs/>
        </w:rPr>
        <w:t>Nat Genet</w:t>
      </w:r>
      <w:r>
        <w:rPr>
          <w:rFonts w:ascii="Book Antiqua" w:hAnsi="Book Antiqua"/>
        </w:rPr>
        <w:t xml:space="preserve"> 2015; </w:t>
      </w:r>
      <w:r>
        <w:rPr>
          <w:rFonts w:ascii="Book Antiqua" w:hAnsi="Book Antiqua"/>
          <w:b/>
          <w:bCs/>
        </w:rPr>
        <w:t>47</w:t>
      </w:r>
      <w:r>
        <w:rPr>
          <w:rFonts w:ascii="Book Antiqua" w:hAnsi="Book Antiqua"/>
        </w:rPr>
        <w:t>: 381-386 [PMID: 25751624 DOI: 10.1038/ng.3245]</w:t>
      </w:r>
    </w:p>
    <w:p w14:paraId="3675B692" w14:textId="77777777" w:rsidR="00BA6BF8" w:rsidRDefault="00000000">
      <w:pPr>
        <w:spacing w:line="360" w:lineRule="auto"/>
        <w:jc w:val="both"/>
        <w:rPr>
          <w:rFonts w:ascii="Book Antiqua" w:hAnsi="Book Antiqua"/>
        </w:rPr>
      </w:pPr>
      <w:r>
        <w:rPr>
          <w:rFonts w:ascii="Book Antiqua" w:hAnsi="Book Antiqua"/>
        </w:rPr>
        <w:t xml:space="preserve">74 </w:t>
      </w:r>
      <w:r>
        <w:rPr>
          <w:rFonts w:ascii="Book Antiqua" w:hAnsi="Book Antiqua"/>
          <w:b/>
          <w:bCs/>
        </w:rPr>
        <w:t>Spracklen CN</w:t>
      </w:r>
      <w:r>
        <w:rPr>
          <w:rFonts w:ascii="Book Antiqua" w:hAnsi="Book Antiqua"/>
        </w:rPr>
        <w:t xml:space="preserve">, Horikoshi M, Kim YJ, Lin K, Bragg F, Moon S, Suzuki K, Tam CHT, Tabara Y, Kwak SH, Takeuchi F, Long J, Lim VJY, Chai JF, Chen CH, Nakatochi M, Yao J, Choi HS, Iyengar AK, Perrin HJ, Brotman SM, van de Bunt M, Gloyn AL, Below JE, </w:t>
      </w:r>
      <w:r>
        <w:rPr>
          <w:rFonts w:ascii="Book Antiqua" w:hAnsi="Book Antiqua"/>
        </w:rPr>
        <w:lastRenderedPageBreak/>
        <w:t xml:space="preserve">Boehnke M, Bowden DW, Chambers JC, Mahajan A, McCarthy MI, Ng MCY, Petty LE, Zhang W, Morris AP, Adair LS, Akiyama M, Bian Z, Chan JCN, Chang LC, Chee ML, Chen YI, Chen YT, Chen Z, Chuang LM, Du S, Gordon-Larsen P, Gross M, Guo X, Guo Y, Han S, Howard AG, Huang W, Hung YJ, Hwang MY, Hwu CM, Ichihara S, Isono M, Jang HM, Jiang G, Jonas JB, Kamatani Y, Katsuya T, Kawaguchi T, Khor CC, Kohara K, Lee MS, Lee NR, Li L, Liu J, Luk AO, Lv J, Okada Y, Pereira MA, Sabanayagam C, Shi J, Shin DM, So WY, Takahashi A, Tomlinson B, Tsai FJ, van Dam RM, Xiang YB, Yamamoto K, Yamauchi T, Yoon K, Yu C, Yuan JM, Zhang L, Zheng W, Igase M, Cho YS, Rotter JI, Wang YX, Sheu WHH, Yokota M, Wu JY, Cheng CY, Wong TY, Shu XO, Kato N, Park KS, Tai ES, Matsuda F, Koh WP, Ma RCW, Maeda S, Millwood IY, Lee J, Kadowaki T, Walters RG, Kim BJ, Mohlke KL, Sim X. Identification of type 2 diabetes loci in 433,540 East Asian individuals. </w:t>
      </w:r>
      <w:r>
        <w:rPr>
          <w:rFonts w:ascii="Book Antiqua" w:hAnsi="Book Antiqua"/>
          <w:i/>
          <w:iCs/>
        </w:rPr>
        <w:t>Nature</w:t>
      </w:r>
      <w:r>
        <w:rPr>
          <w:rFonts w:ascii="Book Antiqua" w:hAnsi="Book Antiqua"/>
        </w:rPr>
        <w:t xml:space="preserve"> 2020; </w:t>
      </w:r>
      <w:r>
        <w:rPr>
          <w:rFonts w:ascii="Book Antiqua" w:hAnsi="Book Antiqua"/>
          <w:b/>
          <w:bCs/>
        </w:rPr>
        <w:t>582</w:t>
      </w:r>
      <w:r>
        <w:rPr>
          <w:rFonts w:ascii="Book Antiqua" w:hAnsi="Book Antiqua"/>
        </w:rPr>
        <w:t>: 240-245 [PMID: 32499647 DOI: 10.1038/s41586-020-2263-3]</w:t>
      </w:r>
    </w:p>
    <w:p w14:paraId="5CE9E0AB" w14:textId="77777777" w:rsidR="00BA6BF8" w:rsidRDefault="00000000">
      <w:pPr>
        <w:spacing w:line="360" w:lineRule="auto"/>
        <w:jc w:val="both"/>
        <w:rPr>
          <w:rFonts w:ascii="Book Antiqua" w:hAnsi="Book Antiqua"/>
        </w:rPr>
      </w:pPr>
      <w:r>
        <w:rPr>
          <w:rFonts w:ascii="Book Antiqua" w:hAnsi="Book Antiqua"/>
        </w:rPr>
        <w:t xml:space="preserve">75 </w:t>
      </w:r>
      <w:r>
        <w:rPr>
          <w:rFonts w:ascii="Book Antiqua" w:hAnsi="Book Antiqua"/>
          <w:b/>
          <w:bCs/>
        </w:rPr>
        <w:t>Visscher PM</w:t>
      </w:r>
      <w:r>
        <w:rPr>
          <w:rFonts w:ascii="Book Antiqua" w:hAnsi="Book Antiqua"/>
        </w:rPr>
        <w:t xml:space="preserve">, Wray NR, Zhang Q, Sklar P, McCarthy MI, Brown MA, Yang J. 10 Years of GWAS Discovery: Biology, Function, and Translation. </w:t>
      </w:r>
      <w:r>
        <w:rPr>
          <w:rFonts w:ascii="Book Antiqua" w:hAnsi="Book Antiqua"/>
          <w:i/>
          <w:iCs/>
        </w:rPr>
        <w:t>Am J Hum Genet</w:t>
      </w:r>
      <w:r>
        <w:rPr>
          <w:rFonts w:ascii="Book Antiqua" w:hAnsi="Book Antiqua"/>
        </w:rPr>
        <w:t xml:space="preserve"> 2017; </w:t>
      </w:r>
      <w:r>
        <w:rPr>
          <w:rFonts w:ascii="Book Antiqua" w:hAnsi="Book Antiqua"/>
          <w:b/>
          <w:bCs/>
        </w:rPr>
        <w:t>101</w:t>
      </w:r>
      <w:r>
        <w:rPr>
          <w:rFonts w:ascii="Book Antiqua" w:hAnsi="Book Antiqua"/>
        </w:rPr>
        <w:t>: 5-22 [PMID: 28686856 DOI: 10.1016/j.ajhg.2017.06.005]</w:t>
      </w:r>
    </w:p>
    <w:p w14:paraId="135CF3F7" w14:textId="77777777" w:rsidR="00BA6BF8" w:rsidRDefault="00000000">
      <w:pPr>
        <w:spacing w:line="360" w:lineRule="auto"/>
        <w:jc w:val="both"/>
        <w:rPr>
          <w:rFonts w:ascii="Book Antiqua" w:hAnsi="Book Antiqua"/>
        </w:rPr>
      </w:pPr>
      <w:r>
        <w:rPr>
          <w:rFonts w:ascii="Book Antiqua" w:hAnsi="Book Antiqua"/>
        </w:rPr>
        <w:t xml:space="preserve">76 </w:t>
      </w:r>
      <w:r>
        <w:rPr>
          <w:rFonts w:ascii="Book Antiqua" w:hAnsi="Book Antiqua"/>
          <w:b/>
          <w:bCs/>
        </w:rPr>
        <w:t>Schork NJ</w:t>
      </w:r>
      <w:r>
        <w:rPr>
          <w:rFonts w:ascii="Book Antiqua" w:hAnsi="Book Antiqua"/>
        </w:rPr>
        <w:t xml:space="preserve">, Murray SS, Frazer KA, Topol EJ. Common vs. rare allele hypotheses for complex diseases. </w:t>
      </w:r>
      <w:r>
        <w:rPr>
          <w:rFonts w:ascii="Book Antiqua" w:hAnsi="Book Antiqua"/>
          <w:i/>
          <w:iCs/>
        </w:rPr>
        <w:t>Curr Opin Genet Dev</w:t>
      </w:r>
      <w:r>
        <w:rPr>
          <w:rFonts w:ascii="Book Antiqua" w:hAnsi="Book Antiqua"/>
        </w:rPr>
        <w:t xml:space="preserve"> 2009; </w:t>
      </w:r>
      <w:r>
        <w:rPr>
          <w:rFonts w:ascii="Book Antiqua" w:hAnsi="Book Antiqua"/>
          <w:b/>
          <w:bCs/>
        </w:rPr>
        <w:t>19</w:t>
      </w:r>
      <w:r>
        <w:rPr>
          <w:rFonts w:ascii="Book Antiqua" w:hAnsi="Book Antiqua"/>
        </w:rPr>
        <w:t>: 212-219 [PMID: 19481926 DOI: 10.1016/j.gde.2009.04.010]</w:t>
      </w:r>
    </w:p>
    <w:p w14:paraId="7007F729" w14:textId="77777777" w:rsidR="00BA6BF8" w:rsidRDefault="00000000">
      <w:pPr>
        <w:spacing w:line="360" w:lineRule="auto"/>
        <w:jc w:val="both"/>
        <w:rPr>
          <w:rFonts w:ascii="Book Antiqua" w:hAnsi="Book Antiqua"/>
        </w:rPr>
      </w:pPr>
      <w:r>
        <w:rPr>
          <w:rFonts w:ascii="Book Antiqua" w:hAnsi="Book Antiqua"/>
        </w:rPr>
        <w:t xml:space="preserve">77 </w:t>
      </w:r>
      <w:r>
        <w:rPr>
          <w:rFonts w:ascii="Book Antiqua" w:hAnsi="Book Antiqua"/>
          <w:b/>
          <w:bCs/>
        </w:rPr>
        <w:t>Huyghe JR</w:t>
      </w:r>
      <w:r>
        <w:rPr>
          <w:rFonts w:ascii="Book Antiqua" w:hAnsi="Book Antiqua"/>
        </w:rPr>
        <w:t xml:space="preserve">, Jackson AU, Fogarty MP, Buchkovich ML, Stančáková A, Stringham HM, Sim X, Yang L, Fuchsberger C, Cederberg H, Chines PS, Teslovich TM, Romm JM, Ling H, McMullen I, Ingersoll R, Pugh EW, Doheny KF, Neale BM, Daly MJ, Kuusisto J, Scott LJ, Kang HM, Collins FS, Abecasis GR, Watanabe RM, Boehnke M, Laakso M, Mohlke KL. Exome array analysis identifies new loci and low-frequency variants influencing insulin processing and secretion. </w:t>
      </w:r>
      <w:r>
        <w:rPr>
          <w:rFonts w:ascii="Book Antiqua" w:hAnsi="Book Antiqua"/>
          <w:i/>
          <w:iCs/>
        </w:rPr>
        <w:t>Nat Genet</w:t>
      </w:r>
      <w:r>
        <w:rPr>
          <w:rFonts w:ascii="Book Antiqua" w:hAnsi="Book Antiqua"/>
        </w:rPr>
        <w:t xml:space="preserve"> 2013; </w:t>
      </w:r>
      <w:r>
        <w:rPr>
          <w:rFonts w:ascii="Book Antiqua" w:hAnsi="Book Antiqua"/>
          <w:b/>
          <w:bCs/>
        </w:rPr>
        <w:t>45</w:t>
      </w:r>
      <w:r>
        <w:rPr>
          <w:rFonts w:ascii="Book Antiqua" w:hAnsi="Book Antiqua"/>
        </w:rPr>
        <w:t>: 197-201 [PMID: 23263489 DOI: 10.1038/ng.2507]</w:t>
      </w:r>
    </w:p>
    <w:p w14:paraId="7CA1D514" w14:textId="77777777" w:rsidR="00BA6BF8" w:rsidRDefault="00000000">
      <w:pPr>
        <w:spacing w:line="360" w:lineRule="auto"/>
        <w:jc w:val="both"/>
        <w:rPr>
          <w:rFonts w:ascii="Book Antiqua" w:hAnsi="Book Antiqua"/>
        </w:rPr>
      </w:pPr>
      <w:r>
        <w:rPr>
          <w:rFonts w:ascii="Book Antiqua" w:hAnsi="Book Antiqua"/>
        </w:rPr>
        <w:t xml:space="preserve">78 </w:t>
      </w:r>
      <w:r>
        <w:rPr>
          <w:rFonts w:ascii="Book Antiqua" w:hAnsi="Book Antiqua"/>
          <w:b/>
          <w:bCs/>
        </w:rPr>
        <w:t>Estrada K</w:t>
      </w:r>
      <w:r>
        <w:rPr>
          <w:rFonts w:ascii="Book Antiqua" w:hAnsi="Book Antiqua"/>
        </w:rPr>
        <w:t xml:space="preserve">, Aukrust I, Bjørkhaug L, Burtt NP, Mercader JM, García-Ortiz H, Huerta-Chagoya A, Moreno-Macías H, Walford G, Flannick J, Williams AL, Gómez-Vázquez MJ, Fernandez-Lopez JC, Martínez-Hernández A, Jiménez-Morales S, Centeno-Cruz F, Mendoza-Caamal E, Revilla-Monsalve C, Islas-Andrade S, Córdova EJ, Soberón X, </w:t>
      </w:r>
      <w:r>
        <w:rPr>
          <w:rFonts w:ascii="Book Antiqua" w:hAnsi="Book Antiqua"/>
        </w:rPr>
        <w:lastRenderedPageBreak/>
        <w:t>González-Villalpando ME, Henderson E, Wilkens LR, Le Marchand L, Arellano-Campos O, Ordóñez-Sánchez ML, Rodríguez-Torres M, Rodríguez-Guillén R, Riba L, Najmi LA, Jacobs SB, Fennell T, Gabriel S, Fontanillas P, Hanis CL, Lehman DM, Jenkinson CP, Abboud HE, Bell GI, Cortes ML, Boehnke M, González-Villalpando C, Orozco L, Haiman CA, Tusié-Luna T, Aguilar-Salinas CA, Altshuler D, Njølstad PR, Florez JC, MacArthur DG,</w:t>
      </w:r>
      <w:r>
        <w:rPr>
          <w:rFonts w:ascii="Book Antiqua" w:hAnsi="Book Antiqua"/>
          <w:b/>
          <w:bCs/>
        </w:rPr>
        <w:t xml:space="preserve"> </w:t>
      </w:r>
      <w:r>
        <w:rPr>
          <w:rFonts w:ascii="Book Antiqua" w:hAnsi="Book Antiqua"/>
        </w:rPr>
        <w:t xml:space="preserve">SIGMA Type 2 Diabetes Consortium. Association of a low-frequency variant in HNF1A with type 2 diabetes in a Latino population. </w:t>
      </w:r>
      <w:r>
        <w:rPr>
          <w:rFonts w:ascii="Book Antiqua" w:hAnsi="Book Antiqua"/>
          <w:i/>
          <w:iCs/>
        </w:rPr>
        <w:t>JAMA</w:t>
      </w:r>
      <w:r>
        <w:rPr>
          <w:rFonts w:ascii="Book Antiqua" w:hAnsi="Book Antiqua"/>
        </w:rPr>
        <w:t xml:space="preserve"> 2014; </w:t>
      </w:r>
      <w:r>
        <w:rPr>
          <w:rFonts w:ascii="Book Antiqua" w:hAnsi="Book Antiqua"/>
          <w:b/>
          <w:bCs/>
        </w:rPr>
        <w:t>311</w:t>
      </w:r>
      <w:r>
        <w:rPr>
          <w:rFonts w:ascii="Book Antiqua" w:hAnsi="Book Antiqua"/>
        </w:rPr>
        <w:t>: 2305-2314 [PMID: 24915262 DOI: 10.1001/jama.2014.6511]</w:t>
      </w:r>
    </w:p>
    <w:p w14:paraId="677863C3" w14:textId="77777777" w:rsidR="00BA6BF8" w:rsidRDefault="00000000">
      <w:pPr>
        <w:spacing w:line="360" w:lineRule="auto"/>
        <w:jc w:val="both"/>
        <w:rPr>
          <w:rFonts w:ascii="Book Antiqua" w:hAnsi="Book Antiqua"/>
        </w:rPr>
      </w:pPr>
      <w:r>
        <w:rPr>
          <w:rFonts w:ascii="Book Antiqua" w:hAnsi="Book Antiqua"/>
        </w:rPr>
        <w:t xml:space="preserve">79 </w:t>
      </w:r>
      <w:r>
        <w:rPr>
          <w:rFonts w:ascii="Book Antiqua" w:hAnsi="Book Antiqua"/>
          <w:b/>
          <w:bCs/>
        </w:rPr>
        <w:t>Nejentsev S</w:t>
      </w:r>
      <w:r>
        <w:rPr>
          <w:rFonts w:ascii="Book Antiqua" w:hAnsi="Book Antiqua"/>
        </w:rPr>
        <w:t xml:space="preserve">, Walker N, Riches D, Egholm M, Todd JA. Rare variants of IFIH1, a gene implicated in antiviral responses, protect against type 1 diabetes. </w:t>
      </w:r>
      <w:r>
        <w:rPr>
          <w:rFonts w:ascii="Book Antiqua" w:hAnsi="Book Antiqua"/>
          <w:i/>
          <w:iCs/>
        </w:rPr>
        <w:t>Science</w:t>
      </w:r>
      <w:r>
        <w:rPr>
          <w:rFonts w:ascii="Book Antiqua" w:hAnsi="Book Antiqua"/>
        </w:rPr>
        <w:t xml:space="preserve"> 2009; </w:t>
      </w:r>
      <w:r>
        <w:rPr>
          <w:rFonts w:ascii="Book Antiqua" w:hAnsi="Book Antiqua"/>
          <w:b/>
          <w:bCs/>
        </w:rPr>
        <w:t>324</w:t>
      </w:r>
      <w:r>
        <w:rPr>
          <w:rFonts w:ascii="Book Antiqua" w:hAnsi="Book Antiqua"/>
        </w:rPr>
        <w:t>: 387-389 [PMID: 19264985 DOI: 10.1126/science.1167728]</w:t>
      </w:r>
    </w:p>
    <w:p w14:paraId="109827A7" w14:textId="77777777" w:rsidR="00BA6BF8" w:rsidRDefault="00000000">
      <w:pPr>
        <w:spacing w:line="360" w:lineRule="auto"/>
        <w:jc w:val="both"/>
        <w:rPr>
          <w:rFonts w:ascii="Book Antiqua" w:hAnsi="Book Antiqua"/>
        </w:rPr>
      </w:pPr>
      <w:r>
        <w:rPr>
          <w:rFonts w:ascii="Book Antiqua" w:hAnsi="Book Antiqua"/>
        </w:rPr>
        <w:t xml:space="preserve">80 </w:t>
      </w:r>
      <w:r>
        <w:rPr>
          <w:rFonts w:ascii="Book Antiqua" w:hAnsi="Book Antiqua"/>
          <w:b/>
          <w:bCs/>
        </w:rPr>
        <w:t>Ge Y</w:t>
      </w:r>
      <w:r>
        <w:rPr>
          <w:rFonts w:ascii="Book Antiqua" w:hAnsi="Book Antiqua"/>
        </w:rPr>
        <w:t xml:space="preserve">, Onengut-Gumuscu S, Quinlan AR, Mackey AJ, Wright JA, Buckner JH, Habib T, Rich SS, Concannon P. Targeted Deep Sequencing in Multiple-Affected Sibships of European Ancestry Identifies Rare Deleterious Variants in PTPN22 That Confer Risk for Type 1 Diabetes. </w:t>
      </w:r>
      <w:r>
        <w:rPr>
          <w:rFonts w:ascii="Book Antiqua" w:hAnsi="Book Antiqua"/>
          <w:i/>
          <w:iCs/>
        </w:rPr>
        <w:t>Diabetes</w:t>
      </w:r>
      <w:r>
        <w:rPr>
          <w:rFonts w:ascii="Book Antiqua" w:hAnsi="Book Antiqua"/>
        </w:rPr>
        <w:t xml:space="preserve"> 2016; </w:t>
      </w:r>
      <w:r>
        <w:rPr>
          <w:rFonts w:ascii="Book Antiqua" w:hAnsi="Book Antiqua"/>
          <w:b/>
          <w:bCs/>
        </w:rPr>
        <w:t>65</w:t>
      </w:r>
      <w:r>
        <w:rPr>
          <w:rFonts w:ascii="Book Antiqua" w:hAnsi="Book Antiqua"/>
        </w:rPr>
        <w:t>: 794-802 [PMID: 26631741 DOI: 10.2337/db15-0322]</w:t>
      </w:r>
    </w:p>
    <w:p w14:paraId="3835F627" w14:textId="77777777" w:rsidR="00BA6BF8" w:rsidRDefault="00000000">
      <w:pPr>
        <w:spacing w:line="360" w:lineRule="auto"/>
        <w:jc w:val="both"/>
        <w:rPr>
          <w:rFonts w:ascii="Book Antiqua" w:hAnsi="Book Antiqua"/>
        </w:rPr>
      </w:pPr>
      <w:r>
        <w:rPr>
          <w:rFonts w:ascii="Book Antiqua" w:hAnsi="Book Antiqua"/>
        </w:rPr>
        <w:t xml:space="preserve">81 </w:t>
      </w:r>
      <w:r>
        <w:rPr>
          <w:rFonts w:ascii="Book Antiqua" w:hAnsi="Book Antiqua"/>
          <w:b/>
          <w:bCs/>
        </w:rPr>
        <w:t>Simmons RA</w:t>
      </w:r>
      <w:r>
        <w:rPr>
          <w:rFonts w:ascii="Book Antiqua" w:hAnsi="Book Antiqua"/>
        </w:rPr>
        <w:t xml:space="preserve">. Developmental origins of beta-cell failure in type 2 diabetes: the role of epigenetic mechanisms. </w:t>
      </w:r>
      <w:r>
        <w:rPr>
          <w:rFonts w:ascii="Book Antiqua" w:hAnsi="Book Antiqua"/>
          <w:i/>
          <w:iCs/>
        </w:rPr>
        <w:t>Pediatr Res</w:t>
      </w:r>
      <w:r>
        <w:rPr>
          <w:rFonts w:ascii="Book Antiqua" w:hAnsi="Book Antiqua"/>
        </w:rPr>
        <w:t xml:space="preserve"> 2007; </w:t>
      </w:r>
      <w:r>
        <w:rPr>
          <w:rFonts w:ascii="Book Antiqua" w:hAnsi="Book Antiqua"/>
          <w:b/>
          <w:bCs/>
        </w:rPr>
        <w:t>61</w:t>
      </w:r>
      <w:r>
        <w:rPr>
          <w:rFonts w:ascii="Book Antiqua" w:hAnsi="Book Antiqua"/>
        </w:rPr>
        <w:t>: 64R-67R [PMID: 17413845 DOI: 10.1203/pdr.0b013e3180457623]</w:t>
      </w:r>
    </w:p>
    <w:p w14:paraId="093110C3" w14:textId="77777777" w:rsidR="00BA6BF8" w:rsidRDefault="00000000">
      <w:pPr>
        <w:spacing w:line="360" w:lineRule="auto"/>
        <w:jc w:val="both"/>
        <w:rPr>
          <w:rFonts w:ascii="Book Antiqua" w:hAnsi="Book Antiqua"/>
        </w:rPr>
      </w:pPr>
      <w:r>
        <w:rPr>
          <w:rFonts w:ascii="Book Antiqua" w:hAnsi="Book Antiqua"/>
        </w:rPr>
        <w:t xml:space="preserve">82 </w:t>
      </w:r>
      <w:r>
        <w:rPr>
          <w:rFonts w:ascii="Book Antiqua" w:hAnsi="Book Antiqua"/>
          <w:b/>
          <w:bCs/>
        </w:rPr>
        <w:t>Dabelea D</w:t>
      </w:r>
      <w:r>
        <w:rPr>
          <w:rFonts w:ascii="Book Antiqua" w:hAnsi="Book Antiqua"/>
        </w:rPr>
        <w:t xml:space="preserve">, Hanson RL, Lindsay RS, Pettitt DJ, Imperatore G, Gabir MM, Roumain J, Bennett PH, Knowler WC. Intrauterine exposure to diabetes conveys risks for type 2 diabetes and obesity: a study of discordant sibships. </w:t>
      </w:r>
      <w:r>
        <w:rPr>
          <w:rFonts w:ascii="Book Antiqua" w:hAnsi="Book Antiqua"/>
          <w:i/>
          <w:iCs/>
        </w:rPr>
        <w:t>Diabetes</w:t>
      </w:r>
      <w:r>
        <w:rPr>
          <w:rFonts w:ascii="Book Antiqua" w:hAnsi="Book Antiqua"/>
        </w:rPr>
        <w:t xml:space="preserve"> 2000; </w:t>
      </w:r>
      <w:r>
        <w:rPr>
          <w:rFonts w:ascii="Book Antiqua" w:hAnsi="Book Antiqua"/>
          <w:b/>
          <w:bCs/>
        </w:rPr>
        <w:t>49</w:t>
      </w:r>
      <w:r>
        <w:rPr>
          <w:rFonts w:ascii="Book Antiqua" w:hAnsi="Book Antiqua"/>
        </w:rPr>
        <w:t>: 2208-2211 [PMID: 11118027 DOI: 10.2337/diabetes.49.12.2208]</w:t>
      </w:r>
    </w:p>
    <w:p w14:paraId="3A5CAD1B" w14:textId="77777777" w:rsidR="00BA6BF8" w:rsidRDefault="00000000">
      <w:pPr>
        <w:spacing w:line="360" w:lineRule="auto"/>
        <w:jc w:val="both"/>
        <w:rPr>
          <w:rFonts w:ascii="Book Antiqua" w:hAnsi="Book Antiqua"/>
        </w:rPr>
      </w:pPr>
      <w:r>
        <w:rPr>
          <w:rFonts w:ascii="Book Antiqua" w:hAnsi="Book Antiqua"/>
        </w:rPr>
        <w:t xml:space="preserve">83 </w:t>
      </w:r>
      <w:r>
        <w:rPr>
          <w:rFonts w:ascii="Book Antiqua" w:hAnsi="Book Antiqua"/>
          <w:b/>
          <w:bCs/>
        </w:rPr>
        <w:t>Tateishi K</w:t>
      </w:r>
      <w:r>
        <w:rPr>
          <w:rFonts w:ascii="Book Antiqua" w:hAnsi="Book Antiqua"/>
        </w:rPr>
        <w:t xml:space="preserve">, Okada Y, Kallin EM, Zhang Y. Role of Jhdm2a in regulating metabolic gene expression and obesity resistance. </w:t>
      </w:r>
      <w:r>
        <w:rPr>
          <w:rFonts w:ascii="Book Antiqua" w:hAnsi="Book Antiqua"/>
          <w:i/>
          <w:iCs/>
        </w:rPr>
        <w:t>Nature</w:t>
      </w:r>
      <w:r>
        <w:rPr>
          <w:rFonts w:ascii="Book Antiqua" w:hAnsi="Book Antiqua"/>
        </w:rPr>
        <w:t xml:space="preserve"> 2009; </w:t>
      </w:r>
      <w:r>
        <w:rPr>
          <w:rFonts w:ascii="Book Antiqua" w:hAnsi="Book Antiqua"/>
          <w:b/>
          <w:bCs/>
        </w:rPr>
        <w:t>458</w:t>
      </w:r>
      <w:r>
        <w:rPr>
          <w:rFonts w:ascii="Book Antiqua" w:hAnsi="Book Antiqua"/>
        </w:rPr>
        <w:t>: 757-761 [PMID: 19194461 DOI: 10.1038/nature07777]</w:t>
      </w:r>
    </w:p>
    <w:p w14:paraId="1069BB5B" w14:textId="77777777" w:rsidR="00BA6BF8" w:rsidRDefault="00000000">
      <w:pPr>
        <w:spacing w:line="360" w:lineRule="auto"/>
        <w:jc w:val="both"/>
        <w:rPr>
          <w:rFonts w:ascii="Book Antiqua" w:hAnsi="Book Antiqua"/>
        </w:rPr>
      </w:pPr>
      <w:r>
        <w:rPr>
          <w:rFonts w:ascii="Book Antiqua" w:hAnsi="Book Antiqua"/>
        </w:rPr>
        <w:t xml:space="preserve">84 </w:t>
      </w:r>
      <w:r>
        <w:rPr>
          <w:rFonts w:ascii="Book Antiqua" w:hAnsi="Book Antiqua"/>
          <w:b/>
          <w:bCs/>
        </w:rPr>
        <w:t>Milagro FI</w:t>
      </w:r>
      <w:r>
        <w:rPr>
          <w:rFonts w:ascii="Book Antiqua" w:hAnsi="Book Antiqua"/>
        </w:rPr>
        <w:t xml:space="preserve">, Campión J, García-Díaz DF, Goyenechea E, Paternain L, Martínez JA. High fat diet-induced obesity modifies the methylation pattern of leptin promoter in rats. </w:t>
      </w:r>
      <w:r>
        <w:rPr>
          <w:rFonts w:ascii="Book Antiqua" w:hAnsi="Book Antiqua"/>
          <w:i/>
          <w:iCs/>
        </w:rPr>
        <w:t>J Physiol Biochem</w:t>
      </w:r>
      <w:r>
        <w:rPr>
          <w:rFonts w:ascii="Book Antiqua" w:hAnsi="Book Antiqua"/>
        </w:rPr>
        <w:t xml:space="preserve"> 2009; </w:t>
      </w:r>
      <w:r>
        <w:rPr>
          <w:rFonts w:ascii="Book Antiqua" w:hAnsi="Book Antiqua"/>
          <w:b/>
          <w:bCs/>
        </w:rPr>
        <w:t>65</w:t>
      </w:r>
      <w:r>
        <w:rPr>
          <w:rFonts w:ascii="Book Antiqua" w:hAnsi="Book Antiqua"/>
        </w:rPr>
        <w:t>: 1-9 [PMID: 19588726 DOI: 10.1007/BF03165964]</w:t>
      </w:r>
    </w:p>
    <w:p w14:paraId="43453DAB" w14:textId="77777777" w:rsidR="00BA6BF8" w:rsidRDefault="00000000">
      <w:pPr>
        <w:spacing w:line="360" w:lineRule="auto"/>
        <w:jc w:val="both"/>
        <w:rPr>
          <w:rFonts w:ascii="Book Antiqua" w:hAnsi="Book Antiqua"/>
        </w:rPr>
      </w:pPr>
      <w:r>
        <w:rPr>
          <w:rFonts w:ascii="Book Antiqua" w:hAnsi="Book Antiqua"/>
        </w:rPr>
        <w:lastRenderedPageBreak/>
        <w:t xml:space="preserve">85 </w:t>
      </w:r>
      <w:r>
        <w:rPr>
          <w:rFonts w:ascii="Book Antiqua" w:hAnsi="Book Antiqua"/>
          <w:b/>
          <w:bCs/>
        </w:rPr>
        <w:t>Park JH</w:t>
      </w:r>
      <w:r>
        <w:rPr>
          <w:rFonts w:ascii="Book Antiqua" w:hAnsi="Book Antiqua"/>
        </w:rPr>
        <w:t xml:space="preserve">, Stoffers DA, Nicholls RD, Simmons RA. Development of type 2 diabetes following intrauterine growth retardation in rats is associated with progressive epigenetic silencing of Pdx1. </w:t>
      </w:r>
      <w:r>
        <w:rPr>
          <w:rFonts w:ascii="Book Antiqua" w:hAnsi="Book Antiqua"/>
          <w:i/>
          <w:iCs/>
        </w:rPr>
        <w:t>J Clin Invest</w:t>
      </w:r>
      <w:r>
        <w:rPr>
          <w:rFonts w:ascii="Book Antiqua" w:hAnsi="Book Antiqua"/>
        </w:rPr>
        <w:t xml:space="preserve"> 2008; </w:t>
      </w:r>
      <w:r>
        <w:rPr>
          <w:rFonts w:ascii="Book Antiqua" w:hAnsi="Book Antiqua"/>
          <w:b/>
          <w:bCs/>
        </w:rPr>
        <w:t>118</w:t>
      </w:r>
      <w:r>
        <w:rPr>
          <w:rFonts w:ascii="Book Antiqua" w:hAnsi="Book Antiqua"/>
        </w:rPr>
        <w:t>: 2316-2324 [PMID: 18464933 DOI: 10.1172/JCI33655]</w:t>
      </w:r>
    </w:p>
    <w:p w14:paraId="525B9805" w14:textId="77777777" w:rsidR="00BA6BF8" w:rsidRDefault="00000000">
      <w:pPr>
        <w:spacing w:line="360" w:lineRule="auto"/>
        <w:jc w:val="both"/>
        <w:rPr>
          <w:rFonts w:ascii="Book Antiqua" w:hAnsi="Book Antiqua"/>
        </w:rPr>
      </w:pPr>
      <w:r>
        <w:rPr>
          <w:rFonts w:ascii="Book Antiqua" w:hAnsi="Book Antiqua"/>
        </w:rPr>
        <w:t xml:space="preserve">86 </w:t>
      </w:r>
      <w:r>
        <w:rPr>
          <w:rFonts w:ascii="Book Antiqua" w:hAnsi="Book Antiqua"/>
          <w:b/>
          <w:bCs/>
        </w:rPr>
        <w:t>Eyileten C</w:t>
      </w:r>
      <w:r>
        <w:rPr>
          <w:rFonts w:ascii="Book Antiqua" w:hAnsi="Book Antiqua"/>
        </w:rPr>
        <w:t xml:space="preserve">, Wicik Z, De Rosa S, Mirowska-Guzel D, Soplinska A, Indolfi C, Jastrzebska-Kurkowska I, Czlonkowska A, Postula M. MicroRNAs as Diagnostic and Prognostic Biomarkers in Ischemic Stroke-A Comprehensive Review and Bioinformatic Analysis. </w:t>
      </w:r>
      <w:r>
        <w:rPr>
          <w:rFonts w:ascii="Book Antiqua" w:hAnsi="Book Antiqua"/>
          <w:i/>
          <w:iCs/>
        </w:rPr>
        <w:t>Cells</w:t>
      </w:r>
      <w:r>
        <w:rPr>
          <w:rFonts w:ascii="Book Antiqua" w:hAnsi="Book Antiqua"/>
        </w:rPr>
        <w:t xml:space="preserve"> 2018; </w:t>
      </w:r>
      <w:r>
        <w:rPr>
          <w:rFonts w:ascii="Book Antiqua" w:hAnsi="Book Antiqua"/>
          <w:b/>
          <w:bCs/>
        </w:rPr>
        <w:t>7</w:t>
      </w:r>
      <w:r>
        <w:rPr>
          <w:rFonts w:ascii="Book Antiqua" w:hAnsi="Book Antiqua"/>
        </w:rPr>
        <w:t xml:space="preserve"> [PMID: 30563269 DOI: 10.3390/cells7120249]</w:t>
      </w:r>
    </w:p>
    <w:p w14:paraId="1EE3DBEC" w14:textId="77777777" w:rsidR="00BA6BF8" w:rsidRDefault="00000000">
      <w:pPr>
        <w:spacing w:line="360" w:lineRule="auto"/>
        <w:jc w:val="both"/>
        <w:rPr>
          <w:rFonts w:ascii="Book Antiqua" w:hAnsi="Book Antiqua"/>
        </w:rPr>
      </w:pPr>
      <w:r>
        <w:rPr>
          <w:rFonts w:ascii="Book Antiqua" w:hAnsi="Book Antiqua"/>
        </w:rPr>
        <w:t xml:space="preserve">87 </w:t>
      </w:r>
      <w:r>
        <w:rPr>
          <w:rFonts w:ascii="Book Antiqua" w:hAnsi="Book Antiqua"/>
          <w:b/>
          <w:bCs/>
        </w:rPr>
        <w:t>Zampetaki A</w:t>
      </w:r>
      <w:r>
        <w:rPr>
          <w:rFonts w:ascii="Book Antiqua" w:hAnsi="Book Antiqua"/>
        </w:rPr>
        <w:t xml:space="preserve">, Kiechl S, Drozdov I, Willeit P, Mayr U, Prokopi M, Mayr A, Weger S, Oberhollenzer F, Bonora E, Shah A, Willeit J, Mayr M. Plasma microRNA profiling reveals loss of endothelial miR-126 and other microRNAs in type 2 diabetes. </w:t>
      </w:r>
      <w:r>
        <w:rPr>
          <w:rFonts w:ascii="Book Antiqua" w:hAnsi="Book Antiqua"/>
          <w:i/>
          <w:iCs/>
        </w:rPr>
        <w:t>Circ Res</w:t>
      </w:r>
      <w:r>
        <w:rPr>
          <w:rFonts w:ascii="Book Antiqua" w:hAnsi="Book Antiqua"/>
        </w:rPr>
        <w:t xml:space="preserve"> 2010; </w:t>
      </w:r>
      <w:r>
        <w:rPr>
          <w:rFonts w:ascii="Book Antiqua" w:hAnsi="Book Antiqua"/>
          <w:b/>
          <w:bCs/>
        </w:rPr>
        <w:t>107</w:t>
      </w:r>
      <w:r>
        <w:rPr>
          <w:rFonts w:ascii="Book Antiqua" w:hAnsi="Book Antiqua"/>
        </w:rPr>
        <w:t>: 810-817 [PMID: 20651284 DOI: 10.1161/CIRCRESAHA.110.226357]</w:t>
      </w:r>
    </w:p>
    <w:p w14:paraId="2678B9FD" w14:textId="77777777" w:rsidR="00BA6BF8" w:rsidRDefault="00000000">
      <w:pPr>
        <w:spacing w:line="360" w:lineRule="auto"/>
        <w:jc w:val="both"/>
        <w:rPr>
          <w:rFonts w:ascii="Book Antiqua" w:hAnsi="Book Antiqua"/>
        </w:rPr>
      </w:pPr>
      <w:r>
        <w:rPr>
          <w:rFonts w:ascii="Book Antiqua" w:hAnsi="Book Antiqua"/>
        </w:rPr>
        <w:t xml:space="preserve">88 </w:t>
      </w:r>
      <w:r>
        <w:rPr>
          <w:rFonts w:ascii="Book Antiqua" w:hAnsi="Book Antiqua"/>
          <w:b/>
          <w:bCs/>
        </w:rPr>
        <w:t>Kong L</w:t>
      </w:r>
      <w:r>
        <w:rPr>
          <w:rFonts w:ascii="Book Antiqua" w:hAnsi="Book Antiqua"/>
        </w:rPr>
        <w:t xml:space="preserve">, Zhu J, Han W, Jiang X, Xu M, Zhao Y, Dong Q, Pang Z, Guan Q, Gao L, Zhao J, Zhao L. Significance of serum microRNAs in pre-diabetes and newly diagnosed type 2 diabetes: a clinical study. </w:t>
      </w:r>
      <w:r>
        <w:rPr>
          <w:rFonts w:ascii="Book Antiqua" w:hAnsi="Book Antiqua"/>
          <w:i/>
          <w:iCs/>
        </w:rPr>
        <w:t>Acta Diabetol</w:t>
      </w:r>
      <w:r>
        <w:rPr>
          <w:rFonts w:ascii="Book Antiqua" w:hAnsi="Book Antiqua"/>
        </w:rPr>
        <w:t xml:space="preserve"> 2011; </w:t>
      </w:r>
      <w:r>
        <w:rPr>
          <w:rFonts w:ascii="Book Antiqua" w:hAnsi="Book Antiqua"/>
          <w:b/>
          <w:bCs/>
        </w:rPr>
        <w:t>48</w:t>
      </w:r>
      <w:r>
        <w:rPr>
          <w:rFonts w:ascii="Book Antiqua" w:hAnsi="Book Antiqua"/>
        </w:rPr>
        <w:t>: 61-69 [PMID: 20857148 DOI: 10.1007/s00592-010-0226-0]</w:t>
      </w:r>
    </w:p>
    <w:p w14:paraId="0083DCCE" w14:textId="77777777" w:rsidR="00BA6BF8" w:rsidRDefault="00000000">
      <w:pPr>
        <w:spacing w:line="360" w:lineRule="auto"/>
        <w:jc w:val="both"/>
        <w:rPr>
          <w:rFonts w:ascii="Book Antiqua" w:hAnsi="Book Antiqua"/>
        </w:rPr>
      </w:pPr>
      <w:r>
        <w:rPr>
          <w:rFonts w:ascii="Book Antiqua" w:hAnsi="Book Antiqua"/>
        </w:rPr>
        <w:t xml:space="preserve">89 </w:t>
      </w:r>
      <w:r>
        <w:rPr>
          <w:rFonts w:ascii="Book Antiqua" w:hAnsi="Book Antiqua"/>
          <w:b/>
          <w:bCs/>
        </w:rPr>
        <w:t>Balasubramanyam M</w:t>
      </w:r>
      <w:r>
        <w:rPr>
          <w:rFonts w:ascii="Book Antiqua" w:hAnsi="Book Antiqua"/>
        </w:rPr>
        <w:t xml:space="preserve">, Aravind S, Gokulakrishnan K, Prabu P, Sathishkumar C, Ranjani H, Mohan V. Impaired miR-146a expression links subclinical inflammation and insulin resistance in Type 2 diabetes. </w:t>
      </w:r>
      <w:r>
        <w:rPr>
          <w:rFonts w:ascii="Book Antiqua" w:hAnsi="Book Antiqua"/>
          <w:i/>
          <w:iCs/>
        </w:rPr>
        <w:t>Mol Cell Biochem</w:t>
      </w:r>
      <w:r>
        <w:rPr>
          <w:rFonts w:ascii="Book Antiqua" w:hAnsi="Book Antiqua"/>
        </w:rPr>
        <w:t xml:space="preserve"> 2011; </w:t>
      </w:r>
      <w:r>
        <w:rPr>
          <w:rFonts w:ascii="Book Antiqua" w:hAnsi="Book Antiqua"/>
          <w:b/>
          <w:bCs/>
        </w:rPr>
        <w:t>351</w:t>
      </w:r>
      <w:r>
        <w:rPr>
          <w:rFonts w:ascii="Book Antiqua" w:hAnsi="Book Antiqua"/>
        </w:rPr>
        <w:t>: 197-205 [PMID: 21249428 DOI: 10.1007/s11010-011-0727-3]</w:t>
      </w:r>
    </w:p>
    <w:p w14:paraId="5DBA7FA9" w14:textId="77777777" w:rsidR="00BA6BF8" w:rsidRDefault="00000000">
      <w:pPr>
        <w:spacing w:line="360" w:lineRule="auto"/>
        <w:jc w:val="both"/>
        <w:rPr>
          <w:rFonts w:ascii="Book Antiqua" w:hAnsi="Book Antiqua"/>
        </w:rPr>
      </w:pPr>
      <w:r>
        <w:rPr>
          <w:rFonts w:ascii="Book Antiqua" w:hAnsi="Book Antiqua"/>
        </w:rPr>
        <w:t xml:space="preserve">90 </w:t>
      </w:r>
      <w:r>
        <w:rPr>
          <w:rFonts w:ascii="Book Antiqua" w:hAnsi="Book Antiqua"/>
          <w:b/>
          <w:bCs/>
        </w:rPr>
        <w:t>Karolina DS</w:t>
      </w:r>
      <w:r>
        <w:rPr>
          <w:rFonts w:ascii="Book Antiqua" w:hAnsi="Book Antiqua"/>
        </w:rPr>
        <w:t xml:space="preserve">, Tavintharan S, Armugam A, Sepramaniam S, Pek SL, Wong MT, Lim SC, Sum CF, Jeyaseelan K. Circulating miRNA profiles in patients with metabolic syndrome. </w:t>
      </w:r>
      <w:r>
        <w:rPr>
          <w:rFonts w:ascii="Book Antiqua" w:hAnsi="Book Antiqua"/>
          <w:i/>
          <w:iCs/>
        </w:rPr>
        <w:t>J Clin Endocrinol Metab</w:t>
      </w:r>
      <w:r>
        <w:rPr>
          <w:rFonts w:ascii="Book Antiqua" w:hAnsi="Book Antiqua"/>
        </w:rPr>
        <w:t xml:space="preserve"> 2012; </w:t>
      </w:r>
      <w:r>
        <w:rPr>
          <w:rFonts w:ascii="Book Antiqua" w:hAnsi="Book Antiqua"/>
          <w:b/>
          <w:bCs/>
        </w:rPr>
        <w:t>97</w:t>
      </w:r>
      <w:r>
        <w:rPr>
          <w:rFonts w:ascii="Book Antiqua" w:hAnsi="Book Antiqua"/>
        </w:rPr>
        <w:t>: E2271-E2276 [PMID: 23032062 DOI: 10.1210/jc.2012-1996]</w:t>
      </w:r>
    </w:p>
    <w:p w14:paraId="56C05268" w14:textId="77777777" w:rsidR="00BA6BF8" w:rsidRDefault="00000000">
      <w:pPr>
        <w:spacing w:line="360" w:lineRule="auto"/>
        <w:jc w:val="both"/>
        <w:rPr>
          <w:rFonts w:ascii="Book Antiqua" w:hAnsi="Book Antiqua"/>
        </w:rPr>
      </w:pPr>
      <w:r>
        <w:rPr>
          <w:rFonts w:ascii="Book Antiqua" w:hAnsi="Book Antiqua"/>
        </w:rPr>
        <w:t xml:space="preserve">91 </w:t>
      </w:r>
      <w:r>
        <w:rPr>
          <w:rFonts w:ascii="Book Antiqua" w:hAnsi="Book Antiqua"/>
          <w:b/>
          <w:bCs/>
        </w:rPr>
        <w:t>Zhang T</w:t>
      </w:r>
      <w:r>
        <w:rPr>
          <w:rFonts w:ascii="Book Antiqua" w:hAnsi="Book Antiqua"/>
        </w:rPr>
        <w:t xml:space="preserve">, Lv C, Li L, Chen S, Liu S, Wang C, Su B. Plasma miR-126 is a potential biomarker for early prediction of type 2 diabetes mellitus in susceptible individuals. </w:t>
      </w:r>
      <w:r>
        <w:rPr>
          <w:rFonts w:ascii="Book Antiqua" w:hAnsi="Book Antiqua"/>
          <w:i/>
          <w:iCs/>
        </w:rPr>
        <w:t>Biomed Res Int</w:t>
      </w:r>
      <w:r>
        <w:rPr>
          <w:rFonts w:ascii="Book Antiqua" w:hAnsi="Book Antiqua"/>
        </w:rPr>
        <w:t xml:space="preserve"> 2013; </w:t>
      </w:r>
      <w:r>
        <w:rPr>
          <w:rFonts w:ascii="Book Antiqua" w:hAnsi="Book Antiqua"/>
          <w:b/>
          <w:bCs/>
        </w:rPr>
        <w:t>2013</w:t>
      </w:r>
      <w:r>
        <w:rPr>
          <w:rFonts w:ascii="Book Antiqua" w:hAnsi="Book Antiqua"/>
        </w:rPr>
        <w:t>: 761617 [PMID: 24455723 DOI: 10.1155/2013/761617]</w:t>
      </w:r>
    </w:p>
    <w:p w14:paraId="2B26472F" w14:textId="77777777" w:rsidR="00BA6BF8" w:rsidRDefault="00000000">
      <w:pPr>
        <w:spacing w:line="360" w:lineRule="auto"/>
        <w:jc w:val="both"/>
        <w:rPr>
          <w:rFonts w:ascii="Book Antiqua" w:hAnsi="Book Antiqua"/>
        </w:rPr>
      </w:pPr>
      <w:r>
        <w:rPr>
          <w:rFonts w:ascii="Book Antiqua" w:hAnsi="Book Antiqua"/>
        </w:rPr>
        <w:t xml:space="preserve">92 </w:t>
      </w:r>
      <w:r>
        <w:rPr>
          <w:rFonts w:ascii="Book Antiqua" w:hAnsi="Book Antiqua"/>
          <w:b/>
          <w:bCs/>
        </w:rPr>
        <w:t>Liu Y</w:t>
      </w:r>
      <w:r>
        <w:rPr>
          <w:rFonts w:ascii="Book Antiqua" w:hAnsi="Book Antiqua"/>
        </w:rPr>
        <w:t xml:space="preserve">, Gao G, Yang C, Zhou K, Shen B, Liang H, Jiang X. The role of circulating microRNA-126 (miR-126): a novel biomarker for screening prediabetes and newly </w:t>
      </w:r>
      <w:r>
        <w:rPr>
          <w:rFonts w:ascii="Book Antiqua" w:hAnsi="Book Antiqua"/>
        </w:rPr>
        <w:lastRenderedPageBreak/>
        <w:t xml:space="preserve">diagnosed type 2 diabetes mellitus. </w:t>
      </w:r>
      <w:r>
        <w:rPr>
          <w:rFonts w:ascii="Book Antiqua" w:hAnsi="Book Antiqua"/>
          <w:i/>
          <w:iCs/>
        </w:rPr>
        <w:t>Int J Mol Sci</w:t>
      </w:r>
      <w:r>
        <w:rPr>
          <w:rFonts w:ascii="Book Antiqua" w:hAnsi="Book Antiqua"/>
        </w:rPr>
        <w:t xml:space="preserve"> 2014; </w:t>
      </w:r>
      <w:r>
        <w:rPr>
          <w:rFonts w:ascii="Book Antiqua" w:hAnsi="Book Antiqua"/>
          <w:b/>
          <w:bCs/>
        </w:rPr>
        <w:t>15</w:t>
      </w:r>
      <w:r>
        <w:rPr>
          <w:rFonts w:ascii="Book Antiqua" w:hAnsi="Book Antiqua"/>
        </w:rPr>
        <w:t>: 10567-10577 [PMID: 24927146 DOI: 10.3390/ijms150610567]</w:t>
      </w:r>
    </w:p>
    <w:p w14:paraId="7685A306" w14:textId="77777777" w:rsidR="00BA6BF8" w:rsidRDefault="00000000">
      <w:pPr>
        <w:spacing w:line="360" w:lineRule="auto"/>
        <w:jc w:val="both"/>
        <w:rPr>
          <w:rFonts w:ascii="Book Antiqua" w:hAnsi="Book Antiqua"/>
        </w:rPr>
      </w:pPr>
      <w:r>
        <w:rPr>
          <w:rFonts w:ascii="Book Antiqua" w:hAnsi="Book Antiqua"/>
        </w:rPr>
        <w:t xml:space="preserve">93 </w:t>
      </w:r>
      <w:r>
        <w:rPr>
          <w:rFonts w:ascii="Book Antiqua" w:hAnsi="Book Antiqua"/>
          <w:b/>
          <w:bCs/>
        </w:rPr>
        <w:t>Zhang T</w:t>
      </w:r>
      <w:r>
        <w:rPr>
          <w:rFonts w:ascii="Book Antiqua" w:hAnsi="Book Antiqua"/>
        </w:rPr>
        <w:t xml:space="preserve">, Li L, Shang Q, Lv C, Wang C, Su B. Circulating miR-126 is a potential biomarker to predict the onset of type 2 diabetes mellitus in susceptible individuals. </w:t>
      </w:r>
      <w:r>
        <w:rPr>
          <w:rFonts w:ascii="Book Antiqua" w:hAnsi="Book Antiqua"/>
          <w:i/>
          <w:iCs/>
        </w:rPr>
        <w:t>Biochem Biophys Res Commun</w:t>
      </w:r>
      <w:r>
        <w:rPr>
          <w:rFonts w:ascii="Book Antiqua" w:hAnsi="Book Antiqua"/>
        </w:rPr>
        <w:t xml:space="preserve"> 2015; </w:t>
      </w:r>
      <w:r>
        <w:rPr>
          <w:rFonts w:ascii="Book Antiqua" w:hAnsi="Book Antiqua"/>
          <w:b/>
          <w:bCs/>
        </w:rPr>
        <w:t>463</w:t>
      </w:r>
      <w:r>
        <w:rPr>
          <w:rFonts w:ascii="Book Antiqua" w:hAnsi="Book Antiqua"/>
        </w:rPr>
        <w:t>: 60-63 [PMID: 25986735 DOI: 10.1016/j.bbrc.2015.05.017]</w:t>
      </w:r>
    </w:p>
    <w:p w14:paraId="7FCC0BEC" w14:textId="77777777" w:rsidR="00BA6BF8" w:rsidRDefault="00000000">
      <w:pPr>
        <w:spacing w:line="360" w:lineRule="auto"/>
        <w:jc w:val="both"/>
        <w:rPr>
          <w:rFonts w:ascii="Book Antiqua" w:hAnsi="Book Antiqua"/>
          <w:lang w:val="it-IT"/>
        </w:rPr>
      </w:pPr>
      <w:r>
        <w:rPr>
          <w:rFonts w:ascii="Book Antiqua" w:hAnsi="Book Antiqua"/>
        </w:rPr>
        <w:t xml:space="preserve">94 </w:t>
      </w:r>
      <w:r>
        <w:rPr>
          <w:rFonts w:ascii="Book Antiqua" w:hAnsi="Book Antiqua"/>
          <w:b/>
          <w:bCs/>
        </w:rPr>
        <w:t>Luo M</w:t>
      </w:r>
      <w:r>
        <w:rPr>
          <w:rFonts w:ascii="Book Antiqua" w:hAnsi="Book Antiqua"/>
        </w:rPr>
        <w:t xml:space="preserve">, Li R, Deng X, Ren M, Chen N, Zeng M, Yan K, Xia J, Liu F, Ma W, Yang Y, Wan Q, Wu J. Platelet-derived miR-103b as a novel biomarker for the early diagnosis of type 2 diabetes. </w:t>
      </w:r>
      <w:r>
        <w:rPr>
          <w:rFonts w:ascii="Book Antiqua" w:hAnsi="Book Antiqua"/>
          <w:i/>
          <w:iCs/>
          <w:lang w:val="it-IT"/>
        </w:rPr>
        <w:t>Acta Diabetol</w:t>
      </w:r>
      <w:r>
        <w:rPr>
          <w:rFonts w:ascii="Book Antiqua" w:hAnsi="Book Antiqua"/>
          <w:lang w:val="it-IT"/>
        </w:rPr>
        <w:t xml:space="preserve"> 2015; </w:t>
      </w:r>
      <w:r>
        <w:rPr>
          <w:rFonts w:ascii="Book Antiqua" w:hAnsi="Book Antiqua"/>
          <w:b/>
          <w:bCs/>
          <w:lang w:val="it-IT"/>
        </w:rPr>
        <w:t>52</w:t>
      </w:r>
      <w:r>
        <w:rPr>
          <w:rFonts w:ascii="Book Antiqua" w:hAnsi="Book Antiqua"/>
          <w:lang w:val="it-IT"/>
        </w:rPr>
        <w:t>: 943-949 [PMID: 25820527 DOI: 10.1007/s00592-015-0733-0]</w:t>
      </w:r>
    </w:p>
    <w:p w14:paraId="51F2488E" w14:textId="77777777" w:rsidR="00BA6BF8" w:rsidRDefault="00000000">
      <w:pPr>
        <w:spacing w:line="360" w:lineRule="auto"/>
        <w:jc w:val="both"/>
        <w:rPr>
          <w:rFonts w:ascii="Book Antiqua" w:hAnsi="Book Antiqua"/>
        </w:rPr>
      </w:pPr>
      <w:r>
        <w:rPr>
          <w:rFonts w:ascii="Book Antiqua" w:hAnsi="Book Antiqua"/>
          <w:lang w:val="it-IT"/>
        </w:rPr>
        <w:t xml:space="preserve">95 </w:t>
      </w:r>
      <w:r>
        <w:rPr>
          <w:rFonts w:ascii="Book Antiqua" w:hAnsi="Book Antiqua"/>
          <w:b/>
          <w:bCs/>
          <w:lang w:val="it-IT"/>
        </w:rPr>
        <w:t>Olivieri F</w:t>
      </w:r>
      <w:r>
        <w:rPr>
          <w:rFonts w:ascii="Book Antiqua" w:hAnsi="Book Antiqua"/>
          <w:lang w:val="it-IT"/>
        </w:rPr>
        <w:t xml:space="preserve">, Spazzafumo L, Bonafè M, Recchioni R, Prattichizzo F, Marcheselli F, Micolucci L, Mensà E, Giuliani A, Santini G, Gobbi M, Lazzarini R, Boemi M, Testa R, Antonicelli R, Procopio AD, Bonfigli AR. </w:t>
      </w:r>
      <w:r>
        <w:rPr>
          <w:rFonts w:ascii="Book Antiqua" w:hAnsi="Book Antiqua"/>
        </w:rPr>
        <w:t xml:space="preserve">MiR-21-5p and miR-126a-3p levels in plasma and circulating angiogenic cells: relationship with type 2 diabetes complications. </w:t>
      </w:r>
      <w:r>
        <w:rPr>
          <w:rFonts w:ascii="Book Antiqua" w:hAnsi="Book Antiqua"/>
          <w:i/>
          <w:iCs/>
        </w:rPr>
        <w:t>Oncotarget</w:t>
      </w:r>
      <w:r>
        <w:rPr>
          <w:rFonts w:ascii="Book Antiqua" w:hAnsi="Book Antiqua"/>
        </w:rPr>
        <w:t xml:space="preserve"> 2015; </w:t>
      </w:r>
      <w:r>
        <w:rPr>
          <w:rFonts w:ascii="Book Antiqua" w:hAnsi="Book Antiqua"/>
          <w:b/>
          <w:bCs/>
        </w:rPr>
        <w:t>6</w:t>
      </w:r>
      <w:r>
        <w:rPr>
          <w:rFonts w:ascii="Book Antiqua" w:hAnsi="Book Antiqua"/>
        </w:rPr>
        <w:t>: 35372-35382 [PMID: 26498351 DOI: 10.18632/oncotarget.6164]</w:t>
      </w:r>
    </w:p>
    <w:p w14:paraId="56D6581C" w14:textId="77777777" w:rsidR="00BA6BF8" w:rsidRDefault="00000000">
      <w:pPr>
        <w:spacing w:line="360" w:lineRule="auto"/>
        <w:jc w:val="both"/>
        <w:rPr>
          <w:rFonts w:ascii="Book Antiqua" w:hAnsi="Book Antiqua"/>
        </w:rPr>
      </w:pPr>
      <w:r>
        <w:rPr>
          <w:rFonts w:ascii="Book Antiqua" w:hAnsi="Book Antiqua"/>
        </w:rPr>
        <w:t xml:space="preserve">96 </w:t>
      </w:r>
      <w:r>
        <w:rPr>
          <w:rFonts w:ascii="Book Antiqua" w:hAnsi="Book Antiqua"/>
          <w:b/>
          <w:bCs/>
        </w:rPr>
        <w:t>Witkowski M</w:t>
      </w:r>
      <w:r>
        <w:rPr>
          <w:rFonts w:ascii="Book Antiqua" w:hAnsi="Book Antiqua"/>
        </w:rPr>
        <w:t xml:space="preserve">, Weithauser A, Tabaraie T, Steffens D, Kränkel N, Witkowski M, Stratmann B, Tschoepe D, Landmesser U, Rauch-Kroehnert U. Micro-RNA-126 Reduces the Blood Thrombogenicity in Diabetes Mellitus via Targeting of Tissue Factor. </w:t>
      </w:r>
      <w:r>
        <w:rPr>
          <w:rFonts w:ascii="Book Antiqua" w:hAnsi="Book Antiqua"/>
          <w:i/>
          <w:iCs/>
        </w:rPr>
        <w:t>Arterioscler Thromb Vasc Biol</w:t>
      </w:r>
      <w:r>
        <w:rPr>
          <w:rFonts w:ascii="Book Antiqua" w:hAnsi="Book Antiqua"/>
        </w:rPr>
        <w:t xml:space="preserve"> 2016; </w:t>
      </w:r>
      <w:r>
        <w:rPr>
          <w:rFonts w:ascii="Book Antiqua" w:hAnsi="Book Antiqua"/>
          <w:b/>
          <w:bCs/>
        </w:rPr>
        <w:t>36</w:t>
      </w:r>
      <w:r>
        <w:rPr>
          <w:rFonts w:ascii="Book Antiqua" w:hAnsi="Book Antiqua"/>
        </w:rPr>
        <w:t>: 1263-1271 [PMID: 27127202 DOI: 10.1161/ATVBAHA.115.306094]</w:t>
      </w:r>
    </w:p>
    <w:p w14:paraId="77FF12EB" w14:textId="77777777" w:rsidR="00BA6BF8" w:rsidRDefault="00000000">
      <w:pPr>
        <w:spacing w:line="360" w:lineRule="auto"/>
        <w:jc w:val="both"/>
        <w:rPr>
          <w:rFonts w:ascii="Book Antiqua" w:hAnsi="Book Antiqua"/>
        </w:rPr>
      </w:pPr>
      <w:r>
        <w:rPr>
          <w:rFonts w:ascii="Book Antiqua" w:hAnsi="Book Antiqua"/>
        </w:rPr>
        <w:t xml:space="preserve">97 </w:t>
      </w:r>
      <w:r>
        <w:rPr>
          <w:rFonts w:ascii="Book Antiqua" w:hAnsi="Book Antiqua"/>
          <w:b/>
          <w:bCs/>
        </w:rPr>
        <w:t>Jansen F</w:t>
      </w:r>
      <w:r>
        <w:rPr>
          <w:rFonts w:ascii="Book Antiqua" w:hAnsi="Book Antiqua"/>
        </w:rPr>
        <w:t xml:space="preserve">, Wang H, Przybilla D, Franklin BS, Dolf A, Pfeifer P, Schmitz T, Flender A, Endl E, Nickenig G, Werner N. Vascular endothelial microparticles-incorporated microRNAs are altered in patients with diabetes mellitus. </w:t>
      </w:r>
      <w:r>
        <w:rPr>
          <w:rFonts w:ascii="Book Antiqua" w:hAnsi="Book Antiqua"/>
          <w:i/>
          <w:iCs/>
        </w:rPr>
        <w:t>Cardiovasc Diabetol</w:t>
      </w:r>
      <w:r>
        <w:rPr>
          <w:rFonts w:ascii="Book Antiqua" w:hAnsi="Book Antiqua"/>
        </w:rPr>
        <w:t xml:space="preserve"> 2016; </w:t>
      </w:r>
      <w:r>
        <w:rPr>
          <w:rFonts w:ascii="Book Antiqua" w:hAnsi="Book Antiqua"/>
          <w:b/>
          <w:bCs/>
        </w:rPr>
        <w:t>15</w:t>
      </w:r>
      <w:r>
        <w:rPr>
          <w:rFonts w:ascii="Book Antiqua" w:hAnsi="Book Antiqua"/>
        </w:rPr>
        <w:t>: 49 [PMID: 27005938 DOI: 10.1186/s12933-016-0367-8]</w:t>
      </w:r>
    </w:p>
    <w:p w14:paraId="0F85BF07" w14:textId="77777777" w:rsidR="00BA6BF8" w:rsidRDefault="00000000">
      <w:pPr>
        <w:spacing w:line="360" w:lineRule="auto"/>
        <w:jc w:val="both"/>
        <w:rPr>
          <w:rFonts w:ascii="Book Antiqua" w:hAnsi="Book Antiqua"/>
        </w:rPr>
      </w:pPr>
      <w:r>
        <w:rPr>
          <w:rFonts w:ascii="Book Antiqua" w:hAnsi="Book Antiqua"/>
        </w:rPr>
        <w:t xml:space="preserve">98 </w:t>
      </w:r>
      <w:r>
        <w:rPr>
          <w:rFonts w:ascii="Book Antiqua" w:hAnsi="Book Antiqua"/>
          <w:b/>
          <w:bCs/>
        </w:rPr>
        <w:t>Ghorbani S</w:t>
      </w:r>
      <w:r>
        <w:rPr>
          <w:rFonts w:ascii="Book Antiqua" w:hAnsi="Book Antiqua"/>
        </w:rPr>
        <w:t xml:space="preserve">, Mahdavi R, Alipoor B, Panahi G, Nasli Esfahani E, Razi F, Taghikhani M, Meshkani R. Decreased serum microRNA-21 level is associated with obesity in healthy and type 2 diabetic subjects. </w:t>
      </w:r>
      <w:r>
        <w:rPr>
          <w:rFonts w:ascii="Book Antiqua" w:hAnsi="Book Antiqua"/>
          <w:i/>
          <w:iCs/>
        </w:rPr>
        <w:t>Arch Physiol Biochem</w:t>
      </w:r>
      <w:r>
        <w:rPr>
          <w:rFonts w:ascii="Book Antiqua" w:hAnsi="Book Antiqua"/>
        </w:rPr>
        <w:t xml:space="preserve"> 2018; </w:t>
      </w:r>
      <w:r>
        <w:rPr>
          <w:rFonts w:ascii="Book Antiqua" w:hAnsi="Book Antiqua"/>
          <w:b/>
          <w:bCs/>
        </w:rPr>
        <w:t>124</w:t>
      </w:r>
      <w:r>
        <w:rPr>
          <w:rFonts w:ascii="Book Antiqua" w:hAnsi="Book Antiqua"/>
        </w:rPr>
        <w:t>: 300-305 [PMID: 29113498 DOI: 10.1080/13813455.2017.1396349]</w:t>
      </w:r>
    </w:p>
    <w:p w14:paraId="18FE3A8D" w14:textId="77777777" w:rsidR="00BA6BF8" w:rsidRDefault="00000000">
      <w:pPr>
        <w:spacing w:line="360" w:lineRule="auto"/>
        <w:jc w:val="both"/>
        <w:rPr>
          <w:rFonts w:ascii="Book Antiqua" w:hAnsi="Book Antiqua"/>
        </w:rPr>
      </w:pPr>
      <w:r>
        <w:rPr>
          <w:rFonts w:ascii="Book Antiqua" w:hAnsi="Book Antiqua"/>
        </w:rPr>
        <w:lastRenderedPageBreak/>
        <w:t xml:space="preserve">99 </w:t>
      </w:r>
      <w:r>
        <w:rPr>
          <w:rFonts w:ascii="Book Antiqua" w:hAnsi="Book Antiqua"/>
          <w:b/>
          <w:bCs/>
        </w:rPr>
        <w:t>Giannella A</w:t>
      </w:r>
      <w:r>
        <w:rPr>
          <w:rFonts w:ascii="Book Antiqua" w:hAnsi="Book Antiqua"/>
        </w:rPr>
        <w:t xml:space="preserve">, Radu CM, Franco L, Campello E, Simioni P, Avogaro A, de Kreutzenberg SV, Ceolotto G. Circulating levels and characterization of microparticles in patients with different degrees of glucose tolerance. </w:t>
      </w:r>
      <w:r>
        <w:rPr>
          <w:rFonts w:ascii="Book Antiqua" w:hAnsi="Book Antiqua"/>
          <w:i/>
          <w:iCs/>
        </w:rPr>
        <w:t>Cardiovasc Diabetol</w:t>
      </w:r>
      <w:r>
        <w:rPr>
          <w:rFonts w:ascii="Book Antiqua" w:hAnsi="Book Antiqua"/>
        </w:rPr>
        <w:t xml:space="preserve"> 2017; </w:t>
      </w:r>
      <w:r>
        <w:rPr>
          <w:rFonts w:ascii="Book Antiqua" w:hAnsi="Book Antiqua"/>
          <w:b/>
          <w:bCs/>
        </w:rPr>
        <w:t>16</w:t>
      </w:r>
      <w:r>
        <w:rPr>
          <w:rFonts w:ascii="Book Antiqua" w:hAnsi="Book Antiqua"/>
        </w:rPr>
        <w:t>: 118 [PMID: 28927403 DOI: 10.1186/s12933-017-0600-0]</w:t>
      </w:r>
    </w:p>
    <w:p w14:paraId="6C18DFE1" w14:textId="77777777" w:rsidR="00BA6BF8" w:rsidRDefault="00000000">
      <w:pPr>
        <w:spacing w:line="360" w:lineRule="auto"/>
        <w:jc w:val="both"/>
        <w:rPr>
          <w:rFonts w:ascii="Book Antiqua" w:hAnsi="Book Antiqua"/>
        </w:rPr>
      </w:pPr>
      <w:r>
        <w:rPr>
          <w:rFonts w:ascii="Book Antiqua" w:hAnsi="Book Antiqua"/>
        </w:rPr>
        <w:t xml:space="preserve">100 </w:t>
      </w:r>
      <w:r>
        <w:rPr>
          <w:rFonts w:ascii="Book Antiqua" w:hAnsi="Book Antiqua"/>
          <w:b/>
          <w:bCs/>
        </w:rPr>
        <w:t>Deng X</w:t>
      </w:r>
      <w:r>
        <w:rPr>
          <w:rFonts w:ascii="Book Antiqua" w:hAnsi="Book Antiqua"/>
        </w:rPr>
        <w:t xml:space="preserve">, Liu Y, Luo M, Wu J, Ma R, Wan Q, Wu J. Circulating miRNA-24 and its target YKL-40 as potential biomarkers in patients with coronary heart disease and type 2 diabetes mellitus. </w:t>
      </w:r>
      <w:r>
        <w:rPr>
          <w:rFonts w:ascii="Book Antiqua" w:hAnsi="Book Antiqua"/>
          <w:i/>
          <w:iCs/>
        </w:rPr>
        <w:t>Oncotarget</w:t>
      </w:r>
      <w:r>
        <w:rPr>
          <w:rFonts w:ascii="Book Antiqua" w:hAnsi="Book Antiqua"/>
        </w:rPr>
        <w:t xml:space="preserve"> 2017; </w:t>
      </w:r>
      <w:r>
        <w:rPr>
          <w:rFonts w:ascii="Book Antiqua" w:hAnsi="Book Antiqua"/>
          <w:b/>
          <w:bCs/>
        </w:rPr>
        <w:t>8</w:t>
      </w:r>
      <w:r>
        <w:rPr>
          <w:rFonts w:ascii="Book Antiqua" w:hAnsi="Book Antiqua"/>
        </w:rPr>
        <w:t>: 63038-63046 [PMID: 28968969 DOI: 10.18632/oncotarget.18593]</w:t>
      </w:r>
    </w:p>
    <w:p w14:paraId="11519E79" w14:textId="77777777" w:rsidR="00BA6BF8" w:rsidRDefault="00000000">
      <w:pPr>
        <w:spacing w:line="360" w:lineRule="auto"/>
        <w:jc w:val="both"/>
        <w:rPr>
          <w:rFonts w:ascii="Book Antiqua" w:hAnsi="Book Antiqua"/>
        </w:rPr>
      </w:pPr>
      <w:r>
        <w:rPr>
          <w:rFonts w:ascii="Book Antiqua" w:hAnsi="Book Antiqua"/>
        </w:rPr>
        <w:t xml:space="preserve">101 </w:t>
      </w:r>
      <w:r>
        <w:rPr>
          <w:rFonts w:ascii="Book Antiqua" w:hAnsi="Book Antiqua"/>
          <w:b/>
          <w:bCs/>
        </w:rPr>
        <w:t>Fejes Z</w:t>
      </w:r>
      <w:r>
        <w:rPr>
          <w:rFonts w:ascii="Book Antiqua" w:hAnsi="Book Antiqua"/>
        </w:rPr>
        <w:t xml:space="preserve">, Póliska S, Czimmerer Z, Káplár M, Penyige A, Gál Szabó G, Beke Debreceni I, Kunapuli SP, Kappelmayer J, Nagy B Jr. Hyperglycaemia suppresses microRNA expression in platelets to increase P2RY12 and SELP levels in type 2 diabetes mellitus. </w:t>
      </w:r>
      <w:r>
        <w:rPr>
          <w:rFonts w:ascii="Book Antiqua" w:hAnsi="Book Antiqua"/>
          <w:i/>
          <w:iCs/>
        </w:rPr>
        <w:t>Thromb Haemost</w:t>
      </w:r>
      <w:r>
        <w:rPr>
          <w:rFonts w:ascii="Book Antiqua" w:hAnsi="Book Antiqua"/>
        </w:rPr>
        <w:t xml:space="preserve"> 2017; </w:t>
      </w:r>
      <w:r>
        <w:rPr>
          <w:rFonts w:ascii="Book Antiqua" w:hAnsi="Book Antiqua"/>
          <w:b/>
          <w:bCs/>
        </w:rPr>
        <w:t>117</w:t>
      </w:r>
      <w:r>
        <w:rPr>
          <w:rFonts w:ascii="Book Antiqua" w:hAnsi="Book Antiqua"/>
        </w:rPr>
        <w:t>: 529-542 [PMID: 27975100 DOI: 10.1160/TH16-04-0322]</w:t>
      </w:r>
    </w:p>
    <w:p w14:paraId="03393272" w14:textId="77777777" w:rsidR="00BA6BF8" w:rsidRDefault="00000000">
      <w:pPr>
        <w:spacing w:line="360" w:lineRule="auto"/>
        <w:jc w:val="both"/>
        <w:rPr>
          <w:rFonts w:ascii="Book Antiqua" w:hAnsi="Book Antiqua"/>
        </w:rPr>
      </w:pPr>
      <w:r>
        <w:rPr>
          <w:rFonts w:ascii="Book Antiqua" w:hAnsi="Book Antiqua"/>
        </w:rPr>
        <w:t xml:space="preserve">102 </w:t>
      </w:r>
      <w:r>
        <w:rPr>
          <w:rFonts w:ascii="Book Antiqua" w:hAnsi="Book Antiqua"/>
          <w:b/>
          <w:bCs/>
        </w:rPr>
        <w:t>Al-Muhtaresh HA</w:t>
      </w:r>
      <w:r>
        <w:rPr>
          <w:rFonts w:ascii="Book Antiqua" w:hAnsi="Book Antiqua"/>
        </w:rPr>
        <w:t xml:space="preserve">, Al-Kafaji G. Evaluation of Two-Diabetes Related microRNAs Suitability as Earlier Blood Biomarkers for Detecting Prediabetes and type 2 Diabetes Mellitus. </w:t>
      </w:r>
      <w:r>
        <w:rPr>
          <w:rFonts w:ascii="Book Antiqua" w:hAnsi="Book Antiqua"/>
          <w:i/>
          <w:iCs/>
        </w:rPr>
        <w:t>J Clin Med</w:t>
      </w:r>
      <w:r>
        <w:rPr>
          <w:rFonts w:ascii="Book Antiqua" w:hAnsi="Book Antiqua"/>
        </w:rPr>
        <w:t xml:space="preserve"> 2018; </w:t>
      </w:r>
      <w:r>
        <w:rPr>
          <w:rFonts w:ascii="Book Antiqua" w:hAnsi="Book Antiqua"/>
          <w:b/>
          <w:bCs/>
        </w:rPr>
        <w:t>7</w:t>
      </w:r>
      <w:r>
        <w:rPr>
          <w:rFonts w:ascii="Book Antiqua" w:hAnsi="Book Antiqua"/>
        </w:rPr>
        <w:t xml:space="preserve"> [PMID: 29373500 DOI: 10.3390/jcm7020012]</w:t>
      </w:r>
    </w:p>
    <w:p w14:paraId="4450F284" w14:textId="77777777" w:rsidR="00BA6BF8" w:rsidRDefault="00000000">
      <w:pPr>
        <w:spacing w:line="360" w:lineRule="auto"/>
        <w:jc w:val="both"/>
        <w:rPr>
          <w:rFonts w:ascii="Book Antiqua" w:hAnsi="Book Antiqua"/>
        </w:rPr>
      </w:pPr>
      <w:r>
        <w:rPr>
          <w:rFonts w:ascii="Book Antiqua" w:hAnsi="Book Antiqua"/>
        </w:rPr>
        <w:t xml:space="preserve">103 </w:t>
      </w:r>
      <w:r>
        <w:rPr>
          <w:rFonts w:ascii="Book Antiqua" w:hAnsi="Book Antiqua"/>
          <w:b/>
          <w:bCs/>
        </w:rPr>
        <w:t>Jiménez-Lucena R</w:t>
      </w:r>
      <w:r>
        <w:rPr>
          <w:rFonts w:ascii="Book Antiqua" w:hAnsi="Book Antiqua"/>
        </w:rPr>
        <w:t xml:space="preserve">, Rangel-Zúñiga OA, Alcalá-Díaz JF, López-Moreno J, Roncero-Ramos I, Molina-Abril H, Yubero-Serrano EM, Caballero-Villarraso J, Delgado-Lista J, Castaño JP, Ordovás JM, Pérez-Martinez P, Camargo A, López-Miranda J. Circulating miRNAs as Predictive Biomarkers of Type 2 Diabetes Mellitus Development in Coronary Heart Disease Patients from the CORDIOPREV Study. </w:t>
      </w:r>
      <w:r>
        <w:rPr>
          <w:rFonts w:ascii="Book Antiqua" w:hAnsi="Book Antiqua"/>
          <w:i/>
          <w:iCs/>
        </w:rPr>
        <w:t>Mol Ther Nucleic Acids</w:t>
      </w:r>
      <w:r>
        <w:rPr>
          <w:rFonts w:ascii="Book Antiqua" w:hAnsi="Book Antiqua"/>
        </w:rPr>
        <w:t xml:space="preserve"> 2018; </w:t>
      </w:r>
      <w:r>
        <w:rPr>
          <w:rFonts w:ascii="Book Antiqua" w:hAnsi="Book Antiqua"/>
          <w:b/>
          <w:bCs/>
        </w:rPr>
        <w:t>12</w:t>
      </w:r>
      <w:r>
        <w:rPr>
          <w:rFonts w:ascii="Book Antiqua" w:hAnsi="Book Antiqua"/>
        </w:rPr>
        <w:t>: 146-157 [PMID: 30195754 DOI: 10.1016/j.omtn.2018.05.002]</w:t>
      </w:r>
    </w:p>
    <w:p w14:paraId="70748725" w14:textId="77777777" w:rsidR="00BA6BF8" w:rsidRDefault="00000000">
      <w:pPr>
        <w:spacing w:line="360" w:lineRule="auto"/>
        <w:jc w:val="both"/>
        <w:rPr>
          <w:rFonts w:ascii="Book Antiqua" w:hAnsi="Book Antiqua"/>
        </w:rPr>
      </w:pPr>
      <w:r>
        <w:rPr>
          <w:rFonts w:ascii="Book Antiqua" w:hAnsi="Book Antiqua"/>
        </w:rPr>
        <w:t xml:space="preserve">104 </w:t>
      </w:r>
      <w:r>
        <w:rPr>
          <w:rFonts w:ascii="Book Antiqua" w:hAnsi="Book Antiqua"/>
          <w:b/>
          <w:bCs/>
        </w:rPr>
        <w:t>Amr KS</w:t>
      </w:r>
      <w:r>
        <w:rPr>
          <w:rFonts w:ascii="Book Antiqua" w:hAnsi="Book Antiqua"/>
        </w:rPr>
        <w:t xml:space="preserve">, Abdelmawgoud H, Ali ZY, Shehata S, Raslan HM. Potential value of circulating microRNA-126 and microRNA-210 as biomarkers for type 2 diabetes with coronary artery disease. </w:t>
      </w:r>
      <w:r>
        <w:rPr>
          <w:rFonts w:ascii="Book Antiqua" w:hAnsi="Book Antiqua"/>
          <w:i/>
          <w:iCs/>
        </w:rPr>
        <w:t>Br J Biomed Sci</w:t>
      </w:r>
      <w:r>
        <w:rPr>
          <w:rFonts w:ascii="Book Antiqua" w:hAnsi="Book Antiqua"/>
        </w:rPr>
        <w:t xml:space="preserve"> 2018; </w:t>
      </w:r>
      <w:r>
        <w:rPr>
          <w:rFonts w:ascii="Book Antiqua" w:hAnsi="Book Antiqua"/>
          <w:b/>
          <w:bCs/>
        </w:rPr>
        <w:t>75</w:t>
      </w:r>
      <w:r>
        <w:rPr>
          <w:rFonts w:ascii="Book Antiqua" w:hAnsi="Book Antiqua"/>
        </w:rPr>
        <w:t>: 82-87 [PMID: 29452547 DOI: 10.1080/09674845.2017.1402404]</w:t>
      </w:r>
    </w:p>
    <w:p w14:paraId="41719B70" w14:textId="77777777" w:rsidR="00BA6BF8" w:rsidRDefault="00000000">
      <w:pPr>
        <w:spacing w:line="360" w:lineRule="auto"/>
        <w:jc w:val="both"/>
        <w:rPr>
          <w:rFonts w:ascii="Book Antiqua" w:hAnsi="Book Antiqua"/>
        </w:rPr>
      </w:pPr>
      <w:r>
        <w:rPr>
          <w:rFonts w:ascii="Book Antiqua" w:hAnsi="Book Antiqua"/>
        </w:rPr>
        <w:t xml:space="preserve">105 </w:t>
      </w:r>
      <w:r>
        <w:rPr>
          <w:rFonts w:ascii="Book Antiqua" w:hAnsi="Book Antiqua"/>
          <w:b/>
          <w:bCs/>
        </w:rPr>
        <w:t>Stępień EŁ</w:t>
      </w:r>
      <w:r>
        <w:rPr>
          <w:rFonts w:ascii="Book Antiqua" w:hAnsi="Book Antiqua"/>
        </w:rPr>
        <w:t xml:space="preserve">, Durak-Kozica M, Kamińska A, Targosz-Korecka M, Libera M, Tylko G, Opalińska A, Kapusta M, Solnica B, Georgescu A, Costa MC, Czyżewska-Buczyńska A, Witkiewicz W, Małecki MT, Enguita FJ. Circulating ectosomes: Determination of </w:t>
      </w:r>
      <w:r>
        <w:rPr>
          <w:rFonts w:ascii="Book Antiqua" w:hAnsi="Book Antiqua"/>
        </w:rPr>
        <w:lastRenderedPageBreak/>
        <w:t xml:space="preserve">angiogenic microRNAs in type 2 diabetes. </w:t>
      </w:r>
      <w:r>
        <w:rPr>
          <w:rFonts w:ascii="Book Antiqua" w:hAnsi="Book Antiqua"/>
          <w:i/>
          <w:iCs/>
        </w:rPr>
        <w:t>Theranostics</w:t>
      </w:r>
      <w:r>
        <w:rPr>
          <w:rFonts w:ascii="Book Antiqua" w:hAnsi="Book Antiqua"/>
        </w:rPr>
        <w:t xml:space="preserve"> 2018; </w:t>
      </w:r>
      <w:r>
        <w:rPr>
          <w:rFonts w:ascii="Book Antiqua" w:hAnsi="Book Antiqua"/>
          <w:b/>
          <w:bCs/>
        </w:rPr>
        <w:t>8</w:t>
      </w:r>
      <w:r>
        <w:rPr>
          <w:rFonts w:ascii="Book Antiqua" w:hAnsi="Book Antiqua"/>
        </w:rPr>
        <w:t>: 3874-3890 [PMID: 30083267 DOI: 10.7150/thno.23334]</w:t>
      </w:r>
    </w:p>
    <w:p w14:paraId="3E650169" w14:textId="77777777" w:rsidR="00BA6BF8" w:rsidRDefault="00000000">
      <w:pPr>
        <w:spacing w:line="360" w:lineRule="auto"/>
        <w:jc w:val="both"/>
        <w:rPr>
          <w:rFonts w:ascii="Book Antiqua" w:hAnsi="Book Antiqua"/>
        </w:rPr>
      </w:pPr>
      <w:r>
        <w:rPr>
          <w:rFonts w:ascii="Book Antiqua" w:hAnsi="Book Antiqua"/>
        </w:rPr>
        <w:t xml:space="preserve">106 </w:t>
      </w:r>
      <w:r>
        <w:rPr>
          <w:rFonts w:ascii="Book Antiqua" w:hAnsi="Book Antiqua"/>
          <w:b/>
          <w:bCs/>
        </w:rPr>
        <w:t>Ruan Q</w:t>
      </w:r>
      <w:r>
        <w:rPr>
          <w:rFonts w:ascii="Book Antiqua" w:hAnsi="Book Antiqua"/>
        </w:rPr>
        <w:t xml:space="preserve">, Wang T, Kameswaran V, Wei Q, Johnson DS, Matschinsky F, Shi W, Chen YH. The microRNA-21-PDCD4 axis prevents type 1 diabetes by blocking pancreatic beta cell death. </w:t>
      </w:r>
      <w:r>
        <w:rPr>
          <w:rFonts w:ascii="Book Antiqua" w:hAnsi="Book Antiqua"/>
          <w:i/>
          <w:iCs/>
        </w:rPr>
        <w:t>Proc Natl Acad Sci U S A</w:t>
      </w:r>
      <w:r>
        <w:rPr>
          <w:rFonts w:ascii="Book Antiqua" w:hAnsi="Book Antiqua"/>
        </w:rPr>
        <w:t xml:space="preserve"> 2011; </w:t>
      </w:r>
      <w:r>
        <w:rPr>
          <w:rFonts w:ascii="Book Antiqua" w:hAnsi="Book Antiqua"/>
          <w:b/>
          <w:bCs/>
        </w:rPr>
        <w:t>108</w:t>
      </w:r>
      <w:r>
        <w:rPr>
          <w:rFonts w:ascii="Book Antiqua" w:hAnsi="Book Antiqua"/>
        </w:rPr>
        <w:t>: 12030-12035 [PMID: 21730150 DOI: 10.1073/pnas.1101450108]</w:t>
      </w:r>
    </w:p>
    <w:p w14:paraId="43F3FE4C" w14:textId="77777777" w:rsidR="00BA6BF8" w:rsidRDefault="00000000">
      <w:pPr>
        <w:spacing w:line="360" w:lineRule="auto"/>
        <w:jc w:val="both"/>
        <w:rPr>
          <w:rFonts w:ascii="Book Antiqua" w:hAnsi="Book Antiqua"/>
        </w:rPr>
      </w:pPr>
      <w:r>
        <w:rPr>
          <w:rFonts w:ascii="Book Antiqua" w:hAnsi="Book Antiqua"/>
        </w:rPr>
        <w:t xml:space="preserve">107 </w:t>
      </w:r>
      <w:r>
        <w:rPr>
          <w:rFonts w:ascii="Book Antiqua" w:hAnsi="Book Antiqua"/>
          <w:b/>
          <w:bCs/>
        </w:rPr>
        <w:t>Sims EK</w:t>
      </w:r>
      <w:r>
        <w:rPr>
          <w:rFonts w:ascii="Book Antiqua" w:hAnsi="Book Antiqua"/>
        </w:rPr>
        <w:t xml:space="preserve">, Lakhter AJ, Anderson-Baucum E, Kono T, Tong X, Evans-Molina C. MicroRNA 21 targets BCL2 mRNA to increase apoptosis in rat and human beta cells. </w:t>
      </w:r>
      <w:r>
        <w:rPr>
          <w:rFonts w:ascii="Book Antiqua" w:hAnsi="Book Antiqua"/>
          <w:i/>
          <w:iCs/>
        </w:rPr>
        <w:t>Diabetologia</w:t>
      </w:r>
      <w:r>
        <w:rPr>
          <w:rFonts w:ascii="Book Antiqua" w:hAnsi="Book Antiqua"/>
        </w:rPr>
        <w:t xml:space="preserve"> 2017; </w:t>
      </w:r>
      <w:r>
        <w:rPr>
          <w:rFonts w:ascii="Book Antiqua" w:hAnsi="Book Antiqua"/>
          <w:b/>
          <w:bCs/>
        </w:rPr>
        <w:t>60</w:t>
      </w:r>
      <w:r>
        <w:rPr>
          <w:rFonts w:ascii="Book Antiqua" w:hAnsi="Book Antiqua"/>
        </w:rPr>
        <w:t>: 1057-1065 [PMID: 28280903 DOI: 10.1007/s00125-017-4237-z]</w:t>
      </w:r>
    </w:p>
    <w:p w14:paraId="026F8BB2" w14:textId="77777777" w:rsidR="00BA6BF8" w:rsidRDefault="00000000">
      <w:pPr>
        <w:spacing w:line="360" w:lineRule="auto"/>
        <w:jc w:val="both"/>
        <w:rPr>
          <w:rFonts w:ascii="Book Antiqua" w:hAnsi="Book Antiqua"/>
        </w:rPr>
      </w:pPr>
      <w:r>
        <w:rPr>
          <w:rFonts w:ascii="Book Antiqua" w:hAnsi="Book Antiqua"/>
        </w:rPr>
        <w:t xml:space="preserve">108 </w:t>
      </w:r>
      <w:r>
        <w:rPr>
          <w:rFonts w:ascii="Book Antiqua" w:hAnsi="Book Antiqua"/>
          <w:b/>
          <w:bCs/>
        </w:rPr>
        <w:t>Grieco FA</w:t>
      </w:r>
      <w:r>
        <w:rPr>
          <w:rFonts w:ascii="Book Antiqua" w:hAnsi="Book Antiqua"/>
        </w:rPr>
        <w:t xml:space="preserve">, Sebastiani G, Juan-Mateu J, Villate O, Marroqui L, Ladrière L, Tugay K, Regazzi R, Bugliani M, Marchetti P, Dotta F, Eizirik DL. MicroRNAs miR-23a-3p, miR-23b-3p, and miR-149-5p Regulate the Expression of Proapoptotic BH3-Only Proteins DP5 and PUMA in Human Pancreatic β-Cells. </w:t>
      </w:r>
      <w:r>
        <w:rPr>
          <w:rFonts w:ascii="Book Antiqua" w:hAnsi="Book Antiqua"/>
          <w:i/>
          <w:iCs/>
        </w:rPr>
        <w:t>Diabetes</w:t>
      </w:r>
      <w:r>
        <w:rPr>
          <w:rFonts w:ascii="Book Antiqua" w:hAnsi="Book Antiqua"/>
        </w:rPr>
        <w:t xml:space="preserve"> 2017; </w:t>
      </w:r>
      <w:r>
        <w:rPr>
          <w:rFonts w:ascii="Book Antiqua" w:hAnsi="Book Antiqua"/>
          <w:b/>
          <w:bCs/>
        </w:rPr>
        <w:t>66</w:t>
      </w:r>
      <w:r>
        <w:rPr>
          <w:rFonts w:ascii="Book Antiqua" w:hAnsi="Book Antiqua"/>
        </w:rPr>
        <w:t>: 100-112 [PMID: 27737950 DOI: 10.2337/db16-0592]</w:t>
      </w:r>
    </w:p>
    <w:p w14:paraId="0C4ED63A" w14:textId="77777777" w:rsidR="00BA6BF8" w:rsidRDefault="00000000">
      <w:pPr>
        <w:spacing w:line="360" w:lineRule="auto"/>
        <w:jc w:val="both"/>
        <w:rPr>
          <w:rFonts w:ascii="Book Antiqua" w:hAnsi="Book Antiqua"/>
        </w:rPr>
      </w:pPr>
      <w:r>
        <w:rPr>
          <w:rFonts w:ascii="Book Antiqua" w:hAnsi="Book Antiqua"/>
        </w:rPr>
        <w:t xml:space="preserve">109 </w:t>
      </w:r>
      <w:r>
        <w:rPr>
          <w:rFonts w:ascii="Book Antiqua" w:hAnsi="Book Antiqua"/>
          <w:b/>
          <w:bCs/>
        </w:rPr>
        <w:t>Zheng Y</w:t>
      </w:r>
      <w:r>
        <w:rPr>
          <w:rFonts w:ascii="Book Antiqua" w:hAnsi="Book Antiqua"/>
        </w:rPr>
        <w:t xml:space="preserve">, Wang Z, Tu Y, Shen H, Dai Z, Lin J, Zhou Z. miR-101a and miR-30b contribute to inflammatory cytokine-mediated β-cell dysfunction. </w:t>
      </w:r>
      <w:r>
        <w:rPr>
          <w:rFonts w:ascii="Book Antiqua" w:hAnsi="Book Antiqua"/>
          <w:i/>
          <w:iCs/>
        </w:rPr>
        <w:t>Lab Invest</w:t>
      </w:r>
      <w:r>
        <w:rPr>
          <w:rFonts w:ascii="Book Antiqua" w:hAnsi="Book Antiqua"/>
        </w:rPr>
        <w:t xml:space="preserve"> 2015; </w:t>
      </w:r>
      <w:r>
        <w:rPr>
          <w:rFonts w:ascii="Book Antiqua" w:hAnsi="Book Antiqua"/>
          <w:b/>
          <w:bCs/>
        </w:rPr>
        <w:t>95</w:t>
      </w:r>
      <w:r>
        <w:rPr>
          <w:rFonts w:ascii="Book Antiqua" w:hAnsi="Book Antiqua"/>
        </w:rPr>
        <w:t>: 1387-1397 [PMID: 26367486 DOI: 10.1038/labinvest.2015.112]</w:t>
      </w:r>
    </w:p>
    <w:p w14:paraId="477D2924" w14:textId="77777777" w:rsidR="00BA6BF8" w:rsidRDefault="00000000">
      <w:pPr>
        <w:spacing w:line="360" w:lineRule="auto"/>
        <w:jc w:val="both"/>
        <w:rPr>
          <w:rFonts w:ascii="Book Antiqua" w:hAnsi="Book Antiqua"/>
        </w:rPr>
      </w:pPr>
      <w:r>
        <w:rPr>
          <w:rFonts w:ascii="Book Antiqua" w:hAnsi="Book Antiqua"/>
        </w:rPr>
        <w:t xml:space="preserve">110 </w:t>
      </w:r>
      <w:r>
        <w:rPr>
          <w:rFonts w:ascii="Book Antiqua" w:hAnsi="Book Antiqua"/>
          <w:b/>
          <w:bCs/>
        </w:rPr>
        <w:t>Tsukita S</w:t>
      </w:r>
      <w:r>
        <w:rPr>
          <w:rFonts w:ascii="Book Antiqua" w:hAnsi="Book Antiqua"/>
        </w:rPr>
        <w:t xml:space="preserve">, Yamada T, Takahashi K, Munakata Y, Hosaka S, Takahashi H, Gao J, Shirai Y, Kodama S, Asai Y, Sugisawa T, Chiba Y, Kaneko K, Uno K, Sawada S, Imai J, Katagiri H. MicroRNAs 106b and 222 Improve Hyperglycemia in a Mouse Model of Insulin-Deficient Diabetes via Pancreatic β-Cell Proliferation. </w:t>
      </w:r>
      <w:r>
        <w:rPr>
          <w:rFonts w:ascii="Book Antiqua" w:hAnsi="Book Antiqua"/>
          <w:i/>
          <w:iCs/>
        </w:rPr>
        <w:t>EBioMedicine</w:t>
      </w:r>
      <w:r>
        <w:rPr>
          <w:rFonts w:ascii="Book Antiqua" w:hAnsi="Book Antiqua"/>
        </w:rPr>
        <w:t xml:space="preserve"> 2017; </w:t>
      </w:r>
      <w:r>
        <w:rPr>
          <w:rFonts w:ascii="Book Antiqua" w:hAnsi="Book Antiqua"/>
          <w:b/>
          <w:bCs/>
        </w:rPr>
        <w:t>15</w:t>
      </w:r>
      <w:r>
        <w:rPr>
          <w:rFonts w:ascii="Book Antiqua" w:hAnsi="Book Antiqua"/>
        </w:rPr>
        <w:t>: 163-172 [PMID: 27974246 DOI: 10.1016/j.ebiom.2016.12.002]</w:t>
      </w:r>
    </w:p>
    <w:p w14:paraId="27A03225" w14:textId="77777777" w:rsidR="00BA6BF8" w:rsidRDefault="00000000">
      <w:pPr>
        <w:spacing w:line="360" w:lineRule="auto"/>
        <w:jc w:val="both"/>
        <w:rPr>
          <w:rFonts w:ascii="Book Antiqua" w:hAnsi="Book Antiqua"/>
        </w:rPr>
      </w:pPr>
      <w:r>
        <w:rPr>
          <w:rFonts w:ascii="Book Antiqua" w:hAnsi="Book Antiqua"/>
        </w:rPr>
        <w:t xml:space="preserve">111 </w:t>
      </w:r>
      <w:r>
        <w:rPr>
          <w:rFonts w:ascii="Book Antiqua" w:hAnsi="Book Antiqua"/>
          <w:b/>
          <w:bCs/>
        </w:rPr>
        <w:t>Nabih ES</w:t>
      </w:r>
      <w:r>
        <w:rPr>
          <w:rFonts w:ascii="Book Antiqua" w:hAnsi="Book Antiqua"/>
        </w:rPr>
        <w:t xml:space="preserve">, Andrawes NG. The Association Between Circulating Levels of miRNA-181a and Pancreatic Beta Cells Dysfunction via SMAD7 in Type 1 Diabetic Children and Adolescents. </w:t>
      </w:r>
      <w:r>
        <w:rPr>
          <w:rFonts w:ascii="Book Antiqua" w:hAnsi="Book Antiqua"/>
          <w:i/>
          <w:iCs/>
        </w:rPr>
        <w:t>J Clin Lab Anal</w:t>
      </w:r>
      <w:r>
        <w:rPr>
          <w:rFonts w:ascii="Book Antiqua" w:hAnsi="Book Antiqua"/>
        </w:rPr>
        <w:t xml:space="preserve"> 2016; </w:t>
      </w:r>
      <w:r>
        <w:rPr>
          <w:rFonts w:ascii="Book Antiqua" w:hAnsi="Book Antiqua"/>
          <w:b/>
          <w:bCs/>
        </w:rPr>
        <w:t>30</w:t>
      </w:r>
      <w:r>
        <w:rPr>
          <w:rFonts w:ascii="Book Antiqua" w:hAnsi="Book Antiqua"/>
        </w:rPr>
        <w:t>: 727-731 [PMID: 26892629 DOI: 10.1002/jcla.21928]</w:t>
      </w:r>
    </w:p>
    <w:p w14:paraId="47B08B75" w14:textId="77777777" w:rsidR="00BA6BF8" w:rsidRDefault="00000000">
      <w:pPr>
        <w:spacing w:line="360" w:lineRule="auto"/>
        <w:jc w:val="both"/>
        <w:rPr>
          <w:rFonts w:ascii="Book Antiqua" w:hAnsi="Book Antiqua"/>
        </w:rPr>
      </w:pPr>
      <w:r>
        <w:rPr>
          <w:rFonts w:ascii="Book Antiqua" w:hAnsi="Book Antiqua"/>
        </w:rPr>
        <w:t xml:space="preserve">112 </w:t>
      </w:r>
      <w:r>
        <w:rPr>
          <w:rFonts w:ascii="Book Antiqua" w:hAnsi="Book Antiqua"/>
          <w:b/>
          <w:bCs/>
        </w:rPr>
        <w:t>Zhang Y</w:t>
      </w:r>
      <w:r>
        <w:rPr>
          <w:rFonts w:ascii="Book Antiqua" w:hAnsi="Book Antiqua"/>
        </w:rPr>
        <w:t xml:space="preserve">, Feng ZP, Naselli G, Bell F, Wettenhall J, Auyeung P, Ellis JA, Ponsonby AL, Speed TP, Chong MM, Harrison LC. MicroRNAs in CD4(+) T cell subsets are markers of disease risk and T cell dysfunction in individuals at risk for type 1 diabetes. </w:t>
      </w:r>
      <w:r>
        <w:rPr>
          <w:rFonts w:ascii="Book Antiqua" w:hAnsi="Book Antiqua"/>
          <w:i/>
          <w:iCs/>
        </w:rPr>
        <w:t>J Autoimmun</w:t>
      </w:r>
      <w:r>
        <w:rPr>
          <w:rFonts w:ascii="Book Antiqua" w:hAnsi="Book Antiqua"/>
        </w:rPr>
        <w:t xml:space="preserve"> 2016; </w:t>
      </w:r>
      <w:r>
        <w:rPr>
          <w:rFonts w:ascii="Book Antiqua" w:hAnsi="Book Antiqua"/>
          <w:b/>
          <w:bCs/>
        </w:rPr>
        <w:t>68</w:t>
      </w:r>
      <w:r>
        <w:rPr>
          <w:rFonts w:ascii="Book Antiqua" w:hAnsi="Book Antiqua"/>
        </w:rPr>
        <w:t>: 52-61 [PMID: 26786119 DOI: 10.1016/j.jaut.2015.12.006]</w:t>
      </w:r>
    </w:p>
    <w:p w14:paraId="5AE2F56C" w14:textId="77777777" w:rsidR="00BA6BF8" w:rsidRDefault="00000000">
      <w:pPr>
        <w:spacing w:line="360" w:lineRule="auto"/>
        <w:jc w:val="both"/>
        <w:rPr>
          <w:rFonts w:ascii="Book Antiqua" w:hAnsi="Book Antiqua"/>
        </w:rPr>
      </w:pPr>
      <w:r>
        <w:rPr>
          <w:rFonts w:ascii="Book Antiqua" w:hAnsi="Book Antiqua"/>
        </w:rPr>
        <w:lastRenderedPageBreak/>
        <w:t xml:space="preserve">113 </w:t>
      </w:r>
      <w:r>
        <w:rPr>
          <w:rFonts w:ascii="Book Antiqua" w:hAnsi="Book Antiqua"/>
          <w:b/>
          <w:bCs/>
        </w:rPr>
        <w:t>de Jong VM</w:t>
      </w:r>
      <w:r>
        <w:rPr>
          <w:rFonts w:ascii="Book Antiqua" w:hAnsi="Book Antiqua"/>
        </w:rPr>
        <w:t xml:space="preserve">, van der Slik AR, Laban S, van 't Slot R, Koeleman BP, Zaldumbide A, Roep BO. Survival of autoreactive T lymphocytes by microRNA-mediated regulation of apoptosis through TRAIL and Fas in type 1 diabetes. </w:t>
      </w:r>
      <w:r>
        <w:rPr>
          <w:rFonts w:ascii="Book Antiqua" w:hAnsi="Book Antiqua"/>
          <w:i/>
          <w:iCs/>
        </w:rPr>
        <w:t>Genes Immun</w:t>
      </w:r>
      <w:r>
        <w:rPr>
          <w:rFonts w:ascii="Book Antiqua" w:hAnsi="Book Antiqua"/>
        </w:rPr>
        <w:t xml:space="preserve"> 2016; </w:t>
      </w:r>
      <w:r>
        <w:rPr>
          <w:rFonts w:ascii="Book Antiqua" w:hAnsi="Book Antiqua"/>
          <w:b/>
          <w:bCs/>
        </w:rPr>
        <w:t>17</w:t>
      </w:r>
      <w:r>
        <w:rPr>
          <w:rFonts w:ascii="Book Antiqua" w:hAnsi="Book Antiqua"/>
        </w:rPr>
        <w:t>: 342-348 [PMID: 27467285 DOI: 10.1038/gene.2016.29]</w:t>
      </w:r>
    </w:p>
    <w:p w14:paraId="4FEE1BFB" w14:textId="77777777" w:rsidR="00BA6BF8" w:rsidRDefault="00000000">
      <w:pPr>
        <w:spacing w:line="360" w:lineRule="auto"/>
        <w:jc w:val="both"/>
        <w:rPr>
          <w:rFonts w:ascii="Book Antiqua" w:hAnsi="Book Antiqua"/>
        </w:rPr>
      </w:pPr>
      <w:r>
        <w:rPr>
          <w:rFonts w:ascii="Book Antiqua" w:hAnsi="Book Antiqua"/>
        </w:rPr>
        <w:t xml:space="preserve">114 </w:t>
      </w:r>
      <w:r>
        <w:rPr>
          <w:rFonts w:ascii="Book Antiqua" w:hAnsi="Book Antiqua"/>
          <w:b/>
          <w:bCs/>
        </w:rPr>
        <w:t>Berry GJ</w:t>
      </w:r>
      <w:r>
        <w:rPr>
          <w:rFonts w:ascii="Book Antiqua" w:hAnsi="Book Antiqua"/>
        </w:rPr>
        <w:t xml:space="preserve">, Budgeon LR, Cooper TK, Christensen ND, Waldner H. The type 1 diabetes resistance locus B10 Idd9.3 mediates impaired B-cell lymphopoiesis and implicates microRNA-34a in diabetes protection. </w:t>
      </w:r>
      <w:r>
        <w:rPr>
          <w:rFonts w:ascii="Book Antiqua" w:hAnsi="Book Antiqua"/>
          <w:i/>
          <w:iCs/>
        </w:rPr>
        <w:t>Eur J Immunol</w:t>
      </w:r>
      <w:r>
        <w:rPr>
          <w:rFonts w:ascii="Book Antiqua" w:hAnsi="Book Antiqua"/>
        </w:rPr>
        <w:t xml:space="preserve"> 2014; </w:t>
      </w:r>
      <w:r>
        <w:rPr>
          <w:rFonts w:ascii="Book Antiqua" w:hAnsi="Book Antiqua"/>
          <w:b/>
          <w:bCs/>
        </w:rPr>
        <w:t>44</w:t>
      </w:r>
      <w:r>
        <w:rPr>
          <w:rFonts w:ascii="Book Antiqua" w:hAnsi="Book Antiqua"/>
        </w:rPr>
        <w:t>: 1716-1727 [PMID: 24752729 DOI: 10.1002/eji.201344116]</w:t>
      </w:r>
    </w:p>
    <w:p w14:paraId="7CB44DA9" w14:textId="77777777" w:rsidR="00BA6BF8" w:rsidRDefault="00000000">
      <w:pPr>
        <w:spacing w:line="360" w:lineRule="auto"/>
        <w:jc w:val="both"/>
        <w:rPr>
          <w:rFonts w:ascii="Book Antiqua" w:hAnsi="Book Antiqua"/>
        </w:rPr>
      </w:pPr>
      <w:r>
        <w:rPr>
          <w:rFonts w:ascii="Book Antiqua" w:hAnsi="Book Antiqua"/>
        </w:rPr>
        <w:t xml:space="preserve">115 </w:t>
      </w:r>
      <w:r>
        <w:rPr>
          <w:rFonts w:ascii="Book Antiqua" w:hAnsi="Book Antiqua"/>
          <w:b/>
          <w:bCs/>
        </w:rPr>
        <w:t>Bhatt S</w:t>
      </w:r>
      <w:r>
        <w:rPr>
          <w:rFonts w:ascii="Book Antiqua" w:hAnsi="Book Antiqua"/>
        </w:rPr>
        <w:t xml:space="preserve">, Gupta MK, Khamaisi M, Martinez R, Gritsenko MA, Wagner BK, Guye P, Busskamp V, Shirakawa J, Wu G, Liew CW, Clauss TR, Valdez I, El Ouaamari A, Dirice E, Takatani T, Keenan HA, Smith RD, Church G, Weiss R, Wagers AJ, Qian WJ, King GL, Kulkarni RN. Preserved DNA Damage Checkpoint Pathway Protects against Complications in Long-Standing Type 1 Diabetes. </w:t>
      </w:r>
      <w:r>
        <w:rPr>
          <w:rFonts w:ascii="Book Antiqua" w:hAnsi="Book Antiqua"/>
          <w:i/>
          <w:iCs/>
        </w:rPr>
        <w:t>Cell Metab</w:t>
      </w:r>
      <w:r>
        <w:rPr>
          <w:rFonts w:ascii="Book Antiqua" w:hAnsi="Book Antiqua"/>
        </w:rPr>
        <w:t xml:space="preserve"> 2015; </w:t>
      </w:r>
      <w:r>
        <w:rPr>
          <w:rFonts w:ascii="Book Antiqua" w:hAnsi="Book Antiqua"/>
          <w:b/>
          <w:bCs/>
        </w:rPr>
        <w:t>22</w:t>
      </w:r>
      <w:r>
        <w:rPr>
          <w:rFonts w:ascii="Book Antiqua" w:hAnsi="Book Antiqua"/>
        </w:rPr>
        <w:t>: 239-252 [PMID: 26244933 DOI: 10.1016/j.cmet.2015.07.015]</w:t>
      </w:r>
    </w:p>
    <w:p w14:paraId="2C1458A9" w14:textId="77777777" w:rsidR="00BA6BF8" w:rsidRDefault="00000000">
      <w:pPr>
        <w:spacing w:line="360" w:lineRule="auto"/>
        <w:jc w:val="both"/>
        <w:rPr>
          <w:rFonts w:ascii="Book Antiqua" w:hAnsi="Book Antiqua"/>
        </w:rPr>
      </w:pPr>
      <w:r>
        <w:rPr>
          <w:rFonts w:ascii="Book Antiqua" w:hAnsi="Book Antiqua"/>
        </w:rPr>
        <w:t xml:space="preserve">116 </w:t>
      </w:r>
      <w:r>
        <w:rPr>
          <w:rFonts w:ascii="Book Antiqua" w:hAnsi="Book Antiqua"/>
          <w:b/>
          <w:bCs/>
        </w:rPr>
        <w:t>Yu M</w:t>
      </w:r>
      <w:r>
        <w:rPr>
          <w:rFonts w:ascii="Book Antiqua" w:hAnsi="Book Antiqua"/>
        </w:rPr>
        <w:t xml:space="preserve">, Liu Y, Zhang B, Shi Y, Cui L, Zhao X. Inhibiting microRNA-144 abates oxidative stress and reduces apoptosis in hearts of streptozotocin-induced diabetic mice. </w:t>
      </w:r>
      <w:r>
        <w:rPr>
          <w:rFonts w:ascii="Book Antiqua" w:hAnsi="Book Antiqua"/>
          <w:i/>
          <w:iCs/>
        </w:rPr>
        <w:t>Cardiovasc Pathol</w:t>
      </w:r>
      <w:r>
        <w:rPr>
          <w:rFonts w:ascii="Book Antiqua" w:hAnsi="Book Antiqua"/>
        </w:rPr>
        <w:t xml:space="preserve"> 2015; </w:t>
      </w:r>
      <w:r>
        <w:rPr>
          <w:rFonts w:ascii="Book Antiqua" w:hAnsi="Book Antiqua"/>
          <w:b/>
          <w:bCs/>
        </w:rPr>
        <w:t>24</w:t>
      </w:r>
      <w:r>
        <w:rPr>
          <w:rFonts w:ascii="Book Antiqua" w:hAnsi="Book Antiqua"/>
        </w:rPr>
        <w:t>: 375-381 [PMID: 26164195 DOI: 10.1016/j.carpath.2015.06.003]</w:t>
      </w:r>
    </w:p>
    <w:p w14:paraId="239A266F" w14:textId="77777777" w:rsidR="00BA6BF8" w:rsidRDefault="00000000">
      <w:pPr>
        <w:spacing w:line="360" w:lineRule="auto"/>
        <w:jc w:val="both"/>
        <w:rPr>
          <w:rFonts w:ascii="Book Antiqua" w:hAnsi="Book Antiqua"/>
        </w:rPr>
      </w:pPr>
      <w:r>
        <w:rPr>
          <w:rFonts w:ascii="Book Antiqua" w:hAnsi="Book Antiqua"/>
        </w:rPr>
        <w:t xml:space="preserve">117 </w:t>
      </w:r>
      <w:r>
        <w:rPr>
          <w:rFonts w:ascii="Book Antiqua" w:hAnsi="Book Antiqua"/>
          <w:b/>
          <w:bCs/>
        </w:rPr>
        <w:t>Yang M</w:t>
      </w:r>
      <w:r>
        <w:rPr>
          <w:rFonts w:ascii="Book Antiqua" w:hAnsi="Book Antiqua"/>
        </w:rPr>
        <w:t xml:space="preserve">, Ye L, Wang B, Gao J, Liu R, Hong J, Wang W, Gu W, Ning G. Decreased miR-146 expression in peripheral blood mononuclear cells is correlated with ongoing islet autoimmunity in type 1 diabetes patients 1miR-146. </w:t>
      </w:r>
      <w:r>
        <w:rPr>
          <w:rFonts w:ascii="Book Antiqua" w:hAnsi="Book Antiqua"/>
          <w:i/>
          <w:iCs/>
        </w:rPr>
        <w:t>J Diabetes</w:t>
      </w:r>
      <w:r>
        <w:rPr>
          <w:rFonts w:ascii="Book Antiqua" w:hAnsi="Book Antiqua"/>
        </w:rPr>
        <w:t xml:space="preserve"> 2015; </w:t>
      </w:r>
      <w:r>
        <w:rPr>
          <w:rFonts w:ascii="Book Antiqua" w:hAnsi="Book Antiqua"/>
          <w:b/>
          <w:bCs/>
        </w:rPr>
        <w:t>7</w:t>
      </w:r>
      <w:r>
        <w:rPr>
          <w:rFonts w:ascii="Book Antiqua" w:hAnsi="Book Antiqua"/>
        </w:rPr>
        <w:t>: 158-165 [PMID: 24796653 DOI: 10.1111/1753-0407.12163]</w:t>
      </w:r>
    </w:p>
    <w:p w14:paraId="6BC13E66" w14:textId="77777777" w:rsidR="00BA6BF8" w:rsidRDefault="00000000">
      <w:pPr>
        <w:spacing w:line="360" w:lineRule="auto"/>
        <w:jc w:val="both"/>
        <w:rPr>
          <w:rFonts w:ascii="Book Antiqua" w:hAnsi="Book Antiqua"/>
        </w:rPr>
      </w:pPr>
      <w:r>
        <w:rPr>
          <w:rFonts w:ascii="Book Antiqua" w:hAnsi="Book Antiqua"/>
        </w:rPr>
        <w:t xml:space="preserve">118 </w:t>
      </w:r>
      <w:r>
        <w:rPr>
          <w:rFonts w:ascii="Book Antiqua" w:hAnsi="Book Antiqua"/>
          <w:b/>
          <w:bCs/>
        </w:rPr>
        <w:t>Bonner C</w:t>
      </w:r>
      <w:r>
        <w:rPr>
          <w:rFonts w:ascii="Book Antiqua" w:hAnsi="Book Antiqua"/>
        </w:rPr>
        <w:t xml:space="preserve">, Nyhan KC, Bacon S, Kyithar MP, Schmid J, Concannon CG, Bray IM, Stallings RL, Prehn JH, Byrne MM. Identification of circulating microRNAs in HNF1A-MODY carriers. </w:t>
      </w:r>
      <w:r>
        <w:rPr>
          <w:rFonts w:ascii="Book Antiqua" w:hAnsi="Book Antiqua"/>
          <w:i/>
          <w:iCs/>
        </w:rPr>
        <w:t>Diabetologia</w:t>
      </w:r>
      <w:r>
        <w:rPr>
          <w:rFonts w:ascii="Book Antiqua" w:hAnsi="Book Antiqua"/>
        </w:rPr>
        <w:t xml:space="preserve"> 2013; </w:t>
      </w:r>
      <w:r>
        <w:rPr>
          <w:rFonts w:ascii="Book Antiqua" w:hAnsi="Book Antiqua"/>
          <w:b/>
          <w:bCs/>
        </w:rPr>
        <w:t>56</w:t>
      </w:r>
      <w:r>
        <w:rPr>
          <w:rFonts w:ascii="Book Antiqua" w:hAnsi="Book Antiqua"/>
        </w:rPr>
        <w:t>: 1743-1751 [PMID: 23674172 DOI: 10.1007/s00125-013-2939-4]</w:t>
      </w:r>
    </w:p>
    <w:p w14:paraId="6F83B33B" w14:textId="77777777" w:rsidR="00BA6BF8" w:rsidRDefault="00000000">
      <w:pPr>
        <w:spacing w:line="360" w:lineRule="auto"/>
        <w:jc w:val="both"/>
        <w:rPr>
          <w:rFonts w:ascii="Book Antiqua" w:hAnsi="Book Antiqua"/>
        </w:rPr>
      </w:pPr>
      <w:r>
        <w:rPr>
          <w:rFonts w:ascii="Book Antiqua" w:hAnsi="Book Antiqua"/>
        </w:rPr>
        <w:t xml:space="preserve">119 </w:t>
      </w:r>
      <w:r>
        <w:rPr>
          <w:rFonts w:ascii="Book Antiqua" w:hAnsi="Book Antiqua"/>
          <w:b/>
          <w:bCs/>
        </w:rPr>
        <w:t>Shi Z</w:t>
      </w:r>
      <w:r>
        <w:rPr>
          <w:rFonts w:ascii="Book Antiqua" w:hAnsi="Book Antiqua"/>
        </w:rPr>
        <w:t xml:space="preserve">, Zhao C, Guo X, Ding H, Cui Y, Shen R, Liu J. Differential expression of microRNAs in omental adipose tissue from gestational diabetes mellitus subjects reveals miR-222 as a regulator of ERα expression in estrogen-induced insulin resistance. </w:t>
      </w:r>
      <w:r>
        <w:rPr>
          <w:rFonts w:ascii="Book Antiqua" w:hAnsi="Book Antiqua"/>
          <w:i/>
          <w:iCs/>
        </w:rPr>
        <w:t>Endocrinology</w:t>
      </w:r>
      <w:r>
        <w:rPr>
          <w:rFonts w:ascii="Book Antiqua" w:hAnsi="Book Antiqua"/>
        </w:rPr>
        <w:t xml:space="preserve"> 2014; </w:t>
      </w:r>
      <w:r>
        <w:rPr>
          <w:rFonts w:ascii="Book Antiqua" w:hAnsi="Book Antiqua"/>
          <w:b/>
          <w:bCs/>
        </w:rPr>
        <w:t>155</w:t>
      </w:r>
      <w:r>
        <w:rPr>
          <w:rFonts w:ascii="Book Antiqua" w:hAnsi="Book Antiqua"/>
        </w:rPr>
        <w:t>: 1982-1990 [PMID: 24601884 DOI: 10.1210/en.2013-2046]</w:t>
      </w:r>
    </w:p>
    <w:p w14:paraId="2A7FD918" w14:textId="77777777" w:rsidR="00BA6BF8" w:rsidRDefault="00000000">
      <w:pPr>
        <w:spacing w:line="360" w:lineRule="auto"/>
        <w:jc w:val="both"/>
        <w:rPr>
          <w:rFonts w:ascii="Book Antiqua" w:hAnsi="Book Antiqua"/>
        </w:rPr>
      </w:pPr>
      <w:r>
        <w:rPr>
          <w:rFonts w:ascii="Book Antiqua" w:hAnsi="Book Antiqua"/>
        </w:rPr>
        <w:lastRenderedPageBreak/>
        <w:t xml:space="preserve">120 </w:t>
      </w:r>
      <w:r>
        <w:rPr>
          <w:rFonts w:ascii="Book Antiqua" w:hAnsi="Book Antiqua"/>
          <w:b/>
          <w:bCs/>
        </w:rPr>
        <w:t>Cao JL</w:t>
      </w:r>
      <w:r>
        <w:rPr>
          <w:rFonts w:ascii="Book Antiqua" w:hAnsi="Book Antiqua"/>
        </w:rPr>
        <w:t xml:space="preserve">, Zhang L, Li J, Tian S, Lv XD, Wang XQ, Su X, Li Y, Hu Y, Ma X, Xia HF. Up-regulation of miR-98 and unraveling regulatory mechanisms in gestational diabetes mellitus. </w:t>
      </w:r>
      <w:r>
        <w:rPr>
          <w:rFonts w:ascii="Book Antiqua" w:hAnsi="Book Antiqua"/>
          <w:i/>
          <w:iCs/>
        </w:rPr>
        <w:t>Sci Rep</w:t>
      </w:r>
      <w:r>
        <w:rPr>
          <w:rFonts w:ascii="Book Antiqua" w:hAnsi="Book Antiqua"/>
        </w:rPr>
        <w:t xml:space="preserve"> 2016; </w:t>
      </w:r>
      <w:r>
        <w:rPr>
          <w:rFonts w:ascii="Book Antiqua" w:hAnsi="Book Antiqua"/>
          <w:b/>
          <w:bCs/>
        </w:rPr>
        <w:t>6</w:t>
      </w:r>
      <w:r>
        <w:rPr>
          <w:rFonts w:ascii="Book Antiqua" w:hAnsi="Book Antiqua"/>
        </w:rPr>
        <w:t>: 32268 [PMID: 27573367 DOI: 10.1038/srep32268]</w:t>
      </w:r>
    </w:p>
    <w:p w14:paraId="05B82E89" w14:textId="77777777" w:rsidR="00BA6BF8" w:rsidRDefault="00000000">
      <w:pPr>
        <w:spacing w:line="360" w:lineRule="auto"/>
        <w:jc w:val="both"/>
        <w:rPr>
          <w:rFonts w:ascii="Book Antiqua" w:hAnsi="Book Antiqua"/>
        </w:rPr>
      </w:pPr>
      <w:r>
        <w:rPr>
          <w:rFonts w:ascii="Book Antiqua" w:hAnsi="Book Antiqua"/>
        </w:rPr>
        <w:t xml:space="preserve">121 </w:t>
      </w:r>
      <w:r>
        <w:rPr>
          <w:rFonts w:ascii="Book Antiqua" w:hAnsi="Book Antiqua"/>
          <w:b/>
          <w:bCs/>
        </w:rPr>
        <w:t>Zhao C</w:t>
      </w:r>
      <w:r>
        <w:rPr>
          <w:rFonts w:ascii="Book Antiqua" w:hAnsi="Book Antiqua"/>
        </w:rPr>
        <w:t xml:space="preserve">, Zhang T, Shi Z, Ding H, Ling X. MicroRNA-518d regulates PPARα protein expression in the placentas of females with gestational diabetes mellitus. </w:t>
      </w:r>
      <w:r>
        <w:rPr>
          <w:rFonts w:ascii="Book Antiqua" w:hAnsi="Book Antiqua"/>
          <w:i/>
          <w:iCs/>
        </w:rPr>
        <w:t>Mol Med Rep</w:t>
      </w:r>
      <w:r>
        <w:rPr>
          <w:rFonts w:ascii="Book Antiqua" w:hAnsi="Book Antiqua"/>
        </w:rPr>
        <w:t xml:space="preserve"> 2014; </w:t>
      </w:r>
      <w:r>
        <w:rPr>
          <w:rFonts w:ascii="Book Antiqua" w:hAnsi="Book Antiqua"/>
          <w:b/>
          <w:bCs/>
        </w:rPr>
        <w:t>9</w:t>
      </w:r>
      <w:r>
        <w:rPr>
          <w:rFonts w:ascii="Book Antiqua" w:hAnsi="Book Antiqua"/>
        </w:rPr>
        <w:t>: 2085-2090 [PMID: 24639097 DOI: 10.3892/mmr.2014.2058]</w:t>
      </w:r>
    </w:p>
    <w:p w14:paraId="05DDF5D2" w14:textId="77777777" w:rsidR="00BA6BF8" w:rsidRDefault="00000000">
      <w:pPr>
        <w:spacing w:line="360" w:lineRule="auto"/>
        <w:jc w:val="both"/>
        <w:rPr>
          <w:rFonts w:ascii="Book Antiqua" w:hAnsi="Book Antiqua"/>
        </w:rPr>
      </w:pPr>
      <w:r>
        <w:rPr>
          <w:rFonts w:ascii="Book Antiqua" w:hAnsi="Book Antiqua"/>
        </w:rPr>
        <w:t xml:space="preserve">122 </w:t>
      </w:r>
      <w:r>
        <w:rPr>
          <w:rFonts w:ascii="Book Antiqua" w:hAnsi="Book Antiqua"/>
          <w:b/>
          <w:bCs/>
        </w:rPr>
        <w:t>Stirm L</w:t>
      </w:r>
      <w:r>
        <w:rPr>
          <w:rFonts w:ascii="Book Antiqua" w:hAnsi="Book Antiqua"/>
        </w:rPr>
        <w:t xml:space="preserve">, Huypens P, Sass S, Batra R, Fritsche L, Brucker S, Abele H, Hennige AM, Theis F, Beckers J, Hrabě de Angelis M, Fritsche A, Häring HU, Staiger H. Maternal whole blood cell miRNA-340 is elevated in gestational diabetes and inversely regulated by glucose and insulin. </w:t>
      </w:r>
      <w:r>
        <w:rPr>
          <w:rFonts w:ascii="Book Antiqua" w:hAnsi="Book Antiqua"/>
          <w:i/>
          <w:iCs/>
        </w:rPr>
        <w:t>Sci Rep</w:t>
      </w:r>
      <w:r>
        <w:rPr>
          <w:rFonts w:ascii="Book Antiqua" w:hAnsi="Book Antiqua"/>
        </w:rPr>
        <w:t xml:space="preserve"> 2018; </w:t>
      </w:r>
      <w:r>
        <w:rPr>
          <w:rFonts w:ascii="Book Antiqua" w:hAnsi="Book Antiqua"/>
          <w:b/>
          <w:bCs/>
        </w:rPr>
        <w:t>8</w:t>
      </w:r>
      <w:r>
        <w:rPr>
          <w:rFonts w:ascii="Book Antiqua" w:hAnsi="Book Antiqua"/>
        </w:rPr>
        <w:t>: 1366 [PMID: 29358694 DOI: 10.1038/s41598-018-19200-9]</w:t>
      </w:r>
    </w:p>
    <w:p w14:paraId="2F2C27AC" w14:textId="77777777" w:rsidR="00BA6BF8" w:rsidRDefault="00000000">
      <w:pPr>
        <w:spacing w:line="360" w:lineRule="auto"/>
        <w:jc w:val="both"/>
        <w:rPr>
          <w:rFonts w:ascii="Book Antiqua" w:hAnsi="Book Antiqua"/>
        </w:rPr>
      </w:pPr>
      <w:r>
        <w:rPr>
          <w:rFonts w:ascii="Book Antiqua" w:hAnsi="Book Antiqua"/>
        </w:rPr>
        <w:t xml:space="preserve">123 </w:t>
      </w:r>
      <w:r>
        <w:rPr>
          <w:rFonts w:ascii="Book Antiqua" w:hAnsi="Book Antiqua"/>
          <w:b/>
          <w:bCs/>
        </w:rPr>
        <w:t>Tryggestad JB</w:t>
      </w:r>
      <w:r>
        <w:rPr>
          <w:rFonts w:ascii="Book Antiqua" w:hAnsi="Book Antiqua"/>
        </w:rPr>
        <w:t xml:space="preserve">, Vishwanath A, Jiang S, Mallappa A, Teague AM, Takahashi Y, Thompson DM, Chernausek SD. Influence of gestational diabetes mellitus on human umbilical vein endothelial cell miRNA. </w:t>
      </w:r>
      <w:r>
        <w:rPr>
          <w:rFonts w:ascii="Book Antiqua" w:hAnsi="Book Antiqua"/>
          <w:i/>
          <w:iCs/>
        </w:rPr>
        <w:t>Clin Sci (Lond)</w:t>
      </w:r>
      <w:r>
        <w:rPr>
          <w:rFonts w:ascii="Book Antiqua" w:hAnsi="Book Antiqua"/>
        </w:rPr>
        <w:t xml:space="preserve"> 2016; </w:t>
      </w:r>
      <w:r>
        <w:rPr>
          <w:rFonts w:ascii="Book Antiqua" w:hAnsi="Book Antiqua"/>
          <w:b/>
          <w:bCs/>
        </w:rPr>
        <w:t>130</w:t>
      </w:r>
      <w:r>
        <w:rPr>
          <w:rFonts w:ascii="Book Antiqua" w:hAnsi="Book Antiqua"/>
        </w:rPr>
        <w:t>: 1955-1967 [PMID: 27562513 DOI: 10.1042/CS20160305]</w:t>
      </w:r>
    </w:p>
    <w:p w14:paraId="4BFAB5AB" w14:textId="77777777" w:rsidR="00BA6BF8" w:rsidRDefault="00000000">
      <w:pPr>
        <w:spacing w:line="360" w:lineRule="auto"/>
        <w:jc w:val="both"/>
        <w:rPr>
          <w:rFonts w:ascii="Book Antiqua" w:hAnsi="Book Antiqua"/>
        </w:rPr>
      </w:pPr>
      <w:r>
        <w:rPr>
          <w:rFonts w:ascii="Book Antiqua" w:hAnsi="Book Antiqua"/>
        </w:rPr>
        <w:t xml:space="preserve">124 </w:t>
      </w:r>
      <w:r>
        <w:rPr>
          <w:rFonts w:ascii="Book Antiqua" w:hAnsi="Book Antiqua"/>
          <w:b/>
          <w:bCs/>
        </w:rPr>
        <w:t>Feng Y</w:t>
      </w:r>
      <w:r>
        <w:rPr>
          <w:rFonts w:ascii="Book Antiqua" w:hAnsi="Book Antiqua"/>
        </w:rPr>
        <w:t xml:space="preserve">, Qu X, Chen Y, Feng Q, Zhang Y, Hu J, Li X. MicroRNA-33a-5p sponges to inhibit pancreatic β-cell function in gestational diabetes mellitus LncRNA DANCR. </w:t>
      </w:r>
      <w:r>
        <w:rPr>
          <w:rFonts w:ascii="Book Antiqua" w:hAnsi="Book Antiqua"/>
          <w:i/>
          <w:iCs/>
        </w:rPr>
        <w:t>Reprod Biol Endocrinol</w:t>
      </w:r>
      <w:r>
        <w:rPr>
          <w:rFonts w:ascii="Book Antiqua" w:hAnsi="Book Antiqua"/>
        </w:rPr>
        <w:t xml:space="preserve"> 2020; </w:t>
      </w:r>
      <w:r>
        <w:rPr>
          <w:rFonts w:ascii="Book Antiqua" w:hAnsi="Book Antiqua"/>
          <w:b/>
          <w:bCs/>
        </w:rPr>
        <w:t>18</w:t>
      </w:r>
      <w:r>
        <w:rPr>
          <w:rFonts w:ascii="Book Antiqua" w:hAnsi="Book Antiqua"/>
        </w:rPr>
        <w:t>: 61 [PMID: 32505219 DOI: 10.1186/s12958-020-00618-8]</w:t>
      </w:r>
    </w:p>
    <w:p w14:paraId="6C184632" w14:textId="77777777" w:rsidR="00BA6BF8" w:rsidRDefault="00000000">
      <w:pPr>
        <w:spacing w:line="360" w:lineRule="auto"/>
        <w:jc w:val="both"/>
        <w:rPr>
          <w:rFonts w:ascii="Book Antiqua" w:hAnsi="Book Antiqua"/>
        </w:rPr>
      </w:pPr>
      <w:r>
        <w:rPr>
          <w:rFonts w:ascii="Book Antiqua" w:hAnsi="Book Antiqua"/>
        </w:rPr>
        <w:t xml:space="preserve">125 </w:t>
      </w:r>
      <w:r>
        <w:rPr>
          <w:rFonts w:ascii="Book Antiqua" w:hAnsi="Book Antiqua"/>
          <w:b/>
          <w:bCs/>
        </w:rPr>
        <w:t>Sebastiani G</w:t>
      </w:r>
      <w:r>
        <w:rPr>
          <w:rFonts w:ascii="Book Antiqua" w:hAnsi="Book Antiqua"/>
        </w:rPr>
        <w:t xml:space="preserve">, Guarino E, Grieco GE, Formichi C, Delli Poggi C, Ceccarelli E, Dotta F. Circulating microRNA (miRNA) Expression Profiling in Plasma of Patients with Gestational Diabetes Mellitus Reveals Upregulation of miRNA miR-330-3p. </w:t>
      </w:r>
      <w:r>
        <w:rPr>
          <w:rFonts w:ascii="Book Antiqua" w:hAnsi="Book Antiqua"/>
          <w:i/>
          <w:iCs/>
        </w:rPr>
        <w:t>Front Endocrinol (Lausanne)</w:t>
      </w:r>
      <w:r>
        <w:rPr>
          <w:rFonts w:ascii="Book Antiqua" w:hAnsi="Book Antiqua"/>
        </w:rPr>
        <w:t xml:space="preserve"> 2017; </w:t>
      </w:r>
      <w:r>
        <w:rPr>
          <w:rFonts w:ascii="Book Antiqua" w:hAnsi="Book Antiqua"/>
          <w:b/>
          <w:bCs/>
        </w:rPr>
        <w:t>8</w:t>
      </w:r>
      <w:r>
        <w:rPr>
          <w:rFonts w:ascii="Book Antiqua" w:hAnsi="Book Antiqua"/>
        </w:rPr>
        <w:t>: 345 [PMID: 29312141 DOI: 10.3389/fendo.2017.00345]</w:t>
      </w:r>
    </w:p>
    <w:p w14:paraId="7A49EDA3" w14:textId="77777777" w:rsidR="00BA6BF8" w:rsidRDefault="00000000">
      <w:pPr>
        <w:spacing w:line="360" w:lineRule="auto"/>
        <w:jc w:val="both"/>
        <w:rPr>
          <w:rFonts w:ascii="Book Antiqua" w:hAnsi="Book Antiqua"/>
        </w:rPr>
      </w:pPr>
      <w:r>
        <w:rPr>
          <w:rFonts w:ascii="Book Antiqua" w:hAnsi="Book Antiqua"/>
        </w:rPr>
        <w:t xml:space="preserve">126 </w:t>
      </w:r>
      <w:r>
        <w:rPr>
          <w:rFonts w:ascii="Book Antiqua" w:hAnsi="Book Antiqua"/>
          <w:b/>
          <w:bCs/>
        </w:rPr>
        <w:t>He Y</w:t>
      </w:r>
      <w:r>
        <w:rPr>
          <w:rFonts w:ascii="Book Antiqua" w:hAnsi="Book Antiqua"/>
        </w:rPr>
        <w:t xml:space="preserve">, Bai J, Liu P, Dong J, Tang Y, Zhou J, Han P, Xing J, Chen Y, Yu X. miR-494 protects pancreatic β-cell function by targeting PTEN in gestational diabetes mellitus. </w:t>
      </w:r>
      <w:r>
        <w:rPr>
          <w:rFonts w:ascii="Book Antiqua" w:hAnsi="Book Antiqua"/>
          <w:i/>
          <w:iCs/>
        </w:rPr>
        <w:t>EXCLI J</w:t>
      </w:r>
      <w:r>
        <w:rPr>
          <w:rFonts w:ascii="Book Antiqua" w:hAnsi="Book Antiqua"/>
        </w:rPr>
        <w:t xml:space="preserve"> 2017; </w:t>
      </w:r>
      <w:r>
        <w:rPr>
          <w:rFonts w:ascii="Book Antiqua" w:hAnsi="Book Antiqua"/>
          <w:b/>
          <w:bCs/>
        </w:rPr>
        <w:t>16</w:t>
      </w:r>
      <w:r>
        <w:rPr>
          <w:rFonts w:ascii="Book Antiqua" w:hAnsi="Book Antiqua"/>
        </w:rPr>
        <w:t>: 1297-1307 [PMID: 29333131 DOI: 10.17179/excli2017-491]</w:t>
      </w:r>
    </w:p>
    <w:p w14:paraId="012E81A0" w14:textId="77777777" w:rsidR="00BA6BF8" w:rsidRDefault="00000000">
      <w:pPr>
        <w:spacing w:line="360" w:lineRule="auto"/>
        <w:jc w:val="both"/>
        <w:rPr>
          <w:rFonts w:ascii="Book Antiqua" w:hAnsi="Book Antiqua"/>
        </w:rPr>
      </w:pPr>
      <w:r>
        <w:rPr>
          <w:rFonts w:ascii="Book Antiqua" w:hAnsi="Book Antiqua"/>
        </w:rPr>
        <w:t xml:space="preserve">127 </w:t>
      </w:r>
      <w:r>
        <w:rPr>
          <w:rFonts w:ascii="Book Antiqua" w:hAnsi="Book Antiqua"/>
          <w:b/>
          <w:bCs/>
        </w:rPr>
        <w:t>Li L</w:t>
      </w:r>
      <w:r>
        <w:rPr>
          <w:rFonts w:ascii="Book Antiqua" w:hAnsi="Book Antiqua"/>
        </w:rPr>
        <w:t xml:space="preserve">, Wang S, Li H, Wan J, Zhou Q, Zhou Y, Zhang C. microRNA-96 protects pancreatic β-cell function by targeting PAK1 in gestational diabetes mellitus. </w:t>
      </w:r>
      <w:r>
        <w:rPr>
          <w:rFonts w:ascii="Book Antiqua" w:hAnsi="Book Antiqua"/>
          <w:i/>
          <w:iCs/>
        </w:rPr>
        <w:t>Biofactors</w:t>
      </w:r>
      <w:r>
        <w:rPr>
          <w:rFonts w:ascii="Book Antiqua" w:hAnsi="Book Antiqua"/>
        </w:rPr>
        <w:t xml:space="preserve"> 2018; </w:t>
      </w:r>
      <w:r>
        <w:rPr>
          <w:rFonts w:ascii="Book Antiqua" w:hAnsi="Book Antiqua"/>
          <w:b/>
          <w:bCs/>
        </w:rPr>
        <w:t>44</w:t>
      </w:r>
      <w:r>
        <w:rPr>
          <w:rFonts w:ascii="Book Antiqua" w:hAnsi="Book Antiqua"/>
        </w:rPr>
        <w:t>: 539-547 [PMID: 30536654 DOI: 10.1002/biof.1461]</w:t>
      </w:r>
    </w:p>
    <w:p w14:paraId="702F90E4" w14:textId="77777777" w:rsidR="00BA6BF8" w:rsidRDefault="00000000">
      <w:pPr>
        <w:spacing w:line="360" w:lineRule="auto"/>
        <w:jc w:val="both"/>
        <w:rPr>
          <w:rFonts w:ascii="Book Antiqua" w:hAnsi="Book Antiqua"/>
        </w:rPr>
      </w:pPr>
      <w:r>
        <w:rPr>
          <w:rFonts w:ascii="Book Antiqua" w:hAnsi="Book Antiqua"/>
        </w:rPr>
        <w:lastRenderedPageBreak/>
        <w:t xml:space="preserve">128 </w:t>
      </w:r>
      <w:r>
        <w:rPr>
          <w:rFonts w:ascii="Book Antiqua" w:hAnsi="Book Antiqua"/>
          <w:b/>
          <w:bCs/>
        </w:rPr>
        <w:t>Zhao H</w:t>
      </w:r>
      <w:r>
        <w:rPr>
          <w:rFonts w:ascii="Book Antiqua" w:hAnsi="Book Antiqua"/>
        </w:rPr>
        <w:t xml:space="preserve">, Tao S. MiRNA-221 protects islet β cell function in gestational diabetes mellitus by targeting PAK1. </w:t>
      </w:r>
      <w:r>
        <w:rPr>
          <w:rFonts w:ascii="Book Antiqua" w:hAnsi="Book Antiqua"/>
          <w:i/>
          <w:iCs/>
        </w:rPr>
        <w:t>Biochem Biophys Res Commun</w:t>
      </w:r>
      <w:r>
        <w:rPr>
          <w:rFonts w:ascii="Book Antiqua" w:hAnsi="Book Antiqua"/>
        </w:rPr>
        <w:t xml:space="preserve"> 2019; </w:t>
      </w:r>
      <w:r>
        <w:rPr>
          <w:rFonts w:ascii="Book Antiqua" w:hAnsi="Book Antiqua"/>
          <w:b/>
          <w:bCs/>
        </w:rPr>
        <w:t>520</w:t>
      </w:r>
      <w:r>
        <w:rPr>
          <w:rFonts w:ascii="Book Antiqua" w:hAnsi="Book Antiqua"/>
        </w:rPr>
        <w:t>: 218-224 [PMID: 31587871 DOI: 10.1016/j.bbrc.2019.09.139]</w:t>
      </w:r>
    </w:p>
    <w:p w14:paraId="6BD67CC1" w14:textId="77777777" w:rsidR="00BA6BF8" w:rsidRDefault="00000000">
      <w:pPr>
        <w:spacing w:line="360" w:lineRule="auto"/>
        <w:jc w:val="both"/>
        <w:rPr>
          <w:rFonts w:ascii="Book Antiqua" w:hAnsi="Book Antiqua"/>
        </w:rPr>
      </w:pPr>
      <w:r>
        <w:rPr>
          <w:rFonts w:ascii="Book Antiqua" w:hAnsi="Book Antiqua"/>
        </w:rPr>
        <w:t xml:space="preserve">129 </w:t>
      </w:r>
      <w:r>
        <w:rPr>
          <w:rFonts w:ascii="Book Antiqua" w:hAnsi="Book Antiqua"/>
          <w:b/>
          <w:bCs/>
        </w:rPr>
        <w:t>Mujwara D</w:t>
      </w:r>
      <w:r>
        <w:rPr>
          <w:rFonts w:ascii="Book Antiqua" w:hAnsi="Book Antiqua"/>
        </w:rPr>
        <w:t xml:space="preserve">, Henno G, Vernon ST, Peng S, Di Domenico P, Schroeder B, Busby GB, Figtree GA, Bottà G. Integrating a Polygenic Risk Score for Coronary Artery Disease as a Risk-Enhancing Factor in the Pooled Cohort Equation: A Cost-Effectiveness Analysis Study. </w:t>
      </w:r>
      <w:r>
        <w:rPr>
          <w:rFonts w:ascii="Book Antiqua" w:hAnsi="Book Antiqua"/>
          <w:i/>
          <w:iCs/>
        </w:rPr>
        <w:t>J Am Heart Assoc</w:t>
      </w:r>
      <w:r>
        <w:rPr>
          <w:rFonts w:ascii="Book Antiqua" w:hAnsi="Book Antiqua"/>
        </w:rPr>
        <w:t xml:space="preserve"> 2022; </w:t>
      </w:r>
      <w:r>
        <w:rPr>
          <w:rFonts w:ascii="Book Antiqua" w:hAnsi="Book Antiqua"/>
          <w:b/>
          <w:bCs/>
        </w:rPr>
        <w:t>11</w:t>
      </w:r>
      <w:r>
        <w:rPr>
          <w:rFonts w:ascii="Book Antiqua" w:hAnsi="Book Antiqua"/>
        </w:rPr>
        <w:t>: e025236 [PMID: 35699184 DOI: 10.1161/JAHA.121.025236]</w:t>
      </w:r>
    </w:p>
    <w:p w14:paraId="1E7CDC25" w14:textId="77777777" w:rsidR="00BA6BF8" w:rsidRDefault="00000000">
      <w:pPr>
        <w:spacing w:line="360" w:lineRule="auto"/>
        <w:jc w:val="both"/>
        <w:rPr>
          <w:rFonts w:ascii="Book Antiqua" w:hAnsi="Book Antiqua"/>
        </w:rPr>
      </w:pPr>
      <w:r>
        <w:rPr>
          <w:rFonts w:ascii="Book Antiqua" w:hAnsi="Book Antiqua"/>
        </w:rPr>
        <w:t xml:space="preserve">130 </w:t>
      </w:r>
      <w:r>
        <w:rPr>
          <w:rFonts w:ascii="Book Antiqua" w:hAnsi="Book Antiqua"/>
          <w:b/>
          <w:bCs/>
        </w:rPr>
        <w:t>Natarajan P</w:t>
      </w:r>
      <w:r>
        <w:rPr>
          <w:rFonts w:ascii="Book Antiqua" w:hAnsi="Book Antiqua"/>
        </w:rPr>
        <w:t xml:space="preserve">, Young R, Stitziel NO, Padmanabhan S, Baber U, Mehran R, Sartori S, Fuster V, Reilly DF, Butterworth A, Rader DJ, Ford I, Sattar N, Kathiresan S. Polygenic Risk Score Identifies Subgroup With Higher Burden of Atherosclerosis and Greater Relative Benefit From Statin Therapy in the Primary Prevention Setting. </w:t>
      </w:r>
      <w:r>
        <w:rPr>
          <w:rFonts w:ascii="Book Antiqua" w:hAnsi="Book Antiqua"/>
          <w:i/>
          <w:iCs/>
        </w:rPr>
        <w:t>Circulation</w:t>
      </w:r>
      <w:r>
        <w:rPr>
          <w:rFonts w:ascii="Book Antiqua" w:hAnsi="Book Antiqua"/>
        </w:rPr>
        <w:t xml:space="preserve"> 2017; </w:t>
      </w:r>
      <w:r>
        <w:rPr>
          <w:rFonts w:ascii="Book Antiqua" w:hAnsi="Book Antiqua"/>
          <w:b/>
          <w:bCs/>
        </w:rPr>
        <w:t>135</w:t>
      </w:r>
      <w:r>
        <w:rPr>
          <w:rFonts w:ascii="Book Antiqua" w:hAnsi="Book Antiqua"/>
        </w:rPr>
        <w:t>: 2091-2101 [PMID: 28223407 DOI: 10.1161/CIRCULATIONAHA.116.024436]</w:t>
      </w:r>
    </w:p>
    <w:p w14:paraId="37163DCD" w14:textId="77777777" w:rsidR="00BA6BF8" w:rsidRDefault="00000000">
      <w:pPr>
        <w:spacing w:line="360" w:lineRule="auto"/>
        <w:jc w:val="both"/>
        <w:rPr>
          <w:rFonts w:ascii="Book Antiqua" w:hAnsi="Book Antiqua"/>
        </w:rPr>
      </w:pPr>
      <w:r>
        <w:rPr>
          <w:rFonts w:ascii="Book Antiqua" w:hAnsi="Book Antiqua"/>
        </w:rPr>
        <w:t xml:space="preserve">131 </w:t>
      </w:r>
      <w:r>
        <w:rPr>
          <w:rFonts w:ascii="Book Antiqua" w:hAnsi="Book Antiqua"/>
          <w:b/>
          <w:bCs/>
        </w:rPr>
        <w:t>Howe LJ</w:t>
      </w:r>
      <w:r>
        <w:rPr>
          <w:rFonts w:ascii="Book Antiqua" w:hAnsi="Book Antiqua"/>
        </w:rPr>
        <w:t xml:space="preserve">, Dudbridge F, Schmidt AF, Finan C, Denaxas S, Asselbergs FW, Hingorani AD, Patel RS. Polygenic risk scores for coronary artery disease and subsequent event risk amongst established cases. </w:t>
      </w:r>
      <w:r>
        <w:rPr>
          <w:rFonts w:ascii="Book Antiqua" w:hAnsi="Book Antiqua"/>
          <w:i/>
          <w:iCs/>
        </w:rPr>
        <w:t>Hum Mol Genet</w:t>
      </w:r>
      <w:r>
        <w:rPr>
          <w:rFonts w:ascii="Book Antiqua" w:hAnsi="Book Antiqua"/>
        </w:rPr>
        <w:t xml:space="preserve"> 2020; </w:t>
      </w:r>
      <w:r>
        <w:rPr>
          <w:rFonts w:ascii="Book Antiqua" w:hAnsi="Book Antiqua"/>
          <w:b/>
          <w:bCs/>
        </w:rPr>
        <w:t>29</w:t>
      </w:r>
      <w:r>
        <w:rPr>
          <w:rFonts w:ascii="Book Antiqua" w:hAnsi="Book Antiqua"/>
        </w:rPr>
        <w:t>: 1388-1395 [PMID: 32219344 DOI: 10.1093/hmg/ddaa052]</w:t>
      </w:r>
    </w:p>
    <w:p w14:paraId="6B4DAA73" w14:textId="77777777" w:rsidR="00BA6BF8" w:rsidRDefault="00000000">
      <w:pPr>
        <w:spacing w:line="360" w:lineRule="auto"/>
        <w:jc w:val="both"/>
        <w:rPr>
          <w:rFonts w:ascii="Book Antiqua" w:hAnsi="Book Antiqua"/>
        </w:rPr>
      </w:pPr>
      <w:r>
        <w:rPr>
          <w:rFonts w:ascii="Book Antiqua" w:hAnsi="Book Antiqua"/>
        </w:rPr>
        <w:t xml:space="preserve">132 </w:t>
      </w:r>
      <w:r>
        <w:rPr>
          <w:rFonts w:ascii="Book Antiqua" w:hAnsi="Book Antiqua"/>
          <w:b/>
          <w:bCs/>
        </w:rPr>
        <w:t>Elliott J</w:t>
      </w:r>
      <w:r>
        <w:rPr>
          <w:rFonts w:ascii="Book Antiqua" w:hAnsi="Book Antiqua"/>
        </w:rPr>
        <w:t xml:space="preserve">, Bodinier B, Bond TA, Chadeau-Hyam M, Evangelou E, Moons KGM, Dehghan A, Muller DC, Elliott P, Tzoulaki I. Predictive Accuracy of a Polygenic Risk Score-Enhanced Prediction Model vs a Clinical Risk Score for Coronary Artery Disease. </w:t>
      </w:r>
      <w:r>
        <w:rPr>
          <w:rFonts w:ascii="Book Antiqua" w:hAnsi="Book Antiqua"/>
          <w:i/>
          <w:iCs/>
        </w:rPr>
        <w:t>JAMA</w:t>
      </w:r>
      <w:r>
        <w:rPr>
          <w:rFonts w:ascii="Book Antiqua" w:hAnsi="Book Antiqua"/>
        </w:rPr>
        <w:t xml:space="preserve"> 2020; </w:t>
      </w:r>
      <w:r>
        <w:rPr>
          <w:rFonts w:ascii="Book Antiqua" w:hAnsi="Book Antiqua"/>
          <w:b/>
          <w:bCs/>
        </w:rPr>
        <w:t>323</w:t>
      </w:r>
      <w:r>
        <w:rPr>
          <w:rFonts w:ascii="Book Antiqua" w:hAnsi="Book Antiqua"/>
        </w:rPr>
        <w:t>: 636-645 [PMID: 32068818 DOI: 10.1001/jama.2019.22241]</w:t>
      </w:r>
    </w:p>
    <w:p w14:paraId="1D90FAD6" w14:textId="77777777" w:rsidR="00BA6BF8" w:rsidRDefault="00000000">
      <w:pPr>
        <w:spacing w:line="360" w:lineRule="auto"/>
        <w:jc w:val="both"/>
        <w:rPr>
          <w:rFonts w:ascii="Book Antiqua" w:hAnsi="Book Antiqua"/>
        </w:rPr>
      </w:pPr>
      <w:r>
        <w:rPr>
          <w:rFonts w:ascii="Book Antiqua" w:hAnsi="Book Antiqua"/>
        </w:rPr>
        <w:t xml:space="preserve">133 </w:t>
      </w:r>
      <w:r>
        <w:rPr>
          <w:rFonts w:ascii="Book Antiqua" w:hAnsi="Book Antiqua"/>
          <w:b/>
          <w:bCs/>
        </w:rPr>
        <w:t>Padilla-Martínez F</w:t>
      </w:r>
      <w:r>
        <w:rPr>
          <w:rFonts w:ascii="Book Antiqua" w:hAnsi="Book Antiqua"/>
        </w:rPr>
        <w:t xml:space="preserve">, Collin F, Kwasniewski M, Kretowski A. Systematic Review of Polygenic Risk Scores for Type 1 and Type 2 Diabetes. </w:t>
      </w:r>
      <w:r>
        <w:rPr>
          <w:rFonts w:ascii="Book Antiqua" w:hAnsi="Book Antiqua"/>
          <w:i/>
          <w:iCs/>
        </w:rPr>
        <w:t>Int J Mol Sci</w:t>
      </w:r>
      <w:r>
        <w:rPr>
          <w:rFonts w:ascii="Book Antiqua" w:hAnsi="Book Antiqua"/>
        </w:rPr>
        <w:t xml:space="preserve"> 2020; </w:t>
      </w:r>
      <w:r>
        <w:rPr>
          <w:rFonts w:ascii="Book Antiqua" w:hAnsi="Book Antiqua"/>
          <w:b/>
          <w:bCs/>
        </w:rPr>
        <w:t>21</w:t>
      </w:r>
      <w:r>
        <w:rPr>
          <w:rFonts w:ascii="Book Antiqua" w:hAnsi="Book Antiqua"/>
        </w:rPr>
        <w:t xml:space="preserve"> [PMID: 32131491 DOI: 10.3390/ijms21051703]</w:t>
      </w:r>
    </w:p>
    <w:p w14:paraId="5DF39D5C" w14:textId="77777777" w:rsidR="00BA6BF8" w:rsidRDefault="00000000">
      <w:pPr>
        <w:spacing w:line="360" w:lineRule="auto"/>
        <w:jc w:val="both"/>
        <w:rPr>
          <w:rFonts w:ascii="Book Antiqua" w:hAnsi="Book Antiqua"/>
        </w:rPr>
      </w:pPr>
      <w:r>
        <w:rPr>
          <w:rFonts w:ascii="Book Antiqua" w:hAnsi="Book Antiqua"/>
        </w:rPr>
        <w:t xml:space="preserve">134 </w:t>
      </w:r>
      <w:r>
        <w:rPr>
          <w:rFonts w:ascii="Book Antiqua" w:hAnsi="Book Antiqua"/>
          <w:b/>
          <w:bCs/>
        </w:rPr>
        <w:t>Lyssenko V</w:t>
      </w:r>
      <w:r>
        <w:rPr>
          <w:rFonts w:ascii="Book Antiqua" w:hAnsi="Book Antiqua"/>
        </w:rPr>
        <w:t xml:space="preserve">, Jonsson A, Almgren P, Pulizzi N, Isomaa B, Tuomi T, Berglund G, Altshuler D, Nilsson P, Groop L. Clinical risk factors, DNA variants, and the development of type 2 diabetes. </w:t>
      </w:r>
      <w:r>
        <w:rPr>
          <w:rFonts w:ascii="Book Antiqua" w:hAnsi="Book Antiqua"/>
          <w:i/>
          <w:iCs/>
        </w:rPr>
        <w:t>N Engl J Med</w:t>
      </w:r>
      <w:r>
        <w:rPr>
          <w:rFonts w:ascii="Book Antiqua" w:hAnsi="Book Antiqua"/>
        </w:rPr>
        <w:t xml:space="preserve"> 2008; </w:t>
      </w:r>
      <w:r>
        <w:rPr>
          <w:rFonts w:ascii="Book Antiqua" w:hAnsi="Book Antiqua"/>
          <w:b/>
          <w:bCs/>
        </w:rPr>
        <w:t>359</w:t>
      </w:r>
      <w:r>
        <w:rPr>
          <w:rFonts w:ascii="Book Antiqua" w:hAnsi="Book Antiqua"/>
        </w:rPr>
        <w:t>: 2220-2232 [PMID: 19020324 DOI: 10.1056/NEJMoa0801869]</w:t>
      </w:r>
    </w:p>
    <w:p w14:paraId="65E8C669" w14:textId="77777777" w:rsidR="00BA6BF8" w:rsidRDefault="00000000">
      <w:pPr>
        <w:spacing w:line="360" w:lineRule="auto"/>
        <w:jc w:val="both"/>
        <w:rPr>
          <w:rFonts w:ascii="Book Antiqua" w:hAnsi="Book Antiqua"/>
        </w:rPr>
      </w:pPr>
      <w:r>
        <w:rPr>
          <w:rFonts w:ascii="Book Antiqua" w:hAnsi="Book Antiqua"/>
        </w:rPr>
        <w:lastRenderedPageBreak/>
        <w:t xml:space="preserve">135 </w:t>
      </w:r>
      <w:r>
        <w:rPr>
          <w:rFonts w:ascii="Book Antiqua" w:hAnsi="Book Antiqua"/>
          <w:b/>
          <w:bCs/>
        </w:rPr>
        <w:t>Meigs JB</w:t>
      </w:r>
      <w:r>
        <w:rPr>
          <w:rFonts w:ascii="Book Antiqua" w:hAnsi="Book Antiqua"/>
        </w:rPr>
        <w:t xml:space="preserve">, Shrader P, Sullivan LM, McAteer JB, Fox CS, Dupuis J, Manning AK, Florez JC, Wilson PW, D'Agostino RB Sr, Cupples LA. Genotype score in addition to common risk factors for prediction of type 2 diabetes. </w:t>
      </w:r>
      <w:r>
        <w:rPr>
          <w:rFonts w:ascii="Book Antiqua" w:hAnsi="Book Antiqua"/>
          <w:i/>
          <w:iCs/>
        </w:rPr>
        <w:t>N Engl J Med</w:t>
      </w:r>
      <w:r>
        <w:rPr>
          <w:rFonts w:ascii="Book Antiqua" w:hAnsi="Book Antiqua"/>
        </w:rPr>
        <w:t xml:space="preserve"> 2008; </w:t>
      </w:r>
      <w:r>
        <w:rPr>
          <w:rFonts w:ascii="Book Antiqua" w:hAnsi="Book Antiqua"/>
          <w:b/>
          <w:bCs/>
        </w:rPr>
        <w:t>359</w:t>
      </w:r>
      <w:r>
        <w:rPr>
          <w:rFonts w:ascii="Book Antiqua" w:hAnsi="Book Antiqua"/>
        </w:rPr>
        <w:t>: 2208-2219 [PMID: 19020323 DOI: 10.1056/NEJMoa0804742]</w:t>
      </w:r>
    </w:p>
    <w:p w14:paraId="2E108AE1" w14:textId="77777777" w:rsidR="00BA6BF8" w:rsidRDefault="00000000">
      <w:pPr>
        <w:spacing w:line="360" w:lineRule="auto"/>
        <w:jc w:val="both"/>
        <w:rPr>
          <w:rFonts w:ascii="Book Antiqua" w:hAnsi="Book Antiqua"/>
        </w:rPr>
      </w:pPr>
      <w:r>
        <w:rPr>
          <w:rFonts w:ascii="Book Antiqua" w:hAnsi="Book Antiqua"/>
        </w:rPr>
        <w:t xml:space="preserve">136 </w:t>
      </w:r>
      <w:r>
        <w:rPr>
          <w:rFonts w:ascii="Book Antiqua" w:hAnsi="Book Antiqua"/>
          <w:b/>
          <w:bCs/>
        </w:rPr>
        <w:t>Lango H</w:t>
      </w:r>
      <w:r>
        <w:rPr>
          <w:rFonts w:ascii="Book Antiqua" w:hAnsi="Book Antiqua"/>
        </w:rPr>
        <w:t xml:space="preserve">; UK Type 2 Diabetes Genetics Consortium, Palmer CN, Morris AD, Zeggini E, Hattersley AT, McCarthy MI, Frayling TM, Weedon MN. Assessing the combined impact of 18 common genetic variants of modest effect sizes on type 2 diabetes risk. </w:t>
      </w:r>
      <w:r>
        <w:rPr>
          <w:rFonts w:ascii="Book Antiqua" w:hAnsi="Book Antiqua"/>
          <w:i/>
          <w:iCs/>
        </w:rPr>
        <w:t>Diabetes</w:t>
      </w:r>
      <w:r>
        <w:rPr>
          <w:rFonts w:ascii="Book Antiqua" w:hAnsi="Book Antiqua"/>
        </w:rPr>
        <w:t xml:space="preserve"> 2008; </w:t>
      </w:r>
      <w:r>
        <w:rPr>
          <w:rFonts w:ascii="Book Antiqua" w:hAnsi="Book Antiqua"/>
          <w:b/>
          <w:bCs/>
        </w:rPr>
        <w:t>57</w:t>
      </w:r>
      <w:r>
        <w:rPr>
          <w:rFonts w:ascii="Book Antiqua" w:hAnsi="Book Antiqua"/>
        </w:rPr>
        <w:t>: 3129-3135 [PMID: 18591388 DOI: 10.2337/db08-0504]</w:t>
      </w:r>
    </w:p>
    <w:p w14:paraId="4BACA052" w14:textId="77777777" w:rsidR="00BA6BF8" w:rsidRDefault="00000000">
      <w:pPr>
        <w:spacing w:line="360" w:lineRule="auto"/>
        <w:jc w:val="both"/>
        <w:rPr>
          <w:rFonts w:ascii="Book Antiqua" w:hAnsi="Book Antiqua"/>
        </w:rPr>
      </w:pPr>
      <w:r>
        <w:rPr>
          <w:rFonts w:ascii="Book Antiqua" w:hAnsi="Book Antiqua"/>
        </w:rPr>
        <w:t xml:space="preserve">137 </w:t>
      </w:r>
      <w:r>
        <w:rPr>
          <w:rFonts w:ascii="Book Antiqua" w:hAnsi="Book Antiqua"/>
          <w:b/>
          <w:bCs/>
        </w:rPr>
        <w:t>Mahajan A</w:t>
      </w:r>
      <w:r>
        <w:rPr>
          <w:rFonts w:ascii="Book Antiqua" w:hAnsi="Book Antiqua"/>
        </w:rPr>
        <w:t xml:space="preserve">, Taliun D, Thurner M, Robertson NR, Torres JM, Rayner NW, Payne AJ, Steinthorsdottir V, Scott RA, Grarup N, Cook JP, Schmidt EM, Wuttke M, Sarnowski C, Mägi R, Nano J, Gieger C, Trompet S, Lecoeur C, Preuss MH, Prins BP, Guo X, Bielak LF, Below JE, Bowden DW, Chambers JC, Kim YJ, Ng MCY, Petty LE, Sim X, Zhang W, Bennett AJ, Bork-Jensen J, Brummett CM, Canouil M, Ec Kardt KU, Fischer K, Kardia SLR, Kronenberg F, Läll K, Liu CT, Locke AE, Luan J, Ntalla I, Nylander V, Schönherr S, Schurmann C, Yengo L, Bottinger EP, Brandslund I, Christensen C, Dedoussis G, Florez JC, Ford I, Franco OH, Frayling TM, Giedraitis V, Hackinger S, Hattersley AT, Herder C, Ikram MA, Ingelsson M, Jørgensen ME, Jørgensen T, Kriebel J, Kuusisto J, Ligthart S, Lindgren CM, Linneberg A, Lyssenko V, Mamakou V, Meitinger T, Mohlke KL, Morris AD, Nadkarni G, Pankow JS, Peters A, Sattar N, Stančáková A, Strauch K, Taylor KD, Thorand B, Thorleifsson G, Thorsteinsdottir U, Tuomilehto J, Witte DR, Dupuis J, Peyser PA, Zeggini E, Loos RJF, Froguel P, Ingelsson E, Lind L, Groop L, Laakso M, Collins FS, Jukema JW, Palmer CNA, Grallert H, Metspalu A, Dehghan A, Köttgen A, Abecasis GR, Meigs JB, Rotter JI, Marchini J, Pedersen O, Hansen T, Langenberg C, Wareham NJ, Stefansson K, Gloyn AL, Morris AP, Boehnke M, McCarthy MI. Fine-mapping type 2 diabetes loci to single-variant resolution using high-density imputation and islet-specific epigenome maps. </w:t>
      </w:r>
      <w:r>
        <w:rPr>
          <w:rFonts w:ascii="Book Antiqua" w:hAnsi="Book Antiqua"/>
          <w:i/>
          <w:iCs/>
        </w:rPr>
        <w:t>Nat Genet</w:t>
      </w:r>
      <w:r>
        <w:rPr>
          <w:rFonts w:ascii="Book Antiqua" w:hAnsi="Book Antiqua"/>
        </w:rPr>
        <w:t xml:space="preserve"> 2018; </w:t>
      </w:r>
      <w:r>
        <w:rPr>
          <w:rFonts w:ascii="Book Antiqua" w:hAnsi="Book Antiqua"/>
          <w:b/>
          <w:bCs/>
        </w:rPr>
        <w:t>50</w:t>
      </w:r>
      <w:r>
        <w:rPr>
          <w:rFonts w:ascii="Book Antiqua" w:hAnsi="Book Antiqua"/>
        </w:rPr>
        <w:t>: 1505-1513 [PMID: 30297969 DOI: 10.1038/s41588-018-0241-6]</w:t>
      </w:r>
    </w:p>
    <w:p w14:paraId="388F47AD" w14:textId="77777777" w:rsidR="00BA6BF8" w:rsidRDefault="00000000">
      <w:pPr>
        <w:spacing w:line="360" w:lineRule="auto"/>
        <w:jc w:val="both"/>
        <w:rPr>
          <w:rFonts w:ascii="Book Antiqua" w:hAnsi="Book Antiqua"/>
        </w:rPr>
      </w:pPr>
      <w:r>
        <w:rPr>
          <w:rFonts w:ascii="Book Antiqua" w:hAnsi="Book Antiqua"/>
        </w:rPr>
        <w:t xml:space="preserve">138 </w:t>
      </w:r>
      <w:r>
        <w:rPr>
          <w:rFonts w:ascii="Book Antiqua" w:hAnsi="Book Antiqua"/>
          <w:b/>
          <w:bCs/>
        </w:rPr>
        <w:t>Vujkovic M</w:t>
      </w:r>
      <w:r>
        <w:rPr>
          <w:rFonts w:ascii="Book Antiqua" w:hAnsi="Book Antiqua"/>
        </w:rPr>
        <w:t xml:space="preserve">, Keaton JM, Lynch JA, Miller DR, Zhou J, Tcheandjieu C, Huffman JE, Assimes TL, Lorenz K, Zhu X, Hilliard AT, Judy RL, Huang J, Lee KM, Klarin D, Pyarajan </w:t>
      </w:r>
      <w:r>
        <w:rPr>
          <w:rFonts w:ascii="Book Antiqua" w:hAnsi="Book Antiqua"/>
        </w:rPr>
        <w:lastRenderedPageBreak/>
        <w:t xml:space="preserve">S, Danesh J, Melander O, Rasheed A, Mallick NH, Hameed S, Qureshi IH, Afzal MN, Malik U, Jalal A, Abbas S, Sheng X, Gao L, Kaestner KH, Susztak K, Sun YV, DuVall SL, Cho K, Lee JS, Gaziano JM, Phillips LS, Meigs JB, Reaven PD, Wilson PW, Edwards TL, Rader DJ, Damrauer SM, O'Donnell CJ, Tsao PS; HPAP Consortium; Regeneron Genetics Center; VA Million Veteran Program, Chang KM, Voight BF, Saleheen D. Discovery of 318 new risk loci for type 2 diabetes and related vascular outcomes among 1.4 million participants in a multi-ancestry meta-analysis. </w:t>
      </w:r>
      <w:r>
        <w:rPr>
          <w:rFonts w:ascii="Book Antiqua" w:hAnsi="Book Antiqua"/>
          <w:i/>
          <w:iCs/>
        </w:rPr>
        <w:t>Nat Genet</w:t>
      </w:r>
      <w:r>
        <w:rPr>
          <w:rFonts w:ascii="Book Antiqua" w:hAnsi="Book Antiqua"/>
        </w:rPr>
        <w:t xml:space="preserve"> 2020; </w:t>
      </w:r>
      <w:r>
        <w:rPr>
          <w:rFonts w:ascii="Book Antiqua" w:hAnsi="Book Antiqua"/>
          <w:b/>
          <w:bCs/>
        </w:rPr>
        <w:t>52</w:t>
      </w:r>
      <w:r>
        <w:rPr>
          <w:rFonts w:ascii="Book Antiqua" w:hAnsi="Book Antiqua"/>
        </w:rPr>
        <w:t>: 680-691 [PMID: 32541925 DOI: 10.1038/s41588-020-0637-y]</w:t>
      </w:r>
    </w:p>
    <w:p w14:paraId="6BBD822D" w14:textId="77777777" w:rsidR="00BA6BF8" w:rsidRDefault="00000000">
      <w:pPr>
        <w:spacing w:line="360" w:lineRule="auto"/>
        <w:jc w:val="both"/>
        <w:rPr>
          <w:rFonts w:ascii="Book Antiqua" w:hAnsi="Book Antiqua"/>
        </w:rPr>
      </w:pPr>
      <w:r>
        <w:rPr>
          <w:rFonts w:ascii="Book Antiqua" w:hAnsi="Book Antiqua"/>
        </w:rPr>
        <w:t xml:space="preserve">139 </w:t>
      </w:r>
      <w:r>
        <w:rPr>
          <w:rFonts w:ascii="Book Antiqua" w:hAnsi="Book Antiqua"/>
          <w:b/>
          <w:bCs/>
        </w:rPr>
        <w:t>Polfus LM</w:t>
      </w:r>
      <w:r>
        <w:rPr>
          <w:rFonts w:ascii="Book Antiqua" w:hAnsi="Book Antiqua"/>
        </w:rPr>
        <w:t xml:space="preserve">, Darst BF, Highland H, Sheng X, Ng MCY, Below JE, Petty L, Bien S, Sim X, Wang W, Fontanillas P, Patel Y; 23andMe Research Team; DIAMANTE Hispanic/Latino Consortium; MEta-analysis of type 2 DIabetes in African Americans Consortium, Preuss M, Schurmann C, Du Z, Lu Y, Rhie SK, Mercader JM, Tusie-Luna T, González-Villalpando C, Orozco L, Spracklen CN, Cade BE, Jensen RA, Sun M, Joo YY, An P, Yanek LR, Bielak LF, Tajuddin S, Nicolas A, Chen G, Raffield L, Guo X, Chen WM, Nadkarni GN, Graff M, Tao R, Pankow JS, Daviglus M, Qi Q, Boerwinkle EA, Liu S, Phillips LS, Peters U, Carlson C, Wikens LR, Marchand LL, North KE, Buyske S, Kooperberg C, Loos RJF, Stram DO, Haiman CA. Genetic discovery and risk characterization in type 2 diabetes across diverse populations. </w:t>
      </w:r>
      <w:r>
        <w:rPr>
          <w:rFonts w:ascii="Book Antiqua" w:hAnsi="Book Antiqua"/>
          <w:i/>
          <w:iCs/>
        </w:rPr>
        <w:t>HGG Adv</w:t>
      </w:r>
      <w:r>
        <w:rPr>
          <w:rFonts w:ascii="Book Antiqua" w:hAnsi="Book Antiqua"/>
        </w:rPr>
        <w:t xml:space="preserve"> 2021; </w:t>
      </w:r>
      <w:r>
        <w:rPr>
          <w:rFonts w:ascii="Book Antiqua" w:hAnsi="Book Antiqua"/>
          <w:b/>
          <w:bCs/>
        </w:rPr>
        <w:t>2</w:t>
      </w:r>
      <w:r>
        <w:rPr>
          <w:rFonts w:ascii="Book Antiqua" w:hAnsi="Book Antiqua"/>
        </w:rPr>
        <w:t xml:space="preserve"> [PMID: 34604815 DOI: 10.1016/j.xhgg.2021.100029]</w:t>
      </w:r>
    </w:p>
    <w:p w14:paraId="6037D961" w14:textId="77777777" w:rsidR="00BA6BF8" w:rsidRDefault="00000000">
      <w:pPr>
        <w:spacing w:line="360" w:lineRule="auto"/>
        <w:jc w:val="both"/>
        <w:rPr>
          <w:rFonts w:ascii="Book Antiqua" w:hAnsi="Book Antiqua"/>
        </w:rPr>
      </w:pPr>
      <w:r>
        <w:rPr>
          <w:rFonts w:ascii="Book Antiqua" w:hAnsi="Book Antiqua"/>
        </w:rPr>
        <w:t xml:space="preserve">140 </w:t>
      </w:r>
      <w:r>
        <w:rPr>
          <w:rFonts w:ascii="Book Antiqua" w:hAnsi="Book Antiqua"/>
          <w:b/>
          <w:bCs/>
        </w:rPr>
        <w:t>Winkler C</w:t>
      </w:r>
      <w:r>
        <w:rPr>
          <w:rFonts w:ascii="Book Antiqua" w:hAnsi="Book Antiqua"/>
        </w:rPr>
        <w:t xml:space="preserve">, Krumsiek J, Buettner F, Angermüller C, Giannopoulou EZ, Theis FJ, Ziegler AG, Bonifacio E. Feature ranking of type 1 diabetes susceptibility genes improves prediction of type 1 diabetes. </w:t>
      </w:r>
      <w:r>
        <w:rPr>
          <w:rFonts w:ascii="Book Antiqua" w:hAnsi="Book Antiqua"/>
          <w:i/>
          <w:iCs/>
        </w:rPr>
        <w:t>Diabetologia</w:t>
      </w:r>
      <w:r>
        <w:rPr>
          <w:rFonts w:ascii="Book Antiqua" w:hAnsi="Book Antiqua"/>
        </w:rPr>
        <w:t xml:space="preserve"> 2014; </w:t>
      </w:r>
      <w:r>
        <w:rPr>
          <w:rFonts w:ascii="Book Antiqua" w:hAnsi="Book Antiqua"/>
          <w:b/>
          <w:bCs/>
        </w:rPr>
        <w:t>57</w:t>
      </w:r>
      <w:r>
        <w:rPr>
          <w:rFonts w:ascii="Book Antiqua" w:hAnsi="Book Antiqua"/>
        </w:rPr>
        <w:t>: 2521-2529 [PMID: 25186292 DOI: 10.1007/s00125-014-3362-1]</w:t>
      </w:r>
    </w:p>
    <w:p w14:paraId="599B40C5" w14:textId="77777777" w:rsidR="00BA6BF8" w:rsidRDefault="00000000">
      <w:pPr>
        <w:spacing w:line="360" w:lineRule="auto"/>
        <w:jc w:val="both"/>
        <w:rPr>
          <w:rFonts w:ascii="Book Antiqua" w:hAnsi="Book Antiqua"/>
        </w:rPr>
      </w:pPr>
      <w:r>
        <w:rPr>
          <w:rFonts w:ascii="Book Antiqua" w:hAnsi="Book Antiqua"/>
        </w:rPr>
        <w:t xml:space="preserve">141 </w:t>
      </w:r>
      <w:r>
        <w:rPr>
          <w:rFonts w:ascii="Book Antiqua" w:hAnsi="Book Antiqua"/>
          <w:b/>
          <w:bCs/>
        </w:rPr>
        <w:t>Oram RA</w:t>
      </w:r>
      <w:r>
        <w:rPr>
          <w:rFonts w:ascii="Book Antiqua" w:hAnsi="Book Antiqua"/>
        </w:rPr>
        <w:t xml:space="preserve">, Patel K, Hill A, Shields B, McDonald TJ, Jones A, Hattersley AT, Weedon MN. A Type 1 Diabetes Genetic Risk Score Can Aid Discrimination Between Type 1 and Type 2 Diabetes in Young Adults. </w:t>
      </w:r>
      <w:r>
        <w:rPr>
          <w:rFonts w:ascii="Book Antiqua" w:hAnsi="Book Antiqua"/>
          <w:i/>
          <w:iCs/>
        </w:rPr>
        <w:t>Diabetes Care</w:t>
      </w:r>
      <w:r>
        <w:rPr>
          <w:rFonts w:ascii="Book Antiqua" w:hAnsi="Book Antiqua"/>
        </w:rPr>
        <w:t xml:space="preserve"> 2016; </w:t>
      </w:r>
      <w:r>
        <w:rPr>
          <w:rFonts w:ascii="Book Antiqua" w:hAnsi="Book Antiqua"/>
          <w:b/>
          <w:bCs/>
        </w:rPr>
        <w:t>39</w:t>
      </w:r>
      <w:r>
        <w:rPr>
          <w:rFonts w:ascii="Book Antiqua" w:hAnsi="Book Antiqua"/>
        </w:rPr>
        <w:t>: 337-344 [PMID: 26577414 DOI: 10.2337/dc15-1111]</w:t>
      </w:r>
    </w:p>
    <w:p w14:paraId="341099F0" w14:textId="77777777" w:rsidR="00BA6BF8" w:rsidRDefault="00000000">
      <w:pPr>
        <w:spacing w:line="360" w:lineRule="auto"/>
        <w:jc w:val="both"/>
        <w:rPr>
          <w:rFonts w:ascii="Book Antiqua" w:hAnsi="Book Antiqua"/>
        </w:rPr>
      </w:pPr>
      <w:r>
        <w:rPr>
          <w:rFonts w:ascii="Book Antiqua" w:hAnsi="Book Antiqua"/>
        </w:rPr>
        <w:t xml:space="preserve">142 </w:t>
      </w:r>
      <w:r>
        <w:rPr>
          <w:rFonts w:ascii="Book Antiqua" w:hAnsi="Book Antiqua"/>
          <w:b/>
          <w:bCs/>
        </w:rPr>
        <w:t>Perry DJ</w:t>
      </w:r>
      <w:r>
        <w:rPr>
          <w:rFonts w:ascii="Book Antiqua" w:hAnsi="Book Antiqua"/>
        </w:rPr>
        <w:t xml:space="preserve">, Wasserfall CH, Oram RA, Williams MD, Posgai A, Muir AB, Haller MJ, Schatz DA, Wallet MA, Mathews CE, Atkinson MA, Brusko TM. Application of a Genetic </w:t>
      </w:r>
      <w:r>
        <w:rPr>
          <w:rFonts w:ascii="Book Antiqua" w:hAnsi="Book Antiqua"/>
        </w:rPr>
        <w:lastRenderedPageBreak/>
        <w:t xml:space="preserve">Risk Score to Racially Diverse Type 1 Diabetes Populations Demonstrates the Need for Diversity in Risk-Modeling. </w:t>
      </w:r>
      <w:r>
        <w:rPr>
          <w:rFonts w:ascii="Book Antiqua" w:hAnsi="Book Antiqua"/>
          <w:i/>
          <w:iCs/>
        </w:rPr>
        <w:t>Sci Rep</w:t>
      </w:r>
      <w:r>
        <w:rPr>
          <w:rFonts w:ascii="Book Antiqua" w:hAnsi="Book Antiqua"/>
        </w:rPr>
        <w:t xml:space="preserve"> 2018; </w:t>
      </w:r>
      <w:r>
        <w:rPr>
          <w:rFonts w:ascii="Book Antiqua" w:hAnsi="Book Antiqua"/>
          <w:b/>
          <w:bCs/>
        </w:rPr>
        <w:t>8</w:t>
      </w:r>
      <w:r>
        <w:rPr>
          <w:rFonts w:ascii="Book Antiqua" w:hAnsi="Book Antiqua"/>
        </w:rPr>
        <w:t>: 4529 [PMID: 29540798 DOI: 10.1038/s41598-018-22574-5]</w:t>
      </w:r>
    </w:p>
    <w:p w14:paraId="7BEE53E4" w14:textId="77777777" w:rsidR="00BA6BF8" w:rsidRDefault="00000000">
      <w:pPr>
        <w:spacing w:line="360" w:lineRule="auto"/>
        <w:jc w:val="both"/>
        <w:rPr>
          <w:rFonts w:ascii="Book Antiqua" w:hAnsi="Book Antiqua"/>
        </w:rPr>
      </w:pPr>
      <w:r>
        <w:rPr>
          <w:rFonts w:ascii="Book Antiqua" w:hAnsi="Book Antiqua"/>
        </w:rPr>
        <w:t xml:space="preserve">143 </w:t>
      </w:r>
      <w:r>
        <w:rPr>
          <w:rFonts w:ascii="Book Antiqua" w:hAnsi="Book Antiqua"/>
          <w:b/>
          <w:bCs/>
        </w:rPr>
        <w:t>Sharp SA</w:t>
      </w:r>
      <w:r>
        <w:rPr>
          <w:rFonts w:ascii="Book Antiqua" w:hAnsi="Book Antiqua"/>
        </w:rPr>
        <w:t xml:space="preserve">, Rich SS, Wood AR, Jones SE, Beaumont RN, Harrison JW, Schneider DA, Locke JM, Tyrrell J, Weedon MN, Hagopian WA, Oram RA. Development and Standardization of an Improved Type 1 Diabetes Genetic Risk Score for Use in Newborn Screening and Incident Diagnosis. </w:t>
      </w:r>
      <w:r>
        <w:rPr>
          <w:rFonts w:ascii="Book Antiqua" w:hAnsi="Book Antiqua"/>
          <w:i/>
          <w:iCs/>
        </w:rPr>
        <w:t>Diabetes Care</w:t>
      </w:r>
      <w:r>
        <w:rPr>
          <w:rFonts w:ascii="Book Antiqua" w:hAnsi="Book Antiqua"/>
        </w:rPr>
        <w:t xml:space="preserve"> 2019; </w:t>
      </w:r>
      <w:r>
        <w:rPr>
          <w:rFonts w:ascii="Book Antiqua" w:hAnsi="Book Antiqua"/>
          <w:b/>
          <w:bCs/>
        </w:rPr>
        <w:t>42</w:t>
      </w:r>
      <w:r>
        <w:rPr>
          <w:rFonts w:ascii="Book Antiqua" w:hAnsi="Book Antiqua"/>
        </w:rPr>
        <w:t>: 200-207 [PMID: 30655379 DOI: 10.2337/dc18-1785]</w:t>
      </w:r>
    </w:p>
    <w:p w14:paraId="01154B84" w14:textId="77777777" w:rsidR="00BA6BF8" w:rsidRDefault="00000000">
      <w:pPr>
        <w:spacing w:line="360" w:lineRule="auto"/>
        <w:jc w:val="both"/>
        <w:rPr>
          <w:rFonts w:ascii="Book Antiqua" w:hAnsi="Book Antiqua"/>
        </w:rPr>
      </w:pPr>
      <w:r>
        <w:rPr>
          <w:rFonts w:ascii="Book Antiqua" w:hAnsi="Book Antiqua"/>
        </w:rPr>
        <w:t xml:space="preserve">144 </w:t>
      </w:r>
      <w:r>
        <w:rPr>
          <w:rFonts w:ascii="Book Antiqua" w:hAnsi="Book Antiqua"/>
          <w:b/>
          <w:bCs/>
        </w:rPr>
        <w:t>Weedon MN</w:t>
      </w:r>
      <w:r>
        <w:rPr>
          <w:rFonts w:ascii="Book Antiqua" w:hAnsi="Book Antiqua"/>
        </w:rPr>
        <w:t xml:space="preserve">, McCarthy MI, Hitman G, Walker M, Groves CJ, Zeggini E, Rayner NW, Shields B, Owen KR, Hattersley AT, Frayling TM. Combining information from common type 2 diabetes risk polymorphisms improves disease prediction. </w:t>
      </w:r>
      <w:r>
        <w:rPr>
          <w:rFonts w:ascii="Book Antiqua" w:hAnsi="Book Antiqua"/>
          <w:i/>
          <w:iCs/>
        </w:rPr>
        <w:t>PLoS Med</w:t>
      </w:r>
      <w:r>
        <w:rPr>
          <w:rFonts w:ascii="Book Antiqua" w:hAnsi="Book Antiqua"/>
        </w:rPr>
        <w:t xml:space="preserve"> 2006; </w:t>
      </w:r>
      <w:r>
        <w:rPr>
          <w:rFonts w:ascii="Book Antiqua" w:hAnsi="Book Antiqua"/>
          <w:b/>
          <w:bCs/>
        </w:rPr>
        <w:t>3</w:t>
      </w:r>
      <w:r>
        <w:rPr>
          <w:rFonts w:ascii="Book Antiqua" w:hAnsi="Book Antiqua"/>
        </w:rPr>
        <w:t>: e374 [PMID: 17020404 DOI: 10.1371/journal.pmed.0030374]</w:t>
      </w:r>
    </w:p>
    <w:p w14:paraId="28FEB9D5" w14:textId="77777777" w:rsidR="00BA6BF8" w:rsidRDefault="00000000">
      <w:pPr>
        <w:spacing w:line="360" w:lineRule="auto"/>
        <w:jc w:val="both"/>
        <w:rPr>
          <w:rFonts w:ascii="Book Antiqua" w:hAnsi="Book Antiqua"/>
        </w:rPr>
      </w:pPr>
      <w:r>
        <w:rPr>
          <w:rFonts w:ascii="Book Antiqua" w:hAnsi="Book Antiqua"/>
        </w:rPr>
        <w:t xml:space="preserve">145 </w:t>
      </w:r>
      <w:r>
        <w:rPr>
          <w:rFonts w:ascii="Book Antiqua" w:hAnsi="Book Antiqua"/>
          <w:b/>
          <w:bCs/>
        </w:rPr>
        <w:t>Chatterjee N</w:t>
      </w:r>
      <w:r>
        <w:rPr>
          <w:rFonts w:ascii="Book Antiqua" w:hAnsi="Book Antiqua"/>
        </w:rPr>
        <w:t xml:space="preserve">, Wheeler B, Sampson J, Hartge P, Chanock SJ, Park JH. Projecting the performance of risk prediction based on polygenic analyses of genome-wide association studies. </w:t>
      </w:r>
      <w:r>
        <w:rPr>
          <w:rFonts w:ascii="Book Antiqua" w:hAnsi="Book Antiqua"/>
          <w:i/>
          <w:iCs/>
        </w:rPr>
        <w:t>Nat Genet</w:t>
      </w:r>
      <w:r>
        <w:rPr>
          <w:rFonts w:ascii="Book Antiqua" w:hAnsi="Book Antiqua"/>
        </w:rPr>
        <w:t xml:space="preserve"> 2013; </w:t>
      </w:r>
      <w:r>
        <w:rPr>
          <w:rFonts w:ascii="Book Antiqua" w:hAnsi="Book Antiqua"/>
          <w:b/>
          <w:bCs/>
        </w:rPr>
        <w:t>45</w:t>
      </w:r>
      <w:r>
        <w:rPr>
          <w:rFonts w:ascii="Book Antiqua" w:hAnsi="Book Antiqua"/>
        </w:rPr>
        <w:t>: 400-405, 405e1-405e3 [PMID: 23455638 DOI: 10.1038/ng.2579]</w:t>
      </w:r>
    </w:p>
    <w:p w14:paraId="4F2BE0AB" w14:textId="77777777" w:rsidR="00BA6BF8" w:rsidRDefault="00000000">
      <w:pPr>
        <w:spacing w:line="360" w:lineRule="auto"/>
        <w:jc w:val="both"/>
        <w:rPr>
          <w:rFonts w:ascii="Book Antiqua" w:hAnsi="Book Antiqua"/>
        </w:rPr>
      </w:pPr>
      <w:r>
        <w:rPr>
          <w:rFonts w:ascii="Book Antiqua" w:hAnsi="Book Antiqua"/>
        </w:rPr>
        <w:t xml:space="preserve">146 </w:t>
      </w:r>
      <w:r>
        <w:rPr>
          <w:rFonts w:ascii="Book Antiqua" w:hAnsi="Book Antiqua"/>
          <w:b/>
          <w:bCs/>
        </w:rPr>
        <w:t>Vassy JL</w:t>
      </w:r>
      <w:r>
        <w:rPr>
          <w:rFonts w:ascii="Book Antiqua" w:hAnsi="Book Antiqua"/>
        </w:rPr>
        <w:t xml:space="preserve">, Hivert MF, Porneala B, Dauriz M, Florez JC, Dupuis J, Siscovick DS, Fornage M, Rasmussen-Torvik LJ, Bouchard C, Meigs JB. Polygenic type 2 diabetes prediction at the limit of common variant detection. </w:t>
      </w:r>
      <w:r>
        <w:rPr>
          <w:rFonts w:ascii="Book Antiqua" w:hAnsi="Book Antiqua"/>
          <w:i/>
          <w:iCs/>
        </w:rPr>
        <w:t>Diabetes</w:t>
      </w:r>
      <w:r>
        <w:rPr>
          <w:rFonts w:ascii="Book Antiqua" w:hAnsi="Book Antiqua"/>
        </w:rPr>
        <w:t xml:space="preserve"> 2014; </w:t>
      </w:r>
      <w:r>
        <w:rPr>
          <w:rFonts w:ascii="Book Antiqua" w:hAnsi="Book Antiqua"/>
          <w:b/>
          <w:bCs/>
        </w:rPr>
        <w:t>63</w:t>
      </w:r>
      <w:r>
        <w:rPr>
          <w:rFonts w:ascii="Book Antiqua" w:hAnsi="Book Antiqua"/>
        </w:rPr>
        <w:t>: 2172-2182 [PMID: 24520119 DOI: 10.2337/db13-1663]</w:t>
      </w:r>
    </w:p>
    <w:p w14:paraId="6156DF9E" w14:textId="77777777" w:rsidR="00BA6BF8" w:rsidRDefault="00000000">
      <w:pPr>
        <w:spacing w:line="360" w:lineRule="auto"/>
        <w:jc w:val="both"/>
        <w:rPr>
          <w:rFonts w:ascii="Book Antiqua" w:hAnsi="Book Antiqua"/>
        </w:rPr>
      </w:pPr>
      <w:r>
        <w:rPr>
          <w:rFonts w:ascii="Book Antiqua" w:hAnsi="Book Antiqua"/>
        </w:rPr>
        <w:t xml:space="preserve">147 </w:t>
      </w:r>
      <w:r>
        <w:rPr>
          <w:rFonts w:ascii="Book Antiqua" w:hAnsi="Book Antiqua"/>
          <w:b/>
          <w:bCs/>
        </w:rPr>
        <w:t>Läll K</w:t>
      </w:r>
      <w:r>
        <w:rPr>
          <w:rFonts w:ascii="Book Antiqua" w:hAnsi="Book Antiqua"/>
        </w:rPr>
        <w:t xml:space="preserve">, Mägi R, Morris A, Metspalu A, Fischer K. Personalized risk prediction for type 2 diabetes: the potential of genetic risk scores. </w:t>
      </w:r>
      <w:r>
        <w:rPr>
          <w:rFonts w:ascii="Book Antiqua" w:hAnsi="Book Antiqua"/>
          <w:i/>
          <w:iCs/>
        </w:rPr>
        <w:t>Genet Med</w:t>
      </w:r>
      <w:r>
        <w:rPr>
          <w:rFonts w:ascii="Book Antiqua" w:hAnsi="Book Antiqua"/>
        </w:rPr>
        <w:t xml:space="preserve"> 2017; </w:t>
      </w:r>
      <w:r>
        <w:rPr>
          <w:rFonts w:ascii="Book Antiqua" w:hAnsi="Book Antiqua"/>
          <w:b/>
          <w:bCs/>
        </w:rPr>
        <w:t>19</w:t>
      </w:r>
      <w:r>
        <w:rPr>
          <w:rFonts w:ascii="Book Antiqua" w:hAnsi="Book Antiqua"/>
        </w:rPr>
        <w:t>: 322-329 [PMID: 27513194 DOI: 10.1038/gim.2016.103]</w:t>
      </w:r>
    </w:p>
    <w:p w14:paraId="5CCD8A50" w14:textId="77777777" w:rsidR="00BA6BF8" w:rsidRDefault="00000000">
      <w:pPr>
        <w:spacing w:line="360" w:lineRule="auto"/>
        <w:jc w:val="both"/>
        <w:rPr>
          <w:rFonts w:ascii="Book Antiqua" w:hAnsi="Book Antiqua"/>
        </w:rPr>
      </w:pPr>
      <w:r>
        <w:rPr>
          <w:rFonts w:ascii="Book Antiqua" w:hAnsi="Book Antiqua"/>
        </w:rPr>
        <w:t xml:space="preserve">148 </w:t>
      </w:r>
      <w:r>
        <w:rPr>
          <w:rFonts w:ascii="Book Antiqua" w:hAnsi="Book Antiqua"/>
          <w:b/>
          <w:bCs/>
        </w:rPr>
        <w:t>Chikowore T</w:t>
      </w:r>
      <w:r>
        <w:rPr>
          <w:rFonts w:ascii="Book Antiqua" w:hAnsi="Book Antiqua"/>
        </w:rPr>
        <w:t xml:space="preserve">, van Zyl T, Feskens EJ, Conradie KR. Predictive utility of a genetic risk score of common variants associated with type 2 diabetes in a black South African population. </w:t>
      </w:r>
      <w:r>
        <w:rPr>
          <w:rFonts w:ascii="Book Antiqua" w:hAnsi="Book Antiqua"/>
          <w:i/>
          <w:iCs/>
        </w:rPr>
        <w:t>Diabetes Res Clin Pract</w:t>
      </w:r>
      <w:r>
        <w:rPr>
          <w:rFonts w:ascii="Book Antiqua" w:hAnsi="Book Antiqua"/>
        </w:rPr>
        <w:t xml:space="preserve"> 2016; </w:t>
      </w:r>
      <w:r>
        <w:rPr>
          <w:rFonts w:ascii="Book Antiqua" w:hAnsi="Book Antiqua"/>
          <w:b/>
          <w:bCs/>
        </w:rPr>
        <w:t>122</w:t>
      </w:r>
      <w:r>
        <w:rPr>
          <w:rFonts w:ascii="Book Antiqua" w:hAnsi="Book Antiqua"/>
        </w:rPr>
        <w:t>: 1-8 [PMID: 27744072 DOI: 10.1016/j.diabres.2016.09.019]</w:t>
      </w:r>
    </w:p>
    <w:p w14:paraId="543FF7B4" w14:textId="77777777" w:rsidR="00BA6BF8" w:rsidRDefault="00000000">
      <w:pPr>
        <w:spacing w:line="360" w:lineRule="auto"/>
        <w:jc w:val="both"/>
        <w:rPr>
          <w:rFonts w:ascii="Book Antiqua" w:hAnsi="Book Antiqua"/>
        </w:rPr>
      </w:pPr>
      <w:r>
        <w:rPr>
          <w:rFonts w:ascii="Book Antiqua" w:hAnsi="Book Antiqua"/>
        </w:rPr>
        <w:t xml:space="preserve">149 </w:t>
      </w:r>
      <w:r>
        <w:rPr>
          <w:rFonts w:ascii="Book Antiqua" w:hAnsi="Book Antiqua"/>
          <w:b/>
          <w:bCs/>
        </w:rPr>
        <w:t>Khera AV</w:t>
      </w:r>
      <w:r>
        <w:rPr>
          <w:rFonts w:ascii="Book Antiqua" w:hAnsi="Book Antiqua"/>
        </w:rPr>
        <w:t xml:space="preserve">, Chaffin M, Aragam KG, Haas ME, Roselli C, Choi SH, Natarajan P, Lander ES, Lubitz SA, Ellinor PT, Kathiresan S. Genome-wide polygenic scores for common </w:t>
      </w:r>
      <w:r>
        <w:rPr>
          <w:rFonts w:ascii="Book Antiqua" w:hAnsi="Book Antiqua"/>
        </w:rPr>
        <w:lastRenderedPageBreak/>
        <w:t xml:space="preserve">diseases identify individuals with risk equivalent to monogenic mutations. </w:t>
      </w:r>
      <w:r>
        <w:rPr>
          <w:rFonts w:ascii="Book Antiqua" w:hAnsi="Book Antiqua"/>
          <w:i/>
          <w:iCs/>
        </w:rPr>
        <w:t>Nat Genet</w:t>
      </w:r>
      <w:r>
        <w:rPr>
          <w:rFonts w:ascii="Book Antiqua" w:hAnsi="Book Antiqua"/>
        </w:rPr>
        <w:t xml:space="preserve"> 2018; </w:t>
      </w:r>
      <w:r>
        <w:rPr>
          <w:rFonts w:ascii="Book Antiqua" w:hAnsi="Book Antiqua"/>
          <w:b/>
          <w:bCs/>
        </w:rPr>
        <w:t>50</w:t>
      </w:r>
      <w:r>
        <w:rPr>
          <w:rFonts w:ascii="Book Antiqua" w:hAnsi="Book Antiqua"/>
        </w:rPr>
        <w:t>: 1219-1224 [PMID: 30104762 DOI: 10.1038/s41588-018-0183-z]</w:t>
      </w:r>
    </w:p>
    <w:p w14:paraId="350E89A9" w14:textId="77777777" w:rsidR="00BA6BF8" w:rsidRDefault="00000000">
      <w:pPr>
        <w:spacing w:line="360" w:lineRule="auto"/>
        <w:jc w:val="both"/>
        <w:rPr>
          <w:rFonts w:ascii="Book Antiqua" w:hAnsi="Book Antiqua"/>
        </w:rPr>
      </w:pPr>
      <w:r>
        <w:rPr>
          <w:rFonts w:ascii="Book Antiqua" w:hAnsi="Book Antiqua"/>
        </w:rPr>
        <w:t xml:space="preserve">150 </w:t>
      </w:r>
      <w:r>
        <w:rPr>
          <w:rFonts w:ascii="Book Antiqua" w:hAnsi="Book Antiqua"/>
          <w:b/>
          <w:bCs/>
        </w:rPr>
        <w:t>Kawai VK</w:t>
      </w:r>
      <w:r>
        <w:rPr>
          <w:rFonts w:ascii="Book Antiqua" w:hAnsi="Book Antiqua"/>
        </w:rPr>
        <w:t xml:space="preserve">, Levinson RT, Adefurin A, Kurnik D, Collier SP, Conway D, Stein CM. A genetic risk score that includes common type 2 diabetes risk variants is associated with gestational diabetes. </w:t>
      </w:r>
      <w:r>
        <w:rPr>
          <w:rFonts w:ascii="Book Antiqua" w:hAnsi="Book Antiqua"/>
          <w:i/>
          <w:iCs/>
        </w:rPr>
        <w:t>Clin Endocrinol (Oxf)</w:t>
      </w:r>
      <w:r>
        <w:rPr>
          <w:rFonts w:ascii="Book Antiqua" w:hAnsi="Book Antiqua"/>
        </w:rPr>
        <w:t xml:space="preserve"> 2017; </w:t>
      </w:r>
      <w:r>
        <w:rPr>
          <w:rFonts w:ascii="Book Antiqua" w:hAnsi="Book Antiqua"/>
          <w:b/>
          <w:bCs/>
        </w:rPr>
        <w:t>87</w:t>
      </w:r>
      <w:r>
        <w:rPr>
          <w:rFonts w:ascii="Book Antiqua" w:hAnsi="Book Antiqua"/>
        </w:rPr>
        <w:t>: 149-155 [PMID: 28429832 DOI: 10.1111/cen.13356]</w:t>
      </w:r>
    </w:p>
    <w:p w14:paraId="09C3E6FF" w14:textId="77777777" w:rsidR="00BA6BF8" w:rsidRDefault="00000000">
      <w:pPr>
        <w:spacing w:line="360" w:lineRule="auto"/>
        <w:jc w:val="both"/>
        <w:rPr>
          <w:rFonts w:ascii="Book Antiqua" w:hAnsi="Book Antiqua"/>
        </w:rPr>
      </w:pPr>
      <w:r>
        <w:rPr>
          <w:rFonts w:ascii="Book Antiqua" w:hAnsi="Book Antiqua"/>
        </w:rPr>
        <w:t xml:space="preserve">151 </w:t>
      </w:r>
      <w:r>
        <w:rPr>
          <w:rFonts w:ascii="Book Antiqua" w:hAnsi="Book Antiqua"/>
          <w:b/>
          <w:bCs/>
        </w:rPr>
        <w:t>Lauenborg J</w:t>
      </w:r>
      <w:r>
        <w:rPr>
          <w:rFonts w:ascii="Book Antiqua" w:hAnsi="Book Antiqua"/>
        </w:rPr>
        <w:t xml:space="preserve">, Grarup N, Damm P, Borch-Johnsen K, Jørgensen T, Pedersen O, Hansen T. Common type 2 diabetes risk gene variants associate with gestational diabetes. </w:t>
      </w:r>
      <w:r>
        <w:rPr>
          <w:rFonts w:ascii="Book Antiqua" w:hAnsi="Book Antiqua"/>
          <w:i/>
          <w:iCs/>
        </w:rPr>
        <w:t>J Clin Endocrinol Metab</w:t>
      </w:r>
      <w:r>
        <w:rPr>
          <w:rFonts w:ascii="Book Antiqua" w:hAnsi="Book Antiqua"/>
        </w:rPr>
        <w:t xml:space="preserve"> 2009; </w:t>
      </w:r>
      <w:r>
        <w:rPr>
          <w:rFonts w:ascii="Book Antiqua" w:hAnsi="Book Antiqua"/>
          <w:b/>
          <w:bCs/>
        </w:rPr>
        <w:t>94</w:t>
      </w:r>
      <w:r>
        <w:rPr>
          <w:rFonts w:ascii="Book Antiqua" w:hAnsi="Book Antiqua"/>
        </w:rPr>
        <w:t>: 145-150 [PMID: 18984664 DOI: 10.1210/jc.2008-1336]</w:t>
      </w:r>
    </w:p>
    <w:p w14:paraId="3B818CDE" w14:textId="77777777" w:rsidR="00BA6BF8" w:rsidRDefault="00000000">
      <w:pPr>
        <w:spacing w:line="360" w:lineRule="auto"/>
        <w:jc w:val="both"/>
        <w:rPr>
          <w:rFonts w:ascii="Book Antiqua" w:hAnsi="Book Antiqua"/>
        </w:rPr>
      </w:pPr>
      <w:r>
        <w:rPr>
          <w:rFonts w:ascii="Book Antiqua" w:hAnsi="Book Antiqua"/>
        </w:rPr>
        <w:t xml:space="preserve">152 </w:t>
      </w:r>
      <w:r>
        <w:rPr>
          <w:rFonts w:ascii="Book Antiqua" w:hAnsi="Book Antiqua"/>
          <w:b/>
          <w:bCs/>
        </w:rPr>
        <w:t>Powe CE</w:t>
      </w:r>
      <w:r>
        <w:rPr>
          <w:rFonts w:ascii="Book Antiqua" w:hAnsi="Book Antiqua"/>
        </w:rPr>
        <w:t xml:space="preserve">, Nodzenski M, Talbot O, Allard C, Briggs C, Leya MV, Perron P, Bouchard L, Florez JC, Scholtens DM, Lowe WL Jr, Hivert MF. Genetic Determinants of Glycemic Traits and the Risk of Gestational Diabetes Mellitus. </w:t>
      </w:r>
      <w:r>
        <w:rPr>
          <w:rFonts w:ascii="Book Antiqua" w:hAnsi="Book Antiqua"/>
          <w:i/>
          <w:iCs/>
        </w:rPr>
        <w:t>Diabetes</w:t>
      </w:r>
      <w:r>
        <w:rPr>
          <w:rFonts w:ascii="Book Antiqua" w:hAnsi="Book Antiqua"/>
        </w:rPr>
        <w:t xml:space="preserve"> 2018; </w:t>
      </w:r>
      <w:r>
        <w:rPr>
          <w:rFonts w:ascii="Book Antiqua" w:hAnsi="Book Antiqua"/>
          <w:b/>
          <w:bCs/>
        </w:rPr>
        <w:t>67</w:t>
      </w:r>
      <w:r>
        <w:rPr>
          <w:rFonts w:ascii="Book Antiqua" w:hAnsi="Book Antiqua"/>
        </w:rPr>
        <w:t>: 2703-2709 [PMID: 30257980 DOI: 10.2337/db18-0203]</w:t>
      </w:r>
    </w:p>
    <w:p w14:paraId="7405FE62" w14:textId="77777777" w:rsidR="00BA6BF8" w:rsidRDefault="00000000">
      <w:pPr>
        <w:spacing w:line="360" w:lineRule="auto"/>
        <w:jc w:val="both"/>
        <w:rPr>
          <w:rFonts w:ascii="Book Antiqua" w:hAnsi="Book Antiqua"/>
        </w:rPr>
      </w:pPr>
      <w:r>
        <w:rPr>
          <w:rFonts w:ascii="Book Antiqua" w:hAnsi="Book Antiqua"/>
        </w:rPr>
        <w:t xml:space="preserve">153 </w:t>
      </w:r>
      <w:r>
        <w:rPr>
          <w:rFonts w:ascii="Book Antiqua" w:hAnsi="Book Antiqua"/>
          <w:b/>
          <w:bCs/>
        </w:rPr>
        <w:t>Perišić MM</w:t>
      </w:r>
      <w:r>
        <w:rPr>
          <w:rFonts w:ascii="Book Antiqua" w:hAnsi="Book Antiqua"/>
        </w:rPr>
        <w:t xml:space="preserve">, Vladimir K, Karpov S, Štorga M, Mostashari A, Khanin R. Polygenic Risk Score and Risk Factors for Gestational Diabetes. </w:t>
      </w:r>
      <w:r>
        <w:rPr>
          <w:rFonts w:ascii="Book Antiqua" w:hAnsi="Book Antiqua"/>
          <w:i/>
          <w:iCs/>
        </w:rPr>
        <w:t>J Pers Med</w:t>
      </w:r>
      <w:r>
        <w:rPr>
          <w:rFonts w:ascii="Book Antiqua" w:hAnsi="Book Antiqua"/>
        </w:rPr>
        <w:t xml:space="preserve"> 2022; </w:t>
      </w:r>
      <w:r>
        <w:rPr>
          <w:rFonts w:ascii="Book Antiqua" w:hAnsi="Book Antiqua"/>
          <w:b/>
          <w:bCs/>
        </w:rPr>
        <w:t>12</w:t>
      </w:r>
      <w:r>
        <w:rPr>
          <w:rFonts w:ascii="Book Antiqua" w:hAnsi="Book Antiqua"/>
        </w:rPr>
        <w:t xml:space="preserve"> [PMID: 36143166 DOI: 10.3390/jpm12091381]</w:t>
      </w:r>
    </w:p>
    <w:p w14:paraId="24FCD85C" w14:textId="77777777" w:rsidR="00BA6BF8" w:rsidRDefault="00000000">
      <w:pPr>
        <w:spacing w:line="360" w:lineRule="auto"/>
        <w:jc w:val="both"/>
        <w:rPr>
          <w:rFonts w:ascii="Book Antiqua" w:hAnsi="Book Antiqua"/>
        </w:rPr>
      </w:pPr>
      <w:r>
        <w:rPr>
          <w:rFonts w:ascii="Book Antiqua" w:hAnsi="Book Antiqua"/>
        </w:rPr>
        <w:t xml:space="preserve">154 Standards of Medical Care in Diabetes-2016: Summary of Revisions. </w:t>
      </w:r>
      <w:r>
        <w:rPr>
          <w:rFonts w:ascii="Book Antiqua" w:hAnsi="Book Antiqua"/>
          <w:i/>
          <w:iCs/>
        </w:rPr>
        <w:t>Diabetes Care</w:t>
      </w:r>
      <w:r>
        <w:rPr>
          <w:rFonts w:ascii="Book Antiqua" w:hAnsi="Book Antiqua"/>
        </w:rPr>
        <w:t xml:space="preserve"> 2016; </w:t>
      </w:r>
      <w:r>
        <w:rPr>
          <w:rFonts w:ascii="Book Antiqua" w:hAnsi="Book Antiqua"/>
          <w:b/>
          <w:bCs/>
        </w:rPr>
        <w:t xml:space="preserve">39 </w:t>
      </w:r>
      <w:r>
        <w:rPr>
          <w:rFonts w:ascii="Book Antiqua" w:hAnsi="Book Antiqua"/>
        </w:rPr>
        <w:t>Suppl 1: S4-S5 [PMID: 26696680 DOI: 10.2337/dc16-S003]</w:t>
      </w:r>
    </w:p>
    <w:p w14:paraId="1305047C" w14:textId="77777777" w:rsidR="00BA6BF8" w:rsidRDefault="00000000">
      <w:pPr>
        <w:spacing w:line="360" w:lineRule="auto"/>
        <w:jc w:val="both"/>
        <w:rPr>
          <w:rFonts w:ascii="Book Antiqua" w:hAnsi="Book Antiqua"/>
        </w:rPr>
      </w:pPr>
      <w:r>
        <w:rPr>
          <w:rFonts w:ascii="Book Antiqua" w:hAnsi="Book Antiqua"/>
        </w:rPr>
        <w:t xml:space="preserve">155 </w:t>
      </w:r>
      <w:r>
        <w:rPr>
          <w:rFonts w:ascii="Book Antiqua" w:hAnsi="Book Antiqua"/>
          <w:b/>
          <w:bCs/>
        </w:rPr>
        <w:t>Klonoff DC</w:t>
      </w:r>
      <w:r>
        <w:rPr>
          <w:rFonts w:ascii="Book Antiqua" w:hAnsi="Book Antiqua"/>
        </w:rPr>
        <w:t xml:space="preserve">, Kerr D. Smart Pens Will Improve Insulin Therapy. </w:t>
      </w:r>
      <w:r>
        <w:rPr>
          <w:rFonts w:ascii="Book Antiqua" w:hAnsi="Book Antiqua"/>
          <w:i/>
          <w:iCs/>
        </w:rPr>
        <w:t>J Diabetes Sci Technol</w:t>
      </w:r>
      <w:r>
        <w:rPr>
          <w:rFonts w:ascii="Book Antiqua" w:hAnsi="Book Antiqua"/>
        </w:rPr>
        <w:t xml:space="preserve"> 2018; </w:t>
      </w:r>
      <w:r>
        <w:rPr>
          <w:rFonts w:ascii="Book Antiqua" w:hAnsi="Book Antiqua"/>
          <w:b/>
          <w:bCs/>
        </w:rPr>
        <w:t>12</w:t>
      </w:r>
      <w:r>
        <w:rPr>
          <w:rFonts w:ascii="Book Antiqua" w:hAnsi="Book Antiqua"/>
        </w:rPr>
        <w:t>: 551-553 [PMID: 29411641 DOI: 10.1177/1932296818759845]</w:t>
      </w:r>
    </w:p>
    <w:p w14:paraId="4289D254" w14:textId="77777777" w:rsidR="00BA6BF8" w:rsidRDefault="00000000">
      <w:pPr>
        <w:spacing w:line="360" w:lineRule="auto"/>
        <w:jc w:val="both"/>
        <w:rPr>
          <w:rFonts w:ascii="Book Antiqua" w:hAnsi="Book Antiqua"/>
        </w:rPr>
      </w:pPr>
      <w:r>
        <w:rPr>
          <w:rFonts w:ascii="Book Antiqua" w:hAnsi="Book Antiqua"/>
        </w:rPr>
        <w:t xml:space="preserve">156 </w:t>
      </w:r>
      <w:r>
        <w:rPr>
          <w:rFonts w:ascii="Book Antiqua" w:hAnsi="Book Antiqua"/>
          <w:b/>
          <w:bCs/>
        </w:rPr>
        <w:t>Sangave NA</w:t>
      </w:r>
      <w:r>
        <w:rPr>
          <w:rFonts w:ascii="Book Antiqua" w:hAnsi="Book Antiqua"/>
        </w:rPr>
        <w:t xml:space="preserve">, Aungst TD, Patel DK. Smart Connected Insulin Pens, Caps, and Attachments: A Review of the Future of Diabetes Technology. </w:t>
      </w:r>
      <w:r>
        <w:rPr>
          <w:rFonts w:ascii="Book Antiqua" w:hAnsi="Book Antiqua"/>
          <w:i/>
          <w:iCs/>
        </w:rPr>
        <w:t>Diabetes Spectr</w:t>
      </w:r>
      <w:r>
        <w:rPr>
          <w:rFonts w:ascii="Book Antiqua" w:hAnsi="Book Antiqua"/>
        </w:rPr>
        <w:t xml:space="preserve"> 2019; </w:t>
      </w:r>
      <w:r>
        <w:rPr>
          <w:rFonts w:ascii="Book Antiqua" w:hAnsi="Book Antiqua"/>
          <w:b/>
          <w:bCs/>
        </w:rPr>
        <w:t>32</w:t>
      </w:r>
      <w:r>
        <w:rPr>
          <w:rFonts w:ascii="Book Antiqua" w:hAnsi="Book Antiqua"/>
        </w:rPr>
        <w:t>: 378-384 [PMID: 31798296 DOI: 10.2337/ds18-0069]</w:t>
      </w:r>
    </w:p>
    <w:p w14:paraId="3C56ACB8" w14:textId="77777777" w:rsidR="00BA6BF8" w:rsidRDefault="00000000">
      <w:pPr>
        <w:spacing w:line="360" w:lineRule="auto"/>
        <w:jc w:val="both"/>
        <w:rPr>
          <w:rFonts w:ascii="Book Antiqua" w:hAnsi="Book Antiqua"/>
        </w:rPr>
      </w:pPr>
      <w:r>
        <w:rPr>
          <w:rFonts w:ascii="Book Antiqua" w:hAnsi="Book Antiqua"/>
        </w:rPr>
        <w:t xml:space="preserve">157 </w:t>
      </w:r>
      <w:r>
        <w:rPr>
          <w:rFonts w:ascii="Book Antiqua" w:hAnsi="Book Antiqua"/>
          <w:b/>
          <w:bCs/>
        </w:rPr>
        <w:t>Colberg SR</w:t>
      </w:r>
      <w:r>
        <w:rPr>
          <w:rFonts w:ascii="Book Antiqua" w:hAnsi="Book Antiqua"/>
        </w:rPr>
        <w:t xml:space="preserve">, Sigal RJ, Yardley JE, Riddell MC, Dunstan DW, Dempsey PC, Horton ES, Castorino K, Tate DF. Physical Activity/Exercise and Diabetes: A Position Statement of the American Diabetes Association. </w:t>
      </w:r>
      <w:r>
        <w:rPr>
          <w:rFonts w:ascii="Book Antiqua" w:hAnsi="Book Antiqua"/>
          <w:i/>
          <w:iCs/>
        </w:rPr>
        <w:t>Diabetes Care</w:t>
      </w:r>
      <w:r>
        <w:rPr>
          <w:rFonts w:ascii="Book Antiqua" w:hAnsi="Book Antiqua"/>
        </w:rPr>
        <w:t xml:space="preserve"> 2016; </w:t>
      </w:r>
      <w:r>
        <w:rPr>
          <w:rFonts w:ascii="Book Antiqua" w:hAnsi="Book Antiqua"/>
          <w:b/>
          <w:bCs/>
        </w:rPr>
        <w:t>39</w:t>
      </w:r>
      <w:r>
        <w:rPr>
          <w:rFonts w:ascii="Book Antiqua" w:hAnsi="Book Antiqua"/>
        </w:rPr>
        <w:t>: 2065-2079 [PMID: 27926890 DOI: 10.2337/dc16-1728]</w:t>
      </w:r>
    </w:p>
    <w:p w14:paraId="642CDE44" w14:textId="77777777" w:rsidR="00BA6BF8" w:rsidRDefault="00000000">
      <w:pPr>
        <w:spacing w:line="360" w:lineRule="auto"/>
        <w:jc w:val="both"/>
        <w:rPr>
          <w:rFonts w:ascii="Book Antiqua" w:hAnsi="Book Antiqua"/>
        </w:rPr>
      </w:pPr>
      <w:r>
        <w:rPr>
          <w:rFonts w:ascii="Book Antiqua" w:hAnsi="Book Antiqua"/>
        </w:rPr>
        <w:lastRenderedPageBreak/>
        <w:t xml:space="preserve">158 </w:t>
      </w:r>
      <w:r>
        <w:rPr>
          <w:rFonts w:ascii="Book Antiqua" w:hAnsi="Book Antiqua"/>
          <w:b/>
          <w:bCs/>
        </w:rPr>
        <w:t>Ebrahimi M</w:t>
      </w:r>
      <w:r>
        <w:rPr>
          <w:rFonts w:ascii="Book Antiqua" w:hAnsi="Book Antiqua"/>
        </w:rPr>
        <w:t xml:space="preserve">, Guilan-Nejad TN, Pordanjani AF. Effect of yoga and aerobics exercise on sleep quality in women with Type 2 diabetes: a randomized controlled trial. </w:t>
      </w:r>
      <w:r>
        <w:rPr>
          <w:rFonts w:ascii="Book Antiqua" w:hAnsi="Book Antiqua"/>
          <w:i/>
          <w:iCs/>
        </w:rPr>
        <w:t>Sleep Sci</w:t>
      </w:r>
      <w:r>
        <w:rPr>
          <w:rFonts w:ascii="Book Antiqua" w:hAnsi="Book Antiqua"/>
        </w:rPr>
        <w:t xml:space="preserve"> 2017; </w:t>
      </w:r>
      <w:r>
        <w:rPr>
          <w:rFonts w:ascii="Book Antiqua" w:hAnsi="Book Antiqua"/>
          <w:b/>
          <w:bCs/>
        </w:rPr>
        <w:t>10</w:t>
      </w:r>
      <w:r>
        <w:rPr>
          <w:rFonts w:ascii="Book Antiqua" w:hAnsi="Book Antiqua"/>
        </w:rPr>
        <w:t>: 68-72 [PMID: 28966742 DOI: 10.5935/1984-0063.20170012]</w:t>
      </w:r>
    </w:p>
    <w:p w14:paraId="2857C539" w14:textId="77777777" w:rsidR="00BA6BF8" w:rsidRDefault="00000000">
      <w:pPr>
        <w:spacing w:line="360" w:lineRule="auto"/>
        <w:jc w:val="both"/>
        <w:rPr>
          <w:rFonts w:ascii="Book Antiqua" w:hAnsi="Book Antiqua"/>
        </w:rPr>
      </w:pPr>
      <w:r>
        <w:rPr>
          <w:rFonts w:ascii="Book Antiqua" w:hAnsi="Book Antiqua"/>
        </w:rPr>
        <w:t xml:space="preserve">159 </w:t>
      </w:r>
      <w:r>
        <w:rPr>
          <w:rFonts w:ascii="Book Antiqua" w:hAnsi="Book Antiqua"/>
          <w:b/>
          <w:bCs/>
        </w:rPr>
        <w:t>Boström P</w:t>
      </w:r>
      <w:r>
        <w:rPr>
          <w:rFonts w:ascii="Book Antiqua" w:hAnsi="Book Antiqua"/>
        </w:rPr>
        <w:t xml:space="preserve">, Wu J, Jedrychowski MP, Korde A, Ye L, Lo JC, Rasbach KA, Boström EA, Choi JH, Long JZ, Kajimura S, Zingaretti MC, Vind BF, Tu H, Cinti S, Højlund K, Gygi SP, Spiegelman BM. A PGC1-α-dependent myokine that drives brown-fat-like development of white fat and thermogenesis. </w:t>
      </w:r>
      <w:r>
        <w:rPr>
          <w:rFonts w:ascii="Book Antiqua" w:hAnsi="Book Antiqua"/>
          <w:i/>
          <w:iCs/>
        </w:rPr>
        <w:t>Nature</w:t>
      </w:r>
      <w:r>
        <w:rPr>
          <w:rFonts w:ascii="Book Antiqua" w:hAnsi="Book Antiqua"/>
        </w:rPr>
        <w:t xml:space="preserve"> 2012; </w:t>
      </w:r>
      <w:r>
        <w:rPr>
          <w:rFonts w:ascii="Book Antiqua" w:hAnsi="Book Antiqua"/>
          <w:b/>
          <w:bCs/>
        </w:rPr>
        <w:t>481</w:t>
      </w:r>
      <w:r>
        <w:rPr>
          <w:rFonts w:ascii="Book Antiqua" w:hAnsi="Book Antiqua"/>
        </w:rPr>
        <w:t>: 463-468 [PMID: 22237023 DOI: 10.1038/nature10777]</w:t>
      </w:r>
    </w:p>
    <w:p w14:paraId="4A35F279" w14:textId="77777777" w:rsidR="00BA6BF8" w:rsidRDefault="00000000">
      <w:pPr>
        <w:spacing w:line="360" w:lineRule="auto"/>
        <w:jc w:val="both"/>
        <w:rPr>
          <w:rFonts w:ascii="Book Antiqua" w:hAnsi="Book Antiqua"/>
        </w:rPr>
      </w:pPr>
      <w:r>
        <w:rPr>
          <w:rFonts w:ascii="Book Antiqua" w:hAnsi="Book Antiqua"/>
        </w:rPr>
        <w:t xml:space="preserve">160 </w:t>
      </w:r>
      <w:r>
        <w:rPr>
          <w:rFonts w:ascii="Book Antiqua" w:hAnsi="Book Antiqua"/>
          <w:b/>
          <w:bCs/>
        </w:rPr>
        <w:t>Lee NK</w:t>
      </w:r>
      <w:r>
        <w:rPr>
          <w:rFonts w:ascii="Book Antiqua" w:hAnsi="Book Antiqua"/>
        </w:rPr>
        <w:t xml:space="preserve">, Sowa H, Hinoi E, Ferron M, Ahn JD, Confavreux C, Dacquin R, Mee PJ, McKee MD, Jung DY, Zhang Z, Kim JK, Mauvais-Jarvis F, Ducy P, Karsenty G. Endocrine regulation of energy metabolism by the skeleton. </w:t>
      </w:r>
      <w:r>
        <w:rPr>
          <w:rFonts w:ascii="Book Antiqua" w:hAnsi="Book Antiqua"/>
          <w:i/>
          <w:iCs/>
        </w:rPr>
        <w:t>Cell</w:t>
      </w:r>
      <w:r>
        <w:rPr>
          <w:rFonts w:ascii="Book Antiqua" w:hAnsi="Book Antiqua"/>
        </w:rPr>
        <w:t xml:space="preserve"> 2007; </w:t>
      </w:r>
      <w:r>
        <w:rPr>
          <w:rFonts w:ascii="Book Antiqua" w:hAnsi="Book Antiqua"/>
          <w:b/>
          <w:bCs/>
        </w:rPr>
        <w:t>130</w:t>
      </w:r>
      <w:r>
        <w:rPr>
          <w:rFonts w:ascii="Book Antiqua" w:hAnsi="Book Antiqua"/>
        </w:rPr>
        <w:t>: 456-469 [PMID: 17693256 DOI: 10.1016/j.cell.2007.05.047]</w:t>
      </w:r>
    </w:p>
    <w:p w14:paraId="12A3F2D6" w14:textId="77777777" w:rsidR="00BA6BF8" w:rsidRDefault="00000000">
      <w:pPr>
        <w:spacing w:line="360" w:lineRule="auto"/>
        <w:jc w:val="both"/>
        <w:rPr>
          <w:rFonts w:ascii="Book Antiqua" w:hAnsi="Book Antiqua"/>
        </w:rPr>
      </w:pPr>
      <w:r>
        <w:rPr>
          <w:rFonts w:ascii="Book Antiqua" w:hAnsi="Book Antiqua"/>
        </w:rPr>
        <w:t xml:space="preserve">161 </w:t>
      </w:r>
      <w:r>
        <w:rPr>
          <w:rFonts w:ascii="Book Antiqua" w:hAnsi="Book Antiqua"/>
          <w:b/>
          <w:bCs/>
        </w:rPr>
        <w:t>Wang ZV</w:t>
      </w:r>
      <w:r>
        <w:rPr>
          <w:rFonts w:ascii="Book Antiqua" w:hAnsi="Book Antiqua"/>
        </w:rPr>
        <w:t xml:space="preserve">, Scherer PE. Adiponectin, the past two decades. </w:t>
      </w:r>
      <w:r>
        <w:rPr>
          <w:rFonts w:ascii="Book Antiqua" w:hAnsi="Book Antiqua"/>
          <w:i/>
          <w:iCs/>
        </w:rPr>
        <w:t>J Mol Cell Biol</w:t>
      </w:r>
      <w:r>
        <w:rPr>
          <w:rFonts w:ascii="Book Antiqua" w:hAnsi="Book Antiqua"/>
        </w:rPr>
        <w:t xml:space="preserve"> 2016; </w:t>
      </w:r>
      <w:r>
        <w:rPr>
          <w:rFonts w:ascii="Book Antiqua" w:hAnsi="Book Antiqua"/>
          <w:b/>
          <w:bCs/>
        </w:rPr>
        <w:t>8</w:t>
      </w:r>
      <w:r>
        <w:rPr>
          <w:rFonts w:ascii="Book Antiqua" w:hAnsi="Book Antiqua"/>
        </w:rPr>
        <w:t>: 93-100 [PMID: 26993047 DOI: 10.1093/jmcb/mjw011]</w:t>
      </w:r>
    </w:p>
    <w:p w14:paraId="36A7BE48" w14:textId="77777777" w:rsidR="00BA6BF8" w:rsidRDefault="00000000">
      <w:pPr>
        <w:spacing w:line="360" w:lineRule="auto"/>
        <w:jc w:val="both"/>
        <w:rPr>
          <w:rFonts w:ascii="Book Antiqua" w:hAnsi="Book Antiqua"/>
        </w:rPr>
      </w:pPr>
      <w:r>
        <w:rPr>
          <w:rFonts w:ascii="Book Antiqua" w:hAnsi="Book Antiqua"/>
        </w:rPr>
        <w:t xml:space="preserve">162 </w:t>
      </w:r>
      <w:r>
        <w:rPr>
          <w:rFonts w:ascii="Book Antiqua" w:hAnsi="Book Antiqua"/>
          <w:b/>
          <w:bCs/>
        </w:rPr>
        <w:t>Barnard RJ</w:t>
      </w:r>
      <w:r>
        <w:rPr>
          <w:rFonts w:ascii="Book Antiqua" w:hAnsi="Book Antiqua"/>
        </w:rPr>
        <w:t xml:space="preserve">, Jung T, Inkeles SB. Diet and exercise in the treatment of NIDDM. The need for early emphasis. </w:t>
      </w:r>
      <w:r>
        <w:rPr>
          <w:rFonts w:ascii="Book Antiqua" w:hAnsi="Book Antiqua"/>
          <w:i/>
          <w:iCs/>
        </w:rPr>
        <w:t>Diabetes Care</w:t>
      </w:r>
      <w:r>
        <w:rPr>
          <w:rFonts w:ascii="Book Antiqua" w:hAnsi="Book Antiqua"/>
        </w:rPr>
        <w:t xml:space="preserve"> 1994; </w:t>
      </w:r>
      <w:r>
        <w:rPr>
          <w:rFonts w:ascii="Book Antiqua" w:hAnsi="Book Antiqua"/>
          <w:b/>
          <w:bCs/>
        </w:rPr>
        <w:t>17</w:t>
      </w:r>
      <w:r>
        <w:rPr>
          <w:rFonts w:ascii="Book Antiqua" w:hAnsi="Book Antiqua"/>
        </w:rPr>
        <w:t>: 1469-1472 [PMID: 7882819 DOI: 10.2337/diacare.17.12.1469]</w:t>
      </w:r>
    </w:p>
    <w:p w14:paraId="5C3B8F05" w14:textId="77777777" w:rsidR="00BA6BF8" w:rsidRDefault="00000000">
      <w:pPr>
        <w:spacing w:line="360" w:lineRule="auto"/>
        <w:jc w:val="both"/>
        <w:rPr>
          <w:rFonts w:ascii="Book Antiqua" w:hAnsi="Book Antiqua"/>
        </w:rPr>
      </w:pPr>
      <w:r>
        <w:rPr>
          <w:rFonts w:ascii="Book Antiqua" w:hAnsi="Book Antiqua"/>
        </w:rPr>
        <w:t xml:space="preserve">163 </w:t>
      </w:r>
      <w:r>
        <w:rPr>
          <w:rFonts w:ascii="Book Antiqua" w:hAnsi="Book Antiqua"/>
          <w:b/>
          <w:bCs/>
        </w:rPr>
        <w:t>Nicholson AS</w:t>
      </w:r>
      <w:r>
        <w:rPr>
          <w:rFonts w:ascii="Book Antiqua" w:hAnsi="Book Antiqua"/>
        </w:rPr>
        <w:t xml:space="preserve">, Sklar M, Barnard ND, Gore S, Sullivan R, Browning S. Toward improved management of NIDDM: A randomized, controlled, pilot intervention using a lowfat, vegetarian diet. </w:t>
      </w:r>
      <w:r>
        <w:rPr>
          <w:rFonts w:ascii="Book Antiqua" w:hAnsi="Book Antiqua"/>
          <w:i/>
          <w:iCs/>
        </w:rPr>
        <w:t>Prev Med</w:t>
      </w:r>
      <w:r>
        <w:rPr>
          <w:rFonts w:ascii="Book Antiqua" w:hAnsi="Book Antiqua"/>
        </w:rPr>
        <w:t xml:space="preserve"> 1999; </w:t>
      </w:r>
      <w:r>
        <w:rPr>
          <w:rFonts w:ascii="Book Antiqua" w:hAnsi="Book Antiqua"/>
          <w:b/>
          <w:bCs/>
        </w:rPr>
        <w:t>29</w:t>
      </w:r>
      <w:r>
        <w:rPr>
          <w:rFonts w:ascii="Book Antiqua" w:hAnsi="Book Antiqua"/>
        </w:rPr>
        <w:t>: 87-91 [PMID: 10446033 DOI: 10.1006/pmed.1999.0529]</w:t>
      </w:r>
    </w:p>
    <w:p w14:paraId="73EA9BDD" w14:textId="77777777" w:rsidR="00BA6BF8" w:rsidRDefault="00000000">
      <w:pPr>
        <w:spacing w:line="360" w:lineRule="auto"/>
        <w:jc w:val="both"/>
        <w:rPr>
          <w:rFonts w:ascii="Book Antiqua" w:hAnsi="Book Antiqua"/>
        </w:rPr>
      </w:pPr>
      <w:r>
        <w:rPr>
          <w:rFonts w:ascii="Book Antiqua" w:hAnsi="Book Antiqua"/>
        </w:rPr>
        <w:t xml:space="preserve">164 </w:t>
      </w:r>
      <w:r>
        <w:rPr>
          <w:rFonts w:ascii="Book Antiqua" w:hAnsi="Book Antiqua"/>
          <w:b/>
          <w:bCs/>
        </w:rPr>
        <w:t>Moreno-Valdespino CA</w:t>
      </w:r>
      <w:r>
        <w:rPr>
          <w:rFonts w:ascii="Book Antiqua" w:hAnsi="Book Antiqua"/>
        </w:rPr>
        <w:t xml:space="preserve">, Luna-Vital D, Camacho-Ruiz RM, Mojica L. Bioactive proteins and phytochemicals from legumes: Mechanisms of action preventing obesity and type-2 diabetes. </w:t>
      </w:r>
      <w:r>
        <w:rPr>
          <w:rFonts w:ascii="Book Antiqua" w:hAnsi="Book Antiqua"/>
          <w:i/>
          <w:iCs/>
        </w:rPr>
        <w:t>Food Res Int</w:t>
      </w:r>
      <w:r>
        <w:rPr>
          <w:rFonts w:ascii="Book Antiqua" w:hAnsi="Book Antiqua"/>
        </w:rPr>
        <w:t xml:space="preserve"> 2020; </w:t>
      </w:r>
      <w:r>
        <w:rPr>
          <w:rFonts w:ascii="Book Antiqua" w:hAnsi="Book Antiqua"/>
          <w:b/>
          <w:bCs/>
        </w:rPr>
        <w:t>130</w:t>
      </w:r>
      <w:r>
        <w:rPr>
          <w:rFonts w:ascii="Book Antiqua" w:hAnsi="Book Antiqua"/>
        </w:rPr>
        <w:t>: 108905 [PMID: 32156360 DOI: 10.1016/j.foodres.2019.108905]</w:t>
      </w:r>
    </w:p>
    <w:p w14:paraId="0A6A6074" w14:textId="77777777" w:rsidR="00BA6BF8" w:rsidRDefault="00000000">
      <w:pPr>
        <w:spacing w:line="360" w:lineRule="auto"/>
        <w:jc w:val="both"/>
        <w:rPr>
          <w:rFonts w:ascii="Book Antiqua" w:hAnsi="Book Antiqua"/>
        </w:rPr>
      </w:pPr>
      <w:r>
        <w:rPr>
          <w:rFonts w:ascii="Book Antiqua" w:hAnsi="Book Antiqua"/>
        </w:rPr>
        <w:t xml:space="preserve">165 </w:t>
      </w:r>
      <w:r>
        <w:rPr>
          <w:rFonts w:ascii="Book Antiqua" w:hAnsi="Book Antiqua"/>
          <w:b/>
          <w:bCs/>
        </w:rPr>
        <w:t>Hackett RA</w:t>
      </w:r>
      <w:r>
        <w:rPr>
          <w:rFonts w:ascii="Book Antiqua" w:hAnsi="Book Antiqua"/>
        </w:rPr>
        <w:t xml:space="preserve">, Steptoe A. Type 2 diabetes mellitus and psychological stress - a modifiable risk factor. </w:t>
      </w:r>
      <w:r>
        <w:rPr>
          <w:rFonts w:ascii="Book Antiqua" w:hAnsi="Book Antiqua"/>
          <w:i/>
          <w:iCs/>
        </w:rPr>
        <w:t>Nat Rev Endocrinol</w:t>
      </w:r>
      <w:r>
        <w:rPr>
          <w:rFonts w:ascii="Book Antiqua" w:hAnsi="Book Antiqua"/>
        </w:rPr>
        <w:t xml:space="preserve"> 2017; </w:t>
      </w:r>
      <w:r>
        <w:rPr>
          <w:rFonts w:ascii="Book Antiqua" w:hAnsi="Book Antiqua"/>
          <w:b/>
          <w:bCs/>
        </w:rPr>
        <w:t>13</w:t>
      </w:r>
      <w:r>
        <w:rPr>
          <w:rFonts w:ascii="Book Antiqua" w:hAnsi="Book Antiqua"/>
        </w:rPr>
        <w:t>: 547-560 [PMID: 28664919 DOI: 10.1038/nrendo.2017.64]</w:t>
      </w:r>
    </w:p>
    <w:p w14:paraId="2E02FCA9" w14:textId="77777777" w:rsidR="00BA6BF8" w:rsidRDefault="00000000">
      <w:pPr>
        <w:spacing w:line="360" w:lineRule="auto"/>
        <w:jc w:val="both"/>
        <w:rPr>
          <w:rFonts w:ascii="Book Antiqua" w:hAnsi="Book Antiqua"/>
        </w:rPr>
      </w:pPr>
      <w:r>
        <w:rPr>
          <w:rFonts w:ascii="Book Antiqua" w:hAnsi="Book Antiqua"/>
        </w:rPr>
        <w:lastRenderedPageBreak/>
        <w:t xml:space="preserve">166 </w:t>
      </w:r>
      <w:r>
        <w:rPr>
          <w:rFonts w:ascii="Book Antiqua" w:hAnsi="Book Antiqua"/>
          <w:b/>
          <w:bCs/>
        </w:rPr>
        <w:t>Faulenbach M</w:t>
      </w:r>
      <w:r>
        <w:rPr>
          <w:rFonts w:ascii="Book Antiqua" w:hAnsi="Book Antiqua"/>
        </w:rPr>
        <w:t xml:space="preserve">, Uthoff H, Schwegler K, Spinas GA, Schmid C, Wiesli P. Effect of psychological stress on glucose control in patients with Type 2 diabetes. </w:t>
      </w:r>
      <w:r>
        <w:rPr>
          <w:rFonts w:ascii="Book Antiqua" w:hAnsi="Book Antiqua"/>
          <w:i/>
          <w:iCs/>
        </w:rPr>
        <w:t>Diabet Med</w:t>
      </w:r>
      <w:r>
        <w:rPr>
          <w:rFonts w:ascii="Book Antiqua" w:hAnsi="Book Antiqua"/>
        </w:rPr>
        <w:t xml:space="preserve"> 2012; </w:t>
      </w:r>
      <w:r>
        <w:rPr>
          <w:rFonts w:ascii="Book Antiqua" w:hAnsi="Book Antiqua"/>
          <w:b/>
          <w:bCs/>
        </w:rPr>
        <w:t>29</w:t>
      </w:r>
      <w:r>
        <w:rPr>
          <w:rFonts w:ascii="Book Antiqua" w:hAnsi="Book Antiqua"/>
        </w:rPr>
        <w:t>: 128-131 [PMID: 21883440 DOI: 10.1111/j.1464-5491.2011.03431.x]</w:t>
      </w:r>
    </w:p>
    <w:p w14:paraId="43A3B3EA" w14:textId="77777777" w:rsidR="00BA6BF8" w:rsidRDefault="00000000">
      <w:pPr>
        <w:spacing w:line="360" w:lineRule="auto"/>
        <w:jc w:val="both"/>
        <w:rPr>
          <w:rFonts w:ascii="Book Antiqua" w:hAnsi="Book Antiqua"/>
        </w:rPr>
      </w:pPr>
      <w:r>
        <w:rPr>
          <w:rFonts w:ascii="Book Antiqua" w:hAnsi="Book Antiqua"/>
        </w:rPr>
        <w:t xml:space="preserve">167 </w:t>
      </w:r>
      <w:r>
        <w:rPr>
          <w:rFonts w:ascii="Book Antiqua" w:hAnsi="Book Antiqua"/>
          <w:b/>
          <w:bCs/>
        </w:rPr>
        <w:t>Arora T</w:t>
      </w:r>
      <w:r>
        <w:rPr>
          <w:rFonts w:ascii="Book Antiqua" w:hAnsi="Book Antiqua"/>
        </w:rPr>
        <w:t xml:space="preserve">, Taheri S. Sleep Optimization and Diabetes Control: A Review of the Literature. </w:t>
      </w:r>
      <w:r>
        <w:rPr>
          <w:rFonts w:ascii="Book Antiqua" w:hAnsi="Book Antiqua"/>
          <w:i/>
          <w:iCs/>
        </w:rPr>
        <w:t>Diabetes Ther</w:t>
      </w:r>
      <w:r>
        <w:rPr>
          <w:rFonts w:ascii="Book Antiqua" w:hAnsi="Book Antiqua"/>
        </w:rPr>
        <w:t xml:space="preserve"> 2015; </w:t>
      </w:r>
      <w:r>
        <w:rPr>
          <w:rFonts w:ascii="Book Antiqua" w:hAnsi="Book Antiqua"/>
          <w:b/>
          <w:bCs/>
        </w:rPr>
        <w:t>6</w:t>
      </w:r>
      <w:r>
        <w:rPr>
          <w:rFonts w:ascii="Book Antiqua" w:hAnsi="Book Antiqua"/>
        </w:rPr>
        <w:t>: 425-468 [PMID: 26537705 DOI: 10.1007/s13300-015-0141-z]</w:t>
      </w:r>
    </w:p>
    <w:p w14:paraId="7A39EDA6" w14:textId="77777777" w:rsidR="00BA6BF8" w:rsidRDefault="00000000">
      <w:pPr>
        <w:spacing w:line="360" w:lineRule="auto"/>
        <w:jc w:val="both"/>
        <w:rPr>
          <w:rFonts w:ascii="Book Antiqua" w:hAnsi="Book Antiqua"/>
        </w:rPr>
      </w:pPr>
      <w:r>
        <w:rPr>
          <w:rFonts w:ascii="Book Antiqua" w:hAnsi="Book Antiqua"/>
        </w:rPr>
        <w:t xml:space="preserve">168 </w:t>
      </w:r>
      <w:r>
        <w:rPr>
          <w:rFonts w:ascii="Book Antiqua" w:hAnsi="Book Antiqua"/>
          <w:b/>
          <w:bCs/>
        </w:rPr>
        <w:t>Vgontzas AN</w:t>
      </w:r>
      <w:r>
        <w:rPr>
          <w:rFonts w:ascii="Book Antiqua" w:hAnsi="Book Antiqua"/>
        </w:rPr>
        <w:t xml:space="preserve">, Liao D, Pejovic S, Calhoun S, Karataraki M, Bixler EO. Insomnia with objective short sleep duration is associated with type 2 diabetes: A population-based study. </w:t>
      </w:r>
      <w:r>
        <w:rPr>
          <w:rFonts w:ascii="Book Antiqua" w:hAnsi="Book Antiqua"/>
          <w:i/>
          <w:iCs/>
        </w:rPr>
        <w:t>Diabetes Care</w:t>
      </w:r>
      <w:r>
        <w:rPr>
          <w:rFonts w:ascii="Book Antiqua" w:hAnsi="Book Antiqua"/>
        </w:rPr>
        <w:t xml:space="preserve"> 2009; </w:t>
      </w:r>
      <w:r>
        <w:rPr>
          <w:rFonts w:ascii="Book Antiqua" w:hAnsi="Book Antiqua"/>
          <w:b/>
          <w:bCs/>
        </w:rPr>
        <w:t>32</w:t>
      </w:r>
      <w:r>
        <w:rPr>
          <w:rFonts w:ascii="Book Antiqua" w:hAnsi="Book Antiqua"/>
        </w:rPr>
        <w:t>: 1980-1985 [PMID: 19641160 DOI: 10.2337/dc09-0284]</w:t>
      </w:r>
    </w:p>
    <w:p w14:paraId="1B5EEAC0" w14:textId="77777777" w:rsidR="00BA6BF8" w:rsidRDefault="00000000">
      <w:pPr>
        <w:spacing w:line="360" w:lineRule="auto"/>
        <w:jc w:val="both"/>
        <w:rPr>
          <w:rFonts w:ascii="Book Antiqua" w:hAnsi="Book Antiqua"/>
        </w:rPr>
      </w:pPr>
      <w:r>
        <w:rPr>
          <w:rFonts w:ascii="Book Antiqua" w:hAnsi="Book Antiqua"/>
        </w:rPr>
        <w:t xml:space="preserve">169 </w:t>
      </w:r>
      <w:r>
        <w:rPr>
          <w:rFonts w:ascii="Book Antiqua" w:hAnsi="Book Antiqua"/>
          <w:b/>
          <w:bCs/>
        </w:rPr>
        <w:t>Reutrakul S</w:t>
      </w:r>
      <w:r>
        <w:rPr>
          <w:rFonts w:ascii="Book Antiqua" w:hAnsi="Book Antiqua"/>
        </w:rPr>
        <w:t xml:space="preserve">, Thakkinstian A, Anothaisintawee T, Chontong S, Borel AL, Perfect MM, Janovsky CC, Kessler R, Schultes B, Harsch IA, van Dijk M, Bouhassira D, Matejko B, Lipton RB, Suwannalai P, Chirakalwasan N, Schober AK, Knutson KL. Sleep characteristics in type 1 diabetes and associations with glycemic control: systematic review and meta-analysis. </w:t>
      </w:r>
      <w:r>
        <w:rPr>
          <w:rFonts w:ascii="Book Antiqua" w:hAnsi="Book Antiqua"/>
          <w:i/>
          <w:iCs/>
        </w:rPr>
        <w:t>Sleep Med</w:t>
      </w:r>
      <w:r>
        <w:rPr>
          <w:rFonts w:ascii="Book Antiqua" w:hAnsi="Book Antiqua"/>
        </w:rPr>
        <w:t xml:space="preserve"> 2016; </w:t>
      </w:r>
      <w:r>
        <w:rPr>
          <w:rFonts w:ascii="Book Antiqua" w:hAnsi="Book Antiqua"/>
          <w:b/>
          <w:bCs/>
        </w:rPr>
        <w:t>23</w:t>
      </w:r>
      <w:r>
        <w:rPr>
          <w:rFonts w:ascii="Book Antiqua" w:hAnsi="Book Antiqua"/>
        </w:rPr>
        <w:t>: 26-45 [PMID: 27692274 DOI: 10.1016/j.sleep.2016.03.019]</w:t>
      </w:r>
    </w:p>
    <w:p w14:paraId="23607B87" w14:textId="77777777" w:rsidR="00BA6BF8" w:rsidRDefault="00000000">
      <w:pPr>
        <w:spacing w:line="360" w:lineRule="auto"/>
        <w:jc w:val="both"/>
        <w:rPr>
          <w:rFonts w:ascii="Book Antiqua" w:hAnsi="Book Antiqua"/>
        </w:rPr>
      </w:pPr>
      <w:r>
        <w:rPr>
          <w:rFonts w:ascii="Book Antiqua" w:hAnsi="Book Antiqua"/>
        </w:rPr>
        <w:t xml:space="preserve">170 </w:t>
      </w:r>
      <w:r>
        <w:rPr>
          <w:rFonts w:ascii="Book Antiqua" w:hAnsi="Book Antiqua"/>
          <w:b/>
          <w:bCs/>
        </w:rPr>
        <w:t>Metzger BE</w:t>
      </w:r>
      <w:r>
        <w:rPr>
          <w:rFonts w:ascii="Book Antiqua" w:hAnsi="Book Antiqua"/>
        </w:rPr>
        <w:t>, Gabbe SG, Persson B, Buchanan TA, Catalano PA, Damm P, Dyer AR, Leiva Ad, Hod M, Kitzmiler JL, Lowe LP, McIntyre HD, Oats JJ, Omori Y, Schmidt MI,</w:t>
      </w:r>
      <w:r>
        <w:rPr>
          <w:rFonts w:ascii="Book Antiqua" w:hAnsi="Book Antiqua"/>
          <w:b/>
          <w:bCs/>
        </w:rPr>
        <w:t xml:space="preserve"> </w:t>
      </w:r>
      <w:r>
        <w:rPr>
          <w:rFonts w:ascii="Book Antiqua" w:hAnsi="Book Antiqua"/>
        </w:rPr>
        <w:t xml:space="preserve">International Association of Diabetes and Pregnancy Study Groups Consensus Panel. International association of diabetes and pregnancy study groups recommendations on the diagnosis and classification of hyperglycemia in pregnancy. </w:t>
      </w:r>
      <w:r>
        <w:rPr>
          <w:rFonts w:ascii="Book Antiqua" w:hAnsi="Book Antiqua"/>
          <w:i/>
          <w:iCs/>
        </w:rPr>
        <w:t>Diabetes Care</w:t>
      </w:r>
      <w:r>
        <w:rPr>
          <w:rFonts w:ascii="Book Antiqua" w:hAnsi="Book Antiqua"/>
        </w:rPr>
        <w:t xml:space="preserve"> 2010; </w:t>
      </w:r>
      <w:r>
        <w:rPr>
          <w:rFonts w:ascii="Book Antiqua" w:hAnsi="Book Antiqua"/>
          <w:b/>
          <w:bCs/>
        </w:rPr>
        <w:t>33</w:t>
      </w:r>
      <w:r>
        <w:rPr>
          <w:rFonts w:ascii="Book Antiqua" w:hAnsi="Book Antiqua"/>
        </w:rPr>
        <w:t>: 676-682 [PMID: 20190296 DOI: 10.2337/dc09-1848]</w:t>
      </w:r>
    </w:p>
    <w:p w14:paraId="476FB13A" w14:textId="77777777" w:rsidR="00BA6BF8" w:rsidRDefault="00000000">
      <w:pPr>
        <w:spacing w:line="360" w:lineRule="auto"/>
        <w:jc w:val="both"/>
        <w:rPr>
          <w:rFonts w:ascii="Book Antiqua" w:hAnsi="Book Antiqua"/>
        </w:rPr>
      </w:pPr>
      <w:r>
        <w:rPr>
          <w:rFonts w:ascii="Book Antiqua" w:hAnsi="Book Antiqua"/>
        </w:rPr>
        <w:t xml:space="preserve">171 </w:t>
      </w:r>
      <w:r>
        <w:rPr>
          <w:rFonts w:ascii="Book Antiqua" w:hAnsi="Book Antiqua"/>
          <w:b/>
          <w:bCs/>
        </w:rPr>
        <w:t>American Diabetes Association</w:t>
      </w:r>
      <w:r>
        <w:rPr>
          <w:rFonts w:ascii="Book Antiqua" w:hAnsi="Book Antiqua"/>
        </w:rPr>
        <w:t xml:space="preserve">. Standards of medical care in diabetes--2012. </w:t>
      </w:r>
      <w:r>
        <w:rPr>
          <w:rFonts w:ascii="Book Antiqua" w:hAnsi="Book Antiqua"/>
          <w:i/>
          <w:iCs/>
        </w:rPr>
        <w:t>Diabetes Care</w:t>
      </w:r>
      <w:r>
        <w:rPr>
          <w:rFonts w:ascii="Book Antiqua" w:hAnsi="Book Antiqua"/>
        </w:rPr>
        <w:t xml:space="preserve"> 2012; </w:t>
      </w:r>
      <w:r>
        <w:rPr>
          <w:rFonts w:ascii="Book Antiqua" w:hAnsi="Book Antiqua"/>
          <w:b/>
          <w:bCs/>
        </w:rPr>
        <w:t xml:space="preserve">35 </w:t>
      </w:r>
      <w:r>
        <w:rPr>
          <w:rFonts w:ascii="Book Antiqua" w:hAnsi="Book Antiqua"/>
        </w:rPr>
        <w:t>Suppl 1: S11-S63 [PMID: 22187469 DOI: 10.2337/dc12-s011]</w:t>
      </w:r>
    </w:p>
    <w:p w14:paraId="22EEC6FA" w14:textId="77777777" w:rsidR="00BA6BF8" w:rsidRDefault="00000000">
      <w:pPr>
        <w:spacing w:line="360" w:lineRule="auto"/>
        <w:jc w:val="both"/>
        <w:rPr>
          <w:rFonts w:ascii="Book Antiqua" w:hAnsi="Book Antiqua"/>
        </w:rPr>
      </w:pPr>
      <w:r>
        <w:rPr>
          <w:rFonts w:ascii="Book Antiqua" w:hAnsi="Book Antiqua"/>
        </w:rPr>
        <w:t xml:space="preserve">172 Diagnostic criteria and classification of hyperglycaemia first detected in pregnancy: a World Health Organization Guideline. </w:t>
      </w:r>
      <w:r>
        <w:rPr>
          <w:rFonts w:ascii="Book Antiqua" w:hAnsi="Book Antiqua"/>
          <w:i/>
          <w:iCs/>
        </w:rPr>
        <w:t>Diabetes Res Clin Pract</w:t>
      </w:r>
      <w:r>
        <w:rPr>
          <w:rFonts w:ascii="Book Antiqua" w:hAnsi="Book Antiqua"/>
        </w:rPr>
        <w:t xml:space="preserve"> 2014; </w:t>
      </w:r>
      <w:r>
        <w:rPr>
          <w:rFonts w:ascii="Book Antiqua" w:hAnsi="Book Antiqua"/>
          <w:b/>
          <w:bCs/>
        </w:rPr>
        <w:t>103</w:t>
      </w:r>
      <w:r>
        <w:rPr>
          <w:rFonts w:ascii="Book Antiqua" w:hAnsi="Book Antiqua"/>
        </w:rPr>
        <w:t>: 341-363 [PMID: 24847517 DOI: 10.1016/j.diabres.2013.10.012]</w:t>
      </w:r>
    </w:p>
    <w:p w14:paraId="3D54348B" w14:textId="77777777" w:rsidR="00BA6BF8" w:rsidRDefault="00000000">
      <w:pPr>
        <w:spacing w:line="360" w:lineRule="auto"/>
        <w:jc w:val="both"/>
        <w:rPr>
          <w:rFonts w:ascii="Book Antiqua" w:hAnsi="Book Antiqua"/>
        </w:rPr>
      </w:pPr>
      <w:r>
        <w:rPr>
          <w:rFonts w:ascii="Book Antiqua" w:hAnsi="Book Antiqua"/>
        </w:rPr>
        <w:t xml:space="preserve">173 Practice Bulletin No. 137: Gestational diabetes mellitus. </w:t>
      </w:r>
      <w:r>
        <w:rPr>
          <w:rFonts w:ascii="Book Antiqua" w:hAnsi="Book Antiqua"/>
          <w:i/>
          <w:iCs/>
        </w:rPr>
        <w:t>Obstet Gynecol</w:t>
      </w:r>
      <w:r>
        <w:rPr>
          <w:rFonts w:ascii="Book Antiqua" w:hAnsi="Book Antiqua"/>
        </w:rPr>
        <w:t xml:space="preserve"> 2013; </w:t>
      </w:r>
      <w:r>
        <w:rPr>
          <w:rFonts w:ascii="Book Antiqua" w:hAnsi="Book Antiqua"/>
          <w:b/>
          <w:bCs/>
        </w:rPr>
        <w:t>122</w:t>
      </w:r>
      <w:r>
        <w:rPr>
          <w:rFonts w:ascii="Book Antiqua" w:hAnsi="Book Antiqua"/>
        </w:rPr>
        <w:t>: 406-416 [PMID: 23969827 DOI: 10.1097/01.AOG.0000433006.09219.f1]</w:t>
      </w:r>
    </w:p>
    <w:p w14:paraId="62709C86" w14:textId="77777777" w:rsidR="00BA6BF8" w:rsidRDefault="00000000">
      <w:pPr>
        <w:spacing w:line="360" w:lineRule="auto"/>
        <w:jc w:val="both"/>
        <w:rPr>
          <w:rFonts w:ascii="Book Antiqua" w:hAnsi="Book Antiqua"/>
        </w:rPr>
      </w:pPr>
      <w:r>
        <w:rPr>
          <w:rFonts w:ascii="Book Antiqua" w:hAnsi="Book Antiqua"/>
        </w:rPr>
        <w:lastRenderedPageBreak/>
        <w:t xml:space="preserve">174 </w:t>
      </w:r>
      <w:r>
        <w:rPr>
          <w:rFonts w:ascii="Book Antiqua" w:hAnsi="Book Antiqua"/>
          <w:b/>
          <w:bCs/>
        </w:rPr>
        <w:t>Gloyn AL</w:t>
      </w:r>
      <w:r>
        <w:rPr>
          <w:rFonts w:ascii="Book Antiqua" w:hAnsi="Book Antiqua"/>
        </w:rPr>
        <w:t xml:space="preserve">, Drucker DJ. Precision medicine in the management of type 2 diabetes. </w:t>
      </w:r>
      <w:r>
        <w:rPr>
          <w:rFonts w:ascii="Book Antiqua" w:hAnsi="Book Antiqua"/>
          <w:i/>
          <w:iCs/>
        </w:rPr>
        <w:t>Lancet Diabetes Endocrinol</w:t>
      </w:r>
      <w:r>
        <w:rPr>
          <w:rFonts w:ascii="Book Antiqua" w:hAnsi="Book Antiqua"/>
        </w:rPr>
        <w:t xml:space="preserve"> 2018; </w:t>
      </w:r>
      <w:r>
        <w:rPr>
          <w:rFonts w:ascii="Book Antiqua" w:hAnsi="Book Antiqua"/>
          <w:b/>
          <w:bCs/>
        </w:rPr>
        <w:t>6</w:t>
      </w:r>
      <w:r>
        <w:rPr>
          <w:rFonts w:ascii="Book Antiqua" w:hAnsi="Book Antiqua"/>
        </w:rPr>
        <w:t>: 891-900 [PMID: 29699867 DOI: 10.1016/S2213-8587(18)30052-4]</w:t>
      </w:r>
    </w:p>
    <w:p w14:paraId="1531AD54" w14:textId="77777777" w:rsidR="00BA6BF8" w:rsidRDefault="00000000">
      <w:pPr>
        <w:spacing w:line="360" w:lineRule="auto"/>
        <w:jc w:val="both"/>
        <w:rPr>
          <w:rFonts w:ascii="Book Antiqua" w:hAnsi="Book Antiqua"/>
        </w:rPr>
      </w:pPr>
      <w:r>
        <w:rPr>
          <w:rFonts w:ascii="Book Antiqua" w:hAnsi="Book Antiqua"/>
        </w:rPr>
        <w:t xml:space="preserve">175 </w:t>
      </w:r>
      <w:r>
        <w:rPr>
          <w:rFonts w:ascii="Book Antiqua" w:hAnsi="Book Antiqua"/>
          <w:b/>
          <w:bCs/>
        </w:rPr>
        <w:t>Fodor A</w:t>
      </w:r>
      <w:r>
        <w:rPr>
          <w:rFonts w:ascii="Book Antiqua" w:hAnsi="Book Antiqua"/>
        </w:rPr>
        <w:t xml:space="preserve">, Cozma A, Suharoschi R, Sitar-Taut A, Roman G. Clinical and genetic predictors of diabetes drug's response. </w:t>
      </w:r>
      <w:r>
        <w:rPr>
          <w:rFonts w:ascii="Book Antiqua" w:hAnsi="Book Antiqua"/>
          <w:i/>
          <w:iCs/>
        </w:rPr>
        <w:t>Drug Metab Rev</w:t>
      </w:r>
      <w:r>
        <w:rPr>
          <w:rFonts w:ascii="Book Antiqua" w:hAnsi="Book Antiqua"/>
        </w:rPr>
        <w:t xml:space="preserve"> 2019; </w:t>
      </w:r>
      <w:r>
        <w:rPr>
          <w:rFonts w:ascii="Book Antiqua" w:hAnsi="Book Antiqua"/>
          <w:b/>
          <w:bCs/>
        </w:rPr>
        <w:t>51</w:t>
      </w:r>
      <w:r>
        <w:rPr>
          <w:rFonts w:ascii="Book Antiqua" w:hAnsi="Book Antiqua"/>
        </w:rPr>
        <w:t>: 408-427 [PMID: 31456442 DOI: 10.1080/03602532.2019.1656226]</w:t>
      </w:r>
    </w:p>
    <w:p w14:paraId="2DD33187" w14:textId="77777777" w:rsidR="00BA6BF8" w:rsidRDefault="00000000">
      <w:pPr>
        <w:spacing w:line="360" w:lineRule="auto"/>
        <w:jc w:val="both"/>
        <w:rPr>
          <w:rFonts w:ascii="Book Antiqua" w:hAnsi="Book Antiqua"/>
        </w:rPr>
      </w:pPr>
      <w:r>
        <w:rPr>
          <w:rFonts w:ascii="Book Antiqua" w:hAnsi="Book Antiqua"/>
        </w:rPr>
        <w:t xml:space="preserve">176 </w:t>
      </w:r>
      <w:r>
        <w:rPr>
          <w:rFonts w:ascii="Book Antiqua" w:hAnsi="Book Antiqua"/>
          <w:b/>
          <w:bCs/>
        </w:rPr>
        <w:t>Kahn SE</w:t>
      </w:r>
      <w:r>
        <w:rPr>
          <w:rFonts w:ascii="Book Antiqua" w:hAnsi="Book Antiqua"/>
        </w:rPr>
        <w:t xml:space="preserve">, Haffner SM, Heise MA, Herman WH, Holman RR, Jones NP, Kravitz BG, Lachin JM, O'Neill MC, Zinman B, Viberti G; ADOPT Study Group. Glycemic durability of rosiglitazone, metformin, or glyburide monotherapy. </w:t>
      </w:r>
      <w:r>
        <w:rPr>
          <w:rFonts w:ascii="Book Antiqua" w:hAnsi="Book Antiqua"/>
          <w:i/>
          <w:iCs/>
        </w:rPr>
        <w:t>N Engl J Med</w:t>
      </w:r>
      <w:r>
        <w:rPr>
          <w:rFonts w:ascii="Book Antiqua" w:hAnsi="Book Antiqua"/>
        </w:rPr>
        <w:t xml:space="preserve"> 2006; </w:t>
      </w:r>
      <w:r>
        <w:rPr>
          <w:rFonts w:ascii="Book Antiqua" w:hAnsi="Book Antiqua"/>
          <w:b/>
          <w:bCs/>
        </w:rPr>
        <w:t>355</w:t>
      </w:r>
      <w:r>
        <w:rPr>
          <w:rFonts w:ascii="Book Antiqua" w:hAnsi="Book Antiqua"/>
        </w:rPr>
        <w:t>: 2427-2443 [PMID: 17145742 DOI: 10.1056/NEJMoa066224]</w:t>
      </w:r>
    </w:p>
    <w:p w14:paraId="1A1FE2DC" w14:textId="77777777" w:rsidR="00BA6BF8" w:rsidRDefault="00000000">
      <w:pPr>
        <w:spacing w:line="360" w:lineRule="auto"/>
        <w:jc w:val="both"/>
        <w:rPr>
          <w:rFonts w:ascii="Book Antiqua" w:hAnsi="Book Antiqua"/>
        </w:rPr>
      </w:pPr>
      <w:r>
        <w:rPr>
          <w:rFonts w:ascii="Book Antiqua" w:hAnsi="Book Antiqua"/>
        </w:rPr>
        <w:t xml:space="preserve">177 </w:t>
      </w:r>
      <w:r>
        <w:rPr>
          <w:rFonts w:ascii="Book Antiqua" w:hAnsi="Book Antiqua"/>
          <w:b/>
          <w:bCs/>
        </w:rPr>
        <w:t>American Diabetes Association</w:t>
      </w:r>
      <w:r>
        <w:rPr>
          <w:rFonts w:ascii="Book Antiqua" w:hAnsi="Book Antiqua"/>
        </w:rPr>
        <w:t xml:space="preserve">. 9. Pharmacologic Approaches to Glycemic Treatment: Standards of Medical Care in Diabetes-2020. </w:t>
      </w:r>
      <w:r>
        <w:rPr>
          <w:rFonts w:ascii="Book Antiqua" w:hAnsi="Book Antiqua"/>
          <w:i/>
          <w:iCs/>
        </w:rPr>
        <w:t>Diabetes Care</w:t>
      </w:r>
      <w:r>
        <w:rPr>
          <w:rFonts w:ascii="Book Antiqua" w:hAnsi="Book Antiqua"/>
        </w:rPr>
        <w:t xml:space="preserve"> 2020; </w:t>
      </w:r>
      <w:r>
        <w:rPr>
          <w:rFonts w:ascii="Book Antiqua" w:hAnsi="Book Antiqua"/>
          <w:b/>
          <w:bCs/>
        </w:rPr>
        <w:t>43</w:t>
      </w:r>
      <w:r>
        <w:rPr>
          <w:rFonts w:ascii="Book Antiqua" w:hAnsi="Book Antiqua"/>
        </w:rPr>
        <w:t>: S98-S110 [PMID: 31862752 DOI: 10.2337/dc20-S009]</w:t>
      </w:r>
    </w:p>
    <w:p w14:paraId="544ECB17" w14:textId="77777777" w:rsidR="00BA6BF8" w:rsidRDefault="00000000">
      <w:pPr>
        <w:spacing w:line="360" w:lineRule="auto"/>
        <w:jc w:val="both"/>
        <w:rPr>
          <w:rFonts w:ascii="Book Antiqua" w:hAnsi="Book Antiqua"/>
        </w:rPr>
      </w:pPr>
      <w:r>
        <w:rPr>
          <w:rFonts w:ascii="Book Antiqua" w:hAnsi="Book Antiqua"/>
        </w:rPr>
        <w:t xml:space="preserve">178 </w:t>
      </w:r>
      <w:r>
        <w:rPr>
          <w:rFonts w:ascii="Book Antiqua" w:hAnsi="Book Antiqua"/>
          <w:b/>
          <w:bCs/>
        </w:rPr>
        <w:t xml:space="preserve">Martin T, </w:t>
      </w:r>
      <w:r>
        <w:rPr>
          <w:rFonts w:ascii="Book Antiqua" w:hAnsi="Book Antiqua"/>
        </w:rPr>
        <w:t xml:space="preserve">Campbell RK. Vitamin D and diabetes </w:t>
      </w:r>
      <w:r>
        <w:rPr>
          <w:rFonts w:ascii="Book Antiqua" w:hAnsi="Book Antiqua"/>
          <w:i/>
          <w:iCs/>
        </w:rPr>
        <w:t>Diabetes spectrum</w:t>
      </w:r>
      <w:r>
        <w:rPr>
          <w:rFonts w:ascii="Book Antiqua" w:hAnsi="Book Antiqua"/>
        </w:rPr>
        <w:t xml:space="preserve">, 2011; </w:t>
      </w:r>
      <w:r>
        <w:rPr>
          <w:rFonts w:ascii="Book Antiqua" w:hAnsi="Book Antiqua"/>
          <w:b/>
          <w:bCs/>
        </w:rPr>
        <w:t>24</w:t>
      </w:r>
      <w:r>
        <w:rPr>
          <w:rFonts w:ascii="Book Antiqua" w:hAnsi="Book Antiqua"/>
        </w:rPr>
        <w:t>: pp 113-118 [DOI: 10.2337/diaspect.24.2.113]</w:t>
      </w:r>
    </w:p>
    <w:p w14:paraId="6DD221E5" w14:textId="77777777" w:rsidR="00BA6BF8" w:rsidRDefault="00000000">
      <w:pPr>
        <w:spacing w:line="360" w:lineRule="auto"/>
        <w:jc w:val="both"/>
        <w:rPr>
          <w:rFonts w:ascii="Book Antiqua" w:hAnsi="Book Antiqua"/>
        </w:rPr>
      </w:pPr>
      <w:r>
        <w:rPr>
          <w:rFonts w:ascii="Book Antiqua" w:hAnsi="Book Antiqua"/>
        </w:rPr>
        <w:t xml:space="preserve">179 </w:t>
      </w:r>
      <w:r>
        <w:rPr>
          <w:rFonts w:ascii="Book Antiqua" w:hAnsi="Book Antiqua"/>
          <w:b/>
          <w:bCs/>
        </w:rPr>
        <w:t>Cojic M</w:t>
      </w:r>
      <w:r>
        <w:rPr>
          <w:rFonts w:ascii="Book Antiqua" w:hAnsi="Book Antiqua"/>
        </w:rPr>
        <w:t xml:space="preserve">, Kocic R, Klisic A, Kocic G. The Effects of Vitamin D Supplementation on Metabolic and Oxidative Stress Markers in Patients With Type 2 Diabetes: A 6-Month Follow Up Randomized Controlled Study. </w:t>
      </w:r>
      <w:r>
        <w:rPr>
          <w:rFonts w:ascii="Book Antiqua" w:hAnsi="Book Antiqua"/>
          <w:i/>
          <w:iCs/>
        </w:rPr>
        <w:t>Front Endocrinol (Lausanne)</w:t>
      </w:r>
      <w:r>
        <w:rPr>
          <w:rFonts w:ascii="Book Antiqua" w:hAnsi="Book Antiqua"/>
        </w:rPr>
        <w:t xml:space="preserve"> 2021; </w:t>
      </w:r>
      <w:r>
        <w:rPr>
          <w:rFonts w:ascii="Book Antiqua" w:hAnsi="Book Antiqua"/>
          <w:b/>
          <w:bCs/>
        </w:rPr>
        <w:t>12</w:t>
      </w:r>
      <w:r>
        <w:rPr>
          <w:rFonts w:ascii="Book Antiqua" w:hAnsi="Book Antiqua"/>
        </w:rPr>
        <w:t>: 610893 [PMID: 34489860 DOI: 10.3389/fendo.2021.610893]</w:t>
      </w:r>
    </w:p>
    <w:p w14:paraId="316B47A7" w14:textId="77777777" w:rsidR="00BA6BF8" w:rsidRDefault="00000000">
      <w:pPr>
        <w:spacing w:line="360" w:lineRule="auto"/>
        <w:jc w:val="both"/>
        <w:rPr>
          <w:rFonts w:ascii="Book Antiqua" w:hAnsi="Book Antiqua"/>
        </w:rPr>
      </w:pPr>
      <w:r>
        <w:rPr>
          <w:rFonts w:ascii="Book Antiqua" w:hAnsi="Book Antiqua"/>
        </w:rPr>
        <w:t xml:space="preserve">180 </w:t>
      </w:r>
      <w:r>
        <w:rPr>
          <w:rFonts w:ascii="Book Antiqua" w:hAnsi="Book Antiqua"/>
          <w:b/>
          <w:bCs/>
        </w:rPr>
        <w:t>Zhang DW</w:t>
      </w:r>
      <w:r>
        <w:rPr>
          <w:rFonts w:ascii="Book Antiqua" w:hAnsi="Book Antiqua"/>
        </w:rPr>
        <w:t xml:space="preserve">, Fu M, Gao SH, Liu JL. Curcumin and diabetes: a systematic review. </w:t>
      </w:r>
      <w:r>
        <w:rPr>
          <w:rFonts w:ascii="Book Antiqua" w:hAnsi="Book Antiqua"/>
          <w:i/>
          <w:iCs/>
        </w:rPr>
        <w:t>Evid Based Complement Alternat Med</w:t>
      </w:r>
      <w:r>
        <w:rPr>
          <w:rFonts w:ascii="Book Antiqua" w:hAnsi="Book Antiqua"/>
        </w:rPr>
        <w:t xml:space="preserve"> 2013; </w:t>
      </w:r>
      <w:r>
        <w:rPr>
          <w:rFonts w:ascii="Book Antiqua" w:hAnsi="Book Antiqua"/>
          <w:b/>
          <w:bCs/>
        </w:rPr>
        <w:t>2013</w:t>
      </w:r>
      <w:r>
        <w:rPr>
          <w:rFonts w:ascii="Book Antiqua" w:hAnsi="Book Antiqua"/>
        </w:rPr>
        <w:t>: 636053 [PMID: 24348712 DOI: 10.1155/2013/636053]</w:t>
      </w:r>
    </w:p>
    <w:p w14:paraId="7BA89613" w14:textId="77777777" w:rsidR="00BA6BF8" w:rsidRDefault="00000000">
      <w:pPr>
        <w:spacing w:line="360" w:lineRule="auto"/>
        <w:jc w:val="both"/>
        <w:rPr>
          <w:rFonts w:ascii="Book Antiqua" w:hAnsi="Book Antiqua"/>
        </w:rPr>
      </w:pPr>
      <w:r>
        <w:rPr>
          <w:rFonts w:ascii="Book Antiqua" w:hAnsi="Book Antiqua"/>
        </w:rPr>
        <w:t xml:space="preserve">181 </w:t>
      </w:r>
      <w:r>
        <w:rPr>
          <w:rFonts w:ascii="Book Antiqua" w:hAnsi="Book Antiqua"/>
          <w:b/>
          <w:bCs/>
        </w:rPr>
        <w:t>Ghorbani A</w:t>
      </w:r>
      <w:r>
        <w:rPr>
          <w:rFonts w:ascii="Book Antiqua" w:hAnsi="Book Antiqua"/>
        </w:rPr>
        <w:t xml:space="preserve">. Mechanisms of antidiabetic effects of flavonoid rutin. </w:t>
      </w:r>
      <w:r>
        <w:rPr>
          <w:rFonts w:ascii="Book Antiqua" w:hAnsi="Book Antiqua"/>
          <w:i/>
          <w:iCs/>
        </w:rPr>
        <w:t>Biomed Pharmacother</w:t>
      </w:r>
      <w:r>
        <w:rPr>
          <w:rFonts w:ascii="Book Antiqua" w:hAnsi="Book Antiqua"/>
        </w:rPr>
        <w:t xml:space="preserve"> 2017; </w:t>
      </w:r>
      <w:r>
        <w:rPr>
          <w:rFonts w:ascii="Book Antiqua" w:hAnsi="Book Antiqua"/>
          <w:b/>
          <w:bCs/>
        </w:rPr>
        <w:t>96</w:t>
      </w:r>
      <w:r>
        <w:rPr>
          <w:rFonts w:ascii="Book Antiqua" w:hAnsi="Book Antiqua"/>
        </w:rPr>
        <w:t>: 305-312 [PMID: 29017142 DOI: 10.1016/j.biopha.2017.10.001]</w:t>
      </w:r>
    </w:p>
    <w:p w14:paraId="0D9250E4" w14:textId="77777777" w:rsidR="00BA6BF8" w:rsidRDefault="00000000">
      <w:pPr>
        <w:spacing w:line="360" w:lineRule="auto"/>
        <w:jc w:val="both"/>
        <w:rPr>
          <w:rFonts w:ascii="Book Antiqua" w:hAnsi="Book Antiqua"/>
        </w:rPr>
      </w:pPr>
      <w:r>
        <w:rPr>
          <w:rFonts w:ascii="Book Antiqua" w:hAnsi="Book Antiqua"/>
        </w:rPr>
        <w:t xml:space="preserve">182 </w:t>
      </w:r>
      <w:r>
        <w:rPr>
          <w:rFonts w:ascii="Book Antiqua" w:hAnsi="Book Antiqua"/>
          <w:b/>
          <w:bCs/>
        </w:rPr>
        <w:t>Li R</w:t>
      </w:r>
      <w:r>
        <w:rPr>
          <w:rFonts w:ascii="Book Antiqua" w:hAnsi="Book Antiqua"/>
        </w:rPr>
        <w:t xml:space="preserve">, Zhang Y, Rasool S, Geetha T, Babu JR. Effects and Underlying Mechanisms of Bioactive Compounds on Type 2 Diabetes Mellitus and Alzheimer's Disease. </w:t>
      </w:r>
      <w:r>
        <w:rPr>
          <w:rFonts w:ascii="Book Antiqua" w:hAnsi="Book Antiqua"/>
          <w:i/>
          <w:iCs/>
        </w:rPr>
        <w:t>Oxid Med Cell Longev</w:t>
      </w:r>
      <w:r>
        <w:rPr>
          <w:rFonts w:ascii="Book Antiqua" w:hAnsi="Book Antiqua"/>
        </w:rPr>
        <w:t xml:space="preserve"> 2019; </w:t>
      </w:r>
      <w:r>
        <w:rPr>
          <w:rFonts w:ascii="Book Antiqua" w:hAnsi="Book Antiqua"/>
          <w:b/>
          <w:bCs/>
        </w:rPr>
        <w:t>2019</w:t>
      </w:r>
      <w:r>
        <w:rPr>
          <w:rFonts w:ascii="Book Antiqua" w:hAnsi="Book Antiqua"/>
        </w:rPr>
        <w:t>: 8165707 [PMID: 30800211 DOI: 10.1155/2019/8165707]</w:t>
      </w:r>
    </w:p>
    <w:p w14:paraId="4135E337" w14:textId="77777777" w:rsidR="00BA6BF8" w:rsidRDefault="00000000">
      <w:pPr>
        <w:spacing w:line="360" w:lineRule="auto"/>
        <w:jc w:val="both"/>
        <w:rPr>
          <w:rFonts w:ascii="Book Antiqua" w:hAnsi="Book Antiqua"/>
        </w:rPr>
      </w:pPr>
      <w:r>
        <w:rPr>
          <w:rFonts w:ascii="Book Antiqua" w:hAnsi="Book Antiqua"/>
        </w:rPr>
        <w:t xml:space="preserve">183 </w:t>
      </w:r>
      <w:r>
        <w:rPr>
          <w:rFonts w:ascii="Book Antiqua" w:hAnsi="Book Antiqua"/>
          <w:b/>
          <w:bCs/>
        </w:rPr>
        <w:t>Youl E</w:t>
      </w:r>
      <w:r>
        <w:rPr>
          <w:rFonts w:ascii="Book Antiqua" w:hAnsi="Book Antiqua"/>
        </w:rPr>
        <w:t xml:space="preserve">, Bardy G, Magous R, Cros G, Sejalon F, Virsolvy A, Richard S, Quignard JF, Gross R, Petit P, Bataille D, Oiry C. Quercetin potentiates insulin secretion and protects </w:t>
      </w:r>
      <w:r>
        <w:rPr>
          <w:rFonts w:ascii="Book Antiqua" w:hAnsi="Book Antiqua"/>
        </w:rPr>
        <w:lastRenderedPageBreak/>
        <w:t xml:space="preserve">INS-1 pancreatic β-cells against oxidative damage via the ERK1/2 pathway. </w:t>
      </w:r>
      <w:r>
        <w:rPr>
          <w:rFonts w:ascii="Book Antiqua" w:hAnsi="Book Antiqua"/>
          <w:i/>
          <w:iCs/>
        </w:rPr>
        <w:t>Br J Pharmacol</w:t>
      </w:r>
      <w:r>
        <w:rPr>
          <w:rFonts w:ascii="Book Antiqua" w:hAnsi="Book Antiqua"/>
        </w:rPr>
        <w:t xml:space="preserve"> 2010; </w:t>
      </w:r>
      <w:r>
        <w:rPr>
          <w:rFonts w:ascii="Book Antiqua" w:hAnsi="Book Antiqua"/>
          <w:b/>
          <w:bCs/>
        </w:rPr>
        <w:t>161</w:t>
      </w:r>
      <w:r>
        <w:rPr>
          <w:rFonts w:ascii="Book Antiqua" w:hAnsi="Book Antiqua"/>
        </w:rPr>
        <w:t>: 799-814 [PMID: 20860660 DOI: 10.1111/j.1476-5381.2010.00910.x]</w:t>
      </w:r>
    </w:p>
    <w:p w14:paraId="4B5A8B26" w14:textId="77777777" w:rsidR="00BA6BF8" w:rsidRDefault="00000000">
      <w:pPr>
        <w:spacing w:line="360" w:lineRule="auto"/>
        <w:jc w:val="both"/>
        <w:rPr>
          <w:rFonts w:ascii="Book Antiqua" w:hAnsi="Book Antiqua"/>
        </w:rPr>
      </w:pPr>
      <w:r>
        <w:rPr>
          <w:rFonts w:ascii="Book Antiqua" w:hAnsi="Book Antiqua"/>
        </w:rPr>
        <w:t xml:space="preserve">184 </w:t>
      </w:r>
      <w:r>
        <w:rPr>
          <w:rFonts w:ascii="Book Antiqua" w:hAnsi="Book Antiqua"/>
          <w:b/>
          <w:bCs/>
        </w:rPr>
        <w:t>Ae Park S</w:t>
      </w:r>
      <w:r>
        <w:rPr>
          <w:rFonts w:ascii="Book Antiqua" w:hAnsi="Book Antiqua"/>
        </w:rPr>
        <w:t xml:space="preserve">, Choi MS, Cho SY, Seo JS, Jung UJ, Kim MJ, Sung MK, Park YB, Lee MK. Genistein and daidzein modulate hepatic glucose and lipid regulating enzyme activities in C57BL/KsJ-db/db mice. </w:t>
      </w:r>
      <w:r>
        <w:rPr>
          <w:rFonts w:ascii="Book Antiqua" w:hAnsi="Book Antiqua"/>
          <w:i/>
          <w:iCs/>
        </w:rPr>
        <w:t>Life Sci</w:t>
      </w:r>
      <w:r>
        <w:rPr>
          <w:rFonts w:ascii="Book Antiqua" w:hAnsi="Book Antiqua"/>
        </w:rPr>
        <w:t xml:space="preserve"> 2006; </w:t>
      </w:r>
      <w:r>
        <w:rPr>
          <w:rFonts w:ascii="Book Antiqua" w:hAnsi="Book Antiqua"/>
          <w:b/>
          <w:bCs/>
        </w:rPr>
        <w:t>79</w:t>
      </w:r>
      <w:r>
        <w:rPr>
          <w:rFonts w:ascii="Book Antiqua" w:hAnsi="Book Antiqua"/>
        </w:rPr>
        <w:t>: 1207-1213 [PMID: 16647724 DOI: 10.1016/j.lfs.2006.03.022]</w:t>
      </w:r>
    </w:p>
    <w:p w14:paraId="6B99064C" w14:textId="77777777" w:rsidR="00BA6BF8" w:rsidRDefault="00000000">
      <w:pPr>
        <w:spacing w:line="360" w:lineRule="auto"/>
        <w:jc w:val="both"/>
        <w:rPr>
          <w:rFonts w:ascii="Book Antiqua" w:hAnsi="Book Antiqua"/>
        </w:rPr>
      </w:pPr>
      <w:r>
        <w:rPr>
          <w:rFonts w:ascii="Book Antiqua" w:hAnsi="Book Antiqua"/>
        </w:rPr>
        <w:t xml:space="preserve">185 </w:t>
      </w:r>
      <w:r>
        <w:rPr>
          <w:rFonts w:ascii="Book Antiqua" w:hAnsi="Book Antiqua"/>
          <w:b/>
          <w:bCs/>
        </w:rPr>
        <w:t>Mahmoud AM</w:t>
      </w:r>
      <w:r>
        <w:rPr>
          <w:rFonts w:ascii="Book Antiqua" w:hAnsi="Book Antiqua"/>
        </w:rPr>
        <w:t xml:space="preserve">, Ashour MB, Abdel-Moneim A, Ahmed OM. Hesperidin and naringin attenuate hyperglycemia-mediated oxidative stress and proinflammatory cytokine production in high fat fed/streptozotocin-induced type 2 diabetic rats. </w:t>
      </w:r>
      <w:r>
        <w:rPr>
          <w:rFonts w:ascii="Book Antiqua" w:hAnsi="Book Antiqua"/>
          <w:i/>
          <w:iCs/>
        </w:rPr>
        <w:t>J Diabetes Complications</w:t>
      </w:r>
      <w:r>
        <w:rPr>
          <w:rFonts w:ascii="Book Antiqua" w:hAnsi="Book Antiqua"/>
        </w:rPr>
        <w:t xml:space="preserve"> 2012; </w:t>
      </w:r>
      <w:r>
        <w:rPr>
          <w:rFonts w:ascii="Book Antiqua" w:hAnsi="Book Antiqua"/>
          <w:b/>
          <w:bCs/>
        </w:rPr>
        <w:t>26</w:t>
      </w:r>
      <w:r>
        <w:rPr>
          <w:rFonts w:ascii="Book Antiqua" w:hAnsi="Book Antiqua"/>
        </w:rPr>
        <w:t>: 483-490 [PMID: 22809898 DOI: 10.1016/j.jdiacomp.2012.06.001]</w:t>
      </w:r>
    </w:p>
    <w:p w14:paraId="6893751D" w14:textId="77777777" w:rsidR="00BA6BF8" w:rsidRDefault="00000000">
      <w:pPr>
        <w:spacing w:line="360" w:lineRule="auto"/>
        <w:jc w:val="both"/>
        <w:rPr>
          <w:rFonts w:ascii="Book Antiqua" w:hAnsi="Book Antiqua"/>
        </w:rPr>
      </w:pPr>
      <w:r>
        <w:rPr>
          <w:rFonts w:ascii="Book Antiqua" w:hAnsi="Book Antiqua"/>
        </w:rPr>
        <w:t xml:space="preserve">186 </w:t>
      </w:r>
      <w:r>
        <w:rPr>
          <w:rFonts w:ascii="Book Antiqua" w:hAnsi="Book Antiqua"/>
          <w:b/>
          <w:bCs/>
        </w:rPr>
        <w:t>Singh AK</w:t>
      </w:r>
      <w:r>
        <w:rPr>
          <w:rFonts w:ascii="Book Antiqua" w:hAnsi="Book Antiqua"/>
        </w:rPr>
        <w:t xml:space="preserve">, Raj V, Keshari AK, Rai A, Kumar P, Rawat A, Maity B, Kumar D, Prakash A, De A, Samanta A, Bhattacharya B, Saha S. Isolated mangiferin and naringenin exert antidiabetic effect via PPAR(γ)/GLUT4 dual agonistic action with strong metabolic regulation. </w:t>
      </w:r>
      <w:r>
        <w:rPr>
          <w:rFonts w:ascii="Book Antiqua" w:hAnsi="Book Antiqua"/>
          <w:i/>
          <w:iCs/>
        </w:rPr>
        <w:t>Chem Biol Interact</w:t>
      </w:r>
      <w:r>
        <w:rPr>
          <w:rFonts w:ascii="Book Antiqua" w:hAnsi="Book Antiqua"/>
        </w:rPr>
        <w:t xml:space="preserve"> 2018; </w:t>
      </w:r>
      <w:r>
        <w:rPr>
          <w:rFonts w:ascii="Book Antiqua" w:hAnsi="Book Antiqua"/>
          <w:b/>
          <w:bCs/>
        </w:rPr>
        <w:t>280</w:t>
      </w:r>
      <w:r>
        <w:rPr>
          <w:rFonts w:ascii="Book Antiqua" w:hAnsi="Book Antiqua"/>
        </w:rPr>
        <w:t>: 33-44 [PMID: 29223569 DOI: 10.1016/j.cbi.2017.12.007]</w:t>
      </w:r>
    </w:p>
    <w:p w14:paraId="7C00BBC3" w14:textId="77777777" w:rsidR="00BA6BF8" w:rsidRDefault="00000000">
      <w:pPr>
        <w:spacing w:line="360" w:lineRule="auto"/>
        <w:jc w:val="both"/>
        <w:rPr>
          <w:rFonts w:ascii="Book Antiqua" w:hAnsi="Book Antiqua"/>
        </w:rPr>
      </w:pPr>
      <w:r>
        <w:rPr>
          <w:rFonts w:ascii="Book Antiqua" w:hAnsi="Book Antiqua"/>
        </w:rPr>
        <w:t xml:space="preserve">187 </w:t>
      </w:r>
      <w:r>
        <w:rPr>
          <w:rFonts w:ascii="Book Antiqua" w:hAnsi="Book Antiqua"/>
          <w:b/>
          <w:bCs/>
        </w:rPr>
        <w:t>Prasath GS</w:t>
      </w:r>
      <w:r>
        <w:rPr>
          <w:rFonts w:ascii="Book Antiqua" w:hAnsi="Book Antiqua"/>
        </w:rPr>
        <w:t xml:space="preserve">, Pillai SI, Subramanian SP. Fisetin improves glucose homeostasis through the inhibition of gluconeogenic enzymes in hepatic tissues of streptozotocin induced diabetic rats. </w:t>
      </w:r>
      <w:r>
        <w:rPr>
          <w:rFonts w:ascii="Book Antiqua" w:hAnsi="Book Antiqua"/>
          <w:i/>
          <w:iCs/>
        </w:rPr>
        <w:t>Eur J Pharmacol</w:t>
      </w:r>
      <w:r>
        <w:rPr>
          <w:rFonts w:ascii="Book Antiqua" w:hAnsi="Book Antiqua"/>
        </w:rPr>
        <w:t xml:space="preserve"> 2014; </w:t>
      </w:r>
      <w:r>
        <w:rPr>
          <w:rFonts w:ascii="Book Antiqua" w:hAnsi="Book Antiqua"/>
          <w:b/>
          <w:bCs/>
        </w:rPr>
        <w:t>740</w:t>
      </w:r>
      <w:r>
        <w:rPr>
          <w:rFonts w:ascii="Book Antiqua" w:hAnsi="Book Antiqua"/>
        </w:rPr>
        <w:t>: 248-254 [PMID: 25064342 DOI: 10.1016/j.ejphar.2014.06.065]</w:t>
      </w:r>
    </w:p>
    <w:p w14:paraId="43302D10" w14:textId="77777777" w:rsidR="00BA6BF8" w:rsidRDefault="00000000">
      <w:pPr>
        <w:spacing w:line="360" w:lineRule="auto"/>
        <w:jc w:val="both"/>
        <w:rPr>
          <w:rFonts w:ascii="Book Antiqua" w:hAnsi="Book Antiqua"/>
        </w:rPr>
      </w:pPr>
      <w:r>
        <w:rPr>
          <w:rFonts w:ascii="Book Antiqua" w:hAnsi="Book Antiqua"/>
        </w:rPr>
        <w:t xml:space="preserve">188 </w:t>
      </w:r>
      <w:r>
        <w:rPr>
          <w:rFonts w:ascii="Book Antiqua" w:hAnsi="Book Antiqua"/>
          <w:b/>
          <w:bCs/>
        </w:rPr>
        <w:t xml:space="preserve">Loureiro G, </w:t>
      </w:r>
      <w:r>
        <w:rPr>
          <w:rFonts w:ascii="Book Antiqua" w:hAnsi="Book Antiqua"/>
        </w:rPr>
        <w:t>Martel F. The effect of dietary polyphenols on intestinal absorption of glucose and fructose: Relation with obesity and type 2 diabetes.</w:t>
      </w:r>
      <w:r>
        <w:rPr>
          <w:rFonts w:ascii="Book Antiqua" w:hAnsi="Book Antiqua"/>
          <w:i/>
          <w:iCs/>
        </w:rPr>
        <w:t xml:space="preserve"> Food Rev Int </w:t>
      </w:r>
      <w:r>
        <w:rPr>
          <w:rFonts w:ascii="Book Antiqua" w:hAnsi="Book Antiqua"/>
        </w:rPr>
        <w:t xml:space="preserve">2019; </w:t>
      </w:r>
      <w:r>
        <w:rPr>
          <w:rFonts w:ascii="Book Antiqua" w:hAnsi="Book Antiqua"/>
          <w:b/>
          <w:bCs/>
        </w:rPr>
        <w:t>35</w:t>
      </w:r>
      <w:r>
        <w:rPr>
          <w:rFonts w:ascii="Book Antiqua" w:hAnsi="Book Antiqua"/>
        </w:rPr>
        <w:t>: 390-406 [DOI: 10.1080/87559129.2019.1573432]</w:t>
      </w:r>
    </w:p>
    <w:p w14:paraId="2A3D9728" w14:textId="77777777" w:rsidR="00BA6BF8" w:rsidRDefault="00000000">
      <w:pPr>
        <w:spacing w:line="360" w:lineRule="auto"/>
        <w:jc w:val="both"/>
        <w:rPr>
          <w:rFonts w:ascii="Book Antiqua" w:hAnsi="Book Antiqua"/>
        </w:rPr>
      </w:pPr>
      <w:r>
        <w:rPr>
          <w:rFonts w:ascii="Book Antiqua" w:hAnsi="Book Antiqua"/>
        </w:rPr>
        <w:t xml:space="preserve">189 </w:t>
      </w:r>
      <w:r>
        <w:rPr>
          <w:rFonts w:ascii="Book Antiqua" w:hAnsi="Book Antiqua"/>
          <w:b/>
          <w:bCs/>
        </w:rPr>
        <w:t>Liu CL</w:t>
      </w:r>
      <w:r>
        <w:rPr>
          <w:rFonts w:ascii="Book Antiqua" w:hAnsi="Book Antiqua"/>
        </w:rPr>
        <w:t xml:space="preserve">, Yan L, Cai KR, Sun K, Qi Y, Han YL, Zhang XD, Sun XD. Effects of soybean isoflavones on Wnt/β-catenin and the TGF-β1 signaling pathway in renal tissue of type 2 diabetic rats. </w:t>
      </w:r>
      <w:r>
        <w:rPr>
          <w:rFonts w:ascii="Book Antiqua" w:hAnsi="Book Antiqua"/>
          <w:i/>
          <w:iCs/>
        </w:rPr>
        <w:t>J Biol Regul Homeost Agents</w:t>
      </w:r>
      <w:r>
        <w:rPr>
          <w:rFonts w:ascii="Book Antiqua" w:hAnsi="Book Antiqua"/>
        </w:rPr>
        <w:t xml:space="preserve"> 2018; </w:t>
      </w:r>
      <w:r>
        <w:rPr>
          <w:rFonts w:ascii="Book Antiqua" w:hAnsi="Book Antiqua"/>
          <w:b/>
          <w:bCs/>
        </w:rPr>
        <w:t>32</w:t>
      </w:r>
      <w:r>
        <w:rPr>
          <w:rFonts w:ascii="Book Antiqua" w:hAnsi="Book Antiqua"/>
        </w:rPr>
        <w:t>: 455-464 [PMID: 29921370]</w:t>
      </w:r>
    </w:p>
    <w:p w14:paraId="17DC92EE" w14:textId="77777777" w:rsidR="00BA6BF8" w:rsidRDefault="00000000">
      <w:pPr>
        <w:spacing w:line="360" w:lineRule="auto"/>
        <w:jc w:val="both"/>
        <w:rPr>
          <w:rFonts w:ascii="Book Antiqua" w:hAnsi="Book Antiqua"/>
        </w:rPr>
      </w:pPr>
      <w:r>
        <w:rPr>
          <w:rFonts w:ascii="Book Antiqua" w:hAnsi="Book Antiqua"/>
        </w:rPr>
        <w:t xml:space="preserve">190 </w:t>
      </w:r>
      <w:r>
        <w:rPr>
          <w:rFonts w:ascii="Book Antiqua" w:hAnsi="Book Antiqua"/>
          <w:b/>
          <w:bCs/>
        </w:rPr>
        <w:t>Li F</w:t>
      </w:r>
      <w:r>
        <w:rPr>
          <w:rFonts w:ascii="Book Antiqua" w:hAnsi="Book Antiqua"/>
        </w:rPr>
        <w:t xml:space="preserve">, Gao C, Yan P, Zhang M, Wang Y, Hu Y, Wu X, Wang X, Sheng J. EGCG Reduces Obesity and White Adipose Tissue Gain Partly Through AMPK Activation in Mice. </w:t>
      </w:r>
      <w:r>
        <w:rPr>
          <w:rFonts w:ascii="Book Antiqua" w:hAnsi="Book Antiqua"/>
          <w:i/>
          <w:iCs/>
        </w:rPr>
        <w:t>Front Pharmacol</w:t>
      </w:r>
      <w:r>
        <w:rPr>
          <w:rFonts w:ascii="Book Antiqua" w:hAnsi="Book Antiqua"/>
        </w:rPr>
        <w:t xml:space="preserve"> 2018; </w:t>
      </w:r>
      <w:r>
        <w:rPr>
          <w:rFonts w:ascii="Book Antiqua" w:hAnsi="Book Antiqua"/>
          <w:b/>
          <w:bCs/>
        </w:rPr>
        <w:t>9</w:t>
      </w:r>
      <w:r>
        <w:rPr>
          <w:rFonts w:ascii="Book Antiqua" w:hAnsi="Book Antiqua"/>
        </w:rPr>
        <w:t>: 1366 [PMID: 30524290 DOI: 10.3389/fphar.2018.01366]</w:t>
      </w:r>
    </w:p>
    <w:p w14:paraId="03FD6D30" w14:textId="77777777" w:rsidR="00BA6BF8" w:rsidRDefault="00000000">
      <w:pPr>
        <w:spacing w:line="360" w:lineRule="auto"/>
        <w:jc w:val="both"/>
        <w:rPr>
          <w:rFonts w:ascii="Book Antiqua" w:hAnsi="Book Antiqua"/>
        </w:rPr>
      </w:pPr>
      <w:r>
        <w:rPr>
          <w:rFonts w:ascii="Book Antiqua" w:hAnsi="Book Antiqua"/>
        </w:rPr>
        <w:lastRenderedPageBreak/>
        <w:t xml:space="preserve">191 </w:t>
      </w:r>
      <w:r>
        <w:rPr>
          <w:rFonts w:ascii="Book Antiqua" w:hAnsi="Book Antiqua"/>
          <w:b/>
          <w:bCs/>
        </w:rPr>
        <w:t>Pei K</w:t>
      </w:r>
      <w:r>
        <w:rPr>
          <w:rFonts w:ascii="Book Antiqua" w:hAnsi="Book Antiqua"/>
        </w:rPr>
        <w:t xml:space="preserve">, Ou J, Huang J, Ou S. p-Coumaric acid and its conjugates: dietary sources, pharmacokinetic properties and biological activities. </w:t>
      </w:r>
      <w:r>
        <w:rPr>
          <w:rFonts w:ascii="Book Antiqua" w:hAnsi="Book Antiqua"/>
          <w:i/>
          <w:iCs/>
        </w:rPr>
        <w:t>J Sci Food Agric</w:t>
      </w:r>
      <w:r>
        <w:rPr>
          <w:rFonts w:ascii="Book Antiqua" w:hAnsi="Book Antiqua"/>
        </w:rPr>
        <w:t xml:space="preserve"> 2016; </w:t>
      </w:r>
      <w:r>
        <w:rPr>
          <w:rFonts w:ascii="Book Antiqua" w:hAnsi="Book Antiqua"/>
          <w:b/>
          <w:bCs/>
        </w:rPr>
        <w:t>96</w:t>
      </w:r>
      <w:r>
        <w:rPr>
          <w:rFonts w:ascii="Book Antiqua" w:hAnsi="Book Antiqua"/>
        </w:rPr>
        <w:t>: 2952-2962 [PMID: 26692250 DOI: 10.1002/jsfa.7578]</w:t>
      </w:r>
    </w:p>
    <w:p w14:paraId="2C526ACF" w14:textId="77777777" w:rsidR="00BA6BF8" w:rsidRDefault="00000000">
      <w:pPr>
        <w:spacing w:line="360" w:lineRule="auto"/>
        <w:jc w:val="both"/>
        <w:rPr>
          <w:rFonts w:ascii="Book Antiqua" w:hAnsi="Book Antiqua"/>
        </w:rPr>
      </w:pPr>
      <w:r>
        <w:rPr>
          <w:rFonts w:ascii="Book Antiqua" w:hAnsi="Book Antiqua"/>
        </w:rPr>
        <w:t xml:space="preserve">192 </w:t>
      </w:r>
      <w:r>
        <w:rPr>
          <w:rFonts w:ascii="Book Antiqua" w:hAnsi="Book Antiqua"/>
          <w:b/>
          <w:bCs/>
        </w:rPr>
        <w:t>Reis CEG</w:t>
      </w:r>
      <w:r>
        <w:rPr>
          <w:rFonts w:ascii="Book Antiqua" w:hAnsi="Book Antiqua"/>
        </w:rPr>
        <w:t xml:space="preserve">, Dórea JG, da Costa THM. Effects of coffee consumption on glucose metabolism: A systematic review of clinical trials. </w:t>
      </w:r>
      <w:r>
        <w:rPr>
          <w:rFonts w:ascii="Book Antiqua" w:hAnsi="Book Antiqua"/>
          <w:i/>
          <w:iCs/>
        </w:rPr>
        <w:t>J Tradit Complement Med</w:t>
      </w:r>
      <w:r>
        <w:rPr>
          <w:rFonts w:ascii="Book Antiqua" w:hAnsi="Book Antiqua"/>
        </w:rPr>
        <w:t xml:space="preserve"> 2019; </w:t>
      </w:r>
      <w:r>
        <w:rPr>
          <w:rFonts w:ascii="Book Antiqua" w:hAnsi="Book Antiqua"/>
          <w:b/>
          <w:bCs/>
        </w:rPr>
        <w:t>9</w:t>
      </w:r>
      <w:r>
        <w:rPr>
          <w:rFonts w:ascii="Book Antiqua" w:hAnsi="Book Antiqua"/>
        </w:rPr>
        <w:t>: 184-191 [PMID: 31193893 DOI: 10.1016/j.jtcme.2018.01.001]</w:t>
      </w:r>
    </w:p>
    <w:p w14:paraId="70D84CA8" w14:textId="77777777" w:rsidR="00BA6BF8" w:rsidRDefault="00000000">
      <w:pPr>
        <w:spacing w:line="360" w:lineRule="auto"/>
        <w:jc w:val="both"/>
        <w:rPr>
          <w:rFonts w:ascii="Book Antiqua" w:hAnsi="Book Antiqua"/>
        </w:rPr>
      </w:pPr>
      <w:r>
        <w:rPr>
          <w:rFonts w:ascii="Book Antiqua" w:hAnsi="Book Antiqua"/>
        </w:rPr>
        <w:t xml:space="preserve">193 </w:t>
      </w:r>
      <w:r>
        <w:rPr>
          <w:rFonts w:ascii="Book Antiqua" w:hAnsi="Book Antiqua"/>
          <w:b/>
          <w:bCs/>
        </w:rPr>
        <w:t>Shi M,</w:t>
      </w:r>
      <w:r>
        <w:rPr>
          <w:rFonts w:ascii="Book Antiqua" w:hAnsi="Book Antiqua"/>
        </w:rPr>
        <w:t xml:space="preserve"> Loftus H, McAinch AJ, Su XQ. Blueberry as a source of bioactive compounds for the treatment of obesity, type 2 diabetes and chronic inflammation. </w:t>
      </w:r>
      <w:r>
        <w:rPr>
          <w:rFonts w:ascii="Book Antiqua" w:hAnsi="Book Antiqua"/>
          <w:i/>
          <w:iCs/>
        </w:rPr>
        <w:t>J Funct Foods</w:t>
      </w:r>
      <w:r>
        <w:rPr>
          <w:rFonts w:ascii="Book Antiqua" w:hAnsi="Book Antiqua"/>
        </w:rPr>
        <w:t xml:space="preserve"> 2017; </w:t>
      </w:r>
      <w:r>
        <w:rPr>
          <w:rFonts w:ascii="Book Antiqua" w:hAnsi="Book Antiqua"/>
          <w:b/>
          <w:bCs/>
        </w:rPr>
        <w:t>30</w:t>
      </w:r>
      <w:r>
        <w:rPr>
          <w:rFonts w:ascii="Book Antiqua" w:hAnsi="Book Antiqua"/>
        </w:rPr>
        <w:t>: pp 16-29 [DOI: 10.1016/j.jff.2016.12.036]</w:t>
      </w:r>
    </w:p>
    <w:p w14:paraId="3501B17B" w14:textId="77777777" w:rsidR="00BA6BF8" w:rsidRDefault="00000000">
      <w:pPr>
        <w:spacing w:line="360" w:lineRule="auto"/>
        <w:jc w:val="both"/>
        <w:rPr>
          <w:rFonts w:ascii="Book Antiqua" w:hAnsi="Book Antiqua"/>
        </w:rPr>
      </w:pPr>
      <w:r>
        <w:rPr>
          <w:rFonts w:ascii="Book Antiqua" w:hAnsi="Book Antiqua"/>
        </w:rPr>
        <w:t xml:space="preserve">194 </w:t>
      </w:r>
      <w:r>
        <w:rPr>
          <w:rFonts w:ascii="Book Antiqua" w:hAnsi="Book Antiqua"/>
          <w:b/>
          <w:bCs/>
        </w:rPr>
        <w:t>Bahmanzadeh M</w:t>
      </w:r>
      <w:r>
        <w:rPr>
          <w:rFonts w:ascii="Book Antiqua" w:hAnsi="Book Antiqua"/>
        </w:rPr>
        <w:t xml:space="preserve">, Goodarzi MT, Rezaei Farimani A, Fathi N, Alizadeh Z. Resveratrol supplementation improves DNA integrity and sperm parameters in streptozotocin-nicotinamide-induced type 2 diabetic rats. </w:t>
      </w:r>
      <w:r>
        <w:rPr>
          <w:rFonts w:ascii="Book Antiqua" w:hAnsi="Book Antiqua"/>
          <w:i/>
          <w:iCs/>
        </w:rPr>
        <w:t>Andrologia</w:t>
      </w:r>
      <w:r>
        <w:rPr>
          <w:rFonts w:ascii="Book Antiqua" w:hAnsi="Book Antiqua"/>
        </w:rPr>
        <w:t xml:space="preserve"> 2019; </w:t>
      </w:r>
      <w:r>
        <w:rPr>
          <w:rFonts w:ascii="Book Antiqua" w:hAnsi="Book Antiqua"/>
          <w:b/>
          <w:bCs/>
        </w:rPr>
        <w:t>51</w:t>
      </w:r>
      <w:r>
        <w:rPr>
          <w:rFonts w:ascii="Book Antiqua" w:hAnsi="Book Antiqua"/>
        </w:rPr>
        <w:t>: e13313 [PMID: 31179568 DOI: 10.1111/and.13313]</w:t>
      </w:r>
    </w:p>
    <w:p w14:paraId="1D029D9E" w14:textId="77777777" w:rsidR="00BA6BF8" w:rsidRDefault="00BA6BF8">
      <w:pPr>
        <w:spacing w:line="360" w:lineRule="auto"/>
        <w:jc w:val="both"/>
        <w:rPr>
          <w:rFonts w:ascii="Book Antiqua" w:hAnsi="Book Antiqua"/>
        </w:rPr>
        <w:sectPr w:rsidR="00BA6BF8">
          <w:pgSz w:w="12240" w:h="15840"/>
          <w:pgMar w:top="1440" w:right="1440" w:bottom="1440" w:left="1440" w:header="720" w:footer="720" w:gutter="0"/>
          <w:cols w:space="720"/>
          <w:docGrid w:linePitch="360"/>
        </w:sectPr>
      </w:pPr>
    </w:p>
    <w:p w14:paraId="08657963" w14:textId="77777777" w:rsidR="00BA6BF8"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7EE8D47" w14:textId="77777777" w:rsidR="00BA6BF8"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All the authors report no relevant conflicts of interest for this article.</w:t>
      </w:r>
    </w:p>
    <w:p w14:paraId="55AEAD1D" w14:textId="77777777" w:rsidR="00BA6BF8" w:rsidRDefault="00BA6BF8">
      <w:pPr>
        <w:spacing w:line="360" w:lineRule="auto"/>
        <w:jc w:val="both"/>
        <w:rPr>
          <w:rFonts w:ascii="Book Antiqua" w:hAnsi="Book Antiqua"/>
        </w:rPr>
      </w:pPr>
    </w:p>
    <w:p w14:paraId="293426F3" w14:textId="77777777" w:rsidR="00BA6BF8"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0C703F4" w14:textId="77777777" w:rsidR="00BA6BF8" w:rsidRDefault="00BA6BF8">
      <w:pPr>
        <w:spacing w:line="360" w:lineRule="auto"/>
        <w:jc w:val="both"/>
        <w:rPr>
          <w:rFonts w:ascii="Book Antiqua" w:hAnsi="Book Antiqua"/>
        </w:rPr>
      </w:pPr>
    </w:p>
    <w:p w14:paraId="7DEF9302" w14:textId="77777777" w:rsidR="00BA6BF8"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6AE7BF17" w14:textId="77777777" w:rsidR="00BA6BF8" w:rsidRDefault="00BA6BF8">
      <w:pPr>
        <w:spacing w:line="360" w:lineRule="auto"/>
        <w:jc w:val="both"/>
        <w:rPr>
          <w:rFonts w:ascii="Book Antiqua" w:eastAsia="Book Antiqua" w:hAnsi="Book Antiqua" w:cs="Book Antiqua"/>
          <w:b/>
          <w:color w:val="000000"/>
        </w:rPr>
      </w:pPr>
    </w:p>
    <w:p w14:paraId="579ACFDD" w14:textId="77777777" w:rsidR="00BA6BF8"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9252A86" w14:textId="77777777" w:rsidR="00BA6BF8" w:rsidRDefault="00BA6BF8">
      <w:pPr>
        <w:spacing w:line="360" w:lineRule="auto"/>
        <w:jc w:val="both"/>
        <w:rPr>
          <w:rFonts w:ascii="Book Antiqua" w:hAnsi="Book Antiqua"/>
        </w:rPr>
      </w:pPr>
    </w:p>
    <w:p w14:paraId="51DD3D55" w14:textId="77777777" w:rsidR="00BA6BF8"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December 26, 2022</w:t>
      </w:r>
    </w:p>
    <w:p w14:paraId="2F86B9E0" w14:textId="77777777" w:rsidR="00BA6BF8"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February 28, 2023</w:t>
      </w:r>
    </w:p>
    <w:p w14:paraId="5E95919A" w14:textId="77777777" w:rsidR="00BA6BF8"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rPr>
        <w:t>April 17, 2023</w:t>
      </w:r>
    </w:p>
    <w:p w14:paraId="2AFFA8DF" w14:textId="77777777" w:rsidR="00BA6BF8" w:rsidRDefault="00BA6BF8">
      <w:pPr>
        <w:spacing w:line="360" w:lineRule="auto"/>
        <w:jc w:val="both"/>
        <w:rPr>
          <w:rFonts w:ascii="Book Antiqua" w:hAnsi="Book Antiqua"/>
        </w:rPr>
      </w:pPr>
    </w:p>
    <w:p w14:paraId="2CFE4A61" w14:textId="77777777" w:rsidR="00BA6BF8"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2" w:name="_Hlk130831803"/>
      <w:r>
        <w:rPr>
          <w:rFonts w:ascii="Book Antiqua" w:eastAsia="微软雅黑" w:hAnsi="Book Antiqua" w:cs="宋体"/>
        </w:rPr>
        <w:t>Endocrinology and metabolism</w:t>
      </w:r>
      <w:bookmarkEnd w:id="2"/>
    </w:p>
    <w:p w14:paraId="32783D23" w14:textId="77777777" w:rsidR="00BA6BF8"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India</w:t>
      </w:r>
    </w:p>
    <w:p w14:paraId="49CE2FA5" w14:textId="77777777" w:rsidR="00BA6BF8"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606B52C" w14:textId="77777777" w:rsidR="00BA6BF8" w:rsidRDefault="00000000">
      <w:pPr>
        <w:spacing w:line="360" w:lineRule="auto"/>
        <w:jc w:val="both"/>
        <w:rPr>
          <w:rFonts w:ascii="Book Antiqua" w:hAnsi="Book Antiqua"/>
        </w:rPr>
      </w:pPr>
      <w:r>
        <w:rPr>
          <w:rFonts w:ascii="Book Antiqua" w:eastAsia="Book Antiqua" w:hAnsi="Book Antiqua" w:cs="Book Antiqua"/>
        </w:rPr>
        <w:t>Grade A (Excellent): A</w:t>
      </w:r>
    </w:p>
    <w:p w14:paraId="4A60FF7F" w14:textId="77777777" w:rsidR="00BA6BF8" w:rsidRDefault="00000000">
      <w:pPr>
        <w:spacing w:line="360" w:lineRule="auto"/>
        <w:jc w:val="both"/>
        <w:rPr>
          <w:rFonts w:ascii="Book Antiqua" w:hAnsi="Book Antiqua"/>
        </w:rPr>
      </w:pPr>
      <w:r>
        <w:rPr>
          <w:rFonts w:ascii="Book Antiqua" w:eastAsia="Book Antiqua" w:hAnsi="Book Antiqua" w:cs="Book Antiqua"/>
        </w:rPr>
        <w:t>Grade B (Very good): B</w:t>
      </w:r>
    </w:p>
    <w:p w14:paraId="063692EB" w14:textId="77777777" w:rsidR="00BA6BF8" w:rsidRDefault="00000000">
      <w:pPr>
        <w:spacing w:line="360" w:lineRule="auto"/>
        <w:jc w:val="both"/>
        <w:rPr>
          <w:rFonts w:ascii="Book Antiqua" w:hAnsi="Book Antiqua"/>
        </w:rPr>
      </w:pPr>
      <w:r>
        <w:rPr>
          <w:rFonts w:ascii="Book Antiqua" w:eastAsia="Book Antiqua" w:hAnsi="Book Antiqua" w:cs="Book Antiqua"/>
        </w:rPr>
        <w:t>Grade C (Good): C, C</w:t>
      </w:r>
    </w:p>
    <w:p w14:paraId="76AEE46F" w14:textId="77777777" w:rsidR="00BA6BF8" w:rsidRDefault="00000000">
      <w:pPr>
        <w:spacing w:line="360" w:lineRule="auto"/>
        <w:jc w:val="both"/>
        <w:rPr>
          <w:rFonts w:ascii="Book Antiqua" w:hAnsi="Book Antiqua"/>
        </w:rPr>
      </w:pPr>
      <w:r>
        <w:rPr>
          <w:rFonts w:ascii="Book Antiqua" w:eastAsia="Book Antiqua" w:hAnsi="Book Antiqua" w:cs="Book Antiqua"/>
        </w:rPr>
        <w:t>Grade D (Fair): 0</w:t>
      </w:r>
    </w:p>
    <w:p w14:paraId="2E7E76D4" w14:textId="77777777" w:rsidR="00BA6BF8" w:rsidRDefault="00000000">
      <w:pPr>
        <w:spacing w:line="360" w:lineRule="auto"/>
        <w:jc w:val="both"/>
        <w:rPr>
          <w:rFonts w:ascii="Book Antiqua" w:hAnsi="Book Antiqua"/>
        </w:rPr>
      </w:pPr>
      <w:r>
        <w:rPr>
          <w:rFonts w:ascii="Book Antiqua" w:eastAsia="Book Antiqua" w:hAnsi="Book Antiqua" w:cs="Book Antiqua"/>
        </w:rPr>
        <w:t>Grade E (Poor): 0</w:t>
      </w:r>
    </w:p>
    <w:p w14:paraId="44A16A46" w14:textId="77777777" w:rsidR="00BA6BF8" w:rsidRDefault="00BA6BF8">
      <w:pPr>
        <w:spacing w:line="360" w:lineRule="auto"/>
        <w:jc w:val="both"/>
        <w:rPr>
          <w:rFonts w:ascii="Book Antiqua" w:hAnsi="Book Antiqua"/>
        </w:rPr>
      </w:pPr>
    </w:p>
    <w:p w14:paraId="7F76CF4D" w14:textId="77777777" w:rsidR="00BA6BF8" w:rsidRDefault="00000000">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bCs/>
          <w:color w:val="000000"/>
        </w:rPr>
        <w:t xml:space="preserve">Cai L, </w:t>
      </w:r>
      <w:r>
        <w:rPr>
          <w:rFonts w:ascii="Book Antiqua" w:hAnsi="Book Antiqua"/>
        </w:rPr>
        <w:t>United States;</w:t>
      </w:r>
      <w:r>
        <w:rPr>
          <w:rFonts w:ascii="Book Antiqua" w:eastAsia="Book Antiqua" w:hAnsi="Book Antiqua" w:cs="Book Antiqua"/>
          <w:bCs/>
          <w:color w:val="000000"/>
        </w:rPr>
        <w:t xml:space="preserve"> </w:t>
      </w:r>
      <w:r>
        <w:rPr>
          <w:rFonts w:ascii="Book Antiqua" w:eastAsia="Book Antiqua" w:hAnsi="Book Antiqua" w:cs="Book Antiqua"/>
        </w:rPr>
        <w:t>Nagamine T, Japan; Vorobjova T, Estonia; Zeng Y, China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 L</w:t>
      </w:r>
      <w:r>
        <w:rPr>
          <w:rFonts w:ascii="Book Antiqua" w:eastAsia="Book Antiqua" w:hAnsi="Book Antiqua" w:cs="Book Antiqua"/>
          <w:b/>
          <w:color w:val="000000"/>
        </w:rPr>
        <w:t xml:space="preserve"> L-Editor:</w:t>
      </w:r>
      <w:r>
        <w:rPr>
          <w:rFonts w:ascii="Book Antiqua" w:eastAsia="Book Antiqua" w:hAnsi="Book Antiqua" w:cs="Book Antiqua"/>
          <w:bCs/>
          <w:color w:val="000000"/>
        </w:rPr>
        <w:t xml:space="preserve"> A </w:t>
      </w:r>
      <w:r>
        <w:rPr>
          <w:rFonts w:ascii="Book Antiqua" w:eastAsia="Book Antiqua" w:hAnsi="Book Antiqua" w:cs="Book Antiqua"/>
          <w:b/>
          <w:color w:val="000000"/>
        </w:rPr>
        <w:t xml:space="preserve">P-Editor: </w:t>
      </w:r>
      <w:r>
        <w:rPr>
          <w:rFonts w:ascii="Book Antiqua" w:eastAsia="宋体" w:hAnsi="Book Antiqua" w:cs="Book Antiqua" w:hint="eastAsia"/>
          <w:bCs/>
          <w:color w:val="000000"/>
          <w:lang w:eastAsia="zh-CN"/>
        </w:rPr>
        <w:t>Guo X</w:t>
      </w:r>
    </w:p>
    <w:p w14:paraId="0BFBAEF1" w14:textId="77777777" w:rsidR="00BA6BF8" w:rsidRDefault="00BA6BF8">
      <w:pPr>
        <w:spacing w:line="360" w:lineRule="auto"/>
        <w:jc w:val="both"/>
        <w:rPr>
          <w:rFonts w:ascii="Book Antiqua" w:hAnsi="Book Antiqua"/>
        </w:rPr>
        <w:sectPr w:rsidR="00BA6BF8">
          <w:pgSz w:w="12240" w:h="15840"/>
          <w:pgMar w:top="1440" w:right="1440" w:bottom="1440" w:left="1440" w:header="720" w:footer="720" w:gutter="0"/>
          <w:cols w:space="720"/>
          <w:docGrid w:linePitch="360"/>
        </w:sectPr>
      </w:pPr>
    </w:p>
    <w:p w14:paraId="517311AA" w14:textId="77777777" w:rsidR="00BA6BF8" w:rsidRDefault="00000000">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467996DA" w14:textId="79BE2D29" w:rsidR="00BA6BF8" w:rsidRDefault="009977AE">
      <w:pPr>
        <w:spacing w:line="360" w:lineRule="auto"/>
        <w:jc w:val="both"/>
        <w:rPr>
          <w:rFonts w:ascii="Book Antiqua" w:hAnsi="Book Antiqua"/>
        </w:rPr>
      </w:pPr>
      <w:r>
        <w:rPr>
          <w:rFonts w:ascii="Book Antiqua" w:hAnsi="Book Antiqua"/>
          <w:noProof/>
        </w:rPr>
        <w:drawing>
          <wp:inline distT="0" distB="0" distL="0" distR="0" wp14:anchorId="7278DA58" wp14:editId="5EFAEF67">
            <wp:extent cx="5943600" cy="46723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672330"/>
                    </a:xfrm>
                    <a:prstGeom prst="rect">
                      <a:avLst/>
                    </a:prstGeom>
                  </pic:spPr>
                </pic:pic>
              </a:graphicData>
            </a:graphic>
          </wp:inline>
        </w:drawing>
      </w:r>
    </w:p>
    <w:p w14:paraId="419CF8D8" w14:textId="77777777" w:rsidR="00BA6BF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Types of diabetes and their symptoms. </w:t>
      </w:r>
      <w:r>
        <w:rPr>
          <w:rFonts w:ascii="Book Antiqua" w:eastAsia="Book Antiqua" w:hAnsi="Book Antiqua" w:cs="Book Antiqua"/>
          <w:color w:val="000000"/>
        </w:rPr>
        <w:t>Hyperglycemia and potential metabolic pathways in the pathogenesis of diabetic complications (microvascular and macrovascular) are also indicated. AGE: Advanced glycation end-products; RAGE: Receptor for advanced glycation end-products; T1DM: Type 1 diabetes mellitus; T2DM: Type 2 diabetes mellitus; GDM: Gestational diabetes mellitus; MODY: Maturity-onset diabetes of young.</w:t>
      </w:r>
    </w:p>
    <w:p w14:paraId="3E035388" w14:textId="56D71061" w:rsidR="00BA6BF8" w:rsidRDefault="009977AE">
      <w:pPr>
        <w:spacing w:line="360" w:lineRule="auto"/>
        <w:jc w:val="both"/>
        <w:rPr>
          <w:rFonts w:ascii="Book Antiqua" w:hAnsi="Book Antiqua"/>
        </w:rPr>
      </w:pPr>
      <w:r>
        <w:rPr>
          <w:rFonts w:ascii="Book Antiqua" w:hAnsi="Book Antiqua"/>
          <w:noProof/>
        </w:rPr>
        <w:lastRenderedPageBreak/>
        <w:drawing>
          <wp:inline distT="0" distB="0" distL="0" distR="0" wp14:anchorId="139C46C9" wp14:editId="6B49ADD2">
            <wp:extent cx="5943600" cy="34575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57575"/>
                    </a:xfrm>
                    <a:prstGeom prst="rect">
                      <a:avLst/>
                    </a:prstGeom>
                  </pic:spPr>
                </pic:pic>
              </a:graphicData>
            </a:graphic>
          </wp:inline>
        </w:drawing>
      </w:r>
    </w:p>
    <w:p w14:paraId="20A852D0" w14:textId="77777777" w:rsidR="00BA6BF8"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 Predicted percentage increase in the global prevalence of diabetes mellitus from 2021 to 2045</w:t>
      </w:r>
      <w:r>
        <w:rPr>
          <w:rFonts w:ascii="Book Antiqua" w:eastAsia="Book Antiqua" w:hAnsi="Book Antiqua" w:cs="Book Antiqua"/>
          <w:b/>
          <w:bCs/>
          <w:color w:val="000000"/>
          <w:vertAlign w:val="superscript"/>
        </w:rPr>
        <w:t>[24]</w:t>
      </w:r>
      <w:r>
        <w:rPr>
          <w:rFonts w:ascii="Book Antiqua" w:eastAsia="Book Antiqua" w:hAnsi="Book Antiqua" w:cs="Book Antiqua"/>
          <w:b/>
          <w:bCs/>
          <w:color w:val="000000"/>
        </w:rPr>
        <w:t>.</w:t>
      </w:r>
    </w:p>
    <w:p w14:paraId="747DB732" w14:textId="77777777" w:rsidR="00BA6BF8" w:rsidRDefault="00BA6BF8">
      <w:pPr>
        <w:spacing w:line="360" w:lineRule="auto"/>
        <w:jc w:val="both"/>
        <w:rPr>
          <w:rFonts w:ascii="Book Antiqua" w:hAnsi="Book Antiqua"/>
        </w:rPr>
      </w:pPr>
    </w:p>
    <w:p w14:paraId="03496EFE" w14:textId="404B5D7D" w:rsidR="00BA6BF8" w:rsidRDefault="009977AE">
      <w:pPr>
        <w:spacing w:line="360" w:lineRule="auto"/>
        <w:jc w:val="both"/>
        <w:rPr>
          <w:rFonts w:ascii="Book Antiqua" w:eastAsia="Book Antiqua" w:hAnsi="Book Antiqua" w:cs="Book Antiqua"/>
          <w:b/>
          <w:bCs/>
        </w:rPr>
      </w:pPr>
      <w:r>
        <w:rPr>
          <w:rFonts w:ascii="Book Antiqua" w:hAnsi="Book Antiqua"/>
          <w:noProof/>
        </w:rPr>
        <w:lastRenderedPageBreak/>
        <w:drawing>
          <wp:inline distT="0" distB="0" distL="0" distR="0" wp14:anchorId="264E4C58" wp14:editId="24EED795">
            <wp:extent cx="5943600" cy="42614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261485"/>
                    </a:xfrm>
                    <a:prstGeom prst="rect">
                      <a:avLst/>
                    </a:prstGeom>
                  </pic:spPr>
                </pic:pic>
              </a:graphicData>
            </a:graphic>
          </wp:inline>
        </w:drawing>
      </w:r>
    </w:p>
    <w:p w14:paraId="3333C07E" w14:textId="77777777" w:rsidR="00BA6BF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Figure 3 Pathogenesis of gestational diabetes mellitus, type 2 diabetes mellitus-ominous octet, and type 1 diabetes mellitus. </w:t>
      </w:r>
      <w:r>
        <w:rPr>
          <w:rFonts w:ascii="Book Antiqua" w:eastAsia="Book Antiqua" w:hAnsi="Book Antiqua" w:cs="Book Antiqua"/>
        </w:rPr>
        <w:t>Pharmacological glycemic management targets have also been shown here. DPP-4: Dipeptidyl peptide-4 inhibitor; GLP-1RA: Glucagon-like peptide-1 receptor agonist; SGLT2: Sodium-Glucose co-transporter 2 inhibitor; IL-2: Interleukin-2; IFN-</w:t>
      </w:r>
      <w:r>
        <w:rPr>
          <w:rFonts w:ascii="Book Antiqua" w:hAnsi="Book Antiqua" w:cs="Book Antiqua"/>
          <w:color w:val="000000"/>
          <w:lang w:eastAsia="zh-CN"/>
        </w:rPr>
        <w:t>γ</w:t>
      </w:r>
      <w:r>
        <w:rPr>
          <w:rFonts w:ascii="Book Antiqua" w:eastAsia="Book Antiqua" w:hAnsi="Book Antiqua" w:cs="Book Antiqua"/>
          <w:color w:val="000000"/>
        </w:rPr>
        <w:t>: Interferon gamma.</w:t>
      </w:r>
    </w:p>
    <w:p w14:paraId="636C80C8" w14:textId="77777777" w:rsidR="00BA6BF8" w:rsidRDefault="00BA6BF8">
      <w:pPr>
        <w:spacing w:line="360" w:lineRule="auto"/>
        <w:jc w:val="both"/>
        <w:rPr>
          <w:rFonts w:ascii="Book Antiqua" w:eastAsia="Book Antiqua" w:hAnsi="Book Antiqua" w:cs="Book Antiqua"/>
          <w:color w:val="000000"/>
          <w:lang w:val="en-GB"/>
        </w:rPr>
      </w:pPr>
    </w:p>
    <w:p w14:paraId="549575C9" w14:textId="77777777" w:rsidR="00BA6BF8" w:rsidRDefault="00000000">
      <w:pPr>
        <w:snapToGrid w:val="0"/>
        <w:spacing w:line="360" w:lineRule="auto"/>
        <w:jc w:val="both"/>
        <w:rPr>
          <w:rFonts w:ascii="Book Antiqua" w:hAnsi="Book Antiqua"/>
          <w:b/>
          <w:bCs/>
        </w:rPr>
      </w:pPr>
      <w:r>
        <w:rPr>
          <w:rFonts w:ascii="Book Antiqua" w:eastAsia="Book Antiqua" w:hAnsi="Book Antiqua" w:cs="Book Antiqua"/>
          <w:color w:val="000000"/>
          <w:lang w:val="en-GB"/>
        </w:rPr>
        <w:br w:type="page"/>
      </w:r>
      <w:r>
        <w:rPr>
          <w:rFonts w:ascii="Book Antiqua" w:hAnsi="Book Antiqua"/>
          <w:b/>
          <w:bCs/>
        </w:rPr>
        <w:lastRenderedPageBreak/>
        <w:t>Table 1 List of various circulating microRNAs reported in diabetes mellitus individuals</w:t>
      </w:r>
    </w:p>
    <w:tbl>
      <w:tblPr>
        <w:tblW w:w="9406" w:type="dxa"/>
        <w:jc w:val="center"/>
        <w:tblBorders>
          <w:top w:val="single" w:sz="4" w:space="0" w:color="auto"/>
          <w:bottom w:val="single" w:sz="4" w:space="0" w:color="auto"/>
        </w:tblBorders>
        <w:tblLayout w:type="fixed"/>
        <w:tblLook w:val="04A0" w:firstRow="1" w:lastRow="0" w:firstColumn="1" w:lastColumn="0" w:noHBand="0" w:noVBand="1"/>
      </w:tblPr>
      <w:tblGrid>
        <w:gridCol w:w="5932"/>
        <w:gridCol w:w="2340"/>
        <w:gridCol w:w="1134"/>
      </w:tblGrid>
      <w:tr w:rsidR="00BA6BF8" w14:paraId="6BBA002D" w14:textId="77777777">
        <w:trPr>
          <w:cantSplit/>
          <w:trHeight w:val="300"/>
          <w:jc w:val="center"/>
        </w:trPr>
        <w:tc>
          <w:tcPr>
            <w:tcW w:w="5932" w:type="dxa"/>
            <w:tcBorders>
              <w:bottom w:val="single" w:sz="4" w:space="0" w:color="auto"/>
            </w:tcBorders>
            <w:vAlign w:val="center"/>
          </w:tcPr>
          <w:p w14:paraId="04D486E6" w14:textId="77777777" w:rsidR="00BA6BF8" w:rsidRDefault="00000000">
            <w:pPr>
              <w:snapToGrid w:val="0"/>
              <w:spacing w:line="360" w:lineRule="auto"/>
              <w:jc w:val="both"/>
              <w:rPr>
                <w:rFonts w:ascii="Book Antiqua" w:hAnsi="Book Antiqua"/>
                <w:b/>
                <w:bCs/>
                <w:color w:val="000000"/>
              </w:rPr>
            </w:pPr>
            <w:r>
              <w:rPr>
                <w:rFonts w:ascii="Book Antiqua" w:hAnsi="Book Antiqua"/>
                <w:b/>
                <w:bCs/>
                <w:color w:val="000000"/>
              </w:rPr>
              <w:t>Mechanism/pathway (diabetes type)</w:t>
            </w:r>
          </w:p>
        </w:tc>
        <w:tc>
          <w:tcPr>
            <w:tcW w:w="2340" w:type="dxa"/>
            <w:tcBorders>
              <w:bottom w:val="single" w:sz="4" w:space="0" w:color="auto"/>
            </w:tcBorders>
            <w:vAlign w:val="center"/>
          </w:tcPr>
          <w:p w14:paraId="6847E817" w14:textId="77777777" w:rsidR="00BA6BF8" w:rsidRDefault="00000000">
            <w:pPr>
              <w:snapToGrid w:val="0"/>
              <w:spacing w:line="360" w:lineRule="auto"/>
              <w:rPr>
                <w:rFonts w:ascii="Book Antiqua" w:hAnsi="Book Antiqua"/>
                <w:b/>
                <w:bCs/>
                <w:color w:val="000000"/>
              </w:rPr>
            </w:pPr>
            <w:r>
              <w:rPr>
                <w:rFonts w:ascii="Book Antiqua" w:hAnsi="Book Antiqua"/>
                <w:b/>
                <w:bCs/>
                <w:color w:val="000000"/>
              </w:rPr>
              <w:t>Expression of miRNAs</w:t>
            </w:r>
          </w:p>
        </w:tc>
        <w:tc>
          <w:tcPr>
            <w:tcW w:w="1134" w:type="dxa"/>
            <w:tcBorders>
              <w:bottom w:val="single" w:sz="4" w:space="0" w:color="auto"/>
            </w:tcBorders>
            <w:vAlign w:val="center"/>
          </w:tcPr>
          <w:p w14:paraId="299F9F96" w14:textId="77777777" w:rsidR="00BA6BF8" w:rsidRDefault="00000000">
            <w:pPr>
              <w:snapToGrid w:val="0"/>
              <w:spacing w:line="360" w:lineRule="auto"/>
              <w:jc w:val="both"/>
              <w:rPr>
                <w:rFonts w:ascii="Book Antiqua" w:hAnsi="Book Antiqua"/>
                <w:b/>
                <w:bCs/>
                <w:color w:val="000000"/>
              </w:rPr>
            </w:pPr>
            <w:r>
              <w:rPr>
                <w:rFonts w:ascii="Book Antiqua" w:hAnsi="Book Antiqua"/>
                <w:b/>
                <w:bCs/>
                <w:color w:val="000000"/>
              </w:rPr>
              <w:t>Ref.</w:t>
            </w:r>
          </w:p>
        </w:tc>
      </w:tr>
      <w:tr w:rsidR="00BA6BF8" w14:paraId="6DE702F6" w14:textId="77777777">
        <w:trPr>
          <w:cantSplit/>
          <w:trHeight w:val="50"/>
          <w:jc w:val="center"/>
        </w:trPr>
        <w:tc>
          <w:tcPr>
            <w:tcW w:w="5932" w:type="dxa"/>
            <w:tcBorders>
              <w:top w:val="single" w:sz="4" w:space="0" w:color="auto"/>
              <w:bottom w:val="nil"/>
            </w:tcBorders>
            <w:vAlign w:val="center"/>
          </w:tcPr>
          <w:p w14:paraId="59A5B183"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Endothelial dysfunction (T2DM)</w:t>
            </w:r>
          </w:p>
        </w:tc>
        <w:tc>
          <w:tcPr>
            <w:tcW w:w="2340" w:type="dxa"/>
            <w:tcBorders>
              <w:top w:val="single" w:sz="4" w:space="0" w:color="auto"/>
              <w:bottom w:val="nil"/>
            </w:tcBorders>
            <w:vAlign w:val="center"/>
          </w:tcPr>
          <w:p w14:paraId="4497CF79"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miR-28-3p</w:t>
            </w:r>
          </w:p>
        </w:tc>
        <w:tc>
          <w:tcPr>
            <w:tcW w:w="1134" w:type="dxa"/>
            <w:vMerge w:val="restart"/>
            <w:tcBorders>
              <w:top w:val="single" w:sz="4" w:space="0" w:color="auto"/>
              <w:bottom w:val="nil"/>
            </w:tcBorders>
            <w:vAlign w:val="center"/>
          </w:tcPr>
          <w:p w14:paraId="0EFF297B"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fldData xml:space="preserve">PEVuZE5vdGU+PENpdGU+PEF1dGhvcj5aYW1wZXRha2k8L0F1dGhvcj48WWVhcj4yMDEwPC9ZZWFy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</w:fldData>
              </w:fldChar>
            </w:r>
            <w:r>
              <w:rPr>
                <w:rFonts w:ascii="Book Antiqua" w:hAnsi="Book Antiqua"/>
                <w:color w:val="000000"/>
                <w:vertAlign w:val="superscript"/>
              </w:rPr>
              <w:instrText xml:space="preserve"> ADDIN EN.CITE </w:instrText>
            </w:r>
            <w:r>
              <w:rPr>
                <w:rFonts w:ascii="Book Antiqua" w:hAnsi="Book Antiqua"/>
                <w:color w:val="000000"/>
                <w:vertAlign w:val="superscript"/>
              </w:rPr>
              <w:fldChar w:fldCharType="begin">
                <w:fldData xml:space="preserve">PEVuZE5vdGU+PENpdGU+PEF1dGhvcj5aYW1wZXRha2k8L0F1dGhvcj48WWVhcj4yMDEwPC9ZZWFy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</w:fldData>
              </w:fldChar>
            </w:r>
            <w:r>
              <w:rPr>
                <w:rFonts w:ascii="Book Antiqua" w:hAnsi="Book Antiqua"/>
                <w:color w:val="000000"/>
                <w:vertAlign w:val="superscript"/>
              </w:rPr>
              <w:instrText xml:space="preserve"> ADDIN EN.CITE.DATA </w:instrText>
            </w:r>
            <w:r>
              <w:rPr>
                <w:rFonts w:ascii="Book Antiqua" w:hAnsi="Book Antiqua"/>
                <w:color w:val="000000"/>
                <w:vertAlign w:val="superscript"/>
              </w:rPr>
            </w:r>
            <w:r>
              <w:rPr>
                <w:rFonts w:ascii="Book Antiqua" w:hAnsi="Book Antiqua"/>
                <w:color w:val="000000"/>
                <w:vertAlign w:val="superscript"/>
              </w:rPr>
              <w:fldChar w:fldCharType="end"/>
            </w:r>
            <w:r>
              <w:rPr>
                <w:rFonts w:ascii="Book Antiqua" w:hAnsi="Book Antiqua"/>
                <w:color w:val="000000"/>
                <w:vertAlign w:val="superscript"/>
              </w:rPr>
            </w:r>
            <w:r>
              <w:rPr>
                <w:rFonts w:ascii="Book Antiqua" w:hAnsi="Book Antiqua"/>
                <w:color w:val="000000"/>
                <w:vertAlign w:val="superscript"/>
              </w:rPr>
              <w:fldChar w:fldCharType="separate"/>
            </w:r>
            <w:r>
              <w:rPr>
                <w:rFonts w:ascii="Book Antiqua" w:hAnsi="Book Antiqua"/>
                <w:color w:val="000000"/>
                <w:vertAlign w:val="superscript"/>
              </w:rPr>
              <w:t>[87]</w:t>
            </w:r>
            <w:r>
              <w:rPr>
                <w:rFonts w:ascii="Book Antiqua" w:hAnsi="Book Antiqua"/>
                <w:color w:val="000000"/>
                <w:vertAlign w:val="superscript"/>
              </w:rPr>
              <w:fldChar w:fldCharType="end"/>
            </w:r>
          </w:p>
        </w:tc>
      </w:tr>
      <w:tr w:rsidR="00BA6BF8" w14:paraId="08D05D4B" w14:textId="77777777">
        <w:trPr>
          <w:cantSplit/>
          <w:trHeight w:val="300"/>
          <w:jc w:val="center"/>
        </w:trPr>
        <w:tc>
          <w:tcPr>
            <w:tcW w:w="5932" w:type="dxa"/>
            <w:tcBorders>
              <w:top w:val="nil"/>
            </w:tcBorders>
            <w:vAlign w:val="center"/>
          </w:tcPr>
          <w:p w14:paraId="526988CF" w14:textId="77777777" w:rsidR="00BA6BF8" w:rsidRDefault="00BA6BF8">
            <w:pPr>
              <w:snapToGrid w:val="0"/>
              <w:spacing w:line="360" w:lineRule="auto"/>
              <w:jc w:val="both"/>
              <w:rPr>
                <w:rFonts w:ascii="Book Antiqua" w:hAnsi="Book Antiqua"/>
                <w:color w:val="000000"/>
              </w:rPr>
            </w:pPr>
          </w:p>
        </w:tc>
        <w:tc>
          <w:tcPr>
            <w:tcW w:w="2340" w:type="dxa"/>
            <w:tcBorders>
              <w:top w:val="nil"/>
            </w:tcBorders>
            <w:vAlign w:val="center"/>
          </w:tcPr>
          <w:p w14:paraId="35B24757"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miR-24</w:t>
            </w:r>
          </w:p>
        </w:tc>
        <w:tc>
          <w:tcPr>
            <w:tcW w:w="1134" w:type="dxa"/>
            <w:vMerge/>
            <w:tcBorders>
              <w:top w:val="nil"/>
            </w:tcBorders>
            <w:vAlign w:val="center"/>
          </w:tcPr>
          <w:p w14:paraId="13679BCA" w14:textId="77777777" w:rsidR="00BA6BF8" w:rsidRDefault="00BA6BF8">
            <w:pPr>
              <w:snapToGrid w:val="0"/>
              <w:spacing w:line="360" w:lineRule="auto"/>
              <w:jc w:val="both"/>
              <w:rPr>
                <w:rFonts w:ascii="Book Antiqua" w:hAnsi="Book Antiqua"/>
                <w:color w:val="000000"/>
                <w:vertAlign w:val="superscript"/>
              </w:rPr>
            </w:pPr>
          </w:p>
        </w:tc>
      </w:tr>
      <w:tr w:rsidR="00BA6BF8" w14:paraId="107918D8" w14:textId="77777777">
        <w:trPr>
          <w:cantSplit/>
          <w:trHeight w:val="300"/>
          <w:jc w:val="center"/>
        </w:trPr>
        <w:tc>
          <w:tcPr>
            <w:tcW w:w="5932" w:type="dxa"/>
            <w:vAlign w:val="center"/>
          </w:tcPr>
          <w:p w14:paraId="3C97AF9B" w14:textId="77777777" w:rsidR="00BA6BF8" w:rsidRDefault="00BA6BF8">
            <w:pPr>
              <w:snapToGrid w:val="0"/>
              <w:spacing w:line="360" w:lineRule="auto"/>
              <w:jc w:val="both"/>
              <w:rPr>
                <w:rFonts w:ascii="Book Antiqua" w:hAnsi="Book Antiqua"/>
                <w:color w:val="000000"/>
              </w:rPr>
            </w:pPr>
          </w:p>
        </w:tc>
        <w:tc>
          <w:tcPr>
            <w:tcW w:w="2340" w:type="dxa"/>
            <w:vAlign w:val="center"/>
          </w:tcPr>
          <w:p w14:paraId="2238B157"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miR-21</w:t>
            </w:r>
          </w:p>
        </w:tc>
        <w:tc>
          <w:tcPr>
            <w:tcW w:w="1134" w:type="dxa"/>
            <w:vMerge/>
            <w:vAlign w:val="center"/>
          </w:tcPr>
          <w:p w14:paraId="73F81CE3" w14:textId="77777777" w:rsidR="00BA6BF8" w:rsidRDefault="00BA6BF8">
            <w:pPr>
              <w:snapToGrid w:val="0"/>
              <w:spacing w:line="360" w:lineRule="auto"/>
              <w:jc w:val="both"/>
              <w:rPr>
                <w:rFonts w:ascii="Book Antiqua" w:hAnsi="Book Antiqua"/>
                <w:color w:val="000000"/>
                <w:vertAlign w:val="superscript"/>
              </w:rPr>
            </w:pPr>
          </w:p>
        </w:tc>
      </w:tr>
      <w:tr w:rsidR="00BA6BF8" w14:paraId="103AA02B" w14:textId="77777777">
        <w:trPr>
          <w:cantSplit/>
          <w:trHeight w:val="300"/>
          <w:jc w:val="center"/>
        </w:trPr>
        <w:tc>
          <w:tcPr>
            <w:tcW w:w="5932" w:type="dxa"/>
            <w:vAlign w:val="center"/>
          </w:tcPr>
          <w:p w14:paraId="10BACAFF" w14:textId="77777777" w:rsidR="00BA6BF8" w:rsidRDefault="00BA6BF8">
            <w:pPr>
              <w:snapToGrid w:val="0"/>
              <w:spacing w:line="360" w:lineRule="auto"/>
              <w:jc w:val="both"/>
              <w:rPr>
                <w:rFonts w:ascii="Book Antiqua" w:hAnsi="Book Antiqua"/>
                <w:color w:val="000000"/>
              </w:rPr>
            </w:pPr>
          </w:p>
        </w:tc>
        <w:tc>
          <w:tcPr>
            <w:tcW w:w="2340" w:type="dxa"/>
            <w:vAlign w:val="center"/>
          </w:tcPr>
          <w:p w14:paraId="690A58C6"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miR-20b</w:t>
            </w:r>
          </w:p>
        </w:tc>
        <w:tc>
          <w:tcPr>
            <w:tcW w:w="1134" w:type="dxa"/>
            <w:vMerge/>
            <w:vAlign w:val="center"/>
          </w:tcPr>
          <w:p w14:paraId="4CFC905A" w14:textId="77777777" w:rsidR="00BA6BF8" w:rsidRDefault="00BA6BF8">
            <w:pPr>
              <w:snapToGrid w:val="0"/>
              <w:spacing w:line="360" w:lineRule="auto"/>
              <w:jc w:val="both"/>
              <w:rPr>
                <w:rFonts w:ascii="Book Antiqua" w:hAnsi="Book Antiqua"/>
                <w:color w:val="000000"/>
                <w:vertAlign w:val="superscript"/>
              </w:rPr>
            </w:pPr>
          </w:p>
        </w:tc>
      </w:tr>
      <w:tr w:rsidR="00BA6BF8" w14:paraId="336FE12F" w14:textId="77777777">
        <w:trPr>
          <w:cantSplit/>
          <w:trHeight w:val="300"/>
          <w:jc w:val="center"/>
        </w:trPr>
        <w:tc>
          <w:tcPr>
            <w:tcW w:w="5932" w:type="dxa"/>
            <w:vAlign w:val="center"/>
          </w:tcPr>
          <w:p w14:paraId="341F526F" w14:textId="77777777" w:rsidR="00BA6BF8" w:rsidRDefault="00BA6BF8">
            <w:pPr>
              <w:snapToGrid w:val="0"/>
              <w:spacing w:line="360" w:lineRule="auto"/>
              <w:jc w:val="both"/>
              <w:rPr>
                <w:rFonts w:ascii="Book Antiqua" w:hAnsi="Book Antiqua"/>
                <w:color w:val="000000"/>
              </w:rPr>
            </w:pPr>
          </w:p>
        </w:tc>
        <w:tc>
          <w:tcPr>
            <w:tcW w:w="2340" w:type="dxa"/>
            <w:vAlign w:val="center"/>
          </w:tcPr>
          <w:p w14:paraId="30AA4ABC"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miR-15a</w:t>
            </w:r>
          </w:p>
        </w:tc>
        <w:tc>
          <w:tcPr>
            <w:tcW w:w="1134" w:type="dxa"/>
            <w:vMerge/>
            <w:vAlign w:val="center"/>
          </w:tcPr>
          <w:p w14:paraId="1001E30B" w14:textId="77777777" w:rsidR="00BA6BF8" w:rsidRDefault="00BA6BF8">
            <w:pPr>
              <w:snapToGrid w:val="0"/>
              <w:spacing w:line="360" w:lineRule="auto"/>
              <w:jc w:val="both"/>
              <w:rPr>
                <w:rFonts w:ascii="Book Antiqua" w:hAnsi="Book Antiqua"/>
                <w:color w:val="000000"/>
                <w:vertAlign w:val="superscript"/>
              </w:rPr>
            </w:pPr>
          </w:p>
        </w:tc>
      </w:tr>
      <w:tr w:rsidR="00BA6BF8" w14:paraId="0539CBC6" w14:textId="77777777">
        <w:trPr>
          <w:cantSplit/>
          <w:trHeight w:val="300"/>
          <w:jc w:val="center"/>
        </w:trPr>
        <w:tc>
          <w:tcPr>
            <w:tcW w:w="5932" w:type="dxa"/>
            <w:vAlign w:val="center"/>
          </w:tcPr>
          <w:p w14:paraId="661E86CA" w14:textId="77777777" w:rsidR="00BA6BF8" w:rsidRDefault="00BA6BF8">
            <w:pPr>
              <w:snapToGrid w:val="0"/>
              <w:spacing w:line="360" w:lineRule="auto"/>
              <w:jc w:val="both"/>
              <w:rPr>
                <w:rFonts w:ascii="Book Antiqua" w:hAnsi="Book Antiqua"/>
                <w:color w:val="000000"/>
              </w:rPr>
            </w:pPr>
          </w:p>
        </w:tc>
        <w:tc>
          <w:tcPr>
            <w:tcW w:w="2340" w:type="dxa"/>
            <w:vAlign w:val="center"/>
          </w:tcPr>
          <w:p w14:paraId="3C25CE7F"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miR-126</w:t>
            </w:r>
          </w:p>
        </w:tc>
        <w:tc>
          <w:tcPr>
            <w:tcW w:w="1134" w:type="dxa"/>
            <w:vMerge/>
            <w:vAlign w:val="center"/>
          </w:tcPr>
          <w:p w14:paraId="116FB32F" w14:textId="77777777" w:rsidR="00BA6BF8" w:rsidRDefault="00BA6BF8">
            <w:pPr>
              <w:snapToGrid w:val="0"/>
              <w:spacing w:line="360" w:lineRule="auto"/>
              <w:jc w:val="both"/>
              <w:rPr>
                <w:rFonts w:ascii="Book Antiqua" w:hAnsi="Book Antiqua"/>
                <w:color w:val="000000"/>
                <w:vertAlign w:val="superscript"/>
              </w:rPr>
            </w:pPr>
          </w:p>
        </w:tc>
      </w:tr>
      <w:tr w:rsidR="00BA6BF8" w14:paraId="79402582" w14:textId="77777777">
        <w:trPr>
          <w:cantSplit/>
          <w:trHeight w:val="50"/>
          <w:jc w:val="center"/>
        </w:trPr>
        <w:tc>
          <w:tcPr>
            <w:tcW w:w="5932" w:type="dxa"/>
            <w:vAlign w:val="center"/>
          </w:tcPr>
          <w:p w14:paraId="154B192A" w14:textId="77777777" w:rsidR="00BA6BF8" w:rsidRDefault="00BA6BF8">
            <w:pPr>
              <w:snapToGrid w:val="0"/>
              <w:spacing w:line="360" w:lineRule="auto"/>
              <w:jc w:val="both"/>
              <w:rPr>
                <w:rFonts w:ascii="Book Antiqua" w:hAnsi="Book Antiqua"/>
                <w:color w:val="000000"/>
              </w:rPr>
            </w:pPr>
          </w:p>
        </w:tc>
        <w:tc>
          <w:tcPr>
            <w:tcW w:w="2340" w:type="dxa"/>
            <w:vAlign w:val="center"/>
          </w:tcPr>
          <w:p w14:paraId="7D111681"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miR-191</w:t>
            </w:r>
          </w:p>
        </w:tc>
        <w:tc>
          <w:tcPr>
            <w:tcW w:w="1134" w:type="dxa"/>
            <w:vMerge/>
            <w:vAlign w:val="center"/>
          </w:tcPr>
          <w:p w14:paraId="13994030" w14:textId="77777777" w:rsidR="00BA6BF8" w:rsidRDefault="00BA6BF8">
            <w:pPr>
              <w:snapToGrid w:val="0"/>
              <w:spacing w:line="360" w:lineRule="auto"/>
              <w:jc w:val="both"/>
              <w:rPr>
                <w:rFonts w:ascii="Book Antiqua" w:hAnsi="Book Antiqua"/>
                <w:color w:val="000000"/>
                <w:vertAlign w:val="superscript"/>
              </w:rPr>
            </w:pPr>
          </w:p>
        </w:tc>
      </w:tr>
      <w:tr w:rsidR="00BA6BF8" w14:paraId="006026A0" w14:textId="77777777">
        <w:trPr>
          <w:cantSplit/>
          <w:trHeight w:val="300"/>
          <w:jc w:val="center"/>
        </w:trPr>
        <w:tc>
          <w:tcPr>
            <w:tcW w:w="5932" w:type="dxa"/>
            <w:vAlign w:val="center"/>
          </w:tcPr>
          <w:p w14:paraId="2CEBF5A6" w14:textId="77777777" w:rsidR="00BA6BF8" w:rsidRDefault="00BA6BF8">
            <w:pPr>
              <w:snapToGrid w:val="0"/>
              <w:spacing w:line="360" w:lineRule="auto"/>
              <w:jc w:val="both"/>
              <w:rPr>
                <w:rFonts w:ascii="Book Antiqua" w:hAnsi="Book Antiqua"/>
                <w:color w:val="000000"/>
              </w:rPr>
            </w:pPr>
          </w:p>
        </w:tc>
        <w:tc>
          <w:tcPr>
            <w:tcW w:w="2340" w:type="dxa"/>
            <w:vAlign w:val="center"/>
          </w:tcPr>
          <w:p w14:paraId="733B99DF"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miR-197</w:t>
            </w:r>
          </w:p>
        </w:tc>
        <w:tc>
          <w:tcPr>
            <w:tcW w:w="1134" w:type="dxa"/>
            <w:vMerge/>
            <w:vAlign w:val="center"/>
          </w:tcPr>
          <w:p w14:paraId="508B0589" w14:textId="77777777" w:rsidR="00BA6BF8" w:rsidRDefault="00BA6BF8">
            <w:pPr>
              <w:snapToGrid w:val="0"/>
              <w:spacing w:line="360" w:lineRule="auto"/>
              <w:jc w:val="both"/>
              <w:rPr>
                <w:rFonts w:ascii="Book Antiqua" w:hAnsi="Book Antiqua"/>
                <w:color w:val="000000"/>
                <w:vertAlign w:val="superscript"/>
              </w:rPr>
            </w:pPr>
          </w:p>
        </w:tc>
      </w:tr>
      <w:tr w:rsidR="00BA6BF8" w14:paraId="425B2635" w14:textId="77777777">
        <w:trPr>
          <w:cantSplit/>
          <w:trHeight w:val="300"/>
          <w:jc w:val="center"/>
        </w:trPr>
        <w:tc>
          <w:tcPr>
            <w:tcW w:w="5932" w:type="dxa"/>
            <w:vAlign w:val="center"/>
          </w:tcPr>
          <w:p w14:paraId="03B6710A" w14:textId="77777777" w:rsidR="00BA6BF8" w:rsidRDefault="00BA6BF8">
            <w:pPr>
              <w:snapToGrid w:val="0"/>
              <w:spacing w:line="360" w:lineRule="auto"/>
              <w:jc w:val="both"/>
              <w:rPr>
                <w:rFonts w:ascii="Book Antiqua" w:hAnsi="Book Antiqua"/>
                <w:color w:val="000000"/>
              </w:rPr>
            </w:pPr>
          </w:p>
        </w:tc>
        <w:tc>
          <w:tcPr>
            <w:tcW w:w="2340" w:type="dxa"/>
            <w:vAlign w:val="center"/>
          </w:tcPr>
          <w:p w14:paraId="091B46DB"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miR-223</w:t>
            </w:r>
          </w:p>
        </w:tc>
        <w:tc>
          <w:tcPr>
            <w:tcW w:w="1134" w:type="dxa"/>
            <w:vMerge/>
            <w:vAlign w:val="center"/>
          </w:tcPr>
          <w:p w14:paraId="767A0693" w14:textId="77777777" w:rsidR="00BA6BF8" w:rsidRDefault="00BA6BF8">
            <w:pPr>
              <w:snapToGrid w:val="0"/>
              <w:spacing w:line="360" w:lineRule="auto"/>
              <w:jc w:val="both"/>
              <w:rPr>
                <w:rFonts w:ascii="Book Antiqua" w:hAnsi="Book Antiqua"/>
                <w:color w:val="000000"/>
                <w:vertAlign w:val="superscript"/>
              </w:rPr>
            </w:pPr>
          </w:p>
        </w:tc>
      </w:tr>
      <w:tr w:rsidR="00BA6BF8" w14:paraId="77C5B503" w14:textId="77777777">
        <w:trPr>
          <w:cantSplit/>
          <w:trHeight w:val="300"/>
          <w:jc w:val="center"/>
        </w:trPr>
        <w:tc>
          <w:tcPr>
            <w:tcW w:w="5932" w:type="dxa"/>
            <w:vAlign w:val="center"/>
          </w:tcPr>
          <w:p w14:paraId="3DD59798" w14:textId="77777777" w:rsidR="00BA6BF8" w:rsidRDefault="00BA6BF8">
            <w:pPr>
              <w:snapToGrid w:val="0"/>
              <w:spacing w:line="360" w:lineRule="auto"/>
              <w:jc w:val="both"/>
              <w:rPr>
                <w:rFonts w:ascii="Book Antiqua" w:hAnsi="Book Antiqua"/>
                <w:color w:val="000000"/>
              </w:rPr>
            </w:pPr>
          </w:p>
        </w:tc>
        <w:tc>
          <w:tcPr>
            <w:tcW w:w="2340" w:type="dxa"/>
            <w:vAlign w:val="center"/>
          </w:tcPr>
          <w:p w14:paraId="462581FA"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miR-320</w:t>
            </w:r>
          </w:p>
        </w:tc>
        <w:tc>
          <w:tcPr>
            <w:tcW w:w="1134" w:type="dxa"/>
            <w:vMerge/>
            <w:vAlign w:val="center"/>
          </w:tcPr>
          <w:p w14:paraId="27F832E8" w14:textId="77777777" w:rsidR="00BA6BF8" w:rsidRDefault="00BA6BF8">
            <w:pPr>
              <w:snapToGrid w:val="0"/>
              <w:spacing w:line="360" w:lineRule="auto"/>
              <w:jc w:val="both"/>
              <w:rPr>
                <w:rFonts w:ascii="Book Antiqua" w:hAnsi="Book Antiqua"/>
                <w:color w:val="000000"/>
                <w:vertAlign w:val="superscript"/>
              </w:rPr>
            </w:pPr>
          </w:p>
        </w:tc>
      </w:tr>
      <w:tr w:rsidR="00BA6BF8" w14:paraId="4BC3EBC0" w14:textId="77777777">
        <w:trPr>
          <w:cantSplit/>
          <w:trHeight w:val="300"/>
          <w:jc w:val="center"/>
        </w:trPr>
        <w:tc>
          <w:tcPr>
            <w:tcW w:w="5932" w:type="dxa"/>
            <w:vAlign w:val="center"/>
          </w:tcPr>
          <w:p w14:paraId="76BE1FE9" w14:textId="77777777" w:rsidR="00BA6BF8" w:rsidRDefault="00BA6BF8">
            <w:pPr>
              <w:snapToGrid w:val="0"/>
              <w:spacing w:line="360" w:lineRule="auto"/>
              <w:jc w:val="both"/>
              <w:rPr>
                <w:rFonts w:ascii="Book Antiqua" w:hAnsi="Book Antiqua"/>
                <w:color w:val="000000"/>
              </w:rPr>
            </w:pPr>
          </w:p>
        </w:tc>
        <w:tc>
          <w:tcPr>
            <w:tcW w:w="2340" w:type="dxa"/>
            <w:vAlign w:val="center"/>
          </w:tcPr>
          <w:p w14:paraId="76DB162B"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miR-486</w:t>
            </w:r>
          </w:p>
        </w:tc>
        <w:tc>
          <w:tcPr>
            <w:tcW w:w="1134" w:type="dxa"/>
            <w:vMerge/>
            <w:vAlign w:val="center"/>
          </w:tcPr>
          <w:p w14:paraId="4DEE5872" w14:textId="77777777" w:rsidR="00BA6BF8" w:rsidRDefault="00BA6BF8">
            <w:pPr>
              <w:snapToGrid w:val="0"/>
              <w:spacing w:line="360" w:lineRule="auto"/>
              <w:jc w:val="both"/>
              <w:rPr>
                <w:rFonts w:ascii="Book Antiqua" w:hAnsi="Book Antiqua"/>
                <w:color w:val="000000"/>
                <w:vertAlign w:val="superscript"/>
              </w:rPr>
            </w:pPr>
          </w:p>
        </w:tc>
      </w:tr>
      <w:tr w:rsidR="00BA6BF8" w14:paraId="7BA1BBE7" w14:textId="77777777">
        <w:trPr>
          <w:cantSplit/>
          <w:trHeight w:val="300"/>
          <w:jc w:val="center"/>
        </w:trPr>
        <w:tc>
          <w:tcPr>
            <w:tcW w:w="5932" w:type="dxa"/>
            <w:vAlign w:val="center"/>
          </w:tcPr>
          <w:p w14:paraId="3637F287" w14:textId="77777777" w:rsidR="00BA6BF8" w:rsidRDefault="00BA6BF8">
            <w:pPr>
              <w:snapToGrid w:val="0"/>
              <w:spacing w:line="360" w:lineRule="auto"/>
              <w:jc w:val="both"/>
              <w:rPr>
                <w:rFonts w:ascii="Book Antiqua" w:hAnsi="Book Antiqua"/>
                <w:color w:val="000000"/>
              </w:rPr>
            </w:pPr>
          </w:p>
        </w:tc>
        <w:tc>
          <w:tcPr>
            <w:tcW w:w="2340" w:type="dxa"/>
            <w:vAlign w:val="center"/>
          </w:tcPr>
          <w:p w14:paraId="1B5FED5A"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miR-150</w:t>
            </w:r>
          </w:p>
        </w:tc>
        <w:tc>
          <w:tcPr>
            <w:tcW w:w="1134" w:type="dxa"/>
            <w:vMerge/>
            <w:vAlign w:val="center"/>
          </w:tcPr>
          <w:p w14:paraId="4A215409" w14:textId="77777777" w:rsidR="00BA6BF8" w:rsidRDefault="00BA6BF8">
            <w:pPr>
              <w:snapToGrid w:val="0"/>
              <w:spacing w:line="360" w:lineRule="auto"/>
              <w:jc w:val="both"/>
              <w:rPr>
                <w:rFonts w:ascii="Book Antiqua" w:hAnsi="Book Antiqua"/>
                <w:color w:val="000000"/>
                <w:vertAlign w:val="superscript"/>
              </w:rPr>
            </w:pPr>
          </w:p>
        </w:tc>
      </w:tr>
      <w:tr w:rsidR="00BA6BF8" w14:paraId="3649BBF5" w14:textId="77777777">
        <w:trPr>
          <w:cantSplit/>
          <w:trHeight w:val="300"/>
          <w:jc w:val="center"/>
        </w:trPr>
        <w:tc>
          <w:tcPr>
            <w:tcW w:w="5932" w:type="dxa"/>
            <w:vAlign w:val="center"/>
          </w:tcPr>
          <w:p w14:paraId="06B27692" w14:textId="77777777" w:rsidR="00BA6BF8" w:rsidRDefault="00BA6BF8">
            <w:pPr>
              <w:snapToGrid w:val="0"/>
              <w:spacing w:line="360" w:lineRule="auto"/>
              <w:jc w:val="both"/>
              <w:rPr>
                <w:rFonts w:ascii="Book Antiqua" w:hAnsi="Book Antiqua"/>
                <w:color w:val="000000"/>
              </w:rPr>
            </w:pPr>
          </w:p>
        </w:tc>
        <w:tc>
          <w:tcPr>
            <w:tcW w:w="2340" w:type="dxa"/>
            <w:vAlign w:val="center"/>
          </w:tcPr>
          <w:p w14:paraId="077B7704"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miR-29b</w:t>
            </w:r>
          </w:p>
        </w:tc>
        <w:tc>
          <w:tcPr>
            <w:tcW w:w="1134" w:type="dxa"/>
            <w:vMerge/>
            <w:vAlign w:val="center"/>
          </w:tcPr>
          <w:p w14:paraId="26917BDE" w14:textId="77777777" w:rsidR="00BA6BF8" w:rsidRDefault="00BA6BF8">
            <w:pPr>
              <w:snapToGrid w:val="0"/>
              <w:spacing w:line="360" w:lineRule="auto"/>
              <w:jc w:val="both"/>
              <w:rPr>
                <w:rFonts w:ascii="Book Antiqua" w:hAnsi="Book Antiqua"/>
                <w:color w:val="000000"/>
                <w:vertAlign w:val="superscript"/>
              </w:rPr>
            </w:pPr>
          </w:p>
        </w:tc>
      </w:tr>
      <w:tr w:rsidR="00BA6BF8" w14:paraId="3B5D8067" w14:textId="77777777">
        <w:trPr>
          <w:cantSplit/>
          <w:trHeight w:val="300"/>
          <w:jc w:val="center"/>
        </w:trPr>
        <w:tc>
          <w:tcPr>
            <w:tcW w:w="5932" w:type="dxa"/>
            <w:vAlign w:val="center"/>
          </w:tcPr>
          <w:p w14:paraId="45BC6458" w14:textId="77777777" w:rsidR="00BA6BF8" w:rsidRDefault="00BA6BF8">
            <w:pPr>
              <w:snapToGrid w:val="0"/>
              <w:spacing w:line="360" w:lineRule="auto"/>
              <w:jc w:val="both"/>
              <w:rPr>
                <w:rFonts w:ascii="Book Antiqua" w:hAnsi="Book Antiqua"/>
                <w:color w:val="000000"/>
              </w:rPr>
            </w:pPr>
          </w:p>
        </w:tc>
        <w:tc>
          <w:tcPr>
            <w:tcW w:w="2340" w:type="dxa"/>
            <w:vAlign w:val="center"/>
          </w:tcPr>
          <w:p w14:paraId="6762629A"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miR-107</w:t>
            </w:r>
          </w:p>
        </w:tc>
        <w:tc>
          <w:tcPr>
            <w:tcW w:w="1134" w:type="dxa"/>
            <w:vMerge/>
            <w:vAlign w:val="center"/>
          </w:tcPr>
          <w:p w14:paraId="446D9798" w14:textId="77777777" w:rsidR="00BA6BF8" w:rsidRDefault="00BA6BF8">
            <w:pPr>
              <w:snapToGrid w:val="0"/>
              <w:spacing w:line="360" w:lineRule="auto"/>
              <w:jc w:val="both"/>
              <w:rPr>
                <w:rFonts w:ascii="Book Antiqua" w:hAnsi="Book Antiqua"/>
                <w:color w:val="000000"/>
                <w:vertAlign w:val="superscript"/>
              </w:rPr>
            </w:pPr>
          </w:p>
        </w:tc>
      </w:tr>
      <w:tr w:rsidR="00BA6BF8" w14:paraId="26616B59" w14:textId="77777777">
        <w:trPr>
          <w:cantSplit/>
          <w:trHeight w:val="300"/>
          <w:jc w:val="center"/>
        </w:trPr>
        <w:tc>
          <w:tcPr>
            <w:tcW w:w="5932" w:type="dxa"/>
            <w:vAlign w:val="center"/>
          </w:tcPr>
          <w:p w14:paraId="0D13D5A0" w14:textId="77777777" w:rsidR="00BA6BF8" w:rsidRDefault="00BA6BF8">
            <w:pPr>
              <w:snapToGrid w:val="0"/>
              <w:spacing w:line="360" w:lineRule="auto"/>
              <w:jc w:val="both"/>
              <w:rPr>
                <w:rFonts w:ascii="Book Antiqua" w:hAnsi="Book Antiqua"/>
                <w:color w:val="000000"/>
              </w:rPr>
            </w:pPr>
          </w:p>
        </w:tc>
        <w:tc>
          <w:tcPr>
            <w:tcW w:w="2340" w:type="dxa"/>
            <w:vAlign w:val="center"/>
          </w:tcPr>
          <w:p w14:paraId="4CF7054F"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miR-132</w:t>
            </w:r>
          </w:p>
        </w:tc>
        <w:tc>
          <w:tcPr>
            <w:tcW w:w="1134" w:type="dxa"/>
            <w:vMerge/>
            <w:vAlign w:val="center"/>
          </w:tcPr>
          <w:p w14:paraId="3B938BA7" w14:textId="77777777" w:rsidR="00BA6BF8" w:rsidRDefault="00BA6BF8">
            <w:pPr>
              <w:snapToGrid w:val="0"/>
              <w:spacing w:line="360" w:lineRule="auto"/>
              <w:jc w:val="both"/>
              <w:rPr>
                <w:rFonts w:ascii="Book Antiqua" w:hAnsi="Book Antiqua"/>
                <w:color w:val="000000"/>
                <w:vertAlign w:val="superscript"/>
              </w:rPr>
            </w:pPr>
          </w:p>
        </w:tc>
      </w:tr>
      <w:tr w:rsidR="00BA6BF8" w14:paraId="1BC59923" w14:textId="77777777">
        <w:trPr>
          <w:cantSplit/>
          <w:trHeight w:val="300"/>
          <w:jc w:val="center"/>
        </w:trPr>
        <w:tc>
          <w:tcPr>
            <w:tcW w:w="5932" w:type="dxa"/>
            <w:vAlign w:val="center"/>
          </w:tcPr>
          <w:p w14:paraId="025FFB78" w14:textId="77777777" w:rsidR="00BA6BF8" w:rsidRDefault="00BA6BF8">
            <w:pPr>
              <w:snapToGrid w:val="0"/>
              <w:spacing w:line="360" w:lineRule="auto"/>
              <w:jc w:val="both"/>
              <w:rPr>
                <w:rFonts w:ascii="Book Antiqua" w:hAnsi="Book Antiqua"/>
                <w:color w:val="000000"/>
              </w:rPr>
            </w:pPr>
          </w:p>
        </w:tc>
        <w:tc>
          <w:tcPr>
            <w:tcW w:w="2340" w:type="dxa"/>
            <w:vAlign w:val="center"/>
          </w:tcPr>
          <w:p w14:paraId="373EDEAB"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miR-144</w:t>
            </w:r>
          </w:p>
        </w:tc>
        <w:tc>
          <w:tcPr>
            <w:tcW w:w="1134" w:type="dxa"/>
            <w:vMerge/>
            <w:vAlign w:val="center"/>
          </w:tcPr>
          <w:p w14:paraId="01F1292F" w14:textId="77777777" w:rsidR="00BA6BF8" w:rsidRDefault="00BA6BF8">
            <w:pPr>
              <w:snapToGrid w:val="0"/>
              <w:spacing w:line="360" w:lineRule="auto"/>
              <w:jc w:val="both"/>
              <w:rPr>
                <w:rFonts w:ascii="Book Antiqua" w:hAnsi="Book Antiqua"/>
                <w:color w:val="000000"/>
                <w:vertAlign w:val="superscript"/>
              </w:rPr>
            </w:pPr>
          </w:p>
        </w:tc>
      </w:tr>
      <w:tr w:rsidR="00BA6BF8" w14:paraId="66B89BF4" w14:textId="77777777">
        <w:trPr>
          <w:cantSplit/>
          <w:trHeight w:val="300"/>
          <w:jc w:val="center"/>
        </w:trPr>
        <w:tc>
          <w:tcPr>
            <w:tcW w:w="5932" w:type="dxa"/>
            <w:vAlign w:val="center"/>
          </w:tcPr>
          <w:p w14:paraId="06909BE1"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Glucose metabolism (T2DM)</w:t>
            </w:r>
          </w:p>
        </w:tc>
        <w:tc>
          <w:tcPr>
            <w:tcW w:w="2340" w:type="dxa"/>
            <w:vAlign w:val="center"/>
          </w:tcPr>
          <w:p w14:paraId="74B8A7C7"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miR-9</w:t>
            </w:r>
          </w:p>
        </w:tc>
        <w:tc>
          <w:tcPr>
            <w:tcW w:w="1134" w:type="dxa"/>
            <w:vMerge w:val="restart"/>
            <w:vAlign w:val="center"/>
          </w:tcPr>
          <w:p w14:paraId="6B098177"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fldData xml:space="preserve">PEVuZE5vdGU+PENpdGU+PEF1dGhvcj5Lb25nPC9BdXRob3I+PFllYXI+MjAxMTwvWWVhcj48UmVj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</w:fldData>
              </w:fldChar>
            </w:r>
            <w:r>
              <w:rPr>
                <w:rFonts w:ascii="Book Antiqua" w:hAnsi="Book Antiqua"/>
                <w:color w:val="000000"/>
                <w:vertAlign w:val="superscript"/>
              </w:rPr>
              <w:instrText xml:space="preserve"> ADDIN EN.CITE </w:instrText>
            </w:r>
            <w:r>
              <w:rPr>
                <w:rFonts w:ascii="Book Antiqua" w:hAnsi="Book Antiqua"/>
                <w:color w:val="000000"/>
                <w:vertAlign w:val="superscript"/>
              </w:rPr>
              <w:fldChar w:fldCharType="begin">
                <w:fldData xml:space="preserve">PEVuZE5vdGU+PENpdGU+PEF1dGhvcj5Lb25nPC9BdXRob3I+PFllYXI+MjAxMTwvWWVhcj48UmVj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</w:fldData>
              </w:fldChar>
            </w:r>
            <w:r>
              <w:rPr>
                <w:rFonts w:ascii="Book Antiqua" w:hAnsi="Book Antiqua"/>
                <w:color w:val="000000"/>
                <w:vertAlign w:val="superscript"/>
              </w:rPr>
              <w:instrText xml:space="preserve"> ADDIN EN.CITE.DATA </w:instrText>
            </w:r>
            <w:r>
              <w:rPr>
                <w:rFonts w:ascii="Book Antiqua" w:hAnsi="Book Antiqua"/>
                <w:color w:val="000000"/>
                <w:vertAlign w:val="superscript"/>
              </w:rPr>
            </w:r>
            <w:r>
              <w:rPr>
                <w:rFonts w:ascii="Book Antiqua" w:hAnsi="Book Antiqua"/>
                <w:color w:val="000000"/>
                <w:vertAlign w:val="superscript"/>
              </w:rPr>
              <w:fldChar w:fldCharType="end"/>
            </w:r>
            <w:r>
              <w:rPr>
                <w:rFonts w:ascii="Book Antiqua" w:hAnsi="Book Antiqua"/>
                <w:color w:val="000000"/>
                <w:vertAlign w:val="superscript"/>
              </w:rPr>
            </w:r>
            <w:r>
              <w:rPr>
                <w:rFonts w:ascii="Book Antiqua" w:hAnsi="Book Antiqua"/>
                <w:color w:val="000000"/>
                <w:vertAlign w:val="superscript"/>
              </w:rPr>
              <w:fldChar w:fldCharType="separate"/>
            </w:r>
            <w:r>
              <w:rPr>
                <w:rFonts w:ascii="Book Antiqua" w:hAnsi="Book Antiqua"/>
                <w:color w:val="000000"/>
                <w:vertAlign w:val="superscript"/>
              </w:rPr>
              <w:t>[88]</w:t>
            </w:r>
            <w:r>
              <w:rPr>
                <w:rFonts w:ascii="Book Antiqua" w:hAnsi="Book Antiqua"/>
                <w:color w:val="000000"/>
                <w:vertAlign w:val="superscript"/>
              </w:rPr>
              <w:fldChar w:fldCharType="end"/>
            </w:r>
          </w:p>
        </w:tc>
      </w:tr>
      <w:tr w:rsidR="00BA6BF8" w14:paraId="791891D2" w14:textId="77777777">
        <w:trPr>
          <w:cantSplit/>
          <w:trHeight w:val="300"/>
          <w:jc w:val="center"/>
        </w:trPr>
        <w:tc>
          <w:tcPr>
            <w:tcW w:w="5932" w:type="dxa"/>
            <w:vAlign w:val="center"/>
          </w:tcPr>
          <w:p w14:paraId="5343C4DE" w14:textId="77777777" w:rsidR="00BA6BF8" w:rsidRDefault="00BA6BF8">
            <w:pPr>
              <w:snapToGrid w:val="0"/>
              <w:spacing w:line="360" w:lineRule="auto"/>
              <w:jc w:val="both"/>
              <w:rPr>
                <w:rFonts w:ascii="Book Antiqua" w:hAnsi="Book Antiqua"/>
                <w:color w:val="000000"/>
              </w:rPr>
            </w:pPr>
          </w:p>
        </w:tc>
        <w:tc>
          <w:tcPr>
            <w:tcW w:w="2340" w:type="dxa"/>
            <w:vAlign w:val="center"/>
          </w:tcPr>
          <w:p w14:paraId="69E461B2"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miR-29a</w:t>
            </w:r>
          </w:p>
        </w:tc>
        <w:tc>
          <w:tcPr>
            <w:tcW w:w="1134" w:type="dxa"/>
            <w:vMerge/>
            <w:vAlign w:val="center"/>
          </w:tcPr>
          <w:p w14:paraId="7984DCD3" w14:textId="77777777" w:rsidR="00BA6BF8" w:rsidRDefault="00BA6BF8">
            <w:pPr>
              <w:snapToGrid w:val="0"/>
              <w:spacing w:line="360" w:lineRule="auto"/>
              <w:jc w:val="both"/>
              <w:rPr>
                <w:rFonts w:ascii="Book Antiqua" w:hAnsi="Book Antiqua"/>
                <w:color w:val="000000"/>
                <w:vertAlign w:val="superscript"/>
              </w:rPr>
            </w:pPr>
          </w:p>
        </w:tc>
      </w:tr>
      <w:tr w:rsidR="00BA6BF8" w14:paraId="04D06FDA" w14:textId="77777777">
        <w:trPr>
          <w:cantSplit/>
          <w:trHeight w:val="300"/>
          <w:jc w:val="center"/>
        </w:trPr>
        <w:tc>
          <w:tcPr>
            <w:tcW w:w="5932" w:type="dxa"/>
            <w:vAlign w:val="center"/>
          </w:tcPr>
          <w:p w14:paraId="3E9F1934" w14:textId="77777777" w:rsidR="00BA6BF8" w:rsidRDefault="00BA6BF8">
            <w:pPr>
              <w:snapToGrid w:val="0"/>
              <w:spacing w:line="360" w:lineRule="auto"/>
              <w:jc w:val="both"/>
              <w:rPr>
                <w:rFonts w:ascii="Book Antiqua" w:hAnsi="Book Antiqua"/>
                <w:color w:val="000000"/>
              </w:rPr>
            </w:pPr>
          </w:p>
        </w:tc>
        <w:tc>
          <w:tcPr>
            <w:tcW w:w="2340" w:type="dxa"/>
            <w:vAlign w:val="center"/>
          </w:tcPr>
          <w:p w14:paraId="7896B9BA"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miR-30d</w:t>
            </w:r>
          </w:p>
        </w:tc>
        <w:tc>
          <w:tcPr>
            <w:tcW w:w="1134" w:type="dxa"/>
            <w:vMerge/>
            <w:vAlign w:val="center"/>
          </w:tcPr>
          <w:p w14:paraId="49600C9B" w14:textId="77777777" w:rsidR="00BA6BF8" w:rsidRDefault="00BA6BF8">
            <w:pPr>
              <w:snapToGrid w:val="0"/>
              <w:spacing w:line="360" w:lineRule="auto"/>
              <w:jc w:val="both"/>
              <w:rPr>
                <w:rFonts w:ascii="Book Antiqua" w:hAnsi="Book Antiqua"/>
                <w:color w:val="000000"/>
                <w:vertAlign w:val="superscript"/>
              </w:rPr>
            </w:pPr>
          </w:p>
        </w:tc>
      </w:tr>
      <w:tr w:rsidR="00BA6BF8" w14:paraId="78DBCA3E" w14:textId="77777777">
        <w:trPr>
          <w:cantSplit/>
          <w:trHeight w:val="300"/>
          <w:jc w:val="center"/>
        </w:trPr>
        <w:tc>
          <w:tcPr>
            <w:tcW w:w="5932" w:type="dxa"/>
            <w:vAlign w:val="center"/>
          </w:tcPr>
          <w:p w14:paraId="4B5FB3FE" w14:textId="77777777" w:rsidR="00BA6BF8" w:rsidRDefault="00BA6BF8">
            <w:pPr>
              <w:snapToGrid w:val="0"/>
              <w:spacing w:line="360" w:lineRule="auto"/>
              <w:jc w:val="both"/>
              <w:rPr>
                <w:rFonts w:ascii="Book Antiqua" w:hAnsi="Book Antiqua"/>
                <w:color w:val="000000"/>
              </w:rPr>
            </w:pPr>
          </w:p>
        </w:tc>
        <w:tc>
          <w:tcPr>
            <w:tcW w:w="2340" w:type="dxa"/>
            <w:vAlign w:val="center"/>
          </w:tcPr>
          <w:p w14:paraId="31890126"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miR-34a</w:t>
            </w:r>
          </w:p>
        </w:tc>
        <w:tc>
          <w:tcPr>
            <w:tcW w:w="1134" w:type="dxa"/>
            <w:vMerge/>
            <w:vAlign w:val="center"/>
          </w:tcPr>
          <w:p w14:paraId="6FFDDB87" w14:textId="77777777" w:rsidR="00BA6BF8" w:rsidRDefault="00BA6BF8">
            <w:pPr>
              <w:snapToGrid w:val="0"/>
              <w:spacing w:line="360" w:lineRule="auto"/>
              <w:jc w:val="both"/>
              <w:rPr>
                <w:rFonts w:ascii="Book Antiqua" w:hAnsi="Book Antiqua"/>
                <w:color w:val="000000"/>
                <w:vertAlign w:val="superscript"/>
              </w:rPr>
            </w:pPr>
          </w:p>
        </w:tc>
      </w:tr>
      <w:tr w:rsidR="00BA6BF8" w14:paraId="7B167F39" w14:textId="77777777">
        <w:trPr>
          <w:cantSplit/>
          <w:trHeight w:val="300"/>
          <w:jc w:val="center"/>
        </w:trPr>
        <w:tc>
          <w:tcPr>
            <w:tcW w:w="5932" w:type="dxa"/>
            <w:vAlign w:val="center"/>
          </w:tcPr>
          <w:p w14:paraId="22EAA4A3" w14:textId="77777777" w:rsidR="00BA6BF8" w:rsidRDefault="00BA6BF8">
            <w:pPr>
              <w:snapToGrid w:val="0"/>
              <w:spacing w:line="360" w:lineRule="auto"/>
              <w:jc w:val="both"/>
              <w:rPr>
                <w:rFonts w:ascii="Book Antiqua" w:hAnsi="Book Antiqua"/>
                <w:color w:val="000000"/>
              </w:rPr>
            </w:pPr>
          </w:p>
        </w:tc>
        <w:tc>
          <w:tcPr>
            <w:tcW w:w="2340" w:type="dxa"/>
            <w:vAlign w:val="center"/>
          </w:tcPr>
          <w:p w14:paraId="1EBABB49"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miR-124a</w:t>
            </w:r>
          </w:p>
        </w:tc>
        <w:tc>
          <w:tcPr>
            <w:tcW w:w="1134" w:type="dxa"/>
            <w:vMerge/>
            <w:vAlign w:val="center"/>
          </w:tcPr>
          <w:p w14:paraId="7CAFB097" w14:textId="77777777" w:rsidR="00BA6BF8" w:rsidRDefault="00BA6BF8">
            <w:pPr>
              <w:snapToGrid w:val="0"/>
              <w:spacing w:line="360" w:lineRule="auto"/>
              <w:jc w:val="both"/>
              <w:rPr>
                <w:rFonts w:ascii="Book Antiqua" w:hAnsi="Book Antiqua"/>
                <w:color w:val="000000"/>
                <w:vertAlign w:val="superscript"/>
              </w:rPr>
            </w:pPr>
          </w:p>
        </w:tc>
      </w:tr>
      <w:tr w:rsidR="00BA6BF8" w14:paraId="0B884538" w14:textId="77777777">
        <w:trPr>
          <w:cantSplit/>
          <w:trHeight w:val="300"/>
          <w:jc w:val="center"/>
        </w:trPr>
        <w:tc>
          <w:tcPr>
            <w:tcW w:w="5932" w:type="dxa"/>
            <w:vAlign w:val="center"/>
          </w:tcPr>
          <w:p w14:paraId="291B9CFA" w14:textId="77777777" w:rsidR="00BA6BF8" w:rsidRDefault="00BA6BF8">
            <w:pPr>
              <w:snapToGrid w:val="0"/>
              <w:spacing w:line="360" w:lineRule="auto"/>
              <w:jc w:val="both"/>
              <w:rPr>
                <w:rFonts w:ascii="Book Antiqua" w:hAnsi="Book Antiqua"/>
                <w:color w:val="000000"/>
              </w:rPr>
            </w:pPr>
          </w:p>
        </w:tc>
        <w:tc>
          <w:tcPr>
            <w:tcW w:w="2340" w:type="dxa"/>
            <w:vAlign w:val="center"/>
          </w:tcPr>
          <w:p w14:paraId="2361F29F"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miR-146a</w:t>
            </w:r>
          </w:p>
        </w:tc>
        <w:tc>
          <w:tcPr>
            <w:tcW w:w="1134" w:type="dxa"/>
            <w:vMerge/>
            <w:vAlign w:val="center"/>
          </w:tcPr>
          <w:p w14:paraId="7FA58264" w14:textId="77777777" w:rsidR="00BA6BF8" w:rsidRDefault="00BA6BF8">
            <w:pPr>
              <w:snapToGrid w:val="0"/>
              <w:spacing w:line="360" w:lineRule="auto"/>
              <w:jc w:val="both"/>
              <w:rPr>
                <w:rFonts w:ascii="Book Antiqua" w:hAnsi="Book Antiqua"/>
                <w:color w:val="000000"/>
                <w:vertAlign w:val="superscript"/>
              </w:rPr>
            </w:pPr>
          </w:p>
        </w:tc>
      </w:tr>
      <w:tr w:rsidR="00BA6BF8" w14:paraId="43EAC041" w14:textId="77777777">
        <w:trPr>
          <w:cantSplit/>
          <w:trHeight w:val="300"/>
          <w:jc w:val="center"/>
        </w:trPr>
        <w:tc>
          <w:tcPr>
            <w:tcW w:w="5932" w:type="dxa"/>
            <w:vAlign w:val="center"/>
          </w:tcPr>
          <w:p w14:paraId="05D437CF" w14:textId="77777777" w:rsidR="00BA6BF8" w:rsidRDefault="00BA6BF8">
            <w:pPr>
              <w:snapToGrid w:val="0"/>
              <w:spacing w:line="360" w:lineRule="auto"/>
              <w:jc w:val="both"/>
              <w:rPr>
                <w:rFonts w:ascii="Book Antiqua" w:hAnsi="Book Antiqua"/>
                <w:color w:val="000000"/>
              </w:rPr>
            </w:pPr>
          </w:p>
        </w:tc>
        <w:tc>
          <w:tcPr>
            <w:tcW w:w="2340" w:type="dxa"/>
            <w:vAlign w:val="center"/>
          </w:tcPr>
          <w:p w14:paraId="396DB819"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miR-375</w:t>
            </w:r>
          </w:p>
        </w:tc>
        <w:tc>
          <w:tcPr>
            <w:tcW w:w="1134" w:type="dxa"/>
            <w:vMerge/>
            <w:vAlign w:val="center"/>
          </w:tcPr>
          <w:p w14:paraId="413C5DE4" w14:textId="77777777" w:rsidR="00BA6BF8" w:rsidRDefault="00BA6BF8">
            <w:pPr>
              <w:snapToGrid w:val="0"/>
              <w:spacing w:line="360" w:lineRule="auto"/>
              <w:jc w:val="both"/>
              <w:rPr>
                <w:rFonts w:ascii="Book Antiqua" w:hAnsi="Book Antiqua"/>
                <w:color w:val="000000"/>
                <w:vertAlign w:val="superscript"/>
              </w:rPr>
            </w:pPr>
          </w:p>
        </w:tc>
      </w:tr>
      <w:tr w:rsidR="00BA6BF8" w14:paraId="7C2F6D40" w14:textId="77777777">
        <w:trPr>
          <w:cantSplit/>
          <w:trHeight w:val="300"/>
          <w:jc w:val="center"/>
        </w:trPr>
        <w:tc>
          <w:tcPr>
            <w:tcW w:w="5932" w:type="dxa"/>
            <w:vAlign w:val="center"/>
          </w:tcPr>
          <w:p w14:paraId="1FDE61F2"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lastRenderedPageBreak/>
              <w:t>Inflammation (T2DM)</w:t>
            </w:r>
          </w:p>
        </w:tc>
        <w:tc>
          <w:tcPr>
            <w:tcW w:w="2340" w:type="dxa"/>
            <w:vAlign w:val="center"/>
          </w:tcPr>
          <w:p w14:paraId="31603CB5"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miR-146a</w:t>
            </w:r>
          </w:p>
        </w:tc>
        <w:tc>
          <w:tcPr>
            <w:tcW w:w="1134" w:type="dxa"/>
            <w:vAlign w:val="center"/>
          </w:tcPr>
          <w:p w14:paraId="5405C3A5"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fldData xml:space="preserve">PEVuZE5vdGU+PENpdGU+PEF1dGhvcj5CYWxhc3VicmFtYW55YW08L0F1dGhvcj48WWVhcj4yMDEx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</w:fldData>
              </w:fldChar>
            </w:r>
            <w:r>
              <w:rPr>
                <w:rFonts w:ascii="Book Antiqua" w:hAnsi="Book Antiqua"/>
                <w:color w:val="000000"/>
                <w:vertAlign w:val="superscript"/>
              </w:rPr>
              <w:instrText xml:space="preserve"> ADDIN EN.CITE </w:instrText>
            </w:r>
            <w:r>
              <w:rPr>
                <w:rFonts w:ascii="Book Antiqua" w:hAnsi="Book Antiqua"/>
                <w:color w:val="000000"/>
                <w:vertAlign w:val="superscript"/>
              </w:rPr>
              <w:fldChar w:fldCharType="begin">
                <w:fldData xml:space="preserve">PEVuZE5vdGU+PENpdGU+PEF1dGhvcj5CYWxhc3VicmFtYW55YW08L0F1dGhvcj48WWVhcj4yMDEx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</w:fldData>
              </w:fldChar>
            </w:r>
            <w:r>
              <w:rPr>
                <w:rFonts w:ascii="Book Antiqua" w:hAnsi="Book Antiqua"/>
                <w:color w:val="000000"/>
                <w:vertAlign w:val="superscript"/>
              </w:rPr>
              <w:instrText xml:space="preserve"> ADDIN EN.CITE.DATA </w:instrText>
            </w:r>
            <w:r>
              <w:rPr>
                <w:rFonts w:ascii="Book Antiqua" w:hAnsi="Book Antiqua"/>
                <w:color w:val="000000"/>
                <w:vertAlign w:val="superscript"/>
              </w:rPr>
            </w:r>
            <w:r>
              <w:rPr>
                <w:rFonts w:ascii="Book Antiqua" w:hAnsi="Book Antiqua"/>
                <w:color w:val="000000"/>
                <w:vertAlign w:val="superscript"/>
              </w:rPr>
              <w:fldChar w:fldCharType="end"/>
            </w:r>
            <w:r>
              <w:rPr>
                <w:rFonts w:ascii="Book Antiqua" w:hAnsi="Book Antiqua"/>
                <w:color w:val="000000"/>
                <w:vertAlign w:val="superscript"/>
              </w:rPr>
            </w:r>
            <w:r>
              <w:rPr>
                <w:rFonts w:ascii="Book Antiqua" w:hAnsi="Book Antiqua"/>
                <w:color w:val="000000"/>
                <w:vertAlign w:val="superscript"/>
              </w:rPr>
              <w:fldChar w:fldCharType="separate"/>
            </w:r>
            <w:r>
              <w:rPr>
                <w:rFonts w:ascii="Book Antiqua" w:hAnsi="Book Antiqua"/>
                <w:color w:val="000000"/>
                <w:vertAlign w:val="superscript"/>
              </w:rPr>
              <w:t>[89]</w:t>
            </w:r>
            <w:r>
              <w:rPr>
                <w:rFonts w:ascii="Book Antiqua" w:hAnsi="Book Antiqua"/>
                <w:color w:val="000000"/>
                <w:vertAlign w:val="superscript"/>
              </w:rPr>
              <w:fldChar w:fldCharType="end"/>
            </w:r>
          </w:p>
        </w:tc>
      </w:tr>
      <w:tr w:rsidR="00BA6BF8" w14:paraId="5D03210C" w14:textId="77777777">
        <w:trPr>
          <w:cantSplit/>
          <w:trHeight w:val="300"/>
          <w:jc w:val="center"/>
        </w:trPr>
        <w:tc>
          <w:tcPr>
            <w:tcW w:w="5932" w:type="dxa"/>
            <w:vAlign w:val="center"/>
          </w:tcPr>
          <w:p w14:paraId="427F280F"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Glucose metabolism (T2DM)</w:t>
            </w:r>
          </w:p>
        </w:tc>
        <w:tc>
          <w:tcPr>
            <w:tcW w:w="2340" w:type="dxa"/>
            <w:vAlign w:val="center"/>
          </w:tcPr>
          <w:p w14:paraId="2330B260"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miR-27a</w:t>
            </w:r>
          </w:p>
        </w:tc>
        <w:tc>
          <w:tcPr>
            <w:tcW w:w="1134" w:type="dxa"/>
            <w:vMerge w:val="restart"/>
            <w:vAlign w:val="center"/>
          </w:tcPr>
          <w:p w14:paraId="1E37C812"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fldData xml:space="preserve">PEVuZE5vdGU+PENpdGU+PEF1dGhvcj5LYXJvbGluYTwvQXV0aG9yPjxZZWFyPjIwMTI8L1llYXI+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</w:fldData>
              </w:fldChar>
            </w:r>
            <w:r>
              <w:rPr>
                <w:rFonts w:ascii="Book Antiqua" w:hAnsi="Book Antiqua"/>
                <w:color w:val="000000"/>
                <w:vertAlign w:val="superscript"/>
              </w:rPr>
              <w:instrText xml:space="preserve"> ADDIN EN.CITE </w:instrText>
            </w:r>
            <w:r>
              <w:rPr>
                <w:rFonts w:ascii="Book Antiqua" w:hAnsi="Book Antiqua"/>
                <w:color w:val="000000"/>
                <w:vertAlign w:val="superscript"/>
              </w:rPr>
              <w:fldChar w:fldCharType="begin">
                <w:fldData xml:space="preserve">PEVuZE5vdGU+PENpdGU+PEF1dGhvcj5LYXJvbGluYTwvQXV0aG9yPjxZZWFyPjIwMTI8L1llYXI+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</w:fldData>
              </w:fldChar>
            </w:r>
            <w:r>
              <w:rPr>
                <w:rFonts w:ascii="Book Antiqua" w:hAnsi="Book Antiqua"/>
                <w:color w:val="000000"/>
                <w:vertAlign w:val="superscript"/>
              </w:rPr>
              <w:instrText xml:space="preserve"> ADDIN EN.CITE.DATA </w:instrText>
            </w:r>
            <w:r>
              <w:rPr>
                <w:rFonts w:ascii="Book Antiqua" w:hAnsi="Book Antiqua"/>
                <w:color w:val="000000"/>
                <w:vertAlign w:val="superscript"/>
              </w:rPr>
            </w:r>
            <w:r>
              <w:rPr>
                <w:rFonts w:ascii="Book Antiqua" w:hAnsi="Book Antiqua"/>
                <w:color w:val="000000"/>
                <w:vertAlign w:val="superscript"/>
              </w:rPr>
              <w:fldChar w:fldCharType="end"/>
            </w:r>
            <w:r>
              <w:rPr>
                <w:rFonts w:ascii="Book Antiqua" w:hAnsi="Book Antiqua"/>
                <w:color w:val="000000"/>
                <w:vertAlign w:val="superscript"/>
              </w:rPr>
            </w:r>
            <w:r>
              <w:rPr>
                <w:rFonts w:ascii="Book Antiqua" w:hAnsi="Book Antiqua"/>
                <w:color w:val="000000"/>
                <w:vertAlign w:val="superscript"/>
              </w:rPr>
              <w:fldChar w:fldCharType="separate"/>
            </w:r>
            <w:r>
              <w:rPr>
                <w:rFonts w:ascii="Book Antiqua" w:hAnsi="Book Antiqua"/>
                <w:color w:val="000000"/>
                <w:vertAlign w:val="superscript"/>
              </w:rPr>
              <w:t>[90]</w:t>
            </w:r>
            <w:r>
              <w:rPr>
                <w:rFonts w:ascii="Book Antiqua" w:hAnsi="Book Antiqua"/>
                <w:color w:val="000000"/>
                <w:vertAlign w:val="superscript"/>
              </w:rPr>
              <w:fldChar w:fldCharType="end"/>
            </w:r>
          </w:p>
        </w:tc>
      </w:tr>
      <w:tr w:rsidR="00BA6BF8" w14:paraId="008C0BB1" w14:textId="77777777">
        <w:trPr>
          <w:cantSplit/>
          <w:trHeight w:val="300"/>
          <w:jc w:val="center"/>
        </w:trPr>
        <w:tc>
          <w:tcPr>
            <w:tcW w:w="5932" w:type="dxa"/>
            <w:vAlign w:val="center"/>
          </w:tcPr>
          <w:p w14:paraId="5C17A046" w14:textId="77777777" w:rsidR="00BA6BF8" w:rsidRDefault="00BA6BF8">
            <w:pPr>
              <w:snapToGrid w:val="0"/>
              <w:spacing w:line="360" w:lineRule="auto"/>
              <w:jc w:val="both"/>
              <w:rPr>
                <w:rFonts w:ascii="Book Antiqua" w:hAnsi="Book Antiqua"/>
                <w:color w:val="000000"/>
              </w:rPr>
            </w:pPr>
          </w:p>
        </w:tc>
        <w:tc>
          <w:tcPr>
            <w:tcW w:w="2340" w:type="dxa"/>
            <w:vAlign w:val="center"/>
          </w:tcPr>
          <w:p w14:paraId="116C923F"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miR-320a</w:t>
            </w:r>
          </w:p>
        </w:tc>
        <w:tc>
          <w:tcPr>
            <w:tcW w:w="1134" w:type="dxa"/>
            <w:vMerge/>
            <w:vAlign w:val="center"/>
          </w:tcPr>
          <w:p w14:paraId="0D33352F" w14:textId="77777777" w:rsidR="00BA6BF8" w:rsidRDefault="00BA6BF8">
            <w:pPr>
              <w:snapToGrid w:val="0"/>
              <w:spacing w:line="360" w:lineRule="auto"/>
              <w:jc w:val="both"/>
              <w:rPr>
                <w:rFonts w:ascii="Book Antiqua" w:hAnsi="Book Antiqua"/>
                <w:color w:val="000000"/>
                <w:vertAlign w:val="superscript"/>
              </w:rPr>
            </w:pPr>
          </w:p>
        </w:tc>
      </w:tr>
      <w:tr w:rsidR="00BA6BF8" w14:paraId="0A1331B4" w14:textId="77777777">
        <w:trPr>
          <w:cantSplit/>
          <w:trHeight w:val="300"/>
          <w:jc w:val="center"/>
        </w:trPr>
        <w:tc>
          <w:tcPr>
            <w:tcW w:w="5932" w:type="dxa"/>
            <w:vAlign w:val="center"/>
          </w:tcPr>
          <w:p w14:paraId="17A940F2"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Glucose metabolism (T2DM)</w:t>
            </w:r>
          </w:p>
        </w:tc>
        <w:tc>
          <w:tcPr>
            <w:tcW w:w="2340" w:type="dxa"/>
            <w:vAlign w:val="center"/>
          </w:tcPr>
          <w:p w14:paraId="532D4DDE"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miR-126</w:t>
            </w:r>
          </w:p>
        </w:tc>
        <w:tc>
          <w:tcPr>
            <w:tcW w:w="1134" w:type="dxa"/>
            <w:vAlign w:val="center"/>
          </w:tcPr>
          <w:p w14:paraId="0C112DB5"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fldData xml:space="preserve">PEVuZE5vdGU+PENpdGU+PEF1dGhvcj5aaGFuZzwvQXV0aG9yPjxZZWFyPjIwMTM8L1llYXI+PFJl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</w:fldData>
              </w:fldChar>
            </w:r>
            <w:r>
              <w:rPr>
                <w:rFonts w:ascii="Book Antiqua" w:hAnsi="Book Antiqua"/>
                <w:color w:val="000000"/>
                <w:vertAlign w:val="superscript"/>
              </w:rPr>
              <w:instrText xml:space="preserve"> ADDIN EN.CITE </w:instrText>
            </w:r>
            <w:r>
              <w:rPr>
                <w:rFonts w:ascii="Book Antiqua" w:hAnsi="Book Antiqua"/>
                <w:color w:val="000000"/>
                <w:vertAlign w:val="superscript"/>
              </w:rPr>
              <w:fldChar w:fldCharType="begin">
                <w:fldData xml:space="preserve">PEVuZE5vdGU+PENpdGU+PEF1dGhvcj5aaGFuZzwvQXV0aG9yPjxZZWFyPjIwMTM8L1llYXI+PFJl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</w:fldData>
              </w:fldChar>
            </w:r>
            <w:r>
              <w:rPr>
                <w:rFonts w:ascii="Book Antiqua" w:hAnsi="Book Antiqua"/>
                <w:color w:val="000000"/>
                <w:vertAlign w:val="superscript"/>
              </w:rPr>
              <w:instrText xml:space="preserve"> ADDIN EN.CITE.DATA </w:instrText>
            </w:r>
            <w:r>
              <w:rPr>
                <w:rFonts w:ascii="Book Antiqua" w:hAnsi="Book Antiqua"/>
                <w:color w:val="000000"/>
                <w:vertAlign w:val="superscript"/>
              </w:rPr>
            </w:r>
            <w:r>
              <w:rPr>
                <w:rFonts w:ascii="Book Antiqua" w:hAnsi="Book Antiqua"/>
                <w:color w:val="000000"/>
                <w:vertAlign w:val="superscript"/>
              </w:rPr>
              <w:fldChar w:fldCharType="end"/>
            </w:r>
            <w:r>
              <w:rPr>
                <w:rFonts w:ascii="Book Antiqua" w:hAnsi="Book Antiqua"/>
                <w:color w:val="000000"/>
                <w:vertAlign w:val="superscript"/>
              </w:rPr>
            </w:r>
            <w:r>
              <w:rPr>
                <w:rFonts w:ascii="Book Antiqua" w:hAnsi="Book Antiqua"/>
                <w:color w:val="000000"/>
                <w:vertAlign w:val="superscript"/>
              </w:rPr>
              <w:fldChar w:fldCharType="separate"/>
            </w:r>
            <w:r>
              <w:rPr>
                <w:rFonts w:ascii="Book Antiqua" w:hAnsi="Book Antiqua"/>
                <w:color w:val="000000"/>
                <w:vertAlign w:val="superscript"/>
              </w:rPr>
              <w:t>[91-93]</w:t>
            </w:r>
            <w:r>
              <w:rPr>
                <w:rFonts w:ascii="Book Antiqua" w:hAnsi="Book Antiqua"/>
                <w:color w:val="000000"/>
                <w:vertAlign w:val="superscript"/>
              </w:rPr>
              <w:fldChar w:fldCharType="end"/>
            </w:r>
          </w:p>
        </w:tc>
      </w:tr>
      <w:tr w:rsidR="00BA6BF8" w14:paraId="218491E1" w14:textId="77777777">
        <w:trPr>
          <w:cantSplit/>
          <w:trHeight w:val="300"/>
          <w:jc w:val="center"/>
        </w:trPr>
        <w:tc>
          <w:tcPr>
            <w:tcW w:w="5932" w:type="dxa"/>
            <w:vAlign w:val="center"/>
          </w:tcPr>
          <w:p w14:paraId="1D667BAB"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Inflammation (T2DM)</w:t>
            </w:r>
          </w:p>
        </w:tc>
        <w:tc>
          <w:tcPr>
            <w:tcW w:w="2340" w:type="dxa"/>
            <w:vAlign w:val="center"/>
          </w:tcPr>
          <w:p w14:paraId="7FA30837"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miR-103b</w:t>
            </w:r>
          </w:p>
        </w:tc>
        <w:tc>
          <w:tcPr>
            <w:tcW w:w="1134" w:type="dxa"/>
            <w:vAlign w:val="center"/>
          </w:tcPr>
          <w:p w14:paraId="2C7F0F8E"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fldData xml:space="preserve">PEVuZE5vdGU+PENpdGU+PEF1dGhvcj5MdW88L0F1dGhvcj48WWVhcj4yMDE1PC9ZZWFyPjxSZWNO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</w:fldData>
              </w:fldChar>
            </w:r>
            <w:r>
              <w:rPr>
                <w:rFonts w:ascii="Book Antiqua" w:hAnsi="Book Antiqua"/>
                <w:color w:val="000000"/>
                <w:vertAlign w:val="superscript"/>
              </w:rPr>
              <w:instrText xml:space="preserve"> ADDIN EN.CITE </w:instrText>
            </w:r>
            <w:r>
              <w:rPr>
                <w:rFonts w:ascii="Book Antiqua" w:hAnsi="Book Antiqua"/>
                <w:color w:val="000000"/>
                <w:vertAlign w:val="superscript"/>
              </w:rPr>
              <w:fldChar w:fldCharType="begin">
                <w:fldData xml:space="preserve">PEVuZE5vdGU+PENpdGU+PEF1dGhvcj5MdW88L0F1dGhvcj48WWVhcj4yMDE1PC9ZZWFyPjxSZWNO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</w:fldData>
              </w:fldChar>
            </w:r>
            <w:r>
              <w:rPr>
                <w:rFonts w:ascii="Book Antiqua" w:hAnsi="Book Antiqua"/>
                <w:color w:val="000000"/>
                <w:vertAlign w:val="superscript"/>
              </w:rPr>
              <w:instrText xml:space="preserve"> ADDIN EN.CITE.DATA </w:instrText>
            </w:r>
            <w:r>
              <w:rPr>
                <w:rFonts w:ascii="Book Antiqua" w:hAnsi="Book Antiqua"/>
                <w:color w:val="000000"/>
                <w:vertAlign w:val="superscript"/>
              </w:rPr>
            </w:r>
            <w:r>
              <w:rPr>
                <w:rFonts w:ascii="Book Antiqua" w:hAnsi="Book Antiqua"/>
                <w:color w:val="000000"/>
                <w:vertAlign w:val="superscript"/>
              </w:rPr>
              <w:fldChar w:fldCharType="end"/>
            </w:r>
            <w:r>
              <w:rPr>
                <w:rFonts w:ascii="Book Antiqua" w:hAnsi="Book Antiqua"/>
                <w:color w:val="000000"/>
                <w:vertAlign w:val="superscript"/>
              </w:rPr>
            </w:r>
            <w:r>
              <w:rPr>
                <w:rFonts w:ascii="Book Antiqua" w:hAnsi="Book Antiqua"/>
                <w:color w:val="000000"/>
                <w:vertAlign w:val="superscript"/>
              </w:rPr>
              <w:fldChar w:fldCharType="separate"/>
            </w:r>
            <w:r>
              <w:rPr>
                <w:rFonts w:ascii="Book Antiqua" w:hAnsi="Book Antiqua"/>
                <w:color w:val="000000"/>
                <w:vertAlign w:val="superscript"/>
              </w:rPr>
              <w:t>[94]</w:t>
            </w:r>
            <w:r>
              <w:rPr>
                <w:rFonts w:ascii="Book Antiqua" w:hAnsi="Book Antiqua"/>
                <w:color w:val="000000"/>
                <w:vertAlign w:val="superscript"/>
              </w:rPr>
              <w:fldChar w:fldCharType="end"/>
            </w:r>
          </w:p>
        </w:tc>
      </w:tr>
      <w:tr w:rsidR="00BA6BF8" w14:paraId="700F9C02" w14:textId="77777777">
        <w:trPr>
          <w:cantSplit/>
          <w:trHeight w:val="300"/>
          <w:jc w:val="center"/>
        </w:trPr>
        <w:tc>
          <w:tcPr>
            <w:tcW w:w="5932" w:type="dxa"/>
            <w:vAlign w:val="center"/>
          </w:tcPr>
          <w:p w14:paraId="75DD2FAA"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Inflammation (T2DM)</w:t>
            </w:r>
          </w:p>
        </w:tc>
        <w:tc>
          <w:tcPr>
            <w:tcW w:w="2340" w:type="dxa"/>
            <w:vAlign w:val="center"/>
          </w:tcPr>
          <w:p w14:paraId="417A7F2C"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miR-126-3p</w:t>
            </w:r>
          </w:p>
        </w:tc>
        <w:tc>
          <w:tcPr>
            <w:tcW w:w="1134" w:type="dxa"/>
            <w:vMerge w:val="restart"/>
            <w:vAlign w:val="center"/>
          </w:tcPr>
          <w:p w14:paraId="136DA2EA"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fldData xml:space="preserve">PEVuZE5vdGU+PENpdGU+PEF1dGhvcj5PbGl2aWVyaTwvQXV0aG9yPjxZZWFyPjIwMTU8L1llYXI+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</w:fldData>
              </w:fldChar>
            </w:r>
            <w:r>
              <w:rPr>
                <w:rFonts w:ascii="Book Antiqua" w:hAnsi="Book Antiqua"/>
                <w:color w:val="000000"/>
                <w:vertAlign w:val="superscript"/>
              </w:rPr>
              <w:instrText xml:space="preserve"> ADDIN EN.CITE </w:instrText>
            </w:r>
            <w:r>
              <w:rPr>
                <w:rFonts w:ascii="Book Antiqua" w:hAnsi="Book Antiqua"/>
                <w:color w:val="000000"/>
                <w:vertAlign w:val="superscript"/>
              </w:rPr>
              <w:fldChar w:fldCharType="begin">
                <w:fldData xml:space="preserve">PEVuZE5vdGU+PENpdGU+PEF1dGhvcj5PbGl2aWVyaTwvQXV0aG9yPjxZZWFyPjIwMTU8L1llYXI+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</w:fldData>
              </w:fldChar>
            </w:r>
            <w:r>
              <w:rPr>
                <w:rFonts w:ascii="Book Antiqua" w:hAnsi="Book Antiqua"/>
                <w:color w:val="000000"/>
                <w:vertAlign w:val="superscript"/>
              </w:rPr>
              <w:instrText xml:space="preserve"> ADDIN EN.CITE.DATA </w:instrText>
            </w:r>
            <w:r>
              <w:rPr>
                <w:rFonts w:ascii="Book Antiqua" w:hAnsi="Book Antiqua"/>
                <w:color w:val="000000"/>
                <w:vertAlign w:val="superscript"/>
              </w:rPr>
            </w:r>
            <w:r>
              <w:rPr>
                <w:rFonts w:ascii="Book Antiqua" w:hAnsi="Book Antiqua"/>
                <w:color w:val="000000"/>
                <w:vertAlign w:val="superscript"/>
              </w:rPr>
              <w:fldChar w:fldCharType="end"/>
            </w:r>
            <w:r>
              <w:rPr>
                <w:rFonts w:ascii="Book Antiqua" w:hAnsi="Book Antiqua"/>
                <w:color w:val="000000"/>
                <w:vertAlign w:val="superscript"/>
              </w:rPr>
            </w:r>
            <w:r>
              <w:rPr>
                <w:rFonts w:ascii="Book Antiqua" w:hAnsi="Book Antiqua"/>
                <w:color w:val="000000"/>
                <w:vertAlign w:val="superscript"/>
              </w:rPr>
              <w:fldChar w:fldCharType="separate"/>
            </w:r>
            <w:r>
              <w:rPr>
                <w:rFonts w:ascii="Book Antiqua" w:hAnsi="Book Antiqua"/>
                <w:color w:val="000000"/>
                <w:vertAlign w:val="superscript"/>
              </w:rPr>
              <w:t>[95]</w:t>
            </w:r>
            <w:r>
              <w:rPr>
                <w:rFonts w:ascii="Book Antiqua" w:hAnsi="Book Antiqua"/>
                <w:color w:val="000000"/>
                <w:vertAlign w:val="superscript"/>
              </w:rPr>
              <w:fldChar w:fldCharType="end"/>
            </w:r>
          </w:p>
        </w:tc>
      </w:tr>
      <w:tr w:rsidR="00BA6BF8" w14:paraId="26E33CA6" w14:textId="77777777">
        <w:trPr>
          <w:cantSplit/>
          <w:trHeight w:val="300"/>
          <w:jc w:val="center"/>
        </w:trPr>
        <w:tc>
          <w:tcPr>
            <w:tcW w:w="5932" w:type="dxa"/>
            <w:vAlign w:val="center"/>
          </w:tcPr>
          <w:p w14:paraId="21E0F0FD" w14:textId="77777777" w:rsidR="00BA6BF8" w:rsidRDefault="00BA6BF8">
            <w:pPr>
              <w:snapToGrid w:val="0"/>
              <w:spacing w:line="360" w:lineRule="auto"/>
              <w:jc w:val="both"/>
              <w:rPr>
                <w:rFonts w:ascii="Book Antiqua" w:hAnsi="Book Antiqua"/>
                <w:color w:val="000000"/>
              </w:rPr>
            </w:pPr>
          </w:p>
        </w:tc>
        <w:tc>
          <w:tcPr>
            <w:tcW w:w="2340" w:type="dxa"/>
            <w:vAlign w:val="center"/>
          </w:tcPr>
          <w:p w14:paraId="4D89E1EA"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miR-21-5p</w:t>
            </w:r>
          </w:p>
        </w:tc>
        <w:tc>
          <w:tcPr>
            <w:tcW w:w="1134" w:type="dxa"/>
            <w:vMerge/>
            <w:vAlign w:val="center"/>
          </w:tcPr>
          <w:p w14:paraId="3DACBD34" w14:textId="77777777" w:rsidR="00BA6BF8" w:rsidRDefault="00BA6BF8">
            <w:pPr>
              <w:snapToGrid w:val="0"/>
              <w:spacing w:line="360" w:lineRule="auto"/>
              <w:jc w:val="both"/>
              <w:rPr>
                <w:rFonts w:ascii="Book Antiqua" w:hAnsi="Book Antiqua"/>
                <w:color w:val="000000"/>
                <w:vertAlign w:val="superscript"/>
              </w:rPr>
            </w:pPr>
          </w:p>
        </w:tc>
      </w:tr>
      <w:tr w:rsidR="00BA6BF8" w14:paraId="09D0111C" w14:textId="77777777">
        <w:trPr>
          <w:cantSplit/>
          <w:trHeight w:val="300"/>
          <w:jc w:val="center"/>
        </w:trPr>
        <w:tc>
          <w:tcPr>
            <w:tcW w:w="5932" w:type="dxa"/>
            <w:vAlign w:val="center"/>
          </w:tcPr>
          <w:p w14:paraId="769A6E17"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Inflammation (T2DM)</w:t>
            </w:r>
          </w:p>
        </w:tc>
        <w:tc>
          <w:tcPr>
            <w:tcW w:w="2340" w:type="dxa"/>
            <w:vAlign w:val="center"/>
          </w:tcPr>
          <w:p w14:paraId="1D7E54A1"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miR-126</w:t>
            </w:r>
          </w:p>
        </w:tc>
        <w:tc>
          <w:tcPr>
            <w:tcW w:w="1134" w:type="dxa"/>
            <w:vAlign w:val="center"/>
          </w:tcPr>
          <w:p w14:paraId="12816A1A"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fldData xml:space="preserve">PEVuZE5vdGU+PENpdGU+PEF1dGhvcj5XaXRrb3dza2k8L0F1dGhvcj48WWVhcj4yMDE2PC9ZZWFy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</w:fldData>
              </w:fldChar>
            </w:r>
            <w:r>
              <w:rPr>
                <w:rFonts w:ascii="Book Antiqua" w:hAnsi="Book Antiqua"/>
                <w:color w:val="000000"/>
                <w:vertAlign w:val="superscript"/>
              </w:rPr>
              <w:instrText xml:space="preserve"> ADDIN EN.CITE </w:instrText>
            </w:r>
            <w:r>
              <w:rPr>
                <w:rFonts w:ascii="Book Antiqua" w:hAnsi="Book Antiqua"/>
                <w:color w:val="000000"/>
                <w:vertAlign w:val="superscript"/>
              </w:rPr>
              <w:fldChar w:fldCharType="begin">
                <w:fldData xml:space="preserve">PEVuZE5vdGU+PENpdGU+PEF1dGhvcj5XaXRrb3dza2k8L0F1dGhvcj48WWVhcj4yMDE2PC9ZZWFy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</w:fldData>
              </w:fldChar>
            </w:r>
            <w:r>
              <w:rPr>
                <w:rFonts w:ascii="Book Antiqua" w:hAnsi="Book Antiqua"/>
                <w:color w:val="000000"/>
                <w:vertAlign w:val="superscript"/>
              </w:rPr>
              <w:instrText xml:space="preserve"> ADDIN EN.CITE.DATA </w:instrText>
            </w:r>
            <w:r>
              <w:rPr>
                <w:rFonts w:ascii="Book Antiqua" w:hAnsi="Book Antiqua"/>
                <w:color w:val="000000"/>
                <w:vertAlign w:val="superscript"/>
              </w:rPr>
            </w:r>
            <w:r>
              <w:rPr>
                <w:rFonts w:ascii="Book Antiqua" w:hAnsi="Book Antiqua"/>
                <w:color w:val="000000"/>
                <w:vertAlign w:val="superscript"/>
              </w:rPr>
              <w:fldChar w:fldCharType="end"/>
            </w:r>
            <w:r>
              <w:rPr>
                <w:rFonts w:ascii="Book Antiqua" w:hAnsi="Book Antiqua"/>
                <w:color w:val="000000"/>
                <w:vertAlign w:val="superscript"/>
              </w:rPr>
            </w:r>
            <w:r>
              <w:rPr>
                <w:rFonts w:ascii="Book Antiqua" w:hAnsi="Book Antiqua"/>
                <w:color w:val="000000"/>
                <w:vertAlign w:val="superscript"/>
              </w:rPr>
              <w:fldChar w:fldCharType="separate"/>
            </w:r>
            <w:r>
              <w:rPr>
                <w:rFonts w:ascii="Book Antiqua" w:hAnsi="Book Antiqua"/>
                <w:color w:val="000000"/>
                <w:vertAlign w:val="superscript"/>
              </w:rPr>
              <w:t>[96]</w:t>
            </w:r>
            <w:r>
              <w:rPr>
                <w:rFonts w:ascii="Book Antiqua" w:hAnsi="Book Antiqua"/>
                <w:color w:val="000000"/>
                <w:vertAlign w:val="superscript"/>
              </w:rPr>
              <w:fldChar w:fldCharType="end"/>
            </w:r>
          </w:p>
        </w:tc>
      </w:tr>
      <w:tr w:rsidR="00BA6BF8" w14:paraId="6D41081B" w14:textId="77777777">
        <w:trPr>
          <w:cantSplit/>
          <w:trHeight w:val="300"/>
          <w:jc w:val="center"/>
        </w:trPr>
        <w:tc>
          <w:tcPr>
            <w:tcW w:w="5932" w:type="dxa"/>
            <w:vAlign w:val="center"/>
          </w:tcPr>
          <w:p w14:paraId="0E2D125A"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Endothelial dysfunction (T2DM)</w:t>
            </w:r>
          </w:p>
        </w:tc>
        <w:tc>
          <w:tcPr>
            <w:tcW w:w="2340" w:type="dxa"/>
            <w:vAlign w:val="center"/>
          </w:tcPr>
          <w:p w14:paraId="7225BC7E"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miR-126</w:t>
            </w:r>
          </w:p>
        </w:tc>
        <w:tc>
          <w:tcPr>
            <w:tcW w:w="1134" w:type="dxa"/>
            <w:vMerge w:val="restart"/>
            <w:vAlign w:val="center"/>
          </w:tcPr>
          <w:p w14:paraId="2CBD17A6"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r>
            <w:r>
              <w:rPr>
                <w:rFonts w:ascii="Book Antiqua" w:hAnsi="Book Antiqua"/>
                <w:color w:val="000000"/>
                <w:vertAlign w:val="superscript"/>
              </w:rPr>
              <w:instrText xml:space="preserve"> ADDIN EN.CITE &lt;EndNote&gt;&lt;Cite&gt;&lt;Author&gt;Jansen&lt;/Author&gt;&lt;Year&gt;2016&lt;/Year&gt;&lt;RecNum&gt;598&lt;/RecNum&gt;&lt;DisplayText&gt;[97]&lt;/DisplayText&gt;&lt;record&gt;&lt;rec-number&gt;598&lt;/rec-number&gt;&lt;foreign-keys&gt;&lt;key app="EN" db-id="w259sedv5dvevhertempp0wjwxf5apt95z5a" timestamp="1671229031"&gt;598&lt;/key&gt;&lt;/foreign-keys&gt;&lt;ref-type name="Journal Article"&gt;17&lt;/ref-type&gt;&lt;contributors&gt;&lt;authors&gt;&lt;author&gt;Jansen, Felix&lt;/author&gt;&lt;author&gt;Wang, Han&lt;/author&gt;&lt;author&gt;Przybilla, David&lt;/author&gt;&lt;author&gt;Franklin, Bernardo S.&lt;/author&gt;&lt;author&gt;Dolf, Andreas&lt;/author&gt;&lt;author&gt;Pfeifer, Philipp&lt;/author&gt;&lt;author&gt;Schmitz, Theresa&lt;/author&gt;&lt;author&gt;Flender, Anna&lt;/author&gt;&lt;author&gt;Endl, Elmar&lt;/author&gt;&lt;author&gt;Nickenig, Georg&lt;/author&gt;&lt;author&gt;Werner, Nikos&lt;/author&gt;&lt;/authors&gt;&lt;/contributors&gt;&lt;titles&gt;&lt;title&gt;Vascular endothelial microparticles-incorporated microRNAs are altered in patients with diabetes mellitus&lt;/title&gt;&lt;secondary-title&gt;Cardiovascular Diabetology&lt;/secondary-title&gt;&lt;/titles&gt;&lt;periodical&gt;&lt;full-title&gt;Cardiovascular Diabetology&lt;/full-title&gt;&lt;/periodical&gt;&lt;pages&gt;49&lt;/pages&gt;&lt;volume&gt;15&lt;/volume&gt;&lt;number&gt;1&lt;/number&gt;&lt;dates&gt;&lt;year&gt;2016&lt;/year&gt;&lt;pub-dates&gt;&lt;date&gt;2016/03/22&lt;/date&gt;&lt;/pub-dates&gt;&lt;/dates&gt;&lt;isbn&gt;1475-2840&lt;/isbn&gt;&lt;urls&gt;&lt;related-urls&gt;&lt;url&gt;https://doi.org/10.1186/s12933-016-0367-8&lt;/url&gt;&lt;/related-urls&gt;&lt;/urls&gt;&lt;electronic-resource-num&gt;10.1186/s12933-016-0367-8&lt;/electronic-resource-num&gt;&lt;/record&gt;&lt;/Cite&gt;&lt;/EndNote&gt;</w:instrText>
            </w:r>
            <w:r>
              <w:rPr>
                <w:rFonts w:ascii="Book Antiqua" w:hAnsi="Book Antiqua"/>
                <w:color w:val="000000"/>
                <w:vertAlign w:val="superscript"/>
              </w:rPr>
              <w:fldChar w:fldCharType="separate"/>
            </w:r>
            <w:r>
              <w:rPr>
                <w:rFonts w:ascii="Book Antiqua" w:hAnsi="Book Antiqua"/>
                <w:color w:val="000000"/>
                <w:vertAlign w:val="superscript"/>
              </w:rPr>
              <w:t>[97]</w:t>
            </w:r>
            <w:r>
              <w:rPr>
                <w:rFonts w:ascii="Book Antiqua" w:hAnsi="Book Antiqua"/>
                <w:color w:val="000000"/>
                <w:vertAlign w:val="superscript"/>
              </w:rPr>
              <w:fldChar w:fldCharType="end"/>
            </w:r>
          </w:p>
        </w:tc>
      </w:tr>
      <w:tr w:rsidR="00BA6BF8" w14:paraId="2FC8F292" w14:textId="77777777">
        <w:trPr>
          <w:cantSplit/>
          <w:trHeight w:val="300"/>
          <w:jc w:val="center"/>
        </w:trPr>
        <w:tc>
          <w:tcPr>
            <w:tcW w:w="5932" w:type="dxa"/>
            <w:vAlign w:val="center"/>
          </w:tcPr>
          <w:p w14:paraId="72E0D49D" w14:textId="77777777" w:rsidR="00BA6BF8" w:rsidRDefault="00BA6BF8">
            <w:pPr>
              <w:snapToGrid w:val="0"/>
              <w:spacing w:line="360" w:lineRule="auto"/>
              <w:jc w:val="both"/>
              <w:rPr>
                <w:rFonts w:ascii="Book Antiqua" w:hAnsi="Book Antiqua"/>
                <w:color w:val="000000"/>
              </w:rPr>
            </w:pPr>
          </w:p>
        </w:tc>
        <w:tc>
          <w:tcPr>
            <w:tcW w:w="2340" w:type="dxa"/>
            <w:vAlign w:val="center"/>
          </w:tcPr>
          <w:p w14:paraId="36497EF3"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miR-26a</w:t>
            </w:r>
          </w:p>
        </w:tc>
        <w:tc>
          <w:tcPr>
            <w:tcW w:w="1134" w:type="dxa"/>
            <w:vMerge/>
            <w:vAlign w:val="center"/>
          </w:tcPr>
          <w:p w14:paraId="3C980A1E" w14:textId="77777777" w:rsidR="00BA6BF8" w:rsidRDefault="00BA6BF8">
            <w:pPr>
              <w:snapToGrid w:val="0"/>
              <w:spacing w:line="360" w:lineRule="auto"/>
              <w:jc w:val="both"/>
              <w:rPr>
                <w:rFonts w:ascii="Book Antiqua" w:hAnsi="Book Antiqua"/>
                <w:color w:val="000000"/>
                <w:vertAlign w:val="superscript"/>
              </w:rPr>
            </w:pPr>
          </w:p>
        </w:tc>
      </w:tr>
      <w:tr w:rsidR="00BA6BF8" w14:paraId="1BEF5AC8" w14:textId="77777777">
        <w:trPr>
          <w:cantSplit/>
          <w:trHeight w:val="300"/>
          <w:jc w:val="center"/>
        </w:trPr>
        <w:tc>
          <w:tcPr>
            <w:tcW w:w="5932" w:type="dxa"/>
            <w:vAlign w:val="center"/>
          </w:tcPr>
          <w:p w14:paraId="4B0EA46E"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Glucose metabolism (T2DM)</w:t>
            </w:r>
          </w:p>
        </w:tc>
        <w:tc>
          <w:tcPr>
            <w:tcW w:w="2340" w:type="dxa"/>
            <w:vAlign w:val="center"/>
          </w:tcPr>
          <w:p w14:paraId="0BC6DE31"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miR-21</w:t>
            </w:r>
          </w:p>
        </w:tc>
        <w:tc>
          <w:tcPr>
            <w:tcW w:w="1134" w:type="dxa"/>
            <w:vAlign w:val="center"/>
          </w:tcPr>
          <w:p w14:paraId="6746A330"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fldData xml:space="preserve">PEVuZE5vdGU+PENpdGU+PEF1dGhvcj5HaG9yYmFuaTwvQXV0aG9yPjxZZWFyPjIwMTg8L1llYXI+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</w:fldData>
              </w:fldChar>
            </w:r>
            <w:r>
              <w:rPr>
                <w:rFonts w:ascii="Book Antiqua" w:hAnsi="Book Antiqua"/>
                <w:color w:val="000000"/>
                <w:vertAlign w:val="superscript"/>
              </w:rPr>
              <w:instrText xml:space="preserve"> ADDIN EN.CITE </w:instrText>
            </w:r>
            <w:r>
              <w:rPr>
                <w:rFonts w:ascii="Book Antiqua" w:hAnsi="Book Antiqua"/>
                <w:color w:val="000000"/>
                <w:vertAlign w:val="superscript"/>
              </w:rPr>
              <w:fldChar w:fldCharType="begin">
                <w:fldData xml:space="preserve">PEVuZE5vdGU+PENpdGU+PEF1dGhvcj5HaG9yYmFuaTwvQXV0aG9yPjxZZWFyPjIwMTg8L1llYXI+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</w:fldData>
              </w:fldChar>
            </w:r>
            <w:r>
              <w:rPr>
                <w:rFonts w:ascii="Book Antiqua" w:hAnsi="Book Antiqua"/>
                <w:color w:val="000000"/>
                <w:vertAlign w:val="superscript"/>
              </w:rPr>
              <w:instrText xml:space="preserve"> ADDIN EN.CITE.DATA </w:instrText>
            </w:r>
            <w:r>
              <w:rPr>
                <w:rFonts w:ascii="Book Antiqua" w:hAnsi="Book Antiqua"/>
                <w:color w:val="000000"/>
                <w:vertAlign w:val="superscript"/>
              </w:rPr>
            </w:r>
            <w:r>
              <w:rPr>
                <w:rFonts w:ascii="Book Antiqua" w:hAnsi="Book Antiqua"/>
                <w:color w:val="000000"/>
                <w:vertAlign w:val="superscript"/>
              </w:rPr>
              <w:fldChar w:fldCharType="end"/>
            </w:r>
            <w:r>
              <w:rPr>
                <w:rFonts w:ascii="Book Antiqua" w:hAnsi="Book Antiqua"/>
                <w:color w:val="000000"/>
                <w:vertAlign w:val="superscript"/>
              </w:rPr>
            </w:r>
            <w:r>
              <w:rPr>
                <w:rFonts w:ascii="Book Antiqua" w:hAnsi="Book Antiqua"/>
                <w:color w:val="000000"/>
                <w:vertAlign w:val="superscript"/>
              </w:rPr>
              <w:fldChar w:fldCharType="separate"/>
            </w:r>
            <w:r>
              <w:rPr>
                <w:rFonts w:ascii="Book Antiqua" w:hAnsi="Book Antiqua"/>
                <w:color w:val="000000"/>
                <w:vertAlign w:val="superscript"/>
              </w:rPr>
              <w:t>[98]</w:t>
            </w:r>
            <w:r>
              <w:rPr>
                <w:rFonts w:ascii="Book Antiqua" w:hAnsi="Book Antiqua"/>
                <w:color w:val="000000"/>
                <w:vertAlign w:val="superscript"/>
              </w:rPr>
              <w:fldChar w:fldCharType="end"/>
            </w:r>
          </w:p>
        </w:tc>
      </w:tr>
      <w:tr w:rsidR="00BA6BF8" w14:paraId="3E271553" w14:textId="77777777">
        <w:trPr>
          <w:cantSplit/>
          <w:trHeight w:val="300"/>
          <w:jc w:val="center"/>
        </w:trPr>
        <w:tc>
          <w:tcPr>
            <w:tcW w:w="5932" w:type="dxa"/>
            <w:vAlign w:val="center"/>
          </w:tcPr>
          <w:p w14:paraId="487A652D"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Inflammation (T2DM)</w:t>
            </w:r>
          </w:p>
        </w:tc>
        <w:tc>
          <w:tcPr>
            <w:tcW w:w="2340" w:type="dxa"/>
            <w:vAlign w:val="center"/>
          </w:tcPr>
          <w:p w14:paraId="1A8843DF"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miR-126-3p</w:t>
            </w:r>
          </w:p>
        </w:tc>
        <w:tc>
          <w:tcPr>
            <w:tcW w:w="1134" w:type="dxa"/>
            <w:vAlign w:val="center"/>
          </w:tcPr>
          <w:p w14:paraId="78A0714A"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fldData xml:space="preserve">PEVuZE5vdGU+PENpdGU+PEF1dGhvcj5HaWFubmVsbGE8L0F1dGhvcj48WWVhcj4yMDE3PC9ZZWFy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</w:fldData>
              </w:fldChar>
            </w:r>
            <w:r>
              <w:rPr>
                <w:rFonts w:ascii="Book Antiqua" w:hAnsi="Book Antiqua"/>
                <w:color w:val="000000"/>
                <w:vertAlign w:val="superscript"/>
              </w:rPr>
              <w:instrText xml:space="preserve"> ADDIN EN.CITE </w:instrText>
            </w:r>
            <w:r>
              <w:rPr>
                <w:rFonts w:ascii="Book Antiqua" w:hAnsi="Book Antiqua"/>
                <w:color w:val="000000"/>
                <w:vertAlign w:val="superscript"/>
              </w:rPr>
              <w:fldChar w:fldCharType="begin">
                <w:fldData xml:space="preserve">PEVuZE5vdGU+PENpdGU+PEF1dGhvcj5HaWFubmVsbGE8L0F1dGhvcj48WWVhcj4yMDE3PC9ZZWFy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</w:fldData>
              </w:fldChar>
            </w:r>
            <w:r>
              <w:rPr>
                <w:rFonts w:ascii="Book Antiqua" w:hAnsi="Book Antiqua"/>
                <w:color w:val="000000"/>
                <w:vertAlign w:val="superscript"/>
              </w:rPr>
              <w:instrText xml:space="preserve"> ADDIN EN.CITE.DATA </w:instrText>
            </w:r>
            <w:r>
              <w:rPr>
                <w:rFonts w:ascii="Book Antiqua" w:hAnsi="Book Antiqua"/>
                <w:color w:val="000000"/>
                <w:vertAlign w:val="superscript"/>
              </w:rPr>
            </w:r>
            <w:r>
              <w:rPr>
                <w:rFonts w:ascii="Book Antiqua" w:hAnsi="Book Antiqua"/>
                <w:color w:val="000000"/>
                <w:vertAlign w:val="superscript"/>
              </w:rPr>
              <w:fldChar w:fldCharType="end"/>
            </w:r>
            <w:r>
              <w:rPr>
                <w:rFonts w:ascii="Book Antiqua" w:hAnsi="Book Antiqua"/>
                <w:color w:val="000000"/>
                <w:vertAlign w:val="superscript"/>
              </w:rPr>
            </w:r>
            <w:r>
              <w:rPr>
                <w:rFonts w:ascii="Book Antiqua" w:hAnsi="Book Antiqua"/>
                <w:color w:val="000000"/>
                <w:vertAlign w:val="superscript"/>
              </w:rPr>
              <w:fldChar w:fldCharType="separate"/>
            </w:r>
            <w:r>
              <w:rPr>
                <w:rFonts w:ascii="Book Antiqua" w:hAnsi="Book Antiqua"/>
                <w:color w:val="000000"/>
                <w:vertAlign w:val="superscript"/>
              </w:rPr>
              <w:t>[99]</w:t>
            </w:r>
            <w:r>
              <w:rPr>
                <w:rFonts w:ascii="Book Antiqua" w:hAnsi="Book Antiqua"/>
                <w:color w:val="000000"/>
                <w:vertAlign w:val="superscript"/>
              </w:rPr>
              <w:fldChar w:fldCharType="end"/>
            </w:r>
          </w:p>
        </w:tc>
      </w:tr>
      <w:tr w:rsidR="00BA6BF8" w14:paraId="2866431E" w14:textId="77777777">
        <w:trPr>
          <w:cantSplit/>
          <w:trHeight w:val="300"/>
          <w:jc w:val="center"/>
        </w:trPr>
        <w:tc>
          <w:tcPr>
            <w:tcW w:w="5932" w:type="dxa"/>
            <w:vAlign w:val="center"/>
          </w:tcPr>
          <w:p w14:paraId="7C69EB4A"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Endothelial dysfunction (T2DM)</w:t>
            </w:r>
          </w:p>
        </w:tc>
        <w:tc>
          <w:tcPr>
            <w:tcW w:w="2340" w:type="dxa"/>
            <w:vAlign w:val="center"/>
          </w:tcPr>
          <w:p w14:paraId="0674636F"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miR-24</w:t>
            </w:r>
          </w:p>
        </w:tc>
        <w:tc>
          <w:tcPr>
            <w:tcW w:w="1134" w:type="dxa"/>
            <w:vAlign w:val="center"/>
          </w:tcPr>
          <w:p w14:paraId="3A173C04"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fldData xml:space="preserve">PEVuZE5vdGU+PENpdGU+PEF1dGhvcj5EZW5nPC9BdXRob3I+PFllYXI+MjAxNzwvWWVhcj48UmVj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</w:fldData>
              </w:fldChar>
            </w:r>
            <w:r>
              <w:rPr>
                <w:rFonts w:ascii="Book Antiqua" w:hAnsi="Book Antiqua"/>
                <w:color w:val="000000"/>
                <w:vertAlign w:val="superscript"/>
              </w:rPr>
              <w:instrText xml:space="preserve"> ADDIN EN.CITE </w:instrText>
            </w:r>
            <w:r>
              <w:rPr>
                <w:rFonts w:ascii="Book Antiqua" w:hAnsi="Book Antiqua"/>
                <w:color w:val="000000"/>
                <w:vertAlign w:val="superscript"/>
              </w:rPr>
              <w:fldChar w:fldCharType="begin">
                <w:fldData xml:space="preserve">PEVuZE5vdGU+PENpdGU+PEF1dGhvcj5EZW5nPC9BdXRob3I+PFllYXI+MjAxNzwvWWVhcj48UmVj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</w:fldData>
              </w:fldChar>
            </w:r>
            <w:r>
              <w:rPr>
                <w:rFonts w:ascii="Book Antiqua" w:hAnsi="Book Antiqua"/>
                <w:color w:val="000000"/>
                <w:vertAlign w:val="superscript"/>
              </w:rPr>
              <w:instrText xml:space="preserve"> ADDIN EN.CITE.DATA </w:instrText>
            </w:r>
            <w:r>
              <w:rPr>
                <w:rFonts w:ascii="Book Antiqua" w:hAnsi="Book Antiqua"/>
                <w:color w:val="000000"/>
                <w:vertAlign w:val="superscript"/>
              </w:rPr>
            </w:r>
            <w:r>
              <w:rPr>
                <w:rFonts w:ascii="Book Antiqua" w:hAnsi="Book Antiqua"/>
                <w:color w:val="000000"/>
                <w:vertAlign w:val="superscript"/>
              </w:rPr>
              <w:fldChar w:fldCharType="end"/>
            </w:r>
            <w:r>
              <w:rPr>
                <w:rFonts w:ascii="Book Antiqua" w:hAnsi="Book Antiqua"/>
                <w:color w:val="000000"/>
                <w:vertAlign w:val="superscript"/>
              </w:rPr>
            </w:r>
            <w:r>
              <w:rPr>
                <w:rFonts w:ascii="Book Antiqua" w:hAnsi="Book Antiqua"/>
                <w:color w:val="000000"/>
                <w:vertAlign w:val="superscript"/>
              </w:rPr>
              <w:fldChar w:fldCharType="separate"/>
            </w:r>
            <w:r>
              <w:rPr>
                <w:rFonts w:ascii="Book Antiqua" w:hAnsi="Book Antiqua"/>
                <w:color w:val="000000"/>
                <w:vertAlign w:val="superscript"/>
              </w:rPr>
              <w:t>[100]</w:t>
            </w:r>
            <w:r>
              <w:rPr>
                <w:rFonts w:ascii="Book Antiqua" w:hAnsi="Book Antiqua"/>
                <w:color w:val="000000"/>
                <w:vertAlign w:val="superscript"/>
              </w:rPr>
              <w:fldChar w:fldCharType="end"/>
            </w:r>
          </w:p>
        </w:tc>
      </w:tr>
      <w:tr w:rsidR="00BA6BF8" w14:paraId="28300FC0" w14:textId="77777777">
        <w:trPr>
          <w:cantSplit/>
          <w:trHeight w:val="300"/>
          <w:jc w:val="center"/>
        </w:trPr>
        <w:tc>
          <w:tcPr>
            <w:tcW w:w="5932" w:type="dxa"/>
            <w:vAlign w:val="center"/>
          </w:tcPr>
          <w:p w14:paraId="76298B52"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Platelet reactivity (T2DM)</w:t>
            </w:r>
          </w:p>
        </w:tc>
        <w:tc>
          <w:tcPr>
            <w:tcW w:w="2340" w:type="dxa"/>
            <w:vAlign w:val="center"/>
          </w:tcPr>
          <w:p w14:paraId="32D2B62F"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miR-223</w:t>
            </w:r>
          </w:p>
        </w:tc>
        <w:tc>
          <w:tcPr>
            <w:tcW w:w="1134" w:type="dxa"/>
            <w:vMerge w:val="restart"/>
            <w:vAlign w:val="center"/>
          </w:tcPr>
          <w:p w14:paraId="58A40A68"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r>
            <w:r>
              <w:rPr>
                <w:rFonts w:ascii="Book Antiqua" w:hAnsi="Book Antiqua"/>
                <w:color w:val="000000"/>
                <w:vertAlign w:val="superscript"/>
              </w:rPr>
              <w:instrText xml:space="preserve"> ADDIN EN.CITE &lt;EndNote&gt;&lt;Cite&gt;&lt;Author&gt;Fejes&lt;/Author&gt;&lt;Year&gt;2017&lt;/Year&gt;&lt;RecNum&gt;602&lt;/RecNum&gt;&lt;DisplayText&gt;[101]&lt;/DisplayText&gt;&lt;record&gt;&lt;rec-number&gt;602&lt;/rec-number&gt;&lt;foreign-keys&gt;&lt;key app="EN" db-id="w259sedv5dvevhertempp0wjwxf5apt95z5a" timestamp="1671229110"&gt;602&lt;/key&gt;&lt;/foreign-keys&gt;&lt;ref-type name="Journal Article"&gt;17&lt;/ref-type&gt;&lt;contributors&gt;&lt;authors&gt;&lt;author&gt;Fejes, Zsolt&lt;/author&gt;&lt;author&gt;Póliska, Szilárd&lt;/author&gt;&lt;author&gt;Czimmerer, Zsolt&lt;/author&gt;&lt;author&gt;Káplár, Miklós&lt;/author&gt;&lt;author&gt;Penyige, András&lt;/author&gt;&lt;author&gt;Gál Szabó, Gabriella&lt;/author&gt;&lt;author&gt;Debreceni, Ildikó Beke&lt;/author&gt;&lt;author&gt;Kunapuli, Satya P.&lt;/author&gt;&lt;author&gt;Kappelmayer, János&lt;/author&gt;&lt;author&gt;Nagy, Béla, Jr.&lt;/author&gt;&lt;/authors&gt;&lt;/contributors&gt;&lt;titles&gt;&lt;title&gt;Hyperglycaemia suppresses microRNA expression in platelets to increase P2RY12 and SELP levels in type 2 diabetes mellitus&lt;/title&gt;&lt;secondary-title&gt;Thromb Haemost&lt;/secondary-title&gt;&lt;/titles&gt;&lt;periodical&gt;&lt;full-title&gt;Thromb Haemost&lt;/full-title&gt;&lt;/periodical&gt;&lt;pages&gt;529-542&lt;/pages&gt;&lt;volume&gt;117&lt;/volume&gt;&lt;number&gt;03&lt;/number&gt;&lt;keywords&gt;&lt;keyword&gt;Platelet activation&lt;/keyword&gt;&lt;keyword&gt;microRNA&lt;/keyword&gt;&lt;keyword&gt;megakaryocyte&lt;/keyword&gt;&lt;keyword&gt;diabetes mellitus&lt;/keyword&gt;&lt;keyword&gt;hyperglycaemia&lt;/keyword&gt;&lt;/keywords&gt;&lt;dates&gt;&lt;year&gt;2017&lt;/year&gt;&lt;pub-dates&gt;&lt;date&gt;2017/11/22&lt;/date&gt;&lt;/pub-dates&gt;&lt;/dates&gt;&lt;publisher&gt;Schattauer GmbH&lt;/publisher&gt;&lt;isbn&gt;0340-6245&amp;#xD;2567-689X&lt;/isbn&gt;&lt;urls&gt;&lt;related-urls&gt;&lt;url&gt;http://www.thieme-connect.de/products/ejournals/abstract/10.1160/TH16-04-0322&lt;/url&gt;&lt;/related-urls&gt;&lt;/urls&gt;&lt;electronic-resource-num&gt;10.1160/TH16-04-0322&lt;/electronic-resource-num&gt;&lt;language&gt;En&lt;/language&gt;&lt;/record&gt;&lt;/Cite&gt;&lt;/EndNote&gt;</w:instrText>
            </w:r>
            <w:r>
              <w:rPr>
                <w:rFonts w:ascii="Book Antiqua" w:hAnsi="Book Antiqua"/>
                <w:color w:val="000000"/>
                <w:vertAlign w:val="superscript"/>
              </w:rPr>
              <w:fldChar w:fldCharType="separate"/>
            </w:r>
            <w:r>
              <w:rPr>
                <w:rFonts w:ascii="Book Antiqua" w:hAnsi="Book Antiqua"/>
                <w:color w:val="000000"/>
                <w:vertAlign w:val="superscript"/>
              </w:rPr>
              <w:t>[101]</w:t>
            </w:r>
            <w:r>
              <w:rPr>
                <w:rFonts w:ascii="Book Antiqua" w:hAnsi="Book Antiqua"/>
                <w:color w:val="000000"/>
                <w:vertAlign w:val="superscript"/>
              </w:rPr>
              <w:fldChar w:fldCharType="end"/>
            </w:r>
          </w:p>
        </w:tc>
      </w:tr>
      <w:tr w:rsidR="00BA6BF8" w14:paraId="0C54A249" w14:textId="77777777">
        <w:trPr>
          <w:cantSplit/>
          <w:trHeight w:val="300"/>
          <w:jc w:val="center"/>
        </w:trPr>
        <w:tc>
          <w:tcPr>
            <w:tcW w:w="5932" w:type="dxa"/>
            <w:vAlign w:val="center"/>
          </w:tcPr>
          <w:p w14:paraId="56D8F5AA" w14:textId="77777777" w:rsidR="00BA6BF8" w:rsidRDefault="00BA6BF8">
            <w:pPr>
              <w:snapToGrid w:val="0"/>
              <w:spacing w:line="360" w:lineRule="auto"/>
              <w:jc w:val="both"/>
              <w:rPr>
                <w:rFonts w:ascii="Book Antiqua" w:hAnsi="Book Antiqua"/>
                <w:color w:val="000000"/>
              </w:rPr>
            </w:pPr>
          </w:p>
        </w:tc>
        <w:tc>
          <w:tcPr>
            <w:tcW w:w="2340" w:type="dxa"/>
            <w:vAlign w:val="center"/>
          </w:tcPr>
          <w:p w14:paraId="5C556E72"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miR-26b</w:t>
            </w:r>
          </w:p>
        </w:tc>
        <w:tc>
          <w:tcPr>
            <w:tcW w:w="1134" w:type="dxa"/>
            <w:vMerge/>
            <w:vAlign w:val="center"/>
          </w:tcPr>
          <w:p w14:paraId="547AF6A3" w14:textId="77777777" w:rsidR="00BA6BF8" w:rsidRDefault="00BA6BF8">
            <w:pPr>
              <w:snapToGrid w:val="0"/>
              <w:spacing w:line="360" w:lineRule="auto"/>
              <w:jc w:val="both"/>
              <w:rPr>
                <w:rFonts w:ascii="Book Antiqua" w:hAnsi="Book Antiqua"/>
                <w:color w:val="000000"/>
                <w:vertAlign w:val="superscript"/>
              </w:rPr>
            </w:pPr>
          </w:p>
        </w:tc>
      </w:tr>
      <w:tr w:rsidR="00BA6BF8" w14:paraId="4358908D" w14:textId="77777777">
        <w:trPr>
          <w:cantSplit/>
          <w:trHeight w:val="300"/>
          <w:jc w:val="center"/>
        </w:trPr>
        <w:tc>
          <w:tcPr>
            <w:tcW w:w="5932" w:type="dxa"/>
            <w:vAlign w:val="center"/>
          </w:tcPr>
          <w:p w14:paraId="25E2808B" w14:textId="77777777" w:rsidR="00BA6BF8" w:rsidRDefault="00BA6BF8">
            <w:pPr>
              <w:snapToGrid w:val="0"/>
              <w:spacing w:line="360" w:lineRule="auto"/>
              <w:jc w:val="both"/>
              <w:rPr>
                <w:rFonts w:ascii="Book Antiqua" w:hAnsi="Book Antiqua"/>
                <w:color w:val="000000"/>
              </w:rPr>
            </w:pPr>
          </w:p>
        </w:tc>
        <w:tc>
          <w:tcPr>
            <w:tcW w:w="2340" w:type="dxa"/>
            <w:vAlign w:val="center"/>
          </w:tcPr>
          <w:p w14:paraId="7D6A2CE8"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miR-126</w:t>
            </w:r>
          </w:p>
        </w:tc>
        <w:tc>
          <w:tcPr>
            <w:tcW w:w="1134" w:type="dxa"/>
            <w:vMerge/>
            <w:vAlign w:val="center"/>
          </w:tcPr>
          <w:p w14:paraId="6D49CD5E" w14:textId="77777777" w:rsidR="00BA6BF8" w:rsidRDefault="00BA6BF8">
            <w:pPr>
              <w:snapToGrid w:val="0"/>
              <w:spacing w:line="360" w:lineRule="auto"/>
              <w:jc w:val="both"/>
              <w:rPr>
                <w:rFonts w:ascii="Book Antiqua" w:hAnsi="Book Antiqua"/>
                <w:color w:val="000000"/>
                <w:vertAlign w:val="superscript"/>
              </w:rPr>
            </w:pPr>
          </w:p>
        </w:tc>
      </w:tr>
      <w:tr w:rsidR="00BA6BF8" w14:paraId="32E85348" w14:textId="77777777">
        <w:trPr>
          <w:cantSplit/>
          <w:trHeight w:val="300"/>
          <w:jc w:val="center"/>
        </w:trPr>
        <w:tc>
          <w:tcPr>
            <w:tcW w:w="5932" w:type="dxa"/>
            <w:vAlign w:val="center"/>
          </w:tcPr>
          <w:p w14:paraId="37AE3F60" w14:textId="77777777" w:rsidR="00BA6BF8" w:rsidRDefault="00BA6BF8">
            <w:pPr>
              <w:snapToGrid w:val="0"/>
              <w:spacing w:line="360" w:lineRule="auto"/>
              <w:jc w:val="both"/>
              <w:rPr>
                <w:rFonts w:ascii="Book Antiqua" w:hAnsi="Book Antiqua"/>
                <w:color w:val="000000"/>
              </w:rPr>
            </w:pPr>
          </w:p>
        </w:tc>
        <w:tc>
          <w:tcPr>
            <w:tcW w:w="2340" w:type="dxa"/>
            <w:vAlign w:val="center"/>
          </w:tcPr>
          <w:p w14:paraId="32C20AA9"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miR-140</w:t>
            </w:r>
          </w:p>
        </w:tc>
        <w:tc>
          <w:tcPr>
            <w:tcW w:w="1134" w:type="dxa"/>
            <w:vAlign w:val="center"/>
          </w:tcPr>
          <w:p w14:paraId="591FC57E" w14:textId="77777777" w:rsidR="00BA6BF8" w:rsidRDefault="00BA6BF8">
            <w:pPr>
              <w:snapToGrid w:val="0"/>
              <w:spacing w:line="360" w:lineRule="auto"/>
              <w:jc w:val="both"/>
              <w:rPr>
                <w:rFonts w:ascii="Book Antiqua" w:hAnsi="Book Antiqua"/>
                <w:color w:val="000000"/>
                <w:vertAlign w:val="superscript"/>
              </w:rPr>
            </w:pPr>
          </w:p>
        </w:tc>
      </w:tr>
      <w:tr w:rsidR="00BA6BF8" w14:paraId="0ED8E5B8" w14:textId="77777777">
        <w:trPr>
          <w:cantSplit/>
          <w:trHeight w:val="300"/>
          <w:jc w:val="center"/>
        </w:trPr>
        <w:tc>
          <w:tcPr>
            <w:tcW w:w="5932" w:type="dxa"/>
            <w:vAlign w:val="center"/>
          </w:tcPr>
          <w:p w14:paraId="15CFC933"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Glucose metabolism (T2DM)</w:t>
            </w:r>
          </w:p>
        </w:tc>
        <w:tc>
          <w:tcPr>
            <w:tcW w:w="2340" w:type="dxa"/>
            <w:vAlign w:val="center"/>
          </w:tcPr>
          <w:p w14:paraId="5F666D69"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miR-375</w:t>
            </w:r>
          </w:p>
        </w:tc>
        <w:tc>
          <w:tcPr>
            <w:tcW w:w="1134" w:type="dxa"/>
            <w:vMerge w:val="restart"/>
            <w:vAlign w:val="center"/>
          </w:tcPr>
          <w:p w14:paraId="778044B6"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r>
            <w:r>
              <w:rPr>
                <w:rFonts w:ascii="Book Antiqua" w:hAnsi="Book Antiqua"/>
                <w:color w:val="000000"/>
                <w:vertAlign w:val="superscript"/>
              </w:rPr>
              <w:instrText xml:space="preserve"> ADDIN EN.CITE &lt;EndNote&gt;&lt;Cite&gt;&lt;Author&gt;Al-Muhtaresh&lt;/Author&gt;&lt;Year&gt;2018&lt;/Year&gt;&lt;RecNum&gt;603&lt;/RecNum&gt;&lt;DisplayText&gt;[102]&lt;/DisplayText&gt;&lt;record&gt;&lt;rec-number&gt;603&lt;/rec-number&gt;&lt;foreign-keys&gt;&lt;key app="EN" db-id="w259sedv5dvevhertempp0wjwxf5apt95z5a" timestamp="1671229156"&gt;603&lt;/key&gt;&lt;/foreign-keys&gt;&lt;ref-type name="Journal Article"&gt;17&lt;/ref-type&gt;&lt;contributors&gt;&lt;authors&gt;&lt;author&gt;Al-Muhtaresh, Haifa Abdullah&lt;/author&gt;&lt;author&gt;Al-Kafaji, Ghada&lt;/author&gt;&lt;/authors&gt;&lt;/contributors&gt;&lt;titles&gt;&lt;title&gt;Evaluation of Two-Diabetes Related microRNAs Suitability as Earlier Blood Biomarkers for Detecting Prediabetes and type 2 Diabetes Mellitus&lt;/title&gt;&lt;secondary-title&gt;Journal of Clinical Medicine&lt;/secondary-title&gt;&lt;/titles&gt;&lt;periodical&gt;&lt;full-title&gt;Journal of Clinical Medicine&lt;/full-title&gt;&lt;/periodical&gt;&lt;pages&gt;12&lt;/pages&gt;&lt;volume&gt;7&lt;/volume&gt;&lt;number&gt;2&lt;/number&gt;&lt;dates&gt;&lt;year&gt;2018&lt;/year&gt;&lt;/dates&gt;&lt;isbn&gt;2077-0383&lt;/isbn&gt;&lt;accession-num&gt;doi:10.3390/jcm7020012&lt;/accession-num&gt;&lt;urls&gt;&lt;related-urls&gt;&lt;url&gt;https://www.mdpi.com/2077-0383/7/2/12&lt;/url&gt;&lt;/related-urls&gt;&lt;/urls&gt;&lt;/record&gt;&lt;/Cite&gt;&lt;/EndNote&gt;</w:instrText>
            </w:r>
            <w:r>
              <w:rPr>
                <w:rFonts w:ascii="Book Antiqua" w:hAnsi="Book Antiqua"/>
                <w:color w:val="000000"/>
                <w:vertAlign w:val="superscript"/>
              </w:rPr>
              <w:fldChar w:fldCharType="separate"/>
            </w:r>
            <w:r>
              <w:rPr>
                <w:rFonts w:ascii="Book Antiqua" w:hAnsi="Book Antiqua"/>
                <w:color w:val="000000"/>
                <w:vertAlign w:val="superscript"/>
              </w:rPr>
              <w:t>[102]</w:t>
            </w:r>
            <w:r>
              <w:rPr>
                <w:rFonts w:ascii="Book Antiqua" w:hAnsi="Book Antiqua"/>
                <w:color w:val="000000"/>
                <w:vertAlign w:val="superscript"/>
              </w:rPr>
              <w:fldChar w:fldCharType="end"/>
            </w:r>
          </w:p>
        </w:tc>
      </w:tr>
      <w:tr w:rsidR="00BA6BF8" w14:paraId="10A84F2C" w14:textId="77777777">
        <w:trPr>
          <w:cantSplit/>
          <w:trHeight w:val="300"/>
          <w:jc w:val="center"/>
        </w:trPr>
        <w:tc>
          <w:tcPr>
            <w:tcW w:w="5932" w:type="dxa"/>
            <w:vAlign w:val="center"/>
          </w:tcPr>
          <w:p w14:paraId="31F17107" w14:textId="77777777" w:rsidR="00BA6BF8" w:rsidRDefault="00BA6BF8">
            <w:pPr>
              <w:snapToGrid w:val="0"/>
              <w:spacing w:line="360" w:lineRule="auto"/>
              <w:jc w:val="both"/>
              <w:rPr>
                <w:rFonts w:ascii="Book Antiqua" w:hAnsi="Book Antiqua"/>
                <w:color w:val="000000"/>
              </w:rPr>
            </w:pPr>
          </w:p>
        </w:tc>
        <w:tc>
          <w:tcPr>
            <w:tcW w:w="2340" w:type="dxa"/>
            <w:vAlign w:val="center"/>
          </w:tcPr>
          <w:p w14:paraId="1689E154"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miR-9</w:t>
            </w:r>
          </w:p>
        </w:tc>
        <w:tc>
          <w:tcPr>
            <w:tcW w:w="1134" w:type="dxa"/>
            <w:vMerge/>
            <w:vAlign w:val="center"/>
          </w:tcPr>
          <w:p w14:paraId="42960771" w14:textId="77777777" w:rsidR="00BA6BF8" w:rsidRDefault="00BA6BF8">
            <w:pPr>
              <w:snapToGrid w:val="0"/>
              <w:spacing w:line="360" w:lineRule="auto"/>
              <w:jc w:val="both"/>
              <w:rPr>
                <w:rFonts w:ascii="Book Antiqua" w:hAnsi="Book Antiqua"/>
                <w:color w:val="000000"/>
                <w:vertAlign w:val="superscript"/>
              </w:rPr>
            </w:pPr>
          </w:p>
        </w:tc>
      </w:tr>
      <w:tr w:rsidR="00BA6BF8" w14:paraId="206C8798" w14:textId="77777777">
        <w:trPr>
          <w:cantSplit/>
          <w:trHeight w:val="300"/>
          <w:jc w:val="center"/>
        </w:trPr>
        <w:tc>
          <w:tcPr>
            <w:tcW w:w="5932" w:type="dxa"/>
            <w:vAlign w:val="center"/>
          </w:tcPr>
          <w:p w14:paraId="23F20BA6"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Glucose metabolism (T2DM)</w:t>
            </w:r>
          </w:p>
        </w:tc>
        <w:tc>
          <w:tcPr>
            <w:tcW w:w="2340" w:type="dxa"/>
            <w:vAlign w:val="center"/>
          </w:tcPr>
          <w:p w14:paraId="17B5AFC8"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miR-30a-5p</w:t>
            </w:r>
          </w:p>
        </w:tc>
        <w:tc>
          <w:tcPr>
            <w:tcW w:w="1134" w:type="dxa"/>
            <w:vMerge w:val="restart"/>
            <w:vAlign w:val="center"/>
          </w:tcPr>
          <w:p w14:paraId="30254248"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r>
            <w:r>
              <w:rPr>
                <w:rFonts w:ascii="Book Antiqua" w:hAnsi="Book Antiqua"/>
                <w:color w:val="000000"/>
                <w:vertAlign w:val="superscript"/>
              </w:rPr>
              <w:instrText xml:space="preserve"> ADDIN EN.CITE &lt;EndNote&gt;&lt;Cite&gt;&lt;Author&gt;Jiménez-Lucena&lt;/Author&gt;&lt;Year&gt;2018&lt;/Year&gt;&lt;RecNum&gt;604&lt;/RecNum&gt;&lt;DisplayText&gt;[103]&lt;/DisplayText&gt;&lt;record&gt;&lt;rec-number&gt;604&lt;/rec-number&gt;&lt;foreign-keys&gt;&lt;key app="EN" db-id="w259sedv5dvevhertempp0wjwxf5apt95z5a" timestamp="1671229176"&gt;604&lt;/key&gt;&lt;/foreign-keys&gt;&lt;ref-type name="Journal Article"&gt;17&lt;/ref-type&gt;&lt;contributors&gt;&lt;authors&gt;&lt;author&gt;Jiménez-Lucena, Rosa&lt;/author&gt;&lt;author&gt;Rangel-Zúñiga, Oriol Alberto&lt;/author&gt;&lt;author&gt;Alcalá-Díaz, Juan Francisco&lt;/author&gt;&lt;author&gt;López-Moreno, Javier&lt;/author&gt;&lt;author&gt;Roncero-Ramos, Irene&lt;/author&gt;&lt;author&gt;Molina-Abril, Helena&lt;/author&gt;&lt;author&gt;Yubero-Serrano, Elena Maria&lt;/author&gt;&lt;author&gt;Caballero-Villarraso, Javier&lt;/author&gt;&lt;author&gt;Delgado-Lista, Javier&lt;/author&gt;&lt;author&gt;Castaño, Justo Pastor&lt;/author&gt;&lt;author&gt;Ordovás, Jose Maria&lt;/author&gt;&lt;author&gt;Pérez-Martinez, Pablo&lt;/author&gt;&lt;author&gt;Camargo, Antonio&lt;/author&gt;&lt;author&gt;López-Miranda, José&lt;/author&gt;&lt;/authors&gt;&lt;/contributors&gt;&lt;titles&gt;&lt;title&gt;Circulating miRNAs as Predictive Biomarkers of Type 2 Diabetes Mellitus Development in Coronary Heart Disease Patients from the CORDIOPREV Study&lt;/title&gt;&lt;secondary-title&gt;Molecular Therapy - Nucleic Acids&lt;/secondary-title&gt;&lt;/titles&gt;&lt;periodical&gt;&lt;full-title&gt;Molecular Therapy - Nucleic Acids&lt;/full-title&gt;&lt;/periodical&gt;&lt;pages&gt;146-157&lt;/pages&gt;&lt;volume&gt;12&lt;/volume&gt;&lt;keywords&gt;&lt;keyword&gt;type 2 diabetes mellitus&lt;/keyword&gt;&lt;keyword&gt;miRNAs&lt;/keyword&gt;&lt;keyword&gt;biomarkers&lt;/keyword&gt;&lt;keyword&gt;predictive models&lt;/keyword&gt;&lt;/keywords&gt;&lt;dates&gt;&lt;year&gt;2018&lt;/year&gt;&lt;pub-dates&gt;&lt;date&gt;2018/09/07/&lt;/date&gt;&lt;/pub-dates&gt;&lt;/dates&gt;&lt;isbn&gt;2162-2531&lt;/isbn&gt;&lt;urls&gt;&lt;related-urls&gt;&lt;url&gt;https://www.sciencedirect.com/science/article/pii/S2162253118300994&lt;/url&gt;&lt;/related-urls&gt;&lt;/urls&gt;&lt;electronic-resource-num&gt;https://doi.org/10.1016/j.omtn.2018.05.002&lt;/electronic-resource-num&gt;&lt;/record&gt;&lt;/Cite&gt;&lt;/EndNote&gt;</w:instrText>
            </w:r>
            <w:r>
              <w:rPr>
                <w:rFonts w:ascii="Book Antiqua" w:hAnsi="Book Antiqua"/>
                <w:color w:val="000000"/>
                <w:vertAlign w:val="superscript"/>
              </w:rPr>
              <w:fldChar w:fldCharType="separate"/>
            </w:r>
            <w:r>
              <w:rPr>
                <w:rFonts w:ascii="Book Antiqua" w:hAnsi="Book Antiqua"/>
                <w:color w:val="000000"/>
                <w:vertAlign w:val="superscript"/>
              </w:rPr>
              <w:t>[103]</w:t>
            </w:r>
            <w:r>
              <w:rPr>
                <w:rFonts w:ascii="Book Antiqua" w:hAnsi="Book Antiqua"/>
                <w:color w:val="000000"/>
                <w:vertAlign w:val="superscript"/>
              </w:rPr>
              <w:fldChar w:fldCharType="end"/>
            </w:r>
          </w:p>
        </w:tc>
      </w:tr>
      <w:tr w:rsidR="00BA6BF8" w14:paraId="361D194B" w14:textId="77777777">
        <w:trPr>
          <w:cantSplit/>
          <w:trHeight w:val="300"/>
          <w:jc w:val="center"/>
        </w:trPr>
        <w:tc>
          <w:tcPr>
            <w:tcW w:w="5932" w:type="dxa"/>
            <w:vAlign w:val="center"/>
          </w:tcPr>
          <w:p w14:paraId="7E9A97F9" w14:textId="77777777" w:rsidR="00BA6BF8" w:rsidRDefault="00BA6BF8">
            <w:pPr>
              <w:snapToGrid w:val="0"/>
              <w:spacing w:line="360" w:lineRule="auto"/>
              <w:jc w:val="both"/>
              <w:rPr>
                <w:rFonts w:ascii="Book Antiqua" w:hAnsi="Book Antiqua"/>
                <w:color w:val="000000"/>
              </w:rPr>
            </w:pPr>
          </w:p>
        </w:tc>
        <w:tc>
          <w:tcPr>
            <w:tcW w:w="2340" w:type="dxa"/>
            <w:vAlign w:val="center"/>
          </w:tcPr>
          <w:p w14:paraId="0BC52FC9"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miR-150</w:t>
            </w:r>
          </w:p>
        </w:tc>
        <w:tc>
          <w:tcPr>
            <w:tcW w:w="1134" w:type="dxa"/>
            <w:vMerge/>
            <w:vAlign w:val="center"/>
          </w:tcPr>
          <w:p w14:paraId="26C6DD1B" w14:textId="77777777" w:rsidR="00BA6BF8" w:rsidRDefault="00BA6BF8">
            <w:pPr>
              <w:snapToGrid w:val="0"/>
              <w:spacing w:line="360" w:lineRule="auto"/>
              <w:jc w:val="both"/>
              <w:rPr>
                <w:rFonts w:ascii="Book Antiqua" w:hAnsi="Book Antiqua"/>
                <w:color w:val="000000"/>
                <w:vertAlign w:val="superscript"/>
              </w:rPr>
            </w:pPr>
          </w:p>
        </w:tc>
      </w:tr>
      <w:tr w:rsidR="00BA6BF8" w14:paraId="629C6A0E" w14:textId="77777777">
        <w:trPr>
          <w:cantSplit/>
          <w:trHeight w:val="300"/>
          <w:jc w:val="center"/>
        </w:trPr>
        <w:tc>
          <w:tcPr>
            <w:tcW w:w="5932" w:type="dxa"/>
            <w:vAlign w:val="center"/>
          </w:tcPr>
          <w:p w14:paraId="15602CD6" w14:textId="77777777" w:rsidR="00BA6BF8" w:rsidRDefault="00BA6BF8">
            <w:pPr>
              <w:snapToGrid w:val="0"/>
              <w:spacing w:line="360" w:lineRule="auto"/>
              <w:jc w:val="both"/>
              <w:rPr>
                <w:rFonts w:ascii="Book Antiqua" w:hAnsi="Book Antiqua"/>
                <w:color w:val="000000"/>
              </w:rPr>
            </w:pPr>
          </w:p>
        </w:tc>
        <w:tc>
          <w:tcPr>
            <w:tcW w:w="2340" w:type="dxa"/>
            <w:vAlign w:val="center"/>
          </w:tcPr>
          <w:p w14:paraId="25A4D85F"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miR-103</w:t>
            </w:r>
          </w:p>
        </w:tc>
        <w:tc>
          <w:tcPr>
            <w:tcW w:w="1134" w:type="dxa"/>
            <w:vMerge/>
            <w:vAlign w:val="center"/>
          </w:tcPr>
          <w:p w14:paraId="400D8B0E" w14:textId="77777777" w:rsidR="00BA6BF8" w:rsidRDefault="00BA6BF8">
            <w:pPr>
              <w:snapToGrid w:val="0"/>
              <w:spacing w:line="360" w:lineRule="auto"/>
              <w:jc w:val="both"/>
              <w:rPr>
                <w:rFonts w:ascii="Book Antiqua" w:hAnsi="Book Antiqua"/>
                <w:color w:val="000000"/>
                <w:vertAlign w:val="superscript"/>
              </w:rPr>
            </w:pPr>
          </w:p>
        </w:tc>
      </w:tr>
      <w:tr w:rsidR="00BA6BF8" w14:paraId="480B5671" w14:textId="77777777">
        <w:trPr>
          <w:cantSplit/>
          <w:trHeight w:val="300"/>
          <w:jc w:val="center"/>
        </w:trPr>
        <w:tc>
          <w:tcPr>
            <w:tcW w:w="5932" w:type="dxa"/>
            <w:vAlign w:val="center"/>
          </w:tcPr>
          <w:p w14:paraId="259D905A" w14:textId="77777777" w:rsidR="00BA6BF8" w:rsidRDefault="00BA6BF8">
            <w:pPr>
              <w:snapToGrid w:val="0"/>
              <w:spacing w:line="360" w:lineRule="auto"/>
              <w:jc w:val="both"/>
              <w:rPr>
                <w:rFonts w:ascii="Book Antiqua" w:hAnsi="Book Antiqua"/>
                <w:color w:val="000000"/>
              </w:rPr>
            </w:pPr>
          </w:p>
        </w:tc>
        <w:tc>
          <w:tcPr>
            <w:tcW w:w="2340" w:type="dxa"/>
            <w:vAlign w:val="center"/>
          </w:tcPr>
          <w:p w14:paraId="28B78A70"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miR-28-3p</w:t>
            </w:r>
          </w:p>
        </w:tc>
        <w:tc>
          <w:tcPr>
            <w:tcW w:w="1134" w:type="dxa"/>
            <w:vMerge/>
            <w:vAlign w:val="center"/>
          </w:tcPr>
          <w:p w14:paraId="2446B7F1" w14:textId="77777777" w:rsidR="00BA6BF8" w:rsidRDefault="00BA6BF8">
            <w:pPr>
              <w:snapToGrid w:val="0"/>
              <w:spacing w:line="360" w:lineRule="auto"/>
              <w:jc w:val="both"/>
              <w:rPr>
                <w:rFonts w:ascii="Book Antiqua" w:hAnsi="Book Antiqua"/>
                <w:color w:val="000000"/>
                <w:vertAlign w:val="superscript"/>
              </w:rPr>
            </w:pPr>
          </w:p>
        </w:tc>
      </w:tr>
      <w:tr w:rsidR="00BA6BF8" w14:paraId="42D921C7" w14:textId="77777777">
        <w:trPr>
          <w:cantSplit/>
          <w:trHeight w:val="300"/>
          <w:jc w:val="center"/>
        </w:trPr>
        <w:tc>
          <w:tcPr>
            <w:tcW w:w="5932" w:type="dxa"/>
            <w:vAlign w:val="center"/>
          </w:tcPr>
          <w:p w14:paraId="7600083C" w14:textId="77777777" w:rsidR="00BA6BF8" w:rsidRDefault="00BA6BF8">
            <w:pPr>
              <w:snapToGrid w:val="0"/>
              <w:spacing w:line="360" w:lineRule="auto"/>
              <w:jc w:val="both"/>
              <w:rPr>
                <w:rFonts w:ascii="Book Antiqua" w:hAnsi="Book Antiqua"/>
                <w:color w:val="000000"/>
              </w:rPr>
            </w:pPr>
          </w:p>
        </w:tc>
        <w:tc>
          <w:tcPr>
            <w:tcW w:w="2340" w:type="dxa"/>
            <w:vAlign w:val="center"/>
          </w:tcPr>
          <w:p w14:paraId="7A48E82B"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miR-29a</w:t>
            </w:r>
          </w:p>
        </w:tc>
        <w:tc>
          <w:tcPr>
            <w:tcW w:w="1134" w:type="dxa"/>
            <w:vMerge/>
            <w:vAlign w:val="center"/>
          </w:tcPr>
          <w:p w14:paraId="59FFBBEC" w14:textId="77777777" w:rsidR="00BA6BF8" w:rsidRDefault="00BA6BF8">
            <w:pPr>
              <w:snapToGrid w:val="0"/>
              <w:spacing w:line="360" w:lineRule="auto"/>
              <w:jc w:val="both"/>
              <w:rPr>
                <w:rFonts w:ascii="Book Antiqua" w:hAnsi="Book Antiqua"/>
                <w:color w:val="000000"/>
                <w:vertAlign w:val="superscript"/>
              </w:rPr>
            </w:pPr>
          </w:p>
        </w:tc>
      </w:tr>
      <w:tr w:rsidR="00BA6BF8" w14:paraId="4DCC1A18" w14:textId="77777777">
        <w:trPr>
          <w:cantSplit/>
          <w:trHeight w:val="300"/>
          <w:jc w:val="center"/>
        </w:trPr>
        <w:tc>
          <w:tcPr>
            <w:tcW w:w="5932" w:type="dxa"/>
            <w:vAlign w:val="center"/>
          </w:tcPr>
          <w:p w14:paraId="1EF1AF5A" w14:textId="77777777" w:rsidR="00BA6BF8" w:rsidRDefault="00BA6BF8">
            <w:pPr>
              <w:snapToGrid w:val="0"/>
              <w:spacing w:line="360" w:lineRule="auto"/>
              <w:jc w:val="both"/>
              <w:rPr>
                <w:rFonts w:ascii="Book Antiqua" w:hAnsi="Book Antiqua"/>
                <w:color w:val="000000"/>
              </w:rPr>
            </w:pPr>
          </w:p>
        </w:tc>
        <w:tc>
          <w:tcPr>
            <w:tcW w:w="2340" w:type="dxa"/>
            <w:vAlign w:val="center"/>
          </w:tcPr>
          <w:p w14:paraId="38E0E44A"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miR-9</w:t>
            </w:r>
          </w:p>
        </w:tc>
        <w:tc>
          <w:tcPr>
            <w:tcW w:w="1134" w:type="dxa"/>
            <w:vMerge/>
            <w:vAlign w:val="center"/>
          </w:tcPr>
          <w:p w14:paraId="26A2C77F" w14:textId="77777777" w:rsidR="00BA6BF8" w:rsidRDefault="00BA6BF8">
            <w:pPr>
              <w:snapToGrid w:val="0"/>
              <w:spacing w:line="360" w:lineRule="auto"/>
              <w:jc w:val="both"/>
              <w:rPr>
                <w:rFonts w:ascii="Book Antiqua" w:hAnsi="Book Antiqua"/>
                <w:color w:val="000000"/>
                <w:vertAlign w:val="superscript"/>
              </w:rPr>
            </w:pPr>
          </w:p>
        </w:tc>
      </w:tr>
      <w:tr w:rsidR="00BA6BF8" w14:paraId="50099BD0" w14:textId="77777777">
        <w:trPr>
          <w:cantSplit/>
          <w:trHeight w:val="300"/>
          <w:jc w:val="center"/>
        </w:trPr>
        <w:tc>
          <w:tcPr>
            <w:tcW w:w="5932" w:type="dxa"/>
            <w:vAlign w:val="center"/>
          </w:tcPr>
          <w:p w14:paraId="2A11E515" w14:textId="77777777" w:rsidR="00BA6BF8" w:rsidRDefault="00BA6BF8">
            <w:pPr>
              <w:snapToGrid w:val="0"/>
              <w:spacing w:line="360" w:lineRule="auto"/>
              <w:jc w:val="both"/>
              <w:rPr>
                <w:rFonts w:ascii="Book Antiqua" w:hAnsi="Book Antiqua"/>
                <w:color w:val="000000"/>
              </w:rPr>
            </w:pPr>
          </w:p>
        </w:tc>
        <w:tc>
          <w:tcPr>
            <w:tcW w:w="2340" w:type="dxa"/>
            <w:vAlign w:val="center"/>
          </w:tcPr>
          <w:p w14:paraId="0B8E32B8"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miR-15a</w:t>
            </w:r>
          </w:p>
        </w:tc>
        <w:tc>
          <w:tcPr>
            <w:tcW w:w="1134" w:type="dxa"/>
            <w:vMerge/>
            <w:vAlign w:val="center"/>
          </w:tcPr>
          <w:p w14:paraId="693C7962" w14:textId="77777777" w:rsidR="00BA6BF8" w:rsidRDefault="00BA6BF8">
            <w:pPr>
              <w:snapToGrid w:val="0"/>
              <w:spacing w:line="360" w:lineRule="auto"/>
              <w:jc w:val="both"/>
              <w:rPr>
                <w:rFonts w:ascii="Book Antiqua" w:hAnsi="Book Antiqua"/>
                <w:color w:val="000000"/>
                <w:vertAlign w:val="superscript"/>
              </w:rPr>
            </w:pPr>
          </w:p>
        </w:tc>
      </w:tr>
      <w:tr w:rsidR="00BA6BF8" w14:paraId="0EDDC89A" w14:textId="77777777">
        <w:trPr>
          <w:cantSplit/>
          <w:trHeight w:val="300"/>
          <w:jc w:val="center"/>
        </w:trPr>
        <w:tc>
          <w:tcPr>
            <w:tcW w:w="5932" w:type="dxa"/>
            <w:vAlign w:val="center"/>
          </w:tcPr>
          <w:p w14:paraId="1BAB5408" w14:textId="77777777" w:rsidR="00BA6BF8" w:rsidRDefault="00BA6BF8">
            <w:pPr>
              <w:snapToGrid w:val="0"/>
              <w:spacing w:line="360" w:lineRule="auto"/>
              <w:jc w:val="both"/>
              <w:rPr>
                <w:rFonts w:ascii="Book Antiqua" w:hAnsi="Book Antiqua"/>
                <w:color w:val="000000"/>
              </w:rPr>
            </w:pPr>
          </w:p>
        </w:tc>
        <w:tc>
          <w:tcPr>
            <w:tcW w:w="2340" w:type="dxa"/>
            <w:vAlign w:val="center"/>
          </w:tcPr>
          <w:p w14:paraId="16C365BD"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miR-126</w:t>
            </w:r>
          </w:p>
        </w:tc>
        <w:tc>
          <w:tcPr>
            <w:tcW w:w="1134" w:type="dxa"/>
            <w:vMerge/>
            <w:vAlign w:val="center"/>
          </w:tcPr>
          <w:p w14:paraId="6122CB4A" w14:textId="77777777" w:rsidR="00BA6BF8" w:rsidRDefault="00BA6BF8">
            <w:pPr>
              <w:snapToGrid w:val="0"/>
              <w:spacing w:line="360" w:lineRule="auto"/>
              <w:jc w:val="both"/>
              <w:rPr>
                <w:rFonts w:ascii="Book Antiqua" w:hAnsi="Book Antiqua"/>
                <w:color w:val="000000"/>
                <w:vertAlign w:val="superscript"/>
              </w:rPr>
            </w:pPr>
          </w:p>
        </w:tc>
      </w:tr>
      <w:tr w:rsidR="00BA6BF8" w14:paraId="393E621C" w14:textId="77777777">
        <w:trPr>
          <w:cantSplit/>
          <w:trHeight w:val="300"/>
          <w:jc w:val="center"/>
        </w:trPr>
        <w:tc>
          <w:tcPr>
            <w:tcW w:w="5932" w:type="dxa"/>
            <w:vAlign w:val="center"/>
          </w:tcPr>
          <w:p w14:paraId="6D6572F1" w14:textId="77777777" w:rsidR="00BA6BF8" w:rsidRDefault="00BA6BF8">
            <w:pPr>
              <w:snapToGrid w:val="0"/>
              <w:spacing w:line="360" w:lineRule="auto"/>
              <w:jc w:val="both"/>
              <w:rPr>
                <w:rFonts w:ascii="Book Antiqua" w:hAnsi="Book Antiqua"/>
                <w:color w:val="000000"/>
              </w:rPr>
            </w:pPr>
          </w:p>
        </w:tc>
        <w:tc>
          <w:tcPr>
            <w:tcW w:w="2340" w:type="dxa"/>
            <w:vAlign w:val="center"/>
          </w:tcPr>
          <w:p w14:paraId="67F76DD3"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miR-145</w:t>
            </w:r>
          </w:p>
        </w:tc>
        <w:tc>
          <w:tcPr>
            <w:tcW w:w="1134" w:type="dxa"/>
            <w:vMerge/>
            <w:vAlign w:val="center"/>
          </w:tcPr>
          <w:p w14:paraId="1A3D359C" w14:textId="77777777" w:rsidR="00BA6BF8" w:rsidRDefault="00BA6BF8">
            <w:pPr>
              <w:snapToGrid w:val="0"/>
              <w:spacing w:line="360" w:lineRule="auto"/>
              <w:jc w:val="both"/>
              <w:rPr>
                <w:rFonts w:ascii="Book Antiqua" w:hAnsi="Book Antiqua"/>
                <w:color w:val="000000"/>
                <w:vertAlign w:val="superscript"/>
              </w:rPr>
            </w:pPr>
          </w:p>
        </w:tc>
      </w:tr>
      <w:tr w:rsidR="00BA6BF8" w14:paraId="32EBA78F" w14:textId="77777777">
        <w:trPr>
          <w:cantSplit/>
          <w:trHeight w:val="300"/>
          <w:jc w:val="center"/>
        </w:trPr>
        <w:tc>
          <w:tcPr>
            <w:tcW w:w="5932" w:type="dxa"/>
            <w:vAlign w:val="center"/>
          </w:tcPr>
          <w:p w14:paraId="2946AE1B" w14:textId="77777777" w:rsidR="00BA6BF8" w:rsidRDefault="00BA6BF8">
            <w:pPr>
              <w:snapToGrid w:val="0"/>
              <w:spacing w:line="360" w:lineRule="auto"/>
              <w:jc w:val="both"/>
              <w:rPr>
                <w:rFonts w:ascii="Book Antiqua" w:hAnsi="Book Antiqua"/>
                <w:color w:val="000000"/>
              </w:rPr>
            </w:pPr>
          </w:p>
        </w:tc>
        <w:tc>
          <w:tcPr>
            <w:tcW w:w="2340" w:type="dxa"/>
            <w:vAlign w:val="center"/>
          </w:tcPr>
          <w:p w14:paraId="179204CC"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miR-375</w:t>
            </w:r>
          </w:p>
        </w:tc>
        <w:tc>
          <w:tcPr>
            <w:tcW w:w="1134" w:type="dxa"/>
            <w:vMerge/>
            <w:vAlign w:val="center"/>
          </w:tcPr>
          <w:p w14:paraId="57CEC86B" w14:textId="77777777" w:rsidR="00BA6BF8" w:rsidRDefault="00BA6BF8">
            <w:pPr>
              <w:snapToGrid w:val="0"/>
              <w:spacing w:line="360" w:lineRule="auto"/>
              <w:jc w:val="both"/>
              <w:rPr>
                <w:rFonts w:ascii="Book Antiqua" w:hAnsi="Book Antiqua"/>
                <w:color w:val="000000"/>
                <w:vertAlign w:val="superscript"/>
              </w:rPr>
            </w:pPr>
          </w:p>
        </w:tc>
      </w:tr>
      <w:tr w:rsidR="00BA6BF8" w14:paraId="3113AC59" w14:textId="77777777">
        <w:trPr>
          <w:cantSplit/>
          <w:trHeight w:val="300"/>
          <w:jc w:val="center"/>
        </w:trPr>
        <w:tc>
          <w:tcPr>
            <w:tcW w:w="5932" w:type="dxa"/>
            <w:vAlign w:val="center"/>
          </w:tcPr>
          <w:p w14:paraId="1587E800" w14:textId="77777777" w:rsidR="00BA6BF8" w:rsidRDefault="00BA6BF8">
            <w:pPr>
              <w:snapToGrid w:val="0"/>
              <w:spacing w:line="360" w:lineRule="auto"/>
              <w:jc w:val="both"/>
              <w:rPr>
                <w:rFonts w:ascii="Book Antiqua" w:hAnsi="Book Antiqua"/>
                <w:color w:val="000000"/>
              </w:rPr>
            </w:pPr>
          </w:p>
        </w:tc>
        <w:tc>
          <w:tcPr>
            <w:tcW w:w="2340" w:type="dxa"/>
            <w:vAlign w:val="center"/>
          </w:tcPr>
          <w:p w14:paraId="19DC13AE"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miR-223</w:t>
            </w:r>
          </w:p>
        </w:tc>
        <w:tc>
          <w:tcPr>
            <w:tcW w:w="1134" w:type="dxa"/>
            <w:vMerge/>
            <w:vAlign w:val="center"/>
          </w:tcPr>
          <w:p w14:paraId="2AEBBF39" w14:textId="77777777" w:rsidR="00BA6BF8" w:rsidRDefault="00BA6BF8">
            <w:pPr>
              <w:snapToGrid w:val="0"/>
              <w:spacing w:line="360" w:lineRule="auto"/>
              <w:jc w:val="both"/>
              <w:rPr>
                <w:rFonts w:ascii="Book Antiqua" w:hAnsi="Book Antiqua"/>
                <w:color w:val="000000"/>
                <w:vertAlign w:val="superscript"/>
              </w:rPr>
            </w:pPr>
          </w:p>
        </w:tc>
      </w:tr>
      <w:tr w:rsidR="00BA6BF8" w14:paraId="1832290D" w14:textId="77777777">
        <w:trPr>
          <w:cantSplit/>
          <w:trHeight w:val="300"/>
          <w:jc w:val="center"/>
        </w:trPr>
        <w:tc>
          <w:tcPr>
            <w:tcW w:w="5932" w:type="dxa"/>
            <w:vAlign w:val="center"/>
          </w:tcPr>
          <w:p w14:paraId="5AC7A67A" w14:textId="77777777" w:rsidR="00BA6BF8" w:rsidRDefault="00BA6BF8">
            <w:pPr>
              <w:snapToGrid w:val="0"/>
              <w:spacing w:line="360" w:lineRule="auto"/>
              <w:jc w:val="both"/>
              <w:rPr>
                <w:rFonts w:ascii="Book Antiqua" w:hAnsi="Book Antiqua"/>
                <w:color w:val="000000"/>
              </w:rPr>
            </w:pPr>
          </w:p>
        </w:tc>
        <w:tc>
          <w:tcPr>
            <w:tcW w:w="2340" w:type="dxa"/>
            <w:vAlign w:val="center"/>
          </w:tcPr>
          <w:p w14:paraId="384A6F7C"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↓miR-133</w:t>
            </w:r>
          </w:p>
        </w:tc>
        <w:tc>
          <w:tcPr>
            <w:tcW w:w="1134" w:type="dxa"/>
            <w:vMerge/>
            <w:vAlign w:val="center"/>
          </w:tcPr>
          <w:p w14:paraId="1AA3C7BC" w14:textId="77777777" w:rsidR="00BA6BF8" w:rsidRDefault="00BA6BF8">
            <w:pPr>
              <w:snapToGrid w:val="0"/>
              <w:spacing w:line="360" w:lineRule="auto"/>
              <w:jc w:val="both"/>
              <w:rPr>
                <w:rFonts w:ascii="Book Antiqua" w:hAnsi="Book Antiqua"/>
                <w:color w:val="000000"/>
                <w:vertAlign w:val="superscript"/>
              </w:rPr>
            </w:pPr>
          </w:p>
        </w:tc>
      </w:tr>
      <w:tr w:rsidR="00BA6BF8" w14:paraId="43CB8ADC" w14:textId="77777777">
        <w:trPr>
          <w:cantSplit/>
          <w:trHeight w:val="300"/>
          <w:jc w:val="center"/>
        </w:trPr>
        <w:tc>
          <w:tcPr>
            <w:tcW w:w="5932" w:type="dxa"/>
            <w:vAlign w:val="center"/>
          </w:tcPr>
          <w:p w14:paraId="575DA293" w14:textId="77777777" w:rsidR="00BA6BF8" w:rsidRDefault="00BA6BF8">
            <w:pPr>
              <w:snapToGrid w:val="0"/>
              <w:spacing w:line="360" w:lineRule="auto"/>
              <w:jc w:val="both"/>
              <w:rPr>
                <w:rFonts w:ascii="Book Antiqua" w:hAnsi="Book Antiqua"/>
                <w:color w:val="000000"/>
              </w:rPr>
            </w:pPr>
          </w:p>
        </w:tc>
        <w:tc>
          <w:tcPr>
            <w:tcW w:w="2340" w:type="dxa"/>
            <w:vAlign w:val="center"/>
          </w:tcPr>
          <w:p w14:paraId="3E32CCDA"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↓miR-107</w:t>
            </w:r>
          </w:p>
        </w:tc>
        <w:tc>
          <w:tcPr>
            <w:tcW w:w="1134" w:type="dxa"/>
            <w:vMerge/>
            <w:vAlign w:val="center"/>
          </w:tcPr>
          <w:p w14:paraId="3DE98CCE" w14:textId="77777777" w:rsidR="00BA6BF8" w:rsidRDefault="00BA6BF8">
            <w:pPr>
              <w:snapToGrid w:val="0"/>
              <w:spacing w:line="360" w:lineRule="auto"/>
              <w:jc w:val="both"/>
              <w:rPr>
                <w:rFonts w:ascii="Book Antiqua" w:hAnsi="Book Antiqua"/>
                <w:color w:val="000000"/>
                <w:vertAlign w:val="superscript"/>
              </w:rPr>
            </w:pPr>
          </w:p>
        </w:tc>
      </w:tr>
      <w:tr w:rsidR="00BA6BF8" w14:paraId="2231D557" w14:textId="77777777">
        <w:trPr>
          <w:cantSplit/>
          <w:trHeight w:val="300"/>
          <w:jc w:val="center"/>
        </w:trPr>
        <w:tc>
          <w:tcPr>
            <w:tcW w:w="5932" w:type="dxa"/>
            <w:vAlign w:val="center"/>
          </w:tcPr>
          <w:p w14:paraId="729AF375"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Endothelial dysfunction (miR-126); hypoxia (miR-210) (T2DM)</w:t>
            </w:r>
          </w:p>
        </w:tc>
        <w:tc>
          <w:tcPr>
            <w:tcW w:w="2340" w:type="dxa"/>
            <w:vAlign w:val="center"/>
          </w:tcPr>
          <w:p w14:paraId="3D7AD208"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miR-126</w:t>
            </w:r>
          </w:p>
        </w:tc>
        <w:tc>
          <w:tcPr>
            <w:tcW w:w="1134" w:type="dxa"/>
            <w:vMerge w:val="restart"/>
            <w:vAlign w:val="center"/>
          </w:tcPr>
          <w:p w14:paraId="2BD84091"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fldData xml:space="preserve">PEVuZE5vdGU+PENpdGU+PEF1dGhvcj5BbXI8L0F1dGhvcj48WWVhcj4yMDE4PC9ZZWFyPjxSZWNO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</w:fldData>
              </w:fldChar>
            </w:r>
            <w:r>
              <w:rPr>
                <w:rFonts w:ascii="Book Antiqua" w:hAnsi="Book Antiqua"/>
                <w:color w:val="000000"/>
                <w:vertAlign w:val="superscript"/>
              </w:rPr>
              <w:instrText xml:space="preserve"> ADDIN EN.CITE </w:instrText>
            </w:r>
            <w:r>
              <w:rPr>
                <w:rFonts w:ascii="Book Antiqua" w:hAnsi="Book Antiqua"/>
                <w:color w:val="000000"/>
                <w:vertAlign w:val="superscript"/>
              </w:rPr>
              <w:fldChar w:fldCharType="begin">
                <w:fldData xml:space="preserve">PEVuZE5vdGU+PENpdGU+PEF1dGhvcj5BbXI8L0F1dGhvcj48WWVhcj4yMDE4PC9ZZWFyPjxSZWNO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</w:fldData>
              </w:fldChar>
            </w:r>
            <w:r>
              <w:rPr>
                <w:rFonts w:ascii="Book Antiqua" w:hAnsi="Book Antiqua"/>
                <w:color w:val="000000"/>
                <w:vertAlign w:val="superscript"/>
              </w:rPr>
              <w:instrText xml:space="preserve"> ADDIN EN.CITE.DATA </w:instrText>
            </w:r>
            <w:r>
              <w:rPr>
                <w:rFonts w:ascii="Book Antiqua" w:hAnsi="Book Antiqua"/>
                <w:color w:val="000000"/>
                <w:vertAlign w:val="superscript"/>
              </w:rPr>
            </w:r>
            <w:r>
              <w:rPr>
                <w:rFonts w:ascii="Book Antiqua" w:hAnsi="Book Antiqua"/>
                <w:color w:val="000000"/>
                <w:vertAlign w:val="superscript"/>
              </w:rPr>
              <w:fldChar w:fldCharType="end"/>
            </w:r>
            <w:r>
              <w:rPr>
                <w:rFonts w:ascii="Book Antiqua" w:hAnsi="Book Antiqua"/>
                <w:color w:val="000000"/>
                <w:vertAlign w:val="superscript"/>
              </w:rPr>
            </w:r>
            <w:r>
              <w:rPr>
                <w:rFonts w:ascii="Book Antiqua" w:hAnsi="Book Antiqua"/>
                <w:color w:val="000000"/>
                <w:vertAlign w:val="superscript"/>
              </w:rPr>
              <w:fldChar w:fldCharType="separate"/>
            </w:r>
            <w:r>
              <w:rPr>
                <w:rFonts w:ascii="Book Antiqua" w:hAnsi="Book Antiqua"/>
                <w:color w:val="000000"/>
                <w:vertAlign w:val="superscript"/>
              </w:rPr>
              <w:t>[104]</w:t>
            </w:r>
            <w:r>
              <w:rPr>
                <w:rFonts w:ascii="Book Antiqua" w:hAnsi="Book Antiqua"/>
                <w:color w:val="000000"/>
                <w:vertAlign w:val="superscript"/>
              </w:rPr>
              <w:fldChar w:fldCharType="end"/>
            </w:r>
          </w:p>
        </w:tc>
      </w:tr>
      <w:tr w:rsidR="00BA6BF8" w14:paraId="12ED2B87" w14:textId="77777777">
        <w:trPr>
          <w:cantSplit/>
          <w:trHeight w:val="300"/>
          <w:jc w:val="center"/>
        </w:trPr>
        <w:tc>
          <w:tcPr>
            <w:tcW w:w="5932" w:type="dxa"/>
            <w:vAlign w:val="center"/>
          </w:tcPr>
          <w:p w14:paraId="6CD23C33" w14:textId="77777777" w:rsidR="00BA6BF8" w:rsidRDefault="00BA6BF8">
            <w:pPr>
              <w:snapToGrid w:val="0"/>
              <w:spacing w:line="360" w:lineRule="auto"/>
              <w:jc w:val="both"/>
              <w:rPr>
                <w:rFonts w:ascii="Book Antiqua" w:hAnsi="Book Antiqua"/>
                <w:color w:val="000000"/>
              </w:rPr>
            </w:pPr>
          </w:p>
        </w:tc>
        <w:tc>
          <w:tcPr>
            <w:tcW w:w="2340" w:type="dxa"/>
            <w:vAlign w:val="center"/>
          </w:tcPr>
          <w:p w14:paraId="585C6950"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miR-210</w:t>
            </w:r>
          </w:p>
        </w:tc>
        <w:tc>
          <w:tcPr>
            <w:tcW w:w="1134" w:type="dxa"/>
            <w:vMerge/>
            <w:vAlign w:val="center"/>
          </w:tcPr>
          <w:p w14:paraId="6C40F468" w14:textId="77777777" w:rsidR="00BA6BF8" w:rsidRDefault="00BA6BF8">
            <w:pPr>
              <w:snapToGrid w:val="0"/>
              <w:spacing w:line="360" w:lineRule="auto"/>
              <w:jc w:val="both"/>
              <w:rPr>
                <w:rFonts w:ascii="Book Antiqua" w:hAnsi="Book Antiqua"/>
                <w:color w:val="000000"/>
                <w:vertAlign w:val="superscript"/>
              </w:rPr>
            </w:pPr>
          </w:p>
        </w:tc>
      </w:tr>
      <w:tr w:rsidR="00BA6BF8" w14:paraId="6B2B4B9F" w14:textId="77777777">
        <w:trPr>
          <w:cantSplit/>
          <w:trHeight w:val="300"/>
          <w:jc w:val="center"/>
        </w:trPr>
        <w:tc>
          <w:tcPr>
            <w:tcW w:w="5932" w:type="dxa"/>
            <w:vAlign w:val="center"/>
          </w:tcPr>
          <w:p w14:paraId="2FAB8354"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Angiogenesis (T2DM)</w:t>
            </w:r>
          </w:p>
        </w:tc>
        <w:tc>
          <w:tcPr>
            <w:tcW w:w="2340" w:type="dxa"/>
            <w:vAlign w:val="center"/>
          </w:tcPr>
          <w:p w14:paraId="61DA0A93"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miR-193b-3p</w:t>
            </w:r>
          </w:p>
        </w:tc>
        <w:tc>
          <w:tcPr>
            <w:tcW w:w="1134" w:type="dxa"/>
            <w:vMerge w:val="restart"/>
            <w:vAlign w:val="center"/>
          </w:tcPr>
          <w:p w14:paraId="04D49A2C"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fldData xml:space="preserve">PEVuZE5vdGU+PENpdGU+PEF1dGhvcj5TdMSZcGllxYQ8L0F1dGhvcj48WWVhcj4yMDE4PC9ZZWFy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</w:fldData>
              </w:fldChar>
            </w:r>
            <w:r>
              <w:rPr>
                <w:rFonts w:ascii="Book Antiqua" w:hAnsi="Book Antiqua"/>
                <w:color w:val="000000"/>
                <w:vertAlign w:val="superscript"/>
              </w:rPr>
              <w:instrText xml:space="preserve"> ADDIN EN.CITE </w:instrText>
            </w:r>
            <w:r>
              <w:rPr>
                <w:rFonts w:ascii="Book Antiqua" w:hAnsi="Book Antiqua"/>
                <w:color w:val="000000"/>
                <w:vertAlign w:val="superscript"/>
              </w:rPr>
              <w:fldChar w:fldCharType="begin">
                <w:fldData xml:space="preserve">PEVuZE5vdGU+PENpdGU+PEF1dGhvcj5TdMSZcGllxYQ8L0F1dGhvcj48WWVhcj4yMDE4PC9ZZWFy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</w:fldData>
              </w:fldChar>
            </w:r>
            <w:r>
              <w:rPr>
                <w:rFonts w:ascii="Book Antiqua" w:hAnsi="Book Antiqua"/>
                <w:color w:val="000000"/>
                <w:vertAlign w:val="superscript"/>
              </w:rPr>
              <w:instrText xml:space="preserve"> ADDIN EN.CITE.DATA </w:instrText>
            </w:r>
            <w:r>
              <w:rPr>
                <w:rFonts w:ascii="Book Antiqua" w:hAnsi="Book Antiqua"/>
                <w:color w:val="000000"/>
                <w:vertAlign w:val="superscript"/>
              </w:rPr>
            </w:r>
            <w:r>
              <w:rPr>
                <w:rFonts w:ascii="Book Antiqua" w:hAnsi="Book Antiqua"/>
                <w:color w:val="000000"/>
                <w:vertAlign w:val="superscript"/>
              </w:rPr>
              <w:fldChar w:fldCharType="end"/>
            </w:r>
            <w:r>
              <w:rPr>
                <w:rFonts w:ascii="Book Antiqua" w:hAnsi="Book Antiqua"/>
                <w:color w:val="000000"/>
                <w:vertAlign w:val="superscript"/>
              </w:rPr>
            </w:r>
            <w:r>
              <w:rPr>
                <w:rFonts w:ascii="Book Antiqua" w:hAnsi="Book Antiqua"/>
                <w:color w:val="000000"/>
                <w:vertAlign w:val="superscript"/>
              </w:rPr>
              <w:fldChar w:fldCharType="separate"/>
            </w:r>
            <w:r>
              <w:rPr>
                <w:rFonts w:ascii="Book Antiqua" w:hAnsi="Book Antiqua"/>
                <w:color w:val="000000"/>
                <w:vertAlign w:val="superscript"/>
              </w:rPr>
              <w:t>[105]</w:t>
            </w:r>
            <w:r>
              <w:rPr>
                <w:rFonts w:ascii="Book Antiqua" w:hAnsi="Book Antiqua"/>
                <w:color w:val="000000"/>
                <w:vertAlign w:val="superscript"/>
              </w:rPr>
              <w:fldChar w:fldCharType="end"/>
            </w:r>
          </w:p>
        </w:tc>
      </w:tr>
      <w:tr w:rsidR="00BA6BF8" w14:paraId="5124409C" w14:textId="77777777">
        <w:trPr>
          <w:cantSplit/>
          <w:trHeight w:val="300"/>
          <w:jc w:val="center"/>
        </w:trPr>
        <w:tc>
          <w:tcPr>
            <w:tcW w:w="5932" w:type="dxa"/>
            <w:vAlign w:val="center"/>
          </w:tcPr>
          <w:p w14:paraId="7700F118" w14:textId="77777777" w:rsidR="00BA6BF8" w:rsidRDefault="00BA6BF8">
            <w:pPr>
              <w:snapToGrid w:val="0"/>
              <w:spacing w:line="360" w:lineRule="auto"/>
              <w:jc w:val="both"/>
              <w:rPr>
                <w:rFonts w:ascii="Book Antiqua" w:hAnsi="Book Antiqua"/>
                <w:color w:val="000000"/>
              </w:rPr>
            </w:pPr>
          </w:p>
        </w:tc>
        <w:tc>
          <w:tcPr>
            <w:tcW w:w="2340" w:type="dxa"/>
            <w:vAlign w:val="center"/>
          </w:tcPr>
          <w:p w14:paraId="7A2E19EE"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let-7i-5p</w:t>
            </w:r>
          </w:p>
        </w:tc>
        <w:tc>
          <w:tcPr>
            <w:tcW w:w="1134" w:type="dxa"/>
            <w:vMerge/>
            <w:vAlign w:val="center"/>
          </w:tcPr>
          <w:p w14:paraId="55A5B52C" w14:textId="77777777" w:rsidR="00BA6BF8" w:rsidRDefault="00BA6BF8">
            <w:pPr>
              <w:snapToGrid w:val="0"/>
              <w:spacing w:line="360" w:lineRule="auto"/>
              <w:jc w:val="both"/>
              <w:rPr>
                <w:rFonts w:ascii="Book Antiqua" w:hAnsi="Book Antiqua"/>
                <w:color w:val="000000"/>
                <w:vertAlign w:val="superscript"/>
              </w:rPr>
            </w:pPr>
          </w:p>
        </w:tc>
      </w:tr>
      <w:tr w:rsidR="00BA6BF8" w14:paraId="3ED25DBA" w14:textId="77777777">
        <w:trPr>
          <w:cantSplit/>
          <w:trHeight w:val="300"/>
          <w:jc w:val="center"/>
        </w:trPr>
        <w:tc>
          <w:tcPr>
            <w:tcW w:w="5932" w:type="dxa"/>
            <w:vAlign w:val="center"/>
          </w:tcPr>
          <w:p w14:paraId="76CF8286" w14:textId="77777777" w:rsidR="00BA6BF8" w:rsidRDefault="00BA6BF8">
            <w:pPr>
              <w:snapToGrid w:val="0"/>
              <w:spacing w:line="360" w:lineRule="auto"/>
              <w:jc w:val="both"/>
              <w:rPr>
                <w:rFonts w:ascii="Book Antiqua" w:hAnsi="Book Antiqua"/>
                <w:color w:val="000000"/>
              </w:rPr>
            </w:pPr>
          </w:p>
        </w:tc>
        <w:tc>
          <w:tcPr>
            <w:tcW w:w="2340" w:type="dxa"/>
            <w:vAlign w:val="center"/>
          </w:tcPr>
          <w:p w14:paraId="11CF576D"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miR-199a-3-5p</w:t>
            </w:r>
          </w:p>
        </w:tc>
        <w:tc>
          <w:tcPr>
            <w:tcW w:w="1134" w:type="dxa"/>
            <w:vMerge/>
            <w:vAlign w:val="center"/>
          </w:tcPr>
          <w:p w14:paraId="5A59B71B" w14:textId="77777777" w:rsidR="00BA6BF8" w:rsidRDefault="00BA6BF8">
            <w:pPr>
              <w:snapToGrid w:val="0"/>
              <w:spacing w:line="360" w:lineRule="auto"/>
              <w:jc w:val="both"/>
              <w:rPr>
                <w:rFonts w:ascii="Book Antiqua" w:hAnsi="Book Antiqua"/>
                <w:color w:val="000000"/>
                <w:vertAlign w:val="superscript"/>
              </w:rPr>
            </w:pPr>
          </w:p>
        </w:tc>
      </w:tr>
      <w:tr w:rsidR="00BA6BF8" w14:paraId="043730D6" w14:textId="77777777">
        <w:trPr>
          <w:cantSplit/>
          <w:trHeight w:val="300"/>
          <w:jc w:val="center"/>
        </w:trPr>
        <w:tc>
          <w:tcPr>
            <w:tcW w:w="5932" w:type="dxa"/>
            <w:vAlign w:val="center"/>
          </w:tcPr>
          <w:p w14:paraId="27627706" w14:textId="77777777" w:rsidR="00BA6BF8" w:rsidRDefault="00BA6BF8">
            <w:pPr>
              <w:snapToGrid w:val="0"/>
              <w:spacing w:line="360" w:lineRule="auto"/>
              <w:jc w:val="both"/>
              <w:rPr>
                <w:rFonts w:ascii="Book Antiqua" w:hAnsi="Book Antiqua"/>
                <w:color w:val="000000"/>
              </w:rPr>
            </w:pPr>
          </w:p>
        </w:tc>
        <w:tc>
          <w:tcPr>
            <w:tcW w:w="2340" w:type="dxa"/>
            <w:vAlign w:val="center"/>
          </w:tcPr>
          <w:p w14:paraId="077CDB7A"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miR-26b-5p</w:t>
            </w:r>
          </w:p>
        </w:tc>
        <w:tc>
          <w:tcPr>
            <w:tcW w:w="1134" w:type="dxa"/>
            <w:vMerge/>
            <w:vAlign w:val="center"/>
          </w:tcPr>
          <w:p w14:paraId="5BFC96EF" w14:textId="77777777" w:rsidR="00BA6BF8" w:rsidRDefault="00BA6BF8">
            <w:pPr>
              <w:snapToGrid w:val="0"/>
              <w:spacing w:line="360" w:lineRule="auto"/>
              <w:jc w:val="both"/>
              <w:rPr>
                <w:rFonts w:ascii="Book Antiqua" w:hAnsi="Book Antiqua"/>
                <w:color w:val="000000"/>
                <w:vertAlign w:val="superscript"/>
              </w:rPr>
            </w:pPr>
          </w:p>
        </w:tc>
      </w:tr>
      <w:tr w:rsidR="00BA6BF8" w14:paraId="6F749AC8" w14:textId="77777777">
        <w:trPr>
          <w:cantSplit/>
          <w:trHeight w:val="300"/>
          <w:jc w:val="center"/>
        </w:trPr>
        <w:tc>
          <w:tcPr>
            <w:tcW w:w="5932" w:type="dxa"/>
            <w:vAlign w:val="center"/>
          </w:tcPr>
          <w:p w14:paraId="54592555" w14:textId="77777777" w:rsidR="00BA6BF8" w:rsidRDefault="00BA6BF8">
            <w:pPr>
              <w:snapToGrid w:val="0"/>
              <w:spacing w:line="360" w:lineRule="auto"/>
              <w:jc w:val="both"/>
              <w:rPr>
                <w:rFonts w:ascii="Book Antiqua" w:hAnsi="Book Antiqua"/>
                <w:color w:val="000000"/>
              </w:rPr>
            </w:pPr>
          </w:p>
        </w:tc>
        <w:tc>
          <w:tcPr>
            <w:tcW w:w="2340" w:type="dxa"/>
            <w:vAlign w:val="center"/>
          </w:tcPr>
          <w:p w14:paraId="7AFA126E"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miR-30b-5p</w:t>
            </w:r>
          </w:p>
        </w:tc>
        <w:tc>
          <w:tcPr>
            <w:tcW w:w="1134" w:type="dxa"/>
            <w:vMerge/>
            <w:vAlign w:val="center"/>
          </w:tcPr>
          <w:p w14:paraId="66A1FD05" w14:textId="77777777" w:rsidR="00BA6BF8" w:rsidRDefault="00BA6BF8">
            <w:pPr>
              <w:snapToGrid w:val="0"/>
              <w:spacing w:line="360" w:lineRule="auto"/>
              <w:jc w:val="both"/>
              <w:rPr>
                <w:rFonts w:ascii="Book Antiqua" w:hAnsi="Book Antiqua"/>
                <w:color w:val="000000"/>
                <w:vertAlign w:val="superscript"/>
              </w:rPr>
            </w:pPr>
          </w:p>
        </w:tc>
      </w:tr>
      <w:tr w:rsidR="00BA6BF8" w14:paraId="3E5376AC" w14:textId="77777777">
        <w:trPr>
          <w:cantSplit/>
          <w:trHeight w:val="300"/>
          <w:jc w:val="center"/>
        </w:trPr>
        <w:tc>
          <w:tcPr>
            <w:tcW w:w="5932" w:type="dxa"/>
            <w:vAlign w:val="center"/>
          </w:tcPr>
          <w:p w14:paraId="6762CF0F" w14:textId="77777777" w:rsidR="00BA6BF8" w:rsidRDefault="00BA6BF8">
            <w:pPr>
              <w:snapToGrid w:val="0"/>
              <w:spacing w:line="360" w:lineRule="auto"/>
              <w:jc w:val="both"/>
              <w:rPr>
                <w:rFonts w:ascii="Book Antiqua" w:hAnsi="Book Antiqua"/>
                <w:color w:val="000000"/>
              </w:rPr>
            </w:pPr>
          </w:p>
        </w:tc>
        <w:tc>
          <w:tcPr>
            <w:tcW w:w="2340" w:type="dxa"/>
            <w:vAlign w:val="center"/>
          </w:tcPr>
          <w:p w14:paraId="54AE5B93"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miR-374a-5p</w:t>
            </w:r>
          </w:p>
        </w:tc>
        <w:tc>
          <w:tcPr>
            <w:tcW w:w="1134" w:type="dxa"/>
            <w:vMerge/>
            <w:vAlign w:val="center"/>
          </w:tcPr>
          <w:p w14:paraId="3FFBEA2C" w14:textId="77777777" w:rsidR="00BA6BF8" w:rsidRDefault="00BA6BF8">
            <w:pPr>
              <w:snapToGrid w:val="0"/>
              <w:spacing w:line="360" w:lineRule="auto"/>
              <w:jc w:val="both"/>
              <w:rPr>
                <w:rFonts w:ascii="Book Antiqua" w:hAnsi="Book Antiqua"/>
                <w:color w:val="000000"/>
                <w:vertAlign w:val="superscript"/>
              </w:rPr>
            </w:pPr>
          </w:p>
        </w:tc>
      </w:tr>
      <w:tr w:rsidR="00BA6BF8" w14:paraId="3DCFBAFB" w14:textId="77777777">
        <w:trPr>
          <w:cantSplit/>
          <w:trHeight w:val="300"/>
          <w:jc w:val="center"/>
        </w:trPr>
        <w:tc>
          <w:tcPr>
            <w:tcW w:w="5932" w:type="dxa"/>
            <w:vAlign w:val="center"/>
          </w:tcPr>
          <w:p w14:paraId="22FC7269" w14:textId="77777777" w:rsidR="00BA6BF8" w:rsidRDefault="00BA6BF8">
            <w:pPr>
              <w:snapToGrid w:val="0"/>
              <w:spacing w:line="360" w:lineRule="auto"/>
              <w:jc w:val="both"/>
              <w:rPr>
                <w:rFonts w:ascii="Book Antiqua" w:hAnsi="Book Antiqua"/>
                <w:color w:val="000000"/>
              </w:rPr>
            </w:pPr>
          </w:p>
        </w:tc>
        <w:tc>
          <w:tcPr>
            <w:tcW w:w="2340" w:type="dxa"/>
            <w:vAlign w:val="center"/>
          </w:tcPr>
          <w:p w14:paraId="49BDFC63"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miR-20a-3p</w:t>
            </w:r>
          </w:p>
        </w:tc>
        <w:tc>
          <w:tcPr>
            <w:tcW w:w="1134" w:type="dxa"/>
            <w:vMerge/>
            <w:vAlign w:val="center"/>
          </w:tcPr>
          <w:p w14:paraId="18883E6E" w14:textId="77777777" w:rsidR="00BA6BF8" w:rsidRDefault="00BA6BF8">
            <w:pPr>
              <w:snapToGrid w:val="0"/>
              <w:spacing w:line="360" w:lineRule="auto"/>
              <w:jc w:val="both"/>
              <w:rPr>
                <w:rFonts w:ascii="Book Antiqua" w:hAnsi="Book Antiqua"/>
                <w:color w:val="000000"/>
                <w:vertAlign w:val="superscript"/>
              </w:rPr>
            </w:pPr>
          </w:p>
        </w:tc>
      </w:tr>
      <w:tr w:rsidR="00BA6BF8" w14:paraId="7965C070" w14:textId="77777777">
        <w:trPr>
          <w:cantSplit/>
          <w:trHeight w:val="300"/>
          <w:jc w:val="center"/>
        </w:trPr>
        <w:tc>
          <w:tcPr>
            <w:tcW w:w="5932" w:type="dxa"/>
            <w:vAlign w:val="center"/>
          </w:tcPr>
          <w:p w14:paraId="654511CA" w14:textId="77777777" w:rsidR="00BA6BF8" w:rsidRDefault="00BA6BF8">
            <w:pPr>
              <w:snapToGrid w:val="0"/>
              <w:spacing w:line="360" w:lineRule="auto"/>
              <w:jc w:val="both"/>
              <w:rPr>
                <w:rFonts w:ascii="Book Antiqua" w:hAnsi="Book Antiqua"/>
                <w:color w:val="000000"/>
              </w:rPr>
            </w:pPr>
          </w:p>
        </w:tc>
        <w:tc>
          <w:tcPr>
            <w:tcW w:w="2340" w:type="dxa"/>
            <w:vAlign w:val="center"/>
          </w:tcPr>
          <w:p w14:paraId="25C84DB9"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miR-26a-5p</w:t>
            </w:r>
          </w:p>
        </w:tc>
        <w:tc>
          <w:tcPr>
            <w:tcW w:w="1134" w:type="dxa"/>
            <w:vMerge/>
            <w:vAlign w:val="center"/>
          </w:tcPr>
          <w:p w14:paraId="105A75CC" w14:textId="77777777" w:rsidR="00BA6BF8" w:rsidRDefault="00BA6BF8">
            <w:pPr>
              <w:snapToGrid w:val="0"/>
              <w:spacing w:line="360" w:lineRule="auto"/>
              <w:jc w:val="both"/>
              <w:rPr>
                <w:rFonts w:ascii="Book Antiqua" w:hAnsi="Book Antiqua"/>
                <w:color w:val="000000"/>
                <w:vertAlign w:val="superscript"/>
              </w:rPr>
            </w:pPr>
          </w:p>
        </w:tc>
      </w:tr>
      <w:tr w:rsidR="00BA6BF8" w14:paraId="3D8CCCE7" w14:textId="77777777">
        <w:trPr>
          <w:cantSplit/>
          <w:trHeight w:val="300"/>
          <w:jc w:val="center"/>
        </w:trPr>
        <w:tc>
          <w:tcPr>
            <w:tcW w:w="5932" w:type="dxa"/>
            <w:vAlign w:val="center"/>
          </w:tcPr>
          <w:p w14:paraId="4F9484C5" w14:textId="77777777" w:rsidR="00BA6BF8" w:rsidRDefault="00BA6BF8">
            <w:pPr>
              <w:snapToGrid w:val="0"/>
              <w:spacing w:line="360" w:lineRule="auto"/>
              <w:jc w:val="both"/>
              <w:rPr>
                <w:rFonts w:ascii="Book Antiqua" w:hAnsi="Book Antiqua"/>
                <w:color w:val="000000"/>
              </w:rPr>
            </w:pPr>
          </w:p>
        </w:tc>
        <w:tc>
          <w:tcPr>
            <w:tcW w:w="2340" w:type="dxa"/>
            <w:vAlign w:val="center"/>
          </w:tcPr>
          <w:p w14:paraId="0FB64B9E"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miR-30c-5p</w:t>
            </w:r>
          </w:p>
        </w:tc>
        <w:tc>
          <w:tcPr>
            <w:tcW w:w="1134" w:type="dxa"/>
            <w:vMerge/>
            <w:vAlign w:val="center"/>
          </w:tcPr>
          <w:p w14:paraId="5F7F9BE7" w14:textId="77777777" w:rsidR="00BA6BF8" w:rsidRDefault="00BA6BF8">
            <w:pPr>
              <w:snapToGrid w:val="0"/>
              <w:spacing w:line="360" w:lineRule="auto"/>
              <w:jc w:val="both"/>
              <w:rPr>
                <w:rFonts w:ascii="Book Antiqua" w:hAnsi="Book Antiqua"/>
                <w:color w:val="000000"/>
                <w:vertAlign w:val="superscript"/>
              </w:rPr>
            </w:pPr>
          </w:p>
        </w:tc>
      </w:tr>
      <w:tr w:rsidR="00BA6BF8" w14:paraId="0CFF9D7E" w14:textId="77777777">
        <w:trPr>
          <w:cantSplit/>
          <w:trHeight w:val="300"/>
          <w:jc w:val="center"/>
        </w:trPr>
        <w:tc>
          <w:tcPr>
            <w:tcW w:w="5932" w:type="dxa"/>
            <w:vAlign w:val="center"/>
          </w:tcPr>
          <w:p w14:paraId="5D9D878B" w14:textId="77777777" w:rsidR="00BA6BF8" w:rsidRDefault="00BA6BF8">
            <w:pPr>
              <w:snapToGrid w:val="0"/>
              <w:spacing w:line="360" w:lineRule="auto"/>
              <w:jc w:val="both"/>
              <w:rPr>
                <w:rFonts w:ascii="Book Antiqua" w:hAnsi="Book Antiqua"/>
                <w:color w:val="000000"/>
              </w:rPr>
            </w:pPr>
          </w:p>
        </w:tc>
        <w:tc>
          <w:tcPr>
            <w:tcW w:w="2340" w:type="dxa"/>
            <w:vAlign w:val="center"/>
          </w:tcPr>
          <w:p w14:paraId="7F65C03A"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miR-409-3p</w:t>
            </w:r>
          </w:p>
        </w:tc>
        <w:tc>
          <w:tcPr>
            <w:tcW w:w="1134" w:type="dxa"/>
            <w:vMerge/>
            <w:vAlign w:val="center"/>
          </w:tcPr>
          <w:p w14:paraId="7D8C5E03" w14:textId="77777777" w:rsidR="00BA6BF8" w:rsidRDefault="00BA6BF8">
            <w:pPr>
              <w:snapToGrid w:val="0"/>
              <w:spacing w:line="360" w:lineRule="auto"/>
              <w:jc w:val="both"/>
              <w:rPr>
                <w:rFonts w:ascii="Book Antiqua" w:hAnsi="Book Antiqua"/>
                <w:color w:val="000000"/>
                <w:vertAlign w:val="superscript"/>
              </w:rPr>
            </w:pPr>
          </w:p>
        </w:tc>
      </w:tr>
      <w:tr w:rsidR="00BA6BF8" w14:paraId="61090ECB" w14:textId="77777777">
        <w:trPr>
          <w:cantSplit/>
          <w:trHeight w:val="300"/>
          <w:jc w:val="center"/>
        </w:trPr>
        <w:tc>
          <w:tcPr>
            <w:tcW w:w="5932" w:type="dxa"/>
            <w:vAlign w:val="center"/>
          </w:tcPr>
          <w:p w14:paraId="45499CC0" w14:textId="77777777" w:rsidR="00BA6BF8" w:rsidRDefault="00BA6BF8">
            <w:pPr>
              <w:snapToGrid w:val="0"/>
              <w:spacing w:line="360" w:lineRule="auto"/>
              <w:jc w:val="both"/>
              <w:rPr>
                <w:rFonts w:ascii="Book Antiqua" w:hAnsi="Book Antiqua"/>
                <w:color w:val="000000"/>
              </w:rPr>
            </w:pPr>
          </w:p>
        </w:tc>
        <w:tc>
          <w:tcPr>
            <w:tcW w:w="2340" w:type="dxa"/>
            <w:vAlign w:val="center"/>
          </w:tcPr>
          <w:p w14:paraId="340F5182" w14:textId="77777777" w:rsidR="00BA6BF8" w:rsidRDefault="00000000">
            <w:pPr>
              <w:snapToGrid w:val="0"/>
              <w:spacing w:line="360" w:lineRule="auto"/>
              <w:jc w:val="both"/>
              <w:rPr>
                <w:rFonts w:ascii="Book Antiqua" w:hAnsi="Book Antiqua"/>
                <w:color w:val="000000"/>
              </w:rPr>
            </w:pPr>
            <w:r>
              <w:rPr>
                <w:rFonts w:ascii="Book Antiqua" w:hAnsi="Book Antiqua" w:hint="eastAsia"/>
                <w:color w:val="000000"/>
                <w:lang w:eastAsia="zh-CN"/>
              </w:rPr>
              <w:t>↓</w:t>
            </w:r>
            <w:r>
              <w:rPr>
                <w:rFonts w:ascii="Book Antiqua" w:hAnsi="Book Antiqua"/>
                <w:color w:val="000000"/>
              </w:rPr>
              <w:t>miR-95-3p</w:t>
            </w:r>
          </w:p>
        </w:tc>
        <w:tc>
          <w:tcPr>
            <w:tcW w:w="1134" w:type="dxa"/>
            <w:vMerge/>
            <w:vAlign w:val="center"/>
          </w:tcPr>
          <w:p w14:paraId="4AB6C74F" w14:textId="77777777" w:rsidR="00BA6BF8" w:rsidRDefault="00BA6BF8">
            <w:pPr>
              <w:snapToGrid w:val="0"/>
              <w:spacing w:line="360" w:lineRule="auto"/>
              <w:jc w:val="both"/>
              <w:rPr>
                <w:rFonts w:ascii="Book Antiqua" w:hAnsi="Book Antiqua"/>
                <w:color w:val="000000"/>
                <w:vertAlign w:val="superscript"/>
              </w:rPr>
            </w:pPr>
          </w:p>
        </w:tc>
      </w:tr>
      <w:tr w:rsidR="00BA6BF8" w14:paraId="43966632" w14:textId="77777777">
        <w:trPr>
          <w:cantSplit/>
          <w:trHeight w:val="300"/>
          <w:jc w:val="center"/>
        </w:trPr>
        <w:tc>
          <w:tcPr>
            <w:tcW w:w="5932" w:type="dxa"/>
            <w:vAlign w:val="center"/>
          </w:tcPr>
          <w:p w14:paraId="33896D92"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Apoptosis (T1DM)</w:t>
            </w:r>
          </w:p>
        </w:tc>
        <w:tc>
          <w:tcPr>
            <w:tcW w:w="2340" w:type="dxa"/>
            <w:vAlign w:val="center"/>
          </w:tcPr>
          <w:p w14:paraId="3A3D3C20"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↑miR-21</w:t>
            </w:r>
          </w:p>
        </w:tc>
        <w:tc>
          <w:tcPr>
            <w:tcW w:w="1134" w:type="dxa"/>
            <w:vAlign w:val="center"/>
          </w:tcPr>
          <w:p w14:paraId="5A387968"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fldData xml:space="preserve">PEVuZE5vdGU+PENpdGU+PEF1dGhvcj5SdWFuPC9BdXRob3I+PFllYXI+MjAxMTwvWWVhcj48UmVj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</w:fldData>
              </w:fldChar>
            </w:r>
            <w:r>
              <w:rPr>
                <w:rFonts w:ascii="Book Antiqua" w:hAnsi="Book Antiqua"/>
                <w:color w:val="000000"/>
                <w:vertAlign w:val="superscript"/>
              </w:rPr>
              <w:instrText xml:space="preserve"> ADDIN EN.CITE </w:instrText>
            </w:r>
            <w:r>
              <w:rPr>
                <w:rFonts w:ascii="Book Antiqua" w:hAnsi="Book Antiqua"/>
                <w:color w:val="000000"/>
                <w:vertAlign w:val="superscript"/>
              </w:rPr>
              <w:fldChar w:fldCharType="begin">
                <w:fldData xml:space="preserve">PEVuZE5vdGU+PENpdGU+PEF1dGhvcj5SdWFuPC9BdXRob3I+PFllYXI+MjAxMTwvWWVhcj48UmVj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</w:fldData>
              </w:fldChar>
            </w:r>
            <w:r>
              <w:rPr>
                <w:rFonts w:ascii="Book Antiqua" w:hAnsi="Book Antiqua"/>
                <w:color w:val="000000"/>
                <w:vertAlign w:val="superscript"/>
              </w:rPr>
              <w:instrText xml:space="preserve"> ADDIN EN.CITE.DATA </w:instrText>
            </w:r>
            <w:r>
              <w:rPr>
                <w:rFonts w:ascii="Book Antiqua" w:hAnsi="Book Antiqua"/>
                <w:color w:val="000000"/>
                <w:vertAlign w:val="superscript"/>
              </w:rPr>
            </w:r>
            <w:r>
              <w:rPr>
                <w:rFonts w:ascii="Book Antiqua" w:hAnsi="Book Antiqua"/>
                <w:color w:val="000000"/>
                <w:vertAlign w:val="superscript"/>
              </w:rPr>
              <w:fldChar w:fldCharType="end"/>
            </w:r>
            <w:r>
              <w:rPr>
                <w:rFonts w:ascii="Book Antiqua" w:hAnsi="Book Antiqua"/>
                <w:color w:val="000000"/>
                <w:vertAlign w:val="superscript"/>
              </w:rPr>
            </w:r>
            <w:r>
              <w:rPr>
                <w:rFonts w:ascii="Book Antiqua" w:hAnsi="Book Antiqua"/>
                <w:color w:val="000000"/>
                <w:vertAlign w:val="superscript"/>
              </w:rPr>
              <w:fldChar w:fldCharType="separate"/>
            </w:r>
            <w:r>
              <w:rPr>
                <w:rFonts w:ascii="Book Antiqua" w:hAnsi="Book Antiqua"/>
                <w:color w:val="000000"/>
                <w:vertAlign w:val="superscript"/>
              </w:rPr>
              <w:t>[106,107]</w:t>
            </w:r>
            <w:r>
              <w:rPr>
                <w:rFonts w:ascii="Book Antiqua" w:hAnsi="Book Antiqua"/>
                <w:color w:val="000000"/>
                <w:vertAlign w:val="superscript"/>
              </w:rPr>
              <w:fldChar w:fldCharType="end"/>
            </w:r>
          </w:p>
        </w:tc>
      </w:tr>
      <w:tr w:rsidR="00BA6BF8" w14:paraId="272FD800" w14:textId="77777777">
        <w:trPr>
          <w:cantSplit/>
          <w:trHeight w:val="300"/>
          <w:jc w:val="center"/>
        </w:trPr>
        <w:tc>
          <w:tcPr>
            <w:tcW w:w="5932" w:type="dxa"/>
            <w:vAlign w:val="center"/>
          </w:tcPr>
          <w:p w14:paraId="7BDB56B7" w14:textId="77777777" w:rsidR="00BA6BF8" w:rsidRDefault="00BA6BF8">
            <w:pPr>
              <w:snapToGrid w:val="0"/>
              <w:spacing w:line="360" w:lineRule="auto"/>
              <w:jc w:val="both"/>
              <w:rPr>
                <w:rFonts w:ascii="Book Antiqua" w:hAnsi="Book Antiqua"/>
                <w:color w:val="000000"/>
              </w:rPr>
            </w:pPr>
          </w:p>
        </w:tc>
        <w:tc>
          <w:tcPr>
            <w:tcW w:w="2340" w:type="dxa"/>
            <w:vAlign w:val="center"/>
          </w:tcPr>
          <w:p w14:paraId="289AA06B"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↓miR-23a-3p</w:t>
            </w:r>
          </w:p>
        </w:tc>
        <w:tc>
          <w:tcPr>
            <w:tcW w:w="1134" w:type="dxa"/>
            <w:vMerge w:val="restart"/>
            <w:vAlign w:val="center"/>
          </w:tcPr>
          <w:p w14:paraId="4F08FF1D"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r>
            <w:r>
              <w:rPr>
                <w:rFonts w:ascii="Book Antiqua" w:hAnsi="Book Antiqua"/>
                <w:color w:val="000000"/>
                <w:vertAlign w:val="superscript"/>
              </w:rPr>
              <w:instrText xml:space="preserve"> ADDIN EN.CITE &lt;EndNote&gt;&lt;Cite&gt;&lt;Author&gt;Grieco&lt;/Author&gt;&lt;Year&gt;2016&lt;/Year&gt;&lt;RecNum&gt;640&lt;/RecNum&gt;&lt;DisplayText&gt;[108]&lt;/DisplayText&gt;&lt;record&gt;&lt;rec-number&gt;640&lt;/rec-number&gt;&lt;foreign-keys&gt;&lt;key app="EN" db-id="w259sedv5dvevhertempp0wjwxf5apt95z5a" timestamp="1671384018"&gt;640&lt;/key&gt;&lt;/foreign-keys&gt;&lt;ref-type name="Journal Article"&gt;17&lt;/ref-type&gt;&lt;contributors&gt;&lt;authors&gt;&lt;author&gt;Grieco, Fabio Arturo&lt;/author&gt;&lt;author&gt;Sebastiani, Guido&lt;/author&gt;&lt;author&gt;Juan-Mateu, Jonas&lt;/author&gt;&lt;author&gt;Villate, Olatz&lt;/author&gt;&lt;author&gt;Marroqui, Laura&lt;/author&gt;&lt;author&gt;Ladrière, Laurence&lt;/author&gt;&lt;author&gt;Tugay, Ksenya&lt;/author&gt;&lt;author&gt;Regazzi, Romano&lt;/author&gt;&lt;author&gt;Bugliani, Marco&lt;/author&gt;&lt;author&gt;Marchetti, Piero&lt;/author&gt;&lt;author&gt;Dotta, Francesco&lt;/author&gt;&lt;author&gt;Eizirik, Décio L.&lt;/author&gt;&lt;/authors&gt;&lt;/contributors&gt;&lt;titles&gt;&lt;title&gt;MicroRNAs miR-23a-3p, miR-23b-3p, and miR-149-5p Regulate the Expression of Proapoptotic BH3-Only Proteins DP5 and PUMA in Human Pancreatic β-Cells&lt;/title&gt;&lt;secondary-title&gt;Diabetes&lt;/secondary-title&gt;&lt;/titles&gt;&lt;periodical&gt;&lt;full-title&gt;Diabetes&lt;/full-title&gt;&lt;/periodical&gt;&lt;pages&gt;100-112&lt;/pages&gt;&lt;volume&gt;66&lt;/volume&gt;&lt;number&gt;1&lt;/number&gt;&lt;dates&gt;&lt;year&gt;2016&lt;/year&gt;&lt;/dates&gt;&lt;isbn&gt;0012-1797&lt;/isbn&gt;&lt;urls&gt;&lt;related-urls&gt;&lt;url&gt;https://doi.org/10.2337/db16-0592&lt;/url&gt;&lt;/related-urls&gt;&lt;/urls&gt;&lt;electronic-resource-num&gt;10.2337/db16-0592&lt;/electronic-resource-num&gt;&lt;access-date&gt;12/18/2022&lt;/access-date&gt;&lt;/record&gt;&lt;/Cite&gt;&lt;/EndNote&gt;</w:instrText>
            </w:r>
            <w:r>
              <w:rPr>
                <w:rFonts w:ascii="Book Antiqua" w:hAnsi="Book Antiqua"/>
                <w:color w:val="000000"/>
                <w:vertAlign w:val="superscript"/>
              </w:rPr>
              <w:fldChar w:fldCharType="separate"/>
            </w:r>
            <w:r>
              <w:rPr>
                <w:rFonts w:ascii="Book Antiqua" w:hAnsi="Book Antiqua"/>
                <w:color w:val="000000"/>
                <w:vertAlign w:val="superscript"/>
              </w:rPr>
              <w:t>[108]</w:t>
            </w:r>
            <w:r>
              <w:rPr>
                <w:rFonts w:ascii="Book Antiqua" w:hAnsi="Book Antiqua"/>
                <w:color w:val="000000"/>
                <w:vertAlign w:val="superscript"/>
              </w:rPr>
              <w:fldChar w:fldCharType="end"/>
            </w:r>
          </w:p>
        </w:tc>
      </w:tr>
      <w:tr w:rsidR="00BA6BF8" w14:paraId="213893FD" w14:textId="77777777">
        <w:trPr>
          <w:cantSplit/>
          <w:trHeight w:val="300"/>
          <w:jc w:val="center"/>
        </w:trPr>
        <w:tc>
          <w:tcPr>
            <w:tcW w:w="5932" w:type="dxa"/>
            <w:vAlign w:val="center"/>
          </w:tcPr>
          <w:p w14:paraId="717E3105" w14:textId="77777777" w:rsidR="00BA6BF8" w:rsidRDefault="00BA6BF8">
            <w:pPr>
              <w:snapToGrid w:val="0"/>
              <w:spacing w:line="360" w:lineRule="auto"/>
              <w:jc w:val="both"/>
              <w:rPr>
                <w:rFonts w:ascii="Book Antiqua" w:hAnsi="Book Antiqua"/>
                <w:color w:val="000000"/>
              </w:rPr>
            </w:pPr>
          </w:p>
        </w:tc>
        <w:tc>
          <w:tcPr>
            <w:tcW w:w="2340" w:type="dxa"/>
            <w:vAlign w:val="center"/>
          </w:tcPr>
          <w:p w14:paraId="112B6F6D"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↓miR-23b-3p</w:t>
            </w:r>
          </w:p>
        </w:tc>
        <w:tc>
          <w:tcPr>
            <w:tcW w:w="1134" w:type="dxa"/>
            <w:vMerge/>
            <w:vAlign w:val="center"/>
          </w:tcPr>
          <w:p w14:paraId="4A5E5D92" w14:textId="77777777" w:rsidR="00BA6BF8" w:rsidRDefault="00BA6BF8">
            <w:pPr>
              <w:snapToGrid w:val="0"/>
              <w:spacing w:line="360" w:lineRule="auto"/>
              <w:jc w:val="both"/>
              <w:rPr>
                <w:rFonts w:ascii="Book Antiqua" w:hAnsi="Book Antiqua"/>
                <w:color w:val="000000"/>
                <w:vertAlign w:val="superscript"/>
              </w:rPr>
            </w:pPr>
          </w:p>
        </w:tc>
      </w:tr>
      <w:tr w:rsidR="00BA6BF8" w14:paraId="123C60BA" w14:textId="77777777">
        <w:trPr>
          <w:cantSplit/>
          <w:trHeight w:val="300"/>
          <w:jc w:val="center"/>
        </w:trPr>
        <w:tc>
          <w:tcPr>
            <w:tcW w:w="5932" w:type="dxa"/>
            <w:vAlign w:val="center"/>
          </w:tcPr>
          <w:p w14:paraId="1292249C" w14:textId="77777777" w:rsidR="00BA6BF8" w:rsidRDefault="00BA6BF8">
            <w:pPr>
              <w:snapToGrid w:val="0"/>
              <w:spacing w:line="360" w:lineRule="auto"/>
              <w:jc w:val="both"/>
              <w:rPr>
                <w:rFonts w:ascii="Book Antiqua" w:hAnsi="Book Antiqua"/>
                <w:color w:val="000000"/>
              </w:rPr>
            </w:pPr>
          </w:p>
        </w:tc>
        <w:tc>
          <w:tcPr>
            <w:tcW w:w="2340" w:type="dxa"/>
            <w:vAlign w:val="center"/>
          </w:tcPr>
          <w:p w14:paraId="0B932408"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↓miR-149-5p</w:t>
            </w:r>
          </w:p>
        </w:tc>
        <w:tc>
          <w:tcPr>
            <w:tcW w:w="1134" w:type="dxa"/>
            <w:vMerge/>
            <w:vAlign w:val="center"/>
          </w:tcPr>
          <w:p w14:paraId="26D9F297" w14:textId="77777777" w:rsidR="00BA6BF8" w:rsidRDefault="00BA6BF8">
            <w:pPr>
              <w:snapToGrid w:val="0"/>
              <w:spacing w:line="360" w:lineRule="auto"/>
              <w:jc w:val="both"/>
              <w:rPr>
                <w:rFonts w:ascii="Book Antiqua" w:hAnsi="Book Antiqua"/>
                <w:color w:val="000000"/>
                <w:vertAlign w:val="superscript"/>
              </w:rPr>
            </w:pPr>
          </w:p>
        </w:tc>
      </w:tr>
      <w:tr w:rsidR="00BA6BF8" w14:paraId="10198B77" w14:textId="77777777">
        <w:trPr>
          <w:cantSplit/>
          <w:trHeight w:val="170"/>
          <w:jc w:val="center"/>
        </w:trPr>
        <w:tc>
          <w:tcPr>
            <w:tcW w:w="5932" w:type="dxa"/>
            <w:vAlign w:val="center"/>
          </w:tcPr>
          <w:p w14:paraId="31577931"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Inflammation (T1DM)</w:t>
            </w:r>
          </w:p>
        </w:tc>
        <w:tc>
          <w:tcPr>
            <w:tcW w:w="2340" w:type="dxa"/>
            <w:vAlign w:val="center"/>
          </w:tcPr>
          <w:p w14:paraId="03D11A6E"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↑miR-101a</w:t>
            </w:r>
          </w:p>
        </w:tc>
        <w:tc>
          <w:tcPr>
            <w:tcW w:w="1134" w:type="dxa"/>
            <w:vMerge w:val="restart"/>
            <w:vAlign w:val="center"/>
          </w:tcPr>
          <w:p w14:paraId="07EFA855"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r>
            <w:r>
              <w:rPr>
                <w:rFonts w:ascii="Book Antiqua" w:hAnsi="Book Antiqua"/>
                <w:color w:val="000000"/>
                <w:vertAlign w:val="superscript"/>
              </w:rPr>
              <w:instrText xml:space="preserve"> ADDIN EN.CITE &lt;EndNote&gt;&lt;Cite&gt;&lt;Author&gt;Zheng&lt;/Author&gt;&lt;Year&gt;2015&lt;/Year&gt;&lt;RecNum&gt;641&lt;/RecNum&gt;&lt;DisplayText&gt;[109]&lt;/DisplayText&gt;&lt;record&gt;&lt;rec-number&gt;641&lt;/rec-number&gt;&lt;foreign-keys&gt;&lt;key app="EN" db-id="w259sedv5dvevhertempp0wjwxf5apt95z5a" timestamp="1671384193"&gt;641&lt;/key&gt;&lt;/foreign-keys&gt;&lt;ref-type name="Journal Article"&gt;17&lt;/ref-type&gt;&lt;contributors&gt;&lt;authors&gt;&lt;author&gt;Zheng, Ying&lt;/author&gt;&lt;author&gt;Wang, Zhen&lt;/author&gt;&lt;author&gt;Tu, Yiting&lt;/author&gt;&lt;author&gt;Shen, Hongwei&lt;/author&gt;&lt;author&gt;Dai, Zhijie&lt;/author&gt;&lt;author&gt;Lin, Jian&lt;/author&gt;&lt;author&gt;Zhou, Zhiguang&lt;/author&gt;&lt;/authors&gt;&lt;/contributors&gt;&lt;titles&gt;&lt;title&gt;miR-101a and miR-30b contribute to inflammatory cytokine-mediated β-cell dysfunction&lt;/title&gt;&lt;secondary-title&gt;Laboratory Investigation&lt;/secondary-title&gt;&lt;/titles&gt;&lt;periodical&gt;&lt;full-title&gt;Laboratory Investigation&lt;/full-title&gt;&lt;/periodical&gt;&lt;pages&gt;1387-1397&lt;/pages&gt;&lt;volume&gt;95&lt;/volume&gt;&lt;number&gt;12&lt;/number&gt;&lt;dates&gt;&lt;year&gt;2015&lt;/year&gt;&lt;pub-dates&gt;&lt;date&gt;2015/12/01&lt;/date&gt;&lt;/pub-dates&gt;&lt;/dates&gt;&lt;isbn&gt;1530-0307&lt;/isbn&gt;&lt;urls&gt;&lt;related-urls&gt;&lt;url&gt;https://doi.org/10.1038/labinvest.2015.112&lt;/url&gt;&lt;/related-urls&gt;&lt;/urls&gt;&lt;electronic-resource-num&gt;10.1038/labinvest.2015.112&lt;/electronic-resource-num&gt;&lt;/record&gt;&lt;/Cite&gt;&lt;/EndNote&gt;</w:instrText>
            </w:r>
            <w:r>
              <w:rPr>
                <w:rFonts w:ascii="Book Antiqua" w:hAnsi="Book Antiqua"/>
                <w:color w:val="000000"/>
                <w:vertAlign w:val="superscript"/>
              </w:rPr>
              <w:fldChar w:fldCharType="separate"/>
            </w:r>
            <w:r>
              <w:rPr>
                <w:rFonts w:ascii="Book Antiqua" w:hAnsi="Book Antiqua"/>
                <w:color w:val="000000"/>
                <w:vertAlign w:val="superscript"/>
              </w:rPr>
              <w:t>[109]</w:t>
            </w:r>
            <w:r>
              <w:rPr>
                <w:rFonts w:ascii="Book Antiqua" w:hAnsi="Book Antiqua"/>
                <w:color w:val="000000"/>
                <w:vertAlign w:val="superscript"/>
              </w:rPr>
              <w:fldChar w:fldCharType="end"/>
            </w:r>
          </w:p>
        </w:tc>
      </w:tr>
      <w:tr w:rsidR="00BA6BF8" w14:paraId="5FA2B515" w14:textId="77777777">
        <w:trPr>
          <w:cantSplit/>
          <w:trHeight w:val="300"/>
          <w:jc w:val="center"/>
        </w:trPr>
        <w:tc>
          <w:tcPr>
            <w:tcW w:w="5932" w:type="dxa"/>
            <w:vAlign w:val="center"/>
          </w:tcPr>
          <w:p w14:paraId="3F080BC1" w14:textId="77777777" w:rsidR="00BA6BF8" w:rsidRDefault="00BA6BF8">
            <w:pPr>
              <w:snapToGrid w:val="0"/>
              <w:spacing w:line="360" w:lineRule="auto"/>
              <w:jc w:val="both"/>
              <w:rPr>
                <w:rFonts w:ascii="Book Antiqua" w:hAnsi="Book Antiqua"/>
                <w:color w:val="000000"/>
              </w:rPr>
            </w:pPr>
          </w:p>
        </w:tc>
        <w:tc>
          <w:tcPr>
            <w:tcW w:w="2340" w:type="dxa"/>
            <w:vAlign w:val="center"/>
          </w:tcPr>
          <w:p w14:paraId="32B7B571"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↑miR-30b</w:t>
            </w:r>
          </w:p>
        </w:tc>
        <w:tc>
          <w:tcPr>
            <w:tcW w:w="1134" w:type="dxa"/>
            <w:vMerge/>
            <w:vAlign w:val="center"/>
          </w:tcPr>
          <w:p w14:paraId="4CB89115" w14:textId="77777777" w:rsidR="00BA6BF8" w:rsidRDefault="00BA6BF8">
            <w:pPr>
              <w:snapToGrid w:val="0"/>
              <w:spacing w:line="360" w:lineRule="auto"/>
              <w:jc w:val="both"/>
              <w:rPr>
                <w:rFonts w:ascii="Book Antiqua" w:hAnsi="Book Antiqua"/>
                <w:color w:val="000000"/>
                <w:vertAlign w:val="superscript"/>
              </w:rPr>
            </w:pPr>
          </w:p>
        </w:tc>
      </w:tr>
      <w:tr w:rsidR="00BA6BF8" w14:paraId="2CC831C2" w14:textId="77777777">
        <w:trPr>
          <w:cantSplit/>
          <w:trHeight w:val="300"/>
          <w:jc w:val="center"/>
        </w:trPr>
        <w:tc>
          <w:tcPr>
            <w:tcW w:w="5932" w:type="dxa"/>
            <w:vAlign w:val="center"/>
          </w:tcPr>
          <w:p w14:paraId="0009DA66"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sym w:font="Symbol" w:char="F062"/>
            </w:r>
            <w:r>
              <w:rPr>
                <w:rFonts w:ascii="Book Antiqua" w:hAnsi="Book Antiqua"/>
                <w:color w:val="000000"/>
              </w:rPr>
              <w:t>-cell dysfunction (T1DM)</w:t>
            </w:r>
          </w:p>
        </w:tc>
        <w:tc>
          <w:tcPr>
            <w:tcW w:w="2340" w:type="dxa"/>
            <w:vAlign w:val="center"/>
          </w:tcPr>
          <w:p w14:paraId="150C2086"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↑miR-106b-5p</w:t>
            </w:r>
          </w:p>
        </w:tc>
        <w:tc>
          <w:tcPr>
            <w:tcW w:w="1134" w:type="dxa"/>
            <w:vMerge w:val="restart"/>
            <w:vAlign w:val="center"/>
          </w:tcPr>
          <w:p w14:paraId="0D486144"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fldData xml:space="preserve">PEVuZE5vdGU+PENpdGU+PEF1dGhvcj5Uc3VraXRhPC9BdXRob3I+PFllYXI+MjAxNzwvWWVhcj48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</w:fldData>
              </w:fldChar>
            </w:r>
            <w:r>
              <w:rPr>
                <w:rFonts w:ascii="Book Antiqua" w:hAnsi="Book Antiqua"/>
                <w:color w:val="000000"/>
                <w:vertAlign w:val="superscript"/>
              </w:rPr>
              <w:instrText xml:space="preserve"> ADDIN EN.CITE </w:instrText>
            </w:r>
            <w:r>
              <w:rPr>
                <w:rFonts w:ascii="Book Antiqua" w:hAnsi="Book Antiqua"/>
                <w:color w:val="000000"/>
                <w:vertAlign w:val="superscript"/>
              </w:rPr>
              <w:fldChar w:fldCharType="begin">
                <w:fldData xml:space="preserve">PEVuZE5vdGU+PENpdGU+PEF1dGhvcj5Uc3VraXRhPC9BdXRob3I+PFllYXI+MjAxNzwvWWVhcj48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</w:fldData>
              </w:fldChar>
            </w:r>
            <w:r>
              <w:rPr>
                <w:rFonts w:ascii="Book Antiqua" w:hAnsi="Book Antiqua"/>
                <w:color w:val="000000"/>
                <w:vertAlign w:val="superscript"/>
              </w:rPr>
              <w:instrText xml:space="preserve"> ADDIN EN.CITE.DATA </w:instrText>
            </w:r>
            <w:r>
              <w:rPr>
                <w:rFonts w:ascii="Book Antiqua" w:hAnsi="Book Antiqua"/>
                <w:color w:val="000000"/>
                <w:vertAlign w:val="superscript"/>
              </w:rPr>
            </w:r>
            <w:r>
              <w:rPr>
                <w:rFonts w:ascii="Book Antiqua" w:hAnsi="Book Antiqua"/>
                <w:color w:val="000000"/>
                <w:vertAlign w:val="superscript"/>
              </w:rPr>
              <w:fldChar w:fldCharType="end"/>
            </w:r>
            <w:r>
              <w:rPr>
                <w:rFonts w:ascii="Book Antiqua" w:hAnsi="Book Antiqua"/>
                <w:color w:val="000000"/>
                <w:vertAlign w:val="superscript"/>
              </w:rPr>
            </w:r>
            <w:r>
              <w:rPr>
                <w:rFonts w:ascii="Book Antiqua" w:hAnsi="Book Antiqua"/>
                <w:color w:val="000000"/>
                <w:vertAlign w:val="superscript"/>
              </w:rPr>
              <w:fldChar w:fldCharType="separate"/>
            </w:r>
            <w:r>
              <w:rPr>
                <w:rFonts w:ascii="Book Antiqua" w:hAnsi="Book Antiqua"/>
                <w:color w:val="000000"/>
                <w:vertAlign w:val="superscript"/>
              </w:rPr>
              <w:t>[110,111]</w:t>
            </w:r>
            <w:r>
              <w:rPr>
                <w:rFonts w:ascii="Book Antiqua" w:hAnsi="Book Antiqua"/>
                <w:color w:val="000000"/>
                <w:vertAlign w:val="superscript"/>
              </w:rPr>
              <w:fldChar w:fldCharType="end"/>
            </w:r>
          </w:p>
        </w:tc>
      </w:tr>
      <w:tr w:rsidR="00BA6BF8" w14:paraId="20C16F2C" w14:textId="77777777">
        <w:trPr>
          <w:cantSplit/>
          <w:trHeight w:val="300"/>
          <w:jc w:val="center"/>
        </w:trPr>
        <w:tc>
          <w:tcPr>
            <w:tcW w:w="5932" w:type="dxa"/>
            <w:vAlign w:val="center"/>
          </w:tcPr>
          <w:p w14:paraId="1729AEC6" w14:textId="77777777" w:rsidR="00BA6BF8" w:rsidRDefault="00BA6BF8">
            <w:pPr>
              <w:snapToGrid w:val="0"/>
              <w:spacing w:line="360" w:lineRule="auto"/>
              <w:jc w:val="both"/>
              <w:rPr>
                <w:rFonts w:ascii="Book Antiqua" w:hAnsi="Book Antiqua"/>
                <w:color w:val="000000"/>
              </w:rPr>
            </w:pPr>
          </w:p>
        </w:tc>
        <w:tc>
          <w:tcPr>
            <w:tcW w:w="2340" w:type="dxa"/>
            <w:vAlign w:val="center"/>
          </w:tcPr>
          <w:p w14:paraId="35229448"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↑miR-222-3p</w:t>
            </w:r>
          </w:p>
        </w:tc>
        <w:tc>
          <w:tcPr>
            <w:tcW w:w="1134" w:type="dxa"/>
            <w:vMerge/>
            <w:vAlign w:val="center"/>
          </w:tcPr>
          <w:p w14:paraId="0A9F6A66" w14:textId="77777777" w:rsidR="00BA6BF8" w:rsidRDefault="00BA6BF8">
            <w:pPr>
              <w:snapToGrid w:val="0"/>
              <w:spacing w:line="360" w:lineRule="auto"/>
              <w:jc w:val="both"/>
              <w:rPr>
                <w:rFonts w:ascii="Book Antiqua" w:hAnsi="Book Antiqua"/>
                <w:color w:val="000000"/>
                <w:vertAlign w:val="superscript"/>
              </w:rPr>
            </w:pPr>
          </w:p>
        </w:tc>
      </w:tr>
      <w:tr w:rsidR="00BA6BF8" w14:paraId="3E68DD16" w14:textId="77777777">
        <w:trPr>
          <w:cantSplit/>
          <w:trHeight w:val="300"/>
          <w:jc w:val="center"/>
        </w:trPr>
        <w:tc>
          <w:tcPr>
            <w:tcW w:w="5932" w:type="dxa"/>
            <w:vAlign w:val="center"/>
          </w:tcPr>
          <w:p w14:paraId="37D2B397" w14:textId="77777777" w:rsidR="00BA6BF8" w:rsidRDefault="00BA6BF8">
            <w:pPr>
              <w:snapToGrid w:val="0"/>
              <w:spacing w:line="360" w:lineRule="auto"/>
              <w:jc w:val="both"/>
              <w:rPr>
                <w:rFonts w:ascii="Book Antiqua" w:hAnsi="Book Antiqua"/>
                <w:color w:val="000000"/>
              </w:rPr>
            </w:pPr>
          </w:p>
        </w:tc>
        <w:tc>
          <w:tcPr>
            <w:tcW w:w="2340" w:type="dxa"/>
            <w:vAlign w:val="center"/>
          </w:tcPr>
          <w:p w14:paraId="29408212"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↑miR-181a</w:t>
            </w:r>
          </w:p>
        </w:tc>
        <w:tc>
          <w:tcPr>
            <w:tcW w:w="1134" w:type="dxa"/>
            <w:vMerge/>
            <w:vAlign w:val="center"/>
          </w:tcPr>
          <w:p w14:paraId="2ACABAB1" w14:textId="77777777" w:rsidR="00BA6BF8" w:rsidRDefault="00BA6BF8">
            <w:pPr>
              <w:snapToGrid w:val="0"/>
              <w:spacing w:line="360" w:lineRule="auto"/>
              <w:jc w:val="both"/>
              <w:rPr>
                <w:rFonts w:ascii="Book Antiqua" w:hAnsi="Book Antiqua"/>
                <w:color w:val="000000"/>
                <w:vertAlign w:val="superscript"/>
              </w:rPr>
            </w:pPr>
          </w:p>
        </w:tc>
      </w:tr>
      <w:tr w:rsidR="00BA6BF8" w14:paraId="3D621367" w14:textId="77777777">
        <w:trPr>
          <w:cantSplit/>
          <w:trHeight w:val="300"/>
          <w:jc w:val="center"/>
        </w:trPr>
        <w:tc>
          <w:tcPr>
            <w:tcW w:w="5932" w:type="dxa"/>
            <w:vAlign w:val="center"/>
          </w:tcPr>
          <w:p w14:paraId="57F66517"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lastRenderedPageBreak/>
              <w:t>T-cell dysfunction (T1DM)</w:t>
            </w:r>
          </w:p>
        </w:tc>
        <w:tc>
          <w:tcPr>
            <w:tcW w:w="2340" w:type="dxa"/>
            <w:vAlign w:val="center"/>
          </w:tcPr>
          <w:p w14:paraId="229103DD"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↑miR-26a</w:t>
            </w:r>
          </w:p>
        </w:tc>
        <w:tc>
          <w:tcPr>
            <w:tcW w:w="1134" w:type="dxa"/>
            <w:vAlign w:val="center"/>
          </w:tcPr>
          <w:p w14:paraId="304E0D54"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r>
            <w:r>
              <w:rPr>
                <w:rFonts w:ascii="Book Antiqua" w:hAnsi="Book Antiqua"/>
                <w:color w:val="000000"/>
                <w:vertAlign w:val="superscript"/>
              </w:rPr>
              <w:instrText xml:space="preserve"> ADDIN EN.CITE &lt;EndNote&gt;&lt;Cite&gt;&lt;Author&gt;Zhang&lt;/Author&gt;&lt;Year&gt;2016&lt;/Year&gt;&lt;RecNum&gt;645&lt;/RecNum&gt;&lt;DisplayText&gt;[112]&lt;/DisplayText&gt;&lt;record&gt;&lt;rec-number&gt;645&lt;/rec-number&gt;&lt;foreign-keys&gt;&lt;key app="EN" db-id="w259sedv5dvevhertempp0wjwxf5apt95z5a" timestamp="1671472965"&gt;645&lt;/key&gt;&lt;/foreign-keys&gt;&lt;ref-type name="Journal Article"&gt;17&lt;/ref-type&gt;&lt;contributors&gt;&lt;authors&gt;&lt;author&gt;Zhang, Yuxia&lt;/author&gt;&lt;author&gt;Feng, Zhi-Ping&lt;/author&gt;&lt;author&gt;Naselli, Gaetano&lt;/author&gt;&lt;author&gt;Bell, Fiona&lt;/author&gt;&lt;author&gt;Wettenhall, James&lt;/author&gt;&lt;author&gt;Auyeung, Priscilla&lt;/author&gt;&lt;author&gt;Ellis, Justine A.&lt;/author&gt;&lt;author&gt;Ponsonby, Anne-Louise&lt;/author&gt;&lt;author&gt;Speed, Terence P.&lt;/author&gt;&lt;author&gt;Chong, Mark M. W.&lt;/author&gt;&lt;author&gt;Harrison, Leonard C.&lt;/author&gt;&lt;/authors&gt;&lt;/contributors&gt;&lt;titles&gt;&lt;title&gt;MicroRNAs in CD4+ T cell subsets are markers of disease risk and T cell dysfunction in individuals at risk for type 1 diabetes&lt;/title&gt;&lt;secondary-title&gt;Journal of Autoimmunity&lt;/secondary-title&gt;&lt;/titles&gt;&lt;periodical&gt;&lt;full-title&gt;Journal of Autoimmunity&lt;/full-title&gt;&lt;/periodical&gt;&lt;pages&gt;52-61&lt;/pages&gt;&lt;volume&gt;68&lt;/volume&gt;&lt;keywords&gt;&lt;keyword&gt;Type 1 diabetes&lt;/keyword&gt;&lt;keyword&gt;miRNA&lt;/keyword&gt;&lt;keyword&gt;nTreg&lt;/keyword&gt;&lt;keyword&gt;miR-26a&lt;/keyword&gt;&lt;keyword&gt;EZH2&lt;/keyword&gt;&lt;keyword&gt;FOXP3&lt;/keyword&gt;&lt;keyword&gt;TIGIT&lt;/keyword&gt;&lt;/keywords&gt;&lt;dates&gt;&lt;year&gt;2016&lt;/year&gt;&lt;pub-dates&gt;&lt;date&gt;2016/04/01/&lt;/date&gt;&lt;/pub-dates&gt;&lt;/dates&gt;&lt;isbn&gt;0896-8411&lt;/isbn&gt;&lt;urls&gt;&lt;related-urls&gt;&lt;url&gt;https://www.sciencedirect.com/science/article/pii/S0896841115300603&lt;/url&gt;&lt;/related-urls&gt;&lt;/urls&gt;&lt;electronic-resource-num&gt;https://doi.org/10.1016/j.jaut.2015.12.006&lt;/electronic-resource-num&gt;&lt;/record&gt;&lt;/Cite&gt;&lt;/EndNote&gt;</w:instrText>
            </w:r>
            <w:r>
              <w:rPr>
                <w:rFonts w:ascii="Book Antiqua" w:hAnsi="Book Antiqua"/>
                <w:color w:val="000000"/>
                <w:vertAlign w:val="superscript"/>
              </w:rPr>
              <w:fldChar w:fldCharType="separate"/>
            </w:r>
            <w:r>
              <w:rPr>
                <w:rFonts w:ascii="Book Antiqua" w:hAnsi="Book Antiqua"/>
                <w:color w:val="000000"/>
                <w:vertAlign w:val="superscript"/>
              </w:rPr>
              <w:t>[112]</w:t>
            </w:r>
            <w:r>
              <w:rPr>
                <w:rFonts w:ascii="Book Antiqua" w:hAnsi="Book Antiqua"/>
                <w:color w:val="000000"/>
                <w:vertAlign w:val="superscript"/>
              </w:rPr>
              <w:fldChar w:fldCharType="end"/>
            </w:r>
          </w:p>
        </w:tc>
      </w:tr>
      <w:tr w:rsidR="00BA6BF8" w14:paraId="06E52FF4" w14:textId="77777777">
        <w:trPr>
          <w:cantSplit/>
          <w:trHeight w:val="300"/>
          <w:jc w:val="center"/>
        </w:trPr>
        <w:tc>
          <w:tcPr>
            <w:tcW w:w="5932" w:type="dxa"/>
            <w:vAlign w:val="center"/>
          </w:tcPr>
          <w:p w14:paraId="768F1F9F" w14:textId="77777777" w:rsidR="00BA6BF8" w:rsidRDefault="00BA6BF8">
            <w:pPr>
              <w:snapToGrid w:val="0"/>
              <w:spacing w:line="360" w:lineRule="auto"/>
              <w:jc w:val="both"/>
              <w:rPr>
                <w:rFonts w:ascii="Book Antiqua" w:hAnsi="Book Antiqua"/>
                <w:color w:val="000000"/>
              </w:rPr>
            </w:pPr>
          </w:p>
        </w:tc>
        <w:tc>
          <w:tcPr>
            <w:tcW w:w="2340" w:type="dxa"/>
            <w:vAlign w:val="center"/>
          </w:tcPr>
          <w:p w14:paraId="6BBD025B"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↑miR-98</w:t>
            </w:r>
          </w:p>
        </w:tc>
        <w:tc>
          <w:tcPr>
            <w:tcW w:w="1134" w:type="dxa"/>
            <w:vMerge w:val="restart"/>
            <w:vAlign w:val="center"/>
          </w:tcPr>
          <w:p w14:paraId="4D1056F7"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r>
            <w:r>
              <w:rPr>
                <w:rFonts w:ascii="Book Antiqua" w:hAnsi="Book Antiqua"/>
                <w:color w:val="000000"/>
                <w:vertAlign w:val="superscript"/>
              </w:rPr>
              <w:instrText xml:space="preserve"> ADDIN EN.CITE &lt;EndNote&gt;&lt;Cite&gt;&lt;Author&gt;de Jong&lt;/Author&gt;&lt;Year&gt;2016&lt;/Year&gt;&lt;RecNum&gt;646&lt;/RecNum&gt;&lt;DisplayText&gt;[113]&lt;/DisplayText&gt;&lt;record&gt;&lt;rec-number&gt;646&lt;/rec-number&gt;&lt;foreign-keys&gt;&lt;key app="EN" db-id="w259sedv5dvevhertempp0wjwxf5apt95z5a" timestamp="1671473330"&gt;646&lt;/key&gt;&lt;/foreign-keys&gt;&lt;ref-type name="Journal Article"&gt;17&lt;/ref-type&gt;&lt;contributors&gt;&lt;authors&gt;&lt;author&gt;de Jong, V. M.&lt;/author&gt;&lt;author&gt;van der Slik, A. R.&lt;/author&gt;&lt;author&gt;Laban, S.&lt;/author&gt;&lt;author&gt;van ‘t Slot, R.&lt;/author&gt;&lt;author&gt;Koeleman, B. P. C.&lt;/author&gt;&lt;author&gt;Zaldumbide, A.&lt;/author&gt;&lt;author&gt;Roep, B. O.&lt;/author&gt;&lt;/authors&gt;&lt;/contributors&gt;&lt;titles&gt;&lt;title&gt;Survival of autoreactive T lymphocytes by microRNA-mediated regulation of apoptosis through TRAIL and Fas in type 1 diabetes&lt;/title&gt;&lt;secondary-title&gt;Genes &amp;amp; Immunity&lt;/secondary-title&gt;&lt;/titles&gt;&lt;periodical&gt;&lt;full-title&gt;Genes &amp;amp; Immunity&lt;/full-title&gt;&lt;/periodical&gt;&lt;pages&gt;342-348&lt;/pages&gt;&lt;volume&gt;17&lt;/volume&gt;&lt;number&gt;6&lt;/number&gt;&lt;dates&gt;&lt;year&gt;2016&lt;/year&gt;&lt;pub-dates&gt;&lt;date&gt;2016/09/01&lt;/date&gt;&lt;/pub-dates&gt;&lt;/dates&gt;&lt;isbn&gt;1476-5470&lt;/isbn&gt;&lt;urls&gt;&lt;related-urls&gt;&lt;url&gt;https://doi.org/10.1038/gene.2016.29&lt;/url&gt;&lt;/related-urls&gt;&lt;/urls&gt;&lt;electronic-resource-num&gt;10.1038/gene.2016.29&lt;/electronic-resource-num&gt;&lt;/record&gt;&lt;/Cite&gt;&lt;/EndNote&gt;</w:instrText>
            </w:r>
            <w:r>
              <w:rPr>
                <w:rFonts w:ascii="Book Antiqua" w:hAnsi="Book Antiqua"/>
                <w:color w:val="000000"/>
                <w:vertAlign w:val="superscript"/>
              </w:rPr>
              <w:fldChar w:fldCharType="separate"/>
            </w:r>
            <w:r>
              <w:rPr>
                <w:rFonts w:ascii="Book Antiqua" w:hAnsi="Book Antiqua"/>
                <w:color w:val="000000"/>
                <w:vertAlign w:val="superscript"/>
              </w:rPr>
              <w:t>[113]</w:t>
            </w:r>
            <w:r>
              <w:rPr>
                <w:rFonts w:ascii="Book Antiqua" w:hAnsi="Book Antiqua"/>
                <w:color w:val="000000"/>
                <w:vertAlign w:val="superscript"/>
              </w:rPr>
              <w:fldChar w:fldCharType="end"/>
            </w:r>
          </w:p>
        </w:tc>
      </w:tr>
      <w:tr w:rsidR="00BA6BF8" w14:paraId="659C6342" w14:textId="77777777">
        <w:trPr>
          <w:cantSplit/>
          <w:trHeight w:val="300"/>
          <w:jc w:val="center"/>
        </w:trPr>
        <w:tc>
          <w:tcPr>
            <w:tcW w:w="5932" w:type="dxa"/>
            <w:vAlign w:val="center"/>
          </w:tcPr>
          <w:p w14:paraId="216D5E89" w14:textId="77777777" w:rsidR="00BA6BF8" w:rsidRDefault="00BA6BF8">
            <w:pPr>
              <w:snapToGrid w:val="0"/>
              <w:spacing w:line="360" w:lineRule="auto"/>
              <w:jc w:val="both"/>
              <w:rPr>
                <w:rFonts w:ascii="Book Antiqua" w:hAnsi="Book Antiqua"/>
                <w:color w:val="000000"/>
              </w:rPr>
            </w:pPr>
          </w:p>
        </w:tc>
        <w:tc>
          <w:tcPr>
            <w:tcW w:w="2340" w:type="dxa"/>
            <w:vAlign w:val="center"/>
          </w:tcPr>
          <w:p w14:paraId="7BD07EC4"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↑miR-23b</w:t>
            </w:r>
          </w:p>
        </w:tc>
        <w:tc>
          <w:tcPr>
            <w:tcW w:w="1134" w:type="dxa"/>
            <w:vMerge/>
            <w:vAlign w:val="center"/>
          </w:tcPr>
          <w:p w14:paraId="089C0C9C" w14:textId="77777777" w:rsidR="00BA6BF8" w:rsidRDefault="00BA6BF8">
            <w:pPr>
              <w:snapToGrid w:val="0"/>
              <w:spacing w:line="360" w:lineRule="auto"/>
              <w:jc w:val="both"/>
              <w:rPr>
                <w:rFonts w:ascii="Book Antiqua" w:hAnsi="Book Antiqua"/>
                <w:color w:val="000000"/>
                <w:vertAlign w:val="superscript"/>
              </w:rPr>
            </w:pPr>
          </w:p>
        </w:tc>
      </w:tr>
      <w:tr w:rsidR="00BA6BF8" w14:paraId="39DA7441" w14:textId="77777777">
        <w:trPr>
          <w:cantSplit/>
          <w:trHeight w:val="300"/>
          <w:jc w:val="center"/>
        </w:trPr>
        <w:tc>
          <w:tcPr>
            <w:tcW w:w="5932" w:type="dxa"/>
            <w:vAlign w:val="center"/>
          </w:tcPr>
          <w:p w14:paraId="3B98C9B9" w14:textId="77777777" w:rsidR="00BA6BF8" w:rsidRDefault="00BA6BF8">
            <w:pPr>
              <w:snapToGrid w:val="0"/>
              <w:spacing w:line="360" w:lineRule="auto"/>
              <w:jc w:val="both"/>
              <w:rPr>
                <w:rFonts w:ascii="Book Antiqua" w:hAnsi="Book Antiqua"/>
                <w:color w:val="000000"/>
              </w:rPr>
            </w:pPr>
          </w:p>
        </w:tc>
        <w:tc>
          <w:tcPr>
            <w:tcW w:w="2340" w:type="dxa"/>
            <w:vAlign w:val="center"/>
          </w:tcPr>
          <w:p w14:paraId="6F7F8383"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↑miR-590-5p</w:t>
            </w:r>
          </w:p>
        </w:tc>
        <w:tc>
          <w:tcPr>
            <w:tcW w:w="1134" w:type="dxa"/>
            <w:vMerge/>
            <w:vAlign w:val="center"/>
          </w:tcPr>
          <w:p w14:paraId="09E53978" w14:textId="77777777" w:rsidR="00BA6BF8" w:rsidRDefault="00BA6BF8">
            <w:pPr>
              <w:snapToGrid w:val="0"/>
              <w:spacing w:line="360" w:lineRule="auto"/>
              <w:jc w:val="both"/>
              <w:rPr>
                <w:rFonts w:ascii="Book Antiqua" w:hAnsi="Book Antiqua"/>
                <w:color w:val="000000"/>
                <w:vertAlign w:val="superscript"/>
              </w:rPr>
            </w:pPr>
          </w:p>
        </w:tc>
      </w:tr>
      <w:tr w:rsidR="00BA6BF8" w14:paraId="0CD8F71A" w14:textId="77777777">
        <w:trPr>
          <w:cantSplit/>
          <w:trHeight w:val="300"/>
          <w:jc w:val="center"/>
        </w:trPr>
        <w:tc>
          <w:tcPr>
            <w:tcW w:w="5932" w:type="dxa"/>
            <w:vAlign w:val="center"/>
          </w:tcPr>
          <w:p w14:paraId="0CAABC48"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sym w:font="Symbol" w:char="F062"/>
            </w:r>
            <w:r>
              <w:rPr>
                <w:rFonts w:ascii="Book Antiqua" w:hAnsi="Book Antiqua"/>
                <w:color w:val="000000"/>
              </w:rPr>
              <w:t>-cell lymphopoiesis (T1DM)</w:t>
            </w:r>
          </w:p>
        </w:tc>
        <w:tc>
          <w:tcPr>
            <w:tcW w:w="2340" w:type="dxa"/>
            <w:vAlign w:val="center"/>
          </w:tcPr>
          <w:p w14:paraId="0D05C165"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↑miR-34a</w:t>
            </w:r>
          </w:p>
        </w:tc>
        <w:tc>
          <w:tcPr>
            <w:tcW w:w="1134" w:type="dxa"/>
            <w:vAlign w:val="center"/>
          </w:tcPr>
          <w:p w14:paraId="30D8EBC0"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r>
            <w:r>
              <w:rPr>
                <w:rFonts w:ascii="Book Antiqua" w:hAnsi="Book Antiqua"/>
                <w:color w:val="000000"/>
                <w:vertAlign w:val="superscript"/>
              </w:rPr>
              <w:instrText xml:space="preserve"> ADDIN EN.CITE &lt;EndNote&gt;&lt;Cite&gt;&lt;Author&gt;Berry&lt;/Author&gt;&lt;Year&gt;2014&lt;/Year&gt;&lt;RecNum&gt;647&lt;/RecNum&gt;&lt;DisplayText&gt;[114]&lt;/DisplayText&gt;&lt;record&gt;&lt;rec-number&gt;647&lt;/rec-number&gt;&lt;foreign-keys&gt;&lt;key app="EN" db-id="w259sedv5dvevhertempp0wjwxf5apt95z5a" timestamp="1671473388"&gt;647&lt;/key&gt;&lt;/foreign-keys&gt;&lt;ref-type name="Journal Article"&gt;17&lt;/ref-type&gt;&lt;contributors&gt;&lt;authors&gt;&lt;author&gt;Berry, Gregory J.&lt;/author&gt;&lt;author&gt;Budgeon, Lynn R.&lt;/author&gt;&lt;author&gt;Cooper, Timothy K.&lt;/author&gt;&lt;author&gt;Christensen, Neil D.&lt;/author&gt;&lt;author&gt;Waldner, Hanspeter&lt;/author&gt;&lt;/authors&gt;&lt;/contributors&gt;&lt;titles&gt;&lt;title&gt;The type 1 diabetes resistance locus B10 Idd9.3 mediates impaired B-cell lymphopoiesis and implicates microRNA-34a in diabetes protection&lt;/title&gt;&lt;secondary-title&gt;European Journal of Immunology&lt;/secondary-title&gt;&lt;/titles&gt;&lt;periodical&gt;&lt;full-title&gt;European Journal of Immunology&lt;/full-title&gt;&lt;/periodical&gt;&lt;pages&gt;1716-1727&lt;/pages&gt;&lt;volume&gt;44&lt;/volume&gt;&lt;number&gt;6&lt;/number&gt;&lt;dates&gt;&lt;year&gt;2014&lt;/year&gt;&lt;/dates&gt;&lt;isbn&gt;0014-2980&lt;/isbn&gt;&lt;urls&gt;&lt;related-urls&gt;&lt;url&gt;https://onlinelibrary.wiley.com/doi/abs/10.1002/eji.201344116&lt;/url&gt;&lt;/related-urls&gt;&lt;/urls&gt;&lt;electronic-resource-num&gt;https://doi.org/10.1002/eji.201344116&lt;/electronic-resource-num&gt;&lt;/record&gt;&lt;/Cite&gt;&lt;/EndNote&gt;</w:instrText>
            </w:r>
            <w:r>
              <w:rPr>
                <w:rFonts w:ascii="Book Antiqua" w:hAnsi="Book Antiqua"/>
                <w:color w:val="000000"/>
                <w:vertAlign w:val="superscript"/>
              </w:rPr>
              <w:fldChar w:fldCharType="separate"/>
            </w:r>
            <w:r>
              <w:rPr>
                <w:rFonts w:ascii="Book Antiqua" w:hAnsi="Book Antiqua"/>
                <w:color w:val="000000"/>
                <w:vertAlign w:val="superscript"/>
              </w:rPr>
              <w:t>[114]</w:t>
            </w:r>
            <w:r>
              <w:rPr>
                <w:rFonts w:ascii="Book Antiqua" w:hAnsi="Book Antiqua"/>
                <w:color w:val="000000"/>
                <w:vertAlign w:val="superscript"/>
              </w:rPr>
              <w:fldChar w:fldCharType="end"/>
            </w:r>
          </w:p>
        </w:tc>
      </w:tr>
      <w:tr w:rsidR="00BA6BF8" w14:paraId="1B79A806" w14:textId="77777777">
        <w:trPr>
          <w:cantSplit/>
          <w:trHeight w:val="300"/>
          <w:jc w:val="center"/>
        </w:trPr>
        <w:tc>
          <w:tcPr>
            <w:tcW w:w="5932" w:type="dxa"/>
            <w:vAlign w:val="center"/>
          </w:tcPr>
          <w:p w14:paraId="7A8C4575"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DNA damage checkpoint (T1DM)</w:t>
            </w:r>
          </w:p>
        </w:tc>
        <w:tc>
          <w:tcPr>
            <w:tcW w:w="2340" w:type="dxa"/>
            <w:vAlign w:val="center"/>
          </w:tcPr>
          <w:p w14:paraId="72518F5D"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↑miR-200</w:t>
            </w:r>
          </w:p>
        </w:tc>
        <w:tc>
          <w:tcPr>
            <w:tcW w:w="1134" w:type="dxa"/>
            <w:vAlign w:val="center"/>
          </w:tcPr>
          <w:p w14:paraId="3DF5D859"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r>
            <w:r>
              <w:rPr>
                <w:rFonts w:ascii="Book Antiqua" w:hAnsi="Book Antiqua"/>
                <w:color w:val="000000"/>
                <w:vertAlign w:val="superscript"/>
              </w:rPr>
              <w:instrText xml:space="preserve"> ADDIN EN.CITE &lt;EndNote&gt;&lt;Cite&gt;&lt;Author&gt;Bhatt&lt;/Author&gt;&lt;Year&gt;2015&lt;/Year&gt;&lt;RecNum&gt;648&lt;/RecNum&gt;&lt;DisplayText&gt;[115]&lt;/DisplayText&gt;&lt;record&gt;&lt;rec-number&gt;648&lt;/rec-number&gt;&lt;foreign-keys&gt;&lt;key app="EN" db-id="w259sedv5dvevhertempp0wjwxf5apt95z5a" timestamp="1671473411"&gt;648&lt;/key&gt;&lt;/foreign-keys&gt;&lt;ref-type name="Journal Article"&gt;17&lt;/ref-type&gt;&lt;contributors&gt;&lt;authors&gt;&lt;author&gt;Bhatt, Shweta&lt;/author&gt;&lt;author&gt;Gupta, Manoj K&lt;/author&gt;&lt;author&gt;Khamaisi, Mogher&lt;/author&gt;&lt;author&gt;Martinez, Rachael&lt;/author&gt;&lt;author&gt;Gritsenko, Marina A&lt;/author&gt;&lt;author&gt;Wagner, Bridget K&lt;/author&gt;&lt;author&gt;Guye, Patrick&lt;/author&gt;&lt;author&gt;Busskamp, Volker&lt;/author&gt;&lt;author&gt;Shirakawa, Jun&lt;/author&gt;&lt;author&gt;Wu, Gongxiong&lt;/author&gt;&lt;author&gt;Liew, Chong Wee&lt;/author&gt;&lt;author&gt;Clauss, Therese R&lt;/author&gt;&lt;author&gt;Valdez, Ivan&lt;/author&gt;&lt;author&gt;El Ouaamari, Abdelfattah&lt;/author&gt;&lt;author&gt;Dirice, Ercument&lt;/author&gt;&lt;author&gt;Takatani, Tomozumi&lt;/author&gt;&lt;author&gt;Keenan, Hillary A&lt;/author&gt;&lt;author&gt;Smith, Richard D&lt;/author&gt;&lt;author&gt;Church, George&lt;/author&gt;&lt;author&gt;Weiss, Ron&lt;/author&gt;&lt;author&gt;Wagers, Amy J&lt;/author&gt;&lt;author&gt;Qian, Wei-Jun&lt;/author&gt;&lt;author&gt;King, George L&lt;/author&gt;&lt;author&gt;Kulkarni, Rohit N&lt;/author&gt;&lt;/authors&gt;&lt;/contributors&gt;&lt;titles&gt;&lt;title&gt;Preserved DNA Damage Checkpoint Pathway Protects against Complications in Long-Standing Type 1 Diabetes&lt;/title&gt;&lt;secondary-title&gt;Cell Metabolism&lt;/secondary-title&gt;&lt;/titles&gt;&lt;periodical&gt;&lt;full-title&gt;Cell Metabolism&lt;/full-title&gt;&lt;/periodical&gt;&lt;pages&gt;239-252&lt;/pages&gt;&lt;volume&gt;22&lt;/volume&gt;&lt;number&gt;2&lt;/number&gt;&lt;dates&gt;&lt;year&gt;2015&lt;/year&gt;&lt;pub-dates&gt;&lt;date&gt;2015/08/04/&lt;/date&gt;&lt;/pub-dates&gt;&lt;/dates&gt;&lt;isbn&gt;1550-4131&lt;/isbn&gt;&lt;urls&gt;&lt;related-urls&gt;&lt;url&gt;https://www.sciencedirect.com/science/article/pii/S1550413115003447&lt;/url&gt;&lt;/related-urls&gt;&lt;/urls&gt;&lt;electronic-resource-num&gt;https://doi.org/10.1016/j.cmet.2015.07.015&lt;/electronic-resource-num&gt;&lt;/record&gt;&lt;/Cite&gt;&lt;/EndNote&gt;</w:instrText>
            </w:r>
            <w:r>
              <w:rPr>
                <w:rFonts w:ascii="Book Antiqua" w:hAnsi="Book Antiqua"/>
                <w:color w:val="000000"/>
                <w:vertAlign w:val="superscript"/>
              </w:rPr>
              <w:fldChar w:fldCharType="separate"/>
            </w:r>
            <w:r>
              <w:rPr>
                <w:rFonts w:ascii="Book Antiqua" w:hAnsi="Book Antiqua"/>
                <w:color w:val="000000"/>
                <w:vertAlign w:val="superscript"/>
              </w:rPr>
              <w:t>[115]</w:t>
            </w:r>
            <w:r>
              <w:rPr>
                <w:rFonts w:ascii="Book Antiqua" w:hAnsi="Book Antiqua"/>
                <w:color w:val="000000"/>
                <w:vertAlign w:val="superscript"/>
              </w:rPr>
              <w:fldChar w:fldCharType="end"/>
            </w:r>
          </w:p>
        </w:tc>
      </w:tr>
      <w:tr w:rsidR="00BA6BF8" w14:paraId="2F8E9FE2" w14:textId="77777777">
        <w:trPr>
          <w:cantSplit/>
          <w:trHeight w:val="300"/>
          <w:jc w:val="center"/>
        </w:trPr>
        <w:tc>
          <w:tcPr>
            <w:tcW w:w="5932" w:type="dxa"/>
            <w:vAlign w:val="center"/>
          </w:tcPr>
          <w:p w14:paraId="252FB1EB"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Apoptosis (T1DM)</w:t>
            </w:r>
          </w:p>
        </w:tc>
        <w:tc>
          <w:tcPr>
            <w:tcW w:w="2340" w:type="dxa"/>
            <w:vAlign w:val="center"/>
          </w:tcPr>
          <w:p w14:paraId="31C93FA4"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↓miR-144</w:t>
            </w:r>
          </w:p>
        </w:tc>
        <w:tc>
          <w:tcPr>
            <w:tcW w:w="1134" w:type="dxa"/>
            <w:vAlign w:val="center"/>
          </w:tcPr>
          <w:p w14:paraId="109B440F"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r>
            <w:r>
              <w:rPr>
                <w:rFonts w:ascii="Book Antiqua" w:hAnsi="Book Antiqua"/>
                <w:color w:val="000000"/>
                <w:vertAlign w:val="superscript"/>
              </w:rPr>
              <w:instrText xml:space="preserve"> ADDIN EN.CITE &lt;EndNote&gt;&lt;Cite&gt;&lt;Author&gt;Yu&lt;/Author&gt;&lt;Year&gt;2015&lt;/Year&gt;&lt;RecNum&gt;649&lt;/RecNum&gt;&lt;DisplayText&gt;[116]&lt;/DisplayText&gt;&lt;record&gt;&lt;rec-number&gt;649&lt;/rec-number&gt;&lt;foreign-keys&gt;&lt;key app="EN" db-id="w259sedv5dvevhertempp0wjwxf5apt95z5a" timestamp="1671473428"&gt;649&lt;/key&gt;&lt;/foreign-keys&gt;&lt;ref-type name="Journal Article"&gt;17&lt;/ref-type&gt;&lt;contributors&gt;&lt;authors&gt;&lt;author&gt;Yu, Manli&lt;/author&gt;&lt;author&gt;Liu, Yu&lt;/author&gt;&lt;author&gt;Zhang, Bili&lt;/author&gt;&lt;author&gt;Shi, Yicheng&lt;/author&gt;&lt;author&gt;Cui, Ling&lt;/author&gt;&lt;author&gt;Zhao, Xianxian&lt;/author&gt;&lt;/authors&gt;&lt;/contributors&gt;&lt;titles&gt;&lt;title&gt;Inhibiting microRNA-144 abates oxidative stress and reduces apoptosis in hearts of streptozotocin-induced diabetic mice&lt;/title&gt;&lt;secondary-title&gt;Cardiovascular Pathology&lt;/secondary-title&gt;&lt;/titles&gt;&lt;periodical&gt;&lt;full-title&gt;Cardiovascular Pathology&lt;/full-title&gt;&lt;/periodical&gt;&lt;pages&gt;375-381&lt;/pages&gt;&lt;volume&gt;24&lt;/volume&gt;&lt;number&gt;6&lt;/number&gt;&lt;keywords&gt;&lt;keyword&gt;Streptozotocin&lt;/keyword&gt;&lt;keyword&gt;Diabetic cardiomyopathy&lt;/keyword&gt;&lt;keyword&gt;MicroRNA-144&lt;/keyword&gt;&lt;keyword&gt;Nuclear factor-erythroid 2-related factor 2&lt;/keyword&gt;&lt;keyword&gt;Oxidative stress&lt;/keyword&gt;&lt;/keywords&gt;&lt;dates&gt;&lt;year&gt;2015&lt;/year&gt;&lt;pub-dates&gt;&lt;date&gt;2015/11/01/&lt;/date&gt;&lt;/pub-dates&gt;&lt;/dates&gt;&lt;isbn&gt;1054-8807&lt;/isbn&gt;&lt;urls&gt;&lt;related-urls&gt;&lt;url&gt;https://www.sciencedirect.com/science/article/pii/S1054880715000770&lt;/url&gt;&lt;/related-urls&gt;&lt;/urls&gt;&lt;electronic-resource-num&gt;https://doi.org/10.1016/j.carpath.2015.06.003&lt;/electronic-resource-num&gt;&lt;/record&gt;&lt;/Cite&gt;&lt;/EndNote&gt;</w:instrText>
            </w:r>
            <w:r>
              <w:rPr>
                <w:rFonts w:ascii="Book Antiqua" w:hAnsi="Book Antiqua"/>
                <w:color w:val="000000"/>
                <w:vertAlign w:val="superscript"/>
              </w:rPr>
              <w:fldChar w:fldCharType="separate"/>
            </w:r>
            <w:r>
              <w:rPr>
                <w:rFonts w:ascii="Book Antiqua" w:hAnsi="Book Antiqua"/>
                <w:color w:val="000000"/>
                <w:vertAlign w:val="superscript"/>
              </w:rPr>
              <w:t>[116]</w:t>
            </w:r>
            <w:r>
              <w:rPr>
                <w:rFonts w:ascii="Book Antiqua" w:hAnsi="Book Antiqua"/>
                <w:color w:val="000000"/>
                <w:vertAlign w:val="superscript"/>
              </w:rPr>
              <w:fldChar w:fldCharType="end"/>
            </w:r>
          </w:p>
        </w:tc>
      </w:tr>
      <w:tr w:rsidR="00BA6BF8" w14:paraId="7604DC7F" w14:textId="77777777">
        <w:trPr>
          <w:cantSplit/>
          <w:trHeight w:val="300"/>
          <w:jc w:val="center"/>
        </w:trPr>
        <w:tc>
          <w:tcPr>
            <w:tcW w:w="5932" w:type="dxa"/>
            <w:vAlign w:val="center"/>
          </w:tcPr>
          <w:p w14:paraId="0D986FEE"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Autoimmune imbalance (T1DM)</w:t>
            </w:r>
          </w:p>
        </w:tc>
        <w:tc>
          <w:tcPr>
            <w:tcW w:w="2340" w:type="dxa"/>
            <w:vAlign w:val="center"/>
          </w:tcPr>
          <w:p w14:paraId="2C0AB43C"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↓miR-146a</w:t>
            </w:r>
          </w:p>
        </w:tc>
        <w:tc>
          <w:tcPr>
            <w:tcW w:w="1134" w:type="dxa"/>
            <w:vAlign w:val="center"/>
          </w:tcPr>
          <w:p w14:paraId="31B1332C"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r>
            <w:r>
              <w:rPr>
                <w:rFonts w:ascii="Book Antiqua" w:hAnsi="Book Antiqua"/>
                <w:color w:val="000000"/>
                <w:vertAlign w:val="superscript"/>
              </w:rPr>
              <w:instrText xml:space="preserve"> ADDIN EN.CITE &lt;EndNote&gt;&lt;Cite&gt;&lt;Author&gt;Yang&lt;/Author&gt;&lt;Year&gt;2015&lt;/Year&gt;&lt;RecNum&gt;650&lt;/RecNum&gt;&lt;DisplayText&gt;[117]&lt;/DisplayText&gt;&lt;record&gt;&lt;rec-number&gt;650&lt;/rec-number&gt;&lt;foreign-keys&gt;&lt;key app="EN" db-id="w259sedv5dvevhertempp0wjwxf5apt95z5a" timestamp="1671473454"&gt;650&lt;/key&gt;&lt;/foreign-keys&gt;&lt;ref-type name="Journal Article"&gt;17&lt;/ref-type&gt;&lt;contributors&gt;&lt;authors&gt;&lt;author&gt;Yang, Minglan&lt;/author&gt;&lt;author&gt;Ye, Lei&lt;/author&gt;&lt;author&gt;Wang, Bokai&lt;/author&gt;&lt;author&gt;Gao, Jie&lt;/author&gt;&lt;author&gt;Liu, Ruixin&lt;/author&gt;&lt;author&gt;Hong, Jie&lt;/author&gt;&lt;author&gt;Wang, Weiqing&lt;/author&gt;&lt;author&gt;Gu, Weiqiong&lt;/author&gt;&lt;author&gt;Ning, Guang&lt;/author&gt;&lt;/authors&gt;&lt;/contributors&gt;&lt;titles&gt;&lt;title&gt;Decreased miR-146 expression in peripheral blood mononuclear cells is correlated with ongoing islet autoimmunity in type 1 diabetes patients 1</w:instrText>
            </w:r>
            <w:r>
              <w:rPr>
                <w:rFonts w:ascii="Book Antiqua" w:eastAsia="MS Gothic" w:hAnsi="Book Antiqua" w:cs="MS Gothic"/>
                <w:color w:val="000000"/>
                <w:vertAlign w:val="superscript"/>
              </w:rPr>
              <w:instrText>型糖尿病患者外周血</w:instrText>
            </w:r>
            <w:r>
              <w:rPr>
                <w:rFonts w:ascii="Book Antiqua" w:eastAsia="Microsoft JhengHei" w:hAnsi="Book Antiqua" w:cs="Microsoft JhengHei"/>
                <w:color w:val="000000"/>
                <w:vertAlign w:val="superscript"/>
              </w:rPr>
              <w:instrText>单</w:instrText>
            </w:r>
            <w:r>
              <w:rPr>
                <w:rFonts w:ascii="Book Antiqua" w:eastAsia="MS Gothic" w:hAnsi="Book Antiqua" w:cs="MS Gothic"/>
                <w:color w:val="000000"/>
                <w:vertAlign w:val="superscript"/>
              </w:rPr>
              <w:instrText>个核</w:instrText>
            </w:r>
            <w:r>
              <w:rPr>
                <w:rFonts w:ascii="Book Antiqua" w:eastAsia="Microsoft JhengHei" w:hAnsi="Book Antiqua" w:cs="Microsoft JhengHei"/>
                <w:color w:val="000000"/>
                <w:vertAlign w:val="superscript"/>
              </w:rPr>
              <w:instrText>细</w:instrText>
            </w:r>
            <w:r>
              <w:rPr>
                <w:rFonts w:ascii="Book Antiqua" w:eastAsia="MS Gothic" w:hAnsi="Book Antiqua" w:cs="MS Gothic"/>
                <w:color w:val="000000"/>
                <w:vertAlign w:val="superscript"/>
              </w:rPr>
              <w:instrText>胞</w:instrText>
            </w:r>
            <w:r>
              <w:rPr>
                <w:rFonts w:ascii="Book Antiqua" w:hAnsi="Book Antiqua"/>
                <w:color w:val="000000"/>
                <w:vertAlign w:val="superscript"/>
              </w:rPr>
              <w:instrText>miR-146</w:instrText>
            </w:r>
            <w:r>
              <w:rPr>
                <w:rFonts w:ascii="Book Antiqua" w:eastAsia="MS Gothic" w:hAnsi="Book Antiqua" w:cs="MS Gothic"/>
                <w:color w:val="000000"/>
                <w:vertAlign w:val="superscript"/>
              </w:rPr>
              <w:instrText>表达下</w:instrText>
            </w:r>
            <w:r>
              <w:rPr>
                <w:rFonts w:ascii="Book Antiqua" w:eastAsia="Microsoft JhengHei" w:hAnsi="Book Antiqua" w:cs="Microsoft JhengHei"/>
                <w:color w:val="000000"/>
                <w:vertAlign w:val="superscript"/>
              </w:rPr>
              <w:instrText>调</w:instrText>
            </w:r>
            <w:r>
              <w:rPr>
                <w:rFonts w:ascii="Book Antiqua" w:eastAsia="MS Gothic" w:hAnsi="Book Antiqua" w:cs="MS Gothic"/>
                <w:color w:val="000000"/>
                <w:vertAlign w:val="superscript"/>
              </w:rPr>
              <w:instrText>与胰</w:instrText>
            </w:r>
            <w:r>
              <w:rPr>
                <w:rFonts w:ascii="Book Antiqua" w:eastAsia="Microsoft JhengHei" w:hAnsi="Book Antiqua" w:cs="Microsoft JhengHei"/>
                <w:color w:val="000000"/>
                <w:vertAlign w:val="superscript"/>
              </w:rPr>
              <w:instrText>岛</w:instrText>
            </w:r>
            <w:r>
              <w:rPr>
                <w:rFonts w:ascii="Book Antiqua" w:eastAsia="MS Gothic" w:hAnsi="Book Antiqua" w:cs="MS Gothic"/>
                <w:color w:val="000000"/>
                <w:vertAlign w:val="superscript"/>
              </w:rPr>
              <w:instrText>持</w:instrText>
            </w:r>
            <w:r>
              <w:rPr>
                <w:rFonts w:ascii="Book Antiqua" w:eastAsia="Microsoft JhengHei" w:hAnsi="Book Antiqua" w:cs="Microsoft JhengHei"/>
                <w:color w:val="000000"/>
                <w:vertAlign w:val="superscript"/>
              </w:rPr>
              <w:instrText>续</w:instrText>
            </w:r>
            <w:r>
              <w:rPr>
                <w:rFonts w:ascii="Book Antiqua" w:eastAsia="MS Gothic" w:hAnsi="Book Antiqua" w:cs="MS Gothic"/>
                <w:color w:val="000000"/>
                <w:vertAlign w:val="superscript"/>
              </w:rPr>
              <w:instrText>免疫失衡相关</w:instrText>
            </w:r>
            <w:r>
              <w:rPr>
                <w:rFonts w:ascii="Book Antiqua" w:hAnsi="Book Antiqua"/>
                <w:color w:val="000000"/>
                <w:vertAlign w:val="superscript"/>
              </w:rPr>
              <w:instrText>&lt;/title&gt;&lt;secondary-title&gt;Journal of Diabetes&lt;/secondary-title&gt;&lt;/titles&gt;&lt;periodical&gt;&lt;full-title&gt;Journal of Diabetes&lt;/full-title&gt;&lt;/periodical&gt;&lt;pages&gt;158-165&lt;/pages&gt;&lt;volume&gt;7&lt;/volume&gt;&lt;number&gt;2&lt;/number&gt;&lt;dates&gt;&lt;year&gt;2015&lt;/year&gt;&lt;/dates&gt;&lt;isbn&gt;1753-0393&lt;/isbn&gt;&lt;urls&gt;&lt;related-urls&gt;&lt;url&gt;https://onlinelibrary.wiley.com/doi/abs/10.1111/1753-0407.12163&lt;/url&gt;&lt;/related-urls&gt;&lt;/urls&gt;&lt;electronic-resource-num&gt;https://doi.org/10.1111/1753-0407.12163&lt;/electronic-resource-num&gt;&lt;/record&gt;&lt;/Cite&gt;&lt;/EndNote&gt;</w:instrText>
            </w:r>
            <w:r>
              <w:rPr>
                <w:rFonts w:ascii="Book Antiqua" w:hAnsi="Book Antiqua"/>
                <w:color w:val="000000"/>
                <w:vertAlign w:val="superscript"/>
              </w:rPr>
              <w:fldChar w:fldCharType="separate"/>
            </w:r>
            <w:r>
              <w:rPr>
                <w:rFonts w:ascii="Book Antiqua" w:hAnsi="Book Antiqua"/>
                <w:color w:val="000000"/>
                <w:vertAlign w:val="superscript"/>
              </w:rPr>
              <w:t>[117]</w:t>
            </w:r>
            <w:r>
              <w:rPr>
                <w:rFonts w:ascii="Book Antiqua" w:hAnsi="Book Antiqua"/>
                <w:color w:val="000000"/>
                <w:vertAlign w:val="superscript"/>
              </w:rPr>
              <w:fldChar w:fldCharType="end"/>
            </w:r>
          </w:p>
        </w:tc>
      </w:tr>
      <w:tr w:rsidR="00BA6BF8" w14:paraId="7CE2567A" w14:textId="77777777">
        <w:trPr>
          <w:cantSplit/>
          <w:trHeight w:val="300"/>
          <w:jc w:val="center"/>
        </w:trPr>
        <w:tc>
          <w:tcPr>
            <w:tcW w:w="5932" w:type="dxa"/>
            <w:vAlign w:val="center"/>
          </w:tcPr>
          <w:p w14:paraId="338BF936"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MODY</w:t>
            </w:r>
          </w:p>
        </w:tc>
        <w:tc>
          <w:tcPr>
            <w:tcW w:w="2340" w:type="dxa"/>
            <w:vAlign w:val="center"/>
          </w:tcPr>
          <w:p w14:paraId="1BE456E0"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↑miR-103</w:t>
            </w:r>
          </w:p>
        </w:tc>
        <w:tc>
          <w:tcPr>
            <w:tcW w:w="1134" w:type="dxa"/>
            <w:vMerge w:val="restart"/>
            <w:vAlign w:val="center"/>
          </w:tcPr>
          <w:p w14:paraId="21E58314"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r>
            <w:r>
              <w:rPr>
                <w:rFonts w:ascii="Book Antiqua" w:hAnsi="Book Antiqua"/>
                <w:color w:val="000000"/>
                <w:vertAlign w:val="superscript"/>
              </w:rPr>
              <w:instrText xml:space="preserve"> ADDIN EN.CITE &lt;EndNote&gt;&lt;Cite&gt;&lt;Author&gt;Bonner&lt;/Author&gt;&lt;Year&gt;2013&lt;/Year&gt;&lt;RecNum&gt;651&lt;/RecNum&gt;&lt;DisplayText&gt;[118]&lt;/DisplayText&gt;&lt;record&gt;&lt;rec-number&gt;651&lt;/rec-number&gt;&lt;foreign-keys&gt;&lt;key app="EN" db-id="w259sedv5dvevhertempp0wjwxf5apt95z5a" timestamp="1671473817"&gt;651&lt;/key&gt;&lt;/foreign-keys&gt;&lt;ref-type name="Journal Article"&gt;17&lt;/ref-type&gt;&lt;contributors&gt;&lt;authors&gt;&lt;author&gt;Bonner, C.&lt;/author&gt;&lt;author&gt;Nyhan, K. C.&lt;/author&gt;&lt;author&gt;Bacon, S.&lt;/author&gt;&lt;author&gt;Kyithar, M. P.&lt;/author&gt;&lt;author&gt;Schmid, J.&lt;/author&gt;&lt;author&gt;Concannon, C. G.&lt;/author&gt;&lt;author&gt;Bray, I. M.&lt;/author&gt;&lt;author&gt;Stallings, R. L.&lt;/author&gt;&lt;author&gt;Prehn, J. H.&lt;/author&gt;&lt;author&gt;Byrne, M. M.&lt;/author&gt;&lt;/authors&gt;&lt;/contributors&gt;&lt;auth-address&gt;Department of Physiology and Medical Physics, Royal College of Surgeons, Dublin, Ireland.&lt;/auth-address&gt;&lt;titles&gt;&lt;title&gt;Identification of circulating microRNAs in HNF1A-MODY carriers&lt;/title&gt;&lt;secondary-title&gt;Diabetologia&lt;/secondary-title&gt;&lt;/titles&gt;&lt;periodical&gt;&lt;full-title&gt;Diabetologia&lt;/full-title&gt;&lt;/periodical&gt;&lt;pages&gt;1743-51&lt;/pages&gt;&lt;volume&gt;56&lt;/volume&gt;&lt;number&gt;8&lt;/number&gt;&lt;edition&gt;20130515&lt;/edition&gt;&lt;keywords&gt;&lt;keyword&gt;Animals&lt;/keyword&gt;&lt;keyword&gt;Diabetes Mellitus, Type 2/*genetics&lt;/keyword&gt;&lt;keyword&gt;Frameshift Mutation/genetics&lt;/keyword&gt;&lt;keyword&gt;Hepatocyte Nuclear Factor 1-alpha/*genetics&lt;/keyword&gt;&lt;keyword&gt;Insulinoma/genetics&lt;/keyword&gt;&lt;keyword&gt;MicroRNAs/*genetics&lt;/keyword&gt;&lt;keyword&gt;Rats&lt;/keyword&gt;&lt;keyword&gt;Real-Time Polymerase Chain Reaction&lt;/keyword&gt;&lt;keyword&gt;T Cell Transcription Factor 1/genetics&lt;/keyword&gt;&lt;/keywords&gt;&lt;dates&gt;&lt;year&gt;2013&lt;/year&gt;&lt;pub-dates&gt;&lt;date&gt;Aug&lt;/date&gt;&lt;/pub-dates&gt;&lt;/dates&gt;&lt;isbn&gt;0012-186x&lt;/isbn&gt;&lt;accession-num&gt;23674172&lt;/accession-num&gt;&lt;urls&gt;&lt;/urls&gt;&lt;electronic-resource-num&gt;10.1007/s00125-013-2939-4&lt;/electronic-resource-num&gt;&lt;remote-database-provider&gt;NLM&lt;/remote-database-provider&gt;&lt;language&gt;eng&lt;/language&gt;&lt;/record&gt;&lt;/Cite&gt;&lt;/EndNote&gt;</w:instrText>
            </w:r>
            <w:r>
              <w:rPr>
                <w:rFonts w:ascii="Book Antiqua" w:hAnsi="Book Antiqua"/>
                <w:color w:val="000000"/>
                <w:vertAlign w:val="superscript"/>
              </w:rPr>
              <w:fldChar w:fldCharType="separate"/>
            </w:r>
            <w:r>
              <w:rPr>
                <w:rFonts w:ascii="Book Antiqua" w:hAnsi="Book Antiqua"/>
                <w:color w:val="000000"/>
                <w:vertAlign w:val="superscript"/>
              </w:rPr>
              <w:t>[118]</w:t>
            </w:r>
            <w:r>
              <w:rPr>
                <w:rFonts w:ascii="Book Antiqua" w:hAnsi="Book Antiqua"/>
                <w:color w:val="000000"/>
                <w:vertAlign w:val="superscript"/>
              </w:rPr>
              <w:fldChar w:fldCharType="end"/>
            </w:r>
          </w:p>
        </w:tc>
      </w:tr>
      <w:tr w:rsidR="00BA6BF8" w14:paraId="6E4CF98B" w14:textId="77777777">
        <w:trPr>
          <w:cantSplit/>
          <w:trHeight w:val="300"/>
          <w:jc w:val="center"/>
        </w:trPr>
        <w:tc>
          <w:tcPr>
            <w:tcW w:w="5932" w:type="dxa"/>
            <w:vAlign w:val="center"/>
          </w:tcPr>
          <w:p w14:paraId="121C79B7"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MODY</w:t>
            </w:r>
          </w:p>
        </w:tc>
        <w:tc>
          <w:tcPr>
            <w:tcW w:w="2340" w:type="dxa"/>
            <w:vAlign w:val="center"/>
          </w:tcPr>
          <w:p w14:paraId="69760A77"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↑miR-224</w:t>
            </w:r>
          </w:p>
        </w:tc>
        <w:tc>
          <w:tcPr>
            <w:tcW w:w="1134" w:type="dxa"/>
            <w:vMerge/>
            <w:vAlign w:val="center"/>
          </w:tcPr>
          <w:p w14:paraId="707C5EC7" w14:textId="77777777" w:rsidR="00BA6BF8" w:rsidRDefault="00BA6BF8">
            <w:pPr>
              <w:snapToGrid w:val="0"/>
              <w:spacing w:line="360" w:lineRule="auto"/>
              <w:jc w:val="both"/>
              <w:rPr>
                <w:rFonts w:ascii="Book Antiqua" w:hAnsi="Book Antiqua"/>
                <w:color w:val="000000"/>
                <w:vertAlign w:val="superscript"/>
              </w:rPr>
            </w:pPr>
          </w:p>
        </w:tc>
      </w:tr>
      <w:tr w:rsidR="00BA6BF8" w14:paraId="2AE4C8A4" w14:textId="77777777">
        <w:trPr>
          <w:cantSplit/>
          <w:trHeight w:val="300"/>
          <w:jc w:val="center"/>
        </w:trPr>
        <w:tc>
          <w:tcPr>
            <w:tcW w:w="5932" w:type="dxa"/>
            <w:vAlign w:val="center"/>
          </w:tcPr>
          <w:p w14:paraId="1A0E3013"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Glucose metabolism (GDM)</w:t>
            </w:r>
          </w:p>
        </w:tc>
        <w:tc>
          <w:tcPr>
            <w:tcW w:w="2340" w:type="dxa"/>
            <w:vAlign w:val="center"/>
          </w:tcPr>
          <w:p w14:paraId="2D571601"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↑miR-222</w:t>
            </w:r>
          </w:p>
        </w:tc>
        <w:tc>
          <w:tcPr>
            <w:tcW w:w="1134" w:type="dxa"/>
            <w:vAlign w:val="center"/>
          </w:tcPr>
          <w:p w14:paraId="00F3FAAF"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fldData xml:space="preserve">PEVuZE5vdGU+PENpdGU+PEF1dGhvcj5TaGk8L0F1dGhvcj48WWVhcj4yMDE0PC9ZZWFyPjxSZWNO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</w:fldData>
              </w:fldChar>
            </w:r>
            <w:r>
              <w:rPr>
                <w:rFonts w:ascii="Book Antiqua" w:hAnsi="Book Antiqua"/>
                <w:color w:val="000000"/>
                <w:vertAlign w:val="superscript"/>
              </w:rPr>
              <w:instrText xml:space="preserve"> ADDIN EN.CITE </w:instrText>
            </w:r>
            <w:r>
              <w:rPr>
                <w:rFonts w:ascii="Book Antiqua" w:hAnsi="Book Antiqua"/>
                <w:color w:val="000000"/>
                <w:vertAlign w:val="superscript"/>
              </w:rPr>
              <w:fldChar w:fldCharType="begin">
                <w:fldData xml:space="preserve">PEVuZE5vdGU+PENpdGU+PEF1dGhvcj5TaGk8L0F1dGhvcj48WWVhcj4yMDE0PC9ZZWFyPjxSZWNO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</w:fldData>
              </w:fldChar>
            </w:r>
            <w:r>
              <w:rPr>
                <w:rFonts w:ascii="Book Antiqua" w:hAnsi="Book Antiqua"/>
                <w:color w:val="000000"/>
                <w:vertAlign w:val="superscript"/>
              </w:rPr>
              <w:instrText xml:space="preserve"> ADDIN EN.CITE.DATA </w:instrText>
            </w:r>
            <w:r>
              <w:rPr>
                <w:rFonts w:ascii="Book Antiqua" w:hAnsi="Book Antiqua"/>
                <w:color w:val="000000"/>
                <w:vertAlign w:val="superscript"/>
              </w:rPr>
            </w:r>
            <w:r>
              <w:rPr>
                <w:rFonts w:ascii="Book Antiqua" w:hAnsi="Book Antiqua"/>
                <w:color w:val="000000"/>
                <w:vertAlign w:val="superscript"/>
              </w:rPr>
              <w:fldChar w:fldCharType="end"/>
            </w:r>
            <w:r>
              <w:rPr>
                <w:rFonts w:ascii="Book Antiqua" w:hAnsi="Book Antiqua"/>
                <w:color w:val="000000"/>
                <w:vertAlign w:val="superscript"/>
              </w:rPr>
            </w:r>
            <w:r>
              <w:rPr>
                <w:rFonts w:ascii="Book Antiqua" w:hAnsi="Book Antiqua"/>
                <w:color w:val="000000"/>
                <w:vertAlign w:val="superscript"/>
              </w:rPr>
              <w:fldChar w:fldCharType="separate"/>
            </w:r>
            <w:r>
              <w:rPr>
                <w:rFonts w:ascii="Book Antiqua" w:hAnsi="Book Antiqua"/>
                <w:color w:val="000000"/>
                <w:vertAlign w:val="superscript"/>
              </w:rPr>
              <w:t>[119]</w:t>
            </w:r>
            <w:r>
              <w:rPr>
                <w:rFonts w:ascii="Book Antiqua" w:hAnsi="Book Antiqua"/>
                <w:color w:val="000000"/>
                <w:vertAlign w:val="superscript"/>
              </w:rPr>
              <w:fldChar w:fldCharType="end"/>
            </w:r>
          </w:p>
        </w:tc>
      </w:tr>
      <w:tr w:rsidR="00BA6BF8" w14:paraId="3DB6B0B9" w14:textId="77777777">
        <w:trPr>
          <w:cantSplit/>
          <w:trHeight w:val="300"/>
          <w:jc w:val="center"/>
        </w:trPr>
        <w:tc>
          <w:tcPr>
            <w:tcW w:w="5932" w:type="dxa"/>
            <w:vAlign w:val="center"/>
          </w:tcPr>
          <w:p w14:paraId="25F216D8" w14:textId="77777777" w:rsidR="00BA6BF8" w:rsidRDefault="00BA6BF8">
            <w:pPr>
              <w:snapToGrid w:val="0"/>
              <w:spacing w:line="360" w:lineRule="auto"/>
              <w:jc w:val="both"/>
              <w:rPr>
                <w:rFonts w:ascii="Book Antiqua" w:hAnsi="Book Antiqua"/>
                <w:color w:val="000000"/>
              </w:rPr>
            </w:pPr>
          </w:p>
        </w:tc>
        <w:tc>
          <w:tcPr>
            <w:tcW w:w="2340" w:type="dxa"/>
            <w:vAlign w:val="center"/>
          </w:tcPr>
          <w:p w14:paraId="53632496"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↑miR-98</w:t>
            </w:r>
          </w:p>
        </w:tc>
        <w:tc>
          <w:tcPr>
            <w:tcW w:w="1134" w:type="dxa"/>
            <w:vAlign w:val="center"/>
          </w:tcPr>
          <w:p w14:paraId="1D7F74F6"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fldData xml:space="preserve">PEVuZE5vdGU+PENpdGU+PEF1dGhvcj5DYW88L0F1dGhvcj48WWVhcj4yMDE2PC9ZZWFyPjxSZWNO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</w:fldData>
              </w:fldChar>
            </w:r>
            <w:r>
              <w:rPr>
                <w:rFonts w:ascii="Book Antiqua" w:hAnsi="Book Antiqua"/>
                <w:color w:val="000000"/>
                <w:vertAlign w:val="superscript"/>
              </w:rPr>
              <w:instrText xml:space="preserve"> ADDIN EN.CITE </w:instrText>
            </w:r>
            <w:r>
              <w:rPr>
                <w:rFonts w:ascii="Book Antiqua" w:hAnsi="Book Antiqua"/>
                <w:color w:val="000000"/>
                <w:vertAlign w:val="superscript"/>
              </w:rPr>
              <w:fldChar w:fldCharType="begin">
                <w:fldData xml:space="preserve">PEVuZE5vdGU+PENpdGU+PEF1dGhvcj5DYW88L0F1dGhvcj48WWVhcj4yMDE2PC9ZZWFyPjxSZWNO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</w:fldData>
              </w:fldChar>
            </w:r>
            <w:r>
              <w:rPr>
                <w:rFonts w:ascii="Book Antiqua" w:hAnsi="Book Antiqua"/>
                <w:color w:val="000000"/>
                <w:vertAlign w:val="superscript"/>
              </w:rPr>
              <w:instrText xml:space="preserve"> ADDIN EN.CITE.DATA </w:instrText>
            </w:r>
            <w:r>
              <w:rPr>
                <w:rFonts w:ascii="Book Antiqua" w:hAnsi="Book Antiqua"/>
                <w:color w:val="000000"/>
                <w:vertAlign w:val="superscript"/>
              </w:rPr>
            </w:r>
            <w:r>
              <w:rPr>
                <w:rFonts w:ascii="Book Antiqua" w:hAnsi="Book Antiqua"/>
                <w:color w:val="000000"/>
                <w:vertAlign w:val="superscript"/>
              </w:rPr>
              <w:fldChar w:fldCharType="end"/>
            </w:r>
            <w:r>
              <w:rPr>
                <w:rFonts w:ascii="Book Antiqua" w:hAnsi="Book Antiqua"/>
                <w:color w:val="000000"/>
                <w:vertAlign w:val="superscript"/>
              </w:rPr>
            </w:r>
            <w:r>
              <w:rPr>
                <w:rFonts w:ascii="Book Antiqua" w:hAnsi="Book Antiqua"/>
                <w:color w:val="000000"/>
                <w:vertAlign w:val="superscript"/>
              </w:rPr>
              <w:fldChar w:fldCharType="separate"/>
            </w:r>
            <w:r>
              <w:rPr>
                <w:rFonts w:ascii="Book Antiqua" w:hAnsi="Book Antiqua"/>
                <w:color w:val="000000"/>
                <w:vertAlign w:val="superscript"/>
              </w:rPr>
              <w:t>[120]</w:t>
            </w:r>
            <w:r>
              <w:rPr>
                <w:rFonts w:ascii="Book Antiqua" w:hAnsi="Book Antiqua"/>
                <w:color w:val="000000"/>
                <w:vertAlign w:val="superscript"/>
              </w:rPr>
              <w:fldChar w:fldCharType="end"/>
            </w:r>
          </w:p>
        </w:tc>
      </w:tr>
      <w:tr w:rsidR="00BA6BF8" w14:paraId="5FB295BF" w14:textId="77777777">
        <w:trPr>
          <w:cantSplit/>
          <w:trHeight w:val="300"/>
          <w:jc w:val="center"/>
        </w:trPr>
        <w:tc>
          <w:tcPr>
            <w:tcW w:w="5932" w:type="dxa"/>
            <w:vAlign w:val="center"/>
          </w:tcPr>
          <w:p w14:paraId="24A67B41" w14:textId="77777777" w:rsidR="00BA6BF8" w:rsidRDefault="00BA6BF8">
            <w:pPr>
              <w:snapToGrid w:val="0"/>
              <w:spacing w:line="360" w:lineRule="auto"/>
              <w:jc w:val="both"/>
              <w:rPr>
                <w:rFonts w:ascii="Book Antiqua" w:hAnsi="Book Antiqua"/>
                <w:color w:val="000000"/>
              </w:rPr>
            </w:pPr>
          </w:p>
        </w:tc>
        <w:tc>
          <w:tcPr>
            <w:tcW w:w="2340" w:type="dxa"/>
            <w:vAlign w:val="center"/>
          </w:tcPr>
          <w:p w14:paraId="21D3427C"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↑miR-518d</w:t>
            </w:r>
          </w:p>
        </w:tc>
        <w:tc>
          <w:tcPr>
            <w:tcW w:w="1134" w:type="dxa"/>
            <w:vAlign w:val="center"/>
          </w:tcPr>
          <w:p w14:paraId="40AA48AB"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fldData xml:space="preserve">PEVuZE5vdGU+PENpdGU+PEF1dGhvcj5aaGFvPC9BdXRob3I+PFllYXI+MjAxNDwvWWVhcj48UmVj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</w:fldData>
              </w:fldChar>
            </w:r>
            <w:r>
              <w:rPr>
                <w:rFonts w:ascii="Book Antiqua" w:hAnsi="Book Antiqua"/>
                <w:color w:val="000000"/>
                <w:vertAlign w:val="superscript"/>
              </w:rPr>
              <w:instrText xml:space="preserve"> ADDIN EN.CITE </w:instrText>
            </w:r>
            <w:r>
              <w:rPr>
                <w:rFonts w:ascii="Book Antiqua" w:hAnsi="Book Antiqua"/>
                <w:color w:val="000000"/>
                <w:vertAlign w:val="superscript"/>
              </w:rPr>
              <w:fldChar w:fldCharType="begin">
                <w:fldData xml:space="preserve">PEVuZE5vdGU+PENpdGU+PEF1dGhvcj5aaGFvPC9BdXRob3I+PFllYXI+MjAxNDwvWWVhcj48UmVj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</w:fldData>
              </w:fldChar>
            </w:r>
            <w:r>
              <w:rPr>
                <w:rFonts w:ascii="Book Antiqua" w:hAnsi="Book Antiqua"/>
                <w:color w:val="000000"/>
                <w:vertAlign w:val="superscript"/>
              </w:rPr>
              <w:instrText xml:space="preserve"> ADDIN EN.CITE.DATA </w:instrText>
            </w:r>
            <w:r>
              <w:rPr>
                <w:rFonts w:ascii="Book Antiqua" w:hAnsi="Book Antiqua"/>
                <w:color w:val="000000"/>
                <w:vertAlign w:val="superscript"/>
              </w:rPr>
            </w:r>
            <w:r>
              <w:rPr>
                <w:rFonts w:ascii="Book Antiqua" w:hAnsi="Book Antiqua"/>
                <w:color w:val="000000"/>
                <w:vertAlign w:val="superscript"/>
              </w:rPr>
              <w:fldChar w:fldCharType="end"/>
            </w:r>
            <w:r>
              <w:rPr>
                <w:rFonts w:ascii="Book Antiqua" w:hAnsi="Book Antiqua"/>
                <w:color w:val="000000"/>
                <w:vertAlign w:val="superscript"/>
              </w:rPr>
            </w:r>
            <w:r>
              <w:rPr>
                <w:rFonts w:ascii="Book Antiqua" w:hAnsi="Book Antiqua"/>
                <w:color w:val="000000"/>
                <w:vertAlign w:val="superscript"/>
              </w:rPr>
              <w:fldChar w:fldCharType="separate"/>
            </w:r>
            <w:r>
              <w:rPr>
                <w:rFonts w:ascii="Book Antiqua" w:hAnsi="Book Antiqua"/>
                <w:color w:val="000000"/>
                <w:vertAlign w:val="superscript"/>
              </w:rPr>
              <w:t>[121]</w:t>
            </w:r>
            <w:r>
              <w:rPr>
                <w:rFonts w:ascii="Book Antiqua" w:hAnsi="Book Antiqua"/>
                <w:color w:val="000000"/>
                <w:vertAlign w:val="superscript"/>
              </w:rPr>
              <w:fldChar w:fldCharType="end"/>
            </w:r>
          </w:p>
        </w:tc>
      </w:tr>
      <w:tr w:rsidR="00BA6BF8" w14:paraId="31AB6163" w14:textId="77777777">
        <w:trPr>
          <w:cantSplit/>
          <w:trHeight w:val="300"/>
          <w:jc w:val="center"/>
        </w:trPr>
        <w:tc>
          <w:tcPr>
            <w:tcW w:w="5932" w:type="dxa"/>
            <w:vAlign w:val="center"/>
          </w:tcPr>
          <w:p w14:paraId="6127A11E" w14:textId="77777777" w:rsidR="00BA6BF8" w:rsidRDefault="00BA6BF8">
            <w:pPr>
              <w:snapToGrid w:val="0"/>
              <w:spacing w:line="360" w:lineRule="auto"/>
              <w:jc w:val="both"/>
              <w:rPr>
                <w:rFonts w:ascii="Book Antiqua" w:hAnsi="Book Antiqua"/>
                <w:color w:val="000000"/>
              </w:rPr>
            </w:pPr>
          </w:p>
        </w:tc>
        <w:tc>
          <w:tcPr>
            <w:tcW w:w="2340" w:type="dxa"/>
            <w:vAlign w:val="center"/>
          </w:tcPr>
          <w:p w14:paraId="485CE8D8"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↑miR-340</w:t>
            </w:r>
          </w:p>
        </w:tc>
        <w:tc>
          <w:tcPr>
            <w:tcW w:w="1134" w:type="dxa"/>
            <w:vAlign w:val="center"/>
          </w:tcPr>
          <w:p w14:paraId="2F5D845B"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fldData xml:space="preserve">PEVuZE5vdGU+PENpdGU+PEF1dGhvcj5TdGlybTwvQXV0aG9yPjxZZWFyPjIwMTg8L1llYXI+PFJl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</w:fldData>
              </w:fldChar>
            </w:r>
            <w:r>
              <w:rPr>
                <w:rFonts w:ascii="Book Antiqua" w:hAnsi="Book Antiqua"/>
                <w:color w:val="000000"/>
                <w:vertAlign w:val="superscript"/>
              </w:rPr>
              <w:instrText xml:space="preserve"> ADDIN EN.CITE </w:instrText>
            </w:r>
            <w:r>
              <w:rPr>
                <w:rFonts w:ascii="Book Antiqua" w:hAnsi="Book Antiqua"/>
                <w:color w:val="000000"/>
                <w:vertAlign w:val="superscript"/>
              </w:rPr>
              <w:fldChar w:fldCharType="begin">
                <w:fldData xml:space="preserve">PEVuZE5vdGU+PENpdGU+PEF1dGhvcj5TdGlybTwvQXV0aG9yPjxZZWFyPjIwMTg8L1llYXI+PFJl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</w:fldData>
              </w:fldChar>
            </w:r>
            <w:r>
              <w:rPr>
                <w:rFonts w:ascii="Book Antiqua" w:hAnsi="Book Antiqua"/>
                <w:color w:val="000000"/>
                <w:vertAlign w:val="superscript"/>
              </w:rPr>
              <w:instrText xml:space="preserve"> ADDIN EN.CITE.DATA </w:instrText>
            </w:r>
            <w:r>
              <w:rPr>
                <w:rFonts w:ascii="Book Antiqua" w:hAnsi="Book Antiqua"/>
                <w:color w:val="000000"/>
                <w:vertAlign w:val="superscript"/>
              </w:rPr>
            </w:r>
            <w:r>
              <w:rPr>
                <w:rFonts w:ascii="Book Antiqua" w:hAnsi="Book Antiqua"/>
                <w:color w:val="000000"/>
                <w:vertAlign w:val="superscript"/>
              </w:rPr>
              <w:fldChar w:fldCharType="end"/>
            </w:r>
            <w:r>
              <w:rPr>
                <w:rFonts w:ascii="Book Antiqua" w:hAnsi="Book Antiqua"/>
                <w:color w:val="000000"/>
                <w:vertAlign w:val="superscript"/>
              </w:rPr>
            </w:r>
            <w:r>
              <w:rPr>
                <w:rFonts w:ascii="Book Antiqua" w:hAnsi="Book Antiqua"/>
                <w:color w:val="000000"/>
                <w:vertAlign w:val="superscript"/>
              </w:rPr>
              <w:fldChar w:fldCharType="separate"/>
            </w:r>
            <w:r>
              <w:rPr>
                <w:rFonts w:ascii="Book Antiqua" w:hAnsi="Book Antiqua"/>
                <w:color w:val="000000"/>
                <w:vertAlign w:val="superscript"/>
              </w:rPr>
              <w:t>[122]</w:t>
            </w:r>
            <w:r>
              <w:rPr>
                <w:rFonts w:ascii="Book Antiqua" w:hAnsi="Book Antiqua"/>
                <w:color w:val="000000"/>
                <w:vertAlign w:val="superscript"/>
              </w:rPr>
              <w:fldChar w:fldCharType="end"/>
            </w:r>
          </w:p>
        </w:tc>
      </w:tr>
      <w:tr w:rsidR="00BA6BF8" w14:paraId="6B69DF29" w14:textId="77777777">
        <w:trPr>
          <w:cantSplit/>
          <w:trHeight w:val="300"/>
          <w:jc w:val="center"/>
        </w:trPr>
        <w:tc>
          <w:tcPr>
            <w:tcW w:w="5932" w:type="dxa"/>
            <w:vAlign w:val="center"/>
          </w:tcPr>
          <w:p w14:paraId="16C3F400" w14:textId="77777777" w:rsidR="00BA6BF8" w:rsidRDefault="00BA6BF8">
            <w:pPr>
              <w:snapToGrid w:val="0"/>
              <w:spacing w:line="360" w:lineRule="auto"/>
              <w:jc w:val="both"/>
              <w:rPr>
                <w:rFonts w:ascii="Book Antiqua" w:hAnsi="Book Antiqua"/>
                <w:color w:val="000000"/>
              </w:rPr>
            </w:pPr>
          </w:p>
        </w:tc>
        <w:tc>
          <w:tcPr>
            <w:tcW w:w="2340" w:type="dxa"/>
            <w:vAlign w:val="center"/>
          </w:tcPr>
          <w:p w14:paraId="76746017"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↑miR-130b, miR148a</w:t>
            </w:r>
          </w:p>
        </w:tc>
        <w:tc>
          <w:tcPr>
            <w:tcW w:w="1134" w:type="dxa"/>
            <w:vAlign w:val="center"/>
          </w:tcPr>
          <w:p w14:paraId="6997461E"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fldData xml:space="preserve">PEVuZE5vdGU+PENpdGU+PEF1dGhvcj5UcnlnZ2VzdGFkPC9BdXRob3I+PFllYXI+MjAxNjwvWWVh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</w:fldData>
              </w:fldChar>
            </w:r>
            <w:r>
              <w:rPr>
                <w:rFonts w:ascii="Book Antiqua" w:hAnsi="Book Antiqua"/>
                <w:color w:val="000000"/>
                <w:vertAlign w:val="superscript"/>
              </w:rPr>
              <w:instrText xml:space="preserve"> ADDIN EN.CITE </w:instrText>
            </w:r>
            <w:r>
              <w:rPr>
                <w:rFonts w:ascii="Book Antiqua" w:hAnsi="Book Antiqua"/>
                <w:color w:val="000000"/>
                <w:vertAlign w:val="superscript"/>
              </w:rPr>
              <w:fldChar w:fldCharType="begin">
                <w:fldData xml:space="preserve">PEVuZE5vdGU+PENpdGU+PEF1dGhvcj5UcnlnZ2VzdGFkPC9BdXRob3I+PFllYXI+MjAxNjwvWWVh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</w:fldData>
              </w:fldChar>
            </w:r>
            <w:r>
              <w:rPr>
                <w:rFonts w:ascii="Book Antiqua" w:hAnsi="Book Antiqua"/>
                <w:color w:val="000000"/>
                <w:vertAlign w:val="superscript"/>
              </w:rPr>
              <w:instrText xml:space="preserve"> ADDIN EN.CITE.DATA </w:instrText>
            </w:r>
            <w:r>
              <w:rPr>
                <w:rFonts w:ascii="Book Antiqua" w:hAnsi="Book Antiqua"/>
                <w:color w:val="000000"/>
                <w:vertAlign w:val="superscript"/>
              </w:rPr>
            </w:r>
            <w:r>
              <w:rPr>
                <w:rFonts w:ascii="Book Antiqua" w:hAnsi="Book Antiqua"/>
                <w:color w:val="000000"/>
                <w:vertAlign w:val="superscript"/>
              </w:rPr>
              <w:fldChar w:fldCharType="end"/>
            </w:r>
            <w:r>
              <w:rPr>
                <w:rFonts w:ascii="Book Antiqua" w:hAnsi="Book Antiqua"/>
                <w:color w:val="000000"/>
                <w:vertAlign w:val="superscript"/>
              </w:rPr>
            </w:r>
            <w:r>
              <w:rPr>
                <w:rFonts w:ascii="Book Antiqua" w:hAnsi="Book Antiqua"/>
                <w:color w:val="000000"/>
                <w:vertAlign w:val="superscript"/>
              </w:rPr>
              <w:fldChar w:fldCharType="separate"/>
            </w:r>
            <w:r>
              <w:rPr>
                <w:rFonts w:ascii="Book Antiqua" w:hAnsi="Book Antiqua"/>
                <w:color w:val="000000"/>
                <w:vertAlign w:val="superscript"/>
              </w:rPr>
              <w:t>[123]</w:t>
            </w:r>
            <w:r>
              <w:rPr>
                <w:rFonts w:ascii="Book Antiqua" w:hAnsi="Book Antiqua"/>
                <w:color w:val="000000"/>
                <w:vertAlign w:val="superscript"/>
              </w:rPr>
              <w:fldChar w:fldCharType="end"/>
            </w:r>
          </w:p>
        </w:tc>
      </w:tr>
      <w:tr w:rsidR="00BA6BF8" w14:paraId="3F97DC4B" w14:textId="77777777">
        <w:trPr>
          <w:cantSplit/>
          <w:trHeight w:val="300"/>
          <w:jc w:val="center"/>
        </w:trPr>
        <w:tc>
          <w:tcPr>
            <w:tcW w:w="5932" w:type="dxa"/>
            <w:vAlign w:val="center"/>
          </w:tcPr>
          <w:p w14:paraId="57A3282C"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sym w:font="Symbol" w:char="F062"/>
            </w:r>
            <w:r>
              <w:rPr>
                <w:rFonts w:ascii="Book Antiqua" w:hAnsi="Book Antiqua"/>
                <w:color w:val="000000"/>
              </w:rPr>
              <w:t>-cell dysfunction (GDM)</w:t>
            </w:r>
          </w:p>
        </w:tc>
        <w:tc>
          <w:tcPr>
            <w:tcW w:w="2340" w:type="dxa"/>
            <w:vAlign w:val="center"/>
          </w:tcPr>
          <w:p w14:paraId="2948F8A0"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↑miR-33a-5p</w:t>
            </w:r>
          </w:p>
        </w:tc>
        <w:tc>
          <w:tcPr>
            <w:tcW w:w="1134" w:type="dxa"/>
            <w:vAlign w:val="center"/>
          </w:tcPr>
          <w:p w14:paraId="6F76E764"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fldData xml:space="preserve">PEVuZE5vdGU+PENpdGU+PEF1dGhvcj5GZW5nPC9BdXRob3I+PFllYXI+MjAyMDwvWWVhcj48UmVj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</w:fldData>
              </w:fldChar>
            </w:r>
            <w:r>
              <w:rPr>
                <w:rFonts w:ascii="Book Antiqua" w:hAnsi="Book Antiqua"/>
                <w:color w:val="000000"/>
                <w:vertAlign w:val="superscript"/>
              </w:rPr>
              <w:instrText xml:space="preserve"> ADDIN EN.CITE </w:instrText>
            </w:r>
            <w:r>
              <w:rPr>
                <w:rFonts w:ascii="Book Antiqua" w:hAnsi="Book Antiqua"/>
                <w:color w:val="000000"/>
                <w:vertAlign w:val="superscript"/>
              </w:rPr>
              <w:fldChar w:fldCharType="begin">
                <w:fldData xml:space="preserve">PEVuZE5vdGU+PENpdGU+PEF1dGhvcj5GZW5nPC9BdXRob3I+PFllYXI+MjAyMDwvWWVhcj48UmVj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</w:fldData>
              </w:fldChar>
            </w:r>
            <w:r>
              <w:rPr>
                <w:rFonts w:ascii="Book Antiqua" w:hAnsi="Book Antiqua"/>
                <w:color w:val="000000"/>
                <w:vertAlign w:val="superscript"/>
              </w:rPr>
              <w:instrText xml:space="preserve"> ADDIN EN.CITE.DATA </w:instrText>
            </w:r>
            <w:r>
              <w:rPr>
                <w:rFonts w:ascii="Book Antiqua" w:hAnsi="Book Antiqua"/>
                <w:color w:val="000000"/>
                <w:vertAlign w:val="superscript"/>
              </w:rPr>
            </w:r>
            <w:r>
              <w:rPr>
                <w:rFonts w:ascii="Book Antiqua" w:hAnsi="Book Antiqua"/>
                <w:color w:val="000000"/>
                <w:vertAlign w:val="superscript"/>
              </w:rPr>
              <w:fldChar w:fldCharType="end"/>
            </w:r>
            <w:r>
              <w:rPr>
                <w:rFonts w:ascii="Book Antiqua" w:hAnsi="Book Antiqua"/>
                <w:color w:val="000000"/>
                <w:vertAlign w:val="superscript"/>
              </w:rPr>
            </w:r>
            <w:r>
              <w:rPr>
                <w:rFonts w:ascii="Book Antiqua" w:hAnsi="Book Antiqua"/>
                <w:color w:val="000000"/>
                <w:vertAlign w:val="superscript"/>
              </w:rPr>
              <w:fldChar w:fldCharType="separate"/>
            </w:r>
            <w:r>
              <w:rPr>
                <w:rFonts w:ascii="Book Antiqua" w:hAnsi="Book Antiqua"/>
                <w:color w:val="000000"/>
                <w:vertAlign w:val="superscript"/>
              </w:rPr>
              <w:t>[124]</w:t>
            </w:r>
            <w:r>
              <w:rPr>
                <w:rFonts w:ascii="Book Antiqua" w:hAnsi="Book Antiqua"/>
                <w:color w:val="000000"/>
                <w:vertAlign w:val="superscript"/>
              </w:rPr>
              <w:fldChar w:fldCharType="end"/>
            </w:r>
          </w:p>
        </w:tc>
      </w:tr>
      <w:tr w:rsidR="00BA6BF8" w14:paraId="3F8E2B95" w14:textId="77777777">
        <w:trPr>
          <w:cantSplit/>
          <w:trHeight w:val="300"/>
          <w:jc w:val="center"/>
        </w:trPr>
        <w:tc>
          <w:tcPr>
            <w:tcW w:w="5932" w:type="dxa"/>
            <w:vAlign w:val="center"/>
          </w:tcPr>
          <w:p w14:paraId="3FEAF18D" w14:textId="77777777" w:rsidR="00BA6BF8" w:rsidRDefault="00BA6BF8">
            <w:pPr>
              <w:snapToGrid w:val="0"/>
              <w:spacing w:line="360" w:lineRule="auto"/>
              <w:jc w:val="both"/>
              <w:rPr>
                <w:rFonts w:ascii="Book Antiqua" w:hAnsi="Book Antiqua"/>
                <w:color w:val="000000"/>
              </w:rPr>
            </w:pPr>
          </w:p>
        </w:tc>
        <w:tc>
          <w:tcPr>
            <w:tcW w:w="2340" w:type="dxa"/>
            <w:vAlign w:val="center"/>
          </w:tcPr>
          <w:p w14:paraId="334192ED"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↑miR-330-3p</w:t>
            </w:r>
          </w:p>
        </w:tc>
        <w:tc>
          <w:tcPr>
            <w:tcW w:w="1134" w:type="dxa"/>
            <w:vAlign w:val="center"/>
          </w:tcPr>
          <w:p w14:paraId="75AE6CBB"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r>
            <w:r>
              <w:rPr>
                <w:rFonts w:ascii="Book Antiqua" w:hAnsi="Book Antiqua"/>
                <w:color w:val="000000"/>
                <w:vertAlign w:val="superscript"/>
              </w:rPr>
              <w:instrText xml:space="preserve"> ADDIN EN.CITE &lt;EndNote&gt;&lt;Cite&gt;&lt;Author&gt;Sebastiani&lt;/Author&gt;&lt;Year&gt;2017&lt;/Year&gt;&lt;RecNum&gt;658&lt;/RecNum&gt;&lt;DisplayText&gt;[125]&lt;/DisplayText&gt;&lt;record&gt;&lt;rec-number&gt;658&lt;/rec-number&gt;&lt;foreign-keys&gt;&lt;key app="EN" db-id="w259sedv5dvevhertempp0wjwxf5apt95z5a" timestamp="1671474388"&gt;658&lt;/key&gt;&lt;/foreign-keys&gt;&lt;ref-type name="Journal Article"&gt;17&lt;/ref-type&gt;&lt;contributors&gt;&lt;authors&gt;&lt;author&gt;Sebastiani, G.&lt;/author&gt;&lt;author&gt;Guarino, E.&lt;/author&gt;&lt;author&gt;Grieco, G. E.&lt;/author&gt;&lt;author&gt;Formichi, C.&lt;/author&gt;&lt;author&gt;Delli Poggi, C.&lt;/author&gt;&lt;author&gt;Ceccarelli, E.&lt;/author&gt;&lt;author&gt;Dotta, F.&lt;/author&gt;&lt;/authors&gt;&lt;/contributors&gt;&lt;auth-address&gt;Diabetes Unit, Department of Medicine, Surgery and Neurosciences, University of Siena, Siena, Italy.&amp;#xD;Fondazione Umberto di Mario, Toscana Life Sciences, Siena, Italy.&amp;#xD;Azienda Ospedaliera Universitaria Senese, Siena, Italy.&lt;/auth-address&gt;&lt;titles&gt;&lt;title&gt;Circulating microRNA (miRNA) Expression Profiling in Plasma of Patients with Gestational Diabetes Mellitus Reveals Upregulation of miRNA miR-330-3p&lt;/title&gt;&lt;secondary-title&gt;Front Endocrinol (Lausanne)&lt;/secondary-title&gt;&lt;/titles&gt;&lt;periodical&gt;&lt;full-title&gt;Front Endocrinol (Lausanne)&lt;/full-title&gt;&lt;/periodical&gt;&lt;pages&gt;345&lt;/pages&gt;&lt;volume&gt;8&lt;/volume&gt;&lt;edition&gt;20171212&lt;/edition&gt;&lt;keywords&gt;&lt;keyword&gt;biomarkers&lt;/keyword&gt;&lt;keyword&gt;gestational diabetes&lt;/keyword&gt;&lt;keyword&gt;miR-330-3p&lt;/keyword&gt;&lt;keyword&gt;microRNAs&lt;/keyword&gt;&lt;keyword&gt;plasma&lt;/keyword&gt;&lt;/keywords&gt;&lt;dates&gt;&lt;year&gt;2017&lt;/year&gt;&lt;/dates&gt;&lt;isbn&gt;1664-2392 (Print)&amp;#xD;1664-2392 (Electronic)&amp;#xD;1664-2392 (Linking)&lt;/isbn&gt;&lt;accession-num&gt;29312141&lt;/accession-num&gt;&lt;urls&gt;&lt;related-urls&gt;&lt;url&gt;https://www.ncbi.nlm.nih.gov/pubmed/29312141&lt;/url&gt;&lt;/related-urls&gt;&lt;/urls&gt;&lt;custom2&gt;PMC5732927&lt;/custom2&gt;&lt;electronic-resource-num&gt;10.3389/fendo.2017.00345&lt;/electronic-resource-num&gt;&lt;remote-database-name&gt;PubMed-not-MEDLINE&lt;/remote-database-name&gt;&lt;remote-database-provider&gt;NLM&lt;/remote-database-provider&gt;&lt;/record&gt;&lt;/Cite&gt;&lt;/EndNote&gt;</w:instrText>
            </w:r>
            <w:r>
              <w:rPr>
                <w:rFonts w:ascii="Book Antiqua" w:hAnsi="Book Antiqua"/>
                <w:color w:val="000000"/>
                <w:vertAlign w:val="superscript"/>
              </w:rPr>
              <w:fldChar w:fldCharType="separate"/>
            </w:r>
            <w:r>
              <w:rPr>
                <w:rFonts w:ascii="Book Antiqua" w:hAnsi="Book Antiqua"/>
                <w:color w:val="000000"/>
                <w:vertAlign w:val="superscript"/>
              </w:rPr>
              <w:t>[125]</w:t>
            </w:r>
            <w:r>
              <w:rPr>
                <w:rFonts w:ascii="Book Antiqua" w:hAnsi="Book Antiqua"/>
                <w:color w:val="000000"/>
                <w:vertAlign w:val="superscript"/>
              </w:rPr>
              <w:fldChar w:fldCharType="end"/>
            </w:r>
          </w:p>
        </w:tc>
      </w:tr>
      <w:tr w:rsidR="00BA6BF8" w14:paraId="196FC89D" w14:textId="77777777">
        <w:trPr>
          <w:cantSplit/>
          <w:trHeight w:val="300"/>
          <w:jc w:val="center"/>
        </w:trPr>
        <w:tc>
          <w:tcPr>
            <w:tcW w:w="5932" w:type="dxa"/>
            <w:vAlign w:val="center"/>
          </w:tcPr>
          <w:p w14:paraId="4C2AD177" w14:textId="77777777" w:rsidR="00BA6BF8" w:rsidRDefault="00BA6BF8">
            <w:pPr>
              <w:snapToGrid w:val="0"/>
              <w:spacing w:line="360" w:lineRule="auto"/>
              <w:jc w:val="both"/>
              <w:rPr>
                <w:rFonts w:ascii="Book Antiqua" w:hAnsi="Book Antiqua"/>
                <w:color w:val="000000"/>
              </w:rPr>
            </w:pPr>
          </w:p>
        </w:tc>
        <w:tc>
          <w:tcPr>
            <w:tcW w:w="2340" w:type="dxa"/>
            <w:vAlign w:val="center"/>
          </w:tcPr>
          <w:p w14:paraId="21B29002"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↓miR-494</w:t>
            </w:r>
          </w:p>
        </w:tc>
        <w:tc>
          <w:tcPr>
            <w:tcW w:w="1134" w:type="dxa"/>
            <w:vAlign w:val="center"/>
          </w:tcPr>
          <w:p w14:paraId="5A4B6508"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r>
            <w:r>
              <w:rPr>
                <w:rFonts w:ascii="Book Antiqua" w:hAnsi="Book Antiqua"/>
                <w:color w:val="000000"/>
                <w:vertAlign w:val="superscript"/>
              </w:rPr>
              <w:instrText xml:space="preserve"> ADDIN EN.CITE &lt;EndNote&gt;&lt;Cite&gt;&lt;Author&gt;He&lt;/Author&gt;&lt;Year&gt;2017&lt;/Year&gt;&lt;RecNum&gt;659&lt;/RecNum&gt;&lt;DisplayText&gt;[126]&lt;/DisplayText&gt;&lt;record&gt;&lt;rec-number&gt;659&lt;/rec-number&gt;&lt;foreign-keys&gt;&lt;key app="EN" db-id="w259sedv5dvevhertempp0wjwxf5apt95z5a" timestamp="1671474406"&gt;659&lt;/key&gt;&lt;/foreign-keys&gt;&lt;ref-type name="Journal Article"&gt;17&lt;/ref-type&gt;&lt;contributors&gt;&lt;authors&gt;&lt;author&gt;He, Y.&lt;/author&gt;&lt;author&gt;Bai, J.&lt;/author&gt;&lt;author&gt;Liu, P.&lt;/author&gt;&lt;author&gt;Dong, J.&lt;/author&gt;&lt;author&gt;Tang, Y.&lt;/author&gt;&lt;author&gt;Zhou, J.&lt;/author&gt;&lt;author&gt;Han, P.&lt;/author&gt;&lt;author&gt;Xing, J.&lt;/author&gt;&lt;author&gt;Chen, Y.&lt;/author&gt;&lt;author&gt;Yu, X.&lt;/author&gt;&lt;/authors&gt;&lt;/contributors&gt;&lt;auth-address&gt;Department of Obstetrics and Gynecology; Affiliated Hospital of North China University of Science and Technology, Tangshan 063000, China.&lt;/auth-address&gt;&lt;titles&gt;&lt;title&gt;miR-494 protects pancreatic beta-cell function by targeting PTEN in gestational diabetes mellitus&lt;/title&gt;&lt;secondary-title&gt;EXCLI J&lt;/secondary-title&gt;&lt;/titles&gt;&lt;periodical&gt;&lt;full-title&gt;EXCLI J&lt;/full-title&gt;&lt;/periodical&gt;&lt;pages&gt;1297-1307&lt;/pages&gt;&lt;volume&gt;16&lt;/volume&gt;&lt;edition&gt;20171212&lt;/edition&gt;&lt;keywords&gt;&lt;keyword&gt;Pten&lt;/keyword&gt;&lt;keyword&gt;gestational diabetes mellitus&lt;/keyword&gt;&lt;keyword&gt;microRNA-494&lt;/keyword&gt;&lt;keyword&gt;pancreatic beta-cells&lt;/keyword&gt;&lt;/keywords&gt;&lt;dates&gt;&lt;year&gt;2017&lt;/year&gt;&lt;/dates&gt;&lt;isbn&gt;1611-2156 (Print)&amp;#xD;1611-2156 (Electronic)&amp;#xD;1611-2156 (Linking)&lt;/isbn&gt;&lt;accession-num&gt;29333131&lt;/accession-num&gt;&lt;urls&gt;&lt;related-urls&gt;&lt;url&gt;https://www.ncbi.nlm.nih.gov/pubmed/29333131&lt;/url&gt;&lt;/related-urls&gt;&lt;/urls&gt;&lt;custom2&gt;PMC5763094&lt;/custom2&gt;&lt;electronic-resource-num&gt;10.17179/excli2017-491&lt;/electronic-resource-num&gt;&lt;remote-database-name&gt;PubMed-not-MEDLINE&lt;/remote-database-name&gt;&lt;remote-database-provider&gt;NLM&lt;/remote-database-provider&gt;&lt;/record&gt;&lt;/Cite&gt;&lt;/EndNote&gt;</w:instrText>
            </w:r>
            <w:r>
              <w:rPr>
                <w:rFonts w:ascii="Book Antiqua" w:hAnsi="Book Antiqua"/>
                <w:color w:val="000000"/>
                <w:vertAlign w:val="superscript"/>
              </w:rPr>
              <w:fldChar w:fldCharType="separate"/>
            </w:r>
            <w:r>
              <w:rPr>
                <w:rFonts w:ascii="Book Antiqua" w:hAnsi="Book Antiqua"/>
                <w:color w:val="000000"/>
                <w:vertAlign w:val="superscript"/>
              </w:rPr>
              <w:t>[126]</w:t>
            </w:r>
            <w:r>
              <w:rPr>
                <w:rFonts w:ascii="Book Antiqua" w:hAnsi="Book Antiqua"/>
                <w:color w:val="000000"/>
                <w:vertAlign w:val="superscript"/>
              </w:rPr>
              <w:fldChar w:fldCharType="end"/>
            </w:r>
          </w:p>
        </w:tc>
      </w:tr>
      <w:tr w:rsidR="00BA6BF8" w14:paraId="1A65CCE1" w14:textId="77777777">
        <w:trPr>
          <w:cantSplit/>
          <w:trHeight w:val="300"/>
          <w:jc w:val="center"/>
        </w:trPr>
        <w:tc>
          <w:tcPr>
            <w:tcW w:w="5932" w:type="dxa"/>
            <w:vAlign w:val="center"/>
          </w:tcPr>
          <w:p w14:paraId="706FE74E" w14:textId="77777777" w:rsidR="00BA6BF8" w:rsidRDefault="00BA6BF8">
            <w:pPr>
              <w:snapToGrid w:val="0"/>
              <w:spacing w:line="360" w:lineRule="auto"/>
              <w:jc w:val="both"/>
              <w:rPr>
                <w:rFonts w:ascii="Book Antiqua" w:hAnsi="Book Antiqua"/>
                <w:color w:val="000000"/>
              </w:rPr>
            </w:pPr>
          </w:p>
        </w:tc>
        <w:tc>
          <w:tcPr>
            <w:tcW w:w="2340" w:type="dxa"/>
            <w:vAlign w:val="center"/>
          </w:tcPr>
          <w:p w14:paraId="100984FD"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↓miR-96</w:t>
            </w:r>
          </w:p>
        </w:tc>
        <w:tc>
          <w:tcPr>
            <w:tcW w:w="1134" w:type="dxa"/>
            <w:vAlign w:val="center"/>
          </w:tcPr>
          <w:p w14:paraId="583F95E1"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fldData xml:space="preserve">PEVuZE5vdGU+PENpdGU+PEF1dGhvcj5MaTwvQXV0aG9yPjxZZWFyPjIwMTg8L1llYXI+PFJlY051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</w:fldData>
              </w:fldChar>
            </w:r>
            <w:r>
              <w:rPr>
                <w:rFonts w:ascii="Book Antiqua" w:hAnsi="Book Antiqua"/>
                <w:color w:val="000000"/>
                <w:vertAlign w:val="superscript"/>
              </w:rPr>
              <w:instrText xml:space="preserve"> ADDIN EN.CITE </w:instrText>
            </w:r>
            <w:r>
              <w:rPr>
                <w:rFonts w:ascii="Book Antiqua" w:hAnsi="Book Antiqua"/>
                <w:color w:val="000000"/>
                <w:vertAlign w:val="superscript"/>
              </w:rPr>
              <w:fldChar w:fldCharType="begin">
                <w:fldData xml:space="preserve">PEVuZE5vdGU+PENpdGU+PEF1dGhvcj5MaTwvQXV0aG9yPjxZZWFyPjIwMTg8L1llYXI+PFJlY051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</w:fldData>
              </w:fldChar>
            </w:r>
            <w:r>
              <w:rPr>
                <w:rFonts w:ascii="Book Antiqua" w:hAnsi="Book Antiqua"/>
                <w:color w:val="000000"/>
                <w:vertAlign w:val="superscript"/>
              </w:rPr>
              <w:instrText xml:space="preserve"> ADDIN EN.CITE.DATA </w:instrText>
            </w:r>
            <w:r>
              <w:rPr>
                <w:rFonts w:ascii="Book Antiqua" w:hAnsi="Book Antiqua"/>
                <w:color w:val="000000"/>
                <w:vertAlign w:val="superscript"/>
              </w:rPr>
            </w:r>
            <w:r>
              <w:rPr>
                <w:rFonts w:ascii="Book Antiqua" w:hAnsi="Book Antiqua"/>
                <w:color w:val="000000"/>
                <w:vertAlign w:val="superscript"/>
              </w:rPr>
              <w:fldChar w:fldCharType="end"/>
            </w:r>
            <w:r>
              <w:rPr>
                <w:rFonts w:ascii="Book Antiqua" w:hAnsi="Book Antiqua"/>
                <w:color w:val="000000"/>
                <w:vertAlign w:val="superscript"/>
              </w:rPr>
            </w:r>
            <w:r>
              <w:rPr>
                <w:rFonts w:ascii="Book Antiqua" w:hAnsi="Book Antiqua"/>
                <w:color w:val="000000"/>
                <w:vertAlign w:val="superscript"/>
              </w:rPr>
              <w:fldChar w:fldCharType="separate"/>
            </w:r>
            <w:r>
              <w:rPr>
                <w:rFonts w:ascii="Book Antiqua" w:hAnsi="Book Antiqua"/>
                <w:color w:val="000000"/>
                <w:vertAlign w:val="superscript"/>
              </w:rPr>
              <w:t>[127]</w:t>
            </w:r>
            <w:r>
              <w:rPr>
                <w:rFonts w:ascii="Book Antiqua" w:hAnsi="Book Antiqua"/>
                <w:color w:val="000000"/>
                <w:vertAlign w:val="superscript"/>
              </w:rPr>
              <w:fldChar w:fldCharType="end"/>
            </w:r>
          </w:p>
        </w:tc>
      </w:tr>
      <w:tr w:rsidR="00BA6BF8" w14:paraId="2B3BF01F" w14:textId="77777777">
        <w:trPr>
          <w:cantSplit/>
          <w:trHeight w:val="300"/>
          <w:jc w:val="center"/>
        </w:trPr>
        <w:tc>
          <w:tcPr>
            <w:tcW w:w="5932" w:type="dxa"/>
            <w:vAlign w:val="center"/>
          </w:tcPr>
          <w:p w14:paraId="4E719C0B" w14:textId="77777777" w:rsidR="00BA6BF8" w:rsidRDefault="00BA6BF8">
            <w:pPr>
              <w:snapToGrid w:val="0"/>
              <w:spacing w:line="360" w:lineRule="auto"/>
              <w:jc w:val="both"/>
              <w:rPr>
                <w:rFonts w:ascii="Book Antiqua" w:hAnsi="Book Antiqua"/>
                <w:color w:val="000000"/>
              </w:rPr>
            </w:pPr>
          </w:p>
        </w:tc>
        <w:tc>
          <w:tcPr>
            <w:tcW w:w="2340" w:type="dxa"/>
            <w:vAlign w:val="center"/>
          </w:tcPr>
          <w:p w14:paraId="777C36B2" w14:textId="77777777" w:rsidR="00BA6BF8" w:rsidRDefault="00000000">
            <w:pPr>
              <w:snapToGrid w:val="0"/>
              <w:spacing w:line="360" w:lineRule="auto"/>
              <w:jc w:val="both"/>
              <w:rPr>
                <w:rFonts w:ascii="Book Antiqua" w:hAnsi="Book Antiqua"/>
                <w:color w:val="000000"/>
              </w:rPr>
            </w:pPr>
            <w:r>
              <w:rPr>
                <w:rFonts w:ascii="Book Antiqua" w:hAnsi="Book Antiqua"/>
                <w:color w:val="000000"/>
              </w:rPr>
              <w:t>↓miR-221</w:t>
            </w:r>
          </w:p>
        </w:tc>
        <w:tc>
          <w:tcPr>
            <w:tcW w:w="1134" w:type="dxa"/>
            <w:vAlign w:val="center"/>
          </w:tcPr>
          <w:p w14:paraId="734B4FA9" w14:textId="77777777" w:rsidR="00BA6BF8" w:rsidRDefault="00000000">
            <w:pPr>
              <w:snapToGrid w:val="0"/>
              <w:spacing w:line="360" w:lineRule="auto"/>
              <w:jc w:val="both"/>
              <w:rPr>
                <w:rFonts w:ascii="Book Antiqua" w:hAnsi="Book Antiqua"/>
                <w:color w:val="000000"/>
                <w:vertAlign w:val="superscript"/>
              </w:rPr>
            </w:pPr>
            <w:r>
              <w:rPr>
                <w:rFonts w:ascii="Book Antiqua" w:hAnsi="Book Antiqua"/>
                <w:color w:val="000000"/>
                <w:vertAlign w:val="superscript"/>
              </w:rPr>
              <w:fldChar w:fldCharType="begin">
                <w:fldData xml:space="preserve">PEVuZE5vdGU+PENpdGU+PEF1dGhvcj5aaGFvPC9BdXRob3I+PFllYXI+MjAxOTwvWWVhcj48UmVj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</w:fldData>
              </w:fldChar>
            </w:r>
            <w:r>
              <w:rPr>
                <w:rFonts w:ascii="Book Antiqua" w:hAnsi="Book Antiqua"/>
                <w:color w:val="000000"/>
                <w:vertAlign w:val="superscript"/>
              </w:rPr>
              <w:instrText xml:space="preserve"> ADDIN EN.CITE </w:instrText>
            </w:r>
            <w:r>
              <w:rPr>
                <w:rFonts w:ascii="Book Antiqua" w:hAnsi="Book Antiqua"/>
                <w:color w:val="000000"/>
                <w:vertAlign w:val="superscript"/>
              </w:rPr>
              <w:fldChar w:fldCharType="begin">
                <w:fldData xml:space="preserve">PEVuZE5vdGU+PENpdGU+PEF1dGhvcj5aaGFvPC9BdXRob3I+PFllYXI+MjAxOTwvWWVhcj48UmVj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</w:fldData>
              </w:fldChar>
            </w:r>
            <w:r>
              <w:rPr>
                <w:rFonts w:ascii="Book Antiqua" w:hAnsi="Book Antiqua"/>
                <w:color w:val="000000"/>
                <w:vertAlign w:val="superscript"/>
              </w:rPr>
              <w:instrText xml:space="preserve"> ADDIN EN.CITE.DATA </w:instrText>
            </w:r>
            <w:r>
              <w:rPr>
                <w:rFonts w:ascii="Book Antiqua" w:hAnsi="Book Antiqua"/>
                <w:color w:val="000000"/>
                <w:vertAlign w:val="superscript"/>
              </w:rPr>
            </w:r>
            <w:r>
              <w:rPr>
                <w:rFonts w:ascii="Book Antiqua" w:hAnsi="Book Antiqua"/>
                <w:color w:val="000000"/>
                <w:vertAlign w:val="superscript"/>
              </w:rPr>
              <w:fldChar w:fldCharType="end"/>
            </w:r>
            <w:r>
              <w:rPr>
                <w:rFonts w:ascii="Book Antiqua" w:hAnsi="Book Antiqua"/>
                <w:color w:val="000000"/>
                <w:vertAlign w:val="superscript"/>
              </w:rPr>
            </w:r>
            <w:r>
              <w:rPr>
                <w:rFonts w:ascii="Book Antiqua" w:hAnsi="Book Antiqua"/>
                <w:color w:val="000000"/>
                <w:vertAlign w:val="superscript"/>
              </w:rPr>
              <w:fldChar w:fldCharType="separate"/>
            </w:r>
            <w:r>
              <w:rPr>
                <w:rFonts w:ascii="Book Antiqua" w:hAnsi="Book Antiqua"/>
                <w:color w:val="000000"/>
                <w:vertAlign w:val="superscript"/>
              </w:rPr>
              <w:t>[128]</w:t>
            </w:r>
            <w:r>
              <w:rPr>
                <w:rFonts w:ascii="Book Antiqua" w:hAnsi="Book Antiqua"/>
                <w:color w:val="000000"/>
                <w:vertAlign w:val="superscript"/>
              </w:rPr>
              <w:fldChar w:fldCharType="end"/>
            </w:r>
          </w:p>
        </w:tc>
      </w:tr>
    </w:tbl>
    <w:p w14:paraId="35779421" w14:textId="77777777" w:rsidR="00BA6BF8" w:rsidRDefault="00000000">
      <w:pPr>
        <w:pStyle w:val="a9"/>
        <w:snapToGrid w:val="0"/>
        <w:spacing w:before="0" w:beforeAutospacing="0" w:after="0" w:afterAutospacing="0" w:line="360" w:lineRule="auto"/>
        <w:jc w:val="both"/>
        <w:rPr>
          <w:rFonts w:ascii="Book Antiqua" w:eastAsia="Book Antiqua" w:hAnsi="Book Antiqua" w:cs="Book Antiqua"/>
          <w:color w:val="000000"/>
        </w:rPr>
      </w:pPr>
      <w:bookmarkStart w:id="3" w:name="_Hlk131412416"/>
      <w:r>
        <w:rPr>
          <w:rFonts w:ascii="Book Antiqua" w:eastAsia="Book Antiqua" w:hAnsi="Book Antiqua" w:cs="Book Antiqua"/>
          <w:color w:val="000000"/>
        </w:rPr>
        <w:t xml:space="preserve">miRNAs: MicroRNAs; T1DM: </w:t>
      </w:r>
      <w:bookmarkStart w:id="4" w:name="_Hlk131412358"/>
      <w:r>
        <w:rPr>
          <w:rFonts w:ascii="Book Antiqua" w:eastAsia="Book Antiqua" w:hAnsi="Book Antiqua" w:cs="Book Antiqua"/>
          <w:color w:val="000000"/>
        </w:rPr>
        <w:t>Type 1 diabetes mellitus</w:t>
      </w:r>
      <w:bookmarkEnd w:id="4"/>
      <w:r>
        <w:rPr>
          <w:rFonts w:ascii="Book Antiqua" w:eastAsia="Book Antiqua" w:hAnsi="Book Antiqua" w:cs="Book Antiqua"/>
          <w:color w:val="000000"/>
        </w:rPr>
        <w:t>; T2DM: Type 2 diabetes mellitus; GDM: Gestational diabetes mellitus; MODY: Maturity-onset diabetes of young.</w:t>
      </w:r>
    </w:p>
    <w:p w14:paraId="477A78AD" w14:textId="77777777" w:rsidR="00BA6BF8" w:rsidRDefault="00BA6BF8">
      <w:pPr>
        <w:pStyle w:val="a9"/>
        <w:snapToGrid w:val="0"/>
        <w:spacing w:before="0" w:beforeAutospacing="0" w:after="0" w:afterAutospacing="0" w:line="360" w:lineRule="auto"/>
        <w:jc w:val="both"/>
        <w:rPr>
          <w:rFonts w:ascii="Book Antiqua" w:hAnsi="Book Antiqua"/>
        </w:rPr>
      </w:pPr>
    </w:p>
    <w:p w14:paraId="407451A6" w14:textId="77777777" w:rsidR="00BA6BF8" w:rsidRDefault="00000000">
      <w:pPr>
        <w:pStyle w:val="a9"/>
        <w:snapToGrid w:val="0"/>
        <w:spacing w:before="0" w:beforeAutospacing="0" w:after="0" w:afterAutospacing="0" w:line="360" w:lineRule="auto"/>
        <w:jc w:val="both"/>
        <w:rPr>
          <w:rFonts w:ascii="Book Antiqua" w:hAnsi="Book Antiqua"/>
          <w:b/>
          <w:bCs/>
        </w:rPr>
      </w:pPr>
      <w:r>
        <w:rPr>
          <w:rFonts w:ascii="Book Antiqua" w:hAnsi="Book Antiqua"/>
          <w:b/>
          <w:bCs/>
        </w:rPr>
        <w:t>Table 2 Studies on polygenic risk score for type 1 diabetes mellitus and type 2 diabetes mellitus</w:t>
      </w:r>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095"/>
        <w:gridCol w:w="1620"/>
        <w:gridCol w:w="2895"/>
        <w:gridCol w:w="1870"/>
      </w:tblGrid>
      <w:tr w:rsidR="00BA6BF8" w14:paraId="2A018057" w14:textId="77777777">
        <w:tc>
          <w:tcPr>
            <w:tcW w:w="1870" w:type="dxa"/>
            <w:tcBorders>
              <w:top w:val="single" w:sz="4" w:space="0" w:color="auto"/>
              <w:bottom w:val="single" w:sz="4" w:space="0" w:color="auto"/>
            </w:tcBorders>
            <w:vAlign w:val="center"/>
          </w:tcPr>
          <w:p w14:paraId="496D2E1D" w14:textId="77777777" w:rsidR="00BA6BF8" w:rsidRDefault="00000000">
            <w:pPr>
              <w:pStyle w:val="a9"/>
              <w:snapToGrid w:val="0"/>
              <w:spacing w:before="0" w:beforeAutospacing="0" w:after="0" w:afterAutospacing="0" w:line="360" w:lineRule="auto"/>
              <w:jc w:val="both"/>
              <w:rPr>
                <w:rFonts w:ascii="Book Antiqua" w:hAnsi="Book Antiqua"/>
                <w:b/>
                <w:bCs/>
              </w:rPr>
            </w:pPr>
            <w:r>
              <w:rPr>
                <w:rFonts w:ascii="Book Antiqua" w:hAnsi="Book Antiqua"/>
                <w:b/>
                <w:bCs/>
              </w:rPr>
              <w:t>Diabetes type</w:t>
            </w:r>
          </w:p>
        </w:tc>
        <w:tc>
          <w:tcPr>
            <w:tcW w:w="1095" w:type="dxa"/>
            <w:tcBorders>
              <w:top w:val="single" w:sz="4" w:space="0" w:color="auto"/>
              <w:bottom w:val="single" w:sz="4" w:space="0" w:color="auto"/>
            </w:tcBorders>
            <w:vAlign w:val="center"/>
          </w:tcPr>
          <w:p w14:paraId="7C8EDC15" w14:textId="77777777" w:rsidR="00BA6BF8" w:rsidRDefault="00000000">
            <w:pPr>
              <w:pStyle w:val="a9"/>
              <w:snapToGrid w:val="0"/>
              <w:spacing w:before="0" w:beforeAutospacing="0" w:after="0" w:afterAutospacing="0" w:line="360" w:lineRule="auto"/>
              <w:jc w:val="both"/>
              <w:rPr>
                <w:rFonts w:ascii="Book Antiqua" w:hAnsi="Book Antiqua"/>
                <w:b/>
                <w:bCs/>
              </w:rPr>
            </w:pPr>
            <w:r>
              <w:rPr>
                <w:rFonts w:ascii="Book Antiqua" w:hAnsi="Book Antiqua"/>
                <w:b/>
                <w:bCs/>
              </w:rPr>
              <w:t>SNPs</w:t>
            </w:r>
          </w:p>
        </w:tc>
        <w:tc>
          <w:tcPr>
            <w:tcW w:w="1620" w:type="dxa"/>
            <w:tcBorders>
              <w:top w:val="single" w:sz="4" w:space="0" w:color="auto"/>
              <w:bottom w:val="single" w:sz="4" w:space="0" w:color="auto"/>
            </w:tcBorders>
            <w:vAlign w:val="center"/>
          </w:tcPr>
          <w:p w14:paraId="0F9E11C2" w14:textId="77777777" w:rsidR="00BA6BF8" w:rsidRDefault="00000000">
            <w:pPr>
              <w:pStyle w:val="a9"/>
              <w:snapToGrid w:val="0"/>
              <w:spacing w:before="0" w:beforeAutospacing="0" w:after="0" w:afterAutospacing="0" w:line="360" w:lineRule="auto"/>
              <w:rPr>
                <w:rFonts w:ascii="Book Antiqua" w:hAnsi="Book Antiqua"/>
                <w:b/>
                <w:bCs/>
              </w:rPr>
            </w:pPr>
            <w:r>
              <w:rPr>
                <w:rFonts w:ascii="Book Antiqua" w:hAnsi="Book Antiqua"/>
                <w:b/>
                <w:bCs/>
              </w:rPr>
              <w:t>AUC for PRS</w:t>
            </w:r>
          </w:p>
        </w:tc>
        <w:tc>
          <w:tcPr>
            <w:tcW w:w="2895" w:type="dxa"/>
            <w:tcBorders>
              <w:top w:val="single" w:sz="4" w:space="0" w:color="auto"/>
              <w:bottom w:val="single" w:sz="4" w:space="0" w:color="auto"/>
            </w:tcBorders>
            <w:vAlign w:val="center"/>
          </w:tcPr>
          <w:p w14:paraId="3E1C0A55" w14:textId="77777777" w:rsidR="00BA6BF8" w:rsidRDefault="00000000">
            <w:pPr>
              <w:pStyle w:val="a9"/>
              <w:snapToGrid w:val="0"/>
              <w:spacing w:before="0" w:beforeAutospacing="0" w:after="0" w:afterAutospacing="0" w:line="360" w:lineRule="auto"/>
              <w:jc w:val="both"/>
              <w:rPr>
                <w:rFonts w:ascii="Book Antiqua" w:hAnsi="Book Antiqua"/>
                <w:b/>
                <w:bCs/>
              </w:rPr>
            </w:pPr>
            <w:r>
              <w:rPr>
                <w:rFonts w:ascii="Book Antiqua" w:hAnsi="Book Antiqua"/>
                <w:b/>
                <w:bCs/>
              </w:rPr>
              <w:t>Ethnicity</w:t>
            </w:r>
          </w:p>
        </w:tc>
        <w:tc>
          <w:tcPr>
            <w:tcW w:w="1870" w:type="dxa"/>
            <w:tcBorders>
              <w:top w:val="single" w:sz="4" w:space="0" w:color="auto"/>
              <w:bottom w:val="single" w:sz="4" w:space="0" w:color="auto"/>
            </w:tcBorders>
            <w:vAlign w:val="center"/>
          </w:tcPr>
          <w:p w14:paraId="54C523F6" w14:textId="77777777" w:rsidR="00BA6BF8" w:rsidRDefault="00000000">
            <w:pPr>
              <w:pStyle w:val="a9"/>
              <w:snapToGrid w:val="0"/>
              <w:spacing w:before="0" w:beforeAutospacing="0" w:after="0" w:afterAutospacing="0" w:line="360" w:lineRule="auto"/>
              <w:jc w:val="both"/>
              <w:rPr>
                <w:rFonts w:ascii="Book Antiqua" w:hAnsi="Book Antiqua"/>
                <w:b/>
                <w:bCs/>
              </w:rPr>
            </w:pPr>
            <w:r>
              <w:rPr>
                <w:rFonts w:ascii="Book Antiqua" w:hAnsi="Book Antiqua"/>
                <w:b/>
                <w:bCs/>
              </w:rPr>
              <w:t>Ref.</w:t>
            </w:r>
          </w:p>
        </w:tc>
      </w:tr>
      <w:bookmarkEnd w:id="3"/>
      <w:tr w:rsidR="00BA6BF8" w14:paraId="46A880CD" w14:textId="77777777">
        <w:tc>
          <w:tcPr>
            <w:tcW w:w="1870" w:type="dxa"/>
            <w:tcBorders>
              <w:top w:val="single" w:sz="4" w:space="0" w:color="auto"/>
            </w:tcBorders>
            <w:vAlign w:val="center"/>
          </w:tcPr>
          <w:p w14:paraId="16A559A2"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lastRenderedPageBreak/>
              <w:t>T1DM</w:t>
            </w:r>
          </w:p>
        </w:tc>
        <w:tc>
          <w:tcPr>
            <w:tcW w:w="1095" w:type="dxa"/>
            <w:tcBorders>
              <w:top w:val="single" w:sz="4" w:space="0" w:color="auto"/>
            </w:tcBorders>
            <w:vAlign w:val="center"/>
          </w:tcPr>
          <w:p w14:paraId="606C4F07"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41</w:t>
            </w:r>
          </w:p>
        </w:tc>
        <w:tc>
          <w:tcPr>
            <w:tcW w:w="1620" w:type="dxa"/>
            <w:tcBorders>
              <w:top w:val="single" w:sz="4" w:space="0" w:color="auto"/>
            </w:tcBorders>
            <w:vAlign w:val="center"/>
          </w:tcPr>
          <w:p w14:paraId="36209BB5"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0.87</w:t>
            </w:r>
          </w:p>
        </w:tc>
        <w:tc>
          <w:tcPr>
            <w:tcW w:w="2895" w:type="dxa"/>
            <w:tcBorders>
              <w:top w:val="single" w:sz="4" w:space="0" w:color="auto"/>
            </w:tcBorders>
            <w:vAlign w:val="center"/>
          </w:tcPr>
          <w:p w14:paraId="1C023244"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Caucasian</w:t>
            </w:r>
          </w:p>
        </w:tc>
        <w:tc>
          <w:tcPr>
            <w:tcW w:w="1870" w:type="dxa"/>
            <w:tcBorders>
              <w:top w:val="single" w:sz="4" w:space="0" w:color="auto"/>
            </w:tcBorders>
            <w:vAlign w:val="center"/>
          </w:tcPr>
          <w:p w14:paraId="1B4F276F" w14:textId="77777777" w:rsidR="00BA6BF8" w:rsidRDefault="00000000">
            <w:pPr>
              <w:pStyle w:val="a9"/>
              <w:snapToGrid w:val="0"/>
              <w:spacing w:before="0" w:beforeAutospacing="0" w:after="0" w:afterAutospacing="0"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&lt;EndNote&gt;&lt;Cite&gt;&lt;Author&gt;Winkler&lt;/Author&gt;&lt;Year&gt;2014&lt;/Year&gt;&lt;RecNum&gt;667&lt;/RecNum&gt;&lt;DisplayText&gt;[140]&lt;/DisplayText&gt;&lt;record&gt;&lt;rec-number&gt;667&lt;/rec-number&gt;&lt;foreign-keys&gt;&lt;key app="EN" db-id="w259sedv5dvevhertempp0wjwxf5apt95z5a" timestamp="1671481441"&gt;667&lt;/key&gt;&lt;/foreign-keys&gt;&lt;ref-type name="Journal Article"&gt;17&lt;/ref-type&gt;&lt;contributors&gt;&lt;authors&gt;&lt;author&gt;Winkler, C.&lt;/author&gt;&lt;author&gt;Krumsiek, J.&lt;/author&gt;&lt;author&gt;Buettner, F.&lt;/author&gt;&lt;author&gt;Angermüller, C.&lt;/author&gt;&lt;author&gt;Giannopoulou, E. Z.&lt;/author&gt;&lt;author&gt;Theis, F. J.&lt;/author&gt;&lt;author&gt;Ziegler, A. G.&lt;/author&gt;&lt;author&gt;Bonifacio, E.&lt;/author&gt;&lt;/authors&gt;&lt;/contributors&gt;&lt;auth-address&gt;Institute of Diabetes Research, Helmholtz Zentrum München, and Forschergruppe Diabetes, Klinikum rechts der Isar, Technische Universität München, Ingolstaedter Landstr. 1, 85764, Neuherberg, Germany.&lt;/auth-address&gt;&lt;titles&gt;&lt;title&gt;Feature ranking of type 1 diabetes susceptibility genes improves prediction of type 1 diabetes&lt;/title&gt;&lt;secondary-title&gt;Diabetologia&lt;/secondary-title&gt;&lt;/titles&gt;&lt;periodical&gt;&lt;full-title&gt;Diabetologia&lt;/full-title&gt;&lt;/periodical&gt;&lt;pages&gt;2521-9&lt;/pages&gt;&lt;volume&gt;57&lt;/volume&gt;&lt;number&gt;12&lt;/number&gt;&lt;edition&gt;20140904&lt;/edition&gt;&lt;keywords&gt;&lt;keyword&gt;Bayes Theorem&lt;/keyword&gt;&lt;keyword&gt;Databases, Genetic&lt;/keyword&gt;&lt;keyword&gt;Diabetes Mellitus, Type 1/*diagnosis/*genetics&lt;/keyword&gt;&lt;keyword&gt;*Genetic Predisposition to Disease&lt;/keyword&gt;&lt;keyword&gt;Genetic Testing/*methods&lt;/keyword&gt;&lt;keyword&gt;Genotype&lt;/keyword&gt;&lt;keyword&gt;Humans&lt;/keyword&gt;&lt;keyword&gt;*Polymorphism, Single Nucleotide&lt;/keyword&gt;&lt;/keywords&gt;&lt;dates&gt;&lt;year&gt;2014&lt;/year&gt;&lt;pub-dates&gt;&lt;date&gt;Dec&lt;/date&gt;&lt;/pub-dates&gt;&lt;/dates&gt;&lt;isbn&gt;0012-186x&lt;/isbn&gt;&lt;accession-num&gt;25186292&lt;/accession-num&gt;&lt;urls&gt;&lt;/urls&gt;&lt;electronic-resource-num&gt;10.1007/s00125-014-3362-1&lt;/electronic-resource-num&gt;&lt;remote-database-provider&gt;NLM&lt;/remote-database-provider&gt;&lt;language&gt;eng&lt;/language&gt;&lt;/record&gt;&lt;/Cite&gt;&lt;/EndNote&gt;</w:instrText>
            </w:r>
            <w:r>
              <w:rPr>
                <w:rFonts w:ascii="Book Antiqua" w:hAnsi="Book Antiqua"/>
                <w:vertAlign w:val="superscript"/>
              </w:rPr>
              <w:fldChar w:fldCharType="separate"/>
            </w:r>
            <w:r>
              <w:rPr>
                <w:rFonts w:ascii="Book Antiqua" w:hAnsi="Book Antiqua"/>
                <w:vertAlign w:val="superscript"/>
              </w:rPr>
              <w:t>[140]</w:t>
            </w:r>
            <w:r>
              <w:rPr>
                <w:rFonts w:ascii="Book Antiqua" w:hAnsi="Book Antiqua"/>
                <w:vertAlign w:val="superscript"/>
              </w:rPr>
              <w:fldChar w:fldCharType="end"/>
            </w:r>
          </w:p>
        </w:tc>
      </w:tr>
      <w:tr w:rsidR="00BA6BF8" w14:paraId="416F2C44" w14:textId="77777777">
        <w:tc>
          <w:tcPr>
            <w:tcW w:w="1870" w:type="dxa"/>
            <w:vAlign w:val="center"/>
          </w:tcPr>
          <w:p w14:paraId="49620A25"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T1DM</w:t>
            </w:r>
          </w:p>
        </w:tc>
        <w:tc>
          <w:tcPr>
            <w:tcW w:w="1095" w:type="dxa"/>
            <w:vAlign w:val="center"/>
          </w:tcPr>
          <w:p w14:paraId="512C06D5"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30</w:t>
            </w:r>
          </w:p>
        </w:tc>
        <w:tc>
          <w:tcPr>
            <w:tcW w:w="1620" w:type="dxa"/>
            <w:vAlign w:val="center"/>
          </w:tcPr>
          <w:p w14:paraId="210EE79B"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0.88</w:t>
            </w:r>
          </w:p>
        </w:tc>
        <w:tc>
          <w:tcPr>
            <w:tcW w:w="2895" w:type="dxa"/>
            <w:vAlign w:val="center"/>
          </w:tcPr>
          <w:p w14:paraId="53D7F10F"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Caucasian</w:t>
            </w:r>
          </w:p>
        </w:tc>
        <w:tc>
          <w:tcPr>
            <w:tcW w:w="1870" w:type="dxa"/>
            <w:vMerge w:val="restart"/>
            <w:vAlign w:val="center"/>
          </w:tcPr>
          <w:p w14:paraId="1E47BECB" w14:textId="77777777" w:rsidR="00BA6BF8" w:rsidRDefault="00000000">
            <w:pPr>
              <w:pStyle w:val="a9"/>
              <w:snapToGrid w:val="0"/>
              <w:spacing w:before="0" w:beforeAutospacing="0" w:after="0" w:afterAutospacing="0"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&lt;EndNote&gt;&lt;Cite&gt;&lt;Author&gt;Oram&lt;/Author&gt;&lt;Year&gt;2015&lt;/Year&gt;&lt;RecNum&gt;668&lt;/RecNum&gt;&lt;DisplayText&gt;[141]&lt;/DisplayText&gt;&lt;record&gt;&lt;rec-number&gt;668&lt;/rec-number&gt;&lt;foreign-keys&gt;&lt;key app="EN" db-id="w259sedv5dvevhertempp0wjwxf5apt95z5a" timestamp="1671481477"&gt;668&lt;/key&gt;&lt;/foreign-keys&gt;&lt;ref-type name="Journal Article"&gt;17&lt;/ref-type&gt;&lt;contributors&gt;&lt;authors&gt;&lt;author&gt;Oram, Richard A.&lt;/author&gt;&lt;author&gt;Patel, Kashyap&lt;/author&gt;&lt;author&gt;Hill, Anita&lt;/author&gt;&lt;author&gt;Shields, Beverley&lt;/author&gt;&lt;author&gt;McDonald, Timothy J.&lt;/author&gt;&lt;author&gt;Jones, Angus&lt;/author&gt;&lt;author&gt;Hattersley, Andrew T.&lt;/author&gt;&lt;author&gt;Weedon, Michael N.&lt;/author&gt;&lt;/authors&gt;&lt;/contributors&gt;&lt;titles&gt;&lt;title&gt;A Type 1 Diabetes Genetic Risk Score Can Aid Discrimination Between Type 1 and Type 2 Diabetes in Young Adults&lt;/title&gt;&lt;secondary-title&gt;Diabetes Care&lt;/secondary-title&gt;&lt;/titles&gt;&lt;periodical&gt;&lt;full-title&gt;Diabetes Care&lt;/full-title&gt;&lt;/periodical&gt;&lt;pages&gt;337-344&lt;/pages&gt;&lt;volume&gt;39&lt;/volume&gt;&lt;number&gt;3&lt;/number&gt;&lt;dates&gt;&lt;year&gt;2015&lt;/year&gt;&lt;/dates&gt;&lt;isbn&gt;0149-5992&lt;/isbn&gt;&lt;urls&gt;&lt;related-urls&gt;&lt;url&gt;https://doi.org/10.2337/dc15-1111&lt;/url&gt;&lt;/related-urls&gt;&lt;/urls&gt;&lt;electronic-resource-num&gt;10.2337/dc15-1111&lt;/electronic-resource-num&gt;&lt;access-date&gt;12/19/2022&lt;/access-date&gt;&lt;/record&gt;&lt;/Cite&gt;&lt;/EndNote&gt;</w:instrText>
            </w:r>
            <w:r>
              <w:rPr>
                <w:rFonts w:ascii="Book Antiqua" w:hAnsi="Book Antiqua"/>
                <w:vertAlign w:val="superscript"/>
              </w:rPr>
              <w:fldChar w:fldCharType="separate"/>
            </w:r>
            <w:r>
              <w:rPr>
                <w:rFonts w:ascii="Book Antiqua" w:hAnsi="Book Antiqua"/>
                <w:vertAlign w:val="superscript"/>
              </w:rPr>
              <w:t>[141]</w:t>
            </w:r>
            <w:r>
              <w:rPr>
                <w:rFonts w:ascii="Book Antiqua" w:hAnsi="Book Antiqua"/>
                <w:vertAlign w:val="superscript"/>
              </w:rPr>
              <w:fldChar w:fldCharType="end"/>
            </w:r>
          </w:p>
        </w:tc>
      </w:tr>
      <w:tr w:rsidR="00BA6BF8" w14:paraId="5227A055" w14:textId="77777777">
        <w:tc>
          <w:tcPr>
            <w:tcW w:w="1870" w:type="dxa"/>
            <w:vAlign w:val="center"/>
          </w:tcPr>
          <w:p w14:paraId="61020138"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T1DM + T2DM</w:t>
            </w:r>
          </w:p>
        </w:tc>
        <w:tc>
          <w:tcPr>
            <w:tcW w:w="1095" w:type="dxa"/>
            <w:vAlign w:val="center"/>
          </w:tcPr>
          <w:p w14:paraId="24F5BD5A"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99</w:t>
            </w:r>
          </w:p>
        </w:tc>
        <w:tc>
          <w:tcPr>
            <w:tcW w:w="1620" w:type="dxa"/>
            <w:vAlign w:val="center"/>
          </w:tcPr>
          <w:p w14:paraId="026DF0C7"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0.89</w:t>
            </w:r>
          </w:p>
        </w:tc>
        <w:tc>
          <w:tcPr>
            <w:tcW w:w="2895" w:type="dxa"/>
            <w:vAlign w:val="center"/>
          </w:tcPr>
          <w:p w14:paraId="4EBAB5EB"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Caucasian</w:t>
            </w:r>
          </w:p>
        </w:tc>
        <w:tc>
          <w:tcPr>
            <w:tcW w:w="1870" w:type="dxa"/>
            <w:vMerge/>
            <w:vAlign w:val="center"/>
          </w:tcPr>
          <w:p w14:paraId="6BE1D7FB" w14:textId="77777777" w:rsidR="00BA6BF8" w:rsidRDefault="00BA6BF8">
            <w:pPr>
              <w:pStyle w:val="a9"/>
              <w:snapToGrid w:val="0"/>
              <w:spacing w:before="0" w:beforeAutospacing="0" w:after="0" w:afterAutospacing="0" w:line="360" w:lineRule="auto"/>
              <w:jc w:val="both"/>
              <w:rPr>
                <w:rFonts w:ascii="Book Antiqua" w:hAnsi="Book Antiqua"/>
                <w:vertAlign w:val="superscript"/>
              </w:rPr>
            </w:pPr>
          </w:p>
        </w:tc>
      </w:tr>
      <w:tr w:rsidR="00BA6BF8" w14:paraId="62BB0E25" w14:textId="77777777">
        <w:tc>
          <w:tcPr>
            <w:tcW w:w="1870" w:type="dxa"/>
            <w:vAlign w:val="center"/>
          </w:tcPr>
          <w:p w14:paraId="553EC94D"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T1DM</w:t>
            </w:r>
          </w:p>
        </w:tc>
        <w:tc>
          <w:tcPr>
            <w:tcW w:w="1095" w:type="dxa"/>
            <w:vAlign w:val="center"/>
          </w:tcPr>
          <w:p w14:paraId="64BD6271"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32</w:t>
            </w:r>
          </w:p>
        </w:tc>
        <w:tc>
          <w:tcPr>
            <w:tcW w:w="1620" w:type="dxa"/>
            <w:vAlign w:val="center"/>
          </w:tcPr>
          <w:p w14:paraId="5076703A"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0.86</w:t>
            </w:r>
          </w:p>
        </w:tc>
        <w:tc>
          <w:tcPr>
            <w:tcW w:w="2895" w:type="dxa"/>
            <w:vAlign w:val="center"/>
          </w:tcPr>
          <w:p w14:paraId="6ABC3F7A"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Caucasian</w:t>
            </w:r>
          </w:p>
        </w:tc>
        <w:tc>
          <w:tcPr>
            <w:tcW w:w="1870" w:type="dxa"/>
            <w:vMerge w:val="restart"/>
            <w:vAlign w:val="center"/>
          </w:tcPr>
          <w:p w14:paraId="52DC266D" w14:textId="77777777" w:rsidR="00BA6BF8" w:rsidRDefault="00000000">
            <w:pPr>
              <w:pStyle w:val="a9"/>
              <w:snapToGrid w:val="0"/>
              <w:spacing w:before="0" w:beforeAutospacing="0" w:after="0" w:afterAutospacing="0"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&lt;EndNote&gt;&lt;Cite&gt;&lt;Author&gt;Perry&lt;/Author&gt;&lt;Year&gt;2018&lt;/Year&gt;&lt;RecNum&gt;669&lt;/RecNum&gt;&lt;DisplayText&gt;[142]&lt;/DisplayText&gt;&lt;record&gt;&lt;rec-number&gt;669&lt;/rec-number&gt;&lt;foreign-keys&gt;&lt;key app="EN" db-id="w259sedv5dvevhertempp0wjwxf5apt95z5a" timestamp="1671481534"&gt;669&lt;/key&gt;&lt;/foreign-keys&gt;&lt;ref-type name="Journal Article"&gt;17&lt;/ref-type&gt;&lt;contributors&gt;&lt;authors&gt;&lt;author&gt;Perry, Daniel J.&lt;/author&gt;&lt;author&gt;Wasserfall, Clive H.&lt;/author&gt;&lt;author&gt;Oram, Richard A.&lt;/author&gt;&lt;author&gt;Williams, MacKenzie D.&lt;/author&gt;&lt;author&gt;Posgai, Amanda&lt;/author&gt;&lt;author&gt;Muir, Andrew B.&lt;/author&gt;&lt;author&gt;Haller, Michael J.&lt;/author&gt;&lt;author&gt;Schatz, Desmond A.&lt;/author&gt;&lt;author&gt;Wallet, Mark A.&lt;/author&gt;&lt;author&gt;Mathews, Clayton E.&lt;/author&gt;&lt;author&gt;Atkinson, Mark A.&lt;/author&gt;&lt;author&gt;Brusko, Todd M.&lt;/author&gt;&lt;/authors&gt;&lt;/contributors&gt;&lt;titles&gt;&lt;title&gt;Application of a Genetic Risk Score to Racially Diverse Type 1 Diabetes Populations Demonstrates the Need for Diversity in Risk-Modeling&lt;/title&gt;&lt;secondary-title&gt;Scientific Reports&lt;/secondary-title&gt;&lt;/titles&gt;&lt;periodical&gt;&lt;full-title&gt;Scientific Reports&lt;/full-title&gt;&lt;/periodical&gt;&lt;pages&gt;4529&lt;/pages&gt;&lt;volume&gt;8&lt;/volume&gt;&lt;number&gt;1&lt;/number&gt;&lt;dates&gt;&lt;year&gt;2018&lt;/year&gt;&lt;pub-dates&gt;&lt;date&gt;2018/03/14&lt;/date&gt;&lt;/pub-dates&gt;&lt;/dates&gt;&lt;isbn&gt;2045-2322&lt;/isbn&gt;&lt;urls&gt;&lt;related-urls&gt;&lt;url&gt;https://doi.org/10.1038/s41598-018-22574-5&lt;/url&gt;&lt;/related-urls&gt;&lt;/urls&gt;&lt;electronic-resource-num&gt;10.1038/s41598-018-22574-5&lt;/electronic-resource-num&gt;&lt;/record&gt;&lt;/Cite&gt;&lt;/EndNote&gt;</w:instrText>
            </w:r>
            <w:r>
              <w:rPr>
                <w:rFonts w:ascii="Book Antiqua" w:hAnsi="Book Antiqua"/>
                <w:vertAlign w:val="superscript"/>
              </w:rPr>
              <w:fldChar w:fldCharType="separate"/>
            </w:r>
            <w:r>
              <w:rPr>
                <w:rFonts w:ascii="Book Antiqua" w:hAnsi="Book Antiqua"/>
                <w:vertAlign w:val="superscript"/>
              </w:rPr>
              <w:t>[142]</w:t>
            </w:r>
            <w:r>
              <w:rPr>
                <w:rFonts w:ascii="Book Antiqua" w:hAnsi="Book Antiqua"/>
                <w:vertAlign w:val="superscript"/>
              </w:rPr>
              <w:fldChar w:fldCharType="end"/>
            </w:r>
          </w:p>
        </w:tc>
      </w:tr>
      <w:tr w:rsidR="00BA6BF8" w14:paraId="60442AA0" w14:textId="77777777">
        <w:tc>
          <w:tcPr>
            <w:tcW w:w="1870" w:type="dxa"/>
            <w:vAlign w:val="center"/>
          </w:tcPr>
          <w:p w14:paraId="3D1A8685"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T1DM</w:t>
            </w:r>
          </w:p>
        </w:tc>
        <w:tc>
          <w:tcPr>
            <w:tcW w:w="1095" w:type="dxa"/>
            <w:vAlign w:val="center"/>
          </w:tcPr>
          <w:p w14:paraId="3DA7776E"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32</w:t>
            </w:r>
          </w:p>
        </w:tc>
        <w:tc>
          <w:tcPr>
            <w:tcW w:w="1620" w:type="dxa"/>
            <w:vAlign w:val="center"/>
          </w:tcPr>
          <w:p w14:paraId="5C9D8C01"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0.90</w:t>
            </w:r>
          </w:p>
        </w:tc>
        <w:tc>
          <w:tcPr>
            <w:tcW w:w="2895" w:type="dxa"/>
            <w:vAlign w:val="center"/>
          </w:tcPr>
          <w:p w14:paraId="2310E26C"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Caucasian Hispanic</w:t>
            </w:r>
          </w:p>
        </w:tc>
        <w:tc>
          <w:tcPr>
            <w:tcW w:w="1870" w:type="dxa"/>
            <w:vMerge/>
            <w:vAlign w:val="center"/>
          </w:tcPr>
          <w:p w14:paraId="59CB1DD4" w14:textId="77777777" w:rsidR="00BA6BF8" w:rsidRDefault="00BA6BF8">
            <w:pPr>
              <w:pStyle w:val="a9"/>
              <w:snapToGrid w:val="0"/>
              <w:spacing w:before="0" w:beforeAutospacing="0" w:after="0" w:afterAutospacing="0" w:line="360" w:lineRule="auto"/>
              <w:jc w:val="both"/>
              <w:rPr>
                <w:rFonts w:ascii="Book Antiqua" w:hAnsi="Book Antiqua"/>
                <w:vertAlign w:val="superscript"/>
              </w:rPr>
            </w:pPr>
          </w:p>
        </w:tc>
      </w:tr>
      <w:tr w:rsidR="00BA6BF8" w14:paraId="75A3A258" w14:textId="77777777">
        <w:tc>
          <w:tcPr>
            <w:tcW w:w="1870" w:type="dxa"/>
            <w:vAlign w:val="center"/>
          </w:tcPr>
          <w:p w14:paraId="32242972"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T1DM</w:t>
            </w:r>
          </w:p>
        </w:tc>
        <w:tc>
          <w:tcPr>
            <w:tcW w:w="1095" w:type="dxa"/>
            <w:vAlign w:val="center"/>
          </w:tcPr>
          <w:p w14:paraId="3056D4C7"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32</w:t>
            </w:r>
          </w:p>
        </w:tc>
        <w:tc>
          <w:tcPr>
            <w:tcW w:w="1620" w:type="dxa"/>
            <w:vAlign w:val="center"/>
          </w:tcPr>
          <w:p w14:paraId="0E2DB262"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0.75</w:t>
            </w:r>
          </w:p>
        </w:tc>
        <w:tc>
          <w:tcPr>
            <w:tcW w:w="2895" w:type="dxa"/>
            <w:vAlign w:val="center"/>
          </w:tcPr>
          <w:p w14:paraId="0A211626"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African-American</w:t>
            </w:r>
          </w:p>
        </w:tc>
        <w:tc>
          <w:tcPr>
            <w:tcW w:w="1870" w:type="dxa"/>
            <w:vMerge/>
            <w:vAlign w:val="center"/>
          </w:tcPr>
          <w:p w14:paraId="325B5A4A" w14:textId="77777777" w:rsidR="00BA6BF8" w:rsidRDefault="00BA6BF8">
            <w:pPr>
              <w:pStyle w:val="a9"/>
              <w:snapToGrid w:val="0"/>
              <w:spacing w:before="0" w:beforeAutospacing="0" w:after="0" w:afterAutospacing="0" w:line="360" w:lineRule="auto"/>
              <w:jc w:val="both"/>
              <w:rPr>
                <w:rFonts w:ascii="Book Antiqua" w:hAnsi="Book Antiqua"/>
                <w:vertAlign w:val="superscript"/>
              </w:rPr>
            </w:pPr>
          </w:p>
        </w:tc>
      </w:tr>
      <w:tr w:rsidR="00BA6BF8" w14:paraId="325A52E9" w14:textId="77777777">
        <w:tc>
          <w:tcPr>
            <w:tcW w:w="1870" w:type="dxa"/>
            <w:vAlign w:val="center"/>
          </w:tcPr>
          <w:p w14:paraId="21980587"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T1DM</w:t>
            </w:r>
          </w:p>
        </w:tc>
        <w:tc>
          <w:tcPr>
            <w:tcW w:w="1095" w:type="dxa"/>
            <w:vAlign w:val="center"/>
          </w:tcPr>
          <w:p w14:paraId="6018D3BF"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32</w:t>
            </w:r>
          </w:p>
        </w:tc>
        <w:tc>
          <w:tcPr>
            <w:tcW w:w="1620" w:type="dxa"/>
            <w:vAlign w:val="center"/>
          </w:tcPr>
          <w:p w14:paraId="33804012"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0.92</w:t>
            </w:r>
          </w:p>
        </w:tc>
        <w:tc>
          <w:tcPr>
            <w:tcW w:w="2895" w:type="dxa"/>
            <w:vAlign w:val="center"/>
          </w:tcPr>
          <w:p w14:paraId="5A26CBC7"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Asian-American</w:t>
            </w:r>
          </w:p>
        </w:tc>
        <w:tc>
          <w:tcPr>
            <w:tcW w:w="1870" w:type="dxa"/>
            <w:vMerge/>
            <w:vAlign w:val="center"/>
          </w:tcPr>
          <w:p w14:paraId="1D6477F2" w14:textId="77777777" w:rsidR="00BA6BF8" w:rsidRDefault="00BA6BF8">
            <w:pPr>
              <w:pStyle w:val="a9"/>
              <w:snapToGrid w:val="0"/>
              <w:spacing w:before="0" w:beforeAutospacing="0" w:after="0" w:afterAutospacing="0" w:line="360" w:lineRule="auto"/>
              <w:jc w:val="both"/>
              <w:rPr>
                <w:rFonts w:ascii="Book Antiqua" w:hAnsi="Book Antiqua"/>
                <w:vertAlign w:val="superscript"/>
              </w:rPr>
            </w:pPr>
          </w:p>
        </w:tc>
      </w:tr>
      <w:tr w:rsidR="00BA6BF8" w14:paraId="4341CAD4" w14:textId="77777777">
        <w:tc>
          <w:tcPr>
            <w:tcW w:w="1870" w:type="dxa"/>
            <w:vAlign w:val="center"/>
          </w:tcPr>
          <w:p w14:paraId="4E2B7FDF"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T1DM</w:t>
            </w:r>
          </w:p>
        </w:tc>
        <w:tc>
          <w:tcPr>
            <w:tcW w:w="1095" w:type="dxa"/>
            <w:vAlign w:val="center"/>
          </w:tcPr>
          <w:p w14:paraId="75D575EF"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67</w:t>
            </w:r>
          </w:p>
        </w:tc>
        <w:tc>
          <w:tcPr>
            <w:tcW w:w="1620" w:type="dxa"/>
            <w:vAlign w:val="center"/>
          </w:tcPr>
          <w:p w14:paraId="191A4F8E"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0.93</w:t>
            </w:r>
          </w:p>
        </w:tc>
        <w:tc>
          <w:tcPr>
            <w:tcW w:w="2895" w:type="dxa"/>
            <w:vAlign w:val="center"/>
          </w:tcPr>
          <w:p w14:paraId="216ACCA2"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Caucasian</w:t>
            </w:r>
          </w:p>
        </w:tc>
        <w:tc>
          <w:tcPr>
            <w:tcW w:w="1870" w:type="dxa"/>
            <w:vAlign w:val="center"/>
          </w:tcPr>
          <w:p w14:paraId="193938B9" w14:textId="77777777" w:rsidR="00BA6BF8" w:rsidRDefault="00000000">
            <w:pPr>
              <w:pStyle w:val="a9"/>
              <w:snapToGrid w:val="0"/>
              <w:spacing w:before="0" w:beforeAutospacing="0" w:after="0" w:afterAutospacing="0" w:line="360" w:lineRule="auto"/>
              <w:jc w:val="both"/>
              <w:rPr>
                <w:rFonts w:ascii="Book Antiqua" w:hAnsi="Book Antiqua"/>
                <w:vertAlign w:val="superscript"/>
              </w:rPr>
            </w:pPr>
            <w:r>
              <w:rPr>
                <w:rFonts w:ascii="Book Antiqua" w:hAnsi="Book Antiqua"/>
                <w:vertAlign w:val="superscript"/>
              </w:rPr>
              <w:fldChar w:fldCharType="begin">
                <w:fldData xml:space="preserve">PEVuZE5vdGU+PENpdGU+PEF1dGhvcj5TaGFycDwvQXV0aG9yPjxZZWFyPjIwMTk8L1llYXI+PFJl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</w:fldData>
              </w:fldChar>
            </w:r>
            <w:r>
              <w:rPr>
                <w:rFonts w:ascii="Book Antiqua" w:hAnsi="Book Antiqua"/>
                <w:vertAlign w:val="superscript"/>
              </w:rPr>
              <w:instrText xml:space="preserve"> ADDIN EN.CITE </w:instrText>
            </w:r>
            <w:r>
              <w:rPr>
                <w:rFonts w:ascii="Book Antiqua" w:hAnsi="Book Antiqua"/>
                <w:vertAlign w:val="superscript"/>
              </w:rPr>
              <w:fldChar w:fldCharType="begin">
                <w:fldData xml:space="preserve">PEVuZE5vdGU+PENpdGU+PEF1dGhvcj5TaGFycDwvQXV0aG9yPjxZZWFyPjIwMTk8L1llYXI+PFJl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</w:fldData>
              </w:fldChar>
            </w:r>
            <w:r>
              <w:rPr>
                <w:rFonts w:ascii="Book Antiqua" w:hAnsi="Book Antiqua"/>
                <w:vertAlign w:val="superscript"/>
              </w:rPr>
              <w:instrText xml:space="preserve"> ADDIN EN.CITE.DATA </w:instrText>
            </w:r>
            <w:r>
              <w:rPr>
                <w:rFonts w:ascii="Book Antiqua" w:hAnsi="Book Antiqua"/>
                <w:vertAlign w:val="superscript"/>
              </w:rPr>
            </w:r>
            <w:r>
              <w:rPr>
                <w:rFonts w:ascii="Book Antiqua" w:hAnsi="Book Antiqua"/>
                <w:vertAlign w:val="superscript"/>
              </w:rPr>
              <w:fldChar w:fldCharType="end"/>
            </w:r>
            <w:r>
              <w:rPr>
                <w:rFonts w:ascii="Book Antiqua" w:hAnsi="Book Antiqua"/>
                <w:vertAlign w:val="superscript"/>
              </w:rPr>
            </w:r>
            <w:r>
              <w:rPr>
                <w:rFonts w:ascii="Book Antiqua" w:hAnsi="Book Antiqua"/>
                <w:vertAlign w:val="superscript"/>
              </w:rPr>
              <w:fldChar w:fldCharType="separate"/>
            </w:r>
            <w:r>
              <w:rPr>
                <w:rFonts w:ascii="Book Antiqua" w:hAnsi="Book Antiqua"/>
                <w:vertAlign w:val="superscript"/>
              </w:rPr>
              <w:t>[143]</w:t>
            </w:r>
            <w:r>
              <w:rPr>
                <w:rFonts w:ascii="Book Antiqua" w:hAnsi="Book Antiqua"/>
                <w:vertAlign w:val="superscript"/>
              </w:rPr>
              <w:fldChar w:fldCharType="end"/>
            </w:r>
          </w:p>
        </w:tc>
      </w:tr>
      <w:tr w:rsidR="00BA6BF8" w14:paraId="3C9DFA00" w14:textId="77777777">
        <w:tc>
          <w:tcPr>
            <w:tcW w:w="1870" w:type="dxa"/>
            <w:vAlign w:val="center"/>
          </w:tcPr>
          <w:p w14:paraId="4E0EF4A4"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T2DM</w:t>
            </w:r>
          </w:p>
        </w:tc>
        <w:tc>
          <w:tcPr>
            <w:tcW w:w="1095" w:type="dxa"/>
            <w:vAlign w:val="center"/>
          </w:tcPr>
          <w:p w14:paraId="2ECC1850"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3</w:t>
            </w:r>
          </w:p>
        </w:tc>
        <w:tc>
          <w:tcPr>
            <w:tcW w:w="1620" w:type="dxa"/>
            <w:vAlign w:val="center"/>
          </w:tcPr>
          <w:p w14:paraId="66CD7BA5"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0.58</w:t>
            </w:r>
          </w:p>
        </w:tc>
        <w:tc>
          <w:tcPr>
            <w:tcW w:w="2895" w:type="dxa"/>
            <w:vAlign w:val="center"/>
          </w:tcPr>
          <w:p w14:paraId="740D46D3"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Caucasian</w:t>
            </w:r>
          </w:p>
        </w:tc>
        <w:tc>
          <w:tcPr>
            <w:tcW w:w="1870" w:type="dxa"/>
            <w:vAlign w:val="center"/>
          </w:tcPr>
          <w:p w14:paraId="3C62FD58" w14:textId="77777777" w:rsidR="00BA6BF8" w:rsidRDefault="00000000">
            <w:pPr>
              <w:pStyle w:val="a9"/>
              <w:snapToGrid w:val="0"/>
              <w:spacing w:before="0" w:beforeAutospacing="0" w:after="0" w:afterAutospacing="0" w:line="360" w:lineRule="auto"/>
              <w:jc w:val="both"/>
              <w:rPr>
                <w:rFonts w:ascii="Book Antiqua" w:hAnsi="Book Antiqua"/>
                <w:vertAlign w:val="superscript"/>
              </w:rPr>
            </w:pPr>
            <w:r>
              <w:rPr>
                <w:rFonts w:ascii="Book Antiqua" w:hAnsi="Book Antiqua"/>
                <w:vertAlign w:val="superscript"/>
              </w:rPr>
              <w:fldChar w:fldCharType="begin">
                <w:fldData xml:space="preserve">PEVuZE5vdGU+PENpdGU+PEF1dGhvcj5XZWVkb248L0F1dGhvcj48WWVhcj4yMDA2PC9ZZWFyPjxS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</w:fldData>
              </w:fldChar>
            </w:r>
            <w:r>
              <w:rPr>
                <w:rFonts w:ascii="Book Antiqua" w:hAnsi="Book Antiqua"/>
                <w:vertAlign w:val="superscript"/>
              </w:rPr>
              <w:instrText xml:space="preserve"> ADDIN EN.CITE </w:instrText>
            </w:r>
            <w:r>
              <w:rPr>
                <w:rFonts w:ascii="Book Antiqua" w:hAnsi="Book Antiqua"/>
                <w:vertAlign w:val="superscript"/>
              </w:rPr>
              <w:fldChar w:fldCharType="begin">
                <w:fldData xml:space="preserve">PEVuZE5vdGU+PENpdGU+PEF1dGhvcj5XZWVkb248L0F1dGhvcj48WWVhcj4yMDA2PC9ZZWFyPjxS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</w:fldData>
              </w:fldChar>
            </w:r>
            <w:r>
              <w:rPr>
                <w:rFonts w:ascii="Book Antiqua" w:hAnsi="Book Antiqua"/>
                <w:vertAlign w:val="superscript"/>
              </w:rPr>
              <w:instrText xml:space="preserve"> ADDIN EN.CITE.DATA </w:instrText>
            </w:r>
            <w:r>
              <w:rPr>
                <w:rFonts w:ascii="Book Antiqua" w:hAnsi="Book Antiqua"/>
                <w:vertAlign w:val="superscript"/>
              </w:rPr>
            </w:r>
            <w:r>
              <w:rPr>
                <w:rFonts w:ascii="Book Antiqua" w:hAnsi="Book Antiqua"/>
                <w:vertAlign w:val="superscript"/>
              </w:rPr>
              <w:fldChar w:fldCharType="end"/>
            </w:r>
            <w:r>
              <w:rPr>
                <w:rFonts w:ascii="Book Antiqua" w:hAnsi="Book Antiqua"/>
                <w:vertAlign w:val="superscript"/>
              </w:rPr>
            </w:r>
            <w:r>
              <w:rPr>
                <w:rFonts w:ascii="Book Antiqua" w:hAnsi="Book Antiqua"/>
                <w:vertAlign w:val="superscript"/>
              </w:rPr>
              <w:fldChar w:fldCharType="separate"/>
            </w:r>
            <w:r>
              <w:rPr>
                <w:rFonts w:ascii="Book Antiqua" w:hAnsi="Book Antiqua"/>
                <w:vertAlign w:val="superscript"/>
              </w:rPr>
              <w:t>[144]</w:t>
            </w:r>
            <w:r>
              <w:rPr>
                <w:rFonts w:ascii="Book Antiqua" w:hAnsi="Book Antiqua"/>
                <w:vertAlign w:val="superscript"/>
              </w:rPr>
              <w:fldChar w:fldCharType="end"/>
            </w:r>
          </w:p>
        </w:tc>
      </w:tr>
      <w:tr w:rsidR="00BA6BF8" w14:paraId="2DDDDD29" w14:textId="77777777">
        <w:tc>
          <w:tcPr>
            <w:tcW w:w="1870" w:type="dxa"/>
            <w:vAlign w:val="center"/>
          </w:tcPr>
          <w:p w14:paraId="138CB475"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T2DM</w:t>
            </w:r>
          </w:p>
        </w:tc>
        <w:tc>
          <w:tcPr>
            <w:tcW w:w="1095" w:type="dxa"/>
            <w:vAlign w:val="center"/>
          </w:tcPr>
          <w:p w14:paraId="17F3B9E8"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18</w:t>
            </w:r>
          </w:p>
        </w:tc>
        <w:tc>
          <w:tcPr>
            <w:tcW w:w="1620" w:type="dxa"/>
            <w:vAlign w:val="center"/>
          </w:tcPr>
          <w:p w14:paraId="7C2FC51B"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0.80</w:t>
            </w:r>
          </w:p>
        </w:tc>
        <w:tc>
          <w:tcPr>
            <w:tcW w:w="2895" w:type="dxa"/>
            <w:vAlign w:val="center"/>
          </w:tcPr>
          <w:p w14:paraId="4FA9961E"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Caucasian</w:t>
            </w:r>
          </w:p>
        </w:tc>
        <w:tc>
          <w:tcPr>
            <w:tcW w:w="1870" w:type="dxa"/>
            <w:vAlign w:val="center"/>
          </w:tcPr>
          <w:p w14:paraId="37F0D9BC" w14:textId="77777777" w:rsidR="00BA6BF8" w:rsidRDefault="00000000">
            <w:pPr>
              <w:pStyle w:val="a9"/>
              <w:snapToGrid w:val="0"/>
              <w:spacing w:before="0" w:beforeAutospacing="0" w:after="0" w:afterAutospacing="0"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&lt;EndNote&gt;&lt;Cite&gt;&lt;Author&gt;Lango&lt;/Author&gt;&lt;Year&gt;2008&lt;/Year&gt;&lt;RecNum&gt;13&lt;/RecNum&gt;&lt;DisplayText&gt;[136]&lt;/DisplayText&gt;&lt;record&gt;&lt;rec-number&gt;13&lt;/rec-number&gt;&lt;foreign-keys&gt;&lt;key app="EN" db-id="w259sedv5dvevhertempp0wjwxf5apt95z5a" timestamp="1625530426"&gt;13&lt;/key&gt;&lt;/foreign-keys&gt;&lt;ref-type name="Journal Article"&gt;17&lt;/ref-type&gt;&lt;contributors&gt;&lt;authors&gt;&lt;author&gt;Lango, H.&lt;/author&gt;&lt;author&gt;U. K. Type 2 Diabetes Genetics Consortium&lt;/author&gt;&lt;author&gt;Palmer, C. N.&lt;/author&gt;&lt;author&gt;Morris, A. D.&lt;/author&gt;&lt;author&gt;Zeggini, E.&lt;/author&gt;&lt;author&gt;Hattersley, A. T.&lt;/author&gt;&lt;author&gt;McCarthy, M. I.&lt;/author&gt;&lt;author&gt;Frayling, T. M.&lt;/author&gt;&lt;author&gt;Weedon, M. N.&lt;/author&gt;&lt;/authors&gt;&lt;/contributors&gt;&lt;auth-address&gt;Genetics of Complex Traits, Institute of Biomedical and Clinical Science, Peninsula Medical School, Exeter, UK.&lt;/auth-address&gt;&lt;titles&gt;&lt;title&gt;Assessing the combined impact of 18 common genetic variants of modest effect sizes on type 2 diabetes risk&lt;/title&gt;&lt;secondary-title&gt;Diabetes&lt;/secondary-title&gt;&lt;/titles&gt;&lt;periodical&gt;&lt;full-title&gt;Diabetes&lt;/full-title&gt;&lt;/periodical&gt;&lt;pages&gt;3129-35&lt;/pages&gt;&lt;volume&gt;57&lt;/volume&gt;&lt;number&gt;11&lt;/number&gt;&lt;edition&gt;2008/07/02&lt;/edition&gt;&lt;keywords&gt;&lt;keyword&gt;Age Factors&lt;/keyword&gt;&lt;keyword&gt;Aged&lt;/keyword&gt;&lt;keyword&gt;Body Mass Index&lt;/keyword&gt;&lt;keyword&gt;Diabetes Mellitus, Type 2/*genetics/pathology/prevention &amp;amp; control&lt;/keyword&gt;&lt;keyword&gt;Female&lt;/keyword&gt;&lt;keyword&gt;Genetic Predisposition to Disease/*genetics&lt;/keyword&gt;&lt;keyword&gt;Genotype&lt;/keyword&gt;&lt;keyword&gt;Humans&lt;/keyword&gt;&lt;keyword&gt;Male&lt;/keyword&gt;&lt;keyword&gt;Middle Aged&lt;/keyword&gt;&lt;keyword&gt;*Polymorphism, Single Nucleotide&lt;/keyword&gt;&lt;keyword&gt;ROC Curve&lt;/keyword&gt;&lt;/keywords&gt;&lt;dates&gt;&lt;year&gt;2008&lt;/year&gt;&lt;pub-dates&gt;&lt;date&gt;Nov&lt;/date&gt;&lt;/pub-dates&gt;&lt;/dates&gt;&lt;isbn&gt;1939-327X (Electronic)&amp;#xD;0012-1797 (Linking)&lt;/isbn&gt;&lt;accession-num&gt;18591388&lt;/accession-num&gt;&lt;urls&gt;&lt;related-urls&gt;&lt;url&gt;https://www.ncbi.nlm.nih.gov/pubmed/18591388&lt;/url&gt;&lt;/related-urls&gt;&lt;/urls&gt;&lt;custom2&gt;PMC2570411&lt;/custom2&gt;&lt;electronic-resource-num&gt;10.2337/db08-0504&lt;/electronic-resource-num&gt;&lt;/record&gt;&lt;/Cite&gt;&lt;/EndNote&gt;</w:instrText>
            </w:r>
            <w:r>
              <w:rPr>
                <w:rFonts w:ascii="Book Antiqua" w:hAnsi="Book Antiqua"/>
                <w:vertAlign w:val="superscript"/>
              </w:rPr>
              <w:fldChar w:fldCharType="separate"/>
            </w:r>
            <w:r>
              <w:rPr>
                <w:rFonts w:ascii="Book Antiqua" w:hAnsi="Book Antiqua"/>
                <w:vertAlign w:val="superscript"/>
              </w:rPr>
              <w:t>[136]</w:t>
            </w:r>
            <w:r>
              <w:rPr>
                <w:rFonts w:ascii="Book Antiqua" w:hAnsi="Book Antiqua"/>
                <w:vertAlign w:val="superscript"/>
              </w:rPr>
              <w:fldChar w:fldCharType="end"/>
            </w:r>
          </w:p>
        </w:tc>
      </w:tr>
      <w:tr w:rsidR="00BA6BF8" w14:paraId="0F2F8CBA" w14:textId="77777777">
        <w:tc>
          <w:tcPr>
            <w:tcW w:w="1870" w:type="dxa"/>
            <w:vAlign w:val="center"/>
          </w:tcPr>
          <w:p w14:paraId="337A3BE5"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T2DM</w:t>
            </w:r>
          </w:p>
        </w:tc>
        <w:tc>
          <w:tcPr>
            <w:tcW w:w="1095" w:type="dxa"/>
            <w:vAlign w:val="center"/>
          </w:tcPr>
          <w:p w14:paraId="73589D66"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16</w:t>
            </w:r>
          </w:p>
        </w:tc>
        <w:tc>
          <w:tcPr>
            <w:tcW w:w="1620" w:type="dxa"/>
            <w:vAlign w:val="center"/>
          </w:tcPr>
          <w:p w14:paraId="299B50C3"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0.75</w:t>
            </w:r>
          </w:p>
        </w:tc>
        <w:tc>
          <w:tcPr>
            <w:tcW w:w="2895" w:type="dxa"/>
            <w:vAlign w:val="center"/>
          </w:tcPr>
          <w:p w14:paraId="4676024F"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Caucasian</w:t>
            </w:r>
          </w:p>
        </w:tc>
        <w:tc>
          <w:tcPr>
            <w:tcW w:w="1870" w:type="dxa"/>
            <w:vAlign w:val="center"/>
          </w:tcPr>
          <w:p w14:paraId="384376C1" w14:textId="77777777" w:rsidR="00BA6BF8" w:rsidRDefault="00000000">
            <w:pPr>
              <w:pStyle w:val="a9"/>
              <w:snapToGrid w:val="0"/>
              <w:spacing w:before="0" w:beforeAutospacing="0" w:after="0" w:afterAutospacing="0" w:line="360" w:lineRule="auto"/>
              <w:jc w:val="both"/>
              <w:rPr>
                <w:rFonts w:ascii="Book Antiqua" w:hAnsi="Book Antiqua"/>
                <w:vertAlign w:val="superscript"/>
              </w:rPr>
            </w:pPr>
            <w:r>
              <w:rPr>
                <w:rFonts w:ascii="Book Antiqua" w:hAnsi="Book Antiqua"/>
                <w:vertAlign w:val="superscript"/>
              </w:rPr>
              <w:fldChar w:fldCharType="begin">
                <w:fldData xml:space="preserve">PEVuZE5vdGU+PENpdGU+PEF1dGhvcj5MeXNzZW5rbzwvQXV0aG9yPjxZZWFyPjIwMDg8L1llYXI+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</w:fldData>
              </w:fldChar>
            </w:r>
            <w:r>
              <w:rPr>
                <w:rFonts w:ascii="Book Antiqua" w:hAnsi="Book Antiqua"/>
                <w:vertAlign w:val="superscript"/>
              </w:rPr>
              <w:instrText xml:space="preserve"> ADDIN EN.CITE </w:instrText>
            </w:r>
            <w:r>
              <w:rPr>
                <w:rFonts w:ascii="Book Antiqua" w:hAnsi="Book Antiqua"/>
                <w:vertAlign w:val="superscript"/>
              </w:rPr>
              <w:fldChar w:fldCharType="begin">
                <w:fldData xml:space="preserve">PEVuZE5vdGU+PENpdGU+PEF1dGhvcj5MeXNzZW5rbzwvQXV0aG9yPjxZZWFyPjIwMDg8L1llYXI+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</w:fldData>
              </w:fldChar>
            </w:r>
            <w:r>
              <w:rPr>
                <w:rFonts w:ascii="Book Antiqua" w:hAnsi="Book Antiqua"/>
                <w:vertAlign w:val="superscript"/>
              </w:rPr>
              <w:instrText xml:space="preserve"> ADDIN EN.CITE.DATA </w:instrText>
            </w:r>
            <w:r>
              <w:rPr>
                <w:rFonts w:ascii="Book Antiqua" w:hAnsi="Book Antiqua"/>
                <w:vertAlign w:val="superscript"/>
              </w:rPr>
            </w:r>
            <w:r>
              <w:rPr>
                <w:rFonts w:ascii="Book Antiqua" w:hAnsi="Book Antiqua"/>
                <w:vertAlign w:val="superscript"/>
              </w:rPr>
              <w:fldChar w:fldCharType="end"/>
            </w:r>
            <w:r>
              <w:rPr>
                <w:rFonts w:ascii="Book Antiqua" w:hAnsi="Book Antiqua"/>
                <w:vertAlign w:val="superscript"/>
              </w:rPr>
            </w:r>
            <w:r>
              <w:rPr>
                <w:rFonts w:ascii="Book Antiqua" w:hAnsi="Book Antiqua"/>
                <w:vertAlign w:val="superscript"/>
              </w:rPr>
              <w:fldChar w:fldCharType="separate"/>
            </w:r>
            <w:r>
              <w:rPr>
                <w:rFonts w:ascii="Book Antiqua" w:hAnsi="Book Antiqua"/>
                <w:vertAlign w:val="superscript"/>
              </w:rPr>
              <w:t>[134]</w:t>
            </w:r>
            <w:r>
              <w:rPr>
                <w:rFonts w:ascii="Book Antiqua" w:hAnsi="Book Antiqua"/>
                <w:vertAlign w:val="superscript"/>
              </w:rPr>
              <w:fldChar w:fldCharType="end"/>
            </w:r>
          </w:p>
        </w:tc>
      </w:tr>
      <w:tr w:rsidR="00BA6BF8" w14:paraId="4BE34ED9" w14:textId="77777777">
        <w:tc>
          <w:tcPr>
            <w:tcW w:w="1870" w:type="dxa"/>
            <w:vAlign w:val="center"/>
          </w:tcPr>
          <w:p w14:paraId="2E368168"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T2DM</w:t>
            </w:r>
          </w:p>
        </w:tc>
        <w:tc>
          <w:tcPr>
            <w:tcW w:w="1095" w:type="dxa"/>
            <w:vAlign w:val="center"/>
          </w:tcPr>
          <w:p w14:paraId="7C0F3158"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18</w:t>
            </w:r>
          </w:p>
        </w:tc>
        <w:tc>
          <w:tcPr>
            <w:tcW w:w="1620" w:type="dxa"/>
            <w:vAlign w:val="center"/>
          </w:tcPr>
          <w:p w14:paraId="6DE4F081"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0.91</w:t>
            </w:r>
          </w:p>
        </w:tc>
        <w:tc>
          <w:tcPr>
            <w:tcW w:w="2895" w:type="dxa"/>
            <w:vAlign w:val="center"/>
          </w:tcPr>
          <w:p w14:paraId="02EB88AB"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Caucasian</w:t>
            </w:r>
          </w:p>
        </w:tc>
        <w:tc>
          <w:tcPr>
            <w:tcW w:w="1870" w:type="dxa"/>
            <w:vAlign w:val="center"/>
          </w:tcPr>
          <w:p w14:paraId="20E6A8B8" w14:textId="77777777" w:rsidR="00BA6BF8" w:rsidRDefault="00000000">
            <w:pPr>
              <w:pStyle w:val="a9"/>
              <w:snapToGrid w:val="0"/>
              <w:spacing w:before="0" w:beforeAutospacing="0" w:after="0" w:afterAutospacing="0" w:line="360" w:lineRule="auto"/>
              <w:jc w:val="both"/>
              <w:rPr>
                <w:rFonts w:ascii="Book Antiqua" w:hAnsi="Book Antiqua"/>
                <w:vertAlign w:val="superscript"/>
              </w:rPr>
            </w:pPr>
            <w:r>
              <w:rPr>
                <w:rFonts w:ascii="Book Antiqua" w:hAnsi="Book Antiqua"/>
                <w:vertAlign w:val="superscript"/>
              </w:rPr>
              <w:fldChar w:fldCharType="begin">
                <w:fldData xml:space="preserve">PEVuZE5vdGU+PENpdGU+PEF1dGhvcj5NZWlnczwvQXV0aG9yPjxZZWFyPjIwMDg8L1llYXI+PFJl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</w:fldData>
              </w:fldChar>
            </w:r>
            <w:r>
              <w:rPr>
                <w:rFonts w:ascii="Book Antiqua" w:hAnsi="Book Antiqua"/>
                <w:vertAlign w:val="superscript"/>
              </w:rPr>
              <w:instrText xml:space="preserve"> ADDIN EN.CITE </w:instrText>
            </w:r>
            <w:r>
              <w:rPr>
                <w:rFonts w:ascii="Book Antiqua" w:hAnsi="Book Antiqua"/>
                <w:vertAlign w:val="superscript"/>
              </w:rPr>
              <w:fldChar w:fldCharType="begin">
                <w:fldData xml:space="preserve">PEVuZE5vdGU+PENpdGU+PEF1dGhvcj5NZWlnczwvQXV0aG9yPjxZZWFyPjIwMDg8L1llYXI+PFJl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</w:fldData>
              </w:fldChar>
            </w:r>
            <w:r>
              <w:rPr>
                <w:rFonts w:ascii="Book Antiqua" w:hAnsi="Book Antiqua"/>
                <w:vertAlign w:val="superscript"/>
              </w:rPr>
              <w:instrText xml:space="preserve"> ADDIN EN.CITE.DATA </w:instrText>
            </w:r>
            <w:r>
              <w:rPr>
                <w:rFonts w:ascii="Book Antiqua" w:hAnsi="Book Antiqua"/>
                <w:vertAlign w:val="superscript"/>
              </w:rPr>
            </w:r>
            <w:r>
              <w:rPr>
                <w:rFonts w:ascii="Book Antiqua" w:hAnsi="Book Antiqua"/>
                <w:vertAlign w:val="superscript"/>
              </w:rPr>
              <w:fldChar w:fldCharType="end"/>
            </w:r>
            <w:r>
              <w:rPr>
                <w:rFonts w:ascii="Book Antiqua" w:hAnsi="Book Antiqua"/>
                <w:vertAlign w:val="superscript"/>
              </w:rPr>
            </w:r>
            <w:r>
              <w:rPr>
                <w:rFonts w:ascii="Book Antiqua" w:hAnsi="Book Antiqua"/>
                <w:vertAlign w:val="superscript"/>
              </w:rPr>
              <w:fldChar w:fldCharType="separate"/>
            </w:r>
            <w:r>
              <w:rPr>
                <w:rFonts w:ascii="Book Antiqua" w:hAnsi="Book Antiqua"/>
                <w:vertAlign w:val="superscript"/>
              </w:rPr>
              <w:t>[135]</w:t>
            </w:r>
            <w:r>
              <w:rPr>
                <w:rFonts w:ascii="Book Antiqua" w:hAnsi="Book Antiqua"/>
                <w:vertAlign w:val="superscript"/>
              </w:rPr>
              <w:fldChar w:fldCharType="end"/>
            </w:r>
          </w:p>
        </w:tc>
      </w:tr>
      <w:tr w:rsidR="00BA6BF8" w14:paraId="7D75CB9C" w14:textId="77777777">
        <w:tc>
          <w:tcPr>
            <w:tcW w:w="1870" w:type="dxa"/>
            <w:vAlign w:val="center"/>
          </w:tcPr>
          <w:p w14:paraId="6A54A78E"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T2DM</w:t>
            </w:r>
          </w:p>
        </w:tc>
        <w:tc>
          <w:tcPr>
            <w:tcW w:w="1095" w:type="dxa"/>
            <w:vAlign w:val="center"/>
          </w:tcPr>
          <w:p w14:paraId="4CACF2CA"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22</w:t>
            </w:r>
          </w:p>
        </w:tc>
        <w:tc>
          <w:tcPr>
            <w:tcW w:w="1620" w:type="dxa"/>
            <w:vAlign w:val="center"/>
          </w:tcPr>
          <w:p w14:paraId="21EB010F"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0.74</w:t>
            </w:r>
          </w:p>
        </w:tc>
        <w:tc>
          <w:tcPr>
            <w:tcW w:w="2895" w:type="dxa"/>
            <w:vAlign w:val="center"/>
          </w:tcPr>
          <w:p w14:paraId="4F944F7A"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Caucasian</w:t>
            </w:r>
          </w:p>
        </w:tc>
        <w:tc>
          <w:tcPr>
            <w:tcW w:w="1870" w:type="dxa"/>
            <w:vAlign w:val="center"/>
          </w:tcPr>
          <w:p w14:paraId="07B9C98D" w14:textId="77777777" w:rsidR="00BA6BF8" w:rsidRDefault="00000000">
            <w:pPr>
              <w:pStyle w:val="a9"/>
              <w:snapToGrid w:val="0"/>
              <w:spacing w:before="0" w:beforeAutospacing="0" w:after="0" w:afterAutospacing="0"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&lt;EndNote&gt;&lt;Cite&gt;&lt;Author&gt;Chatterjee&lt;/Author&gt;&lt;Year&gt;2013&lt;/Year&gt;&lt;RecNum&gt;671&lt;/RecNum&gt;&lt;DisplayText&gt;[145]&lt;/DisplayText&gt;&lt;record&gt;&lt;rec-number&gt;671&lt;/rec-number&gt;&lt;foreign-keys&gt;&lt;key app="EN" db-id="w259sedv5dvevhertempp0wjwxf5apt95z5a" timestamp="1671481776"&gt;671&lt;/key&gt;&lt;/foreign-keys&gt;&lt;ref-type name="Journal Article"&gt;17&lt;/ref-type&gt;&lt;contributors&gt;&lt;authors&gt;&lt;author&gt;Chatterjee, Nilanjan&lt;/author&gt;&lt;author&gt;Wheeler, Bill&lt;/author&gt;&lt;author&gt;Sampson, Joshua&lt;/author&gt;&lt;author&gt;Hartge, Patricia&lt;/author&gt;&lt;author&gt;Chanock, Stephen J.&lt;/author&gt;&lt;author&gt;Park, Ju-Hyun&lt;/author&gt;&lt;/authors&gt;&lt;/contributors&gt;&lt;titles&gt;&lt;title&gt;Projecting the performance of risk prediction based on polygenic analyses of genome-wide association studies&lt;/title&gt;&lt;secondary-title&gt;Nature Genetics&lt;/secondary-title&gt;&lt;/titles&gt;&lt;periodical&gt;&lt;full-title&gt;Nature Genetics&lt;/full-title&gt;&lt;/periodical&gt;&lt;pages&gt;400-405&lt;/pages&gt;&lt;volume&gt;45&lt;/volume&gt;&lt;number&gt;4&lt;/number&gt;&lt;dates&gt;&lt;year&gt;2013&lt;/year&gt;&lt;pub-dates&gt;&lt;date&gt;2013/04/01&lt;/date&gt;&lt;/pub-dates&gt;&lt;/dates&gt;&lt;isbn&gt;1546-1718&lt;/isbn&gt;&lt;urls&gt;&lt;related-urls&gt;&lt;url&gt;https://doi.org/10.1038/ng.2579&lt;/url&gt;&lt;/related-urls&gt;&lt;/urls&gt;&lt;electronic-resource-num&gt;10.1038/ng.2579&lt;/electronic-resource-num&gt;&lt;/record&gt;&lt;/Cite&gt;&lt;/EndNote&gt;</w:instrText>
            </w:r>
            <w:r>
              <w:rPr>
                <w:rFonts w:ascii="Book Antiqua" w:hAnsi="Book Antiqua"/>
                <w:vertAlign w:val="superscript"/>
              </w:rPr>
              <w:fldChar w:fldCharType="separate"/>
            </w:r>
            <w:r>
              <w:rPr>
                <w:rFonts w:ascii="Book Antiqua" w:hAnsi="Book Antiqua"/>
                <w:vertAlign w:val="superscript"/>
              </w:rPr>
              <w:t>[145]</w:t>
            </w:r>
            <w:r>
              <w:rPr>
                <w:rFonts w:ascii="Book Antiqua" w:hAnsi="Book Antiqua"/>
                <w:vertAlign w:val="superscript"/>
              </w:rPr>
              <w:fldChar w:fldCharType="end"/>
            </w:r>
          </w:p>
        </w:tc>
      </w:tr>
      <w:tr w:rsidR="00BA6BF8" w14:paraId="153A4C6E" w14:textId="77777777">
        <w:tc>
          <w:tcPr>
            <w:tcW w:w="1870" w:type="dxa"/>
            <w:vAlign w:val="center"/>
          </w:tcPr>
          <w:p w14:paraId="2B111204"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T2DM</w:t>
            </w:r>
          </w:p>
        </w:tc>
        <w:tc>
          <w:tcPr>
            <w:tcW w:w="1095" w:type="dxa"/>
            <w:vAlign w:val="center"/>
          </w:tcPr>
          <w:p w14:paraId="48ECDE1F"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62</w:t>
            </w:r>
          </w:p>
        </w:tc>
        <w:tc>
          <w:tcPr>
            <w:tcW w:w="1620" w:type="dxa"/>
            <w:vAlign w:val="center"/>
          </w:tcPr>
          <w:p w14:paraId="42122DB8"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0.91</w:t>
            </w:r>
          </w:p>
        </w:tc>
        <w:tc>
          <w:tcPr>
            <w:tcW w:w="2895" w:type="dxa"/>
            <w:vAlign w:val="center"/>
          </w:tcPr>
          <w:p w14:paraId="4E70B93E"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Caucasian United States population</w:t>
            </w:r>
          </w:p>
        </w:tc>
        <w:tc>
          <w:tcPr>
            <w:tcW w:w="1870" w:type="dxa"/>
            <w:vAlign w:val="center"/>
          </w:tcPr>
          <w:p w14:paraId="557F71B7" w14:textId="77777777" w:rsidR="00BA6BF8" w:rsidRDefault="00000000">
            <w:pPr>
              <w:pStyle w:val="a9"/>
              <w:snapToGrid w:val="0"/>
              <w:spacing w:before="0" w:beforeAutospacing="0" w:after="0" w:afterAutospacing="0" w:line="360" w:lineRule="auto"/>
              <w:jc w:val="both"/>
              <w:rPr>
                <w:rFonts w:ascii="Book Antiqua" w:hAnsi="Book Antiqua"/>
                <w:vertAlign w:val="superscript"/>
              </w:rPr>
            </w:pPr>
            <w:r>
              <w:rPr>
                <w:rFonts w:ascii="Book Antiqua" w:hAnsi="Book Antiqua"/>
                <w:vertAlign w:val="superscript"/>
              </w:rPr>
              <w:fldChar w:fldCharType="begin">
                <w:fldData xml:space="preserve">PEVuZE5vdGU+PENpdGU+PEF1dGhvcj5WYXNzeTwvQXV0aG9yPjxZZWFyPjIwMTQ8L1llYXI+PFJl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</w:fldData>
              </w:fldChar>
            </w:r>
            <w:r>
              <w:rPr>
                <w:rFonts w:ascii="Book Antiqua" w:hAnsi="Book Antiqua"/>
                <w:vertAlign w:val="superscript"/>
              </w:rPr>
              <w:instrText xml:space="preserve"> ADDIN EN.CITE </w:instrText>
            </w:r>
            <w:r>
              <w:rPr>
                <w:rFonts w:ascii="Book Antiqua" w:hAnsi="Book Antiqua"/>
                <w:vertAlign w:val="superscript"/>
              </w:rPr>
              <w:fldChar w:fldCharType="begin">
                <w:fldData xml:space="preserve">PEVuZE5vdGU+PENpdGU+PEF1dGhvcj5WYXNzeTwvQXV0aG9yPjxZZWFyPjIwMTQ8L1llYXI+PFJl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</w:fldData>
              </w:fldChar>
            </w:r>
            <w:r>
              <w:rPr>
                <w:rFonts w:ascii="Book Antiqua" w:hAnsi="Book Antiqua"/>
                <w:vertAlign w:val="superscript"/>
              </w:rPr>
              <w:instrText xml:space="preserve"> ADDIN EN.CITE.DATA </w:instrText>
            </w:r>
            <w:r>
              <w:rPr>
                <w:rFonts w:ascii="Book Antiqua" w:hAnsi="Book Antiqua"/>
                <w:vertAlign w:val="superscript"/>
              </w:rPr>
            </w:r>
            <w:r>
              <w:rPr>
                <w:rFonts w:ascii="Book Antiqua" w:hAnsi="Book Antiqua"/>
                <w:vertAlign w:val="superscript"/>
              </w:rPr>
              <w:fldChar w:fldCharType="end"/>
            </w:r>
            <w:r>
              <w:rPr>
                <w:rFonts w:ascii="Book Antiqua" w:hAnsi="Book Antiqua"/>
                <w:vertAlign w:val="superscript"/>
              </w:rPr>
            </w:r>
            <w:r>
              <w:rPr>
                <w:rFonts w:ascii="Book Antiqua" w:hAnsi="Book Antiqua"/>
                <w:vertAlign w:val="superscript"/>
              </w:rPr>
              <w:fldChar w:fldCharType="separate"/>
            </w:r>
            <w:r>
              <w:rPr>
                <w:rFonts w:ascii="Book Antiqua" w:hAnsi="Book Antiqua"/>
                <w:vertAlign w:val="superscript"/>
              </w:rPr>
              <w:t>[146]</w:t>
            </w:r>
            <w:r>
              <w:rPr>
                <w:rFonts w:ascii="Book Antiqua" w:hAnsi="Book Antiqua"/>
                <w:vertAlign w:val="superscript"/>
              </w:rPr>
              <w:fldChar w:fldCharType="end"/>
            </w:r>
          </w:p>
        </w:tc>
      </w:tr>
      <w:tr w:rsidR="00BA6BF8" w14:paraId="0BA90D40" w14:textId="77777777">
        <w:tc>
          <w:tcPr>
            <w:tcW w:w="1870" w:type="dxa"/>
            <w:vAlign w:val="center"/>
          </w:tcPr>
          <w:p w14:paraId="7892CE5B"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T2DM</w:t>
            </w:r>
          </w:p>
        </w:tc>
        <w:tc>
          <w:tcPr>
            <w:tcW w:w="1095" w:type="dxa"/>
            <w:vAlign w:val="center"/>
          </w:tcPr>
          <w:p w14:paraId="33037451"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1000</w:t>
            </w:r>
          </w:p>
        </w:tc>
        <w:tc>
          <w:tcPr>
            <w:tcW w:w="1620" w:type="dxa"/>
            <w:vAlign w:val="center"/>
          </w:tcPr>
          <w:p w14:paraId="269219A0"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0.79</w:t>
            </w:r>
          </w:p>
        </w:tc>
        <w:tc>
          <w:tcPr>
            <w:tcW w:w="2895" w:type="dxa"/>
            <w:vAlign w:val="center"/>
          </w:tcPr>
          <w:p w14:paraId="4DEDCC91"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Caucasian</w:t>
            </w:r>
          </w:p>
        </w:tc>
        <w:tc>
          <w:tcPr>
            <w:tcW w:w="1870" w:type="dxa"/>
            <w:vAlign w:val="center"/>
          </w:tcPr>
          <w:p w14:paraId="36CDAE6B" w14:textId="77777777" w:rsidR="00BA6BF8" w:rsidRDefault="00000000">
            <w:pPr>
              <w:pStyle w:val="a9"/>
              <w:snapToGrid w:val="0"/>
              <w:spacing w:before="0" w:beforeAutospacing="0" w:after="0" w:afterAutospacing="0"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&lt;EndNote&gt;&lt;Cite&gt;&lt;Author&gt;Läll&lt;/Author&gt;&lt;Year&gt;2017&lt;/Year&gt;&lt;RecNum&gt;672&lt;/RecNum&gt;&lt;DisplayText&gt;[147]&lt;/DisplayText&gt;&lt;record&gt;&lt;rec-number&gt;672&lt;/rec-number&gt;&lt;foreign-keys&gt;&lt;key app="EN" db-id="w259sedv5dvevhertempp0wjwxf5apt95z5a" timestamp="1671481851"&gt;672&lt;/key&gt;&lt;/foreign-keys&gt;&lt;ref-type name="Journal Article"&gt;17&lt;/ref-type&gt;&lt;contributors&gt;&lt;authors&gt;&lt;author&gt;Läll, Kristi&lt;/author&gt;&lt;author&gt;Mägi, Reedik&lt;/author&gt;&lt;author&gt;Morris, Andrew&lt;/author&gt;&lt;author&gt;Metspalu, Andres&lt;/author&gt;&lt;author&gt;Fischer, Krista&lt;/author&gt;&lt;/authors&gt;&lt;/contributors&gt;&lt;titles&gt;&lt;title&gt;Personalized risk prediction for type 2 diabetes: the potential of genetic risk scores&lt;/title&gt;&lt;secondary-title&gt;Genetics in Medicine&lt;/secondary-title&gt;&lt;/titles&gt;&lt;periodical&gt;&lt;full-title&gt;Genetics in Medicine&lt;/full-title&gt;&lt;/periodical&gt;&lt;pages&gt;322-329&lt;/pages&gt;&lt;volume&gt;19&lt;/volume&gt;&lt;number&gt;3&lt;/number&gt;&lt;keywords&gt;&lt;keyword&gt;genetic risk score&lt;/keyword&gt;&lt;keyword&gt;genetic risk&lt;/keyword&gt;&lt;keyword&gt;precision medicine&lt;/keyword&gt;&lt;keyword&gt;risk prediction&lt;/keyword&gt;&lt;keyword&gt;type 2 diabetes&lt;/keyword&gt;&lt;/keywords&gt;&lt;dates&gt;&lt;year&gt;2017&lt;/year&gt;&lt;pub-dates&gt;&lt;date&gt;2017/03/01/&lt;/date&gt;&lt;/pub-dates&gt;&lt;/dates&gt;&lt;isbn&gt;1098-3600&lt;/isbn&gt;&lt;urls&gt;&lt;related-urls&gt;&lt;url&gt;https://www.sciencedirect.com/science/article/pii/S1098360021024084&lt;/url&gt;&lt;/related-urls&gt;&lt;/urls&gt;&lt;electronic-resource-num&gt;https://doi.org/10.1038/gim.2016.103&lt;/electronic-resource-num&gt;&lt;/record&gt;&lt;/Cite&gt;&lt;/EndNote&gt;</w:instrText>
            </w:r>
            <w:r>
              <w:rPr>
                <w:rFonts w:ascii="Book Antiqua" w:hAnsi="Book Antiqua"/>
                <w:vertAlign w:val="superscript"/>
              </w:rPr>
              <w:fldChar w:fldCharType="separate"/>
            </w:r>
            <w:r>
              <w:rPr>
                <w:rFonts w:ascii="Book Antiqua" w:hAnsi="Book Antiqua"/>
                <w:vertAlign w:val="superscript"/>
              </w:rPr>
              <w:t>[147]</w:t>
            </w:r>
            <w:r>
              <w:rPr>
                <w:rFonts w:ascii="Book Antiqua" w:hAnsi="Book Antiqua"/>
                <w:vertAlign w:val="superscript"/>
              </w:rPr>
              <w:fldChar w:fldCharType="end"/>
            </w:r>
          </w:p>
        </w:tc>
      </w:tr>
      <w:tr w:rsidR="00BA6BF8" w14:paraId="02917A64" w14:textId="77777777">
        <w:tc>
          <w:tcPr>
            <w:tcW w:w="1870" w:type="dxa"/>
            <w:vAlign w:val="center"/>
          </w:tcPr>
          <w:p w14:paraId="6F6E0393"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T2DM</w:t>
            </w:r>
          </w:p>
        </w:tc>
        <w:tc>
          <w:tcPr>
            <w:tcW w:w="1095" w:type="dxa"/>
            <w:vAlign w:val="center"/>
          </w:tcPr>
          <w:p w14:paraId="6A8C0880"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4</w:t>
            </w:r>
          </w:p>
        </w:tc>
        <w:tc>
          <w:tcPr>
            <w:tcW w:w="1620" w:type="dxa"/>
            <w:vAlign w:val="center"/>
          </w:tcPr>
          <w:p w14:paraId="192EF822"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0.67</w:t>
            </w:r>
          </w:p>
        </w:tc>
        <w:tc>
          <w:tcPr>
            <w:tcW w:w="2895" w:type="dxa"/>
            <w:vAlign w:val="center"/>
          </w:tcPr>
          <w:p w14:paraId="39F1FDD4"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African</w:t>
            </w:r>
          </w:p>
        </w:tc>
        <w:tc>
          <w:tcPr>
            <w:tcW w:w="1870" w:type="dxa"/>
            <w:vAlign w:val="center"/>
          </w:tcPr>
          <w:p w14:paraId="13A380D0" w14:textId="77777777" w:rsidR="00BA6BF8" w:rsidRDefault="00000000">
            <w:pPr>
              <w:pStyle w:val="a9"/>
              <w:snapToGrid w:val="0"/>
              <w:spacing w:before="0" w:beforeAutospacing="0" w:after="0" w:afterAutospacing="0"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&lt;EndNote&gt;&lt;Cite&gt;&lt;Author&gt;Chikowore&lt;/Author&gt;&lt;Year&gt;2016&lt;/Year&gt;&lt;RecNum&gt;673&lt;/RecNum&gt;&lt;DisplayText&gt;[148]&lt;/DisplayText&gt;&lt;record&gt;&lt;rec-number&gt;673&lt;/rec-number&gt;&lt;foreign-keys&gt;&lt;key app="EN" db-id="w259sedv5dvevhertempp0wjwxf5apt95z5a" timestamp="1671481883"&gt;673&lt;/key&gt;&lt;/foreign-keys&gt;&lt;ref-type name="Journal Article"&gt;17&lt;/ref-type&gt;&lt;contributors&gt;&lt;authors&gt;&lt;author&gt;Chikowore, Tinashe&lt;/author&gt;&lt;author&gt;van Zyl, Tertia&lt;/author&gt;&lt;author&gt;Feskens, Edith J. M.&lt;/author&gt;&lt;author&gt;Conradie, Karin R.&lt;/author&gt;&lt;/authors&gt;&lt;/contributors&gt;&lt;titles&gt;&lt;title&gt;Predictive utility of a genetic risk score of common variants associated with type 2 diabetes in a black South African population&lt;/title&gt;&lt;secondary-title&gt;Diabetes Research and Clinical Practice&lt;/secondary-title&gt;&lt;/titles&gt;&lt;periodical&gt;&lt;full-title&gt;Diabetes Research and Clinical Practice&lt;/full-title&gt;&lt;/periodical&gt;&lt;pages&gt;1-8&lt;/pages&gt;&lt;volume&gt;122&lt;/volume&gt;&lt;keywords&gt;&lt;keyword&gt;GRS&lt;/keyword&gt;&lt;keyword&gt;Polygenic risk score&lt;/keyword&gt;&lt;keyword&gt;Clinical use&lt;/keyword&gt;&lt;keyword&gt;BMI&lt;/keyword&gt;&lt;/keywords&gt;&lt;dates&gt;&lt;year&gt;2016&lt;/year&gt;&lt;pub-dates&gt;&lt;date&gt;2016/12/01/&lt;/date&gt;&lt;/pub-dates&gt;&lt;/dates&gt;&lt;isbn&gt;0168-8227&lt;/isbn&gt;&lt;urls&gt;&lt;related-urls&gt;&lt;url&gt;https://www.sciencedirect.com/science/article/pii/S0168822716306660&lt;/url&gt;&lt;/related-urls&gt;&lt;/urls&gt;&lt;electronic-resource-num&gt;https://doi.org/10.1016/j.diabres.2016.09.019&lt;/electronic-resource-num&gt;&lt;/record&gt;&lt;/Cite&gt;&lt;/EndNote&gt;</w:instrText>
            </w:r>
            <w:r>
              <w:rPr>
                <w:rFonts w:ascii="Book Antiqua" w:hAnsi="Book Antiqua"/>
                <w:vertAlign w:val="superscript"/>
              </w:rPr>
              <w:fldChar w:fldCharType="separate"/>
            </w:r>
            <w:r>
              <w:rPr>
                <w:rFonts w:ascii="Book Antiqua" w:hAnsi="Book Antiqua"/>
                <w:vertAlign w:val="superscript"/>
              </w:rPr>
              <w:t>[148]</w:t>
            </w:r>
            <w:r>
              <w:rPr>
                <w:rFonts w:ascii="Book Antiqua" w:hAnsi="Book Antiqua"/>
                <w:vertAlign w:val="superscript"/>
              </w:rPr>
              <w:fldChar w:fldCharType="end"/>
            </w:r>
          </w:p>
        </w:tc>
      </w:tr>
      <w:tr w:rsidR="00BA6BF8" w14:paraId="55FC0F26" w14:textId="77777777">
        <w:tc>
          <w:tcPr>
            <w:tcW w:w="1870" w:type="dxa"/>
            <w:vAlign w:val="center"/>
          </w:tcPr>
          <w:p w14:paraId="2211051A"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T2DM</w:t>
            </w:r>
          </w:p>
        </w:tc>
        <w:tc>
          <w:tcPr>
            <w:tcW w:w="1095" w:type="dxa"/>
            <w:vAlign w:val="center"/>
          </w:tcPr>
          <w:p w14:paraId="01FD87D3"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7 million</w:t>
            </w:r>
          </w:p>
        </w:tc>
        <w:tc>
          <w:tcPr>
            <w:tcW w:w="1620" w:type="dxa"/>
            <w:vAlign w:val="center"/>
          </w:tcPr>
          <w:p w14:paraId="765057CE"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0.73</w:t>
            </w:r>
          </w:p>
        </w:tc>
        <w:tc>
          <w:tcPr>
            <w:tcW w:w="2895" w:type="dxa"/>
            <w:vAlign w:val="center"/>
          </w:tcPr>
          <w:p w14:paraId="034575D9"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Caucasian</w:t>
            </w:r>
          </w:p>
        </w:tc>
        <w:tc>
          <w:tcPr>
            <w:tcW w:w="1870" w:type="dxa"/>
            <w:vAlign w:val="center"/>
          </w:tcPr>
          <w:p w14:paraId="1AC6C18D" w14:textId="77777777" w:rsidR="00BA6BF8" w:rsidRDefault="00000000">
            <w:pPr>
              <w:pStyle w:val="a9"/>
              <w:snapToGrid w:val="0"/>
              <w:spacing w:before="0" w:beforeAutospacing="0" w:after="0" w:afterAutospacing="0"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&lt;EndNote&gt;&lt;Cite&gt;&lt;Author&gt;Khera&lt;/Author&gt;&lt;Year&gt;2018&lt;/Year&gt;&lt;RecNum&gt;674&lt;/RecNum&gt;&lt;DisplayText&gt;[149]&lt;/DisplayText&gt;&lt;record&gt;&lt;rec-number&gt;674&lt;/rec-number&gt;&lt;foreign-keys&gt;&lt;key app="EN" db-id="w259sedv5dvevhertempp0wjwxf5apt95z5a" timestamp="1671481927"&gt;674&lt;/key&gt;&lt;/foreign-keys&gt;&lt;ref-type name="Journal Article"&gt;17&lt;/ref-type&gt;&lt;contributors&gt;&lt;authors&gt;&lt;author&gt;Khera, Amit V.&lt;/author&gt;&lt;author&gt;Chaffin, Mark&lt;/author&gt;&lt;author&gt;Aragam, Krishna G.&lt;/author&gt;&lt;author&gt;Haas, Mary E.&lt;/author&gt;&lt;author&gt;Roselli, Carolina&lt;/author&gt;&lt;author&gt;Choi, Seung Hoan&lt;/author&gt;&lt;author&gt;Natarajan, Pradeep&lt;/author&gt;&lt;author&gt;Lander, Eric S.&lt;/author&gt;&lt;author&gt;Lubitz, Steven A.&lt;/author&gt;&lt;author&gt;Ellinor, Patrick T.&lt;/author&gt;&lt;author&gt;Kathiresan, Sekar&lt;/author&gt;&lt;/authors&gt;&lt;/contributors&gt;&lt;titles&gt;&lt;title&gt;Genome-wide polygenic scores for common diseases identify individuals with risk equivalent to monogenic mutations&lt;/title&gt;&lt;secondary-title&gt;Nature Genetics&lt;/secondary-title&gt;&lt;/titles&gt;&lt;periodical&gt;&lt;full-title&gt;Nature Genetics&lt;/full-title&gt;&lt;/periodical&gt;&lt;pages&gt;1219-1224&lt;/pages&gt;&lt;volume&gt;50&lt;/volume&gt;&lt;number&gt;9&lt;/number&gt;&lt;dates&gt;&lt;year&gt;2018&lt;/year&gt;&lt;pub-dates&gt;&lt;date&gt;2018/09/01&lt;/date&gt;&lt;/pub-dates&gt;&lt;/dates&gt;&lt;isbn&gt;1546-1718&lt;/isbn&gt;&lt;urls&gt;&lt;related-urls&gt;&lt;url&gt;https://doi.org/10.1038/s41588-018-0183-z&lt;/url&gt;&lt;/related-urls&gt;&lt;/urls&gt;&lt;electronic-resource-num&gt;10.1038/s41588-018-0183-z&lt;/electronic-resource-num&gt;&lt;/record&gt;&lt;/Cite&gt;&lt;/EndNote&gt;</w:instrText>
            </w:r>
            <w:r>
              <w:rPr>
                <w:rFonts w:ascii="Book Antiqua" w:hAnsi="Book Antiqua"/>
                <w:vertAlign w:val="superscript"/>
              </w:rPr>
              <w:fldChar w:fldCharType="separate"/>
            </w:r>
            <w:r>
              <w:rPr>
                <w:rFonts w:ascii="Book Antiqua" w:hAnsi="Book Antiqua"/>
                <w:vertAlign w:val="superscript"/>
              </w:rPr>
              <w:t>[149]</w:t>
            </w:r>
            <w:r>
              <w:rPr>
                <w:rFonts w:ascii="Book Antiqua" w:hAnsi="Book Antiqua"/>
                <w:vertAlign w:val="superscript"/>
              </w:rPr>
              <w:fldChar w:fldCharType="end"/>
            </w:r>
          </w:p>
        </w:tc>
      </w:tr>
    </w:tbl>
    <w:p w14:paraId="41DDF5E1"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SNP: Single nucleotide polymorphisms; AUC: Area under the curve; PRS: Polygenic risk score; T1DM: Type 1 diabetes mellitus; T2DM: Type 2 diabetes mellitus.</w:t>
      </w:r>
    </w:p>
    <w:p w14:paraId="7B2E80BE" w14:textId="77777777" w:rsidR="00BA6BF8" w:rsidRDefault="00BA6BF8">
      <w:pPr>
        <w:snapToGrid w:val="0"/>
        <w:spacing w:line="360" w:lineRule="auto"/>
        <w:jc w:val="both"/>
        <w:rPr>
          <w:rFonts w:ascii="Book Antiqua" w:hAnsi="Book Antiqua"/>
        </w:rPr>
      </w:pPr>
    </w:p>
    <w:p w14:paraId="420DE838" w14:textId="77777777" w:rsidR="00BA6BF8" w:rsidRDefault="00000000">
      <w:pPr>
        <w:pStyle w:val="a9"/>
        <w:snapToGrid w:val="0"/>
        <w:spacing w:before="0" w:beforeAutospacing="0" w:after="0" w:afterAutospacing="0" w:line="360" w:lineRule="auto"/>
        <w:jc w:val="both"/>
        <w:rPr>
          <w:rFonts w:ascii="Book Antiqua" w:hAnsi="Book Antiqua"/>
          <w:b/>
          <w:bCs/>
        </w:rPr>
      </w:pPr>
      <w:r>
        <w:rPr>
          <w:rFonts w:ascii="Book Antiqua" w:hAnsi="Book Antiqua"/>
          <w:b/>
          <w:bCs/>
        </w:rPr>
        <w:t>Table 3 Polygenic risk scores studies for gestational diabetes mellitus</w:t>
      </w:r>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4230"/>
        <w:gridCol w:w="2160"/>
        <w:gridCol w:w="1345"/>
      </w:tblGrid>
      <w:tr w:rsidR="00BA6BF8" w14:paraId="3410F3F0" w14:textId="77777777">
        <w:trPr>
          <w:cantSplit/>
        </w:trPr>
        <w:tc>
          <w:tcPr>
            <w:tcW w:w="1615" w:type="dxa"/>
            <w:tcBorders>
              <w:top w:val="single" w:sz="4" w:space="0" w:color="auto"/>
              <w:bottom w:val="single" w:sz="4" w:space="0" w:color="auto"/>
            </w:tcBorders>
            <w:vAlign w:val="center"/>
          </w:tcPr>
          <w:p w14:paraId="2A92751A" w14:textId="77777777" w:rsidR="00BA6BF8" w:rsidRDefault="00000000">
            <w:pPr>
              <w:pStyle w:val="a9"/>
              <w:snapToGrid w:val="0"/>
              <w:spacing w:before="0" w:beforeAutospacing="0" w:after="0" w:afterAutospacing="0" w:line="360" w:lineRule="auto"/>
              <w:jc w:val="both"/>
              <w:rPr>
                <w:rFonts w:ascii="Book Antiqua" w:hAnsi="Book Antiqua"/>
                <w:b/>
                <w:bCs/>
              </w:rPr>
            </w:pPr>
            <w:r>
              <w:rPr>
                <w:rFonts w:ascii="Book Antiqua" w:hAnsi="Book Antiqua"/>
                <w:b/>
                <w:bCs/>
              </w:rPr>
              <w:t>Diabetes type</w:t>
            </w:r>
          </w:p>
        </w:tc>
        <w:tc>
          <w:tcPr>
            <w:tcW w:w="4230" w:type="dxa"/>
            <w:tcBorders>
              <w:top w:val="single" w:sz="4" w:space="0" w:color="auto"/>
              <w:bottom w:val="single" w:sz="4" w:space="0" w:color="auto"/>
            </w:tcBorders>
            <w:vAlign w:val="center"/>
          </w:tcPr>
          <w:p w14:paraId="4FA3283B" w14:textId="77777777" w:rsidR="00BA6BF8" w:rsidRDefault="00000000">
            <w:pPr>
              <w:pStyle w:val="a9"/>
              <w:snapToGrid w:val="0"/>
              <w:spacing w:before="0" w:beforeAutospacing="0" w:after="0" w:afterAutospacing="0" w:line="360" w:lineRule="auto"/>
              <w:jc w:val="both"/>
              <w:rPr>
                <w:rFonts w:ascii="Book Antiqua" w:hAnsi="Book Antiqua"/>
                <w:b/>
                <w:bCs/>
              </w:rPr>
            </w:pPr>
            <w:r>
              <w:rPr>
                <w:rFonts w:ascii="Book Antiqua" w:hAnsi="Book Antiqua"/>
                <w:b/>
                <w:bCs/>
              </w:rPr>
              <w:t>SNPs</w:t>
            </w:r>
          </w:p>
        </w:tc>
        <w:tc>
          <w:tcPr>
            <w:tcW w:w="2160" w:type="dxa"/>
            <w:tcBorders>
              <w:top w:val="single" w:sz="4" w:space="0" w:color="auto"/>
              <w:bottom w:val="single" w:sz="4" w:space="0" w:color="auto"/>
            </w:tcBorders>
            <w:vAlign w:val="center"/>
          </w:tcPr>
          <w:p w14:paraId="414B4BB5" w14:textId="77777777" w:rsidR="00BA6BF8" w:rsidRDefault="00000000">
            <w:pPr>
              <w:pStyle w:val="a9"/>
              <w:snapToGrid w:val="0"/>
              <w:spacing w:before="0" w:beforeAutospacing="0" w:after="0" w:afterAutospacing="0" w:line="360" w:lineRule="auto"/>
              <w:jc w:val="both"/>
              <w:rPr>
                <w:rFonts w:ascii="Book Antiqua" w:hAnsi="Book Antiqua"/>
                <w:b/>
                <w:bCs/>
              </w:rPr>
            </w:pPr>
            <w:r>
              <w:rPr>
                <w:rFonts w:ascii="Book Antiqua" w:hAnsi="Book Antiqua"/>
                <w:b/>
                <w:bCs/>
              </w:rPr>
              <w:t>OR 95%CI</w:t>
            </w:r>
          </w:p>
        </w:tc>
        <w:tc>
          <w:tcPr>
            <w:tcW w:w="1345" w:type="dxa"/>
            <w:tcBorders>
              <w:top w:val="single" w:sz="4" w:space="0" w:color="auto"/>
              <w:bottom w:val="single" w:sz="4" w:space="0" w:color="auto"/>
            </w:tcBorders>
            <w:vAlign w:val="center"/>
          </w:tcPr>
          <w:p w14:paraId="00A4244B" w14:textId="77777777" w:rsidR="00BA6BF8" w:rsidRDefault="00000000">
            <w:pPr>
              <w:pStyle w:val="a9"/>
              <w:snapToGrid w:val="0"/>
              <w:spacing w:before="0" w:beforeAutospacing="0" w:after="0" w:afterAutospacing="0" w:line="360" w:lineRule="auto"/>
              <w:jc w:val="both"/>
              <w:rPr>
                <w:rFonts w:ascii="Book Antiqua" w:hAnsi="Book Antiqua"/>
                <w:b/>
                <w:bCs/>
              </w:rPr>
            </w:pPr>
            <w:r>
              <w:rPr>
                <w:rFonts w:ascii="Book Antiqua" w:hAnsi="Book Antiqua"/>
                <w:b/>
                <w:bCs/>
              </w:rPr>
              <w:t>Ref.</w:t>
            </w:r>
          </w:p>
        </w:tc>
      </w:tr>
      <w:tr w:rsidR="00BA6BF8" w14:paraId="201C2C4B" w14:textId="77777777">
        <w:trPr>
          <w:cantSplit/>
        </w:trPr>
        <w:tc>
          <w:tcPr>
            <w:tcW w:w="1615" w:type="dxa"/>
            <w:tcBorders>
              <w:top w:val="single" w:sz="4" w:space="0" w:color="auto"/>
            </w:tcBorders>
            <w:vAlign w:val="center"/>
          </w:tcPr>
          <w:p w14:paraId="096B1BDA"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GDM</w:t>
            </w:r>
          </w:p>
        </w:tc>
        <w:tc>
          <w:tcPr>
            <w:tcW w:w="4230" w:type="dxa"/>
            <w:tcBorders>
              <w:top w:val="single" w:sz="4" w:space="0" w:color="auto"/>
            </w:tcBorders>
            <w:vAlign w:val="center"/>
          </w:tcPr>
          <w:p w14:paraId="6D183B1E"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34 SNPs previously associated with T2DM</w:t>
            </w:r>
          </w:p>
        </w:tc>
        <w:tc>
          <w:tcPr>
            <w:tcW w:w="2160" w:type="dxa"/>
            <w:tcBorders>
              <w:top w:val="single" w:sz="4" w:space="0" w:color="auto"/>
            </w:tcBorders>
            <w:vAlign w:val="center"/>
          </w:tcPr>
          <w:p w14:paraId="55A0E9F1"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1.11 (1.08-1.14)</w:t>
            </w:r>
          </w:p>
        </w:tc>
        <w:tc>
          <w:tcPr>
            <w:tcW w:w="1345" w:type="dxa"/>
            <w:tcBorders>
              <w:top w:val="single" w:sz="4" w:space="0" w:color="auto"/>
            </w:tcBorders>
            <w:vAlign w:val="center"/>
          </w:tcPr>
          <w:p w14:paraId="193BA456" w14:textId="77777777" w:rsidR="00BA6BF8" w:rsidRDefault="00000000">
            <w:pPr>
              <w:pStyle w:val="a9"/>
              <w:snapToGrid w:val="0"/>
              <w:spacing w:before="0" w:beforeAutospacing="0" w:after="0" w:afterAutospacing="0"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&lt;EndNote&gt;&lt;Cite&gt;&lt;Author&gt;Kawai&lt;/Author&gt;&lt;Year&gt;2017&lt;/Year&gt;&lt;RecNum&gt;677&lt;/RecNum&gt;&lt;DisplayText&gt;[150]&lt;/DisplayText&gt;&lt;record&gt;&lt;rec-number&gt;677&lt;/rec-number&gt;&lt;foreign-keys&gt;&lt;key app="EN" db-id="w259sedv5dvevhertempp0wjwxf5apt95z5a" timestamp="1671484176"&gt;677&lt;/key&gt;&lt;/foreign-keys&gt;&lt;ref-type name="Journal Article"&gt;17&lt;/ref-type&gt;&lt;contributors&gt;&lt;authors&gt;&lt;author&gt;Kawai, V. K.&lt;/author&gt;&lt;author&gt;Levinson, R. T.&lt;/author&gt;&lt;author&gt;Adefurin, A.&lt;/author&gt;&lt;author&gt;Kurnik, D.&lt;/author&gt;&lt;author&gt;Collier, S. P.&lt;/author&gt;&lt;author&gt;Conway, D.&lt;/author&gt;&lt;author&gt;Stein, C. M.&lt;/author&gt;&lt;/authors&gt;&lt;/contributors&gt;&lt;titles&gt;&lt;title&gt;A genetic risk score that includes common type 2 diabetes risk variants is associated with gestational diabetes&lt;/title&gt;&lt;secondary-title&gt;Clinical Endocrinology&lt;/secondary-title&gt;&lt;/titles&gt;&lt;periodical&gt;&lt;full-title&gt;Clinical Endocrinology&lt;/full-title&gt;&lt;/periodical&gt;&lt;pages&gt;149-155&lt;/pages&gt;&lt;volume&gt;87&lt;/volume&gt;&lt;number&gt;2&lt;/number&gt;&lt;dates&gt;&lt;year&gt;2017&lt;/year&gt;&lt;/dates&gt;&lt;isbn&gt;0300-0664&lt;/isbn&gt;&lt;urls&gt;&lt;related-urls&gt;&lt;url&gt;https://onlinelibrary.wiley.com/doi/abs/10.1111/cen.13356&lt;/url&gt;&lt;/related-urls&gt;&lt;/urls&gt;&lt;electronic-resource-num&gt;https://doi.org/10.1111/cen.13356&lt;/electronic-resource-num&gt;&lt;/record&gt;&lt;/Cite&gt;&lt;/EndNote&gt;</w:instrText>
            </w:r>
            <w:r>
              <w:rPr>
                <w:rFonts w:ascii="Book Antiqua" w:hAnsi="Book Antiqua"/>
                <w:vertAlign w:val="superscript"/>
              </w:rPr>
              <w:fldChar w:fldCharType="separate"/>
            </w:r>
            <w:r>
              <w:rPr>
                <w:rFonts w:ascii="Book Antiqua" w:hAnsi="Book Antiqua"/>
                <w:vertAlign w:val="superscript"/>
              </w:rPr>
              <w:t>[150]</w:t>
            </w:r>
            <w:r>
              <w:rPr>
                <w:rFonts w:ascii="Book Antiqua" w:hAnsi="Book Antiqua"/>
                <w:vertAlign w:val="superscript"/>
              </w:rPr>
              <w:fldChar w:fldCharType="end"/>
            </w:r>
          </w:p>
        </w:tc>
      </w:tr>
      <w:tr w:rsidR="00BA6BF8" w14:paraId="54CEF22A" w14:textId="77777777">
        <w:trPr>
          <w:cantSplit/>
        </w:trPr>
        <w:tc>
          <w:tcPr>
            <w:tcW w:w="1615" w:type="dxa"/>
            <w:vAlign w:val="center"/>
          </w:tcPr>
          <w:p w14:paraId="73DC03CC"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lastRenderedPageBreak/>
              <w:t>GDM</w:t>
            </w:r>
          </w:p>
        </w:tc>
        <w:tc>
          <w:tcPr>
            <w:tcW w:w="4230" w:type="dxa"/>
            <w:vAlign w:val="center"/>
          </w:tcPr>
          <w:p w14:paraId="5A8A9F0C"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11 SNPs previously associated with T2DM</w:t>
            </w:r>
          </w:p>
        </w:tc>
        <w:tc>
          <w:tcPr>
            <w:tcW w:w="2160" w:type="dxa"/>
            <w:vAlign w:val="center"/>
          </w:tcPr>
          <w:p w14:paraId="1304659B"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1.18 (1.10-1.27)</w:t>
            </w:r>
          </w:p>
        </w:tc>
        <w:tc>
          <w:tcPr>
            <w:tcW w:w="1345" w:type="dxa"/>
            <w:vAlign w:val="center"/>
          </w:tcPr>
          <w:p w14:paraId="2ABAA169" w14:textId="77777777" w:rsidR="00BA6BF8" w:rsidRDefault="00000000">
            <w:pPr>
              <w:pStyle w:val="a9"/>
              <w:snapToGrid w:val="0"/>
              <w:spacing w:before="0" w:beforeAutospacing="0" w:after="0" w:afterAutospacing="0"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&lt;EndNote&gt;&lt;Cite&gt;&lt;Author&gt;Lauenborg&lt;/Author&gt;&lt;Year&gt;2009&lt;/Year&gt;&lt;RecNum&gt;676&lt;/RecNum&gt;&lt;DisplayText&gt;[151]&lt;/DisplayText&gt;&lt;record&gt;&lt;rec-number&gt;676&lt;/rec-number&gt;&lt;foreign-keys&gt;&lt;key app="EN" db-id="w259sedv5dvevhertempp0wjwxf5apt95z5a" timestamp="1671484120"&gt;676&lt;/key&gt;&lt;/foreign-keys&gt;&lt;ref-type name="Journal Article"&gt;17&lt;/ref-type&gt;&lt;contributors&gt;&lt;authors&gt;&lt;author&gt;Lauenborg, Jeannet&lt;/author&gt;&lt;author&gt;Grarup, Niels&lt;/author&gt;&lt;author&gt;Damm, Peter&lt;/author&gt;&lt;author&gt;Borch-Johnsen, Knut&lt;/author&gt;&lt;author&gt;Jørgensen, Torben&lt;/author&gt;&lt;author&gt;Pedersen, Oluf&lt;/author&gt;&lt;author&gt;Hansen, Torben&lt;/author&gt;&lt;/authors&gt;&lt;/contributors&gt;&lt;titles&gt;&lt;title&gt;Common Type 2 Diabetes Risk Gene Variants Associate with Gestational Diabetes&lt;/title&gt;&lt;secondary-title&gt;The Journal of Clinical Endocrinology &amp;amp; Metabolism&lt;/secondary-title&gt;&lt;/titles&gt;&lt;periodical&gt;&lt;full-title&gt;The Journal of Clinical Endocrinology &amp;amp; Metabolism&lt;/full-title&gt;&lt;/periodical&gt;&lt;pages&gt;145-150&lt;/pages&gt;&lt;volume&gt;94&lt;/volume&gt;&lt;number&gt;1&lt;/number&gt;&lt;dates&gt;&lt;year&gt;2009&lt;/year&gt;&lt;/dates&gt;&lt;isbn&gt;0021-972X&lt;/isbn&gt;&lt;urls&gt;&lt;related-urls&gt;&lt;url&gt;https://doi.org/10.1210/jc.2008-1336&lt;/url&gt;&lt;/related-urls&gt;&lt;/urls&gt;&lt;electronic-resource-num&gt;10.1210/jc.2008-1336&lt;/electronic-resource-num&gt;&lt;access-date&gt;12/19/2022&lt;/access-date&gt;&lt;/record&gt;&lt;/Cite&gt;&lt;/EndNote&gt;</w:instrText>
            </w:r>
            <w:r>
              <w:rPr>
                <w:rFonts w:ascii="Book Antiqua" w:hAnsi="Book Antiqua"/>
                <w:vertAlign w:val="superscript"/>
              </w:rPr>
              <w:fldChar w:fldCharType="separate"/>
            </w:r>
            <w:r>
              <w:rPr>
                <w:rFonts w:ascii="Book Antiqua" w:hAnsi="Book Antiqua"/>
                <w:vertAlign w:val="superscript"/>
              </w:rPr>
              <w:t>[151]</w:t>
            </w:r>
            <w:r>
              <w:rPr>
                <w:rFonts w:ascii="Book Antiqua" w:hAnsi="Book Antiqua"/>
                <w:vertAlign w:val="superscript"/>
              </w:rPr>
              <w:fldChar w:fldCharType="end"/>
            </w:r>
          </w:p>
        </w:tc>
      </w:tr>
      <w:tr w:rsidR="00BA6BF8" w14:paraId="77531F47" w14:textId="77777777">
        <w:trPr>
          <w:cantSplit/>
        </w:trPr>
        <w:tc>
          <w:tcPr>
            <w:tcW w:w="1615" w:type="dxa"/>
            <w:vAlign w:val="center"/>
          </w:tcPr>
          <w:p w14:paraId="222D17DE"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GDM</w:t>
            </w:r>
          </w:p>
        </w:tc>
        <w:tc>
          <w:tcPr>
            <w:tcW w:w="4230" w:type="dxa"/>
            <w:vAlign w:val="center"/>
          </w:tcPr>
          <w:p w14:paraId="36F954A0"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150 previously associated with T2DM</w:t>
            </w:r>
          </w:p>
        </w:tc>
        <w:tc>
          <w:tcPr>
            <w:tcW w:w="2160" w:type="dxa"/>
            <w:vAlign w:val="center"/>
          </w:tcPr>
          <w:p w14:paraId="163041B7"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1.06 (1.01-1.10)</w:t>
            </w:r>
          </w:p>
        </w:tc>
        <w:tc>
          <w:tcPr>
            <w:tcW w:w="1345" w:type="dxa"/>
            <w:vAlign w:val="center"/>
          </w:tcPr>
          <w:p w14:paraId="5455B6D0" w14:textId="77777777" w:rsidR="00BA6BF8" w:rsidRDefault="00000000">
            <w:pPr>
              <w:pStyle w:val="a9"/>
              <w:snapToGrid w:val="0"/>
              <w:spacing w:before="0" w:beforeAutospacing="0" w:after="0" w:afterAutospacing="0"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&lt;EndNote&gt;&lt;Cite&gt;&lt;Author&gt;Powe&lt;/Author&gt;&lt;Year&gt;2018&lt;/Year&gt;&lt;RecNum&gt;678&lt;/RecNum&gt;&lt;DisplayText&gt;[152]&lt;/DisplayText&gt;&lt;record&gt;&lt;rec-number&gt;678&lt;/rec-number&gt;&lt;foreign-keys&gt;&lt;key app="EN" db-id="w259sedv5dvevhertempp0wjwxf5apt95z5a" timestamp="1671484199"&gt;678&lt;/key&gt;&lt;/foreign-keys&gt;&lt;ref-type name="Journal Article"&gt;17&lt;/ref-type&gt;&lt;contributors&gt;&lt;authors&gt;&lt;author&gt;Powe, Camille E.&lt;/author&gt;&lt;author&gt;Nodzenski, Michael&lt;/author&gt;&lt;author&gt;Talbot, Octavious&lt;/author&gt;&lt;author&gt;Allard, Catherine&lt;/author&gt;&lt;author&gt;Briggs, Catherine&lt;/author&gt;&lt;author&gt;Leya, Marysa V.&lt;/author&gt;&lt;author&gt;Perron, Patrice&lt;/author&gt;&lt;author&gt;Bouchard, Luigi&lt;/author&gt;&lt;author&gt;Florez, Jose C.&lt;/author&gt;&lt;author&gt;Scholtens, Denise M.&lt;/author&gt;&lt;author&gt;Lowe, William L., Jr.&lt;/author&gt;&lt;author&gt;Hivert, Marie-France&lt;/author&gt;&lt;/authors&gt;&lt;/contributors&gt;&lt;titles&gt;&lt;title&gt;Genetic Determinants of Glycemic Traits and the Risk of Gestational Diabetes Mellitus&lt;/title&gt;&lt;secondary-title&gt;Diabetes&lt;/secondary-title&gt;&lt;/titles&gt;&lt;periodical&gt;&lt;full-title&gt;Diabetes&lt;/full-title&gt;&lt;/periodical&gt;&lt;pages&gt;2703-2709&lt;/pages&gt;&lt;volume&gt;67&lt;/volume&gt;&lt;number&gt;12&lt;/number&gt;&lt;dates&gt;&lt;year&gt;2018&lt;/year&gt;&lt;/dates&gt;&lt;isbn&gt;0012-1797&lt;/isbn&gt;&lt;urls&gt;&lt;related-urls&gt;&lt;url&gt;https://doi.org/10.2337/db18-0203&lt;/url&gt;&lt;/related-urls&gt;&lt;/urls&gt;&lt;electronic-resource-num&gt;10.2337/db18-0203&lt;/electronic-resource-num&gt;&lt;access-date&gt;12/19/2022&lt;/access-date&gt;&lt;/record&gt;&lt;/Cite&gt;&lt;/EndNote&gt;</w:instrText>
            </w:r>
            <w:r>
              <w:rPr>
                <w:rFonts w:ascii="Book Antiqua" w:hAnsi="Book Antiqua"/>
                <w:vertAlign w:val="superscript"/>
              </w:rPr>
              <w:fldChar w:fldCharType="separate"/>
            </w:r>
            <w:r>
              <w:rPr>
                <w:rFonts w:ascii="Book Antiqua" w:hAnsi="Book Antiqua"/>
                <w:vertAlign w:val="superscript"/>
              </w:rPr>
              <w:t>[152]</w:t>
            </w:r>
            <w:r>
              <w:rPr>
                <w:rFonts w:ascii="Book Antiqua" w:hAnsi="Book Antiqua"/>
                <w:vertAlign w:val="superscript"/>
              </w:rPr>
              <w:fldChar w:fldCharType="end"/>
            </w:r>
          </w:p>
        </w:tc>
      </w:tr>
      <w:tr w:rsidR="00BA6BF8" w14:paraId="0FA94FC9" w14:textId="77777777">
        <w:trPr>
          <w:cantSplit/>
        </w:trPr>
        <w:tc>
          <w:tcPr>
            <w:tcW w:w="1615" w:type="dxa"/>
            <w:vAlign w:val="center"/>
          </w:tcPr>
          <w:p w14:paraId="4AE3DF34"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GDM</w:t>
            </w:r>
          </w:p>
        </w:tc>
        <w:tc>
          <w:tcPr>
            <w:tcW w:w="4230" w:type="dxa"/>
            <w:vAlign w:val="center"/>
          </w:tcPr>
          <w:p w14:paraId="22F6A3D6"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84 SNPs</w:t>
            </w:r>
          </w:p>
        </w:tc>
        <w:tc>
          <w:tcPr>
            <w:tcW w:w="2160" w:type="dxa"/>
            <w:vAlign w:val="center"/>
          </w:tcPr>
          <w:p w14:paraId="6AF80954"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6.15 (5.03-7.51) top 5%</w:t>
            </w:r>
          </w:p>
        </w:tc>
        <w:tc>
          <w:tcPr>
            <w:tcW w:w="1345" w:type="dxa"/>
            <w:vAlign w:val="center"/>
          </w:tcPr>
          <w:p w14:paraId="488ACB62" w14:textId="77777777" w:rsidR="00BA6BF8" w:rsidRDefault="00000000">
            <w:pPr>
              <w:pStyle w:val="a9"/>
              <w:snapToGrid w:val="0"/>
              <w:spacing w:before="0" w:beforeAutospacing="0" w:after="0" w:afterAutospacing="0"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&lt;EndNote&gt;&lt;Cite&gt;&lt;Author&gt;Perisic&lt;/Author&gt;&lt;Year&gt;2022&lt;/Year&gt;&lt;RecNum&gt;675&lt;/RecNum&gt;&lt;DisplayText&gt;[153]&lt;/DisplayText&gt;&lt;record&gt;&lt;rec-number&gt;675&lt;/rec-number&gt;&lt;foreign-keys&gt;&lt;key app="EN" db-id="w259sedv5dvevhertempp0wjwxf5apt95z5a" timestamp="1671482234"&gt;675&lt;/key&gt;&lt;/foreign-keys&gt;&lt;ref-type name="Journal Article"&gt;17&lt;/ref-type&gt;&lt;contributors&gt;&lt;authors&gt;&lt;author&gt;Perisic, M. M.&lt;/author&gt;&lt;author&gt;Vladimir, K.&lt;/author&gt;&lt;author&gt;Karpov, S.&lt;/author&gt;&lt;author&gt;Storga, M.&lt;/author&gt;&lt;author&gt;Mostashari, A.&lt;/author&gt;&lt;author&gt;Khanin, R.&lt;/author&gt;&lt;/authors&gt;&lt;/contributors&gt;&lt;auth-address&gt;Faculty of Mechanical Engineering and Naval Architecture, University of Zagreb, 10000 Zagreb, Croatia.&amp;#xD;LifeNome Inc., New York, NY 10018, USA.&amp;#xD;Faculty of Electrical Engineering and Computing, University of Zagreb, 10000 Zagreb, Croatia.&amp;#xD;Bioinformatics Core, Memorial Sloan-Kettering Cancer Center, New York, NY 10065, USA.&lt;/auth-address&gt;&lt;titles&gt;&lt;title&gt;Polygenic Risk Score and Risk Factors for Gestational Diabetes&lt;/title&gt;&lt;secondary-title&gt;J Pers Med&lt;/secondary-title&gt;&lt;/titles&gt;&lt;periodical&gt;&lt;full-title&gt;J Pers Med&lt;/full-title&gt;&lt;/periodical&gt;&lt;volume&gt;12&lt;/volume&gt;&lt;number&gt;9&lt;/number&gt;&lt;edition&gt;20220826&lt;/edition&gt;&lt;keywords&gt;&lt;keyword&gt;gestational diabetes&lt;/keyword&gt;&lt;keyword&gt;gwas&lt;/keyword&gt;&lt;keyword&gt;machine learning&lt;/keyword&gt;&lt;keyword&gt;polygenic risk score&lt;/keyword&gt;&lt;keyword&gt;pregnancy&lt;/keyword&gt;&lt;/keywords&gt;&lt;dates&gt;&lt;year&gt;2022&lt;/year&gt;&lt;pub-dates&gt;&lt;date&gt;Aug 26&lt;/date&gt;&lt;/pub-dates&gt;&lt;/dates&gt;&lt;isbn&gt;2075-4426 (Print)&amp;#xD;2075-4426 (Electronic)&amp;#xD;2075-4426 (Linking)&lt;/isbn&gt;&lt;accession-num&gt;36143166&lt;/accession-num&gt;&lt;urls&gt;&lt;related-urls&gt;&lt;url&gt;https://www.ncbi.nlm.nih.gov/pubmed/36143166&lt;/url&gt;&lt;/related-urls&gt;&lt;/urls&gt;&lt;custom1&gt;The authors declare no conflict of interest.&lt;/custom1&gt;&lt;custom2&gt;PMC9505112&lt;/custom2&gt;&lt;electronic-resource-num&gt;10.3390/jpm12091381&lt;/electronic-resource-num&gt;&lt;remote-database-name&gt;PubMed-not-MEDLINE&lt;/remote-database-name&gt;&lt;remote-database-provider&gt;NLM&lt;/remote-database-provider&gt;&lt;/record&gt;&lt;/Cite&gt;&lt;/EndNote&gt;</w:instrText>
            </w:r>
            <w:r>
              <w:rPr>
                <w:rFonts w:ascii="Book Antiqua" w:hAnsi="Book Antiqua"/>
                <w:vertAlign w:val="superscript"/>
              </w:rPr>
              <w:fldChar w:fldCharType="separate"/>
            </w:r>
            <w:r>
              <w:rPr>
                <w:rFonts w:ascii="Book Antiqua" w:hAnsi="Book Antiqua"/>
                <w:vertAlign w:val="superscript"/>
              </w:rPr>
              <w:t>[153]</w:t>
            </w:r>
            <w:r>
              <w:rPr>
                <w:rFonts w:ascii="Book Antiqua" w:hAnsi="Book Antiqua"/>
                <w:vertAlign w:val="superscript"/>
              </w:rPr>
              <w:fldChar w:fldCharType="end"/>
            </w:r>
          </w:p>
        </w:tc>
      </w:tr>
    </w:tbl>
    <w:p w14:paraId="6D669C0C" w14:textId="77777777" w:rsidR="00BA6BF8" w:rsidRDefault="00000000">
      <w:pPr>
        <w:pStyle w:val="a9"/>
        <w:snapToGrid w:val="0"/>
        <w:spacing w:before="0" w:beforeAutospacing="0" w:after="0" w:afterAutospacing="0" w:line="360" w:lineRule="auto"/>
        <w:jc w:val="both"/>
        <w:rPr>
          <w:rFonts w:ascii="Book Antiqua" w:hAnsi="Book Antiqua"/>
        </w:rPr>
      </w:pPr>
      <w:r>
        <w:rPr>
          <w:rFonts w:ascii="Book Antiqua" w:hAnsi="Book Antiqua"/>
        </w:rPr>
        <w:t xml:space="preserve">SNP: Single nucleotide polymorphisms; OR: Odds ratio; T2DM: Type 2 diabetes mellitus; </w:t>
      </w:r>
      <w:r>
        <w:rPr>
          <w:rFonts w:ascii="Book Antiqua" w:eastAsia="Book Antiqua" w:hAnsi="Book Antiqua" w:cs="Book Antiqua"/>
          <w:color w:val="000000"/>
        </w:rPr>
        <w:t>GDM: Gestational diabetes mellitus</w:t>
      </w:r>
      <w:r>
        <w:rPr>
          <w:rFonts w:ascii="Book Antiqua" w:hAnsi="Book Antiqua"/>
        </w:rPr>
        <w:t>.</w:t>
      </w:r>
    </w:p>
    <w:p w14:paraId="147D63E2" w14:textId="77777777" w:rsidR="00BA6BF8" w:rsidRDefault="00BA6BF8">
      <w:pPr>
        <w:snapToGrid w:val="0"/>
        <w:spacing w:line="360" w:lineRule="auto"/>
        <w:jc w:val="both"/>
        <w:rPr>
          <w:rFonts w:ascii="Book Antiqua" w:hAnsi="Book Antiqua"/>
        </w:rPr>
      </w:pPr>
    </w:p>
    <w:p w14:paraId="296DA1C1" w14:textId="77777777" w:rsidR="00BA6BF8" w:rsidRDefault="00000000">
      <w:pPr>
        <w:snapToGrid w:val="0"/>
        <w:spacing w:line="360" w:lineRule="auto"/>
        <w:jc w:val="both"/>
        <w:rPr>
          <w:rFonts w:ascii="Book Antiqua" w:hAnsi="Book Antiqua"/>
          <w:b/>
          <w:bCs/>
        </w:rPr>
      </w:pPr>
      <w:r>
        <w:rPr>
          <w:rFonts w:ascii="Book Antiqua" w:hAnsi="Book Antiqua" w:cs="Book Antiqua"/>
          <w:b/>
          <w:bCs/>
        </w:rPr>
        <w:t>T</w:t>
      </w:r>
      <w:r>
        <w:rPr>
          <w:rFonts w:ascii="Book Antiqua" w:hAnsi="Book Antiqua"/>
          <w:b/>
          <w:bCs/>
        </w:rPr>
        <w:t>able 4 List of phytochemicals used in the prevention and treatment of diabetes and its complications</w:t>
      </w:r>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3"/>
        <w:gridCol w:w="3006"/>
        <w:gridCol w:w="2899"/>
        <w:gridCol w:w="1312"/>
      </w:tblGrid>
      <w:tr w:rsidR="00BA6BF8" w14:paraId="0526507B" w14:textId="77777777">
        <w:trPr>
          <w:cantSplit/>
        </w:trPr>
        <w:tc>
          <w:tcPr>
            <w:tcW w:w="2143" w:type="dxa"/>
            <w:tcBorders>
              <w:bottom w:val="single" w:sz="4" w:space="0" w:color="auto"/>
            </w:tcBorders>
            <w:vAlign w:val="center"/>
          </w:tcPr>
          <w:p w14:paraId="6DE33BFB" w14:textId="77777777" w:rsidR="00BA6BF8" w:rsidRDefault="00000000">
            <w:pPr>
              <w:snapToGrid w:val="0"/>
              <w:spacing w:line="360" w:lineRule="auto"/>
              <w:jc w:val="both"/>
              <w:rPr>
                <w:rFonts w:ascii="Book Antiqua" w:hAnsi="Book Antiqua"/>
                <w:b/>
                <w:bCs/>
              </w:rPr>
            </w:pPr>
            <w:r>
              <w:rPr>
                <w:rFonts w:ascii="Book Antiqua" w:hAnsi="Book Antiqua"/>
                <w:b/>
                <w:bCs/>
              </w:rPr>
              <w:t>Phytochemical</w:t>
            </w:r>
          </w:p>
        </w:tc>
        <w:tc>
          <w:tcPr>
            <w:tcW w:w="3113" w:type="dxa"/>
            <w:tcBorders>
              <w:bottom w:val="single" w:sz="4" w:space="0" w:color="auto"/>
            </w:tcBorders>
            <w:vAlign w:val="center"/>
          </w:tcPr>
          <w:p w14:paraId="41810857" w14:textId="77777777" w:rsidR="00BA6BF8" w:rsidRDefault="00000000">
            <w:pPr>
              <w:snapToGrid w:val="0"/>
              <w:spacing w:line="360" w:lineRule="auto"/>
              <w:jc w:val="both"/>
              <w:rPr>
                <w:rFonts w:ascii="Book Antiqua" w:hAnsi="Book Antiqua"/>
                <w:b/>
                <w:bCs/>
              </w:rPr>
            </w:pPr>
            <w:r>
              <w:rPr>
                <w:rFonts w:ascii="Book Antiqua" w:hAnsi="Book Antiqua"/>
                <w:b/>
                <w:bCs/>
              </w:rPr>
              <w:t>Source</w:t>
            </w:r>
          </w:p>
        </w:tc>
        <w:tc>
          <w:tcPr>
            <w:tcW w:w="2970" w:type="dxa"/>
            <w:tcBorders>
              <w:bottom w:val="single" w:sz="4" w:space="0" w:color="auto"/>
            </w:tcBorders>
            <w:vAlign w:val="center"/>
          </w:tcPr>
          <w:p w14:paraId="0E29CAB3" w14:textId="77777777" w:rsidR="00BA6BF8" w:rsidRDefault="00000000">
            <w:pPr>
              <w:snapToGrid w:val="0"/>
              <w:spacing w:line="360" w:lineRule="auto"/>
              <w:jc w:val="both"/>
              <w:rPr>
                <w:rFonts w:ascii="Book Antiqua" w:hAnsi="Book Antiqua"/>
                <w:b/>
                <w:bCs/>
              </w:rPr>
            </w:pPr>
            <w:r>
              <w:rPr>
                <w:rFonts w:ascii="Book Antiqua" w:hAnsi="Book Antiqua"/>
                <w:b/>
                <w:bCs/>
              </w:rPr>
              <w:t>Outcomes</w:t>
            </w:r>
          </w:p>
        </w:tc>
        <w:tc>
          <w:tcPr>
            <w:tcW w:w="1350" w:type="dxa"/>
            <w:tcBorders>
              <w:bottom w:val="single" w:sz="4" w:space="0" w:color="auto"/>
            </w:tcBorders>
            <w:vAlign w:val="center"/>
          </w:tcPr>
          <w:p w14:paraId="7451E760" w14:textId="77777777" w:rsidR="00BA6BF8" w:rsidRDefault="00000000">
            <w:pPr>
              <w:snapToGrid w:val="0"/>
              <w:spacing w:line="360" w:lineRule="auto"/>
              <w:jc w:val="both"/>
              <w:rPr>
                <w:rFonts w:ascii="Book Antiqua" w:hAnsi="Book Antiqua"/>
                <w:b/>
                <w:bCs/>
              </w:rPr>
            </w:pPr>
            <w:r>
              <w:rPr>
                <w:rFonts w:ascii="Book Antiqua" w:hAnsi="Book Antiqua"/>
                <w:b/>
                <w:bCs/>
              </w:rPr>
              <w:t>Ref.</w:t>
            </w:r>
          </w:p>
        </w:tc>
      </w:tr>
      <w:tr w:rsidR="00BA6BF8" w14:paraId="7C2A21E4" w14:textId="77777777">
        <w:trPr>
          <w:cantSplit/>
        </w:trPr>
        <w:tc>
          <w:tcPr>
            <w:tcW w:w="2143" w:type="dxa"/>
            <w:tcBorders>
              <w:top w:val="single" w:sz="4" w:space="0" w:color="auto"/>
              <w:bottom w:val="nil"/>
            </w:tcBorders>
            <w:vAlign w:val="center"/>
          </w:tcPr>
          <w:p w14:paraId="29EA22E0" w14:textId="77777777" w:rsidR="00BA6BF8" w:rsidRDefault="00000000">
            <w:pPr>
              <w:snapToGrid w:val="0"/>
              <w:spacing w:line="360" w:lineRule="auto"/>
              <w:jc w:val="both"/>
              <w:rPr>
                <w:rFonts w:ascii="Book Antiqua" w:hAnsi="Book Antiqua"/>
              </w:rPr>
            </w:pPr>
            <w:r>
              <w:rPr>
                <w:rFonts w:ascii="Book Antiqua" w:hAnsi="Book Antiqua"/>
              </w:rPr>
              <w:t>Curcumin</w:t>
            </w:r>
          </w:p>
        </w:tc>
        <w:tc>
          <w:tcPr>
            <w:tcW w:w="3113" w:type="dxa"/>
            <w:tcBorders>
              <w:top w:val="single" w:sz="4" w:space="0" w:color="auto"/>
              <w:bottom w:val="nil"/>
            </w:tcBorders>
            <w:vAlign w:val="center"/>
          </w:tcPr>
          <w:p w14:paraId="1648BAF4" w14:textId="77777777" w:rsidR="00BA6BF8" w:rsidRDefault="00000000">
            <w:pPr>
              <w:snapToGrid w:val="0"/>
              <w:spacing w:line="360" w:lineRule="auto"/>
              <w:jc w:val="both"/>
              <w:rPr>
                <w:rFonts w:ascii="Book Antiqua" w:hAnsi="Book Antiqua"/>
              </w:rPr>
            </w:pPr>
            <w:r>
              <w:rPr>
                <w:rFonts w:ascii="Book Antiqua" w:hAnsi="Book Antiqua"/>
                <w:color w:val="202122"/>
                <w:shd w:val="clear" w:color="auto" w:fill="FFFFFF"/>
              </w:rPr>
              <w:t>Curcuma longa</w:t>
            </w:r>
          </w:p>
        </w:tc>
        <w:tc>
          <w:tcPr>
            <w:tcW w:w="2970" w:type="dxa"/>
            <w:tcBorders>
              <w:top w:val="single" w:sz="4" w:space="0" w:color="auto"/>
              <w:bottom w:val="nil"/>
            </w:tcBorders>
            <w:vAlign w:val="center"/>
          </w:tcPr>
          <w:p w14:paraId="7F38D25E" w14:textId="77777777" w:rsidR="00BA6BF8" w:rsidRDefault="00000000">
            <w:pPr>
              <w:snapToGrid w:val="0"/>
              <w:spacing w:line="360" w:lineRule="auto"/>
              <w:jc w:val="both"/>
              <w:rPr>
                <w:rFonts w:ascii="Book Antiqua" w:hAnsi="Book Antiqua"/>
              </w:rPr>
            </w:pPr>
            <w:r>
              <w:rPr>
                <w:rFonts w:ascii="Book Antiqua" w:hAnsi="Book Antiqua"/>
              </w:rPr>
              <w:t>↑Insulin sensitivity, ↓blood glucose levels, and hypoglycemia</w:t>
            </w:r>
          </w:p>
        </w:tc>
        <w:tc>
          <w:tcPr>
            <w:tcW w:w="1350" w:type="dxa"/>
            <w:tcBorders>
              <w:top w:val="single" w:sz="4" w:space="0" w:color="auto"/>
              <w:bottom w:val="nil"/>
            </w:tcBorders>
            <w:vAlign w:val="center"/>
          </w:tcPr>
          <w:p w14:paraId="41EB5509" w14:textId="77777777" w:rsidR="00BA6BF8" w:rsidRDefault="00000000">
            <w:pPr>
              <w:snapToGrid w:val="0"/>
              <w:spacing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&lt;EndNote&gt;&lt;Cite&gt;&lt;Author&gt;Zhang&lt;/Author&gt;&lt;Year&gt;2013&lt;/Year&gt;&lt;RecNum&gt;623&lt;/RecNum&gt;&lt;DisplayText&gt;[180]&lt;/DisplayText&gt;&lt;record&gt;&lt;rec-number&gt;623&lt;/rec-number&gt;&lt;foreign-keys&gt;&lt;key app="EN" db-id="w259sedv5dvevhertempp0wjwxf5apt95z5a" timestamp="1671314211"&gt;623&lt;/key&gt;&lt;/foreign-keys&gt;&lt;ref-type name="Journal Article"&gt;17&lt;/ref-type&gt;&lt;contributors&gt;&lt;authors&gt;&lt;author&gt;Zhang, Dong-wei&lt;/author&gt;&lt;author&gt;Fu, Min&lt;/author&gt;&lt;author&gt;Gao, Si-Hua&lt;/author&gt;&lt;author&gt;Liu, Jun-Li&lt;/author&gt;&lt;/authors&gt;&lt;secondary-authors&gt;&lt;author&gt;Leonti, Marco&lt;/author&gt;&lt;/secondary-authors&gt;&lt;/contributors&gt;&lt;titles&gt;&lt;title&gt;Curcumin and Diabetes: A Systematic Review&lt;/title&gt;&lt;secondary-title&gt;Evidence-Based Complementary and Alternative Medicine&lt;/secondary-title&gt;&lt;/titles&gt;&lt;periodical&gt;&lt;full-title&gt;Evidence-Based Complementary and Alternative Medicine&lt;/full-title&gt;&lt;/periodical&gt;&lt;pages&gt;636053&lt;/pages&gt;&lt;volume&gt;2013&lt;/volume&gt;&lt;dates&gt;&lt;year&gt;2013&lt;/year&gt;&lt;pub-dates&gt;&lt;date&gt;2013/11/24&lt;/date&gt;&lt;/pub-dates&gt;&lt;/dates&gt;&lt;publisher&gt;Hindawi Publishing Corporation&lt;/publisher&gt;&lt;isbn&gt;1741-427X&lt;/isbn&gt;&lt;urls&gt;&lt;related-urls&gt;&lt;url&gt;https://doi.org/10.1155/2013/636053&lt;/url&gt;&lt;/related-urls&gt;&lt;/urls&gt;&lt;electronic-resource-num&gt;10.1155/2013/636053&lt;/electronic-resource-num&gt;&lt;/record&gt;&lt;/Cite&gt;&lt;/EndNote&gt;</w:instrText>
            </w:r>
            <w:r>
              <w:rPr>
                <w:rFonts w:ascii="Book Antiqua" w:hAnsi="Book Antiqua"/>
                <w:vertAlign w:val="superscript"/>
              </w:rPr>
              <w:fldChar w:fldCharType="separate"/>
            </w:r>
            <w:r>
              <w:rPr>
                <w:rFonts w:ascii="Book Antiqua" w:hAnsi="Book Antiqua"/>
                <w:vertAlign w:val="superscript"/>
              </w:rPr>
              <w:t>[180]</w:t>
            </w:r>
            <w:r>
              <w:rPr>
                <w:rFonts w:ascii="Book Antiqua" w:hAnsi="Book Antiqua"/>
                <w:vertAlign w:val="superscript"/>
              </w:rPr>
              <w:fldChar w:fldCharType="end"/>
            </w:r>
          </w:p>
        </w:tc>
      </w:tr>
      <w:tr w:rsidR="00BA6BF8" w14:paraId="7C7C4401" w14:textId="77777777">
        <w:trPr>
          <w:cantSplit/>
        </w:trPr>
        <w:tc>
          <w:tcPr>
            <w:tcW w:w="2143" w:type="dxa"/>
            <w:tcBorders>
              <w:top w:val="nil"/>
            </w:tcBorders>
            <w:vAlign w:val="center"/>
          </w:tcPr>
          <w:p w14:paraId="7763300B" w14:textId="77777777" w:rsidR="00BA6BF8" w:rsidRDefault="00000000">
            <w:pPr>
              <w:snapToGrid w:val="0"/>
              <w:spacing w:line="360" w:lineRule="auto"/>
              <w:jc w:val="both"/>
              <w:rPr>
                <w:rFonts w:ascii="Book Antiqua" w:hAnsi="Book Antiqua"/>
              </w:rPr>
            </w:pPr>
            <w:r>
              <w:rPr>
                <w:rFonts w:ascii="Book Antiqua" w:hAnsi="Book Antiqua"/>
              </w:rPr>
              <w:t>Rutin</w:t>
            </w:r>
          </w:p>
        </w:tc>
        <w:tc>
          <w:tcPr>
            <w:tcW w:w="3113" w:type="dxa"/>
            <w:tcBorders>
              <w:top w:val="nil"/>
            </w:tcBorders>
            <w:vAlign w:val="center"/>
          </w:tcPr>
          <w:p w14:paraId="33371EE4" w14:textId="77777777" w:rsidR="00BA6BF8" w:rsidRDefault="00000000">
            <w:pPr>
              <w:snapToGrid w:val="0"/>
              <w:spacing w:line="360" w:lineRule="auto"/>
              <w:jc w:val="both"/>
              <w:rPr>
                <w:rFonts w:ascii="Book Antiqua" w:hAnsi="Book Antiqua"/>
              </w:rPr>
            </w:pPr>
            <w:r>
              <w:rPr>
                <w:rFonts w:ascii="Book Antiqua" w:hAnsi="Book Antiqua"/>
                <w:color w:val="202124"/>
                <w:shd w:val="clear" w:color="auto" w:fill="FFFFFF"/>
              </w:rPr>
              <w:t>Buckwheat (Fagopyrum esculentum)</w:t>
            </w:r>
          </w:p>
        </w:tc>
        <w:tc>
          <w:tcPr>
            <w:tcW w:w="2970" w:type="dxa"/>
            <w:tcBorders>
              <w:top w:val="nil"/>
            </w:tcBorders>
            <w:vAlign w:val="center"/>
          </w:tcPr>
          <w:p w14:paraId="64A8E545" w14:textId="77777777" w:rsidR="00BA6BF8" w:rsidRDefault="00000000">
            <w:pPr>
              <w:snapToGrid w:val="0"/>
              <w:spacing w:line="360" w:lineRule="auto"/>
              <w:jc w:val="both"/>
              <w:rPr>
                <w:rFonts w:ascii="Book Antiqua" w:hAnsi="Book Antiqua"/>
              </w:rPr>
            </w:pPr>
            <w:r>
              <w:rPr>
                <w:rFonts w:ascii="Book Antiqua" w:hAnsi="Book Antiqua"/>
              </w:rPr>
              <w:t>↓Hepatic glucose production, ↑glucose tolerance</w:t>
            </w:r>
          </w:p>
        </w:tc>
        <w:tc>
          <w:tcPr>
            <w:tcW w:w="1350" w:type="dxa"/>
            <w:tcBorders>
              <w:top w:val="nil"/>
            </w:tcBorders>
            <w:vAlign w:val="center"/>
          </w:tcPr>
          <w:p w14:paraId="3E707D1B" w14:textId="77777777" w:rsidR="00BA6BF8" w:rsidRDefault="00000000">
            <w:pPr>
              <w:snapToGrid w:val="0"/>
              <w:spacing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&lt;EndNote&gt;&lt;Cite&gt;&lt;Author&gt;Ghorbani&lt;/Author&gt;&lt;Year&gt;2017&lt;/Year&gt;&lt;RecNum&gt;625&lt;/RecNum&gt;&lt;DisplayText&gt;[181]&lt;/DisplayText&gt;&lt;record&gt;&lt;rec-number&gt;625&lt;/rec-number&gt;&lt;foreign-keys&gt;&lt;key app="EN" db-id="w259sedv5dvevhertempp0wjwxf5apt95z5a" timestamp="1671314231"&gt;625&lt;/key&gt;&lt;/foreign-keys&gt;&lt;ref-type name="Journal Article"&gt;17&lt;/ref-type&gt;&lt;contributors&gt;&lt;authors&gt;&lt;author&gt;Ghorbani, Ahmad&lt;/author&gt;&lt;/authors&gt;&lt;/contributors&gt;&lt;titles&gt;&lt;title&gt;Mechanisms of antidiabetic effects of flavonoid rutin&lt;/title&gt;&lt;secondary-title&gt;Biomedicine &amp;amp; Pharmacotherapy&lt;/secondary-title&gt;&lt;/titles&gt;&lt;periodical&gt;&lt;full-title&gt;Biomedicine &amp;amp; Pharmacotherapy&lt;/full-title&gt;&lt;/periodical&gt;&lt;pages&gt;305-312&lt;/pages&gt;&lt;volume&gt;96&lt;/volume&gt;&lt;keywords&gt;&lt;keyword&gt;Diabetes&lt;/keyword&gt;&lt;keyword&gt;Flavonoids&lt;/keyword&gt;&lt;keyword&gt;Glucose&lt;/keyword&gt;&lt;keyword&gt;Lipids&lt;/keyword&gt;&lt;keyword&gt;Mechanism&lt;/keyword&gt;&lt;keyword&gt;Rutin&lt;/keyword&gt;&lt;/keywords&gt;&lt;dates&gt;&lt;year&gt;2017&lt;/year&gt;&lt;pub-dates&gt;&lt;date&gt;2017/12/01/&lt;/date&gt;&lt;/pub-dates&gt;&lt;/dates&gt;&lt;isbn&gt;0753-3322&lt;/isbn&gt;&lt;urls&gt;&lt;related-urls&gt;&lt;url&gt;https://www.sciencedirect.com/science/article/pii/S0753332217343421&lt;/url&gt;&lt;/related-urls&gt;&lt;/urls&gt;&lt;electronic-resource-num&gt;https://doi.org/10.1016/j.biopha.2017.10.001&lt;/electronic-resource-num&gt;&lt;/record&gt;&lt;/Cite&gt;&lt;/EndNote&gt;</w:instrText>
            </w:r>
            <w:r>
              <w:rPr>
                <w:rFonts w:ascii="Book Antiqua" w:hAnsi="Book Antiqua"/>
                <w:vertAlign w:val="superscript"/>
              </w:rPr>
              <w:fldChar w:fldCharType="separate"/>
            </w:r>
            <w:r>
              <w:rPr>
                <w:rFonts w:ascii="Book Antiqua" w:hAnsi="Book Antiqua"/>
                <w:vertAlign w:val="superscript"/>
              </w:rPr>
              <w:t>[181]</w:t>
            </w:r>
            <w:r>
              <w:rPr>
                <w:rFonts w:ascii="Book Antiqua" w:hAnsi="Book Antiqua"/>
                <w:vertAlign w:val="superscript"/>
              </w:rPr>
              <w:fldChar w:fldCharType="end"/>
            </w:r>
          </w:p>
        </w:tc>
      </w:tr>
      <w:tr w:rsidR="00BA6BF8" w14:paraId="584D8FF8" w14:textId="77777777">
        <w:trPr>
          <w:cantSplit/>
        </w:trPr>
        <w:tc>
          <w:tcPr>
            <w:tcW w:w="2143" w:type="dxa"/>
            <w:vAlign w:val="center"/>
          </w:tcPr>
          <w:p w14:paraId="4649DA57" w14:textId="77777777" w:rsidR="00BA6BF8" w:rsidRDefault="00000000">
            <w:pPr>
              <w:snapToGrid w:val="0"/>
              <w:spacing w:line="360" w:lineRule="auto"/>
              <w:jc w:val="both"/>
              <w:rPr>
                <w:rFonts w:ascii="Book Antiqua" w:hAnsi="Book Antiqua"/>
              </w:rPr>
            </w:pPr>
            <w:r>
              <w:rPr>
                <w:rFonts w:ascii="Book Antiqua" w:hAnsi="Book Antiqua"/>
              </w:rPr>
              <w:t>Resveratrol</w:t>
            </w:r>
          </w:p>
        </w:tc>
        <w:tc>
          <w:tcPr>
            <w:tcW w:w="3113" w:type="dxa"/>
            <w:vAlign w:val="center"/>
          </w:tcPr>
          <w:p w14:paraId="1A4A1EBD" w14:textId="77777777" w:rsidR="00BA6BF8" w:rsidRDefault="00000000">
            <w:pPr>
              <w:snapToGrid w:val="0"/>
              <w:spacing w:line="360" w:lineRule="auto"/>
              <w:jc w:val="both"/>
              <w:rPr>
                <w:rFonts w:ascii="Book Antiqua" w:hAnsi="Book Antiqua"/>
              </w:rPr>
            </w:pPr>
            <w:r>
              <w:rPr>
                <w:rFonts w:ascii="Book Antiqua" w:hAnsi="Book Antiqua"/>
                <w:color w:val="2E2E2E"/>
              </w:rPr>
              <w:t>Grapes, plums, peanuts, nuts, red wine</w:t>
            </w:r>
          </w:p>
        </w:tc>
        <w:tc>
          <w:tcPr>
            <w:tcW w:w="2970" w:type="dxa"/>
            <w:vAlign w:val="center"/>
          </w:tcPr>
          <w:p w14:paraId="2889F80D" w14:textId="77777777" w:rsidR="00BA6BF8" w:rsidRDefault="00000000">
            <w:pPr>
              <w:snapToGrid w:val="0"/>
              <w:spacing w:line="360" w:lineRule="auto"/>
              <w:jc w:val="both"/>
              <w:rPr>
                <w:rFonts w:ascii="Book Antiqua" w:hAnsi="Book Antiqua"/>
              </w:rPr>
            </w:pPr>
            <w:r>
              <w:rPr>
                <w:rFonts w:ascii="Book Antiqua" w:hAnsi="Book Antiqua"/>
              </w:rPr>
              <w:t>Improved insulin signaling, ↑glucose-mediated insulin secretion</w:t>
            </w:r>
          </w:p>
        </w:tc>
        <w:tc>
          <w:tcPr>
            <w:tcW w:w="1350" w:type="dxa"/>
            <w:vAlign w:val="center"/>
          </w:tcPr>
          <w:p w14:paraId="4FFDD7D3" w14:textId="77777777" w:rsidR="00BA6BF8" w:rsidRDefault="00000000">
            <w:pPr>
              <w:snapToGrid w:val="0"/>
              <w:spacing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&lt;EndNote&gt;&lt;Cite&gt;&lt;Author&gt;Li&lt;/Author&gt;&lt;Year&gt;2019&lt;/Year&gt;&lt;RecNum&gt;626&lt;/RecNum&gt;&lt;DisplayText&gt;[182]&lt;/DisplayText&gt;&lt;record&gt;&lt;rec-number&gt;626&lt;/rec-number&gt;&lt;foreign-keys&gt;&lt;key app="EN" db-id="w259sedv5dvevhertempp0wjwxf5apt95z5a" timestamp="1671314249"&gt;626&lt;/key&gt;&lt;/foreign-keys&gt;&lt;ref-type name="Journal Article"&gt;17&lt;/ref-type&gt;&lt;contributors&gt;&lt;authors&gt;&lt;author&gt;Li, Rongzi&lt;/author&gt;&lt;author&gt;Zhang, Yuxian&lt;/author&gt;&lt;author&gt;Rasool, Suhail&lt;/author&gt;&lt;author&gt;Geetha, Thangiah&lt;/author&gt;&lt;author&gt;Babu, Jeganathan Ramesh&lt;/author&gt;&lt;/authors&gt;&lt;/contributors&gt;&lt;titles&gt;&lt;title&gt;Effects and Underlying Mechanisms of Bioactive Compounds on Type 2 Diabetes Mellitus and Alzheimer’s Disease&lt;/title&gt;&lt;secondary-title&gt;Oxidative Medicine and Cellular Longevity&lt;/secondary-title&gt;&lt;/titles&gt;&lt;periodical&gt;&lt;full-title&gt;Oxidative Medicine and Cellular Longevity&lt;/full-title&gt;&lt;/periodical&gt;&lt;pages&gt;8165707&lt;/pages&gt;&lt;volume&gt;2019&lt;/volume&gt;&lt;dates&gt;&lt;year&gt;2019&lt;/year&gt;&lt;pub-dates&gt;&lt;date&gt;2019/01/17&lt;/date&gt;&lt;/pub-dates&gt;&lt;/dates&gt;&lt;publisher&gt;Hindawi&lt;/publisher&gt;&lt;isbn&gt;1942-0900&lt;/isbn&gt;&lt;urls&gt;&lt;related-urls&gt;&lt;url&gt;https://doi.org/10.1155/2019/8165707&lt;/url&gt;&lt;/related-urls&gt;&lt;/urls&gt;&lt;electronic-resource-num&gt;10.1155/2019/8165707&lt;/electronic-resource-num&gt;&lt;/record&gt;&lt;/Cite&gt;&lt;/EndNote&gt;</w:instrText>
            </w:r>
            <w:r>
              <w:rPr>
                <w:rFonts w:ascii="Book Antiqua" w:hAnsi="Book Antiqua"/>
                <w:vertAlign w:val="superscript"/>
              </w:rPr>
              <w:fldChar w:fldCharType="separate"/>
            </w:r>
            <w:r>
              <w:rPr>
                <w:rFonts w:ascii="Book Antiqua" w:hAnsi="Book Antiqua"/>
                <w:vertAlign w:val="superscript"/>
              </w:rPr>
              <w:t>[182]</w:t>
            </w:r>
            <w:r>
              <w:rPr>
                <w:rFonts w:ascii="Book Antiqua" w:hAnsi="Book Antiqua"/>
                <w:vertAlign w:val="superscript"/>
              </w:rPr>
              <w:fldChar w:fldCharType="end"/>
            </w:r>
          </w:p>
        </w:tc>
      </w:tr>
      <w:tr w:rsidR="00BA6BF8" w14:paraId="085BC00E" w14:textId="77777777">
        <w:trPr>
          <w:cantSplit/>
        </w:trPr>
        <w:tc>
          <w:tcPr>
            <w:tcW w:w="2143" w:type="dxa"/>
            <w:vAlign w:val="center"/>
          </w:tcPr>
          <w:p w14:paraId="32990086" w14:textId="77777777" w:rsidR="00BA6BF8" w:rsidRDefault="00000000">
            <w:pPr>
              <w:snapToGrid w:val="0"/>
              <w:spacing w:line="360" w:lineRule="auto"/>
              <w:jc w:val="both"/>
              <w:rPr>
                <w:rFonts w:ascii="Book Antiqua" w:hAnsi="Book Antiqua"/>
              </w:rPr>
            </w:pPr>
            <w:r>
              <w:rPr>
                <w:rFonts w:ascii="Book Antiqua" w:hAnsi="Book Antiqua"/>
              </w:rPr>
              <w:t>Quercetin</w:t>
            </w:r>
          </w:p>
        </w:tc>
        <w:tc>
          <w:tcPr>
            <w:tcW w:w="3113" w:type="dxa"/>
            <w:vAlign w:val="center"/>
          </w:tcPr>
          <w:p w14:paraId="32B5EFF2" w14:textId="77777777" w:rsidR="00BA6BF8" w:rsidRDefault="00000000">
            <w:pPr>
              <w:snapToGrid w:val="0"/>
              <w:spacing w:line="360" w:lineRule="auto"/>
              <w:jc w:val="both"/>
              <w:rPr>
                <w:rFonts w:ascii="Book Antiqua" w:hAnsi="Book Antiqua"/>
              </w:rPr>
            </w:pPr>
            <w:r>
              <w:rPr>
                <w:rFonts w:ascii="Book Antiqua" w:hAnsi="Book Antiqua"/>
                <w:color w:val="2E2E2E"/>
              </w:rPr>
              <w:t>Apples, black tea, berries, capers, red wine, onions</w:t>
            </w:r>
          </w:p>
        </w:tc>
        <w:tc>
          <w:tcPr>
            <w:tcW w:w="2970" w:type="dxa"/>
            <w:vAlign w:val="center"/>
          </w:tcPr>
          <w:p w14:paraId="08C2D389" w14:textId="77777777" w:rsidR="00BA6BF8" w:rsidRDefault="00000000">
            <w:pPr>
              <w:snapToGrid w:val="0"/>
              <w:spacing w:line="360" w:lineRule="auto"/>
              <w:jc w:val="both"/>
              <w:rPr>
                <w:rFonts w:ascii="Book Antiqua" w:hAnsi="Book Antiqua"/>
              </w:rPr>
            </w:pPr>
            <w:r>
              <w:rPr>
                <w:rFonts w:ascii="Book Antiqua" w:hAnsi="Book Antiqua"/>
              </w:rPr>
              <w:t>↑Glucose uptake, ↓hepatic glucose production</w:t>
            </w:r>
          </w:p>
        </w:tc>
        <w:tc>
          <w:tcPr>
            <w:tcW w:w="1350" w:type="dxa"/>
            <w:vAlign w:val="center"/>
          </w:tcPr>
          <w:p w14:paraId="3539E039" w14:textId="77777777" w:rsidR="00BA6BF8" w:rsidRDefault="00000000">
            <w:pPr>
              <w:snapToGrid w:val="0"/>
              <w:spacing w:line="360" w:lineRule="auto"/>
              <w:jc w:val="both"/>
              <w:rPr>
                <w:rFonts w:ascii="Book Antiqua" w:hAnsi="Book Antiqua"/>
                <w:vertAlign w:val="superscript"/>
              </w:rPr>
            </w:pPr>
            <w:r>
              <w:rPr>
                <w:rFonts w:ascii="Book Antiqua" w:hAnsi="Book Antiqua"/>
                <w:vertAlign w:val="superscript"/>
              </w:rPr>
              <w:fldChar w:fldCharType="begin">
                <w:fldData xml:space="preserve">PEVuZE5vdGU+PENpdGU+PEF1dGhvcj5MaTwvQXV0aG9yPjxZZWFyPjIwMTk8L1llYXI+PFJlY051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</w:fldData>
              </w:fldChar>
            </w:r>
            <w:r>
              <w:rPr>
                <w:rFonts w:ascii="Book Antiqua" w:hAnsi="Book Antiqua"/>
                <w:vertAlign w:val="superscript"/>
              </w:rPr>
              <w:instrText xml:space="preserve"> ADDIN EN.CITE </w:instrText>
            </w:r>
            <w:r>
              <w:rPr>
                <w:rFonts w:ascii="Book Antiqua" w:hAnsi="Book Antiqua"/>
                <w:vertAlign w:val="superscript"/>
              </w:rPr>
              <w:fldChar w:fldCharType="begin">
                <w:fldData xml:space="preserve">PEVuZE5vdGU+PENpdGU+PEF1dGhvcj5MaTwvQXV0aG9yPjxZZWFyPjIwMTk8L1llYXI+PFJlY051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</w:fldData>
              </w:fldChar>
            </w:r>
            <w:r>
              <w:rPr>
                <w:rFonts w:ascii="Book Antiqua" w:hAnsi="Book Antiqua"/>
                <w:vertAlign w:val="superscript"/>
              </w:rPr>
              <w:instrText xml:space="preserve"> ADDIN EN.CITE.DATA </w:instrText>
            </w:r>
            <w:r>
              <w:rPr>
                <w:rFonts w:ascii="Book Antiqua" w:hAnsi="Book Antiqua"/>
                <w:vertAlign w:val="superscript"/>
              </w:rPr>
            </w:r>
            <w:r>
              <w:rPr>
                <w:rFonts w:ascii="Book Antiqua" w:hAnsi="Book Antiqua"/>
                <w:vertAlign w:val="superscript"/>
              </w:rPr>
              <w:fldChar w:fldCharType="end"/>
            </w:r>
            <w:r>
              <w:rPr>
                <w:rFonts w:ascii="Book Antiqua" w:hAnsi="Book Antiqua"/>
                <w:vertAlign w:val="superscript"/>
              </w:rPr>
            </w:r>
            <w:r>
              <w:rPr>
                <w:rFonts w:ascii="Book Antiqua" w:hAnsi="Book Antiqua"/>
                <w:vertAlign w:val="superscript"/>
              </w:rPr>
              <w:fldChar w:fldCharType="separate"/>
            </w:r>
            <w:r>
              <w:rPr>
                <w:rFonts w:ascii="Book Antiqua" w:hAnsi="Book Antiqua"/>
                <w:vertAlign w:val="superscript"/>
              </w:rPr>
              <w:t>[182,183]</w:t>
            </w:r>
            <w:r>
              <w:rPr>
                <w:rFonts w:ascii="Book Antiqua" w:hAnsi="Book Antiqua"/>
                <w:vertAlign w:val="superscript"/>
              </w:rPr>
              <w:fldChar w:fldCharType="end"/>
            </w:r>
          </w:p>
        </w:tc>
      </w:tr>
      <w:tr w:rsidR="00BA6BF8" w14:paraId="29D80C4E" w14:textId="77777777">
        <w:trPr>
          <w:cantSplit/>
        </w:trPr>
        <w:tc>
          <w:tcPr>
            <w:tcW w:w="2143" w:type="dxa"/>
            <w:vAlign w:val="center"/>
          </w:tcPr>
          <w:p w14:paraId="42E3884A" w14:textId="77777777" w:rsidR="00BA6BF8" w:rsidRDefault="00000000">
            <w:pPr>
              <w:snapToGrid w:val="0"/>
              <w:spacing w:line="360" w:lineRule="auto"/>
              <w:jc w:val="both"/>
              <w:rPr>
                <w:rFonts w:ascii="Book Antiqua" w:hAnsi="Book Antiqua"/>
              </w:rPr>
            </w:pPr>
            <w:r>
              <w:rPr>
                <w:rFonts w:ascii="Book Antiqua" w:hAnsi="Book Antiqua"/>
              </w:rPr>
              <w:t>Genistein</w:t>
            </w:r>
          </w:p>
        </w:tc>
        <w:tc>
          <w:tcPr>
            <w:tcW w:w="3113" w:type="dxa"/>
            <w:vAlign w:val="center"/>
          </w:tcPr>
          <w:p w14:paraId="2DF0695B" w14:textId="77777777" w:rsidR="00BA6BF8" w:rsidRDefault="00000000">
            <w:pPr>
              <w:snapToGrid w:val="0"/>
              <w:spacing w:line="360" w:lineRule="auto"/>
              <w:jc w:val="both"/>
              <w:rPr>
                <w:rFonts w:ascii="Book Antiqua" w:hAnsi="Book Antiqua"/>
              </w:rPr>
            </w:pPr>
            <w:r>
              <w:rPr>
                <w:rFonts w:ascii="Book Antiqua" w:hAnsi="Book Antiqua"/>
                <w:color w:val="2E2E2E"/>
              </w:rPr>
              <w:t>Legumes</w:t>
            </w:r>
          </w:p>
        </w:tc>
        <w:tc>
          <w:tcPr>
            <w:tcW w:w="2970" w:type="dxa"/>
            <w:vAlign w:val="center"/>
          </w:tcPr>
          <w:p w14:paraId="7B06A62A" w14:textId="77777777" w:rsidR="00BA6BF8" w:rsidRDefault="00000000">
            <w:pPr>
              <w:snapToGrid w:val="0"/>
              <w:spacing w:line="360" w:lineRule="auto"/>
              <w:jc w:val="both"/>
              <w:rPr>
                <w:rFonts w:ascii="Book Antiqua" w:hAnsi="Book Antiqua"/>
              </w:rPr>
            </w:pPr>
            <w:r>
              <w:rPr>
                <w:rFonts w:ascii="Book Antiqua" w:hAnsi="Book Antiqua"/>
              </w:rPr>
              <w:t>Improved lipid glucose metabolism and ↓fasting glucose</w:t>
            </w:r>
          </w:p>
        </w:tc>
        <w:tc>
          <w:tcPr>
            <w:tcW w:w="1350" w:type="dxa"/>
            <w:vAlign w:val="center"/>
          </w:tcPr>
          <w:p w14:paraId="49219EDB" w14:textId="77777777" w:rsidR="00BA6BF8" w:rsidRDefault="00000000">
            <w:pPr>
              <w:snapToGrid w:val="0"/>
              <w:spacing w:line="360" w:lineRule="auto"/>
              <w:jc w:val="both"/>
              <w:rPr>
                <w:rFonts w:ascii="Book Antiqua" w:hAnsi="Book Antiqua"/>
                <w:vertAlign w:val="superscript"/>
              </w:rPr>
            </w:pPr>
            <w:r>
              <w:rPr>
                <w:rFonts w:ascii="Book Antiqua" w:hAnsi="Book Antiqua"/>
                <w:vertAlign w:val="superscript"/>
              </w:rPr>
              <w:fldChar w:fldCharType="begin">
                <w:fldData xml:space="preserve">PEVuZE5vdGU+PENpdGU+PEF1dGhvcj5BZSBQYXJrPC9BdXRob3I+PFllYXI+MjAwNjwvWWVhcj48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</w:fldData>
              </w:fldChar>
            </w:r>
            <w:r>
              <w:rPr>
                <w:rFonts w:ascii="Book Antiqua" w:hAnsi="Book Antiqua"/>
                <w:vertAlign w:val="superscript"/>
              </w:rPr>
              <w:instrText xml:space="preserve"> ADDIN EN.CITE </w:instrText>
            </w:r>
            <w:r>
              <w:rPr>
                <w:rFonts w:ascii="Book Antiqua" w:hAnsi="Book Antiqua"/>
                <w:vertAlign w:val="superscript"/>
              </w:rPr>
              <w:fldChar w:fldCharType="begin">
                <w:fldData xml:space="preserve">PEVuZE5vdGU+PENpdGU+PEF1dGhvcj5BZSBQYXJrPC9BdXRob3I+PFllYXI+MjAwNjwvWWVhcj48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</w:fldData>
              </w:fldChar>
            </w:r>
            <w:r>
              <w:rPr>
                <w:rFonts w:ascii="Book Antiqua" w:hAnsi="Book Antiqua"/>
                <w:vertAlign w:val="superscript"/>
              </w:rPr>
              <w:instrText xml:space="preserve"> ADDIN EN.CITE.DATA </w:instrText>
            </w:r>
            <w:r>
              <w:rPr>
                <w:rFonts w:ascii="Book Antiqua" w:hAnsi="Book Antiqua"/>
                <w:vertAlign w:val="superscript"/>
              </w:rPr>
            </w:r>
            <w:r>
              <w:rPr>
                <w:rFonts w:ascii="Book Antiqua" w:hAnsi="Book Antiqua"/>
                <w:vertAlign w:val="superscript"/>
              </w:rPr>
              <w:fldChar w:fldCharType="end"/>
            </w:r>
            <w:r>
              <w:rPr>
                <w:rFonts w:ascii="Book Antiqua" w:hAnsi="Book Antiqua"/>
                <w:vertAlign w:val="superscript"/>
              </w:rPr>
            </w:r>
            <w:r>
              <w:rPr>
                <w:rFonts w:ascii="Book Antiqua" w:hAnsi="Book Antiqua"/>
                <w:vertAlign w:val="superscript"/>
              </w:rPr>
              <w:fldChar w:fldCharType="separate"/>
            </w:r>
            <w:r>
              <w:rPr>
                <w:rFonts w:ascii="Book Antiqua" w:hAnsi="Book Antiqua"/>
                <w:vertAlign w:val="superscript"/>
              </w:rPr>
              <w:t>[184]</w:t>
            </w:r>
            <w:r>
              <w:rPr>
                <w:rFonts w:ascii="Book Antiqua" w:hAnsi="Book Antiqua"/>
                <w:vertAlign w:val="superscript"/>
              </w:rPr>
              <w:fldChar w:fldCharType="end"/>
            </w:r>
          </w:p>
        </w:tc>
      </w:tr>
      <w:tr w:rsidR="00BA6BF8" w14:paraId="455532CC" w14:textId="77777777">
        <w:trPr>
          <w:cantSplit/>
        </w:trPr>
        <w:tc>
          <w:tcPr>
            <w:tcW w:w="2143" w:type="dxa"/>
            <w:vAlign w:val="center"/>
          </w:tcPr>
          <w:p w14:paraId="605CD085" w14:textId="77777777" w:rsidR="00BA6BF8" w:rsidRDefault="00000000">
            <w:pPr>
              <w:snapToGrid w:val="0"/>
              <w:spacing w:line="360" w:lineRule="auto"/>
              <w:jc w:val="both"/>
              <w:rPr>
                <w:rFonts w:ascii="Book Antiqua" w:hAnsi="Book Antiqua"/>
              </w:rPr>
            </w:pPr>
            <w:r>
              <w:rPr>
                <w:rFonts w:ascii="Book Antiqua" w:hAnsi="Book Antiqua"/>
              </w:rPr>
              <w:lastRenderedPageBreak/>
              <w:t>Hesperidin</w:t>
            </w:r>
          </w:p>
        </w:tc>
        <w:tc>
          <w:tcPr>
            <w:tcW w:w="3113" w:type="dxa"/>
            <w:vAlign w:val="center"/>
          </w:tcPr>
          <w:p w14:paraId="63B86365" w14:textId="77777777" w:rsidR="00BA6BF8" w:rsidRDefault="00000000">
            <w:pPr>
              <w:snapToGrid w:val="0"/>
              <w:spacing w:line="360" w:lineRule="auto"/>
              <w:jc w:val="both"/>
              <w:rPr>
                <w:rFonts w:ascii="Book Antiqua" w:hAnsi="Book Antiqua"/>
              </w:rPr>
            </w:pPr>
            <w:r>
              <w:rPr>
                <w:rFonts w:ascii="Book Antiqua" w:hAnsi="Book Antiqua"/>
                <w:color w:val="2E2E2E"/>
              </w:rPr>
              <w:t>Orange, lemon</w:t>
            </w:r>
          </w:p>
        </w:tc>
        <w:tc>
          <w:tcPr>
            <w:tcW w:w="2970" w:type="dxa"/>
            <w:vAlign w:val="center"/>
          </w:tcPr>
          <w:p w14:paraId="33C9F4CE" w14:textId="77777777" w:rsidR="00BA6BF8" w:rsidRDefault="00000000">
            <w:pPr>
              <w:snapToGrid w:val="0"/>
              <w:spacing w:line="360" w:lineRule="auto"/>
              <w:jc w:val="both"/>
              <w:rPr>
                <w:rFonts w:ascii="Book Antiqua" w:hAnsi="Book Antiqua"/>
              </w:rPr>
            </w:pPr>
            <w:r>
              <w:rPr>
                <w:rFonts w:ascii="Book Antiqua" w:hAnsi="Book Antiqua"/>
              </w:rPr>
              <w:t>↑Glucose uptake, ↓HbA1c, ↓oxidative stress</w:t>
            </w:r>
          </w:p>
        </w:tc>
        <w:tc>
          <w:tcPr>
            <w:tcW w:w="1350" w:type="dxa"/>
            <w:vAlign w:val="center"/>
          </w:tcPr>
          <w:p w14:paraId="65C157E1" w14:textId="77777777" w:rsidR="00BA6BF8" w:rsidRDefault="00000000">
            <w:pPr>
              <w:snapToGrid w:val="0"/>
              <w:spacing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&lt;EndNote&gt;&lt;Cite&gt;&lt;Author&gt;Mahmoud&lt;/Author&gt;&lt;Year&gt;2012&lt;/Year&gt;&lt;RecNum&gt;628&lt;/RecNum&gt;&lt;DisplayText&gt;[185]&lt;/DisplayText&gt;&lt;record&gt;&lt;rec-number&gt;628&lt;/rec-number&gt;&lt;foreign-keys&gt;&lt;key app="EN" db-id="w259sedv5dvevhertempp0wjwxf5apt95z5a" timestamp="1671314286"&gt;628&lt;/key&gt;&lt;/foreign-keys&gt;&lt;ref-type name="Journal Article"&gt;17&lt;/ref-type&gt;&lt;contributors&gt;&lt;authors&gt;&lt;author&gt;Mahmoud, Ayman M.&lt;/author&gt;&lt;author&gt;Ashour, Mohamed B.&lt;/author&gt;&lt;author&gt;Abdel-Moneim, Adel&lt;/author&gt;&lt;author&gt;Ahmed, Osama M.&lt;/author&gt;&lt;/authors&gt;&lt;/contributors&gt;&lt;titles&gt;&lt;title&gt;Hesperidin and naringin attenuate hyperglycemia-mediated oxidative stress and proinflammatory cytokine production in high fat fed/streptozotocin-induced type 2 diabetic rats&lt;/title&gt;&lt;secondary-title&gt;Journal of Diabetes and its Complications&lt;/secondary-title&gt;&lt;/titles&gt;&lt;periodical&gt;&lt;full-title&gt;Journal of Diabetes and its Complications&lt;/full-title&gt;&lt;/periodical&gt;&lt;pages&gt;483-490&lt;/pages&gt;&lt;volume&gt;26&lt;/volume&gt;&lt;number&gt;6&lt;/number&gt;&lt;keywords&gt;&lt;keyword&gt;HFD/STZ diabetes&lt;/keyword&gt;&lt;keyword&gt;Oxidative stress&lt;/keyword&gt;&lt;keyword&gt;Proinflammatory cytokines&lt;/keyword&gt;&lt;keyword&gt;Lipid peroxidation&lt;/keyword&gt;&lt;keyword&gt;Hesperidin and naringin&lt;/keyword&gt;&lt;/keywords&gt;&lt;dates&gt;&lt;year&gt;2012&lt;/year&gt;&lt;pub-dates&gt;&lt;date&gt;2012/11/01/&lt;/date&gt;&lt;/pub-dates&gt;&lt;/dates&gt;&lt;isbn&gt;1056-8727&lt;/isbn&gt;&lt;urls&gt;&lt;related-urls&gt;&lt;url&gt;https://www.sciencedirect.com/science/article/pii/S1056872712001778&lt;/url&gt;&lt;/related-urls&gt;&lt;/urls&gt;&lt;electronic-resource-num&gt;https://doi.org/10.1016/j.jdiacomp.2012.06.001&lt;/electronic-resource-num&gt;&lt;/record&gt;&lt;/Cite&gt;&lt;/EndNote&gt;</w:instrText>
            </w:r>
            <w:r>
              <w:rPr>
                <w:rFonts w:ascii="Book Antiqua" w:hAnsi="Book Antiqua"/>
                <w:vertAlign w:val="superscript"/>
              </w:rPr>
              <w:fldChar w:fldCharType="separate"/>
            </w:r>
            <w:r>
              <w:rPr>
                <w:rFonts w:ascii="Book Antiqua" w:hAnsi="Book Antiqua"/>
                <w:vertAlign w:val="superscript"/>
              </w:rPr>
              <w:t>[185]</w:t>
            </w:r>
            <w:r>
              <w:rPr>
                <w:rFonts w:ascii="Book Antiqua" w:hAnsi="Book Antiqua"/>
                <w:vertAlign w:val="superscript"/>
              </w:rPr>
              <w:fldChar w:fldCharType="end"/>
            </w:r>
          </w:p>
        </w:tc>
      </w:tr>
      <w:tr w:rsidR="00BA6BF8" w14:paraId="73B29B67" w14:textId="77777777">
        <w:trPr>
          <w:cantSplit/>
        </w:trPr>
        <w:tc>
          <w:tcPr>
            <w:tcW w:w="2143" w:type="dxa"/>
            <w:vAlign w:val="center"/>
          </w:tcPr>
          <w:p w14:paraId="708A90B3" w14:textId="77777777" w:rsidR="00BA6BF8" w:rsidRDefault="00000000">
            <w:pPr>
              <w:snapToGrid w:val="0"/>
              <w:spacing w:line="360" w:lineRule="auto"/>
              <w:jc w:val="both"/>
              <w:rPr>
                <w:rFonts w:ascii="Book Antiqua" w:hAnsi="Book Antiqua"/>
              </w:rPr>
            </w:pPr>
            <w:r>
              <w:rPr>
                <w:rFonts w:ascii="Book Antiqua" w:hAnsi="Book Antiqua"/>
              </w:rPr>
              <w:t>Naringin</w:t>
            </w:r>
          </w:p>
        </w:tc>
        <w:tc>
          <w:tcPr>
            <w:tcW w:w="3113" w:type="dxa"/>
            <w:vAlign w:val="center"/>
          </w:tcPr>
          <w:p w14:paraId="0EDE2601" w14:textId="77777777" w:rsidR="00BA6BF8" w:rsidRDefault="00000000">
            <w:pPr>
              <w:snapToGrid w:val="0"/>
              <w:spacing w:line="360" w:lineRule="auto"/>
              <w:jc w:val="both"/>
              <w:rPr>
                <w:rFonts w:ascii="Book Antiqua" w:hAnsi="Book Antiqua"/>
              </w:rPr>
            </w:pPr>
            <w:r>
              <w:rPr>
                <w:rFonts w:ascii="Book Antiqua" w:hAnsi="Book Antiqua"/>
                <w:color w:val="202124"/>
                <w:shd w:val="clear" w:color="auto" w:fill="FFFFFF"/>
              </w:rPr>
              <w:t>Skin of grapefruit and orange</w:t>
            </w:r>
          </w:p>
        </w:tc>
        <w:tc>
          <w:tcPr>
            <w:tcW w:w="2970" w:type="dxa"/>
            <w:vAlign w:val="center"/>
          </w:tcPr>
          <w:p w14:paraId="7B64BB51" w14:textId="77777777" w:rsidR="00BA6BF8" w:rsidRDefault="00000000">
            <w:pPr>
              <w:snapToGrid w:val="0"/>
              <w:spacing w:line="360" w:lineRule="auto"/>
              <w:jc w:val="both"/>
              <w:rPr>
                <w:rFonts w:ascii="Book Antiqua" w:hAnsi="Book Antiqua"/>
              </w:rPr>
            </w:pPr>
            <w:r>
              <w:rPr>
                <w:rFonts w:ascii="Book Antiqua" w:hAnsi="Book Antiqua"/>
              </w:rPr>
              <w:t>↓Hepatic glucose production, ↓oxidative stress, ↑glucose uptake</w:t>
            </w:r>
          </w:p>
        </w:tc>
        <w:tc>
          <w:tcPr>
            <w:tcW w:w="1350" w:type="dxa"/>
            <w:vAlign w:val="center"/>
          </w:tcPr>
          <w:p w14:paraId="62731327" w14:textId="77777777" w:rsidR="00BA6BF8" w:rsidRDefault="00000000">
            <w:pPr>
              <w:snapToGrid w:val="0"/>
              <w:spacing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&lt;EndNote&gt;&lt;Cite&gt;&lt;Author&gt;Mahmoud&lt;/Author&gt;&lt;Year&gt;2012&lt;/Year&gt;&lt;RecNum&gt;628&lt;/RecNum&gt;&lt;DisplayText&gt;[185]&lt;/DisplayText&gt;&lt;record&gt;&lt;rec-number&gt;628&lt;/rec-number&gt;&lt;foreign-keys&gt;&lt;key app="EN" db-id="w259sedv5dvevhertempp0wjwxf5apt95z5a" timestamp="1671314286"&gt;628&lt;/key&gt;&lt;/foreign-keys&gt;&lt;ref-type name="Journal Article"&gt;17&lt;/ref-type&gt;&lt;contributors&gt;&lt;authors&gt;&lt;author&gt;Mahmoud, Ayman M.&lt;/author&gt;&lt;author&gt;Ashour, Mohamed B.&lt;/author&gt;&lt;author&gt;Abdel-Moneim, Adel&lt;/author&gt;&lt;author&gt;Ahmed, Osama M.&lt;/author&gt;&lt;/authors&gt;&lt;/contributors&gt;&lt;titles&gt;&lt;title&gt;Hesperidin and naringin attenuate hyperglycemia-mediated oxidative stress and proinflammatory cytokine production in high fat fed/streptozotocin-induced type 2 diabetic rats&lt;/title&gt;&lt;secondary-title&gt;Journal of Diabetes and its Complications&lt;/secondary-title&gt;&lt;/titles&gt;&lt;periodical&gt;&lt;full-title&gt;Journal of Diabetes and its Complications&lt;/full-title&gt;&lt;/periodical&gt;&lt;pages&gt;483-490&lt;/pages&gt;&lt;volume&gt;26&lt;/volume&gt;&lt;number&gt;6&lt;/number&gt;&lt;keywords&gt;&lt;keyword&gt;HFD/STZ diabetes&lt;/keyword&gt;&lt;keyword&gt;Oxidative stress&lt;/keyword&gt;&lt;keyword&gt;Proinflammatory cytokines&lt;/keyword&gt;&lt;keyword&gt;Lipid peroxidation&lt;/keyword&gt;&lt;keyword&gt;Hesperidin and naringin&lt;/keyword&gt;&lt;/keywords&gt;&lt;dates&gt;&lt;year&gt;2012&lt;/year&gt;&lt;pub-dates&gt;&lt;date&gt;2012/11/01/&lt;/date&gt;&lt;/pub-dates&gt;&lt;/dates&gt;&lt;isbn&gt;1056-8727&lt;/isbn&gt;&lt;urls&gt;&lt;related-urls&gt;&lt;url&gt;https://www.sciencedirect.com/science/article/pii/S1056872712001778&lt;/url&gt;&lt;/related-urls&gt;&lt;/urls&gt;&lt;electronic-resource-num&gt;https://doi.org/10.1016/j.jdiacomp.2012.06.001&lt;/electronic-resource-num&gt;&lt;/record&gt;&lt;/Cite&gt;&lt;/EndNote&gt;</w:instrText>
            </w:r>
            <w:r>
              <w:rPr>
                <w:rFonts w:ascii="Book Antiqua" w:hAnsi="Book Antiqua"/>
                <w:vertAlign w:val="superscript"/>
              </w:rPr>
              <w:fldChar w:fldCharType="separate"/>
            </w:r>
            <w:r>
              <w:rPr>
                <w:rFonts w:ascii="Book Antiqua" w:hAnsi="Book Antiqua"/>
                <w:vertAlign w:val="superscript"/>
              </w:rPr>
              <w:t>[185]</w:t>
            </w:r>
            <w:r>
              <w:rPr>
                <w:rFonts w:ascii="Book Antiqua" w:hAnsi="Book Antiqua"/>
                <w:vertAlign w:val="superscript"/>
              </w:rPr>
              <w:fldChar w:fldCharType="end"/>
            </w:r>
          </w:p>
        </w:tc>
      </w:tr>
      <w:tr w:rsidR="00BA6BF8" w14:paraId="36CE2846" w14:textId="77777777">
        <w:trPr>
          <w:cantSplit/>
        </w:trPr>
        <w:tc>
          <w:tcPr>
            <w:tcW w:w="2143" w:type="dxa"/>
            <w:vAlign w:val="center"/>
          </w:tcPr>
          <w:p w14:paraId="2600AF43" w14:textId="77777777" w:rsidR="00BA6BF8" w:rsidRDefault="00000000">
            <w:pPr>
              <w:snapToGrid w:val="0"/>
              <w:spacing w:line="360" w:lineRule="auto"/>
              <w:jc w:val="both"/>
              <w:rPr>
                <w:rFonts w:ascii="Book Antiqua" w:hAnsi="Book Antiqua"/>
              </w:rPr>
            </w:pPr>
            <w:r>
              <w:rPr>
                <w:rFonts w:ascii="Book Antiqua" w:hAnsi="Book Antiqua"/>
              </w:rPr>
              <w:t>Naringenin</w:t>
            </w:r>
          </w:p>
        </w:tc>
        <w:tc>
          <w:tcPr>
            <w:tcW w:w="3113" w:type="dxa"/>
            <w:vAlign w:val="center"/>
          </w:tcPr>
          <w:p w14:paraId="03506619" w14:textId="77777777" w:rsidR="00BA6BF8" w:rsidRDefault="00000000">
            <w:pPr>
              <w:snapToGrid w:val="0"/>
              <w:spacing w:line="360" w:lineRule="auto"/>
              <w:jc w:val="both"/>
              <w:rPr>
                <w:rFonts w:ascii="Book Antiqua" w:hAnsi="Book Antiqua"/>
              </w:rPr>
            </w:pPr>
            <w:r>
              <w:rPr>
                <w:rFonts w:ascii="Book Antiqua" w:hAnsi="Book Antiqua"/>
                <w:color w:val="2E2E2E"/>
              </w:rPr>
              <w:t>Citrus fruits, tomatoes, cherries, grapefruit, cocoa</w:t>
            </w:r>
          </w:p>
        </w:tc>
        <w:tc>
          <w:tcPr>
            <w:tcW w:w="2970" w:type="dxa"/>
            <w:vAlign w:val="center"/>
          </w:tcPr>
          <w:p w14:paraId="3E698EDF" w14:textId="77777777" w:rsidR="00BA6BF8" w:rsidRDefault="00000000">
            <w:pPr>
              <w:snapToGrid w:val="0"/>
              <w:spacing w:line="360" w:lineRule="auto"/>
              <w:jc w:val="both"/>
              <w:rPr>
                <w:rFonts w:ascii="Book Antiqua" w:hAnsi="Book Antiqua"/>
              </w:rPr>
            </w:pPr>
            <w:r>
              <w:rPr>
                <w:rFonts w:ascii="Book Antiqua" w:hAnsi="Book Antiqua"/>
              </w:rPr>
              <w:t>↑Glucose uptake, ↓glucose intolerance and reduced blood glucose levels</w:t>
            </w:r>
          </w:p>
        </w:tc>
        <w:tc>
          <w:tcPr>
            <w:tcW w:w="1350" w:type="dxa"/>
            <w:vAlign w:val="center"/>
          </w:tcPr>
          <w:p w14:paraId="729AC6EB" w14:textId="77777777" w:rsidR="00BA6BF8" w:rsidRDefault="00000000">
            <w:pPr>
              <w:snapToGrid w:val="0"/>
              <w:spacing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&lt;EndNote&gt;&lt;Cite&gt;&lt;Author&gt;Singh&lt;/Author&gt;&lt;Year&gt;2018&lt;/Year&gt;&lt;RecNum&gt;629&lt;/RecNum&gt;&lt;DisplayText&gt;[186]&lt;/DisplayText&gt;&lt;record&gt;&lt;rec-number&gt;629&lt;/rec-number&gt;&lt;foreign-keys&gt;&lt;key app="EN" db-id="w259sedv5dvevhertempp0wjwxf5apt95z5a" timestamp="1671314295"&gt;629&lt;/key&gt;&lt;/foreign-keys&gt;&lt;ref-type name="Journal Article"&gt;17&lt;/ref-type&gt;&lt;contributors&gt;&lt;authors&gt;&lt;author&gt;Singh, Ashok K.&lt;/author&gt;&lt;author&gt;Raj, Vinit&lt;/author&gt;&lt;author&gt;Keshari, Amit K.&lt;/author&gt;&lt;author&gt;Rai, Amit&lt;/author&gt;&lt;author&gt;Kumar, Pranesh&lt;/author&gt;&lt;author&gt;Rawat, Atul&lt;/author&gt;&lt;author&gt;Maity, Biswanath&lt;/author&gt;&lt;author&gt;Kumar, Dinesh&lt;/author&gt;&lt;author&gt;Prakash, Anand&lt;/author&gt;&lt;author&gt;De, Arnab&lt;/author&gt;&lt;author&gt;Samanta, Amalesh&lt;/author&gt;&lt;author&gt;Bhattacharya, Bolay&lt;/author&gt;&lt;author&gt;Saha, Sudipta&lt;/author&gt;&lt;/authors&gt;&lt;/contributors&gt;&lt;titles&gt;&lt;title&gt;Isolated mangiferin and naringenin exert antidiabetic effect via PPARγ/GLUT4 dual agonistic action with strong metabolic regulation&lt;/title&gt;&lt;secondary-title&gt;Chemico-Biological Interactions&lt;/secondary-title&gt;&lt;/titles&gt;&lt;periodical&gt;&lt;full-title&gt;Chemico-Biological Interactions&lt;/full-title&gt;&lt;/periodical&gt;&lt;pages&gt;33-44&lt;/pages&gt;&lt;volume&gt;280&lt;/volume&gt;&lt;keywords&gt;&lt;keyword&gt;Mangiferin and naringenin&lt;/keyword&gt;&lt;keyword&gt;Antidiabetic properties&lt;/keyword&gt;&lt;keyword&gt;Molecular docking&lt;/keyword&gt;&lt;keyword&gt;PPAR/GLUT4 signals&lt;/keyword&gt;&lt;keyword&gt;NMR-Based metabolomics&lt;/keyword&gt;&lt;/keywords&gt;&lt;dates&gt;&lt;year&gt;2018&lt;/year&gt;&lt;pub-dates&gt;&lt;date&gt;2018/01/25/&lt;/date&gt;&lt;/pub-dates&gt;&lt;/dates&gt;&lt;isbn&gt;0009-2797&lt;/isbn&gt;&lt;urls&gt;&lt;related-urls&gt;&lt;url&gt;https://www.sciencedirect.com/science/article/pii/S0009279717309912&lt;/url&gt;&lt;/related-urls&gt;&lt;/urls&gt;&lt;electronic-resource-num&gt;https://doi.org/10.1016/j.cbi.2017.12.007&lt;/electronic-resource-num&gt;&lt;/record&gt;&lt;/Cite&gt;&lt;/EndNote&gt;</w:instrText>
            </w:r>
            <w:r>
              <w:rPr>
                <w:rFonts w:ascii="Book Antiqua" w:hAnsi="Book Antiqua"/>
                <w:vertAlign w:val="superscript"/>
              </w:rPr>
              <w:fldChar w:fldCharType="separate"/>
            </w:r>
            <w:r>
              <w:rPr>
                <w:rFonts w:ascii="Book Antiqua" w:hAnsi="Book Antiqua"/>
                <w:vertAlign w:val="superscript"/>
              </w:rPr>
              <w:t>[186]</w:t>
            </w:r>
            <w:r>
              <w:rPr>
                <w:rFonts w:ascii="Book Antiqua" w:hAnsi="Book Antiqua"/>
                <w:vertAlign w:val="superscript"/>
              </w:rPr>
              <w:fldChar w:fldCharType="end"/>
            </w:r>
          </w:p>
        </w:tc>
      </w:tr>
      <w:tr w:rsidR="00BA6BF8" w14:paraId="0FBBD1F8" w14:textId="77777777">
        <w:trPr>
          <w:cantSplit/>
        </w:trPr>
        <w:tc>
          <w:tcPr>
            <w:tcW w:w="2143" w:type="dxa"/>
            <w:vAlign w:val="center"/>
          </w:tcPr>
          <w:p w14:paraId="1DEBC57F" w14:textId="77777777" w:rsidR="00BA6BF8" w:rsidRDefault="00000000">
            <w:pPr>
              <w:snapToGrid w:val="0"/>
              <w:spacing w:line="360" w:lineRule="auto"/>
              <w:jc w:val="both"/>
              <w:rPr>
                <w:rFonts w:ascii="Book Antiqua" w:hAnsi="Book Antiqua"/>
                <w:lang w:val="it-IT"/>
              </w:rPr>
            </w:pPr>
            <w:r>
              <w:rPr>
                <w:rFonts w:ascii="Book Antiqua" w:hAnsi="Book Antiqua"/>
                <w:lang w:val="it-IT"/>
              </w:rPr>
              <w:t>Vitamin A, D, and E</w:t>
            </w:r>
          </w:p>
        </w:tc>
        <w:tc>
          <w:tcPr>
            <w:tcW w:w="3113" w:type="dxa"/>
            <w:vAlign w:val="center"/>
          </w:tcPr>
          <w:p w14:paraId="79045839" w14:textId="77777777" w:rsidR="00BA6BF8" w:rsidRDefault="00000000">
            <w:pPr>
              <w:snapToGrid w:val="0"/>
              <w:spacing w:line="360" w:lineRule="auto"/>
              <w:jc w:val="both"/>
              <w:rPr>
                <w:rFonts w:ascii="Book Antiqua" w:hAnsi="Book Antiqua"/>
              </w:rPr>
            </w:pPr>
            <w:r>
              <w:rPr>
                <w:rFonts w:ascii="Book Antiqua" w:hAnsi="Book Antiqua"/>
                <w:color w:val="202124"/>
                <w:shd w:val="clear" w:color="auto" w:fill="FFFFFF"/>
              </w:rPr>
              <w:t>Eggs, yellow, red, and green (leafy) vegetables, such as spinach, carrots, sweet potatoes and red peppers. yellow fruit, such as mango, papaya and apricots</w:t>
            </w:r>
          </w:p>
        </w:tc>
        <w:tc>
          <w:tcPr>
            <w:tcW w:w="2970" w:type="dxa"/>
            <w:vAlign w:val="center"/>
          </w:tcPr>
          <w:p w14:paraId="36B980AA" w14:textId="77777777" w:rsidR="00BA6BF8" w:rsidRDefault="00000000">
            <w:pPr>
              <w:snapToGrid w:val="0"/>
              <w:spacing w:line="360" w:lineRule="auto"/>
              <w:jc w:val="both"/>
              <w:rPr>
                <w:rFonts w:ascii="Book Antiqua" w:hAnsi="Book Antiqua"/>
                <w:lang w:val="it-IT"/>
              </w:rPr>
            </w:pPr>
            <w:r>
              <w:rPr>
                <w:rFonts w:ascii="Book Antiqua" w:hAnsi="Book Antiqua"/>
                <w:lang w:val="it-IT"/>
              </w:rPr>
              <w:t>↓Glucose intolerance, ↓hyperglycemia</w:t>
            </w:r>
          </w:p>
        </w:tc>
        <w:tc>
          <w:tcPr>
            <w:tcW w:w="1350" w:type="dxa"/>
            <w:vAlign w:val="center"/>
          </w:tcPr>
          <w:p w14:paraId="0589BA46" w14:textId="77777777" w:rsidR="00BA6BF8" w:rsidRDefault="00000000">
            <w:pPr>
              <w:snapToGrid w:val="0"/>
              <w:spacing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&lt;EndNote&gt;&lt;Cite&gt;&lt;Author&gt;Li&lt;/Author&gt;&lt;Year&gt;2019&lt;/Year&gt;&lt;RecNum&gt;626&lt;/RecNum&gt;&lt;DisplayText&gt;[182]&lt;/DisplayText&gt;&lt;record&gt;&lt;rec-number&gt;626&lt;/rec-number&gt;&lt;foreign-keys&gt;&lt;key app="EN" db-id="w259sedv5dvevhertempp0wjwxf5apt95z5a" timestamp="1671314249"&gt;626&lt;/key&gt;&lt;/foreign-keys&gt;&lt;ref-type name="Journal Article"&gt;17&lt;/ref-type&gt;&lt;contributors&gt;&lt;authors&gt;&lt;author&gt;Li, Rongzi&lt;/author&gt;&lt;author&gt;Zhang, Yuxian&lt;/author&gt;&lt;author&gt;Rasool, Suhail&lt;/author&gt;&lt;author&gt;Geetha, Thangiah&lt;/author&gt;&lt;author&gt;Babu, Jeganathan Ramesh&lt;/author&gt;&lt;/authors&gt;&lt;/contributors&gt;&lt;titles&gt;&lt;title&gt;Effects and Underlying Mechanisms of Bioactive Compounds on Type 2 Diabetes Mellitus and Alzheimer’s Disease&lt;/title&gt;&lt;secondary-title&gt;Oxidative Medicine and Cellular Longevity&lt;/secondary-title&gt;&lt;/titles&gt;&lt;periodical&gt;&lt;full-title&gt;Oxidative Medicine and Cellular Longevity&lt;/full-title&gt;&lt;/periodical&gt;&lt;pages&gt;8165707&lt;/pages&gt;&lt;volume&gt;2019&lt;/volume&gt;&lt;dates&gt;&lt;year&gt;2019&lt;/year&gt;&lt;pub-dates&gt;&lt;date&gt;2019/01/17&lt;/date&gt;&lt;/pub-dates&gt;&lt;/dates&gt;&lt;publisher&gt;Hindawi&lt;/publisher&gt;&lt;isbn&gt;1942-0900&lt;/isbn&gt;&lt;urls&gt;&lt;related-urls&gt;&lt;url&gt;https://doi.org/10.1155/2019/8165707&lt;/url&gt;&lt;/related-urls&gt;&lt;/urls&gt;&lt;electronic-resource-num&gt;10.1155/2019/8165707&lt;/electronic-resource-num&gt;&lt;/record&gt;&lt;/Cite&gt;&lt;/EndNote&gt;</w:instrText>
            </w:r>
            <w:r>
              <w:rPr>
                <w:rFonts w:ascii="Book Antiqua" w:hAnsi="Book Antiqua"/>
                <w:vertAlign w:val="superscript"/>
              </w:rPr>
              <w:fldChar w:fldCharType="separate"/>
            </w:r>
            <w:r>
              <w:rPr>
                <w:rFonts w:ascii="Book Antiqua" w:hAnsi="Book Antiqua"/>
                <w:vertAlign w:val="superscript"/>
              </w:rPr>
              <w:t>[182]</w:t>
            </w:r>
            <w:r>
              <w:rPr>
                <w:rFonts w:ascii="Book Antiqua" w:hAnsi="Book Antiqua"/>
                <w:vertAlign w:val="superscript"/>
              </w:rPr>
              <w:fldChar w:fldCharType="end"/>
            </w:r>
          </w:p>
        </w:tc>
      </w:tr>
      <w:tr w:rsidR="00BA6BF8" w14:paraId="0B4C4DFC" w14:textId="77777777">
        <w:trPr>
          <w:cantSplit/>
        </w:trPr>
        <w:tc>
          <w:tcPr>
            <w:tcW w:w="2143" w:type="dxa"/>
            <w:vAlign w:val="center"/>
          </w:tcPr>
          <w:p w14:paraId="3372D5F6" w14:textId="77777777" w:rsidR="00BA6BF8" w:rsidRDefault="00000000">
            <w:pPr>
              <w:snapToGrid w:val="0"/>
              <w:spacing w:line="360" w:lineRule="auto"/>
              <w:jc w:val="both"/>
              <w:rPr>
                <w:rFonts w:ascii="Book Antiqua" w:hAnsi="Book Antiqua"/>
              </w:rPr>
            </w:pPr>
            <w:r>
              <w:rPr>
                <w:rFonts w:ascii="Book Antiqua" w:hAnsi="Book Antiqua"/>
              </w:rPr>
              <w:t>Fisetin</w:t>
            </w:r>
          </w:p>
        </w:tc>
        <w:tc>
          <w:tcPr>
            <w:tcW w:w="3113" w:type="dxa"/>
            <w:vAlign w:val="center"/>
          </w:tcPr>
          <w:p w14:paraId="5787010D" w14:textId="77777777" w:rsidR="00BA6BF8" w:rsidRDefault="00000000">
            <w:pPr>
              <w:snapToGrid w:val="0"/>
              <w:spacing w:line="360" w:lineRule="auto"/>
              <w:jc w:val="both"/>
              <w:rPr>
                <w:rFonts w:ascii="Book Antiqua" w:hAnsi="Book Antiqua"/>
              </w:rPr>
            </w:pPr>
            <w:r>
              <w:rPr>
                <w:rFonts w:ascii="Book Antiqua" w:hAnsi="Book Antiqua"/>
                <w:color w:val="202124"/>
                <w:shd w:val="clear" w:color="auto" w:fill="FFFFFF"/>
              </w:rPr>
              <w:t>Strawberry, apple, persimmon, grape, onion, and cucumber</w:t>
            </w:r>
          </w:p>
        </w:tc>
        <w:tc>
          <w:tcPr>
            <w:tcW w:w="2970" w:type="dxa"/>
            <w:vAlign w:val="center"/>
          </w:tcPr>
          <w:p w14:paraId="714042E2" w14:textId="77777777" w:rsidR="00BA6BF8" w:rsidRDefault="00000000">
            <w:pPr>
              <w:snapToGrid w:val="0"/>
              <w:spacing w:line="360" w:lineRule="auto"/>
              <w:jc w:val="both"/>
              <w:rPr>
                <w:rFonts w:ascii="Book Antiqua" w:hAnsi="Book Antiqua"/>
              </w:rPr>
            </w:pPr>
            <w:r>
              <w:rPr>
                <w:rFonts w:ascii="Book Antiqua" w:hAnsi="Book Antiqua"/>
              </w:rPr>
              <w:t>↓Hepatic glucose and ↑glucose metabolism</w:t>
            </w:r>
          </w:p>
        </w:tc>
        <w:tc>
          <w:tcPr>
            <w:tcW w:w="1350" w:type="dxa"/>
            <w:vAlign w:val="center"/>
          </w:tcPr>
          <w:p w14:paraId="4952DF46" w14:textId="77777777" w:rsidR="00BA6BF8" w:rsidRDefault="00000000">
            <w:pPr>
              <w:snapToGrid w:val="0"/>
              <w:spacing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&lt;EndNote&gt;&lt;Cite&gt;&lt;Author&gt;Prasath&lt;/Author&gt;&lt;Year&gt;2014&lt;/Year&gt;&lt;RecNum&gt;630&lt;/RecNum&gt;&lt;DisplayText&gt;[187]&lt;/DisplayText&gt;&lt;record&gt;&lt;rec-number&gt;630&lt;/rec-number&gt;&lt;foreign-keys&gt;&lt;key app="EN" db-id="w259sedv5dvevhertempp0wjwxf5apt95z5a" timestamp="1671314303"&gt;630&lt;/key&gt;&lt;/foreign-keys&gt;&lt;ref-type name="Journal Article"&gt;17&lt;/ref-type&gt;&lt;contributors&gt;&lt;authors&gt;&lt;author&gt;Prasath, Gopalan Sriram&lt;/author&gt;&lt;author&gt;Pillai, Subramanian Iyyam&lt;/author&gt;&lt;author&gt;Subramanian, Sorimuthu Pillai&lt;/author&gt;&lt;/authors&gt;&lt;/contributors&gt;&lt;titles&gt;&lt;title&gt;Fisetin improves glucose homeostasis through the inhibition of gluconeogenic enzymes in hepatic tissues of streptozotocin induced diabetic rats&lt;/title&gt;&lt;secondary-title&gt;European Journal of Pharmacology&lt;/secondary-title&gt;&lt;/titles&gt;&lt;periodical&gt;&lt;full-title&gt;European Journal of Pharmacology&lt;/full-title&gt;&lt;/periodical&gt;&lt;pages&gt;248-254&lt;/pages&gt;&lt;volume&gt;740&lt;/volume&gt;&lt;keywords&gt;&lt;keyword&gt;Fisetin&lt;/keyword&gt;&lt;keyword&gt;STZ diabetes&lt;/keyword&gt;&lt;keyword&gt;PEPCK&lt;/keyword&gt;&lt;keyword&gt;Glucose 6 phosphatase&lt;/keyword&gt;&lt;keyword&gt;Immunoblotting&lt;/keyword&gt;&lt;keyword&gt;RT-PCR&lt;/keyword&gt;&lt;/keywords&gt;&lt;dates&gt;&lt;year&gt;2014&lt;/year&gt;&lt;pub-dates&gt;&lt;date&gt;2014/10/05/&lt;/date&gt;&lt;/pub-dates&gt;&lt;/dates&gt;&lt;isbn&gt;0014-2999&lt;/isbn&gt;&lt;urls&gt;&lt;related-urls&gt;&lt;url&gt;https://www.sciencedirect.com/science/article/pii/S0014299914005354&lt;/url&gt;&lt;/related-urls&gt;&lt;/urls&gt;&lt;electronic-resource-num&gt;https://doi.org/10.1016/j.ejphar.2014.06.065&lt;/electronic-resource-num&gt;&lt;/record&gt;&lt;/Cite&gt;&lt;/EndNote&gt;</w:instrText>
            </w:r>
            <w:r>
              <w:rPr>
                <w:rFonts w:ascii="Book Antiqua" w:hAnsi="Book Antiqua"/>
                <w:vertAlign w:val="superscript"/>
              </w:rPr>
              <w:fldChar w:fldCharType="separate"/>
            </w:r>
            <w:r>
              <w:rPr>
                <w:rFonts w:ascii="Book Antiqua" w:hAnsi="Book Antiqua"/>
                <w:vertAlign w:val="superscript"/>
              </w:rPr>
              <w:t>[187]</w:t>
            </w:r>
            <w:r>
              <w:rPr>
                <w:rFonts w:ascii="Book Antiqua" w:hAnsi="Book Antiqua"/>
                <w:vertAlign w:val="superscript"/>
              </w:rPr>
              <w:fldChar w:fldCharType="end"/>
            </w:r>
          </w:p>
        </w:tc>
      </w:tr>
      <w:tr w:rsidR="00BA6BF8" w14:paraId="63B9563A" w14:textId="77777777">
        <w:trPr>
          <w:cantSplit/>
        </w:trPr>
        <w:tc>
          <w:tcPr>
            <w:tcW w:w="2143" w:type="dxa"/>
            <w:vAlign w:val="center"/>
          </w:tcPr>
          <w:p w14:paraId="09586FF4" w14:textId="77777777" w:rsidR="00BA6BF8" w:rsidRDefault="00000000">
            <w:pPr>
              <w:snapToGrid w:val="0"/>
              <w:spacing w:line="360" w:lineRule="auto"/>
              <w:jc w:val="both"/>
              <w:rPr>
                <w:rFonts w:ascii="Book Antiqua" w:hAnsi="Book Antiqua"/>
              </w:rPr>
            </w:pPr>
            <w:r>
              <w:rPr>
                <w:rFonts w:ascii="Book Antiqua" w:hAnsi="Book Antiqua"/>
              </w:rPr>
              <w:t>Flavonoids</w:t>
            </w:r>
          </w:p>
        </w:tc>
        <w:tc>
          <w:tcPr>
            <w:tcW w:w="3113" w:type="dxa"/>
            <w:vAlign w:val="center"/>
          </w:tcPr>
          <w:p w14:paraId="20CB87FC" w14:textId="77777777" w:rsidR="00BA6BF8" w:rsidRDefault="00000000">
            <w:pPr>
              <w:snapToGrid w:val="0"/>
              <w:spacing w:line="360" w:lineRule="auto"/>
              <w:jc w:val="both"/>
              <w:rPr>
                <w:rFonts w:ascii="Book Antiqua" w:hAnsi="Book Antiqua"/>
                <w:color w:val="202124"/>
                <w:shd w:val="clear" w:color="auto" w:fill="FFFFFF"/>
              </w:rPr>
            </w:pPr>
            <w:r>
              <w:rPr>
                <w:rFonts w:ascii="Book Antiqua" w:hAnsi="Book Antiqua"/>
                <w:color w:val="000000"/>
                <w:shd w:val="clear" w:color="auto" w:fill="FFFFFF"/>
              </w:rPr>
              <w:t>Coffee, guava tea, whortleberry, olive oil, propolis, chocolate, and cocoa</w:t>
            </w:r>
          </w:p>
        </w:tc>
        <w:tc>
          <w:tcPr>
            <w:tcW w:w="2970" w:type="dxa"/>
            <w:vAlign w:val="center"/>
          </w:tcPr>
          <w:p w14:paraId="3B2C85B2" w14:textId="77777777" w:rsidR="00BA6BF8" w:rsidRDefault="00000000">
            <w:pPr>
              <w:snapToGrid w:val="0"/>
              <w:spacing w:line="360" w:lineRule="auto"/>
              <w:jc w:val="both"/>
              <w:rPr>
                <w:rFonts w:ascii="Book Antiqua" w:hAnsi="Book Antiqua"/>
              </w:rPr>
            </w:pPr>
            <w:r>
              <w:rPr>
                <w:rFonts w:ascii="Book Antiqua" w:hAnsi="Book Antiqua"/>
              </w:rPr>
              <w:t>↓Glucose absorption, inhibition of advanced glycation end products</w:t>
            </w:r>
          </w:p>
        </w:tc>
        <w:tc>
          <w:tcPr>
            <w:tcW w:w="1350" w:type="dxa"/>
            <w:vAlign w:val="center"/>
          </w:tcPr>
          <w:p w14:paraId="3611CB84" w14:textId="77777777" w:rsidR="00BA6BF8" w:rsidRDefault="00000000">
            <w:pPr>
              <w:snapToGrid w:val="0"/>
              <w:spacing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&lt;EndNote&gt;&lt;Cite&gt;&lt;Author&gt;Loureiro&lt;/Author&gt;&lt;Year&gt;2019&lt;/Year&gt;&lt;RecNum&gt;690&lt;/RecNum&gt;&lt;DisplayText&gt;[188]&lt;/DisplayText&gt;&lt;record&gt;&lt;rec-number&gt;690&lt;/rec-number&gt;&lt;foreign-keys&gt;&lt;key app="EN" db-id="w259sedv5dvevhertempp0wjwxf5apt95z5a" timestamp="1671567831"&gt;690&lt;/key&gt;&lt;/foreign-keys&gt;&lt;ref-type name="Journal Article"&gt;17&lt;/ref-type&gt;&lt;contributors&gt;&lt;authors&gt;&lt;author&gt;Loureiro, Guilherme&lt;/author&gt;&lt;author&gt;Martel, Fátima&lt;/author&gt;&lt;/authors&gt;&lt;/contributors&gt;&lt;titles&gt;&lt;title&gt;The effect of dietary polyphenols on intestinal absorption of glucose and fructose: Relation with obesity and type 2 diabetes&lt;/title&gt;&lt;secondary-title&gt;Food Reviews International&lt;/secondary-title&gt;&lt;/titles&gt;&lt;periodical&gt;&lt;full-title&gt;Food Reviews International&lt;/full-title&gt;&lt;/periodical&gt;&lt;pages&gt;390-406&lt;/pages&gt;&lt;volume&gt;35&lt;/volume&gt;&lt;number&gt;4&lt;/number&gt;&lt;dates&gt;&lt;year&gt;2019&lt;/year&gt;&lt;pub-dates&gt;&lt;date&gt;2019/05/19&lt;/date&gt;&lt;/pub-dates&gt;&lt;/dates&gt;&lt;publisher&gt;Taylor &amp;amp; Francis&lt;/publisher&gt;&lt;isbn&gt;8755-9129&lt;/isbn&gt;&lt;urls&gt;&lt;related-urls&gt;&lt;url&gt;https://doi.org/10.1080/87559129.2019.1573432&lt;/url&gt;&lt;/related-urls&gt;&lt;/urls&gt;&lt;electronic-resource-num&gt;10.1080/87559129.2019.1573432&lt;/electronic-resource-num&gt;&lt;/record&gt;&lt;/Cite&gt;&lt;/EndNote&gt;</w:instrText>
            </w:r>
            <w:r>
              <w:rPr>
                <w:rFonts w:ascii="Book Antiqua" w:hAnsi="Book Antiqua"/>
                <w:vertAlign w:val="superscript"/>
              </w:rPr>
              <w:fldChar w:fldCharType="separate"/>
            </w:r>
            <w:r>
              <w:rPr>
                <w:rFonts w:ascii="Book Antiqua" w:hAnsi="Book Antiqua"/>
                <w:vertAlign w:val="superscript"/>
              </w:rPr>
              <w:t>[188]</w:t>
            </w:r>
            <w:r>
              <w:rPr>
                <w:rFonts w:ascii="Book Antiqua" w:hAnsi="Book Antiqua"/>
                <w:vertAlign w:val="superscript"/>
              </w:rPr>
              <w:fldChar w:fldCharType="end"/>
            </w:r>
          </w:p>
        </w:tc>
      </w:tr>
      <w:tr w:rsidR="00BA6BF8" w14:paraId="47B9AB00" w14:textId="77777777">
        <w:trPr>
          <w:cantSplit/>
        </w:trPr>
        <w:tc>
          <w:tcPr>
            <w:tcW w:w="2143" w:type="dxa"/>
            <w:vAlign w:val="center"/>
          </w:tcPr>
          <w:p w14:paraId="582DCFA7" w14:textId="77777777" w:rsidR="00BA6BF8" w:rsidRDefault="00000000">
            <w:pPr>
              <w:snapToGrid w:val="0"/>
              <w:spacing w:line="360" w:lineRule="auto"/>
              <w:jc w:val="both"/>
              <w:rPr>
                <w:rFonts w:ascii="Book Antiqua" w:hAnsi="Book Antiqua"/>
              </w:rPr>
            </w:pPr>
            <w:r>
              <w:rPr>
                <w:rFonts w:ascii="Book Antiqua" w:hAnsi="Book Antiqua"/>
              </w:rPr>
              <w:t>Isoflavones</w:t>
            </w:r>
          </w:p>
        </w:tc>
        <w:tc>
          <w:tcPr>
            <w:tcW w:w="3113" w:type="dxa"/>
            <w:vAlign w:val="center"/>
          </w:tcPr>
          <w:p w14:paraId="708418AD" w14:textId="77777777" w:rsidR="00BA6BF8" w:rsidRDefault="00000000">
            <w:pPr>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Soybean</w:t>
            </w:r>
          </w:p>
        </w:tc>
        <w:tc>
          <w:tcPr>
            <w:tcW w:w="2970" w:type="dxa"/>
            <w:vAlign w:val="center"/>
          </w:tcPr>
          <w:p w14:paraId="16B38AFA" w14:textId="77777777" w:rsidR="00BA6BF8" w:rsidRDefault="00000000">
            <w:pPr>
              <w:snapToGrid w:val="0"/>
              <w:spacing w:line="360" w:lineRule="auto"/>
              <w:jc w:val="both"/>
              <w:rPr>
                <w:rFonts w:ascii="Book Antiqua" w:hAnsi="Book Antiqua"/>
              </w:rPr>
            </w:pPr>
            <w:r>
              <w:rPr>
                <w:rFonts w:ascii="Book Antiqua" w:hAnsi="Book Antiqua"/>
              </w:rPr>
              <w:t>Improves glucose metabolism</w:t>
            </w:r>
          </w:p>
        </w:tc>
        <w:tc>
          <w:tcPr>
            <w:tcW w:w="1350" w:type="dxa"/>
            <w:vAlign w:val="center"/>
          </w:tcPr>
          <w:p w14:paraId="00E7627B" w14:textId="77777777" w:rsidR="00BA6BF8" w:rsidRDefault="00000000">
            <w:pPr>
              <w:snapToGrid w:val="0"/>
              <w:spacing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&lt;EndNote&gt;&lt;Cite&gt;&lt;Author&gt;Liu&lt;/Author&gt;&lt;Year&gt;2018&lt;/Year&gt;&lt;RecNum&gt;691&lt;/RecNum&gt;&lt;DisplayText&gt;[189]&lt;/DisplayText&gt;&lt;record&gt;&lt;rec-number&gt;691&lt;/rec-number&gt;&lt;foreign-keys&gt;&lt;key app="EN" db-id="w259sedv5dvevhertempp0wjwxf5apt95z5a" timestamp="1671567879"&gt;691&lt;/key&gt;&lt;/foreign-keys&gt;&lt;ref-type name="Journal Article"&gt;17&lt;/ref-type&gt;&lt;contributors&gt;&lt;authors&gt;&lt;author&gt;Liu, CL&lt;/author&gt;&lt;author&gt;Yan, L&lt;/author&gt;&lt;author&gt;Cai, KR&lt;/author&gt;&lt;author&gt;Sun, K&lt;/author&gt;&lt;author&gt;Qi, Y&lt;/author&gt;&lt;author&gt;Han, YL&lt;/author&gt;&lt;author&gt;Zhang, XD&lt;/author&gt;&lt;author&gt;Sun, XD&lt;/author&gt;&lt;/authors&gt;&lt;/contributors&gt;&lt;titles&gt;&lt;title&gt;Effects of soybean isoflavones on Wnt/β-catenin and the TGF-β1 signaling pathway in renal tissue of type 2 diabetic rats&lt;/title&gt;&lt;secondary-title&gt;Journal of Biological Regulators and Homeostatic Agents&lt;/secondary-title&gt;&lt;/titles&gt;&lt;periodical&gt;&lt;full-title&gt;Journal of Biological Regulators and Homeostatic Agents&lt;/full-title&gt;&lt;/periodical&gt;&lt;pages&gt;455-464&lt;/pages&gt;&lt;volume&gt;32&lt;/volume&gt;&lt;number&gt;3&lt;/number&gt;&lt;dates&gt;&lt;year&gt;2018&lt;/year&gt;&lt;/dates&gt;&lt;isbn&gt;0393-974X&lt;/isbn&gt;&lt;urls&gt;&lt;/urls&gt;&lt;/record&gt;&lt;/Cite&gt;&lt;/EndNote&gt;</w:instrText>
            </w:r>
            <w:r>
              <w:rPr>
                <w:rFonts w:ascii="Book Antiqua" w:hAnsi="Book Antiqua"/>
                <w:vertAlign w:val="superscript"/>
              </w:rPr>
              <w:fldChar w:fldCharType="separate"/>
            </w:r>
            <w:r>
              <w:rPr>
                <w:rFonts w:ascii="Book Antiqua" w:hAnsi="Book Antiqua"/>
                <w:vertAlign w:val="superscript"/>
              </w:rPr>
              <w:t>[189]</w:t>
            </w:r>
            <w:r>
              <w:rPr>
                <w:rFonts w:ascii="Book Antiqua" w:hAnsi="Book Antiqua"/>
                <w:vertAlign w:val="superscript"/>
              </w:rPr>
              <w:fldChar w:fldCharType="end"/>
            </w:r>
          </w:p>
        </w:tc>
      </w:tr>
      <w:tr w:rsidR="00BA6BF8" w14:paraId="2C7D5869" w14:textId="77777777">
        <w:trPr>
          <w:cantSplit/>
        </w:trPr>
        <w:tc>
          <w:tcPr>
            <w:tcW w:w="2143" w:type="dxa"/>
            <w:vAlign w:val="center"/>
          </w:tcPr>
          <w:p w14:paraId="38E2002F" w14:textId="77777777" w:rsidR="00BA6BF8" w:rsidRDefault="00000000">
            <w:pPr>
              <w:snapToGrid w:val="0"/>
              <w:spacing w:line="360" w:lineRule="auto"/>
              <w:jc w:val="both"/>
              <w:rPr>
                <w:rFonts w:ascii="Book Antiqua" w:hAnsi="Book Antiqua"/>
              </w:rPr>
            </w:pPr>
            <w:r>
              <w:rPr>
                <w:rFonts w:ascii="Book Antiqua" w:hAnsi="Book Antiqua"/>
              </w:rPr>
              <w:t>Catechins</w:t>
            </w:r>
          </w:p>
        </w:tc>
        <w:tc>
          <w:tcPr>
            <w:tcW w:w="3113" w:type="dxa"/>
            <w:vAlign w:val="center"/>
          </w:tcPr>
          <w:p w14:paraId="512DE091" w14:textId="77777777" w:rsidR="00BA6BF8" w:rsidRDefault="00000000">
            <w:pPr>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Tea leaves and red wine</w:t>
            </w:r>
          </w:p>
        </w:tc>
        <w:tc>
          <w:tcPr>
            <w:tcW w:w="2970" w:type="dxa"/>
            <w:vAlign w:val="center"/>
          </w:tcPr>
          <w:p w14:paraId="680CFE2E" w14:textId="77777777" w:rsidR="00BA6BF8" w:rsidRDefault="00000000">
            <w:pPr>
              <w:snapToGrid w:val="0"/>
              <w:spacing w:line="360" w:lineRule="auto"/>
              <w:jc w:val="both"/>
              <w:rPr>
                <w:rFonts w:ascii="Book Antiqua" w:hAnsi="Book Antiqua"/>
              </w:rPr>
            </w:pPr>
            <w:r>
              <w:rPr>
                <w:rFonts w:ascii="Book Antiqua" w:hAnsi="Book Antiqua"/>
              </w:rPr>
              <w:t>Promote insulin sensitivity</w:t>
            </w:r>
          </w:p>
        </w:tc>
        <w:tc>
          <w:tcPr>
            <w:tcW w:w="1350" w:type="dxa"/>
            <w:vAlign w:val="center"/>
          </w:tcPr>
          <w:p w14:paraId="55800CF1" w14:textId="77777777" w:rsidR="00BA6BF8" w:rsidRDefault="00000000">
            <w:pPr>
              <w:snapToGrid w:val="0"/>
              <w:spacing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&lt;EndNote&gt;&lt;Cite&gt;&lt;Author&gt;Li&lt;/Author&gt;&lt;Year&gt;2018&lt;/Year&gt;&lt;RecNum&gt;692&lt;/RecNum&gt;&lt;DisplayText&gt;[190]&lt;/DisplayText&gt;&lt;record&gt;&lt;rec-number&gt;692&lt;/rec-number&gt;&lt;foreign-keys&gt;&lt;key app="EN" db-id="w259sedv5dvevhertempp0wjwxf5apt95z5a" timestamp="1671567995"&gt;692&lt;/key&gt;&lt;/foreign-keys&gt;&lt;ref-type name="Journal Article"&gt;17&lt;/ref-type&gt;&lt;contributors&gt;&lt;authors&gt;&lt;author&gt;Li, Fang&lt;/author&gt;&lt;author&gt;Gao, Chen&lt;/author&gt;&lt;author&gt;Yan, Ping&lt;/author&gt;&lt;author&gt;Zhang, Meng&lt;/author&gt;&lt;author&gt;Wang, Yinghao&lt;/author&gt;&lt;author&gt;Hu, Yue&lt;/author&gt;&lt;author&gt;Wu, Xiaoyun&lt;/author&gt;&lt;author&gt;Wang, Xuanjun&lt;/author&gt;&lt;author&gt;Sheng, Jun&lt;/author&gt;&lt;/authors&gt;&lt;/contributors&gt;&lt;titles&gt;&lt;title&gt;EGCG reduces obesity and white adipose tissue gain partly through AMPK activation in mice&lt;/title&gt;&lt;secondary-title&gt;Frontiers in pharmacology&lt;/secondary-title&gt;&lt;/titles&gt;&lt;periodical&gt;&lt;full-title&gt;Frontiers in pharmacology&lt;/full-title&gt;&lt;/periodical&gt;&lt;pages&gt;1366&lt;/pages&gt;&lt;dates&gt;&lt;year&gt;2018&lt;/year&gt;&lt;/dates&gt;&lt;isbn&gt;1663-9812&lt;/isbn&gt;&lt;urls&gt;&lt;/urls&gt;&lt;/record&gt;&lt;/Cite&gt;&lt;/EndNote&gt;</w:instrText>
            </w:r>
            <w:r>
              <w:rPr>
                <w:rFonts w:ascii="Book Antiqua" w:hAnsi="Book Antiqua"/>
                <w:vertAlign w:val="superscript"/>
              </w:rPr>
              <w:fldChar w:fldCharType="separate"/>
            </w:r>
            <w:r>
              <w:rPr>
                <w:rFonts w:ascii="Book Antiqua" w:hAnsi="Book Antiqua"/>
                <w:vertAlign w:val="superscript"/>
              </w:rPr>
              <w:t>[190]</w:t>
            </w:r>
            <w:r>
              <w:rPr>
                <w:rFonts w:ascii="Book Antiqua" w:hAnsi="Book Antiqua"/>
                <w:vertAlign w:val="superscript"/>
              </w:rPr>
              <w:fldChar w:fldCharType="end"/>
            </w:r>
          </w:p>
        </w:tc>
      </w:tr>
      <w:tr w:rsidR="00BA6BF8" w14:paraId="1B5B1B51" w14:textId="77777777">
        <w:trPr>
          <w:cantSplit/>
        </w:trPr>
        <w:tc>
          <w:tcPr>
            <w:tcW w:w="2143" w:type="dxa"/>
            <w:vAlign w:val="center"/>
          </w:tcPr>
          <w:p w14:paraId="5FB58C55" w14:textId="77777777" w:rsidR="00BA6BF8" w:rsidRDefault="00000000">
            <w:pPr>
              <w:snapToGrid w:val="0"/>
              <w:spacing w:line="360" w:lineRule="auto"/>
              <w:jc w:val="both"/>
              <w:rPr>
                <w:rFonts w:ascii="Book Antiqua" w:hAnsi="Book Antiqua"/>
              </w:rPr>
            </w:pPr>
            <w:r>
              <w:rPr>
                <w:rFonts w:ascii="Book Antiqua" w:hAnsi="Book Antiqua"/>
              </w:rPr>
              <w:lastRenderedPageBreak/>
              <w:t>Hydroxycinnamic acids</w:t>
            </w:r>
          </w:p>
        </w:tc>
        <w:tc>
          <w:tcPr>
            <w:tcW w:w="3113" w:type="dxa"/>
            <w:vAlign w:val="center"/>
          </w:tcPr>
          <w:p w14:paraId="52D59110" w14:textId="77777777" w:rsidR="00BA6BF8" w:rsidRDefault="00000000">
            <w:pPr>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Fruits and vegetables, especially the outer part of ripe fruits</w:t>
            </w:r>
          </w:p>
        </w:tc>
        <w:tc>
          <w:tcPr>
            <w:tcW w:w="2970" w:type="dxa"/>
            <w:vAlign w:val="center"/>
          </w:tcPr>
          <w:p w14:paraId="662AFA23" w14:textId="77777777" w:rsidR="00BA6BF8" w:rsidRDefault="00000000">
            <w:pPr>
              <w:snapToGrid w:val="0"/>
              <w:spacing w:line="360" w:lineRule="auto"/>
              <w:jc w:val="both"/>
              <w:rPr>
                <w:rFonts w:ascii="Book Antiqua" w:hAnsi="Book Antiqua"/>
              </w:rPr>
            </w:pPr>
            <w:r>
              <w:rPr>
                <w:rFonts w:ascii="Book Antiqua" w:hAnsi="Book Antiqua"/>
              </w:rPr>
              <w:t>Promote glucokinase activity</w:t>
            </w:r>
          </w:p>
        </w:tc>
        <w:tc>
          <w:tcPr>
            <w:tcW w:w="1350" w:type="dxa"/>
            <w:vAlign w:val="center"/>
          </w:tcPr>
          <w:p w14:paraId="19CAFD10" w14:textId="77777777" w:rsidR="00BA6BF8" w:rsidRDefault="00000000">
            <w:pPr>
              <w:snapToGrid w:val="0"/>
              <w:spacing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&lt;EndNote&gt;&lt;Cite&gt;&lt;Author&gt;Pei&lt;/Author&gt;&lt;Year&gt;2016&lt;/Year&gt;&lt;RecNum&gt;693&lt;/RecNum&gt;&lt;DisplayText&gt;[191]&lt;/DisplayText&gt;&lt;record&gt;&lt;rec-number&gt;693&lt;/rec-number&gt;&lt;foreign-keys&gt;&lt;key app="EN" db-id="w259sedv5dvevhertempp0wjwxf5apt95z5a" timestamp="1671568085"&gt;693&lt;/key&gt;&lt;/foreign-keys&gt;&lt;ref-type name="Journal Article"&gt;17&lt;/ref-type&gt;&lt;contributors&gt;&lt;authors&gt;&lt;author&gt;Pei, Kehan&lt;/author&gt;&lt;author&gt;Ou, Juanying&lt;/author&gt;&lt;author&gt;Huang, Junqing&lt;/author&gt;&lt;author&gt;Ou, Shiyi&lt;/author&gt;&lt;/authors&gt;&lt;/contributors&gt;&lt;titles&gt;&lt;title&gt;p</w:instrText>
            </w:r>
            <w:r>
              <w:rPr>
                <w:rFonts w:ascii="宋体" w:eastAsia="宋体" w:hAnsi="宋体" w:cs="宋体" w:hint="eastAsia"/>
                <w:vertAlign w:val="superscript"/>
              </w:rPr>
              <w:instrText>‐</w:instrText>
            </w:r>
            <w:r>
              <w:rPr>
                <w:rFonts w:ascii="Book Antiqua" w:hAnsi="Book Antiqua"/>
                <w:vertAlign w:val="superscript"/>
              </w:rPr>
              <w:instrText>Coumaric acid and its conjugates: dietary sources, pharmacokinetic properties and biological activities&lt;/title&gt;&lt;secondary-title&gt;Journal of the Science of Food and Agriculture&lt;/secondary-title&gt;&lt;/titles&gt;&lt;periodical&gt;&lt;full-title&gt;Journal of the Science of Food and Agriculture&lt;/full-title&gt;&lt;/periodical&gt;&lt;pages&gt;2952-2962&lt;/pages&gt;&lt;volume&gt;96&lt;/volume&gt;&lt;number&gt;9&lt;/number&gt;&lt;dates&gt;&lt;year&gt;2016&lt;/year&gt;&lt;/dates&gt;&lt;isbn&gt;0022-5142&lt;/isbn&gt;&lt;urls&gt;&lt;/urls&gt;&lt;/record&gt;&lt;/Cite&gt;&lt;/EndNote&gt;</w:instrText>
            </w:r>
            <w:r>
              <w:rPr>
                <w:rFonts w:ascii="Book Antiqua" w:hAnsi="Book Antiqua"/>
                <w:vertAlign w:val="superscript"/>
              </w:rPr>
              <w:fldChar w:fldCharType="separate"/>
            </w:r>
            <w:r>
              <w:rPr>
                <w:rFonts w:ascii="Book Antiqua" w:hAnsi="Book Antiqua"/>
                <w:vertAlign w:val="superscript"/>
              </w:rPr>
              <w:t>[191]</w:t>
            </w:r>
            <w:r>
              <w:rPr>
                <w:rFonts w:ascii="Book Antiqua" w:hAnsi="Book Antiqua"/>
                <w:vertAlign w:val="superscript"/>
              </w:rPr>
              <w:fldChar w:fldCharType="end"/>
            </w:r>
          </w:p>
        </w:tc>
      </w:tr>
      <w:tr w:rsidR="00BA6BF8" w14:paraId="5402B643" w14:textId="77777777">
        <w:trPr>
          <w:cantSplit/>
        </w:trPr>
        <w:tc>
          <w:tcPr>
            <w:tcW w:w="2143" w:type="dxa"/>
            <w:vAlign w:val="center"/>
          </w:tcPr>
          <w:p w14:paraId="1133B75D" w14:textId="77777777" w:rsidR="00BA6BF8" w:rsidRDefault="00000000">
            <w:pPr>
              <w:snapToGrid w:val="0"/>
              <w:spacing w:line="360" w:lineRule="auto"/>
              <w:jc w:val="both"/>
              <w:rPr>
                <w:rFonts w:ascii="Book Antiqua" w:hAnsi="Book Antiqua"/>
              </w:rPr>
            </w:pPr>
            <w:r>
              <w:rPr>
                <w:rFonts w:ascii="Book Antiqua" w:hAnsi="Book Antiqua"/>
              </w:rPr>
              <w:t>Caffeoylquinic</w:t>
            </w:r>
          </w:p>
        </w:tc>
        <w:tc>
          <w:tcPr>
            <w:tcW w:w="3113" w:type="dxa"/>
            <w:vAlign w:val="center"/>
          </w:tcPr>
          <w:p w14:paraId="080E2276" w14:textId="77777777" w:rsidR="00BA6BF8" w:rsidRDefault="00000000">
            <w:pPr>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Potatoes, eggplants, peaches, prunes, and coffee beans</w:t>
            </w:r>
          </w:p>
        </w:tc>
        <w:tc>
          <w:tcPr>
            <w:tcW w:w="2970" w:type="dxa"/>
            <w:vAlign w:val="center"/>
          </w:tcPr>
          <w:p w14:paraId="214CBAC6" w14:textId="77777777" w:rsidR="00BA6BF8" w:rsidRDefault="00000000">
            <w:pPr>
              <w:snapToGrid w:val="0"/>
              <w:spacing w:line="360" w:lineRule="auto"/>
              <w:jc w:val="both"/>
              <w:rPr>
                <w:rFonts w:ascii="Book Antiqua" w:hAnsi="Book Antiqua"/>
              </w:rPr>
            </w:pPr>
            <w:r>
              <w:rPr>
                <w:rFonts w:ascii="Book Antiqua" w:hAnsi="Book Antiqua"/>
              </w:rPr>
              <w:t>Promote insulin response</w:t>
            </w:r>
          </w:p>
        </w:tc>
        <w:tc>
          <w:tcPr>
            <w:tcW w:w="1350" w:type="dxa"/>
            <w:vAlign w:val="center"/>
          </w:tcPr>
          <w:p w14:paraId="17A5F05C" w14:textId="77777777" w:rsidR="00BA6BF8" w:rsidRDefault="00000000">
            <w:pPr>
              <w:snapToGrid w:val="0"/>
              <w:spacing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&lt;EndNote&gt;&lt;Cite&gt;&lt;Author&gt;Reis&lt;/Author&gt;&lt;Year&gt;2019&lt;/Year&gt;&lt;RecNum&gt;694&lt;/RecNum&gt;&lt;DisplayText&gt;[192]&lt;/DisplayText&gt;&lt;record&gt;&lt;rec-number&gt;694&lt;/rec-number&gt;&lt;foreign-keys&gt;&lt;key app="EN" db-id="w259sedv5dvevhertempp0wjwxf5apt95z5a" timestamp="1671568167"&gt;694&lt;/key&gt;&lt;/foreign-keys&gt;&lt;ref-type name="Journal Article"&gt;17&lt;/ref-type&gt;&lt;contributors&gt;&lt;authors&gt;&lt;author&gt;Reis, Caio EG&lt;/author&gt;&lt;author&gt;Dórea, José G&lt;/author&gt;&lt;author&gt;da Costa, Teresa HM&lt;/author&gt;&lt;/authors&gt;&lt;/contributors&gt;&lt;titles&gt;&lt;title&gt;Effects of coffee consumption on glucose metabolism: A systematic review of clinical trials&lt;/title&gt;&lt;secondary-title&gt;Journal of traditional and complementary medicine&lt;/secondary-title&gt;&lt;/titles&gt;&lt;periodical&gt;&lt;full-title&gt;Journal of traditional and complementary medicine&lt;/full-title&gt;&lt;/periodical&gt;&lt;pages&gt;184-191&lt;/pages&gt;&lt;volume&gt;9&lt;/volume&gt;&lt;number&gt;3&lt;/number&gt;&lt;dates&gt;&lt;year&gt;2019&lt;/year&gt;&lt;/dates&gt;&lt;isbn&gt;2225-4110&lt;/isbn&gt;&lt;urls&gt;&lt;/urls&gt;&lt;/record&gt;&lt;/Cite&gt;&lt;/EndNote&gt;</w:instrText>
            </w:r>
            <w:r>
              <w:rPr>
                <w:rFonts w:ascii="Book Antiqua" w:hAnsi="Book Antiqua"/>
                <w:vertAlign w:val="superscript"/>
              </w:rPr>
              <w:fldChar w:fldCharType="separate"/>
            </w:r>
            <w:r>
              <w:rPr>
                <w:rFonts w:ascii="Book Antiqua" w:hAnsi="Book Antiqua"/>
                <w:vertAlign w:val="superscript"/>
              </w:rPr>
              <w:t>[192]</w:t>
            </w:r>
            <w:r>
              <w:rPr>
                <w:rFonts w:ascii="Book Antiqua" w:hAnsi="Book Antiqua"/>
                <w:vertAlign w:val="superscript"/>
              </w:rPr>
              <w:fldChar w:fldCharType="end"/>
            </w:r>
          </w:p>
        </w:tc>
      </w:tr>
      <w:tr w:rsidR="00BA6BF8" w14:paraId="5F11993D" w14:textId="77777777">
        <w:trPr>
          <w:cantSplit/>
        </w:trPr>
        <w:tc>
          <w:tcPr>
            <w:tcW w:w="2143" w:type="dxa"/>
            <w:vAlign w:val="center"/>
          </w:tcPr>
          <w:p w14:paraId="07171511" w14:textId="77777777" w:rsidR="00BA6BF8" w:rsidRDefault="00000000">
            <w:pPr>
              <w:snapToGrid w:val="0"/>
              <w:spacing w:line="360" w:lineRule="auto"/>
              <w:jc w:val="both"/>
              <w:rPr>
                <w:rFonts w:ascii="Book Antiqua" w:hAnsi="Book Antiqua"/>
              </w:rPr>
            </w:pPr>
            <w:r>
              <w:rPr>
                <w:rFonts w:ascii="Book Antiqua" w:hAnsi="Book Antiqua"/>
              </w:rPr>
              <w:t>Anthocyanins and anthocyanidins</w:t>
            </w:r>
          </w:p>
        </w:tc>
        <w:tc>
          <w:tcPr>
            <w:tcW w:w="3113" w:type="dxa"/>
            <w:vAlign w:val="center"/>
          </w:tcPr>
          <w:p w14:paraId="1B8FCFCC" w14:textId="77777777" w:rsidR="00BA6BF8" w:rsidRDefault="00000000">
            <w:pPr>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Berries, eggplants, avocado, oranges, olives, red onion, fig, sweet potato, mango, and purple corn</w:t>
            </w:r>
          </w:p>
        </w:tc>
        <w:tc>
          <w:tcPr>
            <w:tcW w:w="2970" w:type="dxa"/>
            <w:vAlign w:val="center"/>
          </w:tcPr>
          <w:p w14:paraId="7723756F" w14:textId="77777777" w:rsidR="00BA6BF8" w:rsidRDefault="00000000">
            <w:pPr>
              <w:snapToGrid w:val="0"/>
              <w:spacing w:line="360" w:lineRule="auto"/>
              <w:jc w:val="both"/>
              <w:rPr>
                <w:rFonts w:ascii="Book Antiqua" w:hAnsi="Book Antiqua"/>
              </w:rPr>
            </w:pPr>
            <w:r>
              <w:rPr>
                <w:rFonts w:ascii="Book Antiqua" w:hAnsi="Book Antiqua"/>
              </w:rPr>
              <w:t>Promote blood glucose regulation</w:t>
            </w:r>
          </w:p>
        </w:tc>
        <w:tc>
          <w:tcPr>
            <w:tcW w:w="1350" w:type="dxa"/>
            <w:vAlign w:val="center"/>
          </w:tcPr>
          <w:p w14:paraId="265D2999" w14:textId="77777777" w:rsidR="00BA6BF8" w:rsidRDefault="00000000">
            <w:pPr>
              <w:snapToGrid w:val="0"/>
              <w:spacing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&lt;EndNote&gt;&lt;Cite&gt;&lt;Author&gt;Shi&lt;/Author&gt;&lt;Year&gt;2017&lt;/Year&gt;&lt;RecNum&gt;695&lt;/RecNum&gt;&lt;DisplayText&gt;[193]&lt;/DisplayText&gt;&lt;record&gt;&lt;rec-number&gt;695&lt;/rec-number&gt;&lt;foreign-keys&gt;&lt;key app="EN" db-id="w259sedv5dvevhertempp0wjwxf5apt95z5a" timestamp="1671568262"&gt;695&lt;/key&gt;&lt;/foreign-keys&gt;&lt;ref-type name="Journal Article"&gt;17&lt;/ref-type&gt;&lt;contributors&gt;&lt;authors&gt;&lt;author&gt;Shi, Min&lt;/author&gt;&lt;author&gt;Loftus, Hayley&lt;/author&gt;&lt;author&gt;McAinch, Andrew J&lt;/author&gt;&lt;author&gt;Su, Xiao Q&lt;/author&gt;&lt;/authors&gt;&lt;/contributors&gt;&lt;titles&gt;&lt;title&gt;Blueberry as a source of bioactive compounds for the treatment of obesity, type 2 diabetes and chronic inflammation&lt;/title&gt;&lt;secondary-title&gt;Journal of Functional Foods&lt;/secondary-title&gt;&lt;/titles&gt;&lt;periodical&gt;&lt;full-title&gt;Journal of Functional Foods&lt;/full-title&gt;&lt;/periodical&gt;&lt;pages&gt;16-29&lt;/pages&gt;&lt;volume&gt;30&lt;/volume&gt;&lt;dates&gt;&lt;year&gt;2017&lt;/year&gt;&lt;/dates&gt;&lt;isbn&gt;1756-4646&lt;/isbn&gt;&lt;urls&gt;&lt;/urls&gt;&lt;/record&gt;&lt;/Cite&gt;&lt;/EndNote&gt;</w:instrText>
            </w:r>
            <w:r>
              <w:rPr>
                <w:rFonts w:ascii="Book Antiqua" w:hAnsi="Book Antiqua"/>
                <w:vertAlign w:val="superscript"/>
              </w:rPr>
              <w:fldChar w:fldCharType="separate"/>
            </w:r>
            <w:r>
              <w:rPr>
                <w:rFonts w:ascii="Book Antiqua" w:hAnsi="Book Antiqua"/>
                <w:vertAlign w:val="superscript"/>
              </w:rPr>
              <w:t>[193]</w:t>
            </w:r>
            <w:r>
              <w:rPr>
                <w:rFonts w:ascii="Book Antiqua" w:hAnsi="Book Antiqua"/>
                <w:vertAlign w:val="superscript"/>
              </w:rPr>
              <w:fldChar w:fldCharType="end"/>
            </w:r>
          </w:p>
        </w:tc>
      </w:tr>
      <w:tr w:rsidR="00BA6BF8" w14:paraId="127D0868" w14:textId="77777777">
        <w:trPr>
          <w:cantSplit/>
        </w:trPr>
        <w:tc>
          <w:tcPr>
            <w:tcW w:w="2143" w:type="dxa"/>
            <w:vAlign w:val="center"/>
          </w:tcPr>
          <w:p w14:paraId="41309E04" w14:textId="77777777" w:rsidR="00BA6BF8" w:rsidRDefault="00000000">
            <w:pPr>
              <w:snapToGrid w:val="0"/>
              <w:spacing w:line="360" w:lineRule="auto"/>
              <w:jc w:val="both"/>
              <w:rPr>
                <w:rFonts w:ascii="Book Antiqua" w:hAnsi="Book Antiqua"/>
              </w:rPr>
            </w:pPr>
            <w:r>
              <w:rPr>
                <w:rFonts w:ascii="Book Antiqua" w:hAnsi="Book Antiqua"/>
              </w:rPr>
              <w:t>Stillbenoids</w:t>
            </w:r>
          </w:p>
        </w:tc>
        <w:tc>
          <w:tcPr>
            <w:tcW w:w="3113" w:type="dxa"/>
            <w:vAlign w:val="center"/>
          </w:tcPr>
          <w:p w14:paraId="012AC5AA" w14:textId="77777777" w:rsidR="00BA6BF8" w:rsidRDefault="00000000">
            <w:pPr>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Grapevine, berries, and peanuts</w:t>
            </w:r>
          </w:p>
        </w:tc>
        <w:tc>
          <w:tcPr>
            <w:tcW w:w="2970" w:type="dxa"/>
            <w:vAlign w:val="center"/>
          </w:tcPr>
          <w:p w14:paraId="60EDC5CD" w14:textId="77777777" w:rsidR="00BA6BF8" w:rsidRDefault="00000000">
            <w:pPr>
              <w:snapToGrid w:val="0"/>
              <w:spacing w:line="360" w:lineRule="auto"/>
              <w:jc w:val="both"/>
              <w:rPr>
                <w:rFonts w:ascii="Book Antiqua" w:hAnsi="Book Antiqua"/>
              </w:rPr>
            </w:pPr>
            <w:r>
              <w:rPr>
                <w:rFonts w:ascii="Book Antiqua" w:hAnsi="Book Antiqua"/>
              </w:rPr>
              <w:t xml:space="preserve">Promote pancreatic </w:t>
            </w:r>
            <w:r>
              <w:rPr>
                <w:rFonts w:ascii="Book Antiqua" w:hAnsi="Book Antiqua"/>
              </w:rPr>
              <w:sym w:font="Symbol" w:char="F062"/>
            </w:r>
            <w:r>
              <w:rPr>
                <w:rFonts w:ascii="Book Antiqua" w:hAnsi="Book Antiqua"/>
              </w:rPr>
              <w:t>-cell and hepatoprotective activity</w:t>
            </w:r>
          </w:p>
        </w:tc>
        <w:tc>
          <w:tcPr>
            <w:tcW w:w="1350" w:type="dxa"/>
            <w:vAlign w:val="center"/>
          </w:tcPr>
          <w:p w14:paraId="1CCA2869" w14:textId="77777777" w:rsidR="00BA6BF8" w:rsidRDefault="00000000">
            <w:pPr>
              <w:snapToGrid w:val="0"/>
              <w:spacing w:line="360" w:lineRule="auto"/>
              <w:jc w:val="both"/>
              <w:rPr>
                <w:rFonts w:ascii="Book Antiqua" w:hAnsi="Book Antiqua"/>
                <w:vertAlign w:val="superscript"/>
              </w:rPr>
            </w:pPr>
            <w:r>
              <w:rPr>
                <w:rFonts w:ascii="Book Antiqua" w:hAnsi="Book Antiqua"/>
                <w:vertAlign w:val="superscript"/>
              </w:rPr>
              <w:fldChar w:fldCharType="begin"/>
            </w:r>
            <w:r>
              <w:rPr>
                <w:rFonts w:ascii="Book Antiqua" w:hAnsi="Book Antiqua"/>
                <w:vertAlign w:val="superscript"/>
              </w:rPr>
              <w:instrText xml:space="preserve"> ADDIN EN.CITE &lt;EndNote&gt;&lt;Cite&gt;&lt;Author&gt;Bahmanzadeh&lt;/Author&gt;&lt;Year&gt;2019&lt;/Year&gt;&lt;RecNum&gt;696&lt;/RecNum&gt;&lt;DisplayText&gt;[194]&lt;/DisplayText&gt;&lt;record&gt;&lt;rec-number&gt;696&lt;/rec-number&gt;&lt;foreign-keys&gt;&lt;key app="EN" db-id="w259sedv5dvevhertempp0wjwxf5apt95z5a" timestamp="1671568374"&gt;696&lt;/key&gt;&lt;/foreign-keys&gt;&lt;ref-type name="Journal Article"&gt;17&lt;/ref-type&gt;&lt;contributors&gt;&lt;authors&gt;&lt;author&gt;Bahmanzadeh, Maryam&lt;/author&gt;&lt;author&gt;Goodarzi, Mohammad Taghi&lt;/author&gt;&lt;author&gt;Rezaei Farimani, Azam&lt;/author&gt;&lt;author&gt;Fathi, Nasibeh&lt;/author&gt;&lt;author&gt;Alizadeh, Zohreh&lt;/author&gt;&lt;/authors&gt;&lt;/contributors&gt;&lt;titles&gt;&lt;title&gt;Resveratrol supplementation improves DNA integrity and sperm parameters in streptozotocin–nicotinamide</w:instrText>
            </w:r>
            <w:r>
              <w:rPr>
                <w:rFonts w:ascii="宋体" w:eastAsia="宋体" w:hAnsi="宋体" w:cs="宋体" w:hint="eastAsia"/>
                <w:vertAlign w:val="superscript"/>
              </w:rPr>
              <w:instrText>‐</w:instrText>
            </w:r>
            <w:r>
              <w:rPr>
                <w:rFonts w:ascii="Book Antiqua" w:hAnsi="Book Antiqua"/>
                <w:vertAlign w:val="superscript"/>
              </w:rPr>
              <w:instrText>induced type 2 diabetic rats&lt;/title&gt;&lt;secondary-title&gt;Andrologia&lt;/secondary-title&gt;&lt;/titles&gt;&lt;periodical&gt;&lt;full-title&gt;Andrologia&lt;/full-title&gt;&lt;/periodical&gt;&lt;pages&gt;e13313&lt;/pages&gt;&lt;volume&gt;51&lt;/volume&gt;&lt;number&gt;8&lt;/number&gt;&lt;dates&gt;&lt;year&gt;2019&lt;/year&gt;&lt;/dates&gt;&lt;isbn&gt;0303-4569&lt;/isbn&gt;&lt;urls&gt;&lt;/urls&gt;&lt;/record&gt;&lt;/Cite&gt;&lt;/EndNote&gt;</w:instrText>
            </w:r>
            <w:r>
              <w:rPr>
                <w:rFonts w:ascii="Book Antiqua" w:hAnsi="Book Antiqua"/>
                <w:vertAlign w:val="superscript"/>
              </w:rPr>
              <w:fldChar w:fldCharType="separate"/>
            </w:r>
            <w:r>
              <w:rPr>
                <w:rFonts w:ascii="Book Antiqua" w:hAnsi="Book Antiqua"/>
                <w:vertAlign w:val="superscript"/>
              </w:rPr>
              <w:t>[194]</w:t>
            </w:r>
            <w:r>
              <w:rPr>
                <w:rFonts w:ascii="Book Antiqua" w:hAnsi="Book Antiqua"/>
                <w:vertAlign w:val="superscript"/>
              </w:rPr>
              <w:fldChar w:fldCharType="end"/>
            </w:r>
          </w:p>
        </w:tc>
      </w:tr>
    </w:tbl>
    <w:p w14:paraId="61B84376" w14:textId="77777777" w:rsidR="00BA6BF8" w:rsidRDefault="00000000">
      <w:pPr>
        <w:snapToGrid w:val="0"/>
        <w:spacing w:line="360" w:lineRule="auto"/>
        <w:jc w:val="both"/>
        <w:rPr>
          <w:rFonts w:ascii="Book Antiqua" w:eastAsia="Book Antiqua" w:hAnsi="Book Antiqua" w:cs="Book Antiqua"/>
          <w:color w:val="000000"/>
        </w:rPr>
      </w:pPr>
      <w:r>
        <w:rPr>
          <w:rFonts w:ascii="Book Antiqua" w:hAnsi="Book Antiqua"/>
        </w:rPr>
        <w:t xml:space="preserve">HbA1c: </w:t>
      </w:r>
      <w:r>
        <w:rPr>
          <w:rFonts w:ascii="Book Antiqua" w:eastAsia="Book Antiqua" w:hAnsi="Book Antiqua" w:cs="Book Antiqua"/>
          <w:color w:val="000000"/>
        </w:rPr>
        <w:t>Glycated hemoglobin.</w:t>
      </w:r>
    </w:p>
    <w:p w14:paraId="1B125AE3" w14:textId="77777777" w:rsidR="007131DD" w:rsidRDefault="007131DD">
      <w:pPr>
        <w:snapToGrid w:val="0"/>
        <w:spacing w:line="360" w:lineRule="auto"/>
        <w:jc w:val="both"/>
        <w:rPr>
          <w:rFonts w:ascii="Book Antiqua" w:eastAsia="Book Antiqua" w:hAnsi="Book Antiqua" w:cs="Book Antiqua"/>
          <w:color w:val="000000"/>
        </w:rPr>
        <w:sectPr w:rsidR="007131DD">
          <w:pgSz w:w="12240" w:h="15840"/>
          <w:pgMar w:top="1440" w:right="1440" w:bottom="1440" w:left="1440" w:header="720" w:footer="720" w:gutter="0"/>
          <w:cols w:space="720"/>
          <w:docGrid w:linePitch="360"/>
        </w:sectPr>
      </w:pPr>
    </w:p>
    <w:p w14:paraId="2A3581B2" w14:textId="77777777" w:rsidR="007131DD" w:rsidRDefault="007131DD" w:rsidP="007131DD">
      <w:pPr>
        <w:snapToGrid w:val="0"/>
        <w:ind w:leftChars="100" w:left="240"/>
        <w:jc w:val="center"/>
        <w:rPr>
          <w:rFonts w:ascii="Book Antiqua" w:hAnsi="Book Antiqua"/>
        </w:rPr>
      </w:pPr>
    </w:p>
    <w:p w14:paraId="61BD4B39" w14:textId="77777777" w:rsidR="007131DD" w:rsidRDefault="007131DD" w:rsidP="007131DD">
      <w:pPr>
        <w:snapToGrid w:val="0"/>
        <w:ind w:leftChars="100" w:left="240"/>
        <w:jc w:val="center"/>
        <w:rPr>
          <w:rFonts w:ascii="Book Antiqua" w:hAnsi="Book Antiqua"/>
        </w:rPr>
      </w:pPr>
    </w:p>
    <w:p w14:paraId="35FBC770" w14:textId="77777777" w:rsidR="007131DD" w:rsidRDefault="007131DD" w:rsidP="007131DD">
      <w:pPr>
        <w:snapToGrid w:val="0"/>
        <w:ind w:leftChars="100" w:left="240"/>
        <w:jc w:val="center"/>
        <w:rPr>
          <w:rFonts w:ascii="Book Antiqua" w:hAnsi="Book Antiqua"/>
        </w:rPr>
      </w:pPr>
    </w:p>
    <w:p w14:paraId="171EE596" w14:textId="77777777" w:rsidR="007131DD" w:rsidRDefault="007131DD" w:rsidP="007131DD">
      <w:pPr>
        <w:snapToGrid w:val="0"/>
        <w:ind w:leftChars="100" w:left="240"/>
        <w:jc w:val="center"/>
        <w:rPr>
          <w:rFonts w:ascii="Book Antiqua" w:hAnsi="Book Antiqua"/>
        </w:rPr>
      </w:pPr>
    </w:p>
    <w:p w14:paraId="175A736D" w14:textId="77777777" w:rsidR="007131DD" w:rsidRDefault="007131DD" w:rsidP="007131DD">
      <w:pPr>
        <w:snapToGrid w:val="0"/>
        <w:ind w:leftChars="100" w:left="240"/>
        <w:jc w:val="center"/>
        <w:rPr>
          <w:rFonts w:ascii="Book Antiqua" w:hAnsi="Book Antiqua"/>
        </w:rPr>
      </w:pPr>
      <w:r>
        <w:rPr>
          <w:rFonts w:ascii="Book Antiqua" w:hAnsi="Book Antiqua"/>
          <w:noProof/>
        </w:rPr>
        <w:drawing>
          <wp:inline distT="0" distB="0" distL="0" distR="0" wp14:anchorId="085455EB" wp14:editId="2670C5C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40ADE77" w14:textId="77777777" w:rsidR="007131DD" w:rsidRDefault="007131DD" w:rsidP="007131DD">
      <w:pPr>
        <w:snapToGrid w:val="0"/>
        <w:ind w:leftChars="100" w:left="240"/>
        <w:jc w:val="center"/>
        <w:rPr>
          <w:rFonts w:ascii="Book Antiqua" w:hAnsi="Book Antiqua"/>
        </w:rPr>
      </w:pPr>
    </w:p>
    <w:p w14:paraId="300521BF" w14:textId="77777777" w:rsidR="007131DD" w:rsidRDefault="007131DD" w:rsidP="007131D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FEC5DCC" w14:textId="77777777" w:rsidR="007131DD" w:rsidRDefault="007131DD" w:rsidP="007131D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9D74AE7" w14:textId="77777777" w:rsidR="007131DD" w:rsidRDefault="007131DD" w:rsidP="007131D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3615A0F" w14:textId="77777777" w:rsidR="007131DD" w:rsidRDefault="007131DD" w:rsidP="007131D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8C8B8A2" w14:textId="77777777" w:rsidR="007131DD" w:rsidRDefault="007131DD" w:rsidP="007131D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75FE7C1" w14:textId="77777777" w:rsidR="007131DD" w:rsidRDefault="007131DD" w:rsidP="007131DD">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54ACD33" w14:textId="77777777" w:rsidR="007131DD" w:rsidRDefault="007131DD" w:rsidP="007131DD">
      <w:pPr>
        <w:snapToGrid w:val="0"/>
        <w:ind w:leftChars="100" w:left="240"/>
        <w:jc w:val="center"/>
        <w:rPr>
          <w:rFonts w:ascii="Book Antiqua" w:hAnsi="Book Antiqua"/>
        </w:rPr>
      </w:pPr>
    </w:p>
    <w:p w14:paraId="01AF0190" w14:textId="77777777" w:rsidR="007131DD" w:rsidRDefault="007131DD" w:rsidP="007131DD">
      <w:pPr>
        <w:snapToGrid w:val="0"/>
        <w:ind w:leftChars="100" w:left="240"/>
        <w:jc w:val="center"/>
        <w:rPr>
          <w:rFonts w:ascii="Book Antiqua" w:hAnsi="Book Antiqua"/>
        </w:rPr>
      </w:pPr>
    </w:p>
    <w:p w14:paraId="31DB913C" w14:textId="77777777" w:rsidR="007131DD" w:rsidRDefault="007131DD" w:rsidP="007131DD">
      <w:pPr>
        <w:snapToGrid w:val="0"/>
        <w:ind w:leftChars="100" w:left="240"/>
        <w:jc w:val="center"/>
        <w:rPr>
          <w:rFonts w:ascii="Book Antiqua" w:hAnsi="Book Antiqua"/>
        </w:rPr>
      </w:pPr>
    </w:p>
    <w:p w14:paraId="4F5F6CCF" w14:textId="77777777" w:rsidR="007131DD" w:rsidRDefault="007131DD" w:rsidP="007131DD">
      <w:pPr>
        <w:snapToGrid w:val="0"/>
        <w:ind w:leftChars="100" w:left="240"/>
        <w:jc w:val="center"/>
        <w:rPr>
          <w:rFonts w:ascii="Book Antiqua" w:hAnsi="Book Antiqua"/>
        </w:rPr>
      </w:pPr>
      <w:r>
        <w:rPr>
          <w:rFonts w:ascii="Book Antiqua" w:hAnsi="Book Antiqua"/>
          <w:noProof/>
        </w:rPr>
        <w:drawing>
          <wp:inline distT="0" distB="0" distL="0" distR="0" wp14:anchorId="4F603FFB" wp14:editId="3A834E1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ADE3305" w14:textId="77777777" w:rsidR="007131DD" w:rsidRDefault="007131DD" w:rsidP="007131DD">
      <w:pPr>
        <w:snapToGrid w:val="0"/>
        <w:ind w:leftChars="100" w:left="240"/>
        <w:jc w:val="center"/>
        <w:rPr>
          <w:rFonts w:ascii="Book Antiqua" w:hAnsi="Book Antiqua"/>
        </w:rPr>
      </w:pPr>
    </w:p>
    <w:p w14:paraId="5957F6EB" w14:textId="77777777" w:rsidR="007131DD" w:rsidRDefault="007131DD" w:rsidP="007131DD">
      <w:pPr>
        <w:snapToGrid w:val="0"/>
        <w:ind w:leftChars="100" w:left="240"/>
        <w:jc w:val="center"/>
        <w:rPr>
          <w:rFonts w:ascii="Book Antiqua" w:hAnsi="Book Antiqua"/>
        </w:rPr>
      </w:pPr>
    </w:p>
    <w:p w14:paraId="1EA886BD" w14:textId="77777777" w:rsidR="007131DD" w:rsidRDefault="007131DD" w:rsidP="007131DD">
      <w:pPr>
        <w:snapToGrid w:val="0"/>
        <w:ind w:leftChars="100" w:left="240"/>
        <w:jc w:val="center"/>
        <w:rPr>
          <w:rFonts w:ascii="Book Antiqua" w:hAnsi="Book Antiqua"/>
        </w:rPr>
      </w:pPr>
    </w:p>
    <w:p w14:paraId="4245D3AE" w14:textId="77777777" w:rsidR="007131DD" w:rsidRDefault="007131DD" w:rsidP="007131DD">
      <w:pPr>
        <w:snapToGrid w:val="0"/>
        <w:ind w:leftChars="100" w:left="240"/>
        <w:jc w:val="center"/>
        <w:rPr>
          <w:rFonts w:ascii="Book Antiqua" w:hAnsi="Book Antiqua"/>
        </w:rPr>
      </w:pPr>
    </w:p>
    <w:p w14:paraId="0BD69DF2" w14:textId="77777777" w:rsidR="007131DD" w:rsidRDefault="007131DD" w:rsidP="007131DD">
      <w:pPr>
        <w:snapToGrid w:val="0"/>
        <w:ind w:leftChars="100" w:left="240"/>
        <w:jc w:val="center"/>
        <w:rPr>
          <w:rFonts w:ascii="Book Antiqua" w:hAnsi="Book Antiqua"/>
        </w:rPr>
      </w:pPr>
    </w:p>
    <w:p w14:paraId="4375F753" w14:textId="77777777" w:rsidR="007131DD" w:rsidRDefault="007131DD" w:rsidP="007131DD">
      <w:pPr>
        <w:snapToGrid w:val="0"/>
        <w:ind w:leftChars="100" w:left="240"/>
        <w:jc w:val="center"/>
        <w:rPr>
          <w:rFonts w:ascii="Book Antiqua" w:hAnsi="Book Antiqua"/>
        </w:rPr>
      </w:pPr>
    </w:p>
    <w:p w14:paraId="1F9DFDA7" w14:textId="77777777" w:rsidR="007131DD" w:rsidRDefault="007131DD" w:rsidP="007131DD">
      <w:pPr>
        <w:snapToGrid w:val="0"/>
        <w:ind w:leftChars="100" w:left="240"/>
        <w:jc w:val="center"/>
        <w:rPr>
          <w:rFonts w:ascii="Book Antiqua" w:hAnsi="Book Antiqua"/>
        </w:rPr>
      </w:pPr>
    </w:p>
    <w:p w14:paraId="0B18A29F" w14:textId="77777777" w:rsidR="007131DD" w:rsidRDefault="007131DD" w:rsidP="007131DD">
      <w:pPr>
        <w:snapToGrid w:val="0"/>
        <w:ind w:leftChars="100" w:left="240"/>
        <w:jc w:val="center"/>
        <w:rPr>
          <w:rFonts w:ascii="Book Antiqua" w:hAnsi="Book Antiqua"/>
        </w:rPr>
      </w:pPr>
    </w:p>
    <w:p w14:paraId="4B237505" w14:textId="77777777" w:rsidR="007131DD" w:rsidRDefault="007131DD" w:rsidP="007131DD">
      <w:pPr>
        <w:snapToGrid w:val="0"/>
        <w:ind w:leftChars="100" w:left="240"/>
        <w:jc w:val="center"/>
        <w:rPr>
          <w:rFonts w:ascii="Book Antiqua" w:hAnsi="Book Antiqua"/>
        </w:rPr>
      </w:pPr>
    </w:p>
    <w:p w14:paraId="2A4D10B1" w14:textId="77777777" w:rsidR="007131DD" w:rsidRDefault="007131DD" w:rsidP="007131DD">
      <w:pPr>
        <w:snapToGrid w:val="0"/>
        <w:ind w:leftChars="100" w:left="240"/>
        <w:jc w:val="right"/>
        <w:rPr>
          <w:rFonts w:ascii="Book Antiqua" w:hAnsi="Book Antiqua"/>
          <w:color w:val="000000" w:themeColor="text1"/>
        </w:rPr>
      </w:pPr>
    </w:p>
    <w:p w14:paraId="698621E7" w14:textId="77777777" w:rsidR="007131DD" w:rsidRDefault="007131DD" w:rsidP="007131DD">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59CF7F52" w14:textId="77777777" w:rsidR="007131DD" w:rsidRDefault="007131DD" w:rsidP="007131DD">
      <w:pPr>
        <w:rPr>
          <w:rFonts w:ascii="Book Antiqua" w:hAnsi="Book Antiqua" w:cs="Book Antiqua"/>
          <w:b/>
          <w:bCs/>
          <w:color w:val="000000"/>
        </w:rPr>
      </w:pPr>
    </w:p>
    <w:p w14:paraId="75010338" w14:textId="77777777" w:rsidR="00BA6BF8" w:rsidRDefault="00BA6BF8">
      <w:pPr>
        <w:snapToGrid w:val="0"/>
        <w:spacing w:line="360" w:lineRule="auto"/>
        <w:jc w:val="both"/>
        <w:rPr>
          <w:rFonts w:ascii="Book Antiqua" w:eastAsia="Book Antiqua" w:hAnsi="Book Antiqua" w:cs="Book Antiqua"/>
          <w:color w:val="000000"/>
        </w:rPr>
      </w:pPr>
    </w:p>
    <w:sectPr w:rsidR="00BA6BF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63C45" w14:textId="77777777" w:rsidR="007B01E0" w:rsidRDefault="007B01E0">
      <w:r>
        <w:separator/>
      </w:r>
    </w:p>
  </w:endnote>
  <w:endnote w:type="continuationSeparator" w:id="0">
    <w:p w14:paraId="4EDAB229" w14:textId="77777777" w:rsidR="007B01E0" w:rsidRDefault="007B0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346446860"/>
    </w:sdtPr>
    <w:sdtContent>
      <w:sdt>
        <w:sdtPr>
          <w:rPr>
            <w:rFonts w:ascii="Book Antiqua" w:hAnsi="Book Antiqua"/>
            <w:sz w:val="24"/>
            <w:szCs w:val="24"/>
          </w:rPr>
          <w:id w:val="-1769616900"/>
        </w:sdtPr>
        <w:sdtContent>
          <w:p w14:paraId="37C977A4" w14:textId="77777777" w:rsidR="00BA6BF8"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46AC5" w14:textId="77777777" w:rsidR="007B01E0" w:rsidRDefault="007B01E0">
      <w:r>
        <w:separator/>
      </w:r>
    </w:p>
  </w:footnote>
  <w:footnote w:type="continuationSeparator" w:id="0">
    <w:p w14:paraId="4FA59B4B" w14:textId="77777777" w:rsidR="007B01E0" w:rsidRDefault="007B01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QxMjQ0YTQ0ZmU3OTI5ZWNhNzI4MzQxYjA4YWJlOTIifQ=="/>
  </w:docVars>
  <w:rsids>
    <w:rsidRoot w:val="00A77B3E"/>
    <w:rsid w:val="0000028E"/>
    <w:rsid w:val="00000FF2"/>
    <w:rsid w:val="000257A8"/>
    <w:rsid w:val="0002733A"/>
    <w:rsid w:val="00046D0C"/>
    <w:rsid w:val="00085F2F"/>
    <w:rsid w:val="000C7C2A"/>
    <w:rsid w:val="000E08C7"/>
    <w:rsid w:val="000E21EE"/>
    <w:rsid w:val="000E7F0A"/>
    <w:rsid w:val="000F6083"/>
    <w:rsid w:val="0010692B"/>
    <w:rsid w:val="00163DAB"/>
    <w:rsid w:val="00164605"/>
    <w:rsid w:val="00191D35"/>
    <w:rsid w:val="00194A63"/>
    <w:rsid w:val="001E252F"/>
    <w:rsid w:val="001E73A5"/>
    <w:rsid w:val="001F1F48"/>
    <w:rsid w:val="00206CF9"/>
    <w:rsid w:val="00211B38"/>
    <w:rsid w:val="00223BC3"/>
    <w:rsid w:val="002C3E7D"/>
    <w:rsid w:val="002D2BC3"/>
    <w:rsid w:val="002F5204"/>
    <w:rsid w:val="003059D9"/>
    <w:rsid w:val="00311DFC"/>
    <w:rsid w:val="003675B8"/>
    <w:rsid w:val="00372CB0"/>
    <w:rsid w:val="00374FC3"/>
    <w:rsid w:val="0037572D"/>
    <w:rsid w:val="003938EA"/>
    <w:rsid w:val="003B6C6C"/>
    <w:rsid w:val="003C1EDA"/>
    <w:rsid w:val="003D047D"/>
    <w:rsid w:val="003F3918"/>
    <w:rsid w:val="004005FC"/>
    <w:rsid w:val="0040301C"/>
    <w:rsid w:val="00414FA3"/>
    <w:rsid w:val="00415C30"/>
    <w:rsid w:val="004251D4"/>
    <w:rsid w:val="004262DC"/>
    <w:rsid w:val="00461262"/>
    <w:rsid w:val="004701F3"/>
    <w:rsid w:val="00475575"/>
    <w:rsid w:val="0048459A"/>
    <w:rsid w:val="004B01D6"/>
    <w:rsid w:val="004D2B17"/>
    <w:rsid w:val="004E5A13"/>
    <w:rsid w:val="004F029F"/>
    <w:rsid w:val="004F03B9"/>
    <w:rsid w:val="00522C24"/>
    <w:rsid w:val="0054349C"/>
    <w:rsid w:val="00552504"/>
    <w:rsid w:val="00585A37"/>
    <w:rsid w:val="005A2501"/>
    <w:rsid w:val="005C103A"/>
    <w:rsid w:val="005D7BAF"/>
    <w:rsid w:val="005E2872"/>
    <w:rsid w:val="005F3A31"/>
    <w:rsid w:val="00605314"/>
    <w:rsid w:val="00622530"/>
    <w:rsid w:val="006529C9"/>
    <w:rsid w:val="00671F3F"/>
    <w:rsid w:val="0069292B"/>
    <w:rsid w:val="006C6D21"/>
    <w:rsid w:val="006F533A"/>
    <w:rsid w:val="007131DD"/>
    <w:rsid w:val="0072188A"/>
    <w:rsid w:val="00742E83"/>
    <w:rsid w:val="00753E45"/>
    <w:rsid w:val="00780296"/>
    <w:rsid w:val="007B01E0"/>
    <w:rsid w:val="007B14C3"/>
    <w:rsid w:val="007B6194"/>
    <w:rsid w:val="0082507D"/>
    <w:rsid w:val="0082708B"/>
    <w:rsid w:val="00836478"/>
    <w:rsid w:val="0083727F"/>
    <w:rsid w:val="00843A4C"/>
    <w:rsid w:val="00882BB0"/>
    <w:rsid w:val="00883D60"/>
    <w:rsid w:val="0089278F"/>
    <w:rsid w:val="008A3047"/>
    <w:rsid w:val="008A44AF"/>
    <w:rsid w:val="008A4E0C"/>
    <w:rsid w:val="008C18B9"/>
    <w:rsid w:val="009138B1"/>
    <w:rsid w:val="00964B1D"/>
    <w:rsid w:val="009739EB"/>
    <w:rsid w:val="0099175A"/>
    <w:rsid w:val="009977AE"/>
    <w:rsid w:val="009B154F"/>
    <w:rsid w:val="009B1FAB"/>
    <w:rsid w:val="009B5D78"/>
    <w:rsid w:val="009D0908"/>
    <w:rsid w:val="009D0BD6"/>
    <w:rsid w:val="009D1AB0"/>
    <w:rsid w:val="009D7513"/>
    <w:rsid w:val="009F444A"/>
    <w:rsid w:val="009F703E"/>
    <w:rsid w:val="00A016A2"/>
    <w:rsid w:val="00A16990"/>
    <w:rsid w:val="00A33F7E"/>
    <w:rsid w:val="00A42EAF"/>
    <w:rsid w:val="00A47EF3"/>
    <w:rsid w:val="00A77B3E"/>
    <w:rsid w:val="00AD3635"/>
    <w:rsid w:val="00B06A66"/>
    <w:rsid w:val="00B16561"/>
    <w:rsid w:val="00B22028"/>
    <w:rsid w:val="00B236D0"/>
    <w:rsid w:val="00B335FF"/>
    <w:rsid w:val="00B469A7"/>
    <w:rsid w:val="00B70B48"/>
    <w:rsid w:val="00B907E7"/>
    <w:rsid w:val="00BA6BF8"/>
    <w:rsid w:val="00BA6D32"/>
    <w:rsid w:val="00BC3821"/>
    <w:rsid w:val="00BE5129"/>
    <w:rsid w:val="00C00F22"/>
    <w:rsid w:val="00C207BA"/>
    <w:rsid w:val="00C360FF"/>
    <w:rsid w:val="00C75F5F"/>
    <w:rsid w:val="00C94AE9"/>
    <w:rsid w:val="00CA2A55"/>
    <w:rsid w:val="00CD7616"/>
    <w:rsid w:val="00CE19A0"/>
    <w:rsid w:val="00D068EC"/>
    <w:rsid w:val="00D22E72"/>
    <w:rsid w:val="00D32B6A"/>
    <w:rsid w:val="00D40795"/>
    <w:rsid w:val="00D415B9"/>
    <w:rsid w:val="00D43001"/>
    <w:rsid w:val="00D51D93"/>
    <w:rsid w:val="00D522E0"/>
    <w:rsid w:val="00D5589C"/>
    <w:rsid w:val="00D76E87"/>
    <w:rsid w:val="00D82D49"/>
    <w:rsid w:val="00D90A7E"/>
    <w:rsid w:val="00DA4003"/>
    <w:rsid w:val="00DB54CE"/>
    <w:rsid w:val="00DC69C6"/>
    <w:rsid w:val="00DD1BD5"/>
    <w:rsid w:val="00DD201B"/>
    <w:rsid w:val="00DE0FEB"/>
    <w:rsid w:val="00DE3815"/>
    <w:rsid w:val="00DF5BE9"/>
    <w:rsid w:val="00E0143D"/>
    <w:rsid w:val="00E02730"/>
    <w:rsid w:val="00E02C4E"/>
    <w:rsid w:val="00E10D45"/>
    <w:rsid w:val="00E17BA8"/>
    <w:rsid w:val="00E3154F"/>
    <w:rsid w:val="00E33067"/>
    <w:rsid w:val="00E429BD"/>
    <w:rsid w:val="00E511B7"/>
    <w:rsid w:val="00E6458A"/>
    <w:rsid w:val="00E779AF"/>
    <w:rsid w:val="00E9387E"/>
    <w:rsid w:val="00EA1278"/>
    <w:rsid w:val="00EA73BB"/>
    <w:rsid w:val="00ED05C8"/>
    <w:rsid w:val="00F00CDE"/>
    <w:rsid w:val="00F06415"/>
    <w:rsid w:val="00F169EF"/>
    <w:rsid w:val="00F34EC0"/>
    <w:rsid w:val="00F44E83"/>
    <w:rsid w:val="00F83432"/>
    <w:rsid w:val="00F921DD"/>
    <w:rsid w:val="00FA696A"/>
    <w:rsid w:val="00FD61F5"/>
    <w:rsid w:val="0BDA7486"/>
    <w:rsid w:val="110A5507"/>
    <w:rsid w:val="24AE64E7"/>
    <w:rsid w:val="2C0D4C14"/>
    <w:rsid w:val="496A3090"/>
    <w:rsid w:val="53964FED"/>
    <w:rsid w:val="5816548A"/>
    <w:rsid w:val="657018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2B1A73"/>
  <w15:docId w15:val="{FCF9687D-F041-4DCA-8356-55260D956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paragraph" w:styleId="1">
    <w:name w:val="heading 1"/>
    <w:basedOn w:val="a"/>
    <w:next w:val="a"/>
    <w:link w:val="10"/>
    <w:qFormat/>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pPr>
      <w:keepNext/>
      <w:spacing w:before="240" w:after="60"/>
      <w:outlineLvl w:val="3"/>
    </w:pPr>
    <w:rPr>
      <w:rFonts w:ascii="Book Antiqua" w:eastAsia="Book Antiqua" w:hAnsi="Book Antiqua" w:cs="Book Antiqua"/>
      <w:b/>
      <w:bCs/>
    </w:rPr>
  </w:style>
  <w:style w:type="paragraph" w:styleId="5">
    <w:name w:val="heading 5"/>
    <w:basedOn w:val="a"/>
    <w:next w:val="a"/>
    <w:link w:val="50"/>
    <w:qFormat/>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rPr>
      <w:sz w:val="20"/>
      <w:szCs w:val="20"/>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link w:val="aa"/>
    <w:uiPriority w:val="99"/>
    <w:unhideWhenUsed/>
    <w:qFormat/>
    <w:pPr>
      <w:spacing w:before="100" w:beforeAutospacing="1" w:after="100" w:afterAutospacing="1"/>
    </w:pPr>
    <w:rPr>
      <w:rFonts w:eastAsia="Times New Roman"/>
    </w:rPr>
  </w:style>
  <w:style w:type="paragraph" w:styleId="ab">
    <w:name w:val="annotation subject"/>
    <w:basedOn w:val="a3"/>
    <w:next w:val="a3"/>
    <w:link w:val="ac"/>
    <w:semiHidden/>
    <w:unhideWhenUsed/>
    <w:qFormat/>
    <w:rPr>
      <w:b/>
      <w:bCs/>
    </w:rPr>
  </w:style>
  <w:style w:type="table" w:styleId="ad">
    <w:name w:val="Table Grid"/>
    <w:basedOn w:val="a1"/>
    <w:uiPriority w:val="39"/>
    <w:qFormat/>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nhideWhenUsed/>
    <w:qFormat/>
    <w:rPr>
      <w:color w:val="0000FF" w:themeColor="hyperlink"/>
      <w:u w:val="single"/>
    </w:rPr>
  </w:style>
  <w:style w:type="character" w:styleId="af">
    <w:name w:val="annotation reference"/>
    <w:basedOn w:val="a0"/>
    <w:semiHidden/>
    <w:unhideWhenUsed/>
    <w:qFormat/>
    <w:rPr>
      <w:sz w:val="16"/>
      <w:szCs w:val="16"/>
    </w:rPr>
  </w:style>
  <w:style w:type="character" w:customStyle="1" w:styleId="a4">
    <w:name w:val="批注文字 字符"/>
    <w:basedOn w:val="a0"/>
    <w:link w:val="a3"/>
    <w:qFormat/>
  </w:style>
  <w:style w:type="character" w:customStyle="1" w:styleId="ac">
    <w:name w:val="批注主题 字符"/>
    <w:basedOn w:val="a4"/>
    <w:link w:val="ab"/>
    <w:semiHidden/>
    <w:qFormat/>
    <w:rPr>
      <w:b/>
      <w:bCs/>
    </w:rPr>
  </w:style>
  <w:style w:type="character" w:customStyle="1" w:styleId="aa">
    <w:name w:val="普通(网站) 字符"/>
    <w:basedOn w:val="a0"/>
    <w:link w:val="a9"/>
    <w:uiPriority w:val="99"/>
    <w:qFormat/>
    <w:rPr>
      <w:rFonts w:eastAsia="Times New Roman"/>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cf01">
    <w:name w:val="cf01"/>
    <w:basedOn w:val="a0"/>
    <w:qFormat/>
    <w:rPr>
      <w:rFonts w:ascii="Microsoft YaHei UI" w:eastAsia="Microsoft YaHei UI" w:hAnsi="Microsoft YaHei UI" w:hint="eastAsia"/>
      <w:sz w:val="18"/>
      <w:szCs w:val="18"/>
    </w:rPr>
  </w:style>
  <w:style w:type="character" w:customStyle="1" w:styleId="10">
    <w:name w:val="标题 1 字符"/>
    <w:basedOn w:val="a0"/>
    <w:link w:val="1"/>
    <w:qFormat/>
    <w:rPr>
      <w:rFonts w:ascii="Book Antiqua" w:eastAsia="Book Antiqua" w:hAnsi="Book Antiqua" w:cs="Book Antiqua"/>
      <w:b/>
      <w:bCs/>
      <w:kern w:val="36"/>
      <w:sz w:val="48"/>
      <w:szCs w:val="48"/>
    </w:rPr>
  </w:style>
  <w:style w:type="character" w:customStyle="1" w:styleId="20">
    <w:name w:val="标题 2 字符"/>
    <w:basedOn w:val="a0"/>
    <w:link w:val="2"/>
    <w:qFormat/>
    <w:rPr>
      <w:rFonts w:ascii="Book Antiqua" w:eastAsia="Book Antiqua" w:hAnsi="Book Antiqua" w:cs="Book Antiqua"/>
      <w:b/>
      <w:bCs/>
      <w:iCs/>
      <w:sz w:val="36"/>
      <w:szCs w:val="36"/>
    </w:rPr>
  </w:style>
  <w:style w:type="character" w:customStyle="1" w:styleId="30">
    <w:name w:val="标题 3 字符"/>
    <w:basedOn w:val="a0"/>
    <w:link w:val="3"/>
    <w:qFormat/>
    <w:rPr>
      <w:rFonts w:ascii="Book Antiqua" w:eastAsia="Book Antiqua" w:hAnsi="Book Antiqua" w:cs="Book Antiqua"/>
      <w:b/>
      <w:bCs/>
      <w:sz w:val="28"/>
      <w:szCs w:val="28"/>
    </w:rPr>
  </w:style>
  <w:style w:type="character" w:customStyle="1" w:styleId="40">
    <w:name w:val="标题 4 字符"/>
    <w:basedOn w:val="a0"/>
    <w:link w:val="4"/>
    <w:qFormat/>
    <w:rPr>
      <w:rFonts w:ascii="Book Antiqua" w:eastAsia="Book Antiqua" w:hAnsi="Book Antiqua" w:cs="Book Antiqua"/>
      <w:b/>
      <w:bCs/>
      <w:sz w:val="24"/>
      <w:szCs w:val="24"/>
    </w:rPr>
  </w:style>
  <w:style w:type="character" w:customStyle="1" w:styleId="50">
    <w:name w:val="标题 5 字符"/>
    <w:basedOn w:val="a0"/>
    <w:link w:val="5"/>
    <w:qFormat/>
    <w:rPr>
      <w:rFonts w:ascii="Book Antiqua" w:eastAsia="Book Antiqua" w:hAnsi="Book Antiqua" w:cs="Book Antiqua"/>
      <w:b/>
      <w:bCs/>
      <w:iCs/>
    </w:rPr>
  </w:style>
  <w:style w:type="character" w:customStyle="1" w:styleId="60">
    <w:name w:val="标题 6 字符"/>
    <w:basedOn w:val="a0"/>
    <w:link w:val="6"/>
    <w:qFormat/>
    <w:rPr>
      <w:rFonts w:ascii="Book Antiqua" w:eastAsia="Book Antiqua" w:hAnsi="Book Antiqua" w:cs="Book Antiqua"/>
      <w:b/>
      <w:bCs/>
      <w:sz w:val="16"/>
      <w:szCs w:val="16"/>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Revision1">
    <w:name w:val="Revision1"/>
    <w:hidden/>
    <w:uiPriority w:val="99"/>
    <w:semiHidden/>
    <w:qFormat/>
    <w:rPr>
      <w:rFonts w:eastAsiaTheme="minorEastAsia"/>
      <w:sz w:val="24"/>
      <w:szCs w:val="24"/>
      <w:lang w:eastAsia="en-US"/>
    </w:rPr>
  </w:style>
  <w:style w:type="paragraph" w:customStyle="1" w:styleId="11">
    <w:name w:val="修订1"/>
    <w:hidden/>
    <w:uiPriority w:val="99"/>
    <w:semiHidden/>
    <w:qFormat/>
    <w:rPr>
      <w:rFonts w:eastAsiaTheme="minorEastAsia"/>
      <w:sz w:val="24"/>
      <w:szCs w:val="24"/>
      <w:lang w:eastAsia="en-US"/>
    </w:rPr>
  </w:style>
  <w:style w:type="character" w:styleId="af0">
    <w:name w:val="Unresolved Mention"/>
    <w:basedOn w:val="a0"/>
    <w:uiPriority w:val="99"/>
    <w:semiHidden/>
    <w:unhideWhenUsed/>
    <w:rsid w:val="007131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759BD-A1F5-47C5-A12D-DE6078944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63</Pages>
  <Words>24767</Words>
  <Characters>141177</Characters>
  <Application>Microsoft Office Word</Application>
  <DocSecurity>0</DocSecurity>
  <Lines>1176</Lines>
  <Paragraphs>331</Paragraphs>
  <ScaleCrop>false</ScaleCrop>
  <Company/>
  <LinksUpToDate>false</LinksUpToDate>
  <CharactersWithSpaces>165613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87571</dc:creator>
  <cp:lastModifiedBy>Chen YX</cp:lastModifiedBy>
  <cp:revision>70</cp:revision>
  <dcterms:created xsi:type="dcterms:W3CDTF">2023-04-04T13:12:00Z</dcterms:created>
  <dcterms:modified xsi:type="dcterms:W3CDTF">2023-06-14T07:27:00Z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0F962FC2ED334D68BF7B3B270FB03896_13</vt:lpwstr>
  </property>
  <property fmtid="{D5CDD505-2E9C-101B-9397-08002B2CF9AE}" pid="4" name="GrammarlyDocumentId">
    <vt:lpwstr>418278f3891963119bcc05f3cb9615c17514cf96b04a7fe164996e03b265e89f</vt:lpwstr>
  </property>
</Properties>
</file>