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Neurology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82788</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Basic Study</w:t>
      </w:r>
    </w:p>
    <w:p>
      <w:pPr>
        <w:spacing w:line="360" w:lineRule="auto"/>
        <w:jc w:val="both"/>
      </w:pPr>
      <w:r>
        <w:rPr>
          <w:rFonts w:ascii="Book Antiqua" w:hAnsi="Book Antiqua" w:eastAsia="Book Antiqua" w:cs="Book Antiqua"/>
          <w:b/>
          <w:color w:val="000000"/>
        </w:rPr>
        <w:t>Alcohol intolerance and myalgic encephalomyelitis/chronic fatigue syndrome</w:t>
      </w:r>
    </w:p>
    <w:p>
      <w:pPr>
        <w:spacing w:line="360" w:lineRule="auto"/>
        <w:jc w:val="both"/>
      </w:pPr>
    </w:p>
    <w:p>
      <w:pPr>
        <w:spacing w:line="360" w:lineRule="auto"/>
        <w:jc w:val="both"/>
      </w:pPr>
      <w:r>
        <w:rPr>
          <w:rFonts w:ascii="Book Antiqua" w:hAnsi="Book Antiqua" w:eastAsia="Book Antiqua" w:cs="Book Antiqua"/>
          <w:color w:val="000000"/>
        </w:rPr>
        <w:t xml:space="preserve">Maciuch J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ascii="Book Antiqua" w:hAnsi="Book Antiqua" w:eastAsia="Book Antiqua" w:cs="Book Antiqua"/>
          <w:bCs/>
          <w:color w:val="000000"/>
        </w:rPr>
        <w:t>Alcohol intolerance and ME/CFS</w:t>
      </w:r>
    </w:p>
    <w:p>
      <w:pPr>
        <w:spacing w:line="360" w:lineRule="auto"/>
        <w:jc w:val="both"/>
      </w:pPr>
    </w:p>
    <w:p>
      <w:pPr>
        <w:spacing w:line="360" w:lineRule="auto"/>
        <w:jc w:val="both"/>
      </w:pPr>
      <w:r>
        <w:rPr>
          <w:rFonts w:ascii="Book Antiqua" w:hAnsi="Book Antiqua" w:eastAsia="Book Antiqua" w:cs="Book Antiqua"/>
          <w:color w:val="000000"/>
        </w:rPr>
        <w:t>Jessica Maciuch, Leonard A Jason</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Jessica Maciuch,</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Leonard A Jason, </w:t>
      </w:r>
      <w:r>
        <w:rPr>
          <w:rFonts w:ascii="Book Antiqua" w:hAnsi="Book Antiqua" w:eastAsia="Book Antiqua" w:cs="Book Antiqua"/>
          <w:color w:val="000000"/>
        </w:rPr>
        <w:t>Center for Community Research, DePaul University, Chicago, IL 60614, United States</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Maciuch J and Jason LA contributed equally to this work, designed the research, performed the research, analyzed data, and wrote the paper.</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Leonard A Jason, PhD, Professor, </w:t>
      </w:r>
      <w:r>
        <w:rPr>
          <w:rFonts w:ascii="Book Antiqua" w:hAnsi="Book Antiqua" w:eastAsia="Book Antiqua" w:cs="Book Antiqua"/>
          <w:color w:val="000000"/>
        </w:rPr>
        <w:t>Center for Community Research, DePaul University, 990 W Fullerton Ave, Chicago, IL 60614, United States. ljason@depaul.edu</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December 27, 2022</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April 13,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May 6, 2023</w:t>
      </w:r>
    </w:p>
    <w:p>
      <w:pPr>
        <w:spacing w:line="360" w:lineRule="auto"/>
        <w:jc w:val="both"/>
        <w:rPr>
          <w:rFonts w:hint="default" w:eastAsia="宋体"/>
          <w:b w:val="0"/>
          <w:bCs w:val="0"/>
          <w:lang w:val="en-US" w:eastAsia="zh-CN"/>
        </w:rPr>
      </w:pPr>
      <w:r>
        <w:rPr>
          <w:rFonts w:ascii="Book Antiqua" w:hAnsi="Book Antiqua" w:eastAsia="Book Antiqua" w:cs="Book Antiqua"/>
          <w:b/>
          <w:bCs/>
        </w:rPr>
        <w:t xml:space="preserve">Published online: </w:t>
      </w:r>
      <w:r>
        <w:rPr>
          <w:rFonts w:hint="eastAsia" w:ascii="Book Antiqua" w:hAnsi="Book Antiqua" w:eastAsia="宋体" w:cs="Book Antiqua"/>
          <w:b w:val="0"/>
          <w:bCs w:val="0"/>
          <w:lang w:val="en-US" w:eastAsia="zh-CN"/>
        </w:rPr>
        <w:t>May 31, 2023</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The literature is mixed about the occurrence of alcohol intolerance among patients with myalgic encephalomyelitis/chronic fatigue syndrome (ME/CFS). Surveys that asked respondents with ME/CFS whether they experienced alcohol intolerance within a recent time frame might produce inaccurate results because respondents may indicate that the symptom was not present if they avoid alcohol due to alcohol intolerance.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To overcome this methodologic problem, participants in the current study were asked whether they have avoided alcohol in the past 6 mo, and if they had, how severe their alcohol intolerance would be if they were to drink alcohol.</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 xml:space="preserve">The instrument used was a validated scale called the DePaul symptom questionnaire. Independent </w:t>
      </w:r>
      <w:r>
        <w:rPr>
          <w:rFonts w:ascii="Book Antiqua" w:hAnsi="Book Antiqua" w:eastAsia="Book Antiqua" w:cs="Book Antiqua"/>
          <w:i/>
          <w:iCs/>
        </w:rPr>
        <w:t>t</w:t>
      </w:r>
      <w:r>
        <w:rPr>
          <w:rFonts w:ascii="Book Antiqua" w:hAnsi="Book Antiqua" w:eastAsia="Book Antiqua" w:cs="Book Antiqua"/>
        </w:rPr>
        <w:t>-tests were performed among the alcohol intolerant or not alcohol intolerant group. The alcohol intolerant group had 208 participants, and the not alcohol intolerant group had 96 participants.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 xml:space="preserve">Using specially designed questions to properly identify those with alcohol intolerance, those who experienced alcohol intolerance </w:t>
      </w:r>
      <w:r>
        <w:rPr>
          <w:rFonts w:ascii="Book Antiqua" w:hAnsi="Book Antiqua" w:eastAsia="Book Antiqua" w:cs="Book Antiqua"/>
          <w:i/>
          <w:iCs/>
        </w:rPr>
        <w:t>vs</w:t>
      </w:r>
      <w:r>
        <w:rPr>
          <w:rFonts w:ascii="Book Antiqua" w:hAnsi="Book Antiqua" w:eastAsia="Book Antiqua" w:cs="Book Antiqua"/>
        </w:rPr>
        <w:t xml:space="preserve"> those who did not experience alcohol intolerance experienced more frequent/severe symptoms and domains. In addition, using a multiple regression analysis, the orthostatic intolerance symptom domain was related to alcohol intolerance.</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The findings from the current study indicated that those with ME/CFS are more likely to experience alcohol intolerance. In addition, those with this symptom have more overall symptoms than those without alcohol intolerance.</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Myalgic encephalomyelitis/chronic fatigue syndrome; Alcohol intolerance; Orthostatic intolerance; DePaul symptom questionnaire; Symptom burden; Methodology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宋体"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rPr>
        <w:t xml:space="preserve">Maciuch J, </w:t>
      </w:r>
      <w:r>
        <w:rPr>
          <w:rFonts w:ascii="Book Antiqua" w:hAnsi="Book Antiqua" w:eastAsia="Book Antiqua" w:cs="Book Antiqua"/>
        </w:rPr>
        <w:t xml:space="preserve">Jason LA. Alcohol intolerance and myalgic encephalomyelitis/chronic fatigue syndrome. </w:t>
      </w:r>
      <w:r>
        <w:rPr>
          <w:rFonts w:ascii="Book Antiqua" w:hAnsi="Book Antiqua" w:eastAsia="Book Antiqua" w:cs="Book Antiqua"/>
          <w:i/>
          <w:iCs/>
        </w:rPr>
        <w:t>World J Neurol</w:t>
      </w:r>
      <w:r>
        <w:rPr>
          <w:rFonts w:ascii="Book Antiqua" w:hAnsi="Book Antiqua" w:eastAsia="Book Antiqua" w:cs="Book Antiqua"/>
        </w:rPr>
        <w:t xml:space="preserve"> 2023; </w:t>
      </w:r>
      <w:r>
        <w:rPr>
          <w:rFonts w:hint="eastAsia" w:ascii="Book Antiqua" w:hAnsi="Book Antiqua" w:eastAsia="宋体" w:cs="Book Antiqua"/>
          <w:lang w:val="en-US" w:eastAsia="zh-CN"/>
        </w:rPr>
        <w:t xml:space="preserve">9(3): </w:t>
      </w:r>
      <w:r>
        <w:rPr>
          <w:rStyle w:val="18"/>
          <w:b w:val="0"/>
          <w:bCs w:val="0"/>
          <w:sz w:val="24"/>
          <w:szCs w:val="24"/>
          <w:lang w:val="en-US" w:eastAsia="zh-CN" w:bidi="ar"/>
        </w:rPr>
        <w:t>17-27</w:t>
      </w:r>
      <w:r>
        <w:rPr>
          <w:rFonts w:hint="eastAsia" w:ascii="Book Antiqua" w:hAnsi="Book Antiqua" w:eastAsia="宋体" w:cs="Book Antiqua"/>
          <w:lang w:val="en-US" w:eastAsia="zh-CN"/>
        </w:rPr>
        <w:t xml:space="preserve"> </w:t>
      </w:r>
    </w:p>
    <w:p>
      <w:pPr>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b/>
          <w:bCs/>
          <w:lang w:val="en-US" w:eastAsia="zh-CN"/>
        </w:rPr>
        <w:t>URL</w:t>
      </w:r>
      <w:r>
        <w:rPr>
          <w:rFonts w:hint="eastAsia" w:ascii="Book Antiqua" w:hAnsi="Book Antiqua" w:eastAsia="宋体" w:cs="Book Antiqua"/>
          <w:lang w:val="en-US" w:eastAsia="zh-CN"/>
        </w:rPr>
        <w:t xml:space="preserve">: </w:t>
      </w:r>
      <w:r>
        <w:rPr>
          <w:rFonts w:hint="eastAsia" w:ascii="Book Antiqua" w:hAnsi="Book Antiqua" w:eastAsia="宋体" w:cs="Book Antiqua"/>
          <w:color w:val="auto"/>
          <w:u w:val="none"/>
          <w:lang w:val="en-US" w:eastAsia="zh-CN"/>
        </w:rPr>
        <w:t>https://www.wjgnet.com/2218-6212/full/v9/i3/17.htm</w:t>
      </w:r>
      <w:r>
        <w:rPr>
          <w:rFonts w:hint="eastAsia" w:ascii="Book Antiqua" w:hAnsi="Book Antiqua" w:eastAsia="宋体" w:cs="Book Antiqua"/>
          <w:lang w:val="en-US" w:eastAsia="zh-CN"/>
        </w:rPr>
        <w:t xml:space="preserve"> </w:t>
      </w:r>
    </w:p>
    <w:p>
      <w:pPr>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b/>
          <w:bCs/>
          <w:lang w:val="en-US" w:eastAsia="zh-CN"/>
        </w:rPr>
        <w:t>DOI</w:t>
      </w:r>
      <w:r>
        <w:rPr>
          <w:rFonts w:hint="eastAsia" w:ascii="Book Antiqua" w:hAnsi="Book Antiqua" w:eastAsia="宋体" w:cs="Book Antiqua"/>
          <w:lang w:val="en-US" w:eastAsia="zh-CN"/>
        </w:rPr>
        <w:t xml:space="preserve">: </w:t>
      </w:r>
      <w:r>
        <w:rPr>
          <w:rFonts w:hint="eastAsia" w:ascii="Book Antiqua" w:hAnsi="Book Antiqua" w:eastAsia="宋体" w:cs="Book Antiqua"/>
          <w:color w:val="auto"/>
          <w:u w:val="none"/>
          <w:lang w:val="en-US" w:eastAsia="zh-CN"/>
        </w:rPr>
        <w:t>https://dx.doi.org/10.5316/wjn.v9.i3.17</w:t>
      </w:r>
    </w:p>
    <w:p>
      <w:pPr>
        <w:spacing w:line="360" w:lineRule="auto"/>
        <w:jc w:val="both"/>
        <w:rPr>
          <w:rFonts w:hint="default" w:ascii="Book Antiqua" w:hAnsi="Book Antiqua" w:eastAsia="宋体" w:cs="Book Antiqua"/>
          <w:lang w:val="en-US" w:eastAsia="zh-CN"/>
        </w:rPr>
      </w:pP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The findings from the current study indicated that those with myalgic encephalomyelitis/chronic fatigue syndrome are more likely to experience alcohol intolerance.</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Myalgic encephalomyelitis/chronic fatigue syndrome (ME/CFS) is a chronic illness characterized by persistent debilitating fatigue, post-exertional malaise, cognitive impairment, and sleep dysfunction</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addition to these core symptoms, individuals with ME/CFS may also present with a variety of other symptoms. Symptom occurrence patterns have been previously proposed as a method of determining ME/CFS subtypes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In response to anecdotal observation of alcohol avoidance in individuals with ME/CFS, several studies have attempted to quantify alcohol intake. The majority of these studies reported decreased alcohol intake in ME/CFS, but results are inconsistent across studies. Woolley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reported that 66% of respondents chose to reduce alcohol intake, with the most common justifications being “increased tiredness after drinking (67%), increased nausea (33%), exacerbated hangovers (23%) and sleep disturbance (24%).” The same study also reported increased impairment in the ability to work, engage in social or leisurely activities, and memory function in those with reduced alcohol intake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Weigel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and </w:t>
      </w:r>
      <w:r>
        <w:rPr>
          <w:rFonts w:ascii="Book Antiqua" w:hAnsi="Book Antiqua"/>
        </w:rPr>
        <w:t>van't Leven</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also reported reduced alcohol intake in ME/CFS compared to the general population and non-fatigued controls, respectively. In contrast, Hamaguchi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reported no significant difference in alcohol intake in participants with ME/CFS.</w:t>
      </w:r>
    </w:p>
    <w:p>
      <w:pPr>
        <w:spacing w:line="360" w:lineRule="auto"/>
        <w:ind w:firstLine="480" w:firstLineChars="200"/>
        <w:jc w:val="both"/>
      </w:pPr>
      <w:r>
        <w:rPr>
          <w:rFonts w:ascii="Book Antiqua" w:hAnsi="Book Antiqua" w:eastAsia="Book Antiqua" w:cs="Book Antiqua"/>
          <w:color w:val="000000"/>
        </w:rPr>
        <w:t xml:space="preserve">Studies focusing on alcohol intolerance or sensitivity as a potential symptom of ME/CFS have produced similarly inconsistent findings. Jason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found a statistically significant higher prevalence of alcohol intolerance in participants with ME/CFS compared to non-fatigued controls. Within ME/CFS populations, De Becker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found that 59%-64% of participants who met either the Holmes or Fukuda diagnostic criteria for ME/CFS reported alcohol intolerance. Chu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found that 66% of participants with ME/CFS reported an increased sensitivity to alcohol after becoming ill. However, Nisenbaum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found no significant difference in alcohol intolerance between fatigued and non-fatigued respondents.</w:t>
      </w:r>
    </w:p>
    <w:p>
      <w:pPr>
        <w:spacing w:line="360" w:lineRule="auto"/>
        <w:ind w:firstLine="480" w:firstLineChars="200"/>
        <w:jc w:val="both"/>
      </w:pPr>
      <w:r>
        <w:rPr>
          <w:rFonts w:ascii="Book Antiqua" w:hAnsi="Book Antiqua" w:eastAsia="Book Antiqua" w:cs="Book Antiqua"/>
          <w:color w:val="000000"/>
        </w:rPr>
        <w:t>Surveys that ask respondents with ME/CFS whether they experienced alcohol intolerance within a recent time frame might produce inaccurate results since respondents may indicate that the symptom was not present if they have avoided alcohol in the designated time frame</w:t>
      </w:r>
      <w:r>
        <w:rPr>
          <w:rFonts w:ascii="Book Antiqua" w:hAnsi="Book Antiqua" w:eastAsia="Book Antiqua" w:cs="Book Antiqua"/>
          <w:color w:val="000000"/>
          <w:vertAlign w:val="superscript"/>
        </w:rPr>
        <w:t>[12]</w:t>
      </w:r>
      <w:r>
        <w:rPr>
          <w:rFonts w:ascii="Book Antiqua" w:hAnsi="Book Antiqua" w:eastAsia="Book Antiqua" w:cs="Book Antiqua"/>
          <w:color w:val="000000"/>
        </w:rPr>
        <w:t>. Due to this concern, in research there is a need to ask participants whether they have avoided alcohol in the past 6 mo, and if they have, how severe their alcohol intolerance would be if they were to drink alcohol. The failure to account for the effect of question wording may partially explain the inconsistency in findings related to alcohol intolerance in ME/CFS.</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Despite inconsistent findings in the literature, alcohol intolerance has been identified as a clinically relevant feature of ME/CFS by Bansal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even suggesting that the ability to tolerate four or more drinks in one sitting should prompt healthcare practitioners to rethink an ME/CFS diagnosis. Chu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previously speculated that alcohol intolerance in ME/CFS might be related to underlying autonomic dysfunction, which would also explain the high prevalence of orthostatic intolerance and impaired temperature regulation in ME/CFS. Baraniuk</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speculated that alcohol intolerance in ME/CFS may be related to the effect of acetate (a byproduct of ethanol breakdown) on mitochondrial function, which is already known to be impaired in ME/CFS</w:t>
      </w:r>
      <w:r>
        <w:rPr>
          <w:rFonts w:ascii="Book Antiqua" w:hAnsi="Book Antiqua" w:eastAsia="Book Antiqua" w:cs="Book Antiqua"/>
          <w:color w:val="000000"/>
          <w:vertAlign w:val="superscript"/>
        </w:rPr>
        <w:t>[15,16]</w:t>
      </w:r>
      <w:r>
        <w:rPr>
          <w:rFonts w:ascii="Book Antiqua" w:hAnsi="Book Antiqua" w:eastAsia="Book Antiqua" w:cs="Book Antiqua"/>
          <w:color w:val="000000"/>
        </w:rPr>
        <w:t>. The added stress of high acetate levels during alcohol consumption may cause more severe dysfunction in areas of the brain that are highly metabolically active</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to our knowledge, neither hypothesis has been directly investigated.</w:t>
      </w:r>
    </w:p>
    <w:p>
      <w:pPr>
        <w:spacing w:line="360" w:lineRule="auto"/>
        <w:ind w:firstLine="720"/>
        <w:jc w:val="both"/>
      </w:pPr>
      <w:r>
        <w:rPr>
          <w:rFonts w:ascii="Book Antiqua" w:hAnsi="Book Antiqua" w:eastAsia="Book Antiqua" w:cs="Book Antiqua"/>
          <w:color w:val="000000"/>
        </w:rPr>
        <w:t>The present study aimed to provide insight into the role of alcohol intolerance in ME/CFS by identifying correlations between alcohol intolerance and other common symptoms. We hypothesized that alcohol intolerance correlates with measures of autonomic dysfunction (such as orthostatic and temperature intolerance), measures of neurocognitive dysfunction, and higher severity of physical impairment. Further, we investigated whether alcohol intolerance may be used to distinguish a clinically relevant subtype of ME/CFS.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bCs/>
          <w:i/>
          <w:iCs/>
        </w:rPr>
      </w:pPr>
      <w:r>
        <w:rPr>
          <w:rFonts w:ascii="Book Antiqua" w:hAnsi="Book Antiqua" w:eastAsia="Book Antiqua" w:cs="Book Antiqua"/>
          <w:b/>
          <w:bCs/>
          <w:i/>
          <w:iCs/>
          <w:color w:val="000000"/>
        </w:rPr>
        <w:t>Participants</w:t>
      </w:r>
    </w:p>
    <w:p>
      <w:pPr>
        <w:spacing w:line="360" w:lineRule="auto"/>
        <w:jc w:val="both"/>
      </w:pPr>
      <w:r>
        <w:rPr>
          <w:rFonts w:ascii="Book Antiqua" w:hAnsi="Book Antiqua" w:eastAsia="Book Antiqua" w:cs="Book Antiqua"/>
          <w:color w:val="000000"/>
        </w:rPr>
        <w:t>The present study utilized a previously collected cross-sectional sample of adults with various chronic illnesses from a larger study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Participant recruitment was conducted </w:t>
      </w:r>
      <w:r>
        <w:rPr>
          <w:rFonts w:ascii="Book Antiqua" w:hAnsi="Book Antiqua" w:eastAsia="Book Antiqua" w:cs="Book Antiqua"/>
          <w:i/>
          <w:iCs/>
          <w:color w:val="000000"/>
        </w:rPr>
        <w:t>via</w:t>
      </w:r>
      <w:r>
        <w:rPr>
          <w:rFonts w:ascii="Book Antiqua" w:hAnsi="Book Antiqua" w:eastAsia="Book Antiqua" w:cs="Book Antiqua"/>
          <w:color w:val="000000"/>
        </w:rPr>
        <w:t xml:space="preserve"> email requests to national foundations as well as posts to social media outlets, research forums, and support group websites. Participants were directed to complete an online questionnaire after establishing informed consent. Approval was provided by the DePaul University Institutional Review Board for all study methods.</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For the purposes of this investigation, participants were included if they reported a diagnosis of CFS, ME, or ME/CFS, and if they responded to the </w:t>
      </w:r>
      <w:bookmarkStart w:id="0" w:name="_Hlk132874471"/>
      <w:r>
        <w:rPr>
          <w:rFonts w:ascii="Book Antiqua" w:hAnsi="Book Antiqua" w:eastAsia="Book Antiqua" w:cs="Book Antiqua"/>
          <w:color w:val="000000"/>
        </w:rPr>
        <w:t xml:space="preserve">DePaul symptom questionnaire-2 </w:t>
      </w:r>
      <w:bookmarkEnd w:id="0"/>
      <w:r>
        <w:rPr>
          <w:rFonts w:ascii="Book Antiqua" w:hAnsi="Book Antiqua" w:eastAsia="Book Antiqua" w:cs="Book Antiqua"/>
          <w:color w:val="000000"/>
        </w:rPr>
        <w:t>(DSQ-2) questions used to classify alcohol intolerance (</w:t>
      </w:r>
      <w:r>
        <w:rPr>
          <w:rFonts w:ascii="Book Antiqua" w:hAnsi="Book Antiqua" w:eastAsia="Book Antiqua" w:cs="Book Antiqua"/>
          <w:i/>
          <w:iCs/>
          <w:color w:val="000000"/>
        </w:rPr>
        <w:t>n</w:t>
      </w:r>
      <w:r>
        <w:rPr>
          <w:rFonts w:ascii="Book Antiqua" w:hAnsi="Book Antiqua" w:eastAsia="Book Antiqua" w:cs="Book Antiqua"/>
          <w:color w:val="000000"/>
        </w:rPr>
        <w:t xml:space="preserve"> = 304). Exclusion criteria consisted of a diagnosis of cancer, lupus, multiple sclerosis, post-polio syndrome, HIV/AIDS, or Gulf War syndrome.</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Measures</w:t>
      </w:r>
    </w:p>
    <w:p>
      <w:pPr>
        <w:spacing w:line="360" w:lineRule="auto"/>
        <w:jc w:val="both"/>
      </w:pPr>
      <w:r>
        <w:rPr>
          <w:rFonts w:ascii="Book Antiqua" w:hAnsi="Book Antiqua" w:eastAsia="Book Antiqua" w:cs="Book Antiqua"/>
          <w:color w:val="000000"/>
        </w:rPr>
        <w:t>Participants completed the DSQ-2</w:t>
      </w:r>
      <w:r>
        <w:rPr>
          <w:rFonts w:ascii="Book Antiqua" w:hAnsi="Book Antiqua" w:eastAsia="Book Antiqua" w:cs="Book Antiqua"/>
          <w:color w:val="000000"/>
          <w:vertAlign w:val="superscript"/>
        </w:rPr>
        <w:t>[12]</w:t>
      </w:r>
      <w:r>
        <w:rPr>
          <w:rFonts w:ascii="Book Antiqua" w:hAnsi="Book Antiqua" w:eastAsia="Book Antiqua" w:cs="Book Antiqua"/>
          <w:color w:val="000000"/>
        </w:rPr>
        <w:t>, a self-report questionnaire that assesses ME/CFS symptomatology as well as social, occupational, and medical history, and demographic information. The DSQ-2 constitutes an addition of 34 items to the DePaul Symptom Questionnaire-1 (DSQ-1), which has previously shown favorable results for construct, convergent, and discriminant validity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and test-retest reliability</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DSQ-2 is publicly available in the shared library of the Research Electronic Data Capture (REDCap)</w:t>
      </w:r>
      <w:r>
        <w:rPr>
          <w:rFonts w:ascii="Book Antiqua" w:hAnsi="Book Antiqua" w:eastAsia="Book Antiqua" w:cs="Book Antiqua"/>
          <w:color w:val="000000"/>
          <w:vertAlign w:val="superscript"/>
        </w:rPr>
        <w:t>[20,21]</w:t>
      </w:r>
      <w:r>
        <w:rPr>
          <w:rFonts w:ascii="Book Antiqua" w:hAnsi="Book Antiqua" w:eastAsia="Book Antiqua" w:cs="Book Antiqua"/>
          <w:color w:val="000000"/>
        </w:rPr>
        <w:t xml:space="preserve"> and can be accessed at https://redcap.is.depaul.edu/surveys/?s=4NJ9CKW7JD.</w:t>
      </w:r>
    </w:p>
    <w:p>
      <w:pPr>
        <w:spacing w:line="360" w:lineRule="auto"/>
        <w:ind w:firstLine="720"/>
        <w:jc w:val="both"/>
      </w:pPr>
      <w:r>
        <w:rPr>
          <w:rFonts w:ascii="Book Antiqua" w:hAnsi="Book Antiqua" w:eastAsia="Book Antiqua" w:cs="Book Antiqua"/>
          <w:color w:val="000000"/>
        </w:rPr>
        <w:t>Participants were asked to rate the frequency and severity of each symptom over the past 6 mo on 5-point Likert scales. For frequency, participants chose between the following options: 0 = none of the time; 1 = a little of the time; 2 = about half the time; 3 = most of the time; and 4 = all of the time. For severity, participants chose between the following options: 0 = symptom not present; 1 = mild; 2 = moderate; 3 = severe; and 4 = very severe. Composite scores were generated for each symptom by averaging respective scores for frequency and severity and multiplying by 25 for a 100-point scale. Higher scores indicate a higher burden of the designated symptom. Symptom domain scores were calculated by averaging the composite scores for each item within the following symptom domains, previously determined by exploratory factor analysis on DSQ-2 data, including post-exertional malaise, cognitive impairment, fever and flu, pain, sleep disruption, orthostatic intolerance, genitourinary, and temperature intolerance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Table 1 lists the DSQ-2 questions used to classify alcohol intolerance. The DSQ-2 question relating to frequency of alcohol intolerance over the past 6 mo was omitted due to ambiguity as to whether responses reflected the frequency of drinking alcohol or the frequency of experiencing alcohol intolerance when drinking alcohol.</w:t>
      </w:r>
    </w:p>
    <w:p>
      <w:pPr>
        <w:spacing w:line="360" w:lineRule="auto"/>
        <w:ind w:firstLine="720"/>
        <w:jc w:val="both"/>
      </w:pPr>
      <w:r>
        <w:rPr>
          <w:rFonts w:ascii="Book Antiqua" w:hAnsi="Book Antiqua" w:eastAsia="Book Antiqua" w:cs="Book Antiqua"/>
          <w:color w:val="000000"/>
        </w:rPr>
        <w:t>Participants were classified as alcohol intolerant if they met either condition:</w:t>
      </w:r>
      <w:r>
        <w:rPr>
          <w:lang w:eastAsia="zh-CN"/>
        </w:rPr>
        <w:t xml:space="preserve"> </w:t>
      </w:r>
      <w:r>
        <w:rPr>
          <w:rFonts w:ascii="Book Antiqua" w:hAnsi="Book Antiqua" w:eastAsia="Book Antiqua" w:cs="Book Antiqua"/>
          <w:color w:val="000000"/>
        </w:rPr>
        <w:t>(1) Reported a severity of moderate or higher on alcohol intolerance within the past 6 mo (options 2-4 on question 1 in Table 1); or</w:t>
      </w:r>
      <w:r>
        <w:rPr>
          <w:lang w:eastAsia="zh-CN"/>
        </w:rPr>
        <w:t xml:space="preserve"> </w:t>
      </w:r>
      <w:r>
        <w:rPr>
          <w:rFonts w:ascii="Book Antiqua" w:hAnsi="Book Antiqua" w:eastAsia="Book Antiqua" w:cs="Book Antiqua"/>
          <w:color w:val="000000"/>
        </w:rPr>
        <w:t>(2) Reported that they were avoiding alcohol (“Yes” on question 2), and their alcohol intolerance would be moderate or higher if they were to drink alcohol (options 2-4 on question 3 in Table 1).</w:t>
      </w:r>
    </w:p>
    <w:p>
      <w:pPr>
        <w:spacing w:line="360" w:lineRule="auto"/>
        <w:ind w:firstLine="720"/>
        <w:jc w:val="both"/>
      </w:pPr>
      <w:r>
        <w:rPr>
          <w:rFonts w:ascii="Book Antiqua" w:hAnsi="Book Antiqua" w:eastAsia="Book Antiqua" w:cs="Book Antiqua"/>
          <w:color w:val="000000"/>
        </w:rPr>
        <w:t>Participants were classified as “not alcohol intolerant” if they met either condition:</w:t>
      </w:r>
      <w:r>
        <w:rPr>
          <w:lang w:eastAsia="zh-CN"/>
        </w:rPr>
        <w:t xml:space="preserve"> </w:t>
      </w:r>
      <w:r>
        <w:rPr>
          <w:rFonts w:ascii="Book Antiqua" w:hAnsi="Book Antiqua" w:eastAsia="Book Antiqua" w:cs="Book Antiqua"/>
          <w:color w:val="000000"/>
        </w:rPr>
        <w:t>(1) Reported alcohol intolerance severity within the past 6 mo as “symptom not present” or “mild” (options 0-1 on question 1 in Table 1); or</w:t>
      </w:r>
      <w:r>
        <w:rPr>
          <w:lang w:eastAsia="zh-CN"/>
        </w:rPr>
        <w:t xml:space="preserve"> </w:t>
      </w:r>
      <w:r>
        <w:rPr>
          <w:rFonts w:ascii="Book Antiqua" w:hAnsi="Book Antiqua" w:eastAsia="Book Antiqua" w:cs="Book Antiqua"/>
          <w:color w:val="000000"/>
        </w:rPr>
        <w:t>(2) Reported that they were avoiding alcohol (“Yes” or “No, I do not drink alcohol for other reasons” on question 2), and their alcohol intolerance would be mild or not present if they were to drink alcohol (options 0-1 on question 3).</w:t>
      </w:r>
    </w:p>
    <w:p>
      <w:pPr>
        <w:spacing w:line="360" w:lineRule="auto"/>
        <w:ind w:firstLine="720"/>
        <w:jc w:val="both"/>
      </w:pPr>
      <w:r>
        <w:rPr>
          <w:rFonts w:ascii="Book Antiqua" w:hAnsi="Book Antiqua" w:eastAsia="Book Antiqua" w:cs="Book Antiqua"/>
          <w:color w:val="000000"/>
        </w:rPr>
        <w:t>For the linear regression, alcohol intolerance was coded as a linear variable based on the following conditions:</w:t>
      </w:r>
      <w:r>
        <w:rPr>
          <w:lang w:eastAsia="zh-CN"/>
        </w:rPr>
        <w:t xml:space="preserve"> </w:t>
      </w:r>
      <w:r>
        <w:rPr>
          <w:rFonts w:ascii="Book Antiqua" w:hAnsi="Book Antiqua" w:eastAsia="Book Antiqua" w:cs="Book Antiqua"/>
          <w:color w:val="000000"/>
        </w:rPr>
        <w:t>(1) If the participant answered that they were avoiding alcohol (“Yes” on question 2), alcohol intolerance was coded as the score of how severe alcohol intolerance would be if they were to drink alcohol (question 3); and (2) If the participant was NOT avoiding alcohol, alcohol intolerance was coded as the score of alcohol intolerance severity in the past 6 mo (question 1).</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In addition to the DSQ-2, participants were also asked to complete the MOS </w:t>
      </w:r>
      <w:bookmarkStart w:id="1" w:name="_Hlk132875300"/>
      <w:r>
        <w:rPr>
          <w:rFonts w:ascii="Book Antiqua" w:hAnsi="Book Antiqua" w:eastAsia="Book Antiqua" w:cs="Book Antiqua"/>
          <w:color w:val="000000"/>
        </w:rPr>
        <w:t>36-item Short-Form</w:t>
      </w:r>
      <w:bookmarkEnd w:id="1"/>
      <w:r>
        <w:rPr>
          <w:rFonts w:ascii="Book Antiqua" w:hAnsi="Book Antiqua" w:eastAsia="Book Antiqua" w:cs="Book Antiqua"/>
          <w:color w:val="000000"/>
        </w:rPr>
        <w:t xml:space="preserve"> Health Survey (SF-36)</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The SF-36 is a self-report measure that assesses health across eight general domains: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hysical functioning; role limitations due to physical health problems (role physical); bodily pain; general health functioning; vitality; role limitations due to personal or emotional problems (role emotional); and mental health. Responses to each of the 36 items are recoded to a 100-point scale, and items are grouped together based on the eight domains. Subscale scores are then generated by averaging item scores within each domain, with higher scores indicating better functioning in the domain. Adequate psychometric properties have been demonstrated for SF-36 across diverse patient groups</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it has previously been shown to perform well in measuring fatigue-related functional impairment in ME/CFS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 xml:space="preserve">Statistical analyses </w:t>
      </w:r>
    </w:p>
    <w:p>
      <w:pPr>
        <w:spacing w:line="360" w:lineRule="auto"/>
        <w:jc w:val="both"/>
      </w:pPr>
      <w:r>
        <w:rPr>
          <w:rFonts w:ascii="Book Antiqua" w:hAnsi="Book Antiqua" w:eastAsia="Book Antiqua" w:cs="Book Antiqua"/>
          <w:color w:val="000000"/>
        </w:rPr>
        <w:t xml:space="preserve">Independent </w:t>
      </w:r>
      <w:r>
        <w:rPr>
          <w:rFonts w:ascii="Book Antiqua" w:hAnsi="Book Antiqua" w:eastAsia="Book Antiqua" w:cs="Book Antiqua"/>
          <w:i/>
          <w:iCs/>
          <w:color w:val="000000"/>
        </w:rPr>
        <w:t>t</w:t>
      </w:r>
      <w:r>
        <w:rPr>
          <w:rFonts w:ascii="Book Antiqua" w:hAnsi="Book Antiqua" w:eastAsia="Book Antiqua" w:cs="Book Antiqua"/>
          <w:color w:val="000000"/>
        </w:rPr>
        <w:t xml:space="preserve">-tests were performed using SPSS 26 for all DSQ-2 symptoms and SF-36 items. Participants were divided into a binary classification of “alcohol intolerant” or “not alcohol intolerant.” Due to the large number of items that were tested, we only considered findings significant if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we used two-tailed significance levels.</w:t>
      </w:r>
    </w:p>
    <w:p>
      <w:pPr>
        <w:spacing w:line="360" w:lineRule="auto"/>
        <w:ind w:firstLine="720"/>
        <w:jc w:val="both"/>
      </w:pPr>
      <w:r>
        <w:rPr>
          <w:rFonts w:ascii="Book Antiqua" w:hAnsi="Book Antiqua" w:eastAsia="Book Antiqua" w:cs="Book Antiqua"/>
          <w:color w:val="000000"/>
        </w:rPr>
        <w:t>Multiple linear regression was conducted to determine if composite symptom scores in the eight DSQ-2 domains were predictors of alcohol intolerance severity scores. Age and sex (coded in the data set as: 1 = male; 2 = female; and 3 = other) were also evaluated in the regression model.</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bCs/>
          <w:i/>
          <w:iCs/>
        </w:rPr>
      </w:pPr>
      <w:r>
        <w:rPr>
          <w:rFonts w:ascii="Book Antiqua" w:hAnsi="Book Antiqua" w:eastAsia="Book Antiqua" w:cs="Book Antiqua"/>
          <w:b/>
          <w:bCs/>
          <w:i/>
          <w:iCs/>
          <w:color w:val="000000"/>
        </w:rPr>
        <w:t>Demographics</w:t>
      </w:r>
    </w:p>
    <w:p>
      <w:pPr>
        <w:spacing w:line="360" w:lineRule="auto"/>
        <w:jc w:val="both"/>
      </w:pPr>
      <w:r>
        <w:rPr>
          <w:rFonts w:ascii="Book Antiqua" w:hAnsi="Book Antiqua" w:eastAsia="Book Antiqua" w:cs="Book Antiqua"/>
          <w:color w:val="000000"/>
        </w:rPr>
        <w:t>Table 2 describes the demographic characteristics of the sample separated by the binary alcohol intolerance classification. The alcohol intolerant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208) had a mean age of 45.48 (standard deviation = 16.49), and the not alcohol intolerant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96) had a mean age of 45.54 (standard deviation = 17.40). Both groups were predominantly female and Caucasian/White. The majority of the sample reported being on disability (50.0% for the alcohol intolerant group; 40.6% for the not alcohol intolerant group) and married/living with a partner (45.2% for the alcohol intolerant group; 55.2% for the not alcohol intolerant group).</w:t>
      </w:r>
    </w:p>
    <w:p>
      <w:pPr>
        <w:spacing w:line="360" w:lineRule="auto"/>
        <w:ind w:firstLine="720"/>
        <w:jc w:val="both"/>
      </w:pPr>
      <w:r>
        <w:rPr>
          <w:rFonts w:ascii="Book Antiqua" w:hAnsi="Book Antiqua" w:eastAsia="Book Antiqua" w:cs="Book Antiqua"/>
          <w:i/>
          <w:iCs/>
          <w:color w:val="000000"/>
        </w:rPr>
        <w:t>t</w:t>
      </w:r>
      <w:r>
        <w:rPr>
          <w:rFonts w:ascii="Book Antiqua" w:hAnsi="Book Antiqua" w:eastAsia="Book Antiqua" w:cs="Book Antiqua"/>
          <w:color w:val="000000"/>
        </w:rPr>
        <w:t xml:space="preserve">-tests were conducted on mean composite scores for 79 individual symptoms, mean composite scores for the 8 symptom domains (calculated by averaging composite scores for items within the symptom domain), and subscale scores for 8 SF-36 domains. Results of the independent </w:t>
      </w:r>
      <w:r>
        <w:rPr>
          <w:rFonts w:ascii="Book Antiqua" w:hAnsi="Book Antiqua" w:eastAsia="Book Antiqua" w:cs="Book Antiqua"/>
          <w:i/>
          <w:iCs/>
          <w:color w:val="000000"/>
        </w:rPr>
        <w:t>t-</w:t>
      </w:r>
      <w:r>
        <w:rPr>
          <w:rFonts w:ascii="Book Antiqua" w:hAnsi="Book Antiqua" w:eastAsia="Book Antiqua" w:cs="Book Antiqua"/>
          <w:color w:val="000000"/>
        </w:rPr>
        <w:t>tests for DSQ-2 symptoms are available in Table 3. Out of 79 individual symptoms, 33 (41%) were significantly different (</w:t>
      </w:r>
      <w:r>
        <w:rPr>
          <w:rFonts w:ascii="Book Antiqua" w:hAnsi="Book Antiqua" w:eastAsia="Book Antiqua" w:cs="Book Antiqua"/>
          <w:i/>
          <w:iCs/>
          <w:color w:val="000000"/>
        </w:rPr>
        <w:t>P</w:t>
      </w:r>
      <w:r>
        <w:rPr>
          <w:rFonts w:ascii="Book Antiqua" w:hAnsi="Book Antiqua" w:eastAsia="Book Antiqua" w:cs="Book Antiqua"/>
          <w:color w:val="000000"/>
        </w:rPr>
        <w:t xml:space="preserve"> ≤ 0.01). For every statistically significant symptom, mean composite scores were higher for the alcohol intolerant group, indicating a higher symptom burden (in terms of frequency and severity of the symptom).</w:t>
      </w:r>
    </w:p>
    <w:p>
      <w:pPr>
        <w:spacing w:line="360" w:lineRule="auto"/>
        <w:ind w:firstLine="720"/>
        <w:jc w:val="both"/>
      </w:pPr>
      <w:r>
        <w:rPr>
          <w:rFonts w:ascii="Book Antiqua" w:hAnsi="Book Antiqua" w:eastAsia="Book Antiqua" w:cs="Book Antiqua"/>
          <w:color w:val="000000"/>
        </w:rPr>
        <w:t>Of the eight symptom domains, five domain scores were significantly higher for the alcohol intolerant group, including post-exertional malaise, cognitive impairment, pain, orthostatic intolerance, and temperature intolerance. The fever and flu, sleep disruption, and genitourinary domains were not significantly different between the two groups.</w:t>
      </w:r>
    </w:p>
    <w:p>
      <w:pPr>
        <w:spacing w:line="360" w:lineRule="auto"/>
        <w:ind w:firstLine="720"/>
        <w:jc w:val="both"/>
      </w:pPr>
      <w:r>
        <w:rPr>
          <w:rFonts w:ascii="Book Antiqua" w:hAnsi="Book Antiqua" w:eastAsia="Book Antiqua" w:cs="Book Antiqua"/>
          <w:color w:val="000000"/>
        </w:rPr>
        <w:t xml:space="preserve">Results of the </w:t>
      </w:r>
      <w:r>
        <w:rPr>
          <w:rFonts w:ascii="Book Antiqua" w:hAnsi="Book Antiqua" w:eastAsia="Book Antiqua" w:cs="Book Antiqua"/>
          <w:i/>
          <w:iCs/>
          <w:color w:val="000000"/>
        </w:rPr>
        <w:t>t</w:t>
      </w:r>
      <w:r>
        <w:rPr>
          <w:rFonts w:ascii="Book Antiqua" w:hAnsi="Book Antiqua" w:eastAsia="Book Antiqua" w:cs="Book Antiqua"/>
          <w:color w:val="000000"/>
        </w:rPr>
        <w:t>-tests for the SF-36 are presented in Table 4. The alcohol intolerant group scored significantly lower on physical functioning and bodily pain. Higher scores indicate better functioning on the SF-36, so lower scores for the alcohol intolerant group would indicate worse functioning.</w:t>
      </w:r>
    </w:p>
    <w:p>
      <w:pPr>
        <w:spacing w:line="360" w:lineRule="auto"/>
        <w:ind w:firstLine="720"/>
        <w:jc w:val="both"/>
      </w:pPr>
      <w:r>
        <w:rPr>
          <w:rFonts w:ascii="Book Antiqua" w:hAnsi="Book Antiqua" w:eastAsia="Book Antiqua" w:cs="Book Antiqua"/>
          <w:color w:val="000000"/>
        </w:rPr>
        <w:t>Results of the multiple linear regression are available in Table 5. The overall multiple linear regression was statistically significant [</w:t>
      </w:r>
      <w:r>
        <w:rPr>
          <w:rFonts w:ascii="Book Antiqua" w:hAnsi="Book Antiqua" w:eastAsia="Book Antiqua" w:cs="Book Antiqua"/>
          <w:i/>
          <w:iCs/>
          <w:color w:val="000000"/>
        </w:rPr>
        <w:t>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0.14, F (10, 233) = 3.64,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Sex, age, and seven out of eight symptom domains did not significantly predict alcohol intolerance severity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0.05). Only the orthostatic intolerance domain significantly predicted alcohol intolerance severity (</w:t>
      </w:r>
      <w:r>
        <w:rPr>
          <w:rFonts w:hint="eastAsia" w:ascii="Book Antiqua" w:hAnsi="Book Antiqua" w:eastAsia="Book Antiqua" w:cs="Book Antiqua"/>
          <w:color w:val="000000"/>
          <w:lang w:val="en-US" w:eastAsia="zh-CN"/>
        </w:rPr>
        <w:t>β</w:t>
      </w:r>
      <w:r>
        <w:rPr>
          <w:rFonts w:ascii="Book Antiqua" w:hAnsi="Book Antiqua" w:eastAsia="Book Antiqua" w:cs="Book Antiqua"/>
          <w:color w:val="000000"/>
        </w:rPr>
        <w:t xml:space="preserve"> = 0.21, </w:t>
      </w:r>
      <w:r>
        <w:rPr>
          <w:rFonts w:ascii="Book Antiqua" w:hAnsi="Book Antiqua" w:eastAsia="Book Antiqua" w:cs="Book Antiqua"/>
          <w:i/>
          <w:iCs/>
          <w:color w:val="000000"/>
        </w:rPr>
        <w:t>P</w:t>
      </w:r>
      <w:r>
        <w:rPr>
          <w:rFonts w:ascii="Book Antiqua" w:hAnsi="Book Antiqua" w:eastAsia="Book Antiqua" w:cs="Book Antiqua"/>
          <w:color w:val="000000"/>
        </w:rPr>
        <w:t xml:space="preserve"> = 0.01). We did not use the SF-36 domains as predictors as our interest was in assessing which symptoms might be related to alcohol intolerance rather than physical or mental functioning.</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Prior research assessed alcohol intolerance, but respondents could indicate that the symptom was not present if they have avoided alcohol in the designated time frame. When participants were asked whether they have avoided alcohol in the past 6 mo, and if they had how severe their alcohol intolerance would be if they were to drink alcohol, those designated in the alcohol intolerant group evidenced a higher symptom burden (in terms of frequency and severity of the symptoms). A second unique finding was that the orthostatic intolerance symptom domain predicted alcohol intolerance.</w:t>
      </w:r>
    </w:p>
    <w:p>
      <w:pPr>
        <w:spacing w:line="360" w:lineRule="auto"/>
        <w:ind w:firstLine="720"/>
        <w:jc w:val="both"/>
      </w:pPr>
      <w:r>
        <w:rPr>
          <w:rFonts w:ascii="Book Antiqua" w:hAnsi="Book Antiqua" w:eastAsia="Book Antiqua" w:cs="Book Antiqua"/>
          <w:color w:val="000000"/>
        </w:rPr>
        <w:t>The fact that orthostatic intolerance was the only variable related to alcohol intolerance is of theoretical importance. Others have suggested that alcohol intolerance might be related to underlying autonomic dysfunction, which might help explain the high levels of orthostatic intolerance and impaired temperature regulation in ME/CFS</w:t>
      </w:r>
      <w:r>
        <w:rPr>
          <w:rFonts w:ascii="Book Antiqua" w:hAnsi="Book Antiqua" w:eastAsia="Book Antiqua" w:cs="Book Antiqua"/>
          <w:color w:val="000000"/>
          <w:vertAlign w:val="superscript"/>
        </w:rPr>
        <w:t>[10]</w:t>
      </w:r>
      <w:r>
        <w:rPr>
          <w:rFonts w:ascii="Book Antiqua" w:hAnsi="Book Antiqua" w:eastAsia="Book Antiqua" w:cs="Book Antiqua"/>
          <w:color w:val="000000"/>
        </w:rPr>
        <w:t>. It is also possible that the added stress of high acetate levels, which are a byproduct of ethanol breakdown, may cause more severe dysfunction in areas of the brain that are highly metabolically active</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 strength of the current study was using a validated questionnaire, the DePaul Symptom Questionnaire, that differentiates the frequency and severity of symptoms as well as specifies threshold values for determining whether symptoms meet a necessary threshold of being a burden for the patient. When symptoms are measured only using occurrence as a binary outcome, patients who experience the symptom at relatively low frequencies and/or severities are counted, even if the symptom might not represent any burden to the respondent. It is only by using more differentiated surveys that allow these important characteristics to be assessed and using questionnaires that have been validated that more assurance can occur that symptoms such as alcohol intolerance are being accurately identified in patients.</w:t>
      </w:r>
    </w:p>
    <w:p>
      <w:pPr>
        <w:spacing w:line="360" w:lineRule="auto"/>
        <w:ind w:firstLine="720"/>
        <w:jc w:val="both"/>
      </w:pPr>
      <w:r>
        <w:rPr>
          <w:rFonts w:ascii="Book Antiqua" w:hAnsi="Book Antiqua" w:eastAsia="Book Antiqua" w:cs="Book Antiqua"/>
          <w:color w:val="000000"/>
        </w:rPr>
        <w:t>There are several limitations in this study. First, all analyses relied on self-report data. Thus, there was no biological confirmation of alcohol intolerances in the respondents. In addition, the designation of ME/CFS was also based on self-report. Therefore, there was not an independent assessment of this illness by a medical health care professional. Finally, the sample was somewhat biased toward women who were White, and the outcomes of a more sociodemographic sample is unclear.</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general, the findings from the current study indicated that those with ME/CFS are more likely to experience alcohol intolerance. It is very likely that this subtype of patients might have other biologic differences, and future research is needed to explore this hypothesis. The contribution of the current study was assessing the construct of alcohol intolerance in a more sophisticated way than has been attempted in previous investigations.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There is a need to objectively measure alcohol intolerance among those with myalgic encephalomyelitis/chronic fatigue syndrome (ME/CFS).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There is a need to determine if those with ME/CFS with alcohol intolerance are more symptomatic than those without alcohol intolerance.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We aimed to carefully measure alcohol intolerance and determine its effects on those with ME/CFS.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We collected data from patients with ME/CFS using a validated symptom questionnaire.</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We were able to determine that those with alcohol intolerance were more symptomatic than those without it among a sample of patients with ME/CFS.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It is important to measure alcohol intolerance carefully among patients who are not going to report using alcohol over the preceding months.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It is possible to reliably and validly measure alcohol intolerance among those with ME/CFS, and this should guide future research in this area.</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spacing w:before="0" w:beforeAutospacing="0" w:after="0" w:afterAutospacing="0" w:line="360" w:lineRule="auto"/>
        <w:jc w:val="both"/>
        <w:rPr>
          <w:rFonts w:ascii="Book Antiqua" w:hAnsi="Book Antiqua"/>
        </w:rPr>
      </w:pPr>
      <w:r>
        <w:rPr>
          <w:rFonts w:ascii="Book Antiqua" w:hAnsi="Book Antiqua"/>
        </w:rPr>
        <w:t>1 Beyond Myalgic Encephalomyelitis/Chronic Fatigue Syndrome: Redefining an Illness. Washington (DC): National Academies Press (US); 2015-Feb-10[PMID: 25695122 DOI: 10.17226/19</w:t>
      </w:r>
      <w:bookmarkStart w:id="3" w:name="_GoBack"/>
      <w:bookmarkEnd w:id="3"/>
      <w:r>
        <w:rPr>
          <w:rFonts w:ascii="Book Antiqua" w:hAnsi="Book Antiqua"/>
        </w:rPr>
        <w:t>012]</w:t>
      </w:r>
    </w:p>
    <w:p>
      <w:pPr>
        <w:pStyle w:val="5"/>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Jason LA</w:t>
      </w:r>
      <w:r>
        <w:rPr>
          <w:rFonts w:ascii="Book Antiqua" w:hAnsi="Book Antiqua"/>
        </w:rPr>
        <w:t xml:space="preserve">, Corradi K, Torres-Harding S, Taylor RR, King C. Chronic fatigue syndrome: the need for subtypes. </w:t>
      </w:r>
      <w:r>
        <w:rPr>
          <w:rFonts w:ascii="Book Antiqua" w:hAnsi="Book Antiqua"/>
          <w:i/>
          <w:iCs/>
        </w:rPr>
        <w:t>Neuropsychol Rev</w:t>
      </w:r>
      <w:r>
        <w:rPr>
          <w:rFonts w:ascii="Book Antiqua" w:hAnsi="Book Antiqua"/>
        </w:rPr>
        <w:t xml:space="preserve"> 2005; </w:t>
      </w:r>
      <w:r>
        <w:rPr>
          <w:rFonts w:ascii="Book Antiqua" w:hAnsi="Book Antiqua"/>
          <w:b/>
          <w:bCs/>
        </w:rPr>
        <w:t>15</w:t>
      </w:r>
      <w:r>
        <w:rPr>
          <w:rFonts w:ascii="Book Antiqua" w:hAnsi="Book Antiqua"/>
        </w:rPr>
        <w:t>: 29-58 [PMID: 15929497 DOI: 10.1007/s11065-005-3588-2]</w:t>
      </w:r>
    </w:p>
    <w:p>
      <w:pPr>
        <w:pStyle w:val="5"/>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Huber KA</w:t>
      </w:r>
      <w:r>
        <w:rPr>
          <w:rFonts w:ascii="Book Antiqua" w:hAnsi="Book Antiqua"/>
        </w:rPr>
        <w:t xml:space="preserve">, Sunnquist M, Jason LA. Latent class analysis of a heterogeneous international sample of patients with myalgic encephalomyelitis/chronic fatigue syndrome. </w:t>
      </w:r>
      <w:r>
        <w:rPr>
          <w:rFonts w:ascii="Book Antiqua" w:hAnsi="Book Antiqua"/>
          <w:i/>
          <w:iCs/>
        </w:rPr>
        <w:t>Fatigue</w:t>
      </w:r>
      <w:r>
        <w:rPr>
          <w:rFonts w:ascii="Book Antiqua" w:hAnsi="Book Antiqua"/>
        </w:rPr>
        <w:t xml:space="preserve"> 2018; </w:t>
      </w:r>
      <w:r>
        <w:rPr>
          <w:rFonts w:ascii="Book Antiqua" w:hAnsi="Book Antiqua"/>
          <w:b/>
          <w:bCs/>
        </w:rPr>
        <w:t>6</w:t>
      </w:r>
      <w:r>
        <w:rPr>
          <w:rFonts w:ascii="Book Antiqua" w:hAnsi="Book Antiqua"/>
        </w:rPr>
        <w:t>: 163-178 [PMID: 31435490 DOI: 10.1080/21641846.2018.1494530]</w:t>
      </w:r>
    </w:p>
    <w:p>
      <w:pPr>
        <w:pStyle w:val="5"/>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Woolley J</w:t>
      </w:r>
      <w:r>
        <w:rPr>
          <w:rFonts w:ascii="Book Antiqua" w:hAnsi="Book Antiqua"/>
        </w:rPr>
        <w:t xml:space="preserve">, Allen R, Wessely S. Alcohol use in chronic fatigue syndrome. </w:t>
      </w:r>
      <w:r>
        <w:rPr>
          <w:rFonts w:ascii="Book Antiqua" w:hAnsi="Book Antiqua"/>
          <w:i/>
          <w:iCs/>
        </w:rPr>
        <w:t>J Psychosom Res</w:t>
      </w:r>
      <w:r>
        <w:rPr>
          <w:rFonts w:ascii="Book Antiqua" w:hAnsi="Book Antiqua"/>
        </w:rPr>
        <w:t xml:space="preserve"> 2004; </w:t>
      </w:r>
      <w:r>
        <w:rPr>
          <w:rFonts w:ascii="Book Antiqua" w:hAnsi="Book Antiqua"/>
          <w:b/>
          <w:bCs/>
        </w:rPr>
        <w:t>56</w:t>
      </w:r>
      <w:r>
        <w:rPr>
          <w:rFonts w:ascii="Book Antiqua" w:hAnsi="Book Antiqua"/>
        </w:rPr>
        <w:t>: 203-206 [PMID: 15016579 DOI: 10.1016/s0022-3999(03)00077-1]</w:t>
      </w:r>
    </w:p>
    <w:p>
      <w:pPr>
        <w:pStyle w:val="5"/>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Weigel B</w:t>
      </w:r>
      <w:r>
        <w:rPr>
          <w:rFonts w:ascii="Book Antiqua" w:hAnsi="Book Antiqua"/>
        </w:rPr>
        <w:t xml:space="preserve">, Eaton-Fitch N, Passmore R, Cabanas H, Staines D, Marshall-Gradisnik S. A preliminary investigation of nutritional intake and supplement use in Australians with myalgic encephalomyelitis/chronic fatigue syndrome and the implications on health-related quality of life. </w:t>
      </w:r>
      <w:r>
        <w:rPr>
          <w:rFonts w:ascii="Book Antiqua" w:hAnsi="Book Antiqua"/>
          <w:i/>
          <w:iCs/>
        </w:rPr>
        <w:t>Food Nutr Res</w:t>
      </w:r>
      <w:r>
        <w:rPr>
          <w:rFonts w:ascii="Book Antiqua" w:hAnsi="Book Antiqua"/>
        </w:rPr>
        <w:t xml:space="preserve"> 2021; </w:t>
      </w:r>
      <w:r>
        <w:rPr>
          <w:rFonts w:ascii="Book Antiqua" w:hAnsi="Book Antiqua"/>
          <w:b/>
          <w:bCs/>
        </w:rPr>
        <w:t>65</w:t>
      </w:r>
      <w:r>
        <w:rPr>
          <w:rFonts w:ascii="Book Antiqua" w:hAnsi="Book Antiqua"/>
        </w:rPr>
        <w:t xml:space="preserve"> [PMID: 34262415 DOI: 10.29219/fnr.v65.5730]</w:t>
      </w:r>
    </w:p>
    <w:p>
      <w:pPr>
        <w:pStyle w:val="5"/>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van't Leven M</w:t>
      </w:r>
      <w:r>
        <w:rPr>
          <w:rFonts w:ascii="Book Antiqua" w:hAnsi="Book Antiqua"/>
        </w:rPr>
        <w:t xml:space="preserve">, Zielhuis GA, van der Meer JW, Verbeek AL, Bleijenberg G. Fatigue and chronic fatigue syndrome-like complaints in the general population. </w:t>
      </w:r>
      <w:r>
        <w:rPr>
          <w:rFonts w:ascii="Book Antiqua" w:hAnsi="Book Antiqua"/>
          <w:i/>
          <w:iCs/>
        </w:rPr>
        <w:t>Eur J Public Health</w:t>
      </w:r>
      <w:r>
        <w:rPr>
          <w:rFonts w:ascii="Book Antiqua" w:hAnsi="Book Antiqua"/>
        </w:rPr>
        <w:t xml:space="preserve"> 2010; </w:t>
      </w:r>
      <w:r>
        <w:rPr>
          <w:rFonts w:ascii="Book Antiqua" w:hAnsi="Book Antiqua"/>
          <w:b/>
          <w:bCs/>
        </w:rPr>
        <w:t>20</w:t>
      </w:r>
      <w:r>
        <w:rPr>
          <w:rFonts w:ascii="Book Antiqua" w:hAnsi="Book Antiqua"/>
        </w:rPr>
        <w:t>: 251-257 [PMID: 19689970 DOI: 10.1093/eurpub/ckp113]</w:t>
      </w:r>
    </w:p>
    <w:p>
      <w:pPr>
        <w:pStyle w:val="5"/>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Hamaguchi M</w:t>
      </w:r>
      <w:r>
        <w:rPr>
          <w:rFonts w:ascii="Book Antiqua" w:hAnsi="Book Antiqua"/>
        </w:rPr>
        <w:t xml:space="preserve">, Kawahito Y, Takeda N, Kato T, Kojima T. Characteristics of chronic fatigue syndrome in a Japanese community population : chronic fatigue syndrome in Japan. </w:t>
      </w:r>
      <w:r>
        <w:rPr>
          <w:rFonts w:ascii="Book Antiqua" w:hAnsi="Book Antiqua"/>
          <w:i/>
          <w:iCs/>
        </w:rPr>
        <w:t>Clin Rheumatol</w:t>
      </w:r>
      <w:r>
        <w:rPr>
          <w:rFonts w:ascii="Book Antiqua" w:hAnsi="Book Antiqua"/>
        </w:rPr>
        <w:t xml:space="preserve"> 2011; </w:t>
      </w:r>
      <w:r>
        <w:rPr>
          <w:rFonts w:ascii="Book Antiqua" w:hAnsi="Book Antiqua"/>
          <w:b/>
          <w:bCs/>
        </w:rPr>
        <w:t>30</w:t>
      </w:r>
      <w:r>
        <w:rPr>
          <w:rFonts w:ascii="Book Antiqua" w:hAnsi="Book Antiqua"/>
        </w:rPr>
        <w:t>: 895-906 [PMID: 21302125 DOI: 10.1007/s10067-011-1702-9]</w:t>
      </w:r>
    </w:p>
    <w:p>
      <w:pPr>
        <w:pStyle w:val="5"/>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Jason LA</w:t>
      </w:r>
      <w:r>
        <w:rPr>
          <w:rFonts w:ascii="Book Antiqua" w:hAnsi="Book Antiqua"/>
        </w:rPr>
        <w:t xml:space="preserve">, Torres-Harding SR, Carrico AW, Taylor RR. Symptom occurrence in persons with chronic fatigue syndrome. </w:t>
      </w:r>
      <w:r>
        <w:rPr>
          <w:rFonts w:ascii="Book Antiqua" w:hAnsi="Book Antiqua"/>
          <w:i/>
          <w:iCs/>
        </w:rPr>
        <w:t>Biol Psychol</w:t>
      </w:r>
      <w:r>
        <w:rPr>
          <w:rFonts w:ascii="Book Antiqua" w:hAnsi="Book Antiqua"/>
        </w:rPr>
        <w:t xml:space="preserve"> 2002; </w:t>
      </w:r>
      <w:r>
        <w:rPr>
          <w:rFonts w:ascii="Book Antiqua" w:hAnsi="Book Antiqua"/>
          <w:b/>
          <w:bCs/>
        </w:rPr>
        <w:t>59</w:t>
      </w:r>
      <w:r>
        <w:rPr>
          <w:rFonts w:ascii="Book Antiqua" w:hAnsi="Book Antiqua"/>
        </w:rPr>
        <w:t>: 15-27 [PMID: 11790441 DOI: 10.1016/s0301-0511(01)00120-x]</w:t>
      </w:r>
    </w:p>
    <w:p>
      <w:pPr>
        <w:pStyle w:val="5"/>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De Becker P</w:t>
      </w:r>
      <w:r>
        <w:rPr>
          <w:rFonts w:ascii="Book Antiqua" w:hAnsi="Book Antiqua"/>
        </w:rPr>
        <w:t xml:space="preserve">, McGregor N, De Meirleir K. A definition-based analysis of symptoms in a large cohort of patients with chronic fatigue syndrome. </w:t>
      </w:r>
      <w:r>
        <w:rPr>
          <w:rFonts w:ascii="Book Antiqua" w:hAnsi="Book Antiqua"/>
          <w:i/>
          <w:iCs/>
        </w:rPr>
        <w:t>J Intern Med</w:t>
      </w:r>
      <w:r>
        <w:rPr>
          <w:rFonts w:ascii="Book Antiqua" w:hAnsi="Book Antiqua"/>
        </w:rPr>
        <w:t xml:space="preserve"> 2001; </w:t>
      </w:r>
      <w:r>
        <w:rPr>
          <w:rFonts w:ascii="Book Antiqua" w:hAnsi="Book Antiqua"/>
          <w:b/>
          <w:bCs/>
        </w:rPr>
        <w:t>250</w:t>
      </w:r>
      <w:r>
        <w:rPr>
          <w:rFonts w:ascii="Book Antiqua" w:hAnsi="Book Antiqua"/>
        </w:rPr>
        <w:t>: 234-240 [PMID: 11555128 DOI: 10.1046/j.1365-2796.2001.00890.x]</w:t>
      </w:r>
    </w:p>
    <w:p>
      <w:pPr>
        <w:pStyle w:val="5"/>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Chu L</w:t>
      </w:r>
      <w:r>
        <w:rPr>
          <w:rFonts w:ascii="Book Antiqua" w:hAnsi="Book Antiqua"/>
        </w:rPr>
        <w:t xml:space="preserve">, Valencia IJ, Garvert DW, Montoya JG. Onset Patterns and Course of Myalgic Encephalomyelitis/Chronic Fatigue Syndrome. </w:t>
      </w:r>
      <w:r>
        <w:rPr>
          <w:rFonts w:ascii="Book Antiqua" w:hAnsi="Book Antiqua"/>
          <w:i/>
          <w:iCs/>
        </w:rPr>
        <w:t>Front Pediatr</w:t>
      </w:r>
      <w:r>
        <w:rPr>
          <w:rFonts w:ascii="Book Antiqua" w:hAnsi="Book Antiqua"/>
        </w:rPr>
        <w:t xml:space="preserve"> 2019; </w:t>
      </w:r>
      <w:r>
        <w:rPr>
          <w:rFonts w:ascii="Book Antiqua" w:hAnsi="Book Antiqua"/>
          <w:b/>
          <w:bCs/>
        </w:rPr>
        <w:t>7</w:t>
      </w:r>
      <w:r>
        <w:rPr>
          <w:rFonts w:ascii="Book Antiqua" w:hAnsi="Book Antiqua"/>
        </w:rPr>
        <w:t>: 12 [PMID: 30805319 DOI: 10.3389/fped.2019.00012]</w:t>
      </w:r>
    </w:p>
    <w:p>
      <w:pPr>
        <w:pStyle w:val="5"/>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Nisenbaum R</w:t>
      </w:r>
      <w:r>
        <w:rPr>
          <w:rFonts w:ascii="Book Antiqua" w:hAnsi="Book Antiqua"/>
        </w:rPr>
        <w:t xml:space="preserve">, Reyes M, Mawle AC, Reeves WC. Factor analysis of unexplained severe fatigue and interrelated symptoms: overlap with criteria for chronic fatigue syndrome. </w:t>
      </w:r>
      <w:r>
        <w:rPr>
          <w:rFonts w:ascii="Book Antiqua" w:hAnsi="Book Antiqua"/>
          <w:i/>
          <w:iCs/>
        </w:rPr>
        <w:t>Am J Epidemiol</w:t>
      </w:r>
      <w:r>
        <w:rPr>
          <w:rFonts w:ascii="Book Antiqua" w:hAnsi="Book Antiqua"/>
        </w:rPr>
        <w:t xml:space="preserve"> 1998; </w:t>
      </w:r>
      <w:r>
        <w:rPr>
          <w:rFonts w:ascii="Book Antiqua" w:hAnsi="Book Antiqua"/>
          <w:b/>
          <w:bCs/>
        </w:rPr>
        <w:t>148</w:t>
      </w:r>
      <w:r>
        <w:rPr>
          <w:rFonts w:ascii="Book Antiqua" w:hAnsi="Book Antiqua"/>
        </w:rPr>
        <w:t>: 72-77 [PMID: 9663406 DOI: 10.1093/oxfordjournals.aje.a009562]</w:t>
      </w:r>
    </w:p>
    <w:p>
      <w:pPr>
        <w:pStyle w:val="5"/>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Bedree H</w:t>
      </w:r>
      <w:r>
        <w:rPr>
          <w:rFonts w:ascii="Book Antiqua" w:hAnsi="Book Antiqua"/>
        </w:rPr>
        <w:t xml:space="preserve">, Sunnquist M, Jason LA. The DePaul Symptom Questionnaire-2: A Validation Study. </w:t>
      </w:r>
      <w:r>
        <w:rPr>
          <w:rFonts w:ascii="Book Antiqua" w:hAnsi="Book Antiqua"/>
          <w:i/>
          <w:iCs/>
        </w:rPr>
        <w:t>Fatigue</w:t>
      </w:r>
      <w:r>
        <w:rPr>
          <w:rFonts w:ascii="Book Antiqua" w:hAnsi="Book Antiqua"/>
        </w:rPr>
        <w:t xml:space="preserve"> 2019; </w:t>
      </w:r>
      <w:r>
        <w:rPr>
          <w:rFonts w:ascii="Book Antiqua" w:hAnsi="Book Antiqua"/>
          <w:b/>
          <w:bCs/>
        </w:rPr>
        <w:t>7</w:t>
      </w:r>
      <w:r>
        <w:rPr>
          <w:rFonts w:ascii="Book Antiqua" w:hAnsi="Book Antiqua"/>
        </w:rPr>
        <w:t>: 166-179 [PMID: 32685281 DOI: 10.1080/21641846.2019.1653471]</w:t>
      </w:r>
    </w:p>
    <w:p>
      <w:pPr>
        <w:pStyle w:val="5"/>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Bansal AS</w:t>
      </w:r>
      <w:r>
        <w:rPr>
          <w:rFonts w:ascii="Book Antiqua" w:hAnsi="Book Antiqua"/>
        </w:rPr>
        <w:t xml:space="preserve">. Investigating unexplained fatigue in general practice with a particular focus on CFS/ME. </w:t>
      </w:r>
      <w:r>
        <w:rPr>
          <w:rFonts w:ascii="Book Antiqua" w:hAnsi="Book Antiqua"/>
          <w:i/>
          <w:iCs/>
        </w:rPr>
        <w:t>BMC Fam Pract</w:t>
      </w:r>
      <w:r>
        <w:rPr>
          <w:rFonts w:ascii="Book Antiqua" w:hAnsi="Book Antiqua"/>
        </w:rPr>
        <w:t xml:space="preserve"> 2016; </w:t>
      </w:r>
      <w:r>
        <w:rPr>
          <w:rFonts w:ascii="Book Antiqua" w:hAnsi="Book Antiqua"/>
          <w:b/>
          <w:bCs/>
        </w:rPr>
        <w:t>17</w:t>
      </w:r>
      <w:r>
        <w:rPr>
          <w:rFonts w:ascii="Book Antiqua" w:hAnsi="Book Antiqua"/>
        </w:rPr>
        <w:t>: 81 [PMID: 27436349 DOI: 10.1186/s12875-016-0493-0]</w:t>
      </w:r>
    </w:p>
    <w:p>
      <w:pPr>
        <w:pStyle w:val="5"/>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Baraniuk JN</w:t>
      </w:r>
      <w:r>
        <w:rPr>
          <w:rFonts w:ascii="Book Antiqua" w:hAnsi="Book Antiqua"/>
        </w:rPr>
        <w:t xml:space="preserve">. Review of the Midbrain Ascending Arousal Network Nuclei and Implications for Myalgic Encephalomyelitis/Chronic Fatigue Syndrome (ME/CFS), Gulf War Illness (GWI) and Postexertional Malaise (PEM). </w:t>
      </w:r>
      <w:r>
        <w:rPr>
          <w:rFonts w:ascii="Book Antiqua" w:hAnsi="Book Antiqua"/>
          <w:i/>
          <w:iCs/>
        </w:rPr>
        <w:t>Brain Sci</w:t>
      </w:r>
      <w:r>
        <w:rPr>
          <w:rFonts w:ascii="Book Antiqua" w:hAnsi="Book Antiqua"/>
        </w:rPr>
        <w:t xml:space="preserve"> 2022; </w:t>
      </w:r>
      <w:r>
        <w:rPr>
          <w:rFonts w:ascii="Book Antiqua" w:hAnsi="Book Antiqua"/>
          <w:b/>
          <w:bCs/>
        </w:rPr>
        <w:t>12</w:t>
      </w:r>
      <w:r>
        <w:rPr>
          <w:rFonts w:ascii="Book Antiqua" w:hAnsi="Book Antiqua"/>
        </w:rPr>
        <w:t xml:space="preserve"> [PMID: 35203896 DOI: 10.3390/brainsci12020132]</w:t>
      </w:r>
    </w:p>
    <w:p>
      <w:pPr>
        <w:pStyle w:val="5"/>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Tomas C</w:t>
      </w:r>
      <w:r>
        <w:rPr>
          <w:rFonts w:ascii="Book Antiqua" w:hAnsi="Book Antiqua"/>
        </w:rPr>
        <w:t xml:space="preserve">, Elson JL, Strassheim V, Newton JL, Walker M. The effect of myalgic encephalomyelitis/chronic fatigue syndrome (ME/CFS) severity on cellular bioenergetic function.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e0231136 [PMID: 32275686 DOI: 10.1371/journal.pone.0231136]</w:t>
      </w:r>
    </w:p>
    <w:p>
      <w:pPr>
        <w:pStyle w:val="5"/>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Fluge Ø</w:t>
      </w:r>
      <w:r>
        <w:rPr>
          <w:rFonts w:ascii="Book Antiqua" w:hAnsi="Book Antiqua"/>
        </w:rPr>
        <w:t xml:space="preserve">, Mella O, Bruland O, Risa K, Dyrstad SE, Alme K, Rekeland IG, Sapkota D, Røsland GV, Fosså A, Ktoridou-Valen I, Lunde S, Sørland K, Lien K, Herder I, Thürmer H, Gotaas ME, Baranowska KA, Bohnen LM, Schäfer C, McCann A, Sommerfelt K, Helgeland L, Ueland PM, Dahl O, Tronstad KJ. Metabolic profiling indicates impaired pyruvate dehydrogenase function in myalgic encephalopathy/chronic fatigue syndrome. </w:t>
      </w:r>
      <w:r>
        <w:rPr>
          <w:rFonts w:ascii="Book Antiqua" w:hAnsi="Book Antiqua"/>
          <w:i/>
          <w:iCs/>
        </w:rPr>
        <w:t>JCI Insight</w:t>
      </w:r>
      <w:r>
        <w:rPr>
          <w:rFonts w:ascii="Book Antiqua" w:hAnsi="Book Antiqua"/>
        </w:rPr>
        <w:t xml:space="preserve"> 2016; </w:t>
      </w:r>
      <w:r>
        <w:rPr>
          <w:rFonts w:ascii="Book Antiqua" w:hAnsi="Book Antiqua"/>
          <w:b/>
          <w:bCs/>
        </w:rPr>
        <w:t>1</w:t>
      </w:r>
      <w:r>
        <w:rPr>
          <w:rFonts w:ascii="Book Antiqua" w:hAnsi="Book Antiqua"/>
        </w:rPr>
        <w:t>: e89376 [PMID: 28018972 DOI: 10.1172/jci.insight.89376]</w:t>
      </w:r>
    </w:p>
    <w:p>
      <w:pPr>
        <w:pStyle w:val="5"/>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Ohanian D</w:t>
      </w:r>
      <w:r>
        <w:rPr>
          <w:rFonts w:ascii="Book Antiqua" w:hAnsi="Book Antiqua"/>
        </w:rPr>
        <w:t xml:space="preserve">, Brown A, Sunnquist M, Furst J, Nicholson L, Klebek L, Jason LA. Identifying Key Symptoms Differentiating Myalgic Encephalomyelitis and Chronic Fatigue Syndrome from Multiple Sclerosis. </w:t>
      </w:r>
      <w:r>
        <w:rPr>
          <w:rFonts w:ascii="Book Antiqua" w:hAnsi="Book Antiqua"/>
          <w:i/>
          <w:iCs/>
        </w:rPr>
        <w:t>Neurology (ECronicon)</w:t>
      </w:r>
      <w:r>
        <w:rPr>
          <w:rFonts w:ascii="Book Antiqua" w:hAnsi="Book Antiqua"/>
        </w:rPr>
        <w:t xml:space="preserve"> 2016; </w:t>
      </w:r>
      <w:r>
        <w:rPr>
          <w:rFonts w:ascii="Book Antiqua" w:hAnsi="Book Antiqua"/>
          <w:b/>
          <w:bCs/>
        </w:rPr>
        <w:t>4</w:t>
      </w:r>
      <w:r>
        <w:rPr>
          <w:rFonts w:ascii="Book Antiqua" w:hAnsi="Book Antiqua"/>
        </w:rPr>
        <w:t>: 41-45 [PMID: 28066845]</w:t>
      </w:r>
    </w:p>
    <w:p>
      <w:pPr>
        <w:pStyle w:val="5"/>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Brown AA</w:t>
      </w:r>
      <w:r>
        <w:rPr>
          <w:rFonts w:ascii="Book Antiqua" w:hAnsi="Book Antiqua"/>
        </w:rPr>
        <w:t xml:space="preserve">, Jason LA. Validating a measure of myalgic encephalomyelitis/chronic fatigue syndrome symptomatology. </w:t>
      </w:r>
      <w:r>
        <w:rPr>
          <w:rFonts w:ascii="Book Antiqua" w:hAnsi="Book Antiqua"/>
          <w:i/>
          <w:iCs/>
        </w:rPr>
        <w:t>Fatigue</w:t>
      </w:r>
      <w:r>
        <w:rPr>
          <w:rFonts w:ascii="Book Antiqua" w:hAnsi="Book Antiqua"/>
        </w:rPr>
        <w:t xml:space="preserve"> 2014; </w:t>
      </w:r>
      <w:r>
        <w:rPr>
          <w:rFonts w:ascii="Book Antiqua" w:hAnsi="Book Antiqua"/>
          <w:b/>
          <w:bCs/>
        </w:rPr>
        <w:t>2</w:t>
      </w:r>
      <w:r>
        <w:rPr>
          <w:rFonts w:ascii="Book Antiqua" w:hAnsi="Book Antiqua"/>
        </w:rPr>
        <w:t>: 132-152 [PMID: 27213118 DOI: 10.1080/21641846.2014.928014]</w:t>
      </w:r>
    </w:p>
    <w:p>
      <w:pPr>
        <w:pStyle w:val="5"/>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Jason LA</w:t>
      </w:r>
      <w:r>
        <w:rPr>
          <w:rFonts w:ascii="Book Antiqua" w:hAnsi="Book Antiqua"/>
        </w:rPr>
        <w:t xml:space="preserve">, So S, Brown AA, Sunnquist M, Evans M. Test-Retest Reliability of the DePaul Symptom Questionnaire. </w:t>
      </w:r>
      <w:r>
        <w:rPr>
          <w:rFonts w:ascii="Book Antiqua" w:hAnsi="Book Antiqua"/>
          <w:i/>
          <w:iCs/>
        </w:rPr>
        <w:t>Fatigue</w:t>
      </w:r>
      <w:r>
        <w:rPr>
          <w:rFonts w:ascii="Book Antiqua" w:hAnsi="Book Antiqua"/>
        </w:rPr>
        <w:t xml:space="preserve"> 2015; </w:t>
      </w:r>
      <w:r>
        <w:rPr>
          <w:rFonts w:ascii="Book Antiqua" w:hAnsi="Book Antiqua"/>
          <w:b/>
          <w:bCs/>
        </w:rPr>
        <w:t>3</w:t>
      </w:r>
      <w:r>
        <w:rPr>
          <w:rFonts w:ascii="Book Antiqua" w:hAnsi="Book Antiqua"/>
        </w:rPr>
        <w:t>: 16-32 [PMID: 26973799 DOI: 10.1080/21641846.2014.978110]</w:t>
      </w:r>
    </w:p>
    <w:p>
      <w:pPr>
        <w:pStyle w:val="5"/>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Harris PA</w:t>
      </w:r>
      <w:r>
        <w:rPr>
          <w:rFonts w:ascii="Book Antiqua" w:hAnsi="Book Antiqua"/>
        </w:rPr>
        <w:t xml:space="preserve">, Taylor R, Thielke R, Payne J, Gonzalez N, Conde JG. Research electronic data capture (REDCap)--a metadata-driven methodology and workflow process for providing translational research informatics support. </w:t>
      </w:r>
      <w:r>
        <w:rPr>
          <w:rFonts w:ascii="Book Antiqua" w:hAnsi="Book Antiqua"/>
          <w:i/>
          <w:iCs/>
        </w:rPr>
        <w:t>J Biomed Inform</w:t>
      </w:r>
      <w:r>
        <w:rPr>
          <w:rFonts w:ascii="Book Antiqua" w:hAnsi="Book Antiqua"/>
        </w:rPr>
        <w:t xml:space="preserve"> 2009; </w:t>
      </w:r>
      <w:r>
        <w:rPr>
          <w:rFonts w:ascii="Book Antiqua" w:hAnsi="Book Antiqua"/>
          <w:b/>
          <w:bCs/>
        </w:rPr>
        <w:t>42</w:t>
      </w:r>
      <w:r>
        <w:rPr>
          <w:rFonts w:ascii="Book Antiqua" w:hAnsi="Book Antiqua"/>
        </w:rPr>
        <w:t>: 377-381 [PMID: 18929686 DOI: 10.1016/j.jbi.2008.08.010]</w:t>
      </w:r>
    </w:p>
    <w:p>
      <w:pPr>
        <w:pStyle w:val="5"/>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Obeid JS</w:t>
      </w:r>
      <w:r>
        <w:rPr>
          <w:rFonts w:ascii="Book Antiqua" w:hAnsi="Book Antiqua"/>
        </w:rPr>
        <w:t xml:space="preserve">, McGraw CA, Minor BL, Conde JG, Pawluk R, Lin M, Wang J, Banks SR, Hemphill SA, Taylor R, Harris PA. Procurement of shared data instruments for Research Electronic Data Capture (REDCap). </w:t>
      </w:r>
      <w:r>
        <w:rPr>
          <w:rFonts w:ascii="Book Antiqua" w:hAnsi="Book Antiqua"/>
          <w:i/>
          <w:iCs/>
        </w:rPr>
        <w:t>J Biomed Inform</w:t>
      </w:r>
      <w:r>
        <w:rPr>
          <w:rFonts w:ascii="Book Antiqua" w:hAnsi="Book Antiqua"/>
        </w:rPr>
        <w:t xml:space="preserve"> 2013; </w:t>
      </w:r>
      <w:r>
        <w:rPr>
          <w:rFonts w:ascii="Book Antiqua" w:hAnsi="Book Antiqua"/>
          <w:b/>
          <w:bCs/>
        </w:rPr>
        <w:t>46</w:t>
      </w:r>
      <w:r>
        <w:rPr>
          <w:rFonts w:ascii="Book Antiqua" w:hAnsi="Book Antiqua"/>
        </w:rPr>
        <w:t>: 259-265 [PMID: 23149159 DOI: 10.1016/j.jbi.2012.10.006]</w:t>
      </w:r>
    </w:p>
    <w:p>
      <w:pPr>
        <w:pStyle w:val="5"/>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Ware JE Jr</w:t>
      </w:r>
      <w:r>
        <w:rPr>
          <w:rFonts w:ascii="Book Antiqua" w:hAnsi="Book Antiqua"/>
        </w:rPr>
        <w:t xml:space="preserve">, Sherbourne CD. The MOS 36-item short-form health survey (SF-36). I. Conceptual framework and item selection. </w:t>
      </w:r>
      <w:r>
        <w:rPr>
          <w:rFonts w:ascii="Book Antiqua" w:hAnsi="Book Antiqua"/>
          <w:i/>
          <w:iCs/>
        </w:rPr>
        <w:t>Med Care</w:t>
      </w:r>
      <w:r>
        <w:rPr>
          <w:rFonts w:ascii="Book Antiqua" w:hAnsi="Book Antiqua"/>
        </w:rPr>
        <w:t xml:space="preserve"> 1992; </w:t>
      </w:r>
      <w:r>
        <w:rPr>
          <w:rFonts w:ascii="Book Antiqua" w:hAnsi="Book Antiqua"/>
          <w:b/>
          <w:bCs/>
        </w:rPr>
        <w:t>30</w:t>
      </w:r>
      <w:r>
        <w:rPr>
          <w:rFonts w:ascii="Book Antiqua" w:hAnsi="Book Antiqua"/>
        </w:rPr>
        <w:t>: 473-483 [PMID: 1593914]</w:t>
      </w:r>
    </w:p>
    <w:p>
      <w:pPr>
        <w:pStyle w:val="5"/>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McHorney CA</w:t>
      </w:r>
      <w:r>
        <w:rPr>
          <w:rFonts w:ascii="Book Antiqua" w:hAnsi="Book Antiqua"/>
        </w:rPr>
        <w:t xml:space="preserve">, Ware JE Jr, Lu JF, Sherbourne CD. The MOS 36-item Short-Form Health Survey (SF-36): III. Tests of data quality, scaling assumptions, and reliability across diverse patient groups. </w:t>
      </w:r>
      <w:r>
        <w:rPr>
          <w:rFonts w:ascii="Book Antiqua" w:hAnsi="Book Antiqua"/>
          <w:i/>
          <w:iCs/>
        </w:rPr>
        <w:t>Med Care</w:t>
      </w:r>
      <w:r>
        <w:rPr>
          <w:rFonts w:ascii="Book Antiqua" w:hAnsi="Book Antiqua"/>
        </w:rPr>
        <w:t xml:space="preserve"> 1994; </w:t>
      </w:r>
      <w:r>
        <w:rPr>
          <w:rFonts w:ascii="Book Antiqua" w:hAnsi="Book Antiqua"/>
          <w:b/>
          <w:bCs/>
        </w:rPr>
        <w:t>32</w:t>
      </w:r>
      <w:r>
        <w:rPr>
          <w:rFonts w:ascii="Book Antiqua" w:hAnsi="Book Antiqua"/>
        </w:rPr>
        <w:t>: 40-66 [PMID: 8277801 DOI: 10.1097/00005650-199401000-00004]</w:t>
      </w:r>
    </w:p>
    <w:p>
      <w:pPr>
        <w:pStyle w:val="5"/>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Buchwald D</w:t>
      </w:r>
      <w:r>
        <w:rPr>
          <w:rFonts w:ascii="Book Antiqua" w:hAnsi="Book Antiqua"/>
        </w:rPr>
        <w:t xml:space="preserve">, Pearlman T, Umali J, Schmaling K, Katon W. Functional status in patients with chronic fatigue syndrome, other fatiguing illnesses, and healthy individuals. </w:t>
      </w:r>
      <w:r>
        <w:rPr>
          <w:rFonts w:ascii="Book Antiqua" w:hAnsi="Book Antiqua"/>
          <w:i/>
          <w:iCs/>
        </w:rPr>
        <w:t>Am J Med</w:t>
      </w:r>
      <w:r>
        <w:rPr>
          <w:rFonts w:ascii="Book Antiqua" w:hAnsi="Book Antiqua"/>
        </w:rPr>
        <w:t xml:space="preserve"> 1996; </w:t>
      </w:r>
      <w:r>
        <w:rPr>
          <w:rFonts w:ascii="Book Antiqua" w:hAnsi="Book Antiqua"/>
          <w:b/>
          <w:bCs/>
        </w:rPr>
        <w:t>101</w:t>
      </w:r>
      <w:r>
        <w:rPr>
          <w:rFonts w:ascii="Book Antiqua" w:hAnsi="Book Antiqua"/>
        </w:rPr>
        <w:t>: 364-370 [PMID: 8873506 DOI: 10.1016/S0002-9343(96)00234-3]</w:t>
      </w:r>
    </w:p>
    <w:p>
      <w:pPr>
        <w:spacing w:line="360" w:lineRule="auto"/>
        <w:jc w:val="both"/>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Approval obtained from the DePaul Institutional Review Board.</w:t>
      </w:r>
    </w:p>
    <w:p>
      <w:pPr>
        <w:spacing w:line="360" w:lineRule="auto"/>
        <w:jc w:val="both"/>
      </w:pPr>
    </w:p>
    <w:p>
      <w:pPr>
        <w:spacing w:line="360" w:lineRule="auto"/>
        <w:jc w:val="both"/>
        <w:rPr>
          <w:rFonts w:ascii="Book Antiqua" w:hAnsi="Book Antiqua"/>
          <w:bCs/>
          <w:color w:val="000000"/>
        </w:rPr>
      </w:pPr>
      <w:r>
        <w:rPr>
          <w:rFonts w:ascii="Book Antiqua" w:hAnsi="Book Antiqua"/>
          <w:b/>
          <w:color w:val="000000"/>
        </w:rPr>
        <w:t xml:space="preserve">Institutional animal care and use committee statement: </w:t>
      </w:r>
      <w:r>
        <w:rPr>
          <w:rFonts w:ascii="Book Antiqua" w:hAnsi="Book Antiqua"/>
          <w:bCs/>
          <w:color w:val="000000"/>
        </w:rPr>
        <w:t>Animals were not used in this study.</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There are no conflicts of interest to report.</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Data sharing statement: </w:t>
      </w:r>
      <w:r>
        <w:rPr>
          <w:rFonts w:ascii="Book Antiqua" w:hAnsi="Book Antiqua" w:eastAsia="Book Antiqua" w:cs="Book Antiqua"/>
        </w:rPr>
        <w:t>Data will be shared when investigators contact the corresponding author.</w:t>
      </w:r>
    </w:p>
    <w:p>
      <w:pPr>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theme="minorHAnsi"/>
        </w:rPr>
      </w:pPr>
      <w:r>
        <w:rPr>
          <w:rFonts w:ascii="Book Antiqua" w:hAnsi="Book Antiqua" w:cstheme="minorHAnsi"/>
          <w:b/>
        </w:rPr>
        <w:t>ARRIVE guidelines statement:</w:t>
      </w:r>
      <w:r>
        <w:rPr>
          <w:rFonts w:ascii="Book Antiqua" w:hAnsi="Book Antiqua" w:cstheme="minorHAnsi"/>
          <w:b/>
          <w:lang w:eastAsia="zh-CN"/>
        </w:rPr>
        <w:t xml:space="preserve"> </w:t>
      </w:r>
      <w:r>
        <w:rPr>
          <w:rFonts w:ascii="Book Antiqua" w:hAnsi="Book Antiqua" w:cstheme="minorHAnsi"/>
        </w:rPr>
        <w:t>The authors have read the ARRIVE guidelines, and the manuscript was prepared and revised according to the ARRIVE guidelines.</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rPr>
          <w:rFonts w:hint="eastAsia" w:eastAsia="宋体"/>
          <w:lang w:val="en-US" w:eastAsia="zh-CN"/>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American Psychological Association</w:t>
      </w:r>
      <w:r>
        <w:rPr>
          <w:rFonts w:hint="eastAsia" w:ascii="Book Antiqua" w:hAnsi="Book Antiqua" w:eastAsia="宋体" w:cs="Book Antiqua"/>
          <w:lang w:val="en-US" w:eastAsia="zh-CN"/>
        </w:rPr>
        <w: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December 27,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April 13, 2023</w:t>
      </w:r>
    </w:p>
    <w:p>
      <w:pPr>
        <w:spacing w:line="360" w:lineRule="auto"/>
        <w:jc w:val="both"/>
        <w:rPr>
          <w:rFonts w:hint="default" w:eastAsia="宋体"/>
          <w:lang w:val="en-US" w:eastAsia="zh-CN"/>
        </w:rPr>
      </w:pPr>
      <w:r>
        <w:rPr>
          <w:rFonts w:ascii="Book Antiqua" w:hAnsi="Book Antiqua" w:eastAsia="Book Antiqua" w:cs="Book Antiqua"/>
          <w:b/>
          <w:color w:val="000000"/>
        </w:rPr>
        <w:t xml:space="preserve">Article in press: </w:t>
      </w:r>
      <w:r>
        <w:rPr>
          <w:rFonts w:hint="eastAsia" w:ascii="Book Antiqua" w:hAnsi="Book Antiqua" w:eastAsia="宋体" w:cs="Book Antiqua"/>
          <w:b w:val="0"/>
          <w:bCs/>
          <w:color w:val="000000"/>
          <w:lang w:val="en-US" w:eastAsia="zh-CN"/>
        </w:rPr>
        <w:t>May 31,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Behavioral sciences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Gupta L, Indonesia; Yeoh SW, Australia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bookmarkStart w:id="2" w:name="_Hlk132874083"/>
    </w:p>
    <w:p>
      <w:pPr>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 xml:space="preserve">Table 1 </w:t>
      </w:r>
      <w:r>
        <w:rPr>
          <w:rFonts w:ascii="Book Antiqua" w:hAnsi="Book Antiqua" w:eastAsia="Book Antiqua" w:cs="Book Antiqua"/>
          <w:b/>
          <w:bCs/>
          <w:color w:val="000000"/>
        </w:rPr>
        <w:t>DePaul symptom questionnaire-2</w:t>
      </w:r>
      <w:r>
        <w:rPr>
          <w:rFonts w:ascii="Book Antiqua" w:hAnsi="Book Antiqua"/>
          <w:b/>
          <w:bCs/>
        </w:rPr>
        <w:t xml:space="preserve"> questions used to classify alcohol intolerance</w:t>
      </w:r>
    </w:p>
    <w:tbl>
      <w:tblPr>
        <w:tblStyle w:val="7"/>
        <w:tblW w:w="936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0"/>
        <w:gridCol w:w="46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468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b/>
              </w:rPr>
            </w:pPr>
            <w:r>
              <w:rPr>
                <w:rFonts w:ascii="Book Antiqua" w:hAnsi="Book Antiqua"/>
                <w:b/>
              </w:rPr>
              <w:t>Question</w:t>
            </w:r>
          </w:p>
        </w:tc>
        <w:tc>
          <w:tcPr>
            <w:tcW w:w="468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b/>
              </w:rPr>
            </w:pPr>
            <w:r>
              <w:rPr>
                <w:rFonts w:ascii="Book Antiqua" w:hAnsi="Book Antiqua"/>
                <w:b/>
              </w:rPr>
              <w:t>Response options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680" w:type="dxa"/>
            <w:vMerge w:val="restart"/>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Severity: Throughout the past 6 months, how much has alcohol intolerance bothered you?</w:t>
            </w:r>
          </w:p>
        </w:tc>
        <w:tc>
          <w:tcPr>
            <w:tcW w:w="4680" w:type="dxa"/>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0 = symptom not present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1 = mild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2 = 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3 = severe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4 = very severe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restart"/>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Over the last 6 months, did you avoid alcohol due to an alcohol intolerance (feeling sick after drinking alcohol)?</w:t>
            </w:r>
          </w:p>
        </w:tc>
        <w:tc>
          <w:tcPr>
            <w:tcW w:w="4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rPr>
            </w:pPr>
            <w:r>
              <w:rPr>
                <w:rFonts w:ascii="Book Antiqua" w:hAnsi="Book Antiqua"/>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rPr>
            </w:pPr>
            <w:r>
              <w:rPr>
                <w:rFonts w:ascii="Book Antiqua" w:hAnsi="Book Antiqua"/>
              </w:rPr>
              <w:t>No, I drank alcohol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rPr>
            </w:pPr>
            <w:r>
              <w:rPr>
                <w:rFonts w:ascii="Book Antiqua" w:hAnsi="Book Antiqua"/>
              </w:rPr>
              <w:t>No, I do not drink alcohol for other reasons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restart"/>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If you were to drink alcohol, how severe would the intolerance be?</w:t>
            </w: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0 = symptom not present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1 = mild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2 = 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3 = severe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0" w:type="dxa"/>
            <w:vMerge w:val="continue"/>
            <w:shd w:val="clear" w:color="auto" w:fill="auto"/>
            <w:tcMar>
              <w:top w:w="100" w:type="dxa"/>
              <w:left w:w="100" w:type="dxa"/>
              <w:bottom w:w="100" w:type="dxa"/>
              <w:right w:w="100" w:type="dxa"/>
            </w:tcMar>
          </w:tcPr>
          <w:p>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pPr>
              <w:spacing w:line="360" w:lineRule="auto"/>
              <w:jc w:val="both"/>
              <w:rPr>
                <w:rFonts w:ascii="Book Antiqua" w:hAnsi="Book Antiqua"/>
              </w:rPr>
            </w:pPr>
            <w:r>
              <w:rPr>
                <w:rFonts w:ascii="Book Antiqua" w:hAnsi="Book Antiqua"/>
              </w:rPr>
              <w:t>4 = very severe</w:t>
            </w:r>
          </w:p>
        </w:tc>
      </w:tr>
      <w:bookmarkEnd w:id="2"/>
    </w:tbl>
    <w:p>
      <w:pPr>
        <w:widowControl w:val="0"/>
        <w:spacing w:line="360" w:lineRule="auto"/>
        <w:jc w:val="both"/>
        <w:rPr>
          <w:rFonts w:ascii="Book Antiqua" w:hAnsi="Book Antiqua"/>
          <w:i/>
        </w:rPr>
      </w:pPr>
    </w:p>
    <w:p>
      <w:pPr>
        <w:rPr>
          <w:rFonts w:ascii="Book Antiqua" w:hAnsi="Book Antiqua"/>
          <w:b/>
          <w:bCs/>
          <w:iCs/>
        </w:rPr>
      </w:pPr>
      <w:r>
        <w:rPr>
          <w:rFonts w:ascii="Book Antiqua" w:hAnsi="Book Antiqua"/>
          <w:b/>
          <w:bCs/>
          <w:iCs/>
        </w:rPr>
        <w:br w:type="page"/>
      </w:r>
    </w:p>
    <w:p>
      <w:pPr>
        <w:spacing w:line="360" w:lineRule="auto"/>
        <w:jc w:val="both"/>
        <w:rPr>
          <w:rFonts w:ascii="Book Antiqua" w:hAnsi="Book Antiqua"/>
          <w:b/>
          <w:bCs/>
          <w:iCs/>
        </w:rPr>
      </w:pPr>
      <w:r>
        <w:rPr>
          <w:rFonts w:ascii="Book Antiqua" w:hAnsi="Book Antiqua"/>
          <w:b/>
          <w:bCs/>
          <w:iCs/>
        </w:rPr>
        <w:t>Table 2 Demographic characteristics of the sample (</w:t>
      </w:r>
      <w:r>
        <w:rPr>
          <w:rFonts w:ascii="Book Antiqua" w:hAnsi="Book Antiqua"/>
          <w:b/>
          <w:bCs/>
          <w:i/>
        </w:rPr>
        <w:t>n</w:t>
      </w:r>
      <w:r>
        <w:rPr>
          <w:rFonts w:ascii="Book Antiqua" w:hAnsi="Book Antiqua"/>
          <w:b/>
          <w:bCs/>
          <w:iCs/>
        </w:rPr>
        <w:t xml:space="preserve"> = 304) separated by binary alcohol intolerance classification</w:t>
      </w:r>
    </w:p>
    <w:tbl>
      <w:tblPr>
        <w:tblStyle w:val="7"/>
        <w:tblW w:w="927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1935"/>
        <w:gridCol w:w="1417"/>
        <w:gridCol w:w="1868"/>
        <w:gridCol w:w="11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880" w:type="dxa"/>
            <w:vMerge w:val="restart"/>
            <w:tcBorders>
              <w:top w:val="single" w:color="auto" w:sz="4" w:space="0"/>
              <w:bottom w:val="nil"/>
            </w:tcBorders>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Characteristic</w:t>
            </w:r>
          </w:p>
        </w:tc>
        <w:tc>
          <w:tcPr>
            <w:tcW w:w="3352" w:type="dxa"/>
            <w:gridSpan w:val="2"/>
            <w:tcBorders>
              <w:top w:val="single" w:color="auto" w:sz="4" w:space="0"/>
              <w:bottom w:val="single" w:color="auto" w:sz="4" w:space="0"/>
            </w:tcBorders>
            <w:shd w:val="clear" w:color="auto" w:fill="FFFFFF" w:themeFill="background1"/>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Alcohol intolerant</w:t>
            </w:r>
            <w:r>
              <w:rPr>
                <w:rFonts w:ascii="Book Antiqua" w:hAnsi="Book Antiqua"/>
                <w:b/>
                <w:bCs/>
                <w:lang w:eastAsia="zh-CN"/>
              </w:rPr>
              <w:t xml:space="preserve">, </w:t>
            </w:r>
            <w:r>
              <w:rPr>
                <w:rFonts w:ascii="Book Antiqua" w:hAnsi="Book Antiqua"/>
                <w:b/>
                <w:bCs/>
                <w:i/>
                <w:iCs/>
              </w:rPr>
              <w:t>n</w:t>
            </w:r>
            <w:r>
              <w:rPr>
                <w:rFonts w:ascii="Book Antiqua" w:hAnsi="Book Antiqua"/>
                <w:b/>
                <w:bCs/>
              </w:rPr>
              <w:t xml:space="preserve"> = 208</w:t>
            </w:r>
          </w:p>
        </w:tc>
        <w:tc>
          <w:tcPr>
            <w:tcW w:w="3038" w:type="dxa"/>
            <w:gridSpan w:val="2"/>
            <w:tcBorders>
              <w:top w:val="single" w:color="auto" w:sz="4" w:space="0"/>
              <w:bottom w:val="single" w:color="auto" w:sz="4" w:space="0"/>
            </w:tcBorders>
            <w:shd w:val="clear" w:color="auto" w:fill="FFFFFF" w:themeFill="background1"/>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Not alcohol intolerant</w:t>
            </w:r>
            <w:r>
              <w:rPr>
                <w:rFonts w:ascii="Book Antiqua" w:hAnsi="Book Antiqua"/>
                <w:b/>
                <w:bCs/>
                <w:lang w:eastAsia="zh-CN"/>
              </w:rPr>
              <w:t xml:space="preserve">, </w:t>
            </w:r>
            <w:r>
              <w:rPr>
                <w:rFonts w:ascii="Book Antiqua" w:hAnsi="Book Antiqua"/>
                <w:b/>
                <w:bCs/>
                <w:i/>
              </w:rPr>
              <w:t>n</w:t>
            </w:r>
            <w:r>
              <w:rPr>
                <w:rFonts w:ascii="Book Antiqua" w:hAnsi="Book Antiqua"/>
                <w:b/>
                <w:bCs/>
              </w:rPr>
              <w:t xml:space="preserve"> = 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2880" w:type="dxa"/>
            <w:vMerge w:val="continue"/>
            <w:tcBorders>
              <w:top w:val="nil"/>
              <w:bottom w:val="single" w:color="auto" w:sz="4" w:space="0"/>
            </w:tcBorders>
            <w:shd w:val="clear" w:color="auto" w:fill="auto"/>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p>
        </w:tc>
        <w:tc>
          <w:tcPr>
            <w:tcW w:w="1935"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mean (%)</w:t>
            </w:r>
          </w:p>
        </w:tc>
        <w:tc>
          <w:tcPr>
            <w:tcW w:w="1417"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 xml:space="preserve">SD or </w:t>
            </w:r>
            <w:r>
              <w:rPr>
                <w:rFonts w:ascii="Book Antiqua" w:hAnsi="Book Antiqua"/>
                <w:b/>
                <w:bCs/>
                <w:i/>
                <w:iCs/>
              </w:rPr>
              <w:t>n</w:t>
            </w:r>
          </w:p>
        </w:tc>
        <w:tc>
          <w:tcPr>
            <w:tcW w:w="1868"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mean (%)</w:t>
            </w:r>
          </w:p>
        </w:tc>
        <w:tc>
          <w:tcPr>
            <w:tcW w:w="117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adjustRightInd w:val="0"/>
              <w:snapToGrid w:val="0"/>
              <w:spacing w:line="360" w:lineRule="auto"/>
              <w:jc w:val="left"/>
              <w:rPr>
                <w:rFonts w:ascii="Book Antiqua" w:hAnsi="Book Antiqua"/>
                <w:b/>
                <w:bCs/>
              </w:rPr>
            </w:pPr>
            <w:r>
              <w:rPr>
                <w:rFonts w:ascii="Book Antiqua" w:hAnsi="Book Antiqua"/>
                <w:b/>
                <w:bCs/>
              </w:rPr>
              <w:t xml:space="preserve">SD or </w:t>
            </w:r>
            <w:r>
              <w:rPr>
                <w:rFonts w:ascii="Book Antiqua" w:hAnsi="Book Antiqua"/>
                <w:b/>
                <w:bCs/>
                <w:i/>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Age</w:t>
            </w:r>
          </w:p>
        </w:tc>
        <w:tc>
          <w:tcPr>
            <w:tcW w:w="1935"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48.07 </w:t>
            </w:r>
          </w:p>
        </w:tc>
        <w:tc>
          <w:tcPr>
            <w:tcW w:w="1417"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12.26</w:t>
            </w:r>
          </w:p>
        </w:tc>
        <w:tc>
          <w:tcPr>
            <w:tcW w:w="1868"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49.57</w:t>
            </w:r>
          </w:p>
        </w:tc>
        <w:tc>
          <w:tcPr>
            <w:tcW w:w="117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Sex</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Male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11.1</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23</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8.3</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Female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87.5</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182</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88.5</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Race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White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95.2</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198</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99.0</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Asian or Pacific Islander</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1.4</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1.0</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Other</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2.9</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Latinx</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No</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98.1</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204</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96.9</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Yes</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1.4</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3.1</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Education</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High school diploma or less</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12.0</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9.4</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College degree or partial college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46.2</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96</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55.3</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Graduate degree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41.3</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86</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34.4</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Work status</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On disability</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50.0</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104</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40.6</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Working (full-time or part-time)</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25.5</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53</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29.2</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Retired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8.7</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18</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13.5</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Unemployed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16.3</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34</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11.5</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Student or homemaker</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9.6</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20</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12.6</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Marital status</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Married or living with partner</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45.2</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94</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55.2</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Never married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31.7</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66</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25.0</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Divorced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16.8</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35</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14.6</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Widowed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1.9</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3.1</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 xml:space="preserve">   Separated</w:t>
            </w:r>
          </w:p>
        </w:tc>
        <w:tc>
          <w:tcPr>
            <w:tcW w:w="1935"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2.9</w:t>
            </w:r>
          </w:p>
        </w:tc>
        <w:tc>
          <w:tcPr>
            <w:tcW w:w="1417"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w:t>
            </w:r>
          </w:p>
        </w:tc>
        <w:tc>
          <w:tcPr>
            <w:tcW w:w="1868"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2.1</w:t>
            </w:r>
          </w:p>
        </w:tc>
        <w:tc>
          <w:tcPr>
            <w:tcW w:w="117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w:t>
            </w:r>
          </w:p>
        </w:tc>
      </w:tr>
    </w:tbl>
    <w:p>
      <w:pPr>
        <w:spacing w:line="360" w:lineRule="auto"/>
        <w:jc w:val="both"/>
        <w:rPr>
          <w:rFonts w:ascii="Book Antiqua" w:hAnsi="Book Antiqua"/>
        </w:rPr>
      </w:pPr>
    </w:p>
    <w:p>
      <w:pPr>
        <w:rPr>
          <w:rFonts w:ascii="Book Antiqua" w:hAnsi="Book Antiqua"/>
          <w:b/>
          <w:bCs/>
          <w:iCs/>
        </w:rPr>
      </w:pPr>
      <w:r>
        <w:rPr>
          <w:rFonts w:ascii="Book Antiqua" w:hAnsi="Book Antiqua"/>
          <w:b/>
          <w:bCs/>
          <w:iCs/>
        </w:rPr>
        <w:br w:type="page"/>
      </w:r>
    </w:p>
    <w:p>
      <w:pPr>
        <w:spacing w:line="360" w:lineRule="auto"/>
        <w:jc w:val="both"/>
        <w:rPr>
          <w:rFonts w:ascii="Book Antiqua" w:hAnsi="Book Antiqua"/>
          <w:b/>
          <w:bCs/>
          <w:iCs/>
        </w:rPr>
      </w:pPr>
      <w:r>
        <w:rPr>
          <w:rFonts w:ascii="Book Antiqua" w:hAnsi="Book Antiqua"/>
          <w:b/>
          <w:bCs/>
          <w:iCs/>
        </w:rPr>
        <w:t>Table 3 Differences in composite</w:t>
      </w:r>
      <w:r>
        <w:rPr>
          <w:rFonts w:ascii="Book Antiqua" w:hAnsi="Book Antiqua" w:eastAsia="Book Antiqua" w:cs="Book Antiqua"/>
          <w:b/>
          <w:bCs/>
          <w:color w:val="000000"/>
        </w:rPr>
        <w:t xml:space="preserve"> DePaul symptom questionnaire-2 </w:t>
      </w:r>
      <w:r>
        <w:rPr>
          <w:rFonts w:ascii="Book Antiqua" w:hAnsi="Book Antiqua"/>
          <w:b/>
          <w:bCs/>
          <w:iCs/>
        </w:rPr>
        <w:t>symptom scores</w:t>
      </w:r>
    </w:p>
    <w:tbl>
      <w:tblPr>
        <w:tblStyle w:val="7"/>
        <w:tblW w:w="9198"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8"/>
        <w:gridCol w:w="2388"/>
        <w:gridCol w:w="2364"/>
        <w:gridCol w:w="13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3138" w:type="dxa"/>
            <w:vMerge w:val="restart"/>
            <w:tcBorders>
              <w:bottom w:val="nil"/>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sz w:val="24"/>
                <w:szCs w:val="24"/>
                <w:lang w:val="en-US" w:eastAsia="zh-CN"/>
              </w:rPr>
              <w:t>Symptom</w:t>
            </w:r>
          </w:p>
        </w:tc>
        <w:tc>
          <w:tcPr>
            <w:tcW w:w="2388" w:type="dxa"/>
            <w:tcBorders>
              <w:bottom w:val="single" w:color="auto" w:sz="4" w:space="0"/>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sz w:val="24"/>
                <w:szCs w:val="24"/>
                <w:lang w:val="en-US" w:eastAsia="zh-CN"/>
              </w:rPr>
              <w:t>Alcohol intolerant</w:t>
            </w:r>
          </w:p>
        </w:tc>
        <w:tc>
          <w:tcPr>
            <w:tcW w:w="2364" w:type="dxa"/>
            <w:tcBorders>
              <w:bottom w:val="single" w:color="auto" w:sz="4" w:space="0"/>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sz w:val="24"/>
                <w:szCs w:val="24"/>
                <w:lang w:val="en-US" w:eastAsia="zh-CN"/>
              </w:rPr>
              <w:t>Not alcohol intolerant</w:t>
            </w:r>
          </w:p>
        </w:tc>
        <w:tc>
          <w:tcPr>
            <w:tcW w:w="1308" w:type="dxa"/>
            <w:vMerge w:val="restart"/>
            <w:tcBorders>
              <w:bottom w:val="single" w:color="auto" w:sz="4" w:space="0"/>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i/>
                <w:iCs/>
                <w:sz w:val="24"/>
                <w:szCs w:val="24"/>
                <w:lang w:val="en-US" w:eastAsia="zh-CN"/>
              </w:rPr>
              <w:t xml:space="preserve">P </w:t>
            </w:r>
            <w:r>
              <w:rPr>
                <w:rFonts w:hint="default" w:ascii="Book Antiqua" w:hAnsi="Book Antiqua" w:cs="Book Antiqua"/>
                <w:b/>
                <w:bCs/>
                <w:sz w:val="24"/>
                <w:szCs w:val="24"/>
                <w:lang w:val="en-US"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138" w:type="dxa"/>
            <w:vMerge w:val="continue"/>
            <w:tcBorders>
              <w:top w:val="nil"/>
              <w:bottom w:val="single" w:color="auto" w:sz="4" w:space="0"/>
            </w:tcBorders>
            <w:shd w:val="clear" w:color="auto" w:fill="auto"/>
            <w:vAlign w:val="bottom"/>
          </w:tcPr>
          <w:p>
            <w:pPr>
              <w:bidi w:val="0"/>
              <w:rPr>
                <w:rFonts w:hint="default" w:ascii="Book Antiqua" w:hAnsi="Book Antiqua" w:cs="Book Antiqua"/>
                <w:sz w:val="24"/>
                <w:szCs w:val="24"/>
              </w:rPr>
            </w:pPr>
          </w:p>
        </w:tc>
        <w:tc>
          <w:tcPr>
            <w:tcW w:w="2388" w:type="dxa"/>
            <w:tcBorders>
              <w:top w:val="single" w:color="auto" w:sz="4" w:space="0"/>
              <w:bottom w:val="single" w:color="auto" w:sz="4" w:space="0"/>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sz w:val="24"/>
                <w:szCs w:val="24"/>
                <w:lang w:val="en-US" w:eastAsia="zh-CN"/>
              </w:rPr>
              <w:t>mean (SD)</w:t>
            </w:r>
          </w:p>
        </w:tc>
        <w:tc>
          <w:tcPr>
            <w:tcW w:w="2364" w:type="dxa"/>
            <w:tcBorders>
              <w:top w:val="single" w:color="auto" w:sz="4" w:space="0"/>
              <w:bottom w:val="single" w:color="auto" w:sz="4" w:space="0"/>
            </w:tcBorders>
            <w:shd w:val="clear" w:color="auto" w:fill="auto"/>
            <w:vAlign w:val="bottom"/>
          </w:tcPr>
          <w:p>
            <w:pPr>
              <w:bidi w:val="0"/>
              <w:rPr>
                <w:rFonts w:hint="default" w:ascii="Book Antiqua" w:hAnsi="Book Antiqua" w:cs="Book Antiqua"/>
                <w:b/>
                <w:bCs/>
                <w:sz w:val="24"/>
                <w:szCs w:val="24"/>
              </w:rPr>
            </w:pPr>
            <w:r>
              <w:rPr>
                <w:rFonts w:hint="default" w:ascii="Book Antiqua" w:hAnsi="Book Antiqua" w:cs="Book Antiqua"/>
                <w:b/>
                <w:bCs/>
                <w:sz w:val="24"/>
                <w:szCs w:val="24"/>
                <w:lang w:val="en-US" w:eastAsia="zh-CN"/>
              </w:rPr>
              <w:t>mean (SD)</w:t>
            </w:r>
          </w:p>
        </w:tc>
        <w:tc>
          <w:tcPr>
            <w:tcW w:w="1308" w:type="dxa"/>
            <w:vMerge w:val="continue"/>
            <w:tcBorders>
              <w:top w:val="single" w:color="auto" w:sz="4" w:space="0"/>
              <w:bottom w:val="single" w:color="auto" w:sz="4" w:space="0"/>
            </w:tcBorders>
            <w:shd w:val="clear" w:color="auto" w:fill="auto"/>
            <w:vAlign w:val="bottom"/>
          </w:tcPr>
          <w:p>
            <w:pPr>
              <w:bidi w:val="0"/>
              <w:rPr>
                <w:rFonts w:hint="default" w:ascii="Book Antiqua" w:hAnsi="Book Antiqua" w:cs="Book Antiqua"/>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trPr>
        <w:tc>
          <w:tcPr>
            <w:tcW w:w="3138" w:type="dxa"/>
            <w:tcBorders>
              <w:top w:val="single" w:color="auto" w:sz="4" w:space="0"/>
            </w:tcBorders>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Post-exertional malaise</w:t>
            </w:r>
          </w:p>
        </w:tc>
        <w:tc>
          <w:tcPr>
            <w:tcW w:w="2388" w:type="dxa"/>
            <w:tcBorders>
              <w:top w:val="single" w:color="auto" w:sz="4" w:space="0"/>
            </w:tcBorders>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79.53 (15.46)</w:t>
            </w:r>
          </w:p>
        </w:tc>
        <w:tc>
          <w:tcPr>
            <w:tcW w:w="2364" w:type="dxa"/>
            <w:tcBorders>
              <w:top w:val="single" w:color="auto" w:sz="4" w:space="0"/>
            </w:tcBorders>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71.99 (17.07)</w:t>
            </w:r>
          </w:p>
        </w:tc>
        <w:tc>
          <w:tcPr>
            <w:tcW w:w="1308" w:type="dxa"/>
            <w:tcBorders>
              <w:top w:val="single" w:color="auto" w:sz="4" w:space="0"/>
            </w:tcBorders>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Feeling drained</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74.70 (21.53)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67.06 (23.31)</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Minimum exercise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78.99 (20.48)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72.27 (20.62)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Worse after physical activity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80.83 (21.42)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74.22 (21.83)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Soreness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77.84 (19.87)</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70.96 (20.40)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Fatigue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81.86 (15.10)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77.47 (15.88)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PrEx>
        <w:trPr>
          <w:trHeight w:val="66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Heavy feeling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83.87 (22.56)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69.53 (30.82)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Muscle fatigue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76.80 (24.01)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64.32 (26.03)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w:t>
            </w:r>
            <w:r>
              <w:rPr>
                <w:rFonts w:hint="eastAsia" w:ascii="Book Antiqua" w:hAnsi="Book Antiqua" w:cs="Book Antiqua"/>
                <w:sz w:val="24"/>
                <w:szCs w:val="24"/>
                <w:lang w:val="en-US" w:eastAsia="zh-CN"/>
              </w:rPr>
              <w:t xml:space="preserve"> </w:t>
            </w: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Unrefreshing sleep</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81.52 (18.83)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80.08 (20.80)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Cognitive impairment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61.53 (18.28)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54.92 (18.39)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Difficulty remembering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68.84 (22.51)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64.58 (25.17)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Difficulty finding right word</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61.78 (23.69)</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54.56 (23.02)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Difficulty understanding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51.02 (24.93)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44.14 (24.33)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Absent-mindedness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62.74 (24.94)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57.50 (22.73)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Slowness of thought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60.34 (24.78)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52.99 (25.70)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Only focus on one thing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68.96 (23.14)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59.38 (24.60)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Difficulty paying attention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72.84 (23.31)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66.97 (23.77)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Slowed speech</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35.75 (27.80)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29.61 (24.33)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PrEx>
        <w:trPr>
          <w:trHeight w:val="501"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Mental tiredness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71.32 (21.74)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64.19 (23.55)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Fever and flu</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37.71 (19.81)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33.74 (19.55)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Fever</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16.36 (21.41)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14.71 (20.52)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High temperature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33.82 (26.14)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29.43 (26.09)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Flu-like symptoms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52.84 (25.87)</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49.22 (27.97)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Prolonged viral illness recovery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38.16 (32.95)</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35.68 (33.88)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Fluctuations in temperature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47.18 (31.83)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39.76 (31.38)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54.84 (22.94)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46.30 (21.86)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Stomach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45.11 (28.08)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36.33 (25.14)</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Irritable bowel</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51.98 (31.39)</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44.01 (31.88)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Bloating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50.79 (28.83)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41.45 (25.80)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Muscle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71.45 (25.12)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63.15 (29.43)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Sleep disruption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57.63 (23.80)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51.52 (25.12)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Problems staying asleep</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61.29 (28.62)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54.04 (29.16)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PrEx>
        <w:trPr>
          <w:trHeight w:val="451"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Waking up early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52.40 (28.64)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44.53 (30.07)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Problems falling asleep</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61.29 (28.62)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54.04 (29.16)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Orthostatic intolerance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39.99 (23.21)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27.86 (22.93)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Graying or blacking out after standing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28.14 (29.39)</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17.63 (24.90)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Blurred or tunnel vision after standing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35.52 (31.01)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25.13 (28.51)</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Heart beats quickly after standing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50.12 (31.11)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35.66 (33.37)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Dizziness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45.91 (26.21)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33.85 (26.34)</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Genitourinary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43.06 (26.18)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36.81 (23.43)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PrEx>
        <w:trPr>
          <w:trHeight w:val="50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Urinary urgency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41.95 (30.88)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38.03 (31.99)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PrEx>
        <w:trPr>
          <w:trHeight w:val="44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Bladder problems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36.96 (31.91)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29.82 (27.29)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Nighttime urinary urgency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50.18 (31.51)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42.37 (30.20)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Temperature intolerance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39.45 (22.76)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28.60 (19.98)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Chills or shivers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37.38 (26.16)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27.34 (24.01)</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Low temperature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29.41 (28.02)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17.45 (20.80)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Cold limbs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51.02 (28.65)</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41.02 (28.89)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98" w:type="dxa"/>
            <w:gridSpan w:val="4"/>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Other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Needing to nap daily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58.74 (28.63)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53.39 (30.80)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Sleep inversion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21.80 (30.09)</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16.28 (26.85)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Joint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60.33 (31.88)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56.64 (30.99)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Eye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34.24 (29.25)</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25.52 (25.32)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Chest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28.32 (23.57)</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19.79 (24.24)</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Headaches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53.32 (26.10)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45.18 (24.69)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Twitching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38.28 (26.15)</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30.34 (24.25)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Muscle weakness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68.15 (25.56)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57.81 (25.92)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noise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64.12 (25.50)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57.55 (27.95)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light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58.53 (28.25)</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51.04 (29.00)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Unable to focus vision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41.35 (26.21)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33.06 (22.82)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Unable to focus attention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56.63 (21.10)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53.89 (20.75)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Loss of depth perception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31.10 (31.76)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17.63 (24.22)</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Nausea</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39.42 (24.74)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26.04 (25.76)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Feeling unsteady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49.70 (28.00)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36.85 (25.48)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Shortness of breath</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38.88 (27.26)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35.81 (26.07)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Irregular heartbeat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32.91 (26.82)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28.26 (26.79)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Losing weight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19.04 (25.04)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17.34 (19.65)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Gaining weight</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52.70 (33.53)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47.58 (31.51)</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Loss of appetite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30.37 (24.52)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31.12 (25.84)</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Sweating hands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15.99 (23.28)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15.89 (24.97)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Night sweats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37.44 (29.32)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35.55 (30.20)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Feeling hot or cold</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53.93 (26.88)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45.96 (26.93)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Sore throats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37.50 (25.00)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32.16 (24.11)</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Lymph nodes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39.54 (28.82)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34.08 (27.50)</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smells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53.43 (30.68)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37.50 (30.99)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mold</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29.89 (37.74)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21.45 (29.94)</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Temperature intolerance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72.52 (26.97)</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55.60 (31.93)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Worse after mental activity</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66.41 (24.31)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59.87 (28.53)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Feeling disoriented</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40.44 (25.23)</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33.68 (23.36)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Difficulty reading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50.96 (32.42)</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39.34 (30.89)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Eye aching</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40.44 (29.61)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30.66 (28.47)</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pain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53.50 (31.78)</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44.35 (36.19)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Pain from pressure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27.00 (34.21)</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24.87 (33.73)</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Daytime drowsiness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64.24 (26.74)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60.53 (27.85)</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Sensitivity to vibrations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36.34 (35.50)</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21.68 (31.39)</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Poor coordination</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51.68 (28.56)</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38.42 (25.08)</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34"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Sinus infections</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25.00 (28.84)</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23.68 (25.36)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313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 xml:space="preserve">   Upright position intolerance</w:t>
            </w:r>
          </w:p>
        </w:tc>
        <w:tc>
          <w:tcPr>
            <w:tcW w:w="238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51.98 (32.87)</w:t>
            </w:r>
          </w:p>
        </w:tc>
        <w:tc>
          <w:tcPr>
            <w:tcW w:w="2364"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44.08 (32.86)</w:t>
            </w:r>
          </w:p>
        </w:tc>
        <w:tc>
          <w:tcPr>
            <w:tcW w:w="1308" w:type="dxa"/>
            <w:shd w:val="clear" w:color="auto" w:fill="auto"/>
            <w:vAlign w:val="bottom"/>
          </w:tcPr>
          <w:p>
            <w:pPr>
              <w:bidi w:val="0"/>
              <w:rPr>
                <w:rFonts w:hint="default" w:ascii="Book Antiqua" w:hAnsi="Book Antiqua" w:cs="Book Antiqua"/>
                <w:sz w:val="24"/>
                <w:szCs w:val="24"/>
              </w:rPr>
            </w:pPr>
            <w:r>
              <w:rPr>
                <w:rFonts w:hint="default" w:ascii="Book Antiqua" w:hAnsi="Book Antiqua" w:cs="Book Antiqua"/>
                <w:sz w:val="24"/>
                <w:szCs w:val="24"/>
                <w:lang w:val="en-US" w:eastAsia="zh-CN"/>
              </w:rPr>
              <w:t>0.05</w:t>
            </w:r>
          </w:p>
        </w:tc>
      </w:tr>
    </w:tbl>
    <w:p>
      <w:pPr>
        <w:rPr>
          <w:rFonts w:ascii="Book Antiqua" w:hAnsi="Book Antiqua"/>
          <w:b/>
          <w:bCs/>
          <w:iCs/>
        </w:rPr>
      </w:pPr>
      <w:r>
        <w:rPr>
          <w:rFonts w:ascii="Book Antiqua" w:hAnsi="Book Antiqua"/>
          <w:b/>
          <w:bCs/>
          <w:iCs/>
        </w:rPr>
        <w:br w:type="page"/>
      </w:r>
    </w:p>
    <w:p>
      <w:pPr>
        <w:spacing w:line="360" w:lineRule="auto"/>
        <w:jc w:val="both"/>
        <w:rPr>
          <w:rFonts w:ascii="Book Antiqua" w:hAnsi="Book Antiqua" w:eastAsia="Arial" w:cs="Arial"/>
          <w:b/>
          <w:bCs/>
          <w:iCs/>
        </w:rPr>
      </w:pPr>
      <w:r>
        <w:rPr>
          <w:rFonts w:ascii="Book Antiqua" w:hAnsi="Book Antiqua"/>
          <w:b/>
          <w:bCs/>
          <w:iCs/>
        </w:rPr>
        <w:t>Table 4 Differences for short form-</w:t>
      </w:r>
      <w:r>
        <w:rPr>
          <w:rFonts w:ascii="Book Antiqua" w:hAnsi="Book Antiqua" w:eastAsia="Book Antiqua" w:cs="Book Antiqua"/>
          <w:b/>
          <w:bCs/>
          <w:color w:val="000000"/>
        </w:rPr>
        <w:t xml:space="preserve">36 </w:t>
      </w:r>
      <w:r>
        <w:rPr>
          <w:rFonts w:ascii="Book Antiqua" w:hAnsi="Book Antiqua"/>
          <w:b/>
          <w:bCs/>
          <w:iCs/>
        </w:rPr>
        <w:t>domain scores</w:t>
      </w:r>
    </w:p>
    <w:tbl>
      <w:tblPr>
        <w:tblStyle w:val="7"/>
        <w:tblW w:w="945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0"/>
        <w:gridCol w:w="2160"/>
        <w:gridCol w:w="2610"/>
        <w:gridCol w:w="10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vMerge w:val="restart"/>
            <w:tcBorders>
              <w:top w:val="single" w:color="auto" w:sz="4" w:space="0"/>
            </w:tcBorders>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cs="Calibri"/>
                <w:b/>
                <w:bCs/>
                <w:color w:val="000000"/>
                <w:shd w:val="clear" w:color="auto" w:fill="FFFFFF"/>
              </w:rPr>
              <w:t>Domain</w:t>
            </w:r>
          </w:p>
        </w:tc>
        <w:tc>
          <w:tcPr>
            <w:tcW w:w="2160" w:type="dxa"/>
            <w:tcBorders>
              <w:top w:val="single" w:color="auto" w:sz="4" w:space="0"/>
              <w:bottom w:val="single" w:color="auto" w:sz="4" w:space="0"/>
            </w:tcBorders>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Alcohol intolerant</w:t>
            </w:r>
          </w:p>
        </w:tc>
        <w:tc>
          <w:tcPr>
            <w:tcW w:w="261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Not alcohol intolerant</w:t>
            </w:r>
          </w:p>
        </w:tc>
        <w:tc>
          <w:tcPr>
            <w:tcW w:w="1080" w:type="dxa"/>
            <w:vMerge w:val="restart"/>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vMerge w:val="continue"/>
            <w:tcBorders>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p>
        </w:tc>
        <w:tc>
          <w:tcPr>
            <w:tcW w:w="216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m</w:t>
            </w:r>
            <w:r>
              <w:rPr>
                <w:rFonts w:ascii="Book Antiqua" w:hAnsi="Book Antiqua"/>
                <w:b/>
                <w:bCs/>
                <w:lang w:eastAsia="zh-CN"/>
              </w:rPr>
              <w:t>ean</w:t>
            </w:r>
            <w:r>
              <w:rPr>
                <w:rFonts w:ascii="Book Antiqua" w:hAnsi="Book Antiqua"/>
                <w:b/>
                <w:bCs/>
              </w:rPr>
              <w:t xml:space="preserve"> (SD)</w:t>
            </w:r>
          </w:p>
        </w:tc>
        <w:tc>
          <w:tcPr>
            <w:tcW w:w="261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mean (SD)</w:t>
            </w:r>
          </w:p>
        </w:tc>
        <w:tc>
          <w:tcPr>
            <w:tcW w:w="1080" w:type="dxa"/>
            <w:vMerge w:val="continue"/>
            <w:tcBorders>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Physical functioning</w:t>
            </w:r>
          </w:p>
        </w:tc>
        <w:tc>
          <w:tcPr>
            <w:tcW w:w="216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23.91 (20.45)</w:t>
            </w:r>
          </w:p>
        </w:tc>
        <w:tc>
          <w:tcPr>
            <w:tcW w:w="261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34.27 (21.86)</w:t>
            </w:r>
          </w:p>
        </w:tc>
        <w:tc>
          <w:tcPr>
            <w:tcW w:w="108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Role physical</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2.00 (9.39)</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4.39 (11.22)</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Bodily pain</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34.30 (22.50)</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43.82 (26.36)</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General health</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23.28 (15.02)</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25.51 (14.36)</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Vitality</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8.98 (10.74)</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12.47 (13.75)</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Social functioning</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18.34 (20.03)</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25.51 (22.38)</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Role emotional</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69.54 (42.15)</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63.01 (43.94)</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Mental health</w:t>
            </w:r>
          </w:p>
        </w:tc>
        <w:tc>
          <w:tcPr>
            <w:tcW w:w="216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67.08 (18.84)</w:t>
            </w:r>
          </w:p>
        </w:tc>
        <w:tc>
          <w:tcPr>
            <w:tcW w:w="26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66.48 (20.00)</w:t>
            </w:r>
          </w:p>
        </w:tc>
        <w:tc>
          <w:tcPr>
            <w:tcW w:w="108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0.83</w:t>
            </w:r>
          </w:p>
        </w:tc>
      </w:tr>
    </w:tbl>
    <w:p>
      <w:pPr>
        <w:spacing w:line="360" w:lineRule="auto"/>
        <w:jc w:val="both"/>
        <w:rPr>
          <w:rFonts w:ascii="Book Antiqua" w:hAnsi="Book Antiqua"/>
        </w:rPr>
      </w:pPr>
    </w:p>
    <w:p>
      <w:pPr>
        <w:rPr>
          <w:rFonts w:ascii="Book Antiqua" w:hAnsi="Book Antiqua"/>
          <w:b/>
          <w:bCs/>
          <w:iCs/>
        </w:rPr>
      </w:pPr>
      <w:r>
        <w:rPr>
          <w:rFonts w:ascii="Book Antiqua" w:hAnsi="Book Antiqua"/>
          <w:b/>
          <w:bCs/>
          <w:iCs/>
        </w:rPr>
        <w:br w:type="page"/>
      </w:r>
    </w:p>
    <w:p>
      <w:pPr>
        <w:spacing w:line="360" w:lineRule="auto"/>
        <w:jc w:val="both"/>
        <w:rPr>
          <w:rFonts w:ascii="Book Antiqua" w:hAnsi="Book Antiqua"/>
          <w:i/>
        </w:rPr>
      </w:pPr>
      <w:r>
        <w:rPr>
          <w:rFonts w:ascii="Book Antiqua" w:hAnsi="Book Antiqua"/>
          <w:b/>
          <w:bCs/>
          <w:iCs/>
        </w:rPr>
        <w:t>Table 5 Linear regression for symptom domain scores, sex, and age</w:t>
      </w:r>
    </w:p>
    <w:tbl>
      <w:tblPr>
        <w:tblStyle w:val="7"/>
        <w:tblW w:w="927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0"/>
        <w:gridCol w:w="990"/>
        <w:gridCol w:w="900"/>
        <w:gridCol w:w="1620"/>
        <w:gridCol w:w="810"/>
        <w:gridCol w:w="810"/>
        <w:gridCol w:w="720"/>
        <w:gridCol w:w="7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vMerge w:val="restart"/>
            <w:tcBorders>
              <w:top w:val="single" w:color="auto" w:sz="4" w:space="0"/>
            </w:tcBorders>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Feature</w:t>
            </w:r>
          </w:p>
        </w:tc>
        <w:tc>
          <w:tcPr>
            <w:tcW w:w="1890" w:type="dxa"/>
            <w:gridSpan w:val="2"/>
            <w:tcBorders>
              <w:top w:val="single" w:color="auto" w:sz="4" w:space="0"/>
              <w:bottom w:val="single" w:color="auto" w:sz="4" w:space="0"/>
            </w:tcBorders>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Unstandardized coefficients</w:t>
            </w:r>
          </w:p>
        </w:tc>
        <w:tc>
          <w:tcPr>
            <w:tcW w:w="162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Standardized coefficients</w:t>
            </w:r>
          </w:p>
        </w:tc>
        <w:tc>
          <w:tcPr>
            <w:tcW w:w="810" w:type="dxa"/>
            <w:vMerge w:val="restart"/>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i/>
                <w:iCs/>
              </w:rPr>
            </w:pPr>
            <w:r>
              <w:rPr>
                <w:rFonts w:ascii="Book Antiqua" w:hAnsi="Book Antiqua"/>
                <w:b/>
                <w:bCs/>
                <w:i/>
                <w:iCs/>
              </w:rPr>
              <w:t>t</w:t>
            </w:r>
          </w:p>
        </w:tc>
        <w:tc>
          <w:tcPr>
            <w:tcW w:w="810" w:type="dxa"/>
            <w:vMerge w:val="restart"/>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i/>
              </w:rPr>
            </w:pPr>
            <w:r>
              <w:rPr>
                <w:rFonts w:ascii="Book Antiqua" w:hAnsi="Book Antiqua"/>
                <w:b/>
                <w:bCs/>
                <w:i/>
              </w:rPr>
              <w:t>P</w:t>
            </w:r>
          </w:p>
        </w:tc>
        <w:tc>
          <w:tcPr>
            <w:tcW w:w="1440" w:type="dxa"/>
            <w:gridSpan w:val="2"/>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vMerge w:val="continue"/>
            <w:tcBorders>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p>
        </w:tc>
        <w:tc>
          <w:tcPr>
            <w:tcW w:w="99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B</w:t>
            </w:r>
          </w:p>
        </w:tc>
        <w:tc>
          <w:tcPr>
            <w:tcW w:w="90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SE</w:t>
            </w:r>
          </w:p>
        </w:tc>
        <w:tc>
          <w:tcPr>
            <w:tcW w:w="162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Beta</w:t>
            </w:r>
          </w:p>
        </w:tc>
        <w:tc>
          <w:tcPr>
            <w:tcW w:w="810" w:type="dxa"/>
            <w:vMerge w:val="continue"/>
            <w:tcBorders>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p>
        </w:tc>
        <w:tc>
          <w:tcPr>
            <w:tcW w:w="810" w:type="dxa"/>
            <w:vMerge w:val="continue"/>
            <w:tcBorders>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p>
        </w:tc>
        <w:tc>
          <w:tcPr>
            <w:tcW w:w="72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LL</w:t>
            </w:r>
          </w:p>
        </w:tc>
        <w:tc>
          <w:tcPr>
            <w:tcW w:w="720" w:type="dxa"/>
            <w:tcBorders>
              <w:top w:val="single" w:color="auto" w:sz="4" w:space="0"/>
              <w:bottom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b/>
                <w:bCs/>
              </w:rPr>
            </w:pPr>
            <w:r>
              <w:rPr>
                <w:rFonts w:ascii="Book Antiqua" w:hAnsi="Book Antiqua"/>
                <w:b/>
                <w:bCs/>
              </w:rPr>
              <w:t>UL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(Constant)</w:t>
            </w:r>
          </w:p>
        </w:tc>
        <w:tc>
          <w:tcPr>
            <w:tcW w:w="99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0.90</w:t>
            </w:r>
          </w:p>
        </w:tc>
        <w:tc>
          <w:tcPr>
            <w:tcW w:w="90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0.70</w:t>
            </w:r>
          </w:p>
        </w:tc>
        <w:tc>
          <w:tcPr>
            <w:tcW w:w="162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81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1.29</w:t>
            </w:r>
          </w:p>
        </w:tc>
        <w:tc>
          <w:tcPr>
            <w:tcW w:w="81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0.20</w:t>
            </w:r>
          </w:p>
        </w:tc>
        <w:tc>
          <w:tcPr>
            <w:tcW w:w="72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-0.47</w:t>
            </w:r>
          </w:p>
        </w:tc>
        <w:tc>
          <w:tcPr>
            <w:tcW w:w="720" w:type="dxa"/>
            <w:tcBorders>
              <w:top w:val="single" w:color="auto" w:sz="4" w:space="0"/>
            </w:tcBorders>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Sex</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-0.27</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0.27</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-0.06</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-1.01</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0.31</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-0.79</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Age</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0.04</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0.57</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0.57</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PEM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0.15</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1.82</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0.07</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Cognitive impairment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-0.04</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-0.54</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0.59</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Fever/flu-like symptoms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-0.11</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-1.39</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0.16</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-0.02</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Pain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0.07</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0.89</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0.37</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Sleep disruption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-0.03</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-0.43</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0.67</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Orthostatic intolerance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0.21</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2.57</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Genitourinary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0.12</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1.73</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0.08</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00" w:type="dxa"/>
            <w:shd w:val="clear" w:color="auto" w:fill="auto"/>
            <w:tcMar>
              <w:top w:w="40" w:type="dxa"/>
              <w:left w:w="40" w:type="dxa"/>
              <w:bottom w:w="40" w:type="dxa"/>
              <w:right w:w="40" w:type="dxa"/>
            </w:tcMar>
          </w:tcPr>
          <w:p>
            <w:pPr>
              <w:widowControl w:val="0"/>
              <w:spacing w:line="360" w:lineRule="auto"/>
              <w:jc w:val="both"/>
              <w:rPr>
                <w:rFonts w:ascii="Book Antiqua" w:hAnsi="Book Antiqua"/>
              </w:rPr>
            </w:pPr>
            <w:r>
              <w:rPr>
                <w:rFonts w:ascii="Book Antiqua" w:hAnsi="Book Antiqua"/>
              </w:rPr>
              <w:t>Temperature intolerance domain</w:t>
            </w:r>
          </w:p>
        </w:tc>
        <w:tc>
          <w:tcPr>
            <w:tcW w:w="99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c>
          <w:tcPr>
            <w:tcW w:w="90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&lt; 0.01</w:t>
            </w:r>
          </w:p>
        </w:tc>
        <w:tc>
          <w:tcPr>
            <w:tcW w:w="16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0.09</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1.11</w:t>
            </w:r>
          </w:p>
        </w:tc>
        <w:tc>
          <w:tcPr>
            <w:tcW w:w="81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0.27</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0.00</w:t>
            </w:r>
          </w:p>
        </w:tc>
        <w:tc>
          <w:tcPr>
            <w:tcW w:w="720" w:type="dxa"/>
            <w:shd w:val="clear" w:color="auto" w:fill="auto"/>
            <w:tcMar>
              <w:top w:w="40" w:type="dxa"/>
              <w:left w:w="40" w:type="dxa"/>
              <w:bottom w:w="40" w:type="dxa"/>
              <w:right w:w="40" w:type="dxa"/>
            </w:tcMar>
            <w:vAlign w:val="bottom"/>
          </w:tcPr>
          <w:p>
            <w:pPr>
              <w:widowControl w:val="0"/>
              <w:spacing w:line="360" w:lineRule="auto"/>
              <w:jc w:val="both"/>
              <w:rPr>
                <w:rFonts w:ascii="Book Antiqua" w:hAnsi="Book Antiqua"/>
              </w:rPr>
            </w:pPr>
            <w:r>
              <w:rPr>
                <w:rFonts w:ascii="Book Antiqua" w:hAnsi="Book Antiqua"/>
              </w:rPr>
              <w:t>0.01</w:t>
            </w:r>
          </w:p>
        </w:tc>
      </w:tr>
    </w:tbl>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rPr>
        <w:t xml:space="preserve">CI: Confidence interval; </w:t>
      </w:r>
      <w:r>
        <w:rPr>
          <w:rFonts w:ascii="Book Antiqua" w:hAnsi="Book Antiqua"/>
          <w:color w:val="040C28"/>
        </w:rPr>
        <w:t xml:space="preserve">LL: Lower limit of the confidence interval; </w:t>
      </w:r>
      <w:r>
        <w:rPr>
          <w:rFonts w:ascii="Book Antiqua" w:hAnsi="Book Antiqua"/>
        </w:rPr>
        <w:t xml:space="preserve">PEM: Post-exertional malaise; </w:t>
      </w:r>
      <w:r>
        <w:rPr>
          <w:rFonts w:ascii="Book Antiqua" w:hAnsi="Book Antiqua"/>
          <w:color w:val="040C28"/>
        </w:rPr>
        <w:t>UL: Upper limit of the confidence interval</w:t>
      </w:r>
      <w:r>
        <w:rPr>
          <w:rFonts w:ascii="Book Antiqua" w:hAnsi="Book Antiqua"/>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both"/>
        <w:textAlignment w:val="auto"/>
        <w:rPr>
          <w:rFonts w:ascii="Book Antiqua" w:hAnsi="Book Antiqua"/>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5208A3"/>
    <w:multiLevelType w:val="multilevel"/>
    <w:tmpl w:val="4D5208A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2MDYwNzQ3MDY1trRQ0lEKTi0uzszPAykwNKgFAPpMY1AtAAAA"/>
    <w:docVar w:name="commondata" w:val="eyJoZGlkIjoiMGIwMTE0NTMyNmRiYjMzNjAwNmQ3OTY2YTQxY2IwMzYifQ=="/>
  </w:docVars>
  <w:rsids>
    <w:rsidRoot w:val="00A77B3E"/>
    <w:rsid w:val="00012845"/>
    <w:rsid w:val="0004762B"/>
    <w:rsid w:val="00057571"/>
    <w:rsid w:val="000618C0"/>
    <w:rsid w:val="00066CAE"/>
    <w:rsid w:val="000B7203"/>
    <w:rsid w:val="000C5D11"/>
    <w:rsid w:val="000F0F37"/>
    <w:rsid w:val="001074A5"/>
    <w:rsid w:val="0011407B"/>
    <w:rsid w:val="00117672"/>
    <w:rsid w:val="00121EC0"/>
    <w:rsid w:val="001232BA"/>
    <w:rsid w:val="00125F84"/>
    <w:rsid w:val="00142E35"/>
    <w:rsid w:val="00146188"/>
    <w:rsid w:val="00150A1D"/>
    <w:rsid w:val="00152FE6"/>
    <w:rsid w:val="00183BB5"/>
    <w:rsid w:val="00185321"/>
    <w:rsid w:val="00190853"/>
    <w:rsid w:val="0019440A"/>
    <w:rsid w:val="001A5636"/>
    <w:rsid w:val="001A7950"/>
    <w:rsid w:val="001B1B38"/>
    <w:rsid w:val="00210FC9"/>
    <w:rsid w:val="00211B8E"/>
    <w:rsid w:val="002139CF"/>
    <w:rsid w:val="002152D0"/>
    <w:rsid w:val="00232AFE"/>
    <w:rsid w:val="00240F75"/>
    <w:rsid w:val="00243BA7"/>
    <w:rsid w:val="0024457D"/>
    <w:rsid w:val="002601DB"/>
    <w:rsid w:val="0026765C"/>
    <w:rsid w:val="0028597E"/>
    <w:rsid w:val="00286D4C"/>
    <w:rsid w:val="002A64EA"/>
    <w:rsid w:val="002D49AC"/>
    <w:rsid w:val="002F7506"/>
    <w:rsid w:val="003042F6"/>
    <w:rsid w:val="00307EE3"/>
    <w:rsid w:val="00316094"/>
    <w:rsid w:val="00321EF8"/>
    <w:rsid w:val="00324EAD"/>
    <w:rsid w:val="003251A5"/>
    <w:rsid w:val="00325E24"/>
    <w:rsid w:val="003274F3"/>
    <w:rsid w:val="0032752F"/>
    <w:rsid w:val="00337078"/>
    <w:rsid w:val="0034090C"/>
    <w:rsid w:val="00350818"/>
    <w:rsid w:val="003513B7"/>
    <w:rsid w:val="00351E8F"/>
    <w:rsid w:val="00365409"/>
    <w:rsid w:val="00395F94"/>
    <w:rsid w:val="003A7684"/>
    <w:rsid w:val="003B535F"/>
    <w:rsid w:val="003D656F"/>
    <w:rsid w:val="003D7185"/>
    <w:rsid w:val="003F4D60"/>
    <w:rsid w:val="004049C2"/>
    <w:rsid w:val="00411B0B"/>
    <w:rsid w:val="00420C73"/>
    <w:rsid w:val="00426281"/>
    <w:rsid w:val="00427FCA"/>
    <w:rsid w:val="004447AA"/>
    <w:rsid w:val="0045159C"/>
    <w:rsid w:val="004743A5"/>
    <w:rsid w:val="0047730A"/>
    <w:rsid w:val="004A6382"/>
    <w:rsid w:val="004A72A3"/>
    <w:rsid w:val="004A7329"/>
    <w:rsid w:val="004A75CE"/>
    <w:rsid w:val="004B39C6"/>
    <w:rsid w:val="004B685F"/>
    <w:rsid w:val="004C072B"/>
    <w:rsid w:val="004C67A8"/>
    <w:rsid w:val="004C7D8A"/>
    <w:rsid w:val="0051197E"/>
    <w:rsid w:val="005164B9"/>
    <w:rsid w:val="00530431"/>
    <w:rsid w:val="00530B71"/>
    <w:rsid w:val="00546C35"/>
    <w:rsid w:val="00547E7A"/>
    <w:rsid w:val="0056724D"/>
    <w:rsid w:val="00574F48"/>
    <w:rsid w:val="00597696"/>
    <w:rsid w:val="005A68CD"/>
    <w:rsid w:val="005B2B93"/>
    <w:rsid w:val="005C3D6C"/>
    <w:rsid w:val="005C775C"/>
    <w:rsid w:val="005D43AE"/>
    <w:rsid w:val="005D6B4D"/>
    <w:rsid w:val="005E634F"/>
    <w:rsid w:val="006026E6"/>
    <w:rsid w:val="0060550D"/>
    <w:rsid w:val="00613A8C"/>
    <w:rsid w:val="00623165"/>
    <w:rsid w:val="0062534F"/>
    <w:rsid w:val="00625FC3"/>
    <w:rsid w:val="00626214"/>
    <w:rsid w:val="006303E8"/>
    <w:rsid w:val="006350EC"/>
    <w:rsid w:val="00635914"/>
    <w:rsid w:val="00654F02"/>
    <w:rsid w:val="00660456"/>
    <w:rsid w:val="00660F7D"/>
    <w:rsid w:val="006669D6"/>
    <w:rsid w:val="006671F3"/>
    <w:rsid w:val="00671778"/>
    <w:rsid w:val="006903F0"/>
    <w:rsid w:val="00697F26"/>
    <w:rsid w:val="006A26CB"/>
    <w:rsid w:val="006A27FF"/>
    <w:rsid w:val="006A6B0B"/>
    <w:rsid w:val="006A78B8"/>
    <w:rsid w:val="006B6426"/>
    <w:rsid w:val="006C1D3C"/>
    <w:rsid w:val="006C4F9A"/>
    <w:rsid w:val="006C7E01"/>
    <w:rsid w:val="007016E8"/>
    <w:rsid w:val="00710A86"/>
    <w:rsid w:val="00716CAA"/>
    <w:rsid w:val="0072337D"/>
    <w:rsid w:val="00733A26"/>
    <w:rsid w:val="00742848"/>
    <w:rsid w:val="007504F2"/>
    <w:rsid w:val="00763727"/>
    <w:rsid w:val="007770A8"/>
    <w:rsid w:val="007A0AA7"/>
    <w:rsid w:val="007A3453"/>
    <w:rsid w:val="007B162A"/>
    <w:rsid w:val="007C6245"/>
    <w:rsid w:val="007C722C"/>
    <w:rsid w:val="007D6509"/>
    <w:rsid w:val="007E236F"/>
    <w:rsid w:val="007E7CEA"/>
    <w:rsid w:val="007F3DD2"/>
    <w:rsid w:val="007F7C80"/>
    <w:rsid w:val="0080269D"/>
    <w:rsid w:val="008158CC"/>
    <w:rsid w:val="0082599E"/>
    <w:rsid w:val="008313E2"/>
    <w:rsid w:val="00835192"/>
    <w:rsid w:val="008560BB"/>
    <w:rsid w:val="00862632"/>
    <w:rsid w:val="00865930"/>
    <w:rsid w:val="00870906"/>
    <w:rsid w:val="00874384"/>
    <w:rsid w:val="00880249"/>
    <w:rsid w:val="00890898"/>
    <w:rsid w:val="00893F3B"/>
    <w:rsid w:val="008A4CCE"/>
    <w:rsid w:val="008A736F"/>
    <w:rsid w:val="008B526D"/>
    <w:rsid w:val="008C019C"/>
    <w:rsid w:val="008C7399"/>
    <w:rsid w:val="008E3426"/>
    <w:rsid w:val="008F537F"/>
    <w:rsid w:val="00910248"/>
    <w:rsid w:val="00932735"/>
    <w:rsid w:val="00933D94"/>
    <w:rsid w:val="00944818"/>
    <w:rsid w:val="00945A98"/>
    <w:rsid w:val="00945E39"/>
    <w:rsid w:val="00946366"/>
    <w:rsid w:val="0095733C"/>
    <w:rsid w:val="00962563"/>
    <w:rsid w:val="0096672F"/>
    <w:rsid w:val="009670AB"/>
    <w:rsid w:val="00967D91"/>
    <w:rsid w:val="00986699"/>
    <w:rsid w:val="009929D2"/>
    <w:rsid w:val="009970A3"/>
    <w:rsid w:val="009A3CD9"/>
    <w:rsid w:val="009B1726"/>
    <w:rsid w:val="009B3553"/>
    <w:rsid w:val="009B7177"/>
    <w:rsid w:val="009C13E6"/>
    <w:rsid w:val="009E2C3D"/>
    <w:rsid w:val="009F10EC"/>
    <w:rsid w:val="00A1541D"/>
    <w:rsid w:val="00A2251C"/>
    <w:rsid w:val="00A31F98"/>
    <w:rsid w:val="00A3506D"/>
    <w:rsid w:val="00A43885"/>
    <w:rsid w:val="00A46455"/>
    <w:rsid w:val="00A53A9B"/>
    <w:rsid w:val="00A662EA"/>
    <w:rsid w:val="00A77B3E"/>
    <w:rsid w:val="00A97217"/>
    <w:rsid w:val="00AA54C9"/>
    <w:rsid w:val="00AA62DF"/>
    <w:rsid w:val="00AB183C"/>
    <w:rsid w:val="00AB3DF4"/>
    <w:rsid w:val="00AB4838"/>
    <w:rsid w:val="00AC228B"/>
    <w:rsid w:val="00AC3512"/>
    <w:rsid w:val="00AC45B9"/>
    <w:rsid w:val="00AE7338"/>
    <w:rsid w:val="00AF1472"/>
    <w:rsid w:val="00AF41F3"/>
    <w:rsid w:val="00B04909"/>
    <w:rsid w:val="00B06C8C"/>
    <w:rsid w:val="00B22D1A"/>
    <w:rsid w:val="00B25630"/>
    <w:rsid w:val="00B41D09"/>
    <w:rsid w:val="00B616FD"/>
    <w:rsid w:val="00B66550"/>
    <w:rsid w:val="00B80CA9"/>
    <w:rsid w:val="00B9185B"/>
    <w:rsid w:val="00B94689"/>
    <w:rsid w:val="00B96FDC"/>
    <w:rsid w:val="00BE54EC"/>
    <w:rsid w:val="00BF2F00"/>
    <w:rsid w:val="00BF6BF9"/>
    <w:rsid w:val="00C14F69"/>
    <w:rsid w:val="00C218D9"/>
    <w:rsid w:val="00C47021"/>
    <w:rsid w:val="00C60BD6"/>
    <w:rsid w:val="00C7123E"/>
    <w:rsid w:val="00C72981"/>
    <w:rsid w:val="00C879E4"/>
    <w:rsid w:val="00CA2391"/>
    <w:rsid w:val="00CA2A55"/>
    <w:rsid w:val="00CA4EA7"/>
    <w:rsid w:val="00CD5877"/>
    <w:rsid w:val="00CF19B7"/>
    <w:rsid w:val="00CF256C"/>
    <w:rsid w:val="00D03B83"/>
    <w:rsid w:val="00D06C58"/>
    <w:rsid w:val="00D20ADD"/>
    <w:rsid w:val="00D44832"/>
    <w:rsid w:val="00D47024"/>
    <w:rsid w:val="00D47120"/>
    <w:rsid w:val="00D52EFF"/>
    <w:rsid w:val="00D57DFE"/>
    <w:rsid w:val="00D6357F"/>
    <w:rsid w:val="00D67662"/>
    <w:rsid w:val="00D67E8F"/>
    <w:rsid w:val="00D730FA"/>
    <w:rsid w:val="00D853C8"/>
    <w:rsid w:val="00DA1D44"/>
    <w:rsid w:val="00DA32B0"/>
    <w:rsid w:val="00DA40FA"/>
    <w:rsid w:val="00DB0324"/>
    <w:rsid w:val="00DB170A"/>
    <w:rsid w:val="00DE3494"/>
    <w:rsid w:val="00DE5700"/>
    <w:rsid w:val="00E15DF8"/>
    <w:rsid w:val="00E15E07"/>
    <w:rsid w:val="00E272D1"/>
    <w:rsid w:val="00E44A4D"/>
    <w:rsid w:val="00E51544"/>
    <w:rsid w:val="00E51634"/>
    <w:rsid w:val="00E71B2F"/>
    <w:rsid w:val="00E73B42"/>
    <w:rsid w:val="00E94F3D"/>
    <w:rsid w:val="00EA51B3"/>
    <w:rsid w:val="00EA7101"/>
    <w:rsid w:val="00EB2317"/>
    <w:rsid w:val="00EB4E33"/>
    <w:rsid w:val="00ED007D"/>
    <w:rsid w:val="00ED1CDE"/>
    <w:rsid w:val="00ED1DE8"/>
    <w:rsid w:val="00ED548C"/>
    <w:rsid w:val="00F048CC"/>
    <w:rsid w:val="00F172D9"/>
    <w:rsid w:val="00F275B0"/>
    <w:rsid w:val="00F31550"/>
    <w:rsid w:val="00F352F3"/>
    <w:rsid w:val="00F42184"/>
    <w:rsid w:val="00F52475"/>
    <w:rsid w:val="00F65320"/>
    <w:rsid w:val="00F902DE"/>
    <w:rsid w:val="00F96E05"/>
    <w:rsid w:val="00FD153D"/>
    <w:rsid w:val="00FE2EB4"/>
    <w:rsid w:val="00FE667B"/>
    <w:rsid w:val="00FF3E97"/>
    <w:rsid w:val="00FF6F28"/>
    <w:rsid w:val="05A353C6"/>
    <w:rsid w:val="07682DE5"/>
    <w:rsid w:val="089C21FC"/>
    <w:rsid w:val="09CE02E7"/>
    <w:rsid w:val="0CE064B9"/>
    <w:rsid w:val="0CF7505A"/>
    <w:rsid w:val="0D2E35AF"/>
    <w:rsid w:val="0F2E7896"/>
    <w:rsid w:val="1168097A"/>
    <w:rsid w:val="147D08AB"/>
    <w:rsid w:val="16DF788D"/>
    <w:rsid w:val="16E3054A"/>
    <w:rsid w:val="18F079A1"/>
    <w:rsid w:val="19B83F7B"/>
    <w:rsid w:val="24685DF5"/>
    <w:rsid w:val="28472C09"/>
    <w:rsid w:val="29231FDE"/>
    <w:rsid w:val="37153A06"/>
    <w:rsid w:val="3A6D2FB2"/>
    <w:rsid w:val="50125944"/>
    <w:rsid w:val="518255D0"/>
    <w:rsid w:val="5B7B2DB0"/>
    <w:rsid w:val="6FE23626"/>
    <w:rsid w:val="75410FF6"/>
    <w:rsid w:val="78B21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5"/>
    <w:semiHidden/>
    <w:unhideWhenUsed/>
    <w:qFormat/>
    <w:uiPriority w:val="0"/>
    <w:rPr>
      <w:b/>
      <w:bCs/>
    </w:rPr>
  </w:style>
  <w:style w:type="character" w:styleId="9">
    <w:name w:val="FollowedHyperlink"/>
    <w:basedOn w:val="8"/>
    <w:semiHidden/>
    <w:unhideWhenUsed/>
    <w:qFormat/>
    <w:uiPriority w:val="0"/>
    <w:rPr>
      <w:color w:val="800080" w:themeColor="followedHyperlink"/>
      <w:u w:val="single"/>
      <w14:textFill>
        <w14:solidFill>
          <w14:schemeClr w14:val="folHlink"/>
        </w14:solidFill>
      </w14:textFill>
    </w:rPr>
  </w:style>
  <w:style w:type="character" w:styleId="10">
    <w:name w:val="Hyperlink"/>
    <w:qFormat/>
    <w:uiPriority w:val="99"/>
    <w:rPr>
      <w:rFonts w:cs="Times New Roman"/>
      <w:color w:val="0000FF"/>
      <w:u w:val="single"/>
    </w:rPr>
  </w:style>
  <w:style w:type="character" w:styleId="11">
    <w:name w:val="annotation reference"/>
    <w:basedOn w:val="8"/>
    <w:semiHidden/>
    <w:unhideWhenUsed/>
    <w:qFormat/>
    <w:uiPriority w:val="0"/>
    <w:rPr>
      <w:sz w:val="21"/>
      <w:szCs w:val="21"/>
    </w:rPr>
  </w:style>
  <w:style w:type="character" w:customStyle="1" w:styleId="12">
    <w:name w:val="页眉 字符"/>
    <w:basedOn w:val="8"/>
    <w:link w:val="4"/>
    <w:qFormat/>
    <w:uiPriority w:val="0"/>
    <w:rPr>
      <w:sz w:val="18"/>
      <w:szCs w:val="18"/>
    </w:rPr>
  </w:style>
  <w:style w:type="character" w:customStyle="1" w:styleId="13">
    <w:name w:val="页脚 字符"/>
    <w:basedOn w:val="8"/>
    <w:link w:val="3"/>
    <w:qFormat/>
    <w:uiPriority w:val="99"/>
    <w:rPr>
      <w:sz w:val="18"/>
      <w:szCs w:val="18"/>
    </w:rPr>
  </w:style>
  <w:style w:type="character" w:customStyle="1" w:styleId="14">
    <w:name w:val="批注文字 字符"/>
    <w:basedOn w:val="8"/>
    <w:link w:val="2"/>
    <w:qFormat/>
    <w:uiPriority w:val="0"/>
    <w:rPr>
      <w:sz w:val="24"/>
      <w:szCs w:val="24"/>
    </w:rPr>
  </w:style>
  <w:style w:type="character" w:customStyle="1" w:styleId="15">
    <w:name w:val="批注主题 字符"/>
    <w:basedOn w:val="14"/>
    <w:link w:val="6"/>
    <w:semiHidden/>
    <w:qFormat/>
    <w:uiPriority w:val="0"/>
    <w:rPr>
      <w:b/>
      <w:bCs/>
      <w:sz w:val="24"/>
      <w:szCs w:val="24"/>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font21"/>
    <w:basedOn w:val="8"/>
    <w:qFormat/>
    <w:uiPriority w:val="0"/>
    <w:rPr>
      <w:rFonts w:hint="default" w:ascii="Book Antiqua" w:hAnsi="Book Antiqua" w:eastAsia="Book Antiqua" w:cs="Book Antiqua"/>
      <w:b/>
      <w:bCs/>
      <w:color w:val="000000"/>
      <w:sz w:val="24"/>
      <w:szCs w:val="24"/>
      <w:u w:val="none"/>
    </w:rPr>
  </w:style>
  <w:style w:type="character" w:customStyle="1" w:styleId="19">
    <w:name w:val="font11"/>
    <w:basedOn w:val="8"/>
    <w:qFormat/>
    <w:uiPriority w:val="0"/>
    <w:rPr>
      <w:rFonts w:hint="default" w:ascii="Book Antiqua" w:hAnsi="Book Antiqua" w:eastAsia="Book Antiqua" w:cs="Book Antiqua"/>
      <w:b/>
      <w:bCs/>
      <w:i/>
      <w:iCs/>
      <w:color w:val="000000"/>
      <w:sz w:val="24"/>
      <w:szCs w:val="24"/>
      <w:u w:val="none"/>
    </w:rPr>
  </w:style>
  <w:style w:type="character" w:customStyle="1" w:styleId="20">
    <w:name w:val="font31"/>
    <w:basedOn w:val="8"/>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5121</Words>
  <Characters>29843</Characters>
  <Lines>248</Lines>
  <Paragraphs>70</Paragraphs>
  <TotalTime>40</TotalTime>
  <ScaleCrop>false</ScaleCrop>
  <LinksUpToDate>false</LinksUpToDate>
  <CharactersWithSpaces>34496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2023-05-04T11:57:00Z</dcterms:created>
  <dc:creator>Jason, Leonard</dc:creator>
  <cp:lastModifiedBy>xzh</cp:lastModifiedBy>
  <dcterms:modified xsi:type="dcterms:W3CDTF">2023-05-31T03:30:43Z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3567C2B08D8D4A9396E4B45978202959_12</vt:lpwstr>
  </property>
</Properties>
</file>