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20C1F" w14:textId="77777777" w:rsidR="00A77B3E" w:rsidRPr="003E0CD0" w:rsidRDefault="00000000">
      <w:pPr>
        <w:spacing w:line="360" w:lineRule="auto"/>
        <w:jc w:val="both"/>
      </w:pPr>
      <w:r w:rsidRPr="003E0CD0">
        <w:rPr>
          <w:rFonts w:ascii="Book Antiqua" w:eastAsia="Book Antiqua" w:hAnsi="Book Antiqua" w:cs="Book Antiqua"/>
          <w:b/>
        </w:rPr>
        <w:t xml:space="preserve">Name of Journal: </w:t>
      </w:r>
      <w:r w:rsidRPr="003E0CD0">
        <w:rPr>
          <w:rFonts w:ascii="Book Antiqua" w:eastAsia="Book Antiqua" w:hAnsi="Book Antiqua" w:cs="Book Antiqua"/>
          <w:i/>
        </w:rPr>
        <w:t>World Journal of Gastroenterology</w:t>
      </w:r>
    </w:p>
    <w:p w14:paraId="10B7B856" w14:textId="77777777" w:rsidR="00A77B3E" w:rsidRPr="003E0CD0" w:rsidRDefault="00000000">
      <w:pPr>
        <w:spacing w:line="360" w:lineRule="auto"/>
        <w:jc w:val="both"/>
      </w:pPr>
      <w:r w:rsidRPr="003E0CD0">
        <w:rPr>
          <w:rFonts w:ascii="Book Antiqua" w:eastAsia="Book Antiqua" w:hAnsi="Book Antiqua" w:cs="Book Antiqua"/>
          <w:b/>
        </w:rPr>
        <w:t xml:space="preserve">Manuscript NO: </w:t>
      </w:r>
      <w:r w:rsidRPr="003E0CD0">
        <w:rPr>
          <w:rFonts w:ascii="Book Antiqua" w:eastAsia="Book Antiqua" w:hAnsi="Book Antiqua" w:cs="Book Antiqua"/>
        </w:rPr>
        <w:t>83666</w:t>
      </w:r>
    </w:p>
    <w:p w14:paraId="7327821F" w14:textId="77777777" w:rsidR="00A77B3E" w:rsidRPr="003E0CD0" w:rsidRDefault="00000000">
      <w:pPr>
        <w:spacing w:line="360" w:lineRule="auto"/>
        <w:jc w:val="both"/>
      </w:pPr>
      <w:r w:rsidRPr="003E0CD0">
        <w:rPr>
          <w:rFonts w:ascii="Book Antiqua" w:eastAsia="Book Antiqua" w:hAnsi="Book Antiqua" w:cs="Book Antiqua"/>
          <w:b/>
        </w:rPr>
        <w:t xml:space="preserve">Manuscript Type: </w:t>
      </w:r>
      <w:r w:rsidRPr="003E0CD0">
        <w:rPr>
          <w:rFonts w:ascii="Book Antiqua" w:eastAsia="Book Antiqua" w:hAnsi="Book Antiqua" w:cs="Book Antiqua"/>
        </w:rPr>
        <w:t>REVIEW</w:t>
      </w:r>
    </w:p>
    <w:p w14:paraId="4DB7D905" w14:textId="77777777" w:rsidR="00A77B3E" w:rsidRPr="003E0CD0" w:rsidRDefault="00A77B3E">
      <w:pPr>
        <w:spacing w:line="360" w:lineRule="auto"/>
        <w:jc w:val="both"/>
      </w:pPr>
    </w:p>
    <w:p w14:paraId="210D751A" w14:textId="77777777" w:rsidR="00A77B3E" w:rsidRPr="003E0CD0" w:rsidRDefault="00000000">
      <w:pPr>
        <w:spacing w:line="360" w:lineRule="auto"/>
        <w:jc w:val="both"/>
      </w:pPr>
      <w:r w:rsidRPr="003E0CD0">
        <w:rPr>
          <w:rFonts w:ascii="Book Antiqua" w:eastAsia="Book Antiqua" w:hAnsi="Book Antiqua" w:cs="Book Antiqua"/>
          <w:b/>
          <w:bCs/>
          <w:color w:val="000000"/>
        </w:rPr>
        <w:t>Rare causes of acute non-variceal upper gastrointestinal bleeding: A comprehensive review</w:t>
      </w:r>
    </w:p>
    <w:p w14:paraId="1C522995" w14:textId="77777777" w:rsidR="00A77B3E" w:rsidRPr="003E0CD0" w:rsidRDefault="00A77B3E">
      <w:pPr>
        <w:spacing w:line="360" w:lineRule="auto"/>
        <w:jc w:val="both"/>
      </w:pPr>
    </w:p>
    <w:p w14:paraId="17120961" w14:textId="07832D88" w:rsidR="00A77B3E" w:rsidRPr="003E0CD0" w:rsidRDefault="0035439C">
      <w:pPr>
        <w:spacing w:line="360" w:lineRule="auto"/>
        <w:jc w:val="both"/>
      </w:pPr>
      <w:r w:rsidRPr="003E0CD0">
        <w:rPr>
          <w:rFonts w:ascii="Book Antiqua" w:eastAsia="Book Antiqua" w:hAnsi="Book Antiqua" w:cs="Book Antiqua"/>
          <w:color w:val="000000"/>
        </w:rPr>
        <w:t xml:space="preserve">Martino A </w:t>
      </w:r>
      <w:r w:rsidRPr="003E0CD0">
        <w:rPr>
          <w:rFonts w:ascii="Book Antiqua" w:eastAsia="Book Antiqua" w:hAnsi="Book Antiqua" w:cs="Book Antiqua"/>
          <w:i/>
          <w:iCs/>
          <w:color w:val="000000"/>
        </w:rPr>
        <w:t>et al</w:t>
      </w:r>
      <w:r w:rsidRPr="003E0CD0">
        <w:rPr>
          <w:rFonts w:ascii="Book Antiqua" w:eastAsia="Book Antiqua" w:hAnsi="Book Antiqua" w:cs="Book Antiqua"/>
          <w:color w:val="000000"/>
        </w:rPr>
        <w:t>. Rare causes of acute NVUGIB</w:t>
      </w:r>
    </w:p>
    <w:p w14:paraId="29FE9652" w14:textId="77777777" w:rsidR="00A77B3E" w:rsidRPr="003E0CD0" w:rsidRDefault="00A77B3E">
      <w:pPr>
        <w:spacing w:line="360" w:lineRule="auto"/>
        <w:jc w:val="both"/>
      </w:pPr>
    </w:p>
    <w:p w14:paraId="26D99797" w14:textId="77777777" w:rsidR="00A77B3E" w:rsidRPr="003E0CD0" w:rsidRDefault="00000000">
      <w:pPr>
        <w:spacing w:line="360" w:lineRule="auto"/>
        <w:jc w:val="both"/>
      </w:pPr>
      <w:r w:rsidRPr="003E0CD0">
        <w:rPr>
          <w:rFonts w:ascii="Book Antiqua" w:eastAsia="Book Antiqua" w:hAnsi="Book Antiqua" w:cs="Book Antiqua"/>
          <w:color w:val="000000"/>
        </w:rPr>
        <w:t>Alberto Martino, Marco Di Serafino, Luigi Orsini, Francesco Giurazza, Roberto Fiorentino, Enrico Crolla, Severo Campione, Carlo Molino, Luigia Romano, Giovanni Lombardi</w:t>
      </w:r>
    </w:p>
    <w:p w14:paraId="0499407E" w14:textId="77777777" w:rsidR="00A77B3E" w:rsidRPr="003E0CD0" w:rsidRDefault="00A77B3E">
      <w:pPr>
        <w:spacing w:line="360" w:lineRule="auto"/>
        <w:jc w:val="both"/>
      </w:pPr>
    </w:p>
    <w:p w14:paraId="064BE3F0"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Alberto Martino, Luigi Orsini, Giovanni Lombardi, </w:t>
      </w:r>
      <w:r w:rsidRPr="003E0CD0">
        <w:rPr>
          <w:rFonts w:ascii="Book Antiqua" w:eastAsia="Book Antiqua" w:hAnsi="Book Antiqua" w:cs="Book Antiqua"/>
          <w:color w:val="000000"/>
        </w:rPr>
        <w:t>Department of Gastroenterology and Digestive Endoscopy, AORN “Antonio Cardarelli”, Naples 80131, Italy</w:t>
      </w:r>
    </w:p>
    <w:p w14:paraId="28743093" w14:textId="77777777" w:rsidR="00A77B3E" w:rsidRPr="003E0CD0" w:rsidRDefault="00A77B3E">
      <w:pPr>
        <w:spacing w:line="360" w:lineRule="auto"/>
        <w:jc w:val="both"/>
      </w:pPr>
    </w:p>
    <w:p w14:paraId="0C784EB3"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Marco Di Serafino, Luigia Romano, </w:t>
      </w:r>
      <w:r w:rsidRPr="003E0CD0">
        <w:rPr>
          <w:rFonts w:ascii="Book Antiqua" w:eastAsia="Book Antiqua" w:hAnsi="Book Antiqua" w:cs="Book Antiqua"/>
          <w:color w:val="000000"/>
        </w:rPr>
        <w:t>Department of General and Emergency Radiology, AORN “Antonio Cardarelli”, Naples 80131, Italy</w:t>
      </w:r>
    </w:p>
    <w:p w14:paraId="7E6FCD97" w14:textId="77777777" w:rsidR="00A77B3E" w:rsidRPr="003E0CD0" w:rsidRDefault="00A77B3E">
      <w:pPr>
        <w:spacing w:line="360" w:lineRule="auto"/>
        <w:jc w:val="both"/>
      </w:pPr>
    </w:p>
    <w:p w14:paraId="222F0C46"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Francesco Giurazza, </w:t>
      </w:r>
      <w:r w:rsidRPr="003E0CD0">
        <w:rPr>
          <w:rFonts w:ascii="Book Antiqua" w:eastAsia="Book Antiqua" w:hAnsi="Book Antiqua" w:cs="Book Antiqua"/>
          <w:color w:val="000000"/>
        </w:rPr>
        <w:t>Department of Interventional Radiology, AORN “Antonio Cardarelli”, Naples 80131, Italy</w:t>
      </w:r>
    </w:p>
    <w:p w14:paraId="01F69AFF" w14:textId="77777777" w:rsidR="00A77B3E" w:rsidRPr="003E0CD0" w:rsidRDefault="00A77B3E">
      <w:pPr>
        <w:spacing w:line="360" w:lineRule="auto"/>
        <w:jc w:val="both"/>
      </w:pPr>
    </w:p>
    <w:p w14:paraId="6CA4D9A3"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Roberto Fiorentino, </w:t>
      </w:r>
      <w:r w:rsidRPr="003E0CD0">
        <w:rPr>
          <w:rFonts w:ascii="Book Antiqua" w:eastAsia="Book Antiqua" w:hAnsi="Book Antiqua" w:cs="Book Antiqua"/>
          <w:color w:val="000000"/>
        </w:rPr>
        <w:t>Department of Oncology, AORN “Antonio Cardarelli”, Naples 80131, Italy</w:t>
      </w:r>
    </w:p>
    <w:p w14:paraId="0B3E3A7B" w14:textId="77777777" w:rsidR="00A77B3E" w:rsidRPr="003E0CD0" w:rsidRDefault="00A77B3E">
      <w:pPr>
        <w:spacing w:line="360" w:lineRule="auto"/>
        <w:jc w:val="both"/>
      </w:pPr>
    </w:p>
    <w:p w14:paraId="6D563941"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Enrico Crolla, Carlo Molino, </w:t>
      </w:r>
      <w:r w:rsidRPr="003E0CD0">
        <w:rPr>
          <w:rFonts w:ascii="Book Antiqua" w:eastAsia="Book Antiqua" w:hAnsi="Book Antiqua" w:cs="Book Antiqua"/>
          <w:color w:val="000000"/>
        </w:rPr>
        <w:t>Department of Oncological Surgery, AORN “Antonio Cardarelli”, Naples 80131, Italy</w:t>
      </w:r>
    </w:p>
    <w:p w14:paraId="1FDF51C6" w14:textId="77777777" w:rsidR="00A77B3E" w:rsidRPr="003E0CD0" w:rsidRDefault="00A77B3E">
      <w:pPr>
        <w:spacing w:line="360" w:lineRule="auto"/>
        <w:jc w:val="both"/>
      </w:pPr>
    </w:p>
    <w:p w14:paraId="5550E6C7"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Severo Campione, </w:t>
      </w:r>
      <w:r w:rsidRPr="003E0CD0">
        <w:rPr>
          <w:rFonts w:ascii="Book Antiqua" w:eastAsia="Book Antiqua" w:hAnsi="Book Antiqua" w:cs="Book Antiqua"/>
          <w:color w:val="000000"/>
        </w:rPr>
        <w:t>Department of Pathology, AORN “Antonio Cardarelli”, Naples 80131, Italy</w:t>
      </w:r>
    </w:p>
    <w:p w14:paraId="1BB255EF" w14:textId="77777777" w:rsidR="00A77B3E" w:rsidRPr="003E0CD0" w:rsidRDefault="00A77B3E">
      <w:pPr>
        <w:spacing w:line="360" w:lineRule="auto"/>
        <w:jc w:val="both"/>
      </w:pPr>
    </w:p>
    <w:p w14:paraId="23976C0C"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Author contributions: </w:t>
      </w:r>
      <w:r w:rsidRPr="003E0CD0">
        <w:rPr>
          <w:rFonts w:ascii="Book Antiqua" w:eastAsia="Book Antiqua" w:hAnsi="Book Antiqua" w:cs="Book Antiqua"/>
          <w:color w:val="000000"/>
        </w:rPr>
        <w:t>Martino A, Di Serafino M, and Orsini L designed research and wrote, edited and finalized the text; Martino A, Di Serafino M, Orsini L, Giurazza F, Fiorentino R, Crolla E, and Campione S performed literature search and analyzed the data; Molino C, Romano L, and Lombardi G reviewed the paper for important intellectual content.</w:t>
      </w:r>
    </w:p>
    <w:p w14:paraId="0318C102" w14:textId="77777777" w:rsidR="00A77B3E" w:rsidRPr="003E0CD0" w:rsidRDefault="00A77B3E">
      <w:pPr>
        <w:spacing w:line="360" w:lineRule="auto"/>
        <w:jc w:val="both"/>
      </w:pPr>
    </w:p>
    <w:p w14:paraId="67B1297D" w14:textId="77777777" w:rsidR="00A77B3E" w:rsidRPr="003E0CD0" w:rsidRDefault="00000000">
      <w:pPr>
        <w:spacing w:line="360" w:lineRule="auto"/>
        <w:jc w:val="both"/>
      </w:pPr>
      <w:r w:rsidRPr="003E0CD0">
        <w:rPr>
          <w:rFonts w:ascii="Book Antiqua" w:eastAsia="Book Antiqua" w:hAnsi="Book Antiqua" w:cs="Book Antiqua"/>
          <w:b/>
          <w:bCs/>
          <w:color w:val="000000"/>
        </w:rPr>
        <w:t xml:space="preserve">Corresponding author: Alberto Martino, MD, Staff Physician, </w:t>
      </w:r>
      <w:r w:rsidRPr="003E0CD0">
        <w:rPr>
          <w:rFonts w:ascii="Book Antiqua" w:eastAsia="Book Antiqua" w:hAnsi="Book Antiqua" w:cs="Book Antiqua"/>
          <w:color w:val="000000"/>
        </w:rPr>
        <w:t xml:space="preserve">Department of Gastroenterology and Digestive Endoscopy, AORN “Antonio Cardarelli”, </w:t>
      </w:r>
      <w:r w:rsidRPr="003E0CD0">
        <w:rPr>
          <w:rFonts w:ascii="Book Antiqua" w:eastAsia="Book Antiqua" w:hAnsi="Book Antiqua" w:cs="Book Antiqua"/>
          <w:i/>
          <w:iCs/>
          <w:color w:val="000000"/>
        </w:rPr>
        <w:t>Via</w:t>
      </w:r>
      <w:r w:rsidRPr="003E0CD0">
        <w:rPr>
          <w:rFonts w:ascii="Book Antiqua" w:eastAsia="Book Antiqua" w:hAnsi="Book Antiqua" w:cs="Book Antiqua"/>
          <w:color w:val="000000"/>
        </w:rPr>
        <w:t xml:space="preserve"> Antonio Cardarelli, 9, Naples 80131, Italy. albertomartinomd@gmail.com</w:t>
      </w:r>
    </w:p>
    <w:p w14:paraId="1291905C" w14:textId="77777777" w:rsidR="00A77B3E" w:rsidRPr="003E0CD0" w:rsidRDefault="00A77B3E">
      <w:pPr>
        <w:spacing w:line="360" w:lineRule="auto"/>
        <w:jc w:val="both"/>
      </w:pPr>
    </w:p>
    <w:p w14:paraId="755BCBC5" w14:textId="77777777" w:rsidR="00A77B3E" w:rsidRPr="003E0CD0" w:rsidRDefault="00000000">
      <w:pPr>
        <w:spacing w:line="360" w:lineRule="auto"/>
        <w:jc w:val="both"/>
      </w:pPr>
      <w:r w:rsidRPr="003E0CD0">
        <w:rPr>
          <w:rFonts w:ascii="Book Antiqua" w:eastAsia="Book Antiqua" w:hAnsi="Book Antiqua" w:cs="Book Antiqua"/>
          <w:b/>
          <w:bCs/>
        </w:rPr>
        <w:t xml:space="preserve">Received: </w:t>
      </w:r>
      <w:r w:rsidRPr="003E0CD0">
        <w:rPr>
          <w:rFonts w:ascii="Book Antiqua" w:eastAsia="Book Antiqua" w:hAnsi="Book Antiqua" w:cs="Book Antiqua"/>
        </w:rPr>
        <w:t>February 4, 2023</w:t>
      </w:r>
    </w:p>
    <w:p w14:paraId="5DA5472A" w14:textId="77777777" w:rsidR="00A77B3E" w:rsidRPr="003E0CD0" w:rsidRDefault="00000000">
      <w:pPr>
        <w:spacing w:line="360" w:lineRule="auto"/>
        <w:jc w:val="both"/>
      </w:pPr>
      <w:r w:rsidRPr="003E0CD0">
        <w:rPr>
          <w:rFonts w:ascii="Book Antiqua" w:eastAsia="Book Antiqua" w:hAnsi="Book Antiqua" w:cs="Book Antiqua"/>
          <w:b/>
          <w:bCs/>
        </w:rPr>
        <w:t xml:space="preserve">Revised: </w:t>
      </w:r>
      <w:r w:rsidRPr="003E0CD0">
        <w:rPr>
          <w:rFonts w:ascii="Book Antiqua" w:eastAsia="Book Antiqua" w:hAnsi="Book Antiqua" w:cs="Book Antiqua"/>
        </w:rPr>
        <w:t>April 11, 2023</w:t>
      </w:r>
    </w:p>
    <w:p w14:paraId="28A8072D" w14:textId="17E8FF8D" w:rsidR="00A77B3E" w:rsidRPr="003E0CD0" w:rsidRDefault="00000000">
      <w:pPr>
        <w:spacing w:line="360" w:lineRule="auto"/>
        <w:jc w:val="both"/>
      </w:pPr>
      <w:r w:rsidRPr="003E0CD0">
        <w:rPr>
          <w:rFonts w:ascii="Book Antiqua" w:eastAsia="Book Antiqua" w:hAnsi="Book Antiqua" w:cs="Book Antiqua"/>
          <w:b/>
          <w:bCs/>
        </w:rPr>
        <w:t xml:space="preserve">Accepted: </w:t>
      </w:r>
      <w:r w:rsidR="003E0CD0" w:rsidRPr="003E0CD0">
        <w:rPr>
          <w:rFonts w:ascii="Times-Roman" w:hAnsi="Times-Roman" w:cs="Times-Roman"/>
        </w:rPr>
        <w:t>May 8, 2023</w:t>
      </w:r>
    </w:p>
    <w:p w14:paraId="512818EC" w14:textId="152BF52A" w:rsidR="00A77B3E" w:rsidRPr="003E0CD0" w:rsidRDefault="00000000">
      <w:pPr>
        <w:spacing w:line="360" w:lineRule="auto"/>
        <w:jc w:val="both"/>
      </w:pPr>
      <w:r w:rsidRPr="003E0CD0">
        <w:rPr>
          <w:rFonts w:ascii="Book Antiqua" w:eastAsia="Book Antiqua" w:hAnsi="Book Antiqua" w:cs="Book Antiqua"/>
          <w:b/>
          <w:bCs/>
        </w:rPr>
        <w:t xml:space="preserve">Published online: </w:t>
      </w:r>
      <w:bookmarkStart w:id="0" w:name="_Hlk139365337"/>
      <w:r w:rsidR="00411D9A" w:rsidRPr="00FF764B">
        <w:rPr>
          <w:rFonts w:ascii="Book Antiqua" w:hAnsi="Book Antiqua"/>
          <w:color w:val="000000"/>
          <w:shd w:val="clear" w:color="auto" w:fill="FFFFFF"/>
        </w:rPr>
        <w:t>July 21, 2023</w:t>
      </w:r>
      <w:bookmarkEnd w:id="0"/>
    </w:p>
    <w:p w14:paraId="0A50EBD5" w14:textId="77777777" w:rsidR="00A77B3E" w:rsidRPr="003E0CD0" w:rsidRDefault="00A77B3E">
      <w:pPr>
        <w:spacing w:line="360" w:lineRule="auto"/>
        <w:jc w:val="both"/>
        <w:sectPr w:rsidR="00A77B3E" w:rsidRPr="003E0CD0">
          <w:footerReference w:type="default" r:id="rId6"/>
          <w:pgSz w:w="12240" w:h="15840"/>
          <w:pgMar w:top="1440" w:right="1440" w:bottom="1440" w:left="1440" w:header="720" w:footer="720" w:gutter="0"/>
          <w:cols w:space="720"/>
          <w:docGrid w:linePitch="360"/>
        </w:sectPr>
      </w:pPr>
    </w:p>
    <w:p w14:paraId="5D73F28A" w14:textId="77777777" w:rsidR="00A77B3E" w:rsidRPr="003E0CD0" w:rsidRDefault="00000000">
      <w:pPr>
        <w:spacing w:line="360" w:lineRule="auto"/>
        <w:jc w:val="both"/>
      </w:pPr>
      <w:r w:rsidRPr="003E0CD0">
        <w:rPr>
          <w:rFonts w:ascii="Book Antiqua" w:eastAsia="Book Antiqua" w:hAnsi="Book Antiqua" w:cs="Book Antiqua"/>
          <w:b/>
          <w:color w:val="000000"/>
        </w:rPr>
        <w:lastRenderedPageBreak/>
        <w:t>Abstract</w:t>
      </w:r>
    </w:p>
    <w:p w14:paraId="442C7FC2" w14:textId="51625BAE" w:rsidR="00A77B3E" w:rsidRPr="003E0CD0" w:rsidRDefault="00000000">
      <w:pPr>
        <w:spacing w:line="360" w:lineRule="auto"/>
        <w:jc w:val="both"/>
      </w:pPr>
      <w:r w:rsidRPr="003E0CD0">
        <w:rPr>
          <w:rFonts w:ascii="Book Antiqua" w:eastAsia="Book Antiqua" w:hAnsi="Book Antiqua" w:cs="Book Antiqua"/>
        </w:rPr>
        <w:t xml:space="preserve">Non-variceal upper gastrointestinal bleeding (NVUGIB) is a common gastroenterological emergency associated with significant morbidity and mortality. Gastroenterologists and other involved clinicians are generally assisted by international guidelines in its management. However, NVUGIB due to peptic ulcer disease only is mainly addressed by current guidelines, with upper </w:t>
      </w:r>
      <w:r w:rsidR="00356C29" w:rsidRPr="003E0CD0">
        <w:rPr>
          <w:rFonts w:ascii="Book Antiqua" w:eastAsia="Book Antiqua" w:hAnsi="Book Antiqua" w:cs="Book Antiqua"/>
        </w:rPr>
        <w:t>GI</w:t>
      </w:r>
      <w:r w:rsidRPr="003E0CD0">
        <w:rPr>
          <w:rFonts w:ascii="Book Antiqua" w:eastAsia="Book Antiqua" w:hAnsi="Book Antiqua" w:cs="Book Antiqua"/>
        </w:rPr>
        <w:t xml:space="preserve"> endoscopy being recommended as the gold standard modality for both diagnosis and treatment. Conversely, the management of rare and extraordinary rare causes of NVUGIB is not covered by current guidelines. Given they are frequently life-threatening conditions, all the involved clinicians, that is emergency physicians, diagnostic and interventional radiologists, surgeons, in addition obviously to gastroenterologists, should be aware of and familiar with their management. Indeed, they typically require a prompt diagnosis and treatment, engaging a dedicated, patient-tailored, multidisciplinary team approach. The aim of our review was to extensively summarize the current evidence with regard to the management of rare and extraordinary rare causes of NVUGIB.</w:t>
      </w:r>
    </w:p>
    <w:p w14:paraId="7A2E1754" w14:textId="77777777" w:rsidR="00A77B3E" w:rsidRPr="003E0CD0" w:rsidRDefault="00A77B3E">
      <w:pPr>
        <w:spacing w:line="360" w:lineRule="auto"/>
        <w:jc w:val="both"/>
      </w:pPr>
    </w:p>
    <w:p w14:paraId="5541FA42" w14:textId="77777777" w:rsidR="00A77B3E" w:rsidRPr="003E0CD0" w:rsidRDefault="00000000">
      <w:pPr>
        <w:spacing w:line="360" w:lineRule="auto"/>
        <w:jc w:val="both"/>
      </w:pPr>
      <w:r w:rsidRPr="003E0CD0">
        <w:rPr>
          <w:rFonts w:ascii="Book Antiqua" w:eastAsia="Book Antiqua" w:hAnsi="Book Antiqua" w:cs="Book Antiqua"/>
          <w:b/>
          <w:bCs/>
        </w:rPr>
        <w:t xml:space="preserve">Key Words: </w:t>
      </w:r>
      <w:r w:rsidRPr="003E0CD0">
        <w:rPr>
          <w:rFonts w:ascii="Book Antiqua" w:eastAsia="Book Antiqua" w:hAnsi="Book Antiqua" w:cs="Book Antiqua"/>
        </w:rPr>
        <w:t>Gastrointestinal bleeding; Upper gastrointestinal bleeding; Non-variceal upper gastrointestinal bleeding; Rare causes; Vascular causes; Upper endoscopy</w:t>
      </w:r>
    </w:p>
    <w:p w14:paraId="5F2AA2D9" w14:textId="77777777" w:rsidR="00A77B3E" w:rsidRDefault="00A77B3E">
      <w:pPr>
        <w:spacing w:line="360" w:lineRule="auto"/>
        <w:jc w:val="both"/>
      </w:pPr>
    </w:p>
    <w:p w14:paraId="2ECCFA64" w14:textId="77777777" w:rsidR="008E1F8A" w:rsidRDefault="008E1F8A" w:rsidP="008E1F8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C7EFD6B" w14:textId="77777777" w:rsidR="008E1F8A" w:rsidRPr="003E0CD0" w:rsidRDefault="008E1F8A">
      <w:pPr>
        <w:spacing w:line="360" w:lineRule="auto"/>
        <w:jc w:val="both"/>
      </w:pPr>
    </w:p>
    <w:p w14:paraId="345A93B0" w14:textId="256F1BA8" w:rsidR="008E1F8A" w:rsidRDefault="008E1F8A">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3E0CD0">
        <w:rPr>
          <w:rFonts w:ascii="Book Antiqua" w:eastAsia="Book Antiqua" w:hAnsi="Book Antiqua" w:cs="Book Antiqua"/>
        </w:rPr>
        <w:t xml:space="preserve">Martino A, Di Serafino M, Orsini L, Giurazza F, Fiorentino R, Crolla E, Campione S, Molino C, Romano L, Lombardi G. Rare causes of acute non-variceal upper gastrointestinal bleeding: A comprehensive review.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2023; </w:t>
      </w:r>
      <w:r w:rsidR="003E0CD0" w:rsidRPr="003E0CD0">
        <w:rPr>
          <w:rFonts w:ascii="Book Antiqua" w:eastAsia="Book Antiqua" w:hAnsi="Book Antiqua" w:cs="Book Antiqua"/>
        </w:rPr>
        <w:t>29(2</w:t>
      </w:r>
      <w:r>
        <w:rPr>
          <w:rFonts w:ascii="Book Antiqua" w:eastAsia="Book Antiqua" w:hAnsi="Book Antiqua" w:cs="Book Antiqua"/>
        </w:rPr>
        <w:t>7</w:t>
      </w:r>
      <w:r w:rsidR="003E0CD0" w:rsidRPr="003E0CD0">
        <w:rPr>
          <w:rFonts w:ascii="Book Antiqua" w:eastAsia="Book Antiqua" w:hAnsi="Book Antiqua" w:cs="Book Antiqua"/>
        </w:rPr>
        <w:t xml:space="preserve">): </w:t>
      </w:r>
      <w:r>
        <w:rPr>
          <w:rFonts w:ascii="Book Antiqua" w:eastAsia="Book Antiqua" w:hAnsi="Book Antiqua" w:cs="Book Antiqua"/>
        </w:rPr>
        <w:t>4222</w:t>
      </w:r>
      <w:r w:rsidR="003E0CD0" w:rsidRPr="003E0CD0">
        <w:rPr>
          <w:rFonts w:ascii="Book Antiqua" w:eastAsia="Book Antiqua" w:hAnsi="Book Antiqua" w:cs="Book Antiqua"/>
        </w:rPr>
        <w:t>-</w:t>
      </w:r>
      <w:r w:rsidRPr="008E1F8A">
        <w:rPr>
          <w:rFonts w:ascii="Book Antiqua" w:eastAsia="Book Antiqua" w:hAnsi="Book Antiqua" w:cs="Book Antiqua"/>
        </w:rPr>
        <w:t>4235</w:t>
      </w:r>
      <w:r w:rsidR="003E0CD0" w:rsidRPr="003E0CD0">
        <w:rPr>
          <w:rFonts w:ascii="Book Antiqua" w:eastAsia="Book Antiqua" w:hAnsi="Book Antiqua" w:cs="Book Antiqua"/>
        </w:rPr>
        <w:t xml:space="preserve"> </w:t>
      </w:r>
    </w:p>
    <w:p w14:paraId="72A43708" w14:textId="2BCE8C0A" w:rsidR="008E1F8A" w:rsidRDefault="003E0CD0">
      <w:pPr>
        <w:spacing w:line="360" w:lineRule="auto"/>
        <w:jc w:val="both"/>
        <w:rPr>
          <w:rFonts w:ascii="Book Antiqua" w:eastAsia="Book Antiqua" w:hAnsi="Book Antiqua" w:cs="Book Antiqua"/>
        </w:rPr>
      </w:pPr>
      <w:r w:rsidRPr="008E1F8A">
        <w:rPr>
          <w:rFonts w:ascii="Book Antiqua" w:eastAsia="Book Antiqua" w:hAnsi="Book Antiqua" w:cs="Book Antiqua"/>
          <w:b/>
          <w:bCs/>
        </w:rPr>
        <w:t>URL:</w:t>
      </w:r>
      <w:r w:rsidRPr="003E0CD0">
        <w:rPr>
          <w:rFonts w:ascii="Book Antiqua" w:eastAsia="Book Antiqua" w:hAnsi="Book Antiqua" w:cs="Book Antiqua"/>
        </w:rPr>
        <w:t xml:space="preserve"> https://www.wjgnet.com/1007-9327/full/v29/i2</w:t>
      </w:r>
      <w:r w:rsidR="008E1F8A">
        <w:rPr>
          <w:rFonts w:ascii="Book Antiqua" w:eastAsia="Book Antiqua" w:hAnsi="Book Antiqua" w:cs="Book Antiqua"/>
        </w:rPr>
        <w:t>7</w:t>
      </w:r>
      <w:r w:rsidRPr="003E0CD0">
        <w:rPr>
          <w:rFonts w:ascii="Book Antiqua" w:eastAsia="Book Antiqua" w:hAnsi="Book Antiqua" w:cs="Book Antiqua"/>
        </w:rPr>
        <w:t>/</w:t>
      </w:r>
      <w:r w:rsidR="008E1F8A">
        <w:rPr>
          <w:rFonts w:ascii="Book Antiqua" w:eastAsia="Book Antiqua" w:hAnsi="Book Antiqua" w:cs="Book Antiqua"/>
        </w:rPr>
        <w:t>4222</w:t>
      </w:r>
      <w:r w:rsidRPr="003E0CD0">
        <w:rPr>
          <w:rFonts w:ascii="Book Antiqua" w:eastAsia="Book Antiqua" w:hAnsi="Book Antiqua" w:cs="Book Antiqua"/>
        </w:rPr>
        <w:t>.htm</w:t>
      </w:r>
    </w:p>
    <w:p w14:paraId="01B635C1" w14:textId="51488D58" w:rsidR="00A77B3E" w:rsidRPr="003E0CD0" w:rsidRDefault="003E0CD0">
      <w:pPr>
        <w:spacing w:line="360" w:lineRule="auto"/>
        <w:jc w:val="both"/>
      </w:pPr>
      <w:r w:rsidRPr="008E1F8A">
        <w:rPr>
          <w:rFonts w:ascii="Book Antiqua" w:eastAsia="Book Antiqua" w:hAnsi="Book Antiqua" w:cs="Book Antiqua"/>
          <w:b/>
          <w:bCs/>
        </w:rPr>
        <w:t>DOI:</w:t>
      </w:r>
      <w:r w:rsidRPr="003E0CD0">
        <w:rPr>
          <w:rFonts w:ascii="Book Antiqua" w:eastAsia="Book Antiqua" w:hAnsi="Book Antiqua" w:cs="Book Antiqua"/>
        </w:rPr>
        <w:t xml:space="preserve"> https://dx.doi.org/10.3748/wjg.v29.i2</w:t>
      </w:r>
      <w:r w:rsidR="008E1F8A">
        <w:rPr>
          <w:rFonts w:ascii="Book Antiqua" w:eastAsia="Book Antiqua" w:hAnsi="Book Antiqua" w:cs="Book Antiqua"/>
        </w:rPr>
        <w:t>7</w:t>
      </w:r>
      <w:r w:rsidRPr="003E0CD0">
        <w:rPr>
          <w:rFonts w:ascii="Book Antiqua" w:eastAsia="Book Antiqua" w:hAnsi="Book Antiqua" w:cs="Book Antiqua"/>
        </w:rPr>
        <w:t>.</w:t>
      </w:r>
      <w:r w:rsidR="008E1F8A">
        <w:rPr>
          <w:rFonts w:ascii="Book Antiqua" w:eastAsia="Book Antiqua" w:hAnsi="Book Antiqua" w:cs="Book Antiqua"/>
        </w:rPr>
        <w:t>4222</w:t>
      </w:r>
    </w:p>
    <w:p w14:paraId="4638D533" w14:textId="77777777" w:rsidR="00A77B3E" w:rsidRPr="003E0CD0" w:rsidRDefault="00A77B3E">
      <w:pPr>
        <w:spacing w:line="360" w:lineRule="auto"/>
        <w:jc w:val="both"/>
      </w:pPr>
    </w:p>
    <w:p w14:paraId="0D57E631" w14:textId="77777777" w:rsidR="00A77B3E" w:rsidRPr="003E0CD0" w:rsidRDefault="00000000">
      <w:pPr>
        <w:spacing w:line="360" w:lineRule="auto"/>
        <w:jc w:val="both"/>
      </w:pPr>
      <w:r w:rsidRPr="003E0CD0">
        <w:rPr>
          <w:rFonts w:ascii="Book Antiqua" w:eastAsia="Book Antiqua" w:hAnsi="Book Antiqua" w:cs="Book Antiqua"/>
          <w:b/>
          <w:bCs/>
        </w:rPr>
        <w:lastRenderedPageBreak/>
        <w:t xml:space="preserve">Core Tip: </w:t>
      </w:r>
      <w:r w:rsidRPr="003E0CD0">
        <w:rPr>
          <w:rFonts w:ascii="Book Antiqua" w:eastAsia="Book Antiqua" w:hAnsi="Book Antiqua" w:cs="Book Antiqua"/>
        </w:rPr>
        <w:t>Rare and extraordinary rare causes of non-variceal upper gastrointestinal bleeding (</w:t>
      </w:r>
      <w:bookmarkStart w:id="1" w:name="_Hlk134449342"/>
      <w:r w:rsidRPr="003E0CD0">
        <w:rPr>
          <w:rFonts w:ascii="Book Antiqua" w:eastAsia="Book Antiqua" w:hAnsi="Book Antiqua" w:cs="Book Antiqua"/>
        </w:rPr>
        <w:t>NVUGIB</w:t>
      </w:r>
      <w:bookmarkEnd w:id="1"/>
      <w:r w:rsidRPr="003E0CD0">
        <w:rPr>
          <w:rFonts w:ascii="Book Antiqua" w:eastAsia="Book Antiqua" w:hAnsi="Book Antiqua" w:cs="Book Antiqua"/>
        </w:rPr>
        <w:t>) are commonly life-threatening conditions. Thus, a prompt diagnosis and a subsequent equally early treatment are required, typically involving a patient-tailored, multidisciplinary team approach. However, given the rare occurrence, their management is not covered by NVUGIB current guidelines. Our study aimed to review the current evidence with regard to the management of rare and extraordinary rare causes of NVUGIB.</w:t>
      </w:r>
    </w:p>
    <w:p w14:paraId="0026960F" w14:textId="77777777" w:rsidR="00A77B3E" w:rsidRPr="003E0CD0" w:rsidRDefault="00A77B3E">
      <w:pPr>
        <w:spacing w:line="360" w:lineRule="auto"/>
        <w:jc w:val="both"/>
      </w:pPr>
    </w:p>
    <w:p w14:paraId="63577006" w14:textId="77777777" w:rsidR="00A77B3E" w:rsidRPr="003E0CD0" w:rsidRDefault="00000000">
      <w:pPr>
        <w:spacing w:line="360" w:lineRule="auto"/>
        <w:jc w:val="both"/>
      </w:pPr>
      <w:r w:rsidRPr="003E0CD0">
        <w:rPr>
          <w:rFonts w:ascii="Book Antiqua" w:eastAsia="Book Antiqua" w:hAnsi="Book Antiqua" w:cs="Book Antiqua"/>
          <w:b/>
          <w:caps/>
          <w:color w:val="000000"/>
          <w:u w:val="single"/>
        </w:rPr>
        <w:t>INTRODUCTION</w:t>
      </w:r>
    </w:p>
    <w:p w14:paraId="2C718753" w14:textId="32CC56C4" w:rsidR="00A77B3E" w:rsidRPr="003E0CD0" w:rsidRDefault="00000000">
      <w:pPr>
        <w:spacing w:line="360" w:lineRule="auto"/>
        <w:jc w:val="both"/>
      </w:pPr>
      <w:r w:rsidRPr="003E0CD0">
        <w:rPr>
          <w:rFonts w:ascii="Book Antiqua" w:eastAsia="Book Antiqua" w:hAnsi="Book Antiqua" w:cs="Book Antiqua"/>
          <w:color w:val="000000"/>
        </w:rPr>
        <w:t>Acute upper gastrointestinal bleeding (UGIB) is a common medical emergency with an annual incidence of approximately 50</w:t>
      </w:r>
      <w:r w:rsidR="00356C29" w:rsidRPr="003E0CD0">
        <w:rPr>
          <w:rFonts w:ascii="Book Antiqua" w:eastAsia="Book Antiqua" w:hAnsi="Book Antiqua" w:cs="Book Antiqua"/>
          <w:color w:val="000000"/>
        </w:rPr>
        <w:t>/100000-</w:t>
      </w:r>
      <w:r w:rsidRPr="003E0CD0">
        <w:rPr>
          <w:rFonts w:ascii="Book Antiqua" w:eastAsia="Book Antiqua" w:hAnsi="Book Antiqua" w:cs="Book Antiqua"/>
          <w:color w:val="000000"/>
        </w:rPr>
        <w:t>150/100000 adults</w:t>
      </w:r>
      <w:r w:rsidRPr="003E0CD0">
        <w:rPr>
          <w:rFonts w:ascii="Book Antiqua" w:eastAsia="Book Antiqua" w:hAnsi="Book Antiqua" w:cs="Book Antiqua"/>
          <w:color w:val="000000"/>
          <w:vertAlign w:val="superscript"/>
        </w:rPr>
        <w:t>[1-3]</w:t>
      </w:r>
      <w:r w:rsidRPr="003E0CD0">
        <w:rPr>
          <w:rFonts w:ascii="Book Antiqua" w:eastAsia="Book Antiqua" w:hAnsi="Book Antiqua" w:cs="Book Antiqua"/>
          <w:color w:val="000000"/>
        </w:rPr>
        <w:t xml:space="preserve">. It is defined as hemorrhage originating above the ligament of Treitz, in the esophagus, stomach, or duodenum. According to its etiology and reflecting differences in its management, UGIB tends to be subclassified to variceal and non-variceal </w:t>
      </w:r>
      <w:r w:rsidR="00356C29" w:rsidRPr="003E0CD0">
        <w:rPr>
          <w:rFonts w:ascii="Book Antiqua" w:eastAsia="Book Antiqua" w:hAnsi="Book Antiqua" w:cs="Book Antiqua"/>
          <w:color w:val="000000"/>
        </w:rPr>
        <w:t>UGIB</w:t>
      </w:r>
      <w:r w:rsidRPr="003E0CD0">
        <w:rPr>
          <w:rFonts w:ascii="Book Antiqua" w:eastAsia="Book Antiqua" w:hAnsi="Book Antiqua" w:cs="Book Antiqua"/>
          <w:color w:val="000000"/>
        </w:rPr>
        <w:t xml:space="preserve"> (NVUGIB). Peptic ulcer disease (PUD) is the most common cause for UGIB and accounts for approximately 35</w:t>
      </w:r>
      <w:r w:rsidR="00356C29" w:rsidRPr="003E0CD0">
        <w:rPr>
          <w:rFonts w:ascii="Book Antiqua" w:eastAsia="Book Antiqua" w:hAnsi="Book Antiqua" w:cs="Book Antiqua"/>
          <w:color w:val="000000"/>
        </w:rPr>
        <w:t>%</w:t>
      </w:r>
      <w:r w:rsidRPr="003E0CD0">
        <w:rPr>
          <w:rFonts w:ascii="Book Antiqua" w:eastAsia="Book Antiqua" w:hAnsi="Book Antiqua" w:cs="Book Antiqua"/>
          <w:color w:val="000000"/>
        </w:rPr>
        <w:t>-50% of cases, followed by erosive disease, esophagitis and Mallory-Weiss tear. Varices are another common source of UGIB, representing approximately 10% of all UGIB hospitalizations. Less common causes of UGIB include neoplasm, angiodysplasia, gastric antral vascular ectasia and portal hypertensive gastropathy. Finally, up to 5% of all UGIB cases are caused by rare and extraordinary rare sources</w:t>
      </w:r>
      <w:r w:rsidRPr="003E0CD0">
        <w:rPr>
          <w:rFonts w:ascii="Book Antiqua" w:eastAsia="Book Antiqua" w:hAnsi="Book Antiqua" w:cs="Book Antiqua"/>
          <w:color w:val="000000"/>
          <w:vertAlign w:val="superscript"/>
        </w:rPr>
        <w:t>[1-5]</w:t>
      </w:r>
      <w:r w:rsidRPr="003E0CD0">
        <w:rPr>
          <w:rFonts w:ascii="Book Antiqua" w:eastAsia="Book Antiqua" w:hAnsi="Book Antiqua" w:cs="Book Antiqua"/>
          <w:color w:val="000000"/>
        </w:rPr>
        <w:t>.</w:t>
      </w:r>
    </w:p>
    <w:p w14:paraId="1A6147A8" w14:textId="4C8AD772" w:rsidR="00A77B3E" w:rsidRPr="003E0CD0" w:rsidRDefault="00000000">
      <w:pPr>
        <w:spacing w:line="360" w:lineRule="auto"/>
        <w:ind w:firstLine="240"/>
        <w:jc w:val="both"/>
      </w:pPr>
      <w:r w:rsidRPr="003E0CD0">
        <w:rPr>
          <w:rFonts w:ascii="Book Antiqua" w:eastAsia="Book Antiqua" w:hAnsi="Book Antiqua" w:cs="Book Antiqua"/>
          <w:color w:val="000000"/>
        </w:rPr>
        <w:t>Despite marked advances in its diagnosis and treatment, UGIB is still associated with high morbidity and mortality. Indeed, the overall mortality rate is approximately 8</w:t>
      </w:r>
      <w:r w:rsidR="00356C29"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-10% in </w:t>
      </w:r>
      <w:r w:rsidRPr="003E0CD0">
        <w:rPr>
          <w:rFonts w:ascii="Book Antiqua" w:eastAsia="Book Antiqua" w:hAnsi="Book Antiqua" w:cs="Book Antiqua"/>
          <w:i/>
          <w:iCs/>
          <w:color w:val="000000"/>
        </w:rPr>
        <w:t>de novo</w:t>
      </w:r>
      <w:r w:rsidRPr="003E0CD0">
        <w:rPr>
          <w:rFonts w:ascii="Book Antiqua" w:eastAsia="Book Antiqua" w:hAnsi="Book Antiqua" w:cs="Book Antiqua"/>
          <w:color w:val="000000"/>
        </w:rPr>
        <w:t xml:space="preserve"> UGIB hospitalizations</w:t>
      </w:r>
      <w:r w:rsidRPr="003E0CD0">
        <w:rPr>
          <w:rFonts w:ascii="Book Antiqua" w:eastAsia="Book Antiqua" w:hAnsi="Book Antiqua" w:cs="Book Antiqua"/>
          <w:color w:val="000000"/>
          <w:vertAlign w:val="superscript"/>
        </w:rPr>
        <w:t>[5,6]</w:t>
      </w:r>
      <w:r w:rsidRPr="003E0CD0">
        <w:rPr>
          <w:rFonts w:ascii="Book Antiqua" w:eastAsia="Book Antiqua" w:hAnsi="Book Antiqua" w:cs="Book Antiqua"/>
          <w:color w:val="000000"/>
        </w:rPr>
        <w:t>, increasing up to 40% in high-risk patients</w:t>
      </w:r>
      <w:r w:rsidRPr="003E0CD0">
        <w:rPr>
          <w:rFonts w:ascii="Book Antiqua" w:eastAsia="Book Antiqua" w:hAnsi="Book Antiqua" w:cs="Book Antiqua"/>
          <w:color w:val="000000"/>
          <w:vertAlign w:val="superscript"/>
        </w:rPr>
        <w:t>[7]</w:t>
      </w:r>
      <w:r w:rsidRPr="003E0CD0">
        <w:rPr>
          <w:rFonts w:ascii="Book Antiqua" w:eastAsia="Book Antiqua" w:hAnsi="Book Antiqua" w:cs="Book Antiqua"/>
          <w:color w:val="000000"/>
        </w:rPr>
        <w:t>. In accordance to current international guidelines, esophagogastroduodenoscopy (EGD) is recommended as the procedure of choice for both diagnosis and treatment of NVUGIB, with transcatheter angiographic embolization (TAE) or surgery only in case of refractory bleeding</w:t>
      </w:r>
      <w:r w:rsidRPr="003E0CD0">
        <w:rPr>
          <w:rFonts w:ascii="Book Antiqua" w:eastAsia="Book Antiqua" w:hAnsi="Book Antiqua" w:cs="Book Antiqua"/>
          <w:color w:val="000000"/>
          <w:vertAlign w:val="superscript"/>
        </w:rPr>
        <w:t>[8-12]</w:t>
      </w:r>
      <w:r w:rsidRPr="003E0CD0">
        <w:rPr>
          <w:rFonts w:ascii="Book Antiqua" w:eastAsia="Book Antiqua" w:hAnsi="Book Antiqua" w:cs="Book Antiqua"/>
          <w:color w:val="000000"/>
        </w:rPr>
        <w:t xml:space="preserve">. However, merely NVUGIB due to PUD is largely addressed by current guidelines. Conversely, rare and extraordinary rare NVUGIB causes very often require a dedicated, multidisciplinary approach, in order to provide prompt diagnosis and </w:t>
      </w:r>
      <w:r w:rsidRPr="003E0CD0">
        <w:rPr>
          <w:rFonts w:ascii="Book Antiqua" w:eastAsia="Book Antiqua" w:hAnsi="Book Antiqua" w:cs="Book Antiqua"/>
          <w:color w:val="000000"/>
        </w:rPr>
        <w:lastRenderedPageBreak/>
        <w:t>effective treatment</w:t>
      </w:r>
      <w:r w:rsidRPr="003E0CD0">
        <w:rPr>
          <w:rFonts w:ascii="Book Antiqua" w:eastAsia="Book Antiqua" w:hAnsi="Book Antiqua" w:cs="Book Antiqua"/>
          <w:color w:val="000000"/>
          <w:vertAlign w:val="superscript"/>
        </w:rPr>
        <w:t>[13-16]</w:t>
      </w:r>
      <w:r w:rsidRPr="003E0CD0">
        <w:rPr>
          <w:rFonts w:ascii="Book Antiqua" w:eastAsia="Book Antiqua" w:hAnsi="Book Antiqua" w:cs="Book Antiqua"/>
          <w:color w:val="000000"/>
        </w:rPr>
        <w:t xml:space="preserve">. The aim of our review was to summarize and discuss the current evidence with regard to most relevant rare and extraordinary </w:t>
      </w:r>
      <w:r w:rsidR="00EF576F" w:rsidRPr="003E0CD0">
        <w:rPr>
          <w:rFonts w:ascii="Book Antiqua" w:eastAsia="Book Antiqua" w:hAnsi="Book Antiqua" w:cs="Book Antiqua"/>
          <w:color w:val="000000"/>
        </w:rPr>
        <w:t xml:space="preserve">rare </w:t>
      </w:r>
      <w:r w:rsidRPr="003E0CD0">
        <w:rPr>
          <w:rFonts w:ascii="Book Antiqua" w:eastAsia="Book Antiqua" w:hAnsi="Book Antiqua" w:cs="Book Antiqua"/>
          <w:color w:val="000000"/>
        </w:rPr>
        <w:t>causes of NVUGIB, in order to enrich the gastroenterologists and all involved physicians’ knowledge of the etiology of NVUGB and to broaden their judgment in its management.</w:t>
      </w:r>
    </w:p>
    <w:p w14:paraId="2106BCF8" w14:textId="77777777" w:rsidR="00A77B3E" w:rsidRPr="003E0CD0" w:rsidRDefault="00A77B3E" w:rsidP="00356C29">
      <w:pPr>
        <w:spacing w:line="360" w:lineRule="auto"/>
        <w:jc w:val="both"/>
      </w:pPr>
    </w:p>
    <w:p w14:paraId="1A8C2DC5" w14:textId="77777777" w:rsidR="00A77B3E" w:rsidRPr="003E0CD0" w:rsidRDefault="00000000">
      <w:pPr>
        <w:spacing w:line="360" w:lineRule="auto"/>
        <w:jc w:val="both"/>
      </w:pPr>
      <w:r w:rsidRPr="003E0CD0">
        <w:rPr>
          <w:rFonts w:ascii="Book Antiqua" w:eastAsia="Book Antiqua" w:hAnsi="Book Antiqua" w:cs="Book Antiqua"/>
          <w:b/>
          <w:bCs/>
          <w:caps/>
          <w:color w:val="000000"/>
          <w:u w:val="single"/>
        </w:rPr>
        <w:t>RARE CAUSES OF NVUGIB</w:t>
      </w:r>
    </w:p>
    <w:p w14:paraId="0EC49079" w14:textId="77777777" w:rsidR="00A77B3E" w:rsidRPr="003E0CD0" w:rsidRDefault="00000000">
      <w:pPr>
        <w:spacing w:line="360" w:lineRule="auto"/>
        <w:jc w:val="both"/>
      </w:pPr>
      <w:r w:rsidRPr="003E0CD0">
        <w:rPr>
          <w:rFonts w:ascii="Book Antiqua" w:eastAsia="Book Antiqua" w:hAnsi="Book Antiqua" w:cs="Book Antiqua"/>
          <w:b/>
          <w:bCs/>
          <w:i/>
          <w:iCs/>
          <w:color w:val="000000"/>
        </w:rPr>
        <w:t>Aorto-enteric fistula</w:t>
      </w:r>
    </w:p>
    <w:p w14:paraId="25E72463" w14:textId="5F5BFACC" w:rsidR="00A77B3E" w:rsidRPr="003E0CD0" w:rsidRDefault="00000000">
      <w:pPr>
        <w:spacing w:line="360" w:lineRule="auto"/>
        <w:jc w:val="both"/>
      </w:pPr>
      <w:r w:rsidRPr="003E0CD0">
        <w:rPr>
          <w:rFonts w:ascii="Book Antiqua" w:eastAsia="Book Antiqua" w:hAnsi="Book Antiqua" w:cs="Book Antiqua"/>
          <w:color w:val="000000"/>
        </w:rPr>
        <w:t>First described by Cooper</w:t>
      </w:r>
      <w:r w:rsidRPr="003E0CD0">
        <w:rPr>
          <w:rFonts w:ascii="Book Antiqua" w:eastAsia="Book Antiqua" w:hAnsi="Book Antiqua" w:cs="Book Antiqua"/>
          <w:color w:val="000000"/>
          <w:vertAlign w:val="superscript"/>
        </w:rPr>
        <w:t>[17]</w:t>
      </w:r>
      <w:r w:rsidRPr="003E0CD0">
        <w:rPr>
          <w:rFonts w:ascii="Book Antiqua" w:eastAsia="Book Antiqua" w:hAnsi="Book Antiqua" w:cs="Book Antiqua"/>
          <w:color w:val="000000"/>
        </w:rPr>
        <w:t>, aorto-enteric fistulas (AEF) are rare though life-threatening pathological communications between the aorta and the wall of an adjacent segment of the GI tract. Pathogenesis is still not fully understood, most likely encompassing a combination of infection, aortic and GI wall degeneration, and chronic mechanical pulsatile trauma, finally resulting in erosion and fistula creation</w:t>
      </w:r>
      <w:r w:rsidRPr="003E0CD0">
        <w:rPr>
          <w:rFonts w:ascii="Book Antiqua" w:eastAsia="Book Antiqua" w:hAnsi="Book Antiqua" w:cs="Book Antiqua"/>
          <w:color w:val="000000"/>
          <w:vertAlign w:val="superscript"/>
        </w:rPr>
        <w:t>[18]</w:t>
      </w:r>
      <w:r w:rsidRPr="003E0CD0">
        <w:rPr>
          <w:rFonts w:ascii="Book Antiqua" w:eastAsia="Book Antiqua" w:hAnsi="Book Antiqua" w:cs="Book Antiqua"/>
          <w:color w:val="000000"/>
        </w:rPr>
        <w:t>. AEF are traditionally classified as either primary (PAEF) or secondary (SAEF). PAEF arise from the native aorta, in the setting most commonly of aortic aneurysm or less frequently of infection, malignancy, foreign bodies, radiation, trauma or inflammation</w:t>
      </w:r>
      <w:r w:rsidRPr="003E0CD0">
        <w:rPr>
          <w:rFonts w:ascii="Book Antiqua" w:eastAsia="Book Antiqua" w:hAnsi="Book Antiqua" w:cs="Book Antiqua"/>
          <w:color w:val="000000"/>
          <w:vertAlign w:val="superscript"/>
        </w:rPr>
        <w:t>[19]</w:t>
      </w:r>
      <w:r w:rsidRPr="003E0CD0">
        <w:rPr>
          <w:rFonts w:ascii="Book Antiqua" w:eastAsia="Book Antiqua" w:hAnsi="Book Antiqua" w:cs="Book Antiqua"/>
          <w:color w:val="000000"/>
        </w:rPr>
        <w:t>. Conversely, SAEF generally develop as late complication of either surgical or endovascular aortic reconstruction</w:t>
      </w:r>
      <w:r w:rsidRPr="003E0CD0">
        <w:rPr>
          <w:rFonts w:ascii="Book Antiqua" w:eastAsia="Book Antiqua" w:hAnsi="Book Antiqua" w:cs="Book Antiqua"/>
          <w:color w:val="000000"/>
          <w:vertAlign w:val="superscript"/>
        </w:rPr>
        <w:t>[20]</w:t>
      </w:r>
      <w:r w:rsidRPr="003E0CD0">
        <w:rPr>
          <w:rFonts w:ascii="Book Antiqua" w:eastAsia="Book Antiqua" w:hAnsi="Book Antiqua" w:cs="Book Antiqua"/>
          <w:color w:val="000000"/>
        </w:rPr>
        <w:t>. SAEF are much more common than PAEF, with a reported incidence of 0.3%-1.6% in patients after aortic reconstruction</w:t>
      </w:r>
      <w:r w:rsidRPr="003E0CD0">
        <w:rPr>
          <w:rFonts w:ascii="Book Antiqua" w:eastAsia="Book Antiqua" w:hAnsi="Book Antiqua" w:cs="Book Antiqua"/>
          <w:color w:val="000000"/>
          <w:vertAlign w:val="superscript"/>
        </w:rPr>
        <w:t>[21]</w:t>
      </w:r>
      <w:r w:rsidRPr="003E0CD0">
        <w:rPr>
          <w:rFonts w:ascii="Book Antiqua" w:eastAsia="Book Antiqua" w:hAnsi="Book Antiqua" w:cs="Book Antiqua"/>
          <w:color w:val="000000"/>
        </w:rPr>
        <w:t xml:space="preserve"> and 0.02%-0.07% among general population</w:t>
      </w:r>
      <w:r w:rsidRPr="003E0CD0">
        <w:rPr>
          <w:rFonts w:ascii="Book Antiqua" w:eastAsia="Book Antiqua" w:hAnsi="Book Antiqua" w:cs="Book Antiqua"/>
          <w:color w:val="000000"/>
          <w:vertAlign w:val="superscript"/>
        </w:rPr>
        <w:t>[22]</w:t>
      </w:r>
      <w:r w:rsidRPr="003E0CD0">
        <w:rPr>
          <w:rFonts w:ascii="Book Antiqua" w:eastAsia="Book Antiqua" w:hAnsi="Book Antiqua" w:cs="Book Antiqua"/>
          <w:color w:val="000000"/>
        </w:rPr>
        <w:t>, respectively. Reported mortality is still extremely high, even with prompt diagnosis and treatment</w:t>
      </w:r>
      <w:r w:rsidRPr="003E0CD0">
        <w:rPr>
          <w:rFonts w:ascii="Book Antiqua" w:eastAsia="Book Antiqua" w:hAnsi="Book Antiqua" w:cs="Book Antiqua"/>
          <w:color w:val="000000"/>
          <w:vertAlign w:val="superscript"/>
        </w:rPr>
        <w:t>[20]</w:t>
      </w:r>
      <w:r w:rsidRPr="003E0CD0">
        <w:rPr>
          <w:rFonts w:ascii="Book Antiqua" w:eastAsia="Book Antiqua" w:hAnsi="Book Antiqua" w:cs="Book Antiqua"/>
          <w:color w:val="000000"/>
        </w:rPr>
        <w:t>.</w:t>
      </w:r>
    </w:p>
    <w:p w14:paraId="2F6BA6CF" w14:textId="763B726A" w:rsidR="00A77B3E" w:rsidRPr="003E0CD0" w:rsidRDefault="00000000">
      <w:pPr>
        <w:spacing w:line="360" w:lineRule="auto"/>
        <w:ind w:firstLine="240"/>
        <w:jc w:val="both"/>
      </w:pPr>
      <w:r w:rsidRPr="003E0CD0">
        <w:rPr>
          <w:rFonts w:ascii="Book Antiqua" w:eastAsia="Book Antiqua" w:hAnsi="Book Antiqua" w:cs="Book Antiqua"/>
          <w:color w:val="000000"/>
        </w:rPr>
        <w:t>The most frequent involved site is the duodenum (62%), followed by the jejunum and ileum (12%), and the colon (5%). Aorto-esophageal and aorto-gastric fistula are only rarely encountered</w:t>
      </w:r>
      <w:r w:rsidRPr="003E0CD0">
        <w:rPr>
          <w:rFonts w:ascii="Book Antiqua" w:eastAsia="Book Antiqua" w:hAnsi="Book Antiqua" w:cs="Book Antiqua"/>
          <w:color w:val="000000"/>
          <w:vertAlign w:val="superscript"/>
        </w:rPr>
        <w:t>[18,20]</w:t>
      </w:r>
      <w:r w:rsidRPr="003E0CD0">
        <w:rPr>
          <w:rFonts w:ascii="Book Antiqua" w:eastAsia="Book Antiqua" w:hAnsi="Book Antiqua" w:cs="Book Antiqua"/>
          <w:color w:val="000000"/>
        </w:rPr>
        <w:t>. The classic triad of NVUGIB, abdominal pain, and pulsatile abdominal mass was initially described by Cooper</w:t>
      </w:r>
      <w:r w:rsidRPr="003E0CD0">
        <w:rPr>
          <w:rFonts w:ascii="Book Antiqua" w:eastAsia="Book Antiqua" w:hAnsi="Book Antiqua" w:cs="Book Antiqua"/>
          <w:color w:val="000000"/>
          <w:vertAlign w:val="superscript"/>
        </w:rPr>
        <w:t>[17]</w:t>
      </w:r>
      <w:r w:rsidRPr="003E0CD0">
        <w:rPr>
          <w:rFonts w:ascii="Book Antiqua" w:eastAsia="Book Antiqua" w:hAnsi="Book Antiqua" w:cs="Book Antiqua"/>
          <w:color w:val="000000"/>
        </w:rPr>
        <w:t>. However, it is currently believed that the combination of all 3 facets of the triad tends to occur infrequently</w:t>
      </w:r>
      <w:r w:rsidRPr="003E0CD0">
        <w:rPr>
          <w:rFonts w:ascii="Book Antiqua" w:eastAsia="Book Antiqua" w:hAnsi="Book Antiqua" w:cs="Book Antiqua"/>
          <w:color w:val="000000"/>
          <w:vertAlign w:val="superscript"/>
        </w:rPr>
        <w:t>[19]</w:t>
      </w:r>
      <w:r w:rsidRPr="003E0CD0">
        <w:rPr>
          <w:rFonts w:ascii="Book Antiqua" w:eastAsia="Book Antiqua" w:hAnsi="Book Antiqua" w:cs="Book Antiqua"/>
          <w:color w:val="000000"/>
        </w:rPr>
        <w:t>. The most common clinical presentation of AEF is NVUGIB, with or without sepsis</w:t>
      </w:r>
      <w:r w:rsidRPr="003E0CD0">
        <w:rPr>
          <w:rFonts w:ascii="Book Antiqua" w:eastAsia="Book Antiqua" w:hAnsi="Book Antiqua" w:cs="Book Antiqua"/>
          <w:color w:val="000000"/>
          <w:vertAlign w:val="superscript"/>
        </w:rPr>
        <w:t>[18]</w:t>
      </w:r>
      <w:r w:rsidRPr="003E0CD0">
        <w:rPr>
          <w:rFonts w:ascii="Book Antiqua" w:eastAsia="Book Antiqua" w:hAnsi="Book Antiqua" w:cs="Book Antiqua"/>
          <w:color w:val="000000"/>
        </w:rPr>
        <w:t>. AEF patients often present with a ‘‘sentinel or herald bleed’’, in which self-limited episodes of bleeding are followed by the recurrence of massive exsanguinous hemorrhage hours or even to days later</w:t>
      </w:r>
      <w:r w:rsidRPr="003E0CD0">
        <w:rPr>
          <w:rFonts w:ascii="Book Antiqua" w:eastAsia="Book Antiqua" w:hAnsi="Book Antiqua" w:cs="Book Antiqua"/>
          <w:color w:val="000000"/>
          <w:vertAlign w:val="superscript"/>
        </w:rPr>
        <w:t>[23]</w:t>
      </w:r>
      <w:r w:rsidRPr="003E0CD0">
        <w:rPr>
          <w:rFonts w:ascii="Book Antiqua" w:eastAsia="Book Antiqua" w:hAnsi="Book Antiqua" w:cs="Book Antiqua"/>
          <w:color w:val="000000"/>
        </w:rPr>
        <w:t>.</w:t>
      </w:r>
    </w:p>
    <w:p w14:paraId="4FEB198E" w14:textId="6C35B099" w:rsidR="00A77B3E" w:rsidRPr="003E0CD0" w:rsidRDefault="00000000">
      <w:pPr>
        <w:spacing w:line="360" w:lineRule="auto"/>
        <w:ind w:firstLine="240"/>
        <w:jc w:val="both"/>
      </w:pPr>
      <w:r w:rsidRPr="003E0CD0">
        <w:rPr>
          <w:rFonts w:ascii="Book Antiqua" w:eastAsia="Book Antiqua" w:hAnsi="Book Antiqua" w:cs="Book Antiqua"/>
          <w:color w:val="000000"/>
        </w:rPr>
        <w:lastRenderedPageBreak/>
        <w:t>Multidetector computed tomography angiography (MDCTA) is the diagnostic modality of choice for AEF</w:t>
      </w:r>
      <w:r w:rsidRPr="003E0CD0">
        <w:rPr>
          <w:rFonts w:ascii="Book Antiqua" w:eastAsia="Book Antiqua" w:hAnsi="Book Antiqua" w:cs="Book Antiqua"/>
          <w:color w:val="000000"/>
          <w:vertAlign w:val="superscript"/>
        </w:rPr>
        <w:t>[18,24,25]</w:t>
      </w:r>
      <w:r w:rsidRPr="003E0CD0">
        <w:rPr>
          <w:rFonts w:ascii="Book Antiqua" w:eastAsia="Book Antiqua" w:hAnsi="Book Antiqua" w:cs="Book Antiqua"/>
          <w:color w:val="000000"/>
        </w:rPr>
        <w:t>. It has a relatively high sensitivity and specificity for the diagnosis of AEF, approximately of 94% and 85% respectively</w:t>
      </w:r>
      <w:r w:rsidR="00356C29" w:rsidRPr="003E0CD0">
        <w:rPr>
          <w:rFonts w:ascii="Book Antiqua" w:eastAsia="Book Antiqua" w:hAnsi="Book Antiqua" w:cs="Book Antiqua"/>
          <w:color w:val="000000"/>
          <w:vertAlign w:val="superscript"/>
        </w:rPr>
        <w:t>[25]</w:t>
      </w:r>
      <w:r w:rsidRPr="003E0CD0">
        <w:rPr>
          <w:rFonts w:ascii="Book Antiqua" w:eastAsia="Book Antiqua" w:hAnsi="Book Antiqua" w:cs="Book Antiqua"/>
          <w:color w:val="000000"/>
        </w:rPr>
        <w:t>. Although pathognomonic of AEF, active contrast medium extravasation from the aorta into the GI lumen is an exceptional MDCTA feature usually seen with ongoing exsanguination. MDCTA findings of AEF include para-aortic or intra-aortic foci of gas, loss of the fat plane between the aorta and the GI wall, and disruption of aortic wall or pseudoaneurysm. Moreover, MDCTA signs of SAEF encounter perigraft gas persisting more than 4 wk following repair of ruptured abdominal aortic aneurysm (AAA) and perigraft fluid and edema persisting more than 3 mo after elective AAA repair</w:t>
      </w:r>
      <w:r w:rsidRPr="003E0CD0">
        <w:rPr>
          <w:rFonts w:ascii="Book Antiqua" w:eastAsia="Book Antiqua" w:hAnsi="Book Antiqua" w:cs="Book Antiqua"/>
          <w:color w:val="000000"/>
          <w:vertAlign w:val="superscript"/>
        </w:rPr>
        <w:t>[24-26]</w:t>
      </w:r>
      <w:r w:rsidRPr="003E0CD0">
        <w:rPr>
          <w:rFonts w:ascii="Book Antiqua" w:eastAsia="Book Antiqua" w:hAnsi="Book Antiqua" w:cs="Book Antiqua"/>
          <w:color w:val="000000"/>
        </w:rPr>
        <w:t>. Although EGD is the first line diagnostic modality in acute NVUGIB, its usefulness in the setting of AEF is limited. AEF may occasionally be suspected by means of EGD, with endoscopic findings suggestive of AEF including visible graft, bleeding, adherent clot, GI wall defect, ulcer/erosion or pulsatile mass</w:t>
      </w:r>
      <w:r w:rsidRPr="003E0CD0">
        <w:rPr>
          <w:rFonts w:ascii="Book Antiqua" w:eastAsia="Book Antiqua" w:hAnsi="Book Antiqua" w:cs="Book Antiqua"/>
          <w:color w:val="000000"/>
          <w:vertAlign w:val="superscript"/>
        </w:rPr>
        <w:t>[27-29]</w:t>
      </w:r>
      <w:r w:rsidRPr="003E0CD0">
        <w:rPr>
          <w:rFonts w:ascii="Book Antiqua" w:eastAsia="Book Antiqua" w:hAnsi="Book Antiqua" w:cs="Book Antiqua"/>
          <w:color w:val="000000"/>
        </w:rPr>
        <w:t>. However, the experience of the GI endoscopist, a high index of suspicion and the careful exploration of the distal duodenum, are key factors to properly endoscopically identify AEF. Furthermore, given EGD may disturb the clot which had been preventing exsanguinous bleeding from the AEF, it should be performed in the operating theater and its adoption limited to hemodynamically stable patients, with other imaging suggestive of an occult AEF</w:t>
      </w:r>
      <w:r w:rsidRPr="003E0CD0">
        <w:rPr>
          <w:rFonts w:ascii="Book Antiqua" w:eastAsia="Book Antiqua" w:hAnsi="Book Antiqua" w:cs="Book Antiqua"/>
          <w:color w:val="000000"/>
          <w:vertAlign w:val="superscript"/>
        </w:rPr>
        <w:t>[18]</w:t>
      </w:r>
      <w:r w:rsidRPr="003E0CD0">
        <w:rPr>
          <w:rFonts w:ascii="Book Antiqua" w:eastAsia="Book Antiqua" w:hAnsi="Book Antiqua" w:cs="Book Antiqua"/>
          <w:color w:val="000000"/>
        </w:rPr>
        <w:t>. Among patients admitted with massive NVUGIB and with an history and a clinical presentation suggestive for AEF, emergent MDCTA should be performed as the first-line diagnostic modality.</w:t>
      </w:r>
    </w:p>
    <w:p w14:paraId="09404BEF" w14:textId="485D46ED" w:rsidR="00A77B3E" w:rsidRPr="003E0CD0" w:rsidRDefault="00000000">
      <w:pPr>
        <w:spacing w:line="360" w:lineRule="auto"/>
        <w:ind w:firstLine="240"/>
        <w:jc w:val="both"/>
      </w:pPr>
      <w:r w:rsidRPr="003E0CD0">
        <w:rPr>
          <w:rFonts w:ascii="Book Antiqua" w:eastAsia="Book Antiqua" w:hAnsi="Book Antiqua" w:cs="Book Antiqua"/>
          <w:color w:val="000000"/>
        </w:rPr>
        <w:t>Treatment of AEF includes either an open surgical or an endovascular approach</w:t>
      </w:r>
      <w:r w:rsidRPr="003E0CD0">
        <w:rPr>
          <w:rFonts w:ascii="Book Antiqua" w:eastAsia="Book Antiqua" w:hAnsi="Book Antiqua" w:cs="Book Antiqua"/>
          <w:color w:val="000000"/>
          <w:vertAlign w:val="superscript"/>
        </w:rPr>
        <w:t>[30]</w:t>
      </w:r>
      <w:r w:rsidRPr="003E0CD0">
        <w:rPr>
          <w:rFonts w:ascii="Book Antiqua" w:eastAsia="Book Antiqua" w:hAnsi="Book Antiqua" w:cs="Book Antiqua"/>
          <w:color w:val="000000"/>
        </w:rPr>
        <w:t xml:space="preserve">. Surgery aims to maintain perfusion while extirpating the infection and restoring GI patency. Strategies to maintain perfusion are grouped into </w:t>
      </w:r>
      <w:r w:rsidRPr="003E0CD0">
        <w:rPr>
          <w:rFonts w:ascii="Book Antiqua" w:eastAsia="Book Antiqua" w:hAnsi="Book Antiqua" w:cs="Book Antiqua"/>
          <w:i/>
          <w:iCs/>
          <w:color w:val="000000"/>
        </w:rPr>
        <w:t>in situ</w:t>
      </w:r>
      <w:r w:rsidRPr="003E0CD0">
        <w:rPr>
          <w:rFonts w:ascii="Book Antiqua" w:eastAsia="Book Antiqua" w:hAnsi="Book Antiqua" w:cs="Book Antiqua"/>
          <w:color w:val="000000"/>
        </w:rPr>
        <w:t xml:space="preserve"> aortic reconstruction and extra-anatomic bypass with aortic ligation</w:t>
      </w:r>
      <w:r w:rsidRPr="003E0CD0">
        <w:rPr>
          <w:rFonts w:ascii="Book Antiqua" w:eastAsia="Book Antiqua" w:hAnsi="Book Antiqua" w:cs="Book Antiqua"/>
          <w:color w:val="000000"/>
          <w:vertAlign w:val="superscript"/>
        </w:rPr>
        <w:t>[18]</w:t>
      </w:r>
      <w:r w:rsidRPr="003E0CD0">
        <w:rPr>
          <w:rFonts w:ascii="Book Antiqua" w:eastAsia="Book Antiqua" w:hAnsi="Book Antiqua" w:cs="Book Antiqua"/>
          <w:color w:val="000000"/>
        </w:rPr>
        <w:t>. Conversely, the most commonly used endovascular technique is stent-graft repair</w:t>
      </w:r>
      <w:r w:rsidRPr="003E0CD0">
        <w:rPr>
          <w:rFonts w:ascii="Book Antiqua" w:eastAsia="Book Antiqua" w:hAnsi="Book Antiqua" w:cs="Book Antiqua"/>
          <w:color w:val="000000"/>
          <w:vertAlign w:val="superscript"/>
        </w:rPr>
        <w:t>[18,25]</w:t>
      </w:r>
      <w:r w:rsidRPr="003E0CD0">
        <w:rPr>
          <w:rFonts w:ascii="Book Antiqua" w:eastAsia="Book Antiqua" w:hAnsi="Book Antiqua" w:cs="Book Antiqua"/>
          <w:color w:val="000000"/>
        </w:rPr>
        <w:t>. Being associated with lower perioperative mortality rate as compared with open surgery, it is frequently adopted as the first-line treatment modality for AEF</w:t>
      </w:r>
      <w:r w:rsidRPr="003E0CD0">
        <w:rPr>
          <w:rFonts w:ascii="Book Antiqua" w:eastAsia="Book Antiqua" w:hAnsi="Book Antiqua" w:cs="Book Antiqua"/>
          <w:color w:val="000000"/>
          <w:vertAlign w:val="superscript"/>
        </w:rPr>
        <w:t>[20]</w:t>
      </w:r>
      <w:r w:rsidRPr="003E0CD0">
        <w:rPr>
          <w:rFonts w:ascii="Book Antiqua" w:eastAsia="Book Antiqua" w:hAnsi="Book Antiqua" w:cs="Book Antiqua"/>
          <w:color w:val="000000"/>
        </w:rPr>
        <w:t xml:space="preserve">. Moreover, endovascular balloon occlusion may be used to gain rapid control of the aortic bleeding source in hemodynamically </w:t>
      </w:r>
      <w:r w:rsidRPr="003E0CD0">
        <w:rPr>
          <w:rFonts w:ascii="Book Antiqua" w:eastAsia="Book Antiqua" w:hAnsi="Book Antiqua" w:cs="Book Antiqua"/>
          <w:color w:val="000000"/>
        </w:rPr>
        <w:lastRenderedPageBreak/>
        <w:t>unstable patients. Similarly, coil and plug embolization might be used as a temporizing measure to stop bleeding</w:t>
      </w:r>
      <w:r w:rsidRPr="003E0CD0">
        <w:rPr>
          <w:rFonts w:ascii="Book Antiqua" w:eastAsia="Book Antiqua" w:hAnsi="Book Antiqua" w:cs="Book Antiqua"/>
          <w:color w:val="000000"/>
          <w:vertAlign w:val="superscript"/>
        </w:rPr>
        <w:t>[18,25]</w:t>
      </w:r>
      <w:r w:rsidRPr="003E0CD0">
        <w:rPr>
          <w:rFonts w:ascii="Book Antiqua" w:eastAsia="Book Antiqua" w:hAnsi="Book Antiqua" w:cs="Book Antiqua"/>
          <w:color w:val="000000"/>
        </w:rPr>
        <w:t>. Of note, surgical and endovascular management of AEF could be integrated in a complementary approach, by the adoption of endovascular treatment as a bridge to open repair</w:t>
      </w:r>
      <w:r w:rsidR="00356C29" w:rsidRPr="003E0CD0">
        <w:rPr>
          <w:rFonts w:ascii="Book Antiqua" w:eastAsia="Book Antiqua" w:hAnsi="Book Antiqua" w:cs="Book Antiqua"/>
          <w:color w:val="000000"/>
          <w:vertAlign w:val="superscript"/>
        </w:rPr>
        <w:t>[31]</w:t>
      </w:r>
      <w:r w:rsidRPr="003E0CD0">
        <w:rPr>
          <w:rFonts w:ascii="Book Antiqua" w:eastAsia="Book Antiqua" w:hAnsi="Book Antiqua" w:cs="Book Antiqua"/>
          <w:color w:val="000000"/>
        </w:rPr>
        <w:t>.</w:t>
      </w:r>
    </w:p>
    <w:p w14:paraId="02ADC028" w14:textId="44380913" w:rsidR="00A77B3E" w:rsidRPr="003E0CD0" w:rsidRDefault="00000000">
      <w:pPr>
        <w:spacing w:line="360" w:lineRule="auto"/>
        <w:ind w:firstLine="240"/>
        <w:jc w:val="both"/>
      </w:pPr>
      <w:r w:rsidRPr="003E0CD0">
        <w:rPr>
          <w:rFonts w:ascii="Book Antiqua" w:eastAsia="Book Antiqua" w:hAnsi="Book Antiqua" w:cs="Book Antiqua"/>
          <w:color w:val="000000"/>
        </w:rPr>
        <w:t>Finally, endoscopic treatment mainly as a part of multidisciplinary approach or as a bridge to definitive therapy has been anecdotally reported. The adopted endoscopic techniques mostly included clips, fully covered self-expanding metal stents, plastic stents and injection therapy</w:t>
      </w:r>
      <w:r w:rsidRPr="003E0CD0">
        <w:rPr>
          <w:rFonts w:ascii="Book Antiqua" w:eastAsia="Book Antiqua" w:hAnsi="Book Antiqua" w:cs="Book Antiqua"/>
          <w:color w:val="000000"/>
          <w:vertAlign w:val="superscript"/>
        </w:rPr>
        <w:t>[32-35]</w:t>
      </w:r>
      <w:r w:rsidRPr="003E0CD0">
        <w:rPr>
          <w:rFonts w:ascii="Book Antiqua" w:eastAsia="Book Antiqua" w:hAnsi="Book Antiqua" w:cs="Book Antiqua"/>
          <w:color w:val="000000"/>
        </w:rPr>
        <w:t>. However, evidence regarding the role of endoscopic treatment is scarce and it may not be currently recommended. Worth pointing out, especially in the absence of active bleeding (</w:t>
      </w:r>
      <w:r w:rsidRPr="003E0CD0">
        <w:rPr>
          <w:rFonts w:ascii="Book Antiqua" w:eastAsia="Book Antiqua" w:hAnsi="Book Antiqua" w:cs="Book Antiqua"/>
          <w:i/>
          <w:iCs/>
          <w:color w:val="000000"/>
        </w:rPr>
        <w:t>i.e.</w:t>
      </w:r>
      <w:r w:rsidR="00356C29" w:rsidRPr="003E0CD0">
        <w:rPr>
          <w:rFonts w:ascii="Book Antiqua" w:eastAsia="Book Antiqua" w:hAnsi="Book Antiqua" w:cs="Book Antiqua"/>
          <w:i/>
          <w:iCs/>
          <w:color w:val="000000"/>
        </w:rPr>
        <w:t>,</w:t>
      </w:r>
      <w:r w:rsidRPr="003E0CD0">
        <w:rPr>
          <w:rFonts w:ascii="Book Antiqua" w:eastAsia="Book Antiqua" w:hAnsi="Book Antiqua" w:cs="Book Antiqua"/>
          <w:color w:val="000000"/>
        </w:rPr>
        <w:t xml:space="preserve"> adherent blood clot), the authors discourage any attempt of endoscopic hemostasis for AEF. Given the recent advent of endoscopic devices capable to realize full-thickness GI defect closure, such as endoscopic suturing systems and over-the-scope clips (OTSC), in the next future endoscopy might probably play a crucial role for the mini-invasive closure of the GI defect after endovascular aortic repair</w:t>
      </w:r>
      <w:r w:rsidRPr="003E0CD0">
        <w:rPr>
          <w:rFonts w:ascii="Book Antiqua" w:eastAsia="Book Antiqua" w:hAnsi="Book Antiqua" w:cs="Book Antiqua"/>
          <w:color w:val="000000"/>
          <w:vertAlign w:val="superscript"/>
        </w:rPr>
        <w:t>[36]</w:t>
      </w:r>
      <w:r w:rsidRPr="003E0CD0">
        <w:rPr>
          <w:rFonts w:ascii="Book Antiqua" w:eastAsia="Book Antiqua" w:hAnsi="Book Antiqua" w:cs="Book Antiqua"/>
          <w:color w:val="000000"/>
        </w:rPr>
        <w:t>. A case of AEF is shown in Figure 1.</w:t>
      </w:r>
    </w:p>
    <w:p w14:paraId="5EB17813" w14:textId="77777777" w:rsidR="00A77B3E" w:rsidRPr="003E0CD0" w:rsidRDefault="00A77B3E" w:rsidP="00356C29">
      <w:pPr>
        <w:spacing w:line="360" w:lineRule="auto"/>
        <w:jc w:val="both"/>
      </w:pPr>
    </w:p>
    <w:p w14:paraId="59585DED" w14:textId="77777777" w:rsidR="00A77B3E" w:rsidRPr="003E0CD0" w:rsidRDefault="00000000">
      <w:pPr>
        <w:spacing w:line="360" w:lineRule="auto"/>
        <w:jc w:val="both"/>
      </w:pPr>
      <w:r w:rsidRPr="003E0CD0">
        <w:rPr>
          <w:rFonts w:ascii="Book Antiqua" w:eastAsia="Book Antiqua" w:hAnsi="Book Antiqua" w:cs="Book Antiqua"/>
          <w:b/>
          <w:bCs/>
          <w:i/>
          <w:iCs/>
          <w:color w:val="000000"/>
        </w:rPr>
        <w:t>Ruptured visceral artery aneurysms</w:t>
      </w:r>
    </w:p>
    <w:p w14:paraId="2E182298" w14:textId="394512D3" w:rsidR="00A77B3E" w:rsidRPr="003E0CD0" w:rsidRDefault="00000000">
      <w:pPr>
        <w:spacing w:line="360" w:lineRule="auto"/>
        <w:jc w:val="both"/>
      </w:pPr>
      <w:r w:rsidRPr="003E0CD0">
        <w:rPr>
          <w:rFonts w:ascii="Book Antiqua" w:eastAsia="Book Antiqua" w:hAnsi="Book Antiqua" w:cs="Book Antiqua"/>
          <w:color w:val="000000"/>
        </w:rPr>
        <w:t>First reported in 1809 by Wilson</w:t>
      </w:r>
      <w:r w:rsidRPr="003E0CD0">
        <w:rPr>
          <w:rFonts w:ascii="Book Antiqua" w:eastAsia="Book Antiqua" w:hAnsi="Book Antiqua" w:cs="Book Antiqua"/>
          <w:color w:val="000000"/>
          <w:vertAlign w:val="superscript"/>
        </w:rPr>
        <w:t>[37]</w:t>
      </w:r>
      <w:r w:rsidRPr="003E0CD0">
        <w:rPr>
          <w:rFonts w:ascii="Book Antiqua" w:eastAsia="Book Antiqua" w:hAnsi="Book Antiqua" w:cs="Book Antiqua"/>
          <w:color w:val="000000"/>
        </w:rPr>
        <w:t xml:space="preserve">, ruptured visceral artery aneurysms (VAA) are a rare but potentially lethal cause of acute NVUGIB. Histopathologically, VAA are broadly divided into true aneurysms (TVAA) and pseudoaneurysms (VAPA). TVAA are defined as focal arterial dilatations greater than 1.5 times the diameter of the original vessel involving all 3 </w:t>
      </w:r>
      <w:r w:rsidR="00356C29" w:rsidRPr="003E0CD0">
        <w:rPr>
          <w:rFonts w:ascii="Book Antiqua" w:eastAsia="Book Antiqua" w:hAnsi="Book Antiqua" w:cs="Book Antiqua"/>
          <w:color w:val="000000"/>
        </w:rPr>
        <w:t>l</w:t>
      </w:r>
      <w:r w:rsidRPr="003E0CD0">
        <w:rPr>
          <w:rFonts w:ascii="Book Antiqua" w:eastAsia="Book Antiqua" w:hAnsi="Book Antiqua" w:cs="Book Antiqua"/>
          <w:color w:val="000000"/>
        </w:rPr>
        <w:t>ayers of the arterial wall, whereas VAPA, also termed false aneurysms, result from a tear in the vessel wall with extravasated blood contained by only 1 or 2 arterial wall layers</w:t>
      </w:r>
      <w:r w:rsidRPr="003E0CD0">
        <w:rPr>
          <w:rFonts w:ascii="Book Antiqua" w:eastAsia="Book Antiqua" w:hAnsi="Book Antiqua" w:cs="Book Antiqua"/>
          <w:color w:val="000000"/>
          <w:vertAlign w:val="superscript"/>
        </w:rPr>
        <w:t>[38,39]</w:t>
      </w:r>
      <w:r w:rsidRPr="003E0CD0">
        <w:rPr>
          <w:rFonts w:ascii="Book Antiqua" w:eastAsia="Book Antiqua" w:hAnsi="Book Antiqua" w:cs="Book Antiqua"/>
          <w:color w:val="000000"/>
        </w:rPr>
        <w:t xml:space="preserve">. The main cause of TVAA is atherosclerosis, followed by fibromuscular dysplasia, connective tissue diseases, inflammatory conditions, and other rare inherited illnesses. Conversely, VAPA may be secondary to trauma, inflammatory conditions such as pancreatitis, cholecystitis, and ulcer, infection, or iatrogenic injury, including surgical, endoscopic and interventional radiological procedures. To be noted, the leading cause of VAPA is chronic pancreatitis (CP). Indeed, more than half of VAPA </w:t>
      </w:r>
      <w:r w:rsidRPr="003E0CD0">
        <w:rPr>
          <w:rFonts w:ascii="Book Antiqua" w:eastAsia="Book Antiqua" w:hAnsi="Book Antiqua" w:cs="Book Antiqua"/>
          <w:color w:val="000000"/>
        </w:rPr>
        <w:lastRenderedPageBreak/>
        <w:t>are secondary to pancreatitis and pseudocyst formation, with up to 17% of CP patients developing VAPA</w:t>
      </w:r>
      <w:r w:rsidRPr="003E0CD0">
        <w:rPr>
          <w:rFonts w:ascii="Book Antiqua" w:eastAsia="Book Antiqua" w:hAnsi="Book Antiqua" w:cs="Book Antiqua"/>
          <w:color w:val="000000"/>
          <w:vertAlign w:val="superscript"/>
        </w:rPr>
        <w:t>[38,39]</w:t>
      </w:r>
      <w:r w:rsidRPr="003E0CD0">
        <w:rPr>
          <w:rFonts w:ascii="Book Antiqua" w:eastAsia="Book Antiqua" w:hAnsi="Book Antiqua" w:cs="Book Antiqua"/>
          <w:color w:val="000000"/>
        </w:rPr>
        <w:t>.</w:t>
      </w:r>
    </w:p>
    <w:p w14:paraId="6EF3DE5C" w14:textId="60E98FAC" w:rsidR="00A77B3E" w:rsidRPr="003E0CD0" w:rsidRDefault="00000000">
      <w:pPr>
        <w:spacing w:line="360" w:lineRule="auto"/>
        <w:ind w:firstLine="240"/>
        <w:jc w:val="both"/>
      </w:pPr>
      <w:r w:rsidRPr="003E0CD0">
        <w:rPr>
          <w:rFonts w:ascii="Book Antiqua" w:eastAsia="Book Antiqua" w:hAnsi="Book Antiqua" w:cs="Book Antiqua"/>
          <w:color w:val="000000"/>
        </w:rPr>
        <w:t>Their reported incidence is approximately 0.1%-2%</w:t>
      </w:r>
      <w:r w:rsidRPr="003E0CD0">
        <w:rPr>
          <w:rFonts w:ascii="Book Antiqua" w:eastAsia="Book Antiqua" w:hAnsi="Book Antiqua" w:cs="Book Antiqua"/>
          <w:color w:val="000000"/>
          <w:vertAlign w:val="superscript"/>
        </w:rPr>
        <w:t>[38-40]</w:t>
      </w:r>
      <w:r w:rsidRPr="003E0CD0">
        <w:rPr>
          <w:rFonts w:ascii="Book Antiqua" w:eastAsia="Book Antiqua" w:hAnsi="Book Antiqua" w:cs="Book Antiqua"/>
          <w:color w:val="000000"/>
        </w:rPr>
        <w:t>. However, because of the widespread use of advanced imaging techniques and increased aging population, VAA are being incidentally diagnosed with increased frequency</w:t>
      </w:r>
      <w:r w:rsidRPr="003E0CD0">
        <w:rPr>
          <w:rFonts w:ascii="Book Antiqua" w:eastAsia="Book Antiqua" w:hAnsi="Book Antiqua" w:cs="Book Antiqua"/>
          <w:color w:val="000000"/>
          <w:vertAlign w:val="superscript"/>
        </w:rPr>
        <w:t>[41]</w:t>
      </w:r>
      <w:r w:rsidRPr="003E0CD0">
        <w:rPr>
          <w:rFonts w:ascii="Book Antiqua" w:eastAsia="Book Antiqua" w:hAnsi="Book Antiqua" w:cs="Book Antiqua"/>
          <w:color w:val="000000"/>
        </w:rPr>
        <w:t>. Depending on size, location, and associated clinical conditions (</w:t>
      </w:r>
      <w:r w:rsidRPr="003E0CD0">
        <w:rPr>
          <w:rFonts w:ascii="Book Antiqua" w:eastAsia="Book Antiqua" w:hAnsi="Book Antiqua" w:cs="Book Antiqua"/>
          <w:i/>
          <w:iCs/>
          <w:color w:val="000000"/>
        </w:rPr>
        <w:t>i.e.</w:t>
      </w:r>
      <w:r w:rsidR="00356C29" w:rsidRPr="003E0CD0">
        <w:rPr>
          <w:rFonts w:ascii="Book Antiqua" w:eastAsia="Book Antiqua" w:hAnsi="Book Antiqua" w:cs="Book Antiqua"/>
          <w:i/>
          <w:iCs/>
          <w:color w:val="000000"/>
        </w:rPr>
        <w:t>,</w:t>
      </w:r>
      <w:r w:rsidRPr="003E0CD0">
        <w:rPr>
          <w:rFonts w:ascii="Book Antiqua" w:eastAsia="Book Antiqua" w:hAnsi="Book Antiqua" w:cs="Book Antiqua"/>
          <w:color w:val="000000"/>
        </w:rPr>
        <w:t xml:space="preserve"> pregnancy), VAA rupture may be associated with a 20%</w:t>
      </w:r>
      <w:r w:rsidR="00356C29" w:rsidRPr="003E0CD0">
        <w:rPr>
          <w:rFonts w:ascii="Book Antiqua" w:eastAsia="Book Antiqua" w:hAnsi="Book Antiqua" w:cs="Book Antiqua"/>
          <w:color w:val="000000"/>
        </w:rPr>
        <w:t>-</w:t>
      </w:r>
      <w:r w:rsidRPr="003E0CD0">
        <w:rPr>
          <w:rFonts w:ascii="Book Antiqua" w:eastAsia="Book Antiqua" w:hAnsi="Book Antiqua" w:cs="Book Antiqua"/>
          <w:color w:val="000000"/>
        </w:rPr>
        <w:t>80% mortality rate</w:t>
      </w:r>
      <w:r w:rsidRPr="003E0CD0">
        <w:rPr>
          <w:rFonts w:ascii="Book Antiqua" w:eastAsia="Book Antiqua" w:hAnsi="Book Antiqua" w:cs="Book Antiqua"/>
          <w:color w:val="000000"/>
          <w:vertAlign w:val="superscript"/>
        </w:rPr>
        <w:t>[42]</w:t>
      </w:r>
      <w:r w:rsidRPr="003E0CD0">
        <w:rPr>
          <w:rFonts w:ascii="Book Antiqua" w:eastAsia="Book Antiqua" w:hAnsi="Book Antiqua" w:cs="Book Antiqua"/>
          <w:color w:val="000000"/>
        </w:rPr>
        <w:t>.</w:t>
      </w:r>
    </w:p>
    <w:p w14:paraId="1CA651A8" w14:textId="13E70A6D" w:rsidR="00A77B3E" w:rsidRPr="003E0CD0" w:rsidRDefault="00000000">
      <w:pPr>
        <w:spacing w:line="360" w:lineRule="auto"/>
        <w:ind w:firstLine="240"/>
        <w:jc w:val="both"/>
      </w:pPr>
      <w:r w:rsidRPr="003E0CD0">
        <w:rPr>
          <w:rFonts w:ascii="Book Antiqua" w:eastAsia="Book Antiqua" w:hAnsi="Book Antiqua" w:cs="Book Antiqua"/>
          <w:color w:val="000000"/>
        </w:rPr>
        <w:t>The splenic artery (SA) is the most common site of VAA, followed by the hepatic artery (HA), accounting for nearly 60% and 20% of cases, respectively. Less common sites include in decreasing order of frequency superior mesenteric (SMA) and coeliac arteries (CA). The gastric or gastroepiploic, jejunal-ileal-colic, pancreaticoduodenal (PDA), gastroduodenal (GDA), and inferior mesenteric arteries are rarely involved</w:t>
      </w:r>
      <w:r w:rsidRPr="003E0CD0">
        <w:rPr>
          <w:rFonts w:ascii="Book Antiqua" w:eastAsia="Book Antiqua" w:hAnsi="Book Antiqua" w:cs="Book Antiqua"/>
          <w:color w:val="000000"/>
          <w:vertAlign w:val="superscript"/>
        </w:rPr>
        <w:t>[39,43]</w:t>
      </w:r>
      <w:r w:rsidRPr="003E0CD0">
        <w:rPr>
          <w:rFonts w:ascii="Book Antiqua" w:eastAsia="Book Antiqua" w:hAnsi="Book Antiqua" w:cs="Book Antiqua"/>
          <w:color w:val="000000"/>
        </w:rPr>
        <w:t>.</w:t>
      </w:r>
    </w:p>
    <w:p w14:paraId="3397529A" w14:textId="6B5C195A" w:rsidR="00A77B3E" w:rsidRPr="003E0CD0" w:rsidRDefault="00000000">
      <w:pPr>
        <w:spacing w:line="360" w:lineRule="auto"/>
        <w:ind w:firstLine="240"/>
        <w:jc w:val="both"/>
      </w:pPr>
      <w:r w:rsidRPr="003E0CD0">
        <w:rPr>
          <w:rFonts w:ascii="Book Antiqua" w:eastAsia="Book Antiqua" w:hAnsi="Book Antiqua" w:cs="Book Antiqua"/>
          <w:color w:val="000000"/>
        </w:rPr>
        <w:t>The natural history of VAA and their potential for rupture or other complications are relatively poorly defined because of their overall scarcity. However, depending on location, size, etiology, subtype, and associated clinical conditions (</w:t>
      </w:r>
      <w:r w:rsidRPr="003E0CD0">
        <w:rPr>
          <w:rFonts w:ascii="Book Antiqua" w:eastAsia="Book Antiqua" w:hAnsi="Book Antiqua" w:cs="Book Antiqua"/>
          <w:i/>
          <w:iCs/>
          <w:color w:val="000000"/>
        </w:rPr>
        <w:t>i.e.</w:t>
      </w:r>
      <w:r w:rsidR="00AE1B87" w:rsidRPr="003E0CD0">
        <w:rPr>
          <w:rFonts w:ascii="Book Antiqua" w:eastAsia="Book Antiqua" w:hAnsi="Book Antiqua" w:cs="Book Antiqua"/>
          <w:i/>
          <w:iCs/>
          <w:color w:val="000000"/>
        </w:rPr>
        <w:t>,</w:t>
      </w:r>
      <w:r w:rsidRPr="003E0CD0">
        <w:rPr>
          <w:rFonts w:ascii="Book Antiqua" w:eastAsia="Book Antiqua" w:hAnsi="Book Antiqua" w:cs="Book Antiqua"/>
          <w:color w:val="000000"/>
        </w:rPr>
        <w:t xml:space="preserve"> pregnancy), the reported risk of rupture ranges widely from 2% up to 80%</w:t>
      </w:r>
      <w:r w:rsidRPr="003E0CD0">
        <w:rPr>
          <w:rFonts w:ascii="Book Antiqua" w:eastAsia="Book Antiqua" w:hAnsi="Book Antiqua" w:cs="Book Antiqua"/>
          <w:color w:val="000000"/>
          <w:vertAlign w:val="superscript"/>
        </w:rPr>
        <w:t>[42]</w:t>
      </w:r>
      <w:r w:rsidRPr="003E0CD0">
        <w:rPr>
          <w:rFonts w:ascii="Book Antiqua" w:eastAsia="Book Antiqua" w:hAnsi="Book Antiqua" w:cs="Book Antiqua"/>
          <w:color w:val="000000"/>
        </w:rPr>
        <w:t>. Furthermore, pseudoaneurysms, CA, SMA, gastric and gastroepiploic, GDA, PDA and colic aneurysms are associated with a significantly higher risk of rupture regardless of size, requiring prompt treatment upon diagnosis</w:t>
      </w:r>
      <w:r w:rsidRPr="003E0CD0">
        <w:rPr>
          <w:rFonts w:ascii="Book Antiqua" w:eastAsia="Book Antiqua" w:hAnsi="Book Antiqua" w:cs="Book Antiqua"/>
          <w:color w:val="000000"/>
          <w:vertAlign w:val="superscript"/>
        </w:rPr>
        <w:t>[41,44]</w:t>
      </w:r>
      <w:r w:rsidRPr="003E0CD0">
        <w:rPr>
          <w:rFonts w:ascii="Book Antiqua" w:eastAsia="Book Antiqua" w:hAnsi="Book Antiqua" w:cs="Book Antiqua"/>
          <w:color w:val="000000"/>
        </w:rPr>
        <w:t>.</w:t>
      </w:r>
    </w:p>
    <w:p w14:paraId="4F48BD1B" w14:textId="47456F21" w:rsidR="00A77B3E" w:rsidRPr="003E0CD0" w:rsidRDefault="00000000">
      <w:pPr>
        <w:spacing w:line="360" w:lineRule="auto"/>
        <w:ind w:firstLine="240"/>
        <w:jc w:val="both"/>
      </w:pPr>
      <w:r w:rsidRPr="003E0CD0">
        <w:rPr>
          <w:rFonts w:ascii="Book Antiqua" w:eastAsia="Book Antiqua" w:hAnsi="Book Antiqua" w:cs="Book Antiqua"/>
          <w:color w:val="000000"/>
        </w:rPr>
        <w:t>Rupture of VAA occurs more frequently within the GI tract, manifesting with life-threatening NVUGIB, or into the peritoneal cavity. Rupture may less commonly occur into the retroperitoneal space. Finally, rupture within the hepatobiliary tract or the pancreatic duct may be rarely observed, causing hemobilia or hemosuccus pacreaticus (HP), respectively</w:t>
      </w:r>
      <w:r w:rsidRPr="003E0CD0">
        <w:rPr>
          <w:rFonts w:ascii="Book Antiqua" w:eastAsia="Book Antiqua" w:hAnsi="Book Antiqua" w:cs="Book Antiqua"/>
          <w:color w:val="000000"/>
          <w:vertAlign w:val="superscript"/>
        </w:rPr>
        <w:t>[39,43]</w:t>
      </w:r>
      <w:r w:rsidRPr="003E0CD0">
        <w:rPr>
          <w:rFonts w:ascii="Book Antiqua" w:eastAsia="Book Antiqua" w:hAnsi="Book Antiqua" w:cs="Book Antiqua"/>
          <w:color w:val="000000"/>
        </w:rPr>
        <w:t>.</w:t>
      </w:r>
    </w:p>
    <w:p w14:paraId="348B8283" w14:textId="4DC5324F" w:rsidR="00A77B3E" w:rsidRPr="003E0CD0" w:rsidRDefault="00000000">
      <w:pPr>
        <w:spacing w:line="360" w:lineRule="auto"/>
        <w:ind w:firstLine="240"/>
        <w:jc w:val="both"/>
      </w:pPr>
      <w:r w:rsidRPr="003E0CD0">
        <w:rPr>
          <w:rFonts w:ascii="Book Antiqua" w:eastAsia="Book Antiqua" w:hAnsi="Book Antiqua" w:cs="Book Antiqua"/>
          <w:color w:val="000000"/>
        </w:rPr>
        <w:t>MDCTA is currently regarded as the diagnostic tool of choice, providing accurate vascular anatomy characterization and interventional planning. Indeed, it is frequently regarded as the “new” gold-standard, alongside with angiography</w:t>
      </w:r>
      <w:r w:rsidRPr="003E0CD0">
        <w:rPr>
          <w:rFonts w:ascii="Book Antiqua" w:eastAsia="Book Antiqua" w:hAnsi="Book Antiqua" w:cs="Book Antiqua"/>
          <w:color w:val="000000"/>
          <w:vertAlign w:val="superscript"/>
        </w:rPr>
        <w:t>[39]</w:t>
      </w:r>
      <w:r w:rsidRPr="003E0CD0">
        <w:rPr>
          <w:rFonts w:ascii="Book Antiqua" w:eastAsia="Book Antiqua" w:hAnsi="Book Antiqua" w:cs="Book Antiqua"/>
          <w:color w:val="000000"/>
        </w:rPr>
        <w:t xml:space="preserve">. Rupture is seen as an extravasation of contrast medium which is not contained within a round structure and often flows away from the point of injury. On delayed images, there will be washout of </w:t>
      </w:r>
      <w:r w:rsidRPr="003E0CD0">
        <w:rPr>
          <w:rFonts w:ascii="Book Antiqua" w:eastAsia="Book Antiqua" w:hAnsi="Book Antiqua" w:cs="Book Antiqua"/>
          <w:color w:val="000000"/>
        </w:rPr>
        <w:lastRenderedPageBreak/>
        <w:t>the aneurysm, whereas extravasation will persist</w:t>
      </w:r>
      <w:r w:rsidRPr="003E0CD0">
        <w:rPr>
          <w:rFonts w:ascii="Book Antiqua" w:eastAsia="Book Antiqua" w:hAnsi="Book Antiqua" w:cs="Book Antiqua"/>
          <w:color w:val="000000"/>
          <w:vertAlign w:val="superscript"/>
        </w:rPr>
        <w:t>[39]</w:t>
      </w:r>
      <w:r w:rsidRPr="003E0CD0">
        <w:rPr>
          <w:rFonts w:ascii="Book Antiqua" w:eastAsia="Book Antiqua" w:hAnsi="Book Antiqua" w:cs="Book Antiqua"/>
          <w:color w:val="000000"/>
        </w:rPr>
        <w:t xml:space="preserve">. Given the common presentation with NVUGIB, patients with ruptured VAA may undergo EGD if hemodynamically stable. However, the role of EGD in this setting is limited, mainly directed to exclude more common sources of NVUGIB. </w:t>
      </w:r>
      <w:r w:rsidR="00356C29" w:rsidRPr="003E0CD0">
        <w:rPr>
          <w:rFonts w:ascii="Book Antiqua" w:eastAsia="Book Antiqua" w:hAnsi="Book Antiqua" w:cs="Book Antiqua"/>
          <w:color w:val="000000"/>
        </w:rPr>
        <w:t>GI</w:t>
      </w:r>
      <w:r w:rsidRPr="003E0CD0">
        <w:rPr>
          <w:rFonts w:ascii="Book Antiqua" w:eastAsia="Book Antiqua" w:hAnsi="Book Antiqua" w:cs="Book Antiqua"/>
          <w:color w:val="000000"/>
        </w:rPr>
        <w:t xml:space="preserve"> rupture of VAA may occasionally be suspected by means of EGD, with unspecific reported endoscopic findings mainly encountering gastric or duodenal ulcer/erosion with or without adherent clot, submucosal bulging mass and visible vessel</w:t>
      </w:r>
      <w:r w:rsidRPr="003E0CD0">
        <w:rPr>
          <w:rFonts w:ascii="Book Antiqua" w:eastAsia="Book Antiqua" w:hAnsi="Book Antiqua" w:cs="Book Antiqua"/>
          <w:color w:val="000000"/>
          <w:vertAlign w:val="superscript"/>
        </w:rPr>
        <w:t>[45,46]</w:t>
      </w:r>
      <w:r w:rsidRPr="003E0CD0">
        <w:rPr>
          <w:rFonts w:ascii="Book Antiqua" w:eastAsia="Book Antiqua" w:hAnsi="Book Antiqua" w:cs="Book Antiqua"/>
          <w:color w:val="000000"/>
        </w:rPr>
        <w:t>. However, a highly experienced GI endoscopist along with a high index of suspicion are necessary to suspect GI rupture of VAA. Furthermore, a detailed medical history focusing on well known risk factors for VAA development and rupture, including pancreatitis and its local complications, atherosclerosis, and recent traumatic or iatrogenic injury, such as percutaneous or endoscopic ultrasound (EUS)-guided procedures, is crucial in the diagnostic process of ruptured VAA within the GI tract.</w:t>
      </w:r>
    </w:p>
    <w:p w14:paraId="671A9CED" w14:textId="110BD0E7" w:rsidR="00A77B3E" w:rsidRPr="003E0CD0" w:rsidRDefault="00000000">
      <w:pPr>
        <w:spacing w:line="360" w:lineRule="auto"/>
        <w:ind w:firstLine="240"/>
        <w:jc w:val="both"/>
      </w:pPr>
      <w:r w:rsidRPr="003E0CD0">
        <w:rPr>
          <w:rFonts w:ascii="Book Antiqua" w:eastAsia="Book Antiqua" w:hAnsi="Book Antiqua" w:cs="Book Antiqua"/>
          <w:color w:val="000000"/>
        </w:rPr>
        <w:t>Being associated with lower perioperative morbidity and mortality than open surgery, emergent endovascular treatment, most commonly by means of coil embolization, is currently recommended as the first-line interventional modality for ruptured VAA. Conversely, open surgery is nowadays generally reserved in case of anatomically unfeasible or failed EVT</w:t>
      </w:r>
      <w:r w:rsidRPr="003E0CD0">
        <w:rPr>
          <w:rFonts w:ascii="Book Antiqua" w:eastAsia="Book Antiqua" w:hAnsi="Book Antiqua" w:cs="Book Antiqua"/>
          <w:color w:val="000000"/>
          <w:vertAlign w:val="superscript"/>
        </w:rPr>
        <w:t>[41,44]</w:t>
      </w:r>
      <w:r w:rsidRPr="003E0CD0">
        <w:rPr>
          <w:rFonts w:ascii="Book Antiqua" w:eastAsia="Book Antiqua" w:hAnsi="Book Antiqua" w:cs="Book Antiqua"/>
          <w:color w:val="000000"/>
        </w:rPr>
        <w:t>. To date, endoscopy plays no role in the treatment of ruptured VAA. Endoscopic cyanoacrilate or epinephrine injection has been anecdotally reported</w:t>
      </w:r>
      <w:r w:rsidRPr="003E0CD0">
        <w:rPr>
          <w:rFonts w:ascii="Book Antiqua" w:eastAsia="Book Antiqua" w:hAnsi="Book Antiqua" w:cs="Book Antiqua"/>
          <w:color w:val="000000"/>
          <w:vertAlign w:val="superscript"/>
        </w:rPr>
        <w:t>[45,46]</w:t>
      </w:r>
      <w:r w:rsidRPr="003E0CD0">
        <w:rPr>
          <w:rFonts w:ascii="Book Antiqua" w:eastAsia="Book Antiqua" w:hAnsi="Book Antiqua" w:cs="Book Antiqua"/>
          <w:color w:val="000000"/>
        </w:rPr>
        <w:t>. However, we do not recommend endoscopic hemostasis attempt when GI VAA rupture is suspected or diagnosed, especially in the absence of active bleeding during endoscopic examination. Finally, EUS-guided embolization by the use of thrombin or glue injection, alone or in combination with coil deployment, has been successfully reported for the treatment of VAPA</w:t>
      </w:r>
      <w:r w:rsidRPr="003E0CD0">
        <w:rPr>
          <w:rFonts w:ascii="Book Antiqua" w:eastAsia="Book Antiqua" w:hAnsi="Book Antiqua" w:cs="Book Antiqua"/>
          <w:color w:val="000000"/>
          <w:vertAlign w:val="superscript"/>
        </w:rPr>
        <w:t>[47-49]</w:t>
      </w:r>
      <w:r w:rsidRPr="003E0CD0">
        <w:rPr>
          <w:rFonts w:ascii="Book Antiqua" w:eastAsia="Book Antiqua" w:hAnsi="Book Antiqua" w:cs="Book Antiqua"/>
          <w:color w:val="000000"/>
        </w:rPr>
        <w:t>. Although evidence is currently lacking, with growing experience, EUS-guided obliteration could represent a minimally-invasive and fashionable alternative to an endovascular approach for the treatment of selected ruptured VAPA among referral centers</w:t>
      </w:r>
      <w:r w:rsidRPr="003E0CD0">
        <w:rPr>
          <w:rFonts w:ascii="Book Antiqua" w:eastAsia="Book Antiqua" w:hAnsi="Book Antiqua" w:cs="Book Antiqua"/>
          <w:color w:val="000000"/>
          <w:vertAlign w:val="superscript"/>
        </w:rPr>
        <w:t>[50]</w:t>
      </w:r>
      <w:r w:rsidRPr="003E0CD0">
        <w:rPr>
          <w:rFonts w:ascii="Book Antiqua" w:eastAsia="Book Antiqua" w:hAnsi="Book Antiqua" w:cs="Book Antiqua"/>
          <w:color w:val="000000"/>
        </w:rPr>
        <w:t>. A case of rupture of VAA into the GI tract is shown in Figure 2.</w:t>
      </w:r>
    </w:p>
    <w:p w14:paraId="030318ED" w14:textId="77777777" w:rsidR="00A77B3E" w:rsidRPr="003E0CD0" w:rsidRDefault="00A77B3E" w:rsidP="00AE1B87">
      <w:pPr>
        <w:spacing w:line="360" w:lineRule="auto"/>
        <w:jc w:val="both"/>
      </w:pPr>
    </w:p>
    <w:p w14:paraId="28DFF3FF" w14:textId="77777777" w:rsidR="00A77B3E" w:rsidRPr="003E0CD0" w:rsidRDefault="00000000">
      <w:pPr>
        <w:spacing w:line="360" w:lineRule="auto"/>
        <w:jc w:val="both"/>
      </w:pPr>
      <w:r w:rsidRPr="003E0CD0">
        <w:rPr>
          <w:rFonts w:ascii="Book Antiqua" w:eastAsia="Book Antiqua" w:hAnsi="Book Antiqua" w:cs="Book Antiqua"/>
          <w:b/>
          <w:bCs/>
          <w:i/>
          <w:iCs/>
          <w:color w:val="000000"/>
        </w:rPr>
        <w:t>Gastric submucosal arterial collaterals</w:t>
      </w:r>
    </w:p>
    <w:p w14:paraId="32A04473" w14:textId="211FF243" w:rsidR="00A77B3E" w:rsidRPr="003E0CD0" w:rsidRDefault="00000000">
      <w:pPr>
        <w:spacing w:line="360" w:lineRule="auto"/>
        <w:jc w:val="both"/>
      </w:pPr>
      <w:r w:rsidRPr="003E0CD0">
        <w:rPr>
          <w:rFonts w:ascii="Book Antiqua" w:eastAsia="Book Antiqua" w:hAnsi="Book Antiqua" w:cs="Book Antiqua"/>
          <w:color w:val="000000"/>
        </w:rPr>
        <w:lastRenderedPageBreak/>
        <w:t>First reported by Spriggs</w:t>
      </w:r>
      <w:r w:rsidR="00AE1B87" w:rsidRPr="003E0CD0">
        <w:rPr>
          <w:rFonts w:ascii="Book Antiqua" w:eastAsia="Book Antiqua" w:hAnsi="Book Antiqua" w:cs="Book Antiqua"/>
          <w:color w:val="000000"/>
          <w:vertAlign w:val="superscript"/>
        </w:rPr>
        <w:t>[51]</w:t>
      </w:r>
      <w:r w:rsidRPr="003E0CD0">
        <w:rPr>
          <w:rFonts w:ascii="Book Antiqua" w:eastAsia="Book Antiqua" w:hAnsi="Book Antiqua" w:cs="Book Antiqua"/>
          <w:color w:val="000000"/>
        </w:rPr>
        <w:t xml:space="preserve"> in 1984, bleeding gastric submucosal arterial collaterals (GSAC) are an extraordinary rare cause of severe NVUGIB, with only few cases reported up to date, including a fatal one</w:t>
      </w:r>
      <w:r w:rsidRPr="003E0CD0">
        <w:rPr>
          <w:rFonts w:ascii="Book Antiqua" w:eastAsia="Book Antiqua" w:hAnsi="Book Antiqua" w:cs="Book Antiqua"/>
          <w:color w:val="000000"/>
          <w:vertAlign w:val="superscript"/>
        </w:rPr>
        <w:t>[52]</w:t>
      </w:r>
      <w:r w:rsidRPr="003E0CD0">
        <w:rPr>
          <w:rFonts w:ascii="Book Antiqua" w:eastAsia="Book Antiqua" w:hAnsi="Book Antiqua" w:cs="Book Antiqua"/>
          <w:color w:val="000000"/>
        </w:rPr>
        <w:t>. They result from either occlusion or congenital absence of the SA, being not related to portal hypertension. SA occlusion may be congenital, idiopathic, or secondary to various conditions, including surgery, endovascular intervention, trauma and extrinsic compression. In the case of SA occlusion, in order to provide splenic blood supply, extensive collaterals may arise from adjacent proximal patent arteries, such as the pancreatic, left gastric, gastroepiploic, and short gastric arteries, and pass through the gastric wall</w:t>
      </w:r>
      <w:r w:rsidRPr="003E0CD0">
        <w:rPr>
          <w:rFonts w:ascii="Book Antiqua" w:eastAsia="Book Antiqua" w:hAnsi="Book Antiqua" w:cs="Book Antiqua"/>
          <w:color w:val="000000"/>
          <w:vertAlign w:val="superscript"/>
        </w:rPr>
        <w:t>[53]</w:t>
      </w:r>
      <w:r w:rsidRPr="003E0CD0">
        <w:rPr>
          <w:rFonts w:ascii="Book Antiqua" w:eastAsia="Book Antiqua" w:hAnsi="Book Antiqua" w:cs="Book Antiqua"/>
          <w:color w:val="000000"/>
        </w:rPr>
        <w:t>. GSAC may be clinically asymptomatic or may less frequently present with severe NVUGIB from erosion of GSAC.</w:t>
      </w:r>
    </w:p>
    <w:p w14:paraId="496EACD8" w14:textId="619DC63C" w:rsidR="00A77B3E" w:rsidRPr="003E0CD0" w:rsidRDefault="00000000">
      <w:pPr>
        <w:spacing w:line="360" w:lineRule="auto"/>
        <w:ind w:firstLine="240"/>
        <w:jc w:val="both"/>
      </w:pPr>
      <w:r w:rsidRPr="003E0CD0">
        <w:rPr>
          <w:rFonts w:ascii="Book Antiqua" w:eastAsia="Book Antiqua" w:hAnsi="Book Antiqua" w:cs="Book Antiqua"/>
          <w:color w:val="000000"/>
        </w:rPr>
        <w:t>Since GSAC appear endoscopically as varicose shaped and tortuous submucosal vessels located at the gastric fundus</w:t>
      </w:r>
      <w:r w:rsidRPr="003E0CD0">
        <w:rPr>
          <w:rFonts w:ascii="Book Antiqua" w:eastAsia="Book Antiqua" w:hAnsi="Book Antiqua" w:cs="Book Antiqua"/>
          <w:color w:val="000000"/>
          <w:vertAlign w:val="superscript"/>
        </w:rPr>
        <w:t>[52]</w:t>
      </w:r>
      <w:r w:rsidRPr="003E0CD0">
        <w:rPr>
          <w:rFonts w:ascii="Book Antiqua" w:eastAsia="Book Antiqua" w:hAnsi="Book Antiqua" w:cs="Book Antiqua"/>
          <w:color w:val="000000"/>
        </w:rPr>
        <w:t>, the differential diagnosis mainly includes type 1 isolated gastric varices (IGV)</w:t>
      </w:r>
      <w:r w:rsidRPr="003E0CD0">
        <w:rPr>
          <w:rFonts w:ascii="Book Antiqua" w:eastAsia="Book Antiqua" w:hAnsi="Book Antiqua" w:cs="Book Antiqua"/>
          <w:color w:val="000000"/>
          <w:vertAlign w:val="superscript"/>
        </w:rPr>
        <w:t>[54]</w:t>
      </w:r>
      <w:r w:rsidRPr="003E0CD0">
        <w:rPr>
          <w:rFonts w:ascii="Book Antiqua" w:eastAsia="Book Antiqua" w:hAnsi="Book Antiqua" w:cs="Book Antiqua"/>
          <w:color w:val="000000"/>
        </w:rPr>
        <w:t>. Indeed, GSAC have a very similar endoscopic appearance to IGV, being frequently misinterpreted on EGD</w:t>
      </w:r>
      <w:r w:rsidRPr="003E0CD0">
        <w:rPr>
          <w:rFonts w:ascii="Book Antiqua" w:eastAsia="Book Antiqua" w:hAnsi="Book Antiqua" w:cs="Book Antiqua"/>
          <w:color w:val="000000"/>
          <w:vertAlign w:val="superscript"/>
        </w:rPr>
        <w:t>[52]</w:t>
      </w:r>
      <w:r w:rsidRPr="003E0CD0">
        <w:rPr>
          <w:rFonts w:ascii="Book Antiqua" w:eastAsia="Book Antiqua" w:hAnsi="Book Antiqua" w:cs="Book Antiqua"/>
          <w:color w:val="000000"/>
        </w:rPr>
        <w:t>. However, they are, as opposed to GSAC, secondary to cirrhotic portal hypertension or left-sided portal hypertension</w:t>
      </w:r>
      <w:r w:rsidRPr="003E0CD0">
        <w:rPr>
          <w:rFonts w:ascii="Book Antiqua" w:eastAsia="Book Antiqua" w:hAnsi="Book Antiqua" w:cs="Book Antiqua"/>
          <w:color w:val="000000"/>
          <w:vertAlign w:val="superscript"/>
        </w:rPr>
        <w:t>[54]</w:t>
      </w:r>
      <w:r w:rsidRPr="003E0CD0">
        <w:rPr>
          <w:rFonts w:ascii="Book Antiqua" w:eastAsia="Book Antiqua" w:hAnsi="Book Antiqua" w:cs="Book Antiqua"/>
          <w:color w:val="000000"/>
        </w:rPr>
        <w:t>. Therefore, given their different management, an accurate differential diagnosis between these two entities is crucial. Indeed, endoscopic cyanoacrylate glue injection (ECGI), currently recommended as the first-line therapeutic option for bleeding IGV</w:t>
      </w:r>
      <w:r w:rsidRPr="003E0CD0">
        <w:rPr>
          <w:rFonts w:ascii="Book Antiqua" w:eastAsia="Book Antiqua" w:hAnsi="Book Antiqua" w:cs="Book Antiqua"/>
          <w:color w:val="000000"/>
          <w:vertAlign w:val="superscript"/>
        </w:rPr>
        <w:t>[55]</w:t>
      </w:r>
      <w:r w:rsidRPr="003E0CD0">
        <w:rPr>
          <w:rFonts w:ascii="Book Antiqua" w:eastAsia="Book Antiqua" w:hAnsi="Book Antiqua" w:cs="Book Antiqua"/>
          <w:color w:val="000000"/>
        </w:rPr>
        <w:t>, may be complicated by systemic embolization and life-threatening adverse events when applicated to an arterial source</w:t>
      </w:r>
      <w:r w:rsidRPr="003E0CD0">
        <w:rPr>
          <w:rFonts w:ascii="Book Antiqua" w:eastAsia="Book Antiqua" w:hAnsi="Book Antiqua" w:cs="Book Antiqua"/>
          <w:color w:val="000000"/>
          <w:vertAlign w:val="superscript"/>
        </w:rPr>
        <w:t>[56,57]</w:t>
      </w:r>
      <w:r w:rsidRPr="003E0CD0">
        <w:rPr>
          <w:rFonts w:ascii="Book Antiqua" w:eastAsia="Book Antiqua" w:hAnsi="Book Antiqua" w:cs="Book Antiqua"/>
          <w:color w:val="000000"/>
        </w:rPr>
        <w:t>. Conversely, being potentially associated with severe adverse events, endoscopic mechanical hemostasis is currently not recommended for the treatment of IGV</w:t>
      </w:r>
      <w:r w:rsidRPr="003E0CD0">
        <w:rPr>
          <w:rFonts w:ascii="Book Antiqua" w:eastAsia="Book Antiqua" w:hAnsi="Book Antiqua" w:cs="Book Antiqua"/>
          <w:color w:val="000000"/>
          <w:vertAlign w:val="superscript"/>
        </w:rPr>
        <w:t>[55]</w:t>
      </w:r>
      <w:r w:rsidRPr="003E0CD0">
        <w:rPr>
          <w:rFonts w:ascii="Book Antiqua" w:eastAsia="Book Antiqua" w:hAnsi="Book Antiqua" w:cs="Book Antiqua"/>
          <w:color w:val="000000"/>
        </w:rPr>
        <w:t>.</w:t>
      </w:r>
    </w:p>
    <w:p w14:paraId="35E9B5BB" w14:textId="0D1D8C96" w:rsidR="00A77B3E" w:rsidRPr="003E0CD0" w:rsidRDefault="00000000">
      <w:pPr>
        <w:spacing w:line="360" w:lineRule="auto"/>
        <w:ind w:firstLine="240"/>
        <w:jc w:val="both"/>
      </w:pPr>
      <w:r w:rsidRPr="003E0CD0">
        <w:rPr>
          <w:rFonts w:ascii="Book Antiqua" w:eastAsia="Book Antiqua" w:hAnsi="Book Antiqua" w:cs="Book Antiqua"/>
          <w:color w:val="000000"/>
        </w:rPr>
        <w:t>Proper diagnosis is only made by MDCTA and/or digital subtraction angiography (DSA)</w:t>
      </w:r>
      <w:r w:rsidRPr="003E0CD0">
        <w:rPr>
          <w:rFonts w:ascii="Book Antiqua" w:eastAsia="Book Antiqua" w:hAnsi="Book Antiqua" w:cs="Book Antiqua"/>
          <w:color w:val="000000"/>
          <w:vertAlign w:val="superscript"/>
        </w:rPr>
        <w:t>[52]</w:t>
      </w:r>
      <w:r w:rsidRPr="003E0CD0">
        <w:rPr>
          <w:rFonts w:ascii="Book Antiqua" w:eastAsia="Book Antiqua" w:hAnsi="Book Antiqua" w:cs="Book Antiqua"/>
          <w:color w:val="000000"/>
        </w:rPr>
        <w:t>. Thus, in case of endoscopic evidence of fundal varicose shaped submucosal vessels among UGIB patients without portal hypertension history or clinico-laboratory signs, emergent MDCTA should be performed prior to any endoscopic treatment attempt, if feasible (</w:t>
      </w:r>
      <w:r w:rsidRPr="003E0CD0">
        <w:rPr>
          <w:rFonts w:ascii="Book Antiqua" w:eastAsia="Book Antiqua" w:hAnsi="Book Antiqua" w:cs="Book Antiqua"/>
          <w:i/>
          <w:iCs/>
          <w:color w:val="000000"/>
        </w:rPr>
        <w:t>i.e</w:t>
      </w:r>
      <w:r w:rsidR="00AE1B87" w:rsidRPr="003E0CD0">
        <w:rPr>
          <w:rFonts w:ascii="Book Antiqua" w:eastAsia="Book Antiqua" w:hAnsi="Book Antiqua" w:cs="Book Antiqua"/>
          <w:i/>
          <w:iCs/>
          <w:color w:val="000000"/>
        </w:rPr>
        <w:t>.,</w:t>
      </w:r>
      <w:r w:rsidRPr="003E0CD0">
        <w:rPr>
          <w:rFonts w:ascii="Book Antiqua" w:eastAsia="Book Antiqua" w:hAnsi="Book Antiqua" w:cs="Book Antiqua"/>
          <w:color w:val="000000"/>
        </w:rPr>
        <w:t xml:space="preserve"> absence of active bleeding at the time of EGD).</w:t>
      </w:r>
    </w:p>
    <w:p w14:paraId="61EDA9EA" w14:textId="41A6FD15" w:rsidR="00A77B3E" w:rsidRPr="003E0CD0" w:rsidRDefault="00000000">
      <w:pPr>
        <w:spacing w:line="360" w:lineRule="auto"/>
        <w:ind w:firstLine="240"/>
        <w:jc w:val="both"/>
      </w:pPr>
      <w:r w:rsidRPr="003E0CD0">
        <w:rPr>
          <w:rFonts w:ascii="Book Antiqua" w:eastAsia="Book Antiqua" w:hAnsi="Book Antiqua" w:cs="Book Antiqua"/>
          <w:color w:val="000000"/>
        </w:rPr>
        <w:t xml:space="preserve">Definitive treatment is mainly represented by surgical splenectomy and arterial ligation with or without gastrectomy. However, effective treatment by means of </w:t>
      </w:r>
      <w:r w:rsidRPr="003E0CD0">
        <w:rPr>
          <w:rFonts w:ascii="Book Antiqua" w:eastAsia="Book Antiqua" w:hAnsi="Book Antiqua" w:cs="Book Antiqua"/>
          <w:color w:val="000000"/>
        </w:rPr>
        <w:lastRenderedPageBreak/>
        <w:t>endovascular embolization has also been reported. As mentioned before, endoscopic mechanical hemostasis rather than ECGI may be used for the bleeding control among experienced centers, if needed, mainly in a step-up approach</w:t>
      </w:r>
      <w:r w:rsidRPr="003E0CD0">
        <w:rPr>
          <w:rFonts w:ascii="Book Antiqua" w:eastAsia="Book Antiqua" w:hAnsi="Book Antiqua" w:cs="Book Antiqua"/>
          <w:color w:val="000000"/>
          <w:vertAlign w:val="superscript"/>
        </w:rPr>
        <w:t>[52]</w:t>
      </w:r>
      <w:r w:rsidRPr="003E0CD0">
        <w:rPr>
          <w:rFonts w:ascii="Book Antiqua" w:eastAsia="Book Antiqua" w:hAnsi="Book Antiqua" w:cs="Book Antiqua"/>
          <w:color w:val="000000"/>
        </w:rPr>
        <w:t>. A case of bleeding GSAC is shown in Figure 3.</w:t>
      </w:r>
    </w:p>
    <w:p w14:paraId="759C4DD2" w14:textId="77777777" w:rsidR="00A77B3E" w:rsidRPr="003E0CD0" w:rsidRDefault="00A77B3E" w:rsidP="00AE1B87">
      <w:pPr>
        <w:spacing w:line="360" w:lineRule="auto"/>
        <w:jc w:val="both"/>
      </w:pPr>
    </w:p>
    <w:p w14:paraId="08626D00" w14:textId="77777777" w:rsidR="00A77B3E" w:rsidRPr="003E0CD0" w:rsidRDefault="00000000">
      <w:pPr>
        <w:spacing w:line="360" w:lineRule="auto"/>
        <w:jc w:val="both"/>
      </w:pPr>
      <w:r w:rsidRPr="003E0CD0">
        <w:rPr>
          <w:rFonts w:ascii="Book Antiqua" w:eastAsia="Book Antiqua" w:hAnsi="Book Antiqua" w:cs="Book Antiqua"/>
          <w:b/>
          <w:bCs/>
          <w:i/>
          <w:iCs/>
          <w:color w:val="000000"/>
        </w:rPr>
        <w:t>Dieulafoy’s lesions</w:t>
      </w:r>
    </w:p>
    <w:p w14:paraId="42FC4848" w14:textId="212772C7" w:rsidR="00A77B3E" w:rsidRPr="003E0CD0" w:rsidRDefault="00000000">
      <w:pPr>
        <w:spacing w:line="360" w:lineRule="auto"/>
        <w:jc w:val="both"/>
      </w:pPr>
      <w:r w:rsidRPr="003E0CD0">
        <w:rPr>
          <w:rFonts w:ascii="Book Antiqua" w:eastAsia="Book Antiqua" w:hAnsi="Book Antiqua" w:cs="Book Antiqua"/>
          <w:color w:val="000000"/>
        </w:rPr>
        <w:t>Dieulafoy’s lesion (DL) is a rare cause of</w:t>
      </w:r>
      <w:r w:rsidR="00AE1B87"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acute NVUGIB, accounting for approximately 1.5% of cases, with a tendency to cause severe, life-threatening, recurrent GI bleeding</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It was originally reported by Gallard</w:t>
      </w:r>
      <w:r w:rsidR="00AE1B87" w:rsidRPr="003E0CD0">
        <w:rPr>
          <w:rFonts w:ascii="Book Antiqua" w:eastAsia="Book Antiqua" w:hAnsi="Book Antiqua" w:cs="Book Antiqua"/>
          <w:color w:val="000000"/>
          <w:vertAlign w:val="superscript"/>
        </w:rPr>
        <w:t>[60]</w:t>
      </w:r>
      <w:r w:rsidRPr="003E0CD0">
        <w:rPr>
          <w:rFonts w:ascii="Book Antiqua" w:eastAsia="Book Antiqua" w:hAnsi="Book Antiqua" w:cs="Book Antiqua"/>
          <w:color w:val="000000"/>
        </w:rPr>
        <w:t xml:space="preserve"> in 1884 and subsequently referred to as “exulceratio simplex” in 1898 by the French surgeon Dieulafoy</w:t>
      </w:r>
      <w:r w:rsidR="00AE1B87" w:rsidRPr="003E0CD0">
        <w:rPr>
          <w:rFonts w:ascii="Book Antiqua" w:eastAsia="Book Antiqua" w:hAnsi="Book Antiqua" w:cs="Book Antiqua"/>
          <w:color w:val="000000"/>
          <w:vertAlign w:val="superscript"/>
        </w:rPr>
        <w:t>[61]</w:t>
      </w:r>
      <w:r w:rsidRPr="003E0CD0">
        <w:rPr>
          <w:rFonts w:ascii="Book Antiqua" w:eastAsia="Book Antiqua" w:hAnsi="Book Antiqua" w:cs="Book Antiqua"/>
          <w:color w:val="000000"/>
        </w:rPr>
        <w:t>, who believed it was the first stage of a gastric ulcer. DL is a vascular abnormality, consisting of a pathologically dilated submucosal caliber-persistent artery, that typically protrudes through a small 2-5 mm mucosal defect</w:t>
      </w:r>
      <w:r w:rsidR="00AE1B87"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and erodes into the GI lumen, in the absence of any abnormality such as ulcers, erosions or aneurysms</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Similarly to primary AEF, DL bleeding is thought to occur as a result of the mucosal surface disruption due to the persistent mechanical pressure perpetrated by the underlying submucosal ectatic artery</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w:t>
      </w:r>
    </w:p>
    <w:p w14:paraId="636DBD3C" w14:textId="004075F0" w:rsidR="00A77B3E" w:rsidRPr="003E0CD0" w:rsidRDefault="00000000">
      <w:pPr>
        <w:spacing w:line="360" w:lineRule="auto"/>
        <w:ind w:firstLine="240"/>
        <w:jc w:val="both"/>
      </w:pPr>
      <w:r w:rsidRPr="003E0CD0">
        <w:rPr>
          <w:rFonts w:ascii="Book Antiqua" w:eastAsia="Book Antiqua" w:hAnsi="Book Antiqua" w:cs="Book Antiqua"/>
          <w:color w:val="000000"/>
        </w:rPr>
        <w:t>The mortality has markedly declined from up to 80% during the pre-endoscopy era to 9%-13% currently with advances in endoscopic hemostasis</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The most common DL site is by far the stomach, typically the proximal lesser curvature within 6 cm from the gastroesophageal junction</w:t>
      </w:r>
      <w:r w:rsidRPr="003E0CD0">
        <w:rPr>
          <w:rFonts w:ascii="Book Antiqua" w:eastAsia="Book Antiqua" w:hAnsi="Book Antiqua" w:cs="Book Antiqua"/>
          <w:color w:val="000000"/>
          <w:vertAlign w:val="superscript"/>
        </w:rPr>
        <w:t>[58]</w:t>
      </w:r>
      <w:r w:rsidRPr="003E0CD0">
        <w:rPr>
          <w:rFonts w:ascii="Book Antiqua" w:eastAsia="Book Antiqua" w:hAnsi="Book Antiqua" w:cs="Book Antiqua"/>
          <w:color w:val="000000"/>
        </w:rPr>
        <w:t>. This predilection may be related to the local blood supply. Indeed, the gastric lesser curve is not irrorated by a submucosal plexus, receiving its arterial blood supply directly from the branches of the left and right gastric arteries</w:t>
      </w:r>
      <w:r w:rsidRPr="003E0CD0">
        <w:rPr>
          <w:rFonts w:ascii="Book Antiqua" w:eastAsia="Book Antiqua" w:hAnsi="Book Antiqua" w:cs="Book Antiqua"/>
          <w:color w:val="000000"/>
          <w:vertAlign w:val="superscript"/>
        </w:rPr>
        <w:t>[62]</w:t>
      </w:r>
      <w:r w:rsidRPr="003E0CD0">
        <w:rPr>
          <w:rFonts w:ascii="Book Antiqua" w:eastAsia="Book Antiqua" w:hAnsi="Book Antiqua" w:cs="Book Antiqua"/>
          <w:color w:val="000000"/>
        </w:rPr>
        <w:t>. Other less common locations include in decreasing order of frequency the duodenum, the colon, surgical anastomoses, the small bowel, and the esophagus</w:t>
      </w:r>
      <w:r w:rsidRPr="003E0CD0">
        <w:rPr>
          <w:rFonts w:ascii="Book Antiqua" w:eastAsia="Book Antiqua" w:hAnsi="Book Antiqua" w:cs="Book Antiqua"/>
          <w:color w:val="000000"/>
          <w:vertAlign w:val="superscript"/>
        </w:rPr>
        <w:t>[58]</w:t>
      </w:r>
      <w:r w:rsidRPr="003E0CD0">
        <w:rPr>
          <w:rFonts w:ascii="Book Antiqua" w:eastAsia="Book Antiqua" w:hAnsi="Book Antiqua" w:cs="Book Antiqua"/>
          <w:color w:val="000000"/>
        </w:rPr>
        <w:t>.</w:t>
      </w:r>
    </w:p>
    <w:p w14:paraId="040180CA"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t>Given the arterial nature of the bleeding, typical clinical presentation of DL include severe painless NVUGIB, most commonly manifesting with both hematemesis and melena and frequently associated with signs of hemodynamic instability</w:t>
      </w:r>
      <w:r w:rsidRPr="003E0CD0">
        <w:rPr>
          <w:rFonts w:ascii="Book Antiqua" w:eastAsia="Book Antiqua" w:hAnsi="Book Antiqua" w:cs="Book Antiqua"/>
          <w:color w:val="000000"/>
          <w:vertAlign w:val="superscript"/>
        </w:rPr>
        <w:t>[59]</w:t>
      </w:r>
      <w:r w:rsidRPr="003E0CD0">
        <w:rPr>
          <w:rFonts w:ascii="Book Antiqua" w:eastAsia="Book Antiqua" w:hAnsi="Book Antiqua" w:cs="Book Antiqua"/>
          <w:color w:val="000000"/>
        </w:rPr>
        <w:t xml:space="preserve">. In the absence of prompt treatment, recurrent bleeding within 72 h after the initial bleed is </w:t>
      </w:r>
      <w:r w:rsidRPr="003E0CD0">
        <w:rPr>
          <w:rFonts w:ascii="Book Antiqua" w:eastAsia="Book Antiqua" w:hAnsi="Book Antiqua" w:cs="Book Antiqua"/>
          <w:color w:val="000000"/>
        </w:rPr>
        <w:lastRenderedPageBreak/>
        <w:t>frequently observed, being commonly more severe. If unidentified and left untreated, DL mortality is extremely high</w:t>
      </w:r>
      <w:r w:rsidRPr="003E0CD0">
        <w:rPr>
          <w:rFonts w:ascii="Book Antiqua" w:eastAsia="Book Antiqua" w:hAnsi="Book Antiqua" w:cs="Book Antiqua"/>
          <w:color w:val="000000"/>
          <w:vertAlign w:val="superscript"/>
        </w:rPr>
        <w:t>[63]</w:t>
      </w:r>
      <w:r w:rsidRPr="003E0CD0">
        <w:rPr>
          <w:rFonts w:ascii="Book Antiqua" w:eastAsia="Book Antiqua" w:hAnsi="Book Antiqua" w:cs="Book Antiqua"/>
          <w:color w:val="000000"/>
        </w:rPr>
        <w:t>.</w:t>
      </w:r>
    </w:p>
    <w:p w14:paraId="48B67EA1" w14:textId="3765D1D6" w:rsidR="00A77B3E" w:rsidRPr="003E0CD0" w:rsidRDefault="00000000">
      <w:pPr>
        <w:spacing w:line="360" w:lineRule="auto"/>
        <w:ind w:firstLine="240"/>
        <w:jc w:val="both"/>
      </w:pPr>
      <w:r w:rsidRPr="003E0CD0">
        <w:rPr>
          <w:rFonts w:ascii="Book Antiqua" w:eastAsia="Book Antiqua" w:hAnsi="Book Antiqua" w:cs="Book Antiqua"/>
          <w:color w:val="000000"/>
        </w:rPr>
        <w:t>Endoscopy is the first-line diagnostic modality and is regarded as the gold standard method for the diagnosis of DL</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xml:space="preserve">. The reported endoscopic criteria for the diagnosis of DL include: (1) </w:t>
      </w:r>
      <w:r w:rsidR="00AE1B87" w:rsidRPr="003E0CD0">
        <w:rPr>
          <w:rFonts w:ascii="Book Antiqua" w:eastAsia="Book Antiqua" w:hAnsi="Book Antiqua" w:cs="Book Antiqua"/>
          <w:color w:val="000000"/>
        </w:rPr>
        <w:t>A</w:t>
      </w:r>
      <w:r w:rsidRPr="003E0CD0">
        <w:rPr>
          <w:rFonts w:ascii="Book Antiqua" w:eastAsia="Book Antiqua" w:hAnsi="Book Antiqua" w:cs="Book Antiqua"/>
          <w:color w:val="000000"/>
        </w:rPr>
        <w:t>ctive arterial spurting bleeding from a small (&lt;</w:t>
      </w:r>
      <w:r w:rsidR="00AE1B87"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 xml:space="preserve">3 mm) mucosal defect or through normal mucosa; (2) </w:t>
      </w:r>
      <w:r w:rsidR="00AE1B87" w:rsidRPr="003E0CD0">
        <w:rPr>
          <w:rFonts w:ascii="Book Antiqua" w:eastAsia="Book Antiqua" w:hAnsi="Book Antiqua" w:cs="Book Antiqua"/>
          <w:color w:val="000000"/>
        </w:rPr>
        <w:t>P</w:t>
      </w:r>
      <w:r w:rsidRPr="003E0CD0">
        <w:rPr>
          <w:rFonts w:ascii="Book Antiqua" w:eastAsia="Book Antiqua" w:hAnsi="Book Antiqua" w:cs="Book Antiqua"/>
          <w:color w:val="000000"/>
        </w:rPr>
        <w:t xml:space="preserve">rotruding vessel, with or without active bleeding, within a small mucosal defect or normal mucosa; or (3) </w:t>
      </w:r>
      <w:r w:rsidR="00AE1B87" w:rsidRPr="003E0CD0">
        <w:rPr>
          <w:rFonts w:ascii="Book Antiqua" w:eastAsia="Book Antiqua" w:hAnsi="Book Antiqua" w:cs="Book Antiqua"/>
          <w:color w:val="000000"/>
        </w:rPr>
        <w:t>F</w:t>
      </w:r>
      <w:r w:rsidRPr="003E0CD0">
        <w:rPr>
          <w:rFonts w:ascii="Book Antiqua" w:eastAsia="Book Antiqua" w:hAnsi="Book Antiqua" w:cs="Book Antiqua"/>
          <w:color w:val="000000"/>
        </w:rPr>
        <w:t>resh adherent clot to a minute mucosal defect or to normal-appearing mucosa</w:t>
      </w:r>
      <w:r w:rsidRPr="003E0CD0">
        <w:rPr>
          <w:rFonts w:ascii="Book Antiqua" w:eastAsia="Book Antiqua" w:hAnsi="Book Antiqua" w:cs="Book Antiqua"/>
          <w:color w:val="000000"/>
          <w:vertAlign w:val="superscript"/>
        </w:rPr>
        <w:t>[64]</w:t>
      </w:r>
      <w:r w:rsidRPr="003E0CD0">
        <w:rPr>
          <w:rFonts w:ascii="Book Antiqua" w:eastAsia="Book Antiqua" w:hAnsi="Book Antiqua" w:cs="Book Antiqua"/>
          <w:color w:val="000000"/>
        </w:rPr>
        <w:t>. However, the reported diagnostic yield of initial EGD is only 70%, and repeat endoscopic examinations may thus be required. Main reasons for diagnostic failure of EGD encounter small lesion size, intermittently active bleeding, DL site between folds or underneath an adherent clot, or presence of a large amount of fresh blood within the gastric cavity</w:t>
      </w:r>
      <w:r w:rsidRPr="003E0CD0">
        <w:rPr>
          <w:rFonts w:ascii="Book Antiqua" w:eastAsia="Book Antiqua" w:hAnsi="Book Antiqua" w:cs="Book Antiqua"/>
          <w:color w:val="000000"/>
          <w:vertAlign w:val="superscript"/>
        </w:rPr>
        <w:t>[65]</w:t>
      </w:r>
      <w:r w:rsidRPr="003E0CD0">
        <w:rPr>
          <w:rFonts w:ascii="Book Antiqua" w:eastAsia="Book Antiqua" w:hAnsi="Book Antiqua" w:cs="Book Antiqua"/>
          <w:color w:val="000000"/>
        </w:rPr>
        <w:t>. Thus, especially in the setting of non-actively bleeding DL, endoscopic diagnosis may be challenging and a high index of clinical suspicion is required. A meticulous examination especially of the gastric cardia should be performed during EGD. In addition to adequate insufflation, in case of negative EGD, the execution of a provocative endoscopy by the use of water-jet irrigation to target wash as much of the gastric cardia as possible, particularly along the lesser curvature, has been suggested in order to disrupt a fibrin plug and provoke active bleeding from an underlying DL</w:t>
      </w:r>
      <w:r w:rsidRPr="003E0CD0">
        <w:rPr>
          <w:rFonts w:ascii="Book Antiqua" w:eastAsia="Book Antiqua" w:hAnsi="Book Antiqua" w:cs="Book Antiqua"/>
          <w:color w:val="000000"/>
          <w:vertAlign w:val="superscript"/>
        </w:rPr>
        <w:t>[15]</w:t>
      </w:r>
      <w:r w:rsidRPr="003E0CD0">
        <w:rPr>
          <w:rFonts w:ascii="Book Antiqua" w:eastAsia="Book Antiqua" w:hAnsi="Book Antiqua" w:cs="Book Antiqua"/>
          <w:color w:val="000000"/>
        </w:rPr>
        <w:t>. Of interest, in the setting of non-active bleeding, EUS may be useful to confirm the diagnosis of DL, being capable to clearly depict the pathological submucosal vessel penetrating the muscularis propria</w:t>
      </w:r>
      <w:r w:rsidRPr="003E0CD0">
        <w:rPr>
          <w:rFonts w:ascii="Book Antiqua" w:eastAsia="Book Antiqua" w:hAnsi="Book Antiqua" w:cs="Book Antiqua"/>
          <w:color w:val="000000"/>
          <w:vertAlign w:val="superscript"/>
        </w:rPr>
        <w:t>[66]</w:t>
      </w:r>
      <w:r w:rsidRPr="003E0CD0">
        <w:rPr>
          <w:rFonts w:ascii="Book Antiqua" w:eastAsia="Book Antiqua" w:hAnsi="Book Antiqua" w:cs="Book Antiqua"/>
          <w:color w:val="000000"/>
        </w:rPr>
        <w:t>.</w:t>
      </w:r>
    </w:p>
    <w:p w14:paraId="1C24B7A3"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t>Further diagnostic modalities include MDCTA and DSA. MDCTA findings encounter abnormally enlarged submucosal vessel, which may appear tortuous, linear or as a non-specific “blush” of contrast medium at the mucosal/submucosal level</w:t>
      </w:r>
      <w:r w:rsidRPr="003E0CD0">
        <w:rPr>
          <w:rFonts w:ascii="Book Antiqua" w:eastAsia="Book Antiqua" w:hAnsi="Book Antiqua" w:cs="Book Antiqua"/>
          <w:color w:val="000000"/>
          <w:vertAlign w:val="superscript"/>
        </w:rPr>
        <w:t>[14]</w:t>
      </w:r>
      <w:r w:rsidRPr="003E0CD0">
        <w:rPr>
          <w:rFonts w:ascii="Book Antiqua" w:eastAsia="Book Antiqua" w:hAnsi="Book Antiqua" w:cs="Book Antiqua"/>
          <w:color w:val="000000"/>
        </w:rPr>
        <w:t>. However, diagnosis of DL by the use of MDCTA is usually challenging, and requires highly experienced radiologists. Conversely, angiographically, DL appears as a non-tapering, tortuous vessels in the arterial phase with no early venous return, with or without contrast medium extravasation within the GI tract</w:t>
      </w:r>
      <w:r w:rsidRPr="003E0CD0">
        <w:rPr>
          <w:rFonts w:ascii="Book Antiqua" w:eastAsia="Book Antiqua" w:hAnsi="Book Antiqua" w:cs="Book Antiqua"/>
          <w:color w:val="000000"/>
          <w:vertAlign w:val="superscript"/>
        </w:rPr>
        <w:t>[67]</w:t>
      </w:r>
      <w:r w:rsidRPr="003E0CD0">
        <w:rPr>
          <w:rFonts w:ascii="Book Antiqua" w:eastAsia="Book Antiqua" w:hAnsi="Book Antiqua" w:cs="Book Antiqua"/>
          <w:color w:val="000000"/>
        </w:rPr>
        <w:t>.</w:t>
      </w:r>
    </w:p>
    <w:p w14:paraId="47A5B730" w14:textId="55FDCCB4" w:rsidR="00A77B3E" w:rsidRPr="003E0CD0" w:rsidRDefault="00000000">
      <w:pPr>
        <w:spacing w:line="360" w:lineRule="auto"/>
        <w:ind w:firstLine="240"/>
        <w:jc w:val="both"/>
      </w:pPr>
      <w:r w:rsidRPr="003E0CD0">
        <w:rPr>
          <w:rFonts w:ascii="Book Antiqua" w:eastAsia="Book Antiqua" w:hAnsi="Book Antiqua" w:cs="Book Antiqua"/>
          <w:color w:val="000000"/>
        </w:rPr>
        <w:lastRenderedPageBreak/>
        <w:t>Treatment is recommended for virtually all identified DL, even in the absence of recent bleeding stigmata. Dual combination endoscopic therapy with epinephrine injection followed by mechanical or thermal contact hemostasis is recommended as the first-line treatment modality for DL, being effective in more than 90% of cases. Although requiring higher endoscopic skill and experience, especially if performed in a gastric retroflexion position as frequently needed, mechanical therapy by means of band ligation or endoclip placement is currently favored over thermal hemostasis</w:t>
      </w:r>
      <w:r w:rsidRPr="003E0CD0">
        <w:rPr>
          <w:rFonts w:ascii="Book Antiqua" w:eastAsia="Book Antiqua" w:hAnsi="Book Antiqua" w:cs="Book Antiqua"/>
          <w:color w:val="000000"/>
          <w:vertAlign w:val="superscript"/>
        </w:rPr>
        <w:t>[59]</w:t>
      </w:r>
      <w:r w:rsidRPr="003E0CD0">
        <w:rPr>
          <w:rFonts w:ascii="Book Antiqua" w:eastAsia="Book Antiqua" w:hAnsi="Book Antiqua" w:cs="Book Antiqua"/>
          <w:color w:val="000000"/>
        </w:rPr>
        <w:t>. Moreover, given the risk of perforation, especially in GI tracts with thin walls such as the gastric fundus, and the risk of bands drop off with rebleeding, endoscopic band ligation may be less desirable than endoscopic clipping, especially in inexperienced hands</w:t>
      </w:r>
      <w:r w:rsidRPr="003E0CD0">
        <w:rPr>
          <w:rFonts w:ascii="Book Antiqua" w:eastAsia="Book Antiqua" w:hAnsi="Book Antiqua" w:cs="Book Antiqua"/>
          <w:color w:val="000000"/>
          <w:vertAlign w:val="superscript"/>
        </w:rPr>
        <w:t>[59,68]</w:t>
      </w:r>
      <w:r w:rsidRPr="003E0CD0">
        <w:rPr>
          <w:rFonts w:ascii="Book Antiqua" w:eastAsia="Book Antiqua" w:hAnsi="Book Antiqua" w:cs="Book Antiqua"/>
          <w:color w:val="000000"/>
        </w:rPr>
        <w:t>. Finally, mechanical hemostasis by means of OTSC has been successfully reported with good outcomes, not only for refractory cases</w:t>
      </w:r>
      <w:r w:rsidRPr="003E0CD0">
        <w:rPr>
          <w:rFonts w:ascii="Book Antiqua" w:eastAsia="Book Antiqua" w:hAnsi="Book Antiqua" w:cs="Book Antiqua"/>
          <w:color w:val="000000"/>
          <w:vertAlign w:val="superscript"/>
        </w:rPr>
        <w:t>[69,70]</w:t>
      </w:r>
      <w:r w:rsidRPr="003E0CD0">
        <w:rPr>
          <w:rFonts w:ascii="Book Antiqua" w:eastAsia="Book Antiqua" w:hAnsi="Book Antiqua" w:cs="Book Antiqua"/>
          <w:color w:val="000000"/>
        </w:rPr>
        <w:t>.</w:t>
      </w:r>
    </w:p>
    <w:p w14:paraId="3B719783" w14:textId="04A2F72D" w:rsidR="00A77B3E" w:rsidRPr="003E0CD0" w:rsidRDefault="00000000">
      <w:pPr>
        <w:spacing w:line="360" w:lineRule="auto"/>
        <w:ind w:firstLine="240"/>
        <w:jc w:val="both"/>
      </w:pPr>
      <w:r w:rsidRPr="003E0CD0">
        <w:rPr>
          <w:rFonts w:ascii="Book Antiqua" w:eastAsia="Book Antiqua" w:hAnsi="Book Antiqua" w:cs="Book Antiqua"/>
          <w:color w:val="000000"/>
        </w:rPr>
        <w:t>If feasible (</w:t>
      </w:r>
      <w:r w:rsidRPr="003E0CD0">
        <w:rPr>
          <w:rFonts w:ascii="Book Antiqua" w:eastAsia="Book Antiqua" w:hAnsi="Book Antiqua" w:cs="Book Antiqua"/>
          <w:i/>
          <w:iCs/>
          <w:color w:val="000000"/>
        </w:rPr>
        <w:t>i.e.</w:t>
      </w:r>
      <w:r w:rsidR="00AE1B87" w:rsidRPr="003E0CD0">
        <w:rPr>
          <w:rFonts w:ascii="Book Antiqua" w:eastAsia="Book Antiqua" w:hAnsi="Book Antiqua" w:cs="Book Antiqua"/>
          <w:i/>
          <w:iCs/>
          <w:color w:val="000000"/>
        </w:rPr>
        <w:t>,</w:t>
      </w:r>
      <w:r w:rsidRPr="003E0CD0">
        <w:rPr>
          <w:rFonts w:ascii="Book Antiqua" w:eastAsia="Book Antiqua" w:hAnsi="Book Antiqua" w:cs="Book Antiqua"/>
          <w:color w:val="000000"/>
        </w:rPr>
        <w:t xml:space="preserve"> absence of active bleeding), the so called acoustic Doppler mapping technique, by the use of a through-the-scope endoscopic Doppler ultrasound (DopUS) probe to delineate the subsurface route and path of the pathologically large-caliber artery, may be performed prior to endoscopic treatment, in order to treat the entire length of the superficially located artery, thus maximizing its efficacy. Furthermore, following endoscopic hemostasis achievement, the DopUS may be used to show the blood flow cessation, thus proving the successful eradication of the lesion</w:t>
      </w:r>
      <w:r w:rsidRPr="003E0CD0">
        <w:rPr>
          <w:rFonts w:ascii="Book Antiqua" w:eastAsia="Book Antiqua" w:hAnsi="Book Antiqua" w:cs="Book Antiqua"/>
          <w:color w:val="000000"/>
          <w:vertAlign w:val="superscript"/>
        </w:rPr>
        <w:t>[71]</w:t>
      </w:r>
      <w:r w:rsidRPr="003E0CD0">
        <w:rPr>
          <w:rFonts w:ascii="Book Antiqua" w:eastAsia="Book Antiqua" w:hAnsi="Book Antiqua" w:cs="Book Antiqua"/>
          <w:color w:val="000000"/>
        </w:rPr>
        <w:t>.</w:t>
      </w:r>
    </w:p>
    <w:p w14:paraId="0FCE45B9" w14:textId="118DC99D" w:rsidR="00A77B3E" w:rsidRPr="003E0CD0" w:rsidRDefault="00000000">
      <w:pPr>
        <w:spacing w:line="360" w:lineRule="auto"/>
        <w:ind w:firstLine="240"/>
        <w:jc w:val="both"/>
      </w:pPr>
      <w:r w:rsidRPr="003E0CD0">
        <w:rPr>
          <w:rFonts w:ascii="Book Antiqua" w:eastAsia="Book Antiqua" w:hAnsi="Book Antiqua" w:cs="Book Antiqua"/>
          <w:color w:val="000000"/>
        </w:rPr>
        <w:t>Worth mentioning, endoscopic tattooing of the DL site should also be performed, in order to facilitate endoscopic or surgical localization in case of rebleeding occurrence</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Intriguingly, various EUS-guided treatments have been reported with good outcomes among case reports and small case series, mainly in the setting of DL refractory to standard endoscopic hemostasis. As previously mentioned, despite standard endoscopic treatment, complete ablation of a DL may be accurately evaluated at the end of treatment by Doppler EUS showing the absence of blood flow in the targeted vessel. However, up to date, evidence is still anecdotal and their adoption should be limited to referral centers in a research context</w:t>
      </w:r>
      <w:r w:rsidRPr="003E0CD0">
        <w:rPr>
          <w:rFonts w:ascii="Book Antiqua" w:eastAsia="Book Antiqua" w:hAnsi="Book Antiqua" w:cs="Book Antiqua"/>
          <w:color w:val="000000"/>
          <w:vertAlign w:val="superscript"/>
        </w:rPr>
        <w:t>[72]</w:t>
      </w:r>
      <w:r w:rsidRPr="003E0CD0">
        <w:rPr>
          <w:rFonts w:ascii="Book Antiqua" w:eastAsia="Book Antiqua" w:hAnsi="Book Antiqua" w:cs="Book Antiqua"/>
          <w:color w:val="000000"/>
        </w:rPr>
        <w:t xml:space="preserve">. TAE represents a useful second-line treatment modality, whereas </w:t>
      </w:r>
      <w:r w:rsidRPr="003E0CD0">
        <w:rPr>
          <w:rFonts w:ascii="Book Antiqua" w:eastAsia="Book Antiqua" w:hAnsi="Book Antiqua" w:cs="Book Antiqua"/>
          <w:color w:val="000000"/>
        </w:rPr>
        <w:lastRenderedPageBreak/>
        <w:t>surgical wedge resection has currently become the last resort for uncontrolled or unidentified DL bleeding</w:t>
      </w:r>
      <w:r w:rsidRPr="003E0CD0">
        <w:rPr>
          <w:rFonts w:ascii="Book Antiqua" w:eastAsia="Book Antiqua" w:hAnsi="Book Antiqua" w:cs="Book Antiqua"/>
          <w:color w:val="000000"/>
          <w:vertAlign w:val="superscript"/>
        </w:rPr>
        <w:t>[58,59]</w:t>
      </w:r>
      <w:r w:rsidRPr="003E0CD0">
        <w:rPr>
          <w:rFonts w:ascii="Book Antiqua" w:eastAsia="Book Antiqua" w:hAnsi="Book Antiqua" w:cs="Book Antiqua"/>
          <w:color w:val="000000"/>
        </w:rPr>
        <w:t>. A case of DL is shown in Figure 4.</w:t>
      </w:r>
    </w:p>
    <w:p w14:paraId="77558878" w14:textId="77777777" w:rsidR="00A77B3E" w:rsidRPr="003E0CD0" w:rsidRDefault="00A77B3E" w:rsidP="00AE1B87">
      <w:pPr>
        <w:spacing w:line="360" w:lineRule="auto"/>
        <w:jc w:val="both"/>
      </w:pPr>
    </w:p>
    <w:p w14:paraId="276161A0" w14:textId="77777777" w:rsidR="00A77B3E" w:rsidRPr="003E0CD0" w:rsidRDefault="00000000">
      <w:pPr>
        <w:spacing w:line="360" w:lineRule="auto"/>
        <w:jc w:val="both"/>
      </w:pPr>
      <w:r w:rsidRPr="003E0CD0">
        <w:rPr>
          <w:rFonts w:ascii="Book Antiqua" w:eastAsia="Book Antiqua" w:hAnsi="Book Antiqua" w:cs="Book Antiqua"/>
          <w:b/>
          <w:bCs/>
          <w:i/>
          <w:iCs/>
          <w:color w:val="000000"/>
        </w:rPr>
        <w:t>Cameron lesions</w:t>
      </w:r>
    </w:p>
    <w:p w14:paraId="5DEAFEAE" w14:textId="37CE001F" w:rsidR="00A77B3E" w:rsidRPr="003E0CD0" w:rsidRDefault="00000000">
      <w:pPr>
        <w:spacing w:line="360" w:lineRule="auto"/>
        <w:jc w:val="both"/>
      </w:pPr>
      <w:r w:rsidRPr="003E0CD0">
        <w:rPr>
          <w:rFonts w:ascii="Book Antiqua" w:eastAsia="Book Antiqua" w:hAnsi="Book Antiqua" w:cs="Book Antiqua"/>
          <w:color w:val="000000"/>
        </w:rPr>
        <w:t>Initially reported by Truesdale</w:t>
      </w:r>
      <w:r w:rsidR="00AE1B87" w:rsidRPr="003E0CD0">
        <w:rPr>
          <w:rFonts w:ascii="Book Antiqua" w:eastAsia="Book Antiqua" w:hAnsi="Book Antiqua" w:cs="Book Antiqua"/>
          <w:color w:val="000000"/>
          <w:vertAlign w:val="superscript"/>
        </w:rPr>
        <w:t>[73]</w:t>
      </w:r>
      <w:r w:rsidRPr="003E0CD0">
        <w:rPr>
          <w:rFonts w:ascii="Book Antiqua" w:eastAsia="Book Antiqua" w:hAnsi="Book Antiqua" w:cs="Book Antiqua"/>
          <w:color w:val="000000"/>
        </w:rPr>
        <w:t xml:space="preserve"> in 1924</w:t>
      </w:r>
      <w:r w:rsidRPr="003E0CD0">
        <w:rPr>
          <w:rFonts w:ascii="Book Antiqua" w:eastAsia="Book Antiqua" w:hAnsi="Book Antiqua" w:cs="Book Antiqua"/>
          <w:b/>
          <w:bCs/>
          <w:color w:val="000000"/>
        </w:rPr>
        <w:t xml:space="preserve"> </w:t>
      </w:r>
      <w:r w:rsidRPr="003E0CD0">
        <w:rPr>
          <w:rFonts w:ascii="Book Antiqua" w:eastAsia="Book Antiqua" w:hAnsi="Book Antiqua" w:cs="Book Antiqua"/>
          <w:color w:val="000000"/>
        </w:rPr>
        <w:t>and subsequently extensively illustrated by Cameron</w:t>
      </w:r>
      <w:r w:rsidR="00AE1B87" w:rsidRPr="003E0CD0">
        <w:rPr>
          <w:rFonts w:ascii="Book Antiqua" w:eastAsia="Book Antiqua" w:hAnsi="Book Antiqua" w:cs="Book Antiqua"/>
          <w:color w:val="000000"/>
          <w:vertAlign w:val="superscript"/>
        </w:rPr>
        <w:t>[74]</w:t>
      </w:r>
      <w:r w:rsidRPr="003E0CD0">
        <w:rPr>
          <w:rFonts w:ascii="Book Antiqua" w:eastAsia="Book Antiqua" w:hAnsi="Book Antiqua" w:cs="Book Antiqua"/>
          <w:color w:val="000000"/>
        </w:rPr>
        <w:t xml:space="preserve"> in 1976, Cameron lesions (CL) refer to</w:t>
      </w:r>
      <w:r w:rsidRPr="003E0CD0">
        <w:rPr>
          <w:rFonts w:ascii="Book Antiqua" w:eastAsia="Book Antiqua" w:hAnsi="Book Antiqua" w:cs="Book Antiqua"/>
          <w:b/>
          <w:bCs/>
          <w:color w:val="000000"/>
        </w:rPr>
        <w:t xml:space="preserve"> </w:t>
      </w:r>
      <w:r w:rsidRPr="003E0CD0">
        <w:rPr>
          <w:rFonts w:ascii="Book Antiqua" w:eastAsia="Book Antiqua" w:hAnsi="Book Antiqua" w:cs="Book Antiqua"/>
          <w:color w:val="000000"/>
        </w:rPr>
        <w:t>linear gastric erosions or ulcerations located on the mucosal folds at the distal neck of a hiatal hernia (HH), in close</w:t>
      </w:r>
      <w:r w:rsidRPr="003E0CD0">
        <w:rPr>
          <w:rFonts w:ascii="Book Antiqua" w:eastAsia="Book Antiqua" w:hAnsi="Book Antiqua" w:cs="Book Antiqua"/>
          <w:b/>
          <w:bCs/>
          <w:color w:val="000000"/>
        </w:rPr>
        <w:t xml:space="preserve"> </w:t>
      </w:r>
      <w:r w:rsidRPr="003E0CD0">
        <w:rPr>
          <w:rFonts w:ascii="Book Antiqua" w:eastAsia="Book Antiqua" w:hAnsi="Book Antiqua" w:cs="Book Antiqua"/>
          <w:color w:val="000000"/>
        </w:rPr>
        <w:t>proximity to the diaphragmatic impression. CL are thought to occur as a result of mechanical trauma and local ischemia, secondary to repetitive movement of the hernia sac against the diaphragm during respiratory excursions, and acid injury</w:t>
      </w:r>
      <w:r w:rsidRPr="003E0CD0">
        <w:rPr>
          <w:rFonts w:ascii="Book Antiqua" w:eastAsia="Book Antiqua" w:hAnsi="Book Antiqua" w:cs="Book Antiqua"/>
          <w:color w:val="000000"/>
          <w:vertAlign w:val="superscript"/>
        </w:rPr>
        <w:t>[75]</w:t>
      </w:r>
      <w:r w:rsidRPr="003E0CD0">
        <w:rPr>
          <w:rFonts w:ascii="Book Antiqua" w:eastAsia="Book Antiqua" w:hAnsi="Book Antiqua" w:cs="Book Antiqua"/>
          <w:color w:val="000000"/>
        </w:rPr>
        <w:t>. Their estimated prevalence is between 3% and 5% in the presence of a HH, reaching up to 10%-20% among patients with large HH</w:t>
      </w:r>
      <w:r w:rsidRPr="003E0CD0">
        <w:rPr>
          <w:rFonts w:ascii="Book Antiqua" w:eastAsia="Book Antiqua" w:hAnsi="Book Antiqua" w:cs="Book Antiqua"/>
          <w:b/>
          <w:bCs/>
          <w:color w:val="000000"/>
        </w:rPr>
        <w:t xml:space="preserve"> </w:t>
      </w:r>
      <w:r w:rsidRPr="003E0CD0">
        <w:rPr>
          <w:rFonts w:ascii="Book Antiqua" w:eastAsia="Book Antiqua" w:hAnsi="Book Antiqua" w:cs="Book Antiqua"/>
          <w:color w:val="000000"/>
        </w:rPr>
        <w:t>(&gt;</w:t>
      </w:r>
      <w:r w:rsidR="00A72427"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5 cm)</w:t>
      </w:r>
      <w:r w:rsidRPr="003E0CD0">
        <w:rPr>
          <w:rFonts w:ascii="Book Antiqua" w:eastAsia="Book Antiqua" w:hAnsi="Book Antiqua" w:cs="Book Antiqua"/>
          <w:color w:val="000000"/>
          <w:vertAlign w:val="superscript"/>
        </w:rPr>
        <w:t>[76-78]</w:t>
      </w:r>
      <w:r w:rsidRPr="003E0CD0">
        <w:rPr>
          <w:rFonts w:ascii="Book Antiqua" w:eastAsia="Book Antiqua" w:hAnsi="Book Antiqua" w:cs="Book Antiqua"/>
          <w:color w:val="000000"/>
        </w:rPr>
        <w:t>. Moreover, they have been reported to be the source of overt UGIB in 0.2% of cases</w:t>
      </w:r>
      <w:r w:rsidRPr="003E0CD0">
        <w:rPr>
          <w:rFonts w:ascii="Book Antiqua" w:eastAsia="Book Antiqua" w:hAnsi="Book Antiqua" w:cs="Book Antiqua"/>
          <w:color w:val="000000"/>
          <w:vertAlign w:val="superscript"/>
        </w:rPr>
        <w:t>[79]</w:t>
      </w:r>
      <w:r w:rsidRPr="003E0CD0">
        <w:rPr>
          <w:rFonts w:ascii="Book Antiqua" w:eastAsia="Book Antiqua" w:hAnsi="Book Antiqua" w:cs="Book Antiqua"/>
          <w:color w:val="000000"/>
        </w:rPr>
        <w:t>.</w:t>
      </w:r>
    </w:p>
    <w:p w14:paraId="1B3944F6" w14:textId="6D8E5670" w:rsidR="00A77B3E" w:rsidRPr="003E0CD0" w:rsidRDefault="00000000">
      <w:pPr>
        <w:spacing w:line="360" w:lineRule="auto"/>
        <w:ind w:firstLine="240"/>
        <w:jc w:val="both"/>
      </w:pPr>
      <w:r w:rsidRPr="003E0CD0">
        <w:rPr>
          <w:rFonts w:ascii="Book Antiqua" w:eastAsia="Book Antiqua" w:hAnsi="Book Antiqua" w:cs="Book Antiqua"/>
          <w:color w:val="000000"/>
        </w:rPr>
        <w:t>Although commonly incidentally diagnosed during EGD, CL may clinically present with either acute or chronic NVUGIB</w:t>
      </w:r>
      <w:r w:rsidRPr="003E0CD0">
        <w:rPr>
          <w:rFonts w:ascii="Book Antiqua" w:eastAsia="Book Antiqua" w:hAnsi="Book Antiqua" w:cs="Book Antiqua"/>
          <w:color w:val="000000"/>
          <w:vertAlign w:val="superscript"/>
        </w:rPr>
        <w:t>[75,80]</w:t>
      </w:r>
      <w:r w:rsidRPr="003E0CD0">
        <w:rPr>
          <w:rFonts w:ascii="Book Antiqua" w:eastAsia="Book Antiqua" w:hAnsi="Book Antiqua" w:cs="Book Antiqua"/>
          <w:color w:val="000000"/>
        </w:rPr>
        <w:t>. EGD is considered the gold standard for the diagnosis of CL. However, they may often be missed at the index EGD</w:t>
      </w:r>
      <w:r w:rsidRPr="003E0CD0">
        <w:rPr>
          <w:rFonts w:ascii="Book Antiqua" w:eastAsia="Book Antiqua" w:hAnsi="Book Antiqua" w:cs="Book Antiqua"/>
          <w:color w:val="000000"/>
          <w:vertAlign w:val="superscript"/>
        </w:rPr>
        <w:t>[81,82]</w:t>
      </w:r>
      <w:r w:rsidRPr="003E0CD0">
        <w:rPr>
          <w:rFonts w:ascii="Book Antiqua" w:eastAsia="Book Antiqua" w:hAnsi="Book Antiqua" w:cs="Book Antiqua"/>
          <w:color w:val="000000"/>
        </w:rPr>
        <w:t>. Meticulous endoscopic evaluation of the HH neck and sac, especially in a retroflexed view, is thus required.</w:t>
      </w:r>
    </w:p>
    <w:p w14:paraId="7F174C7B" w14:textId="18C735A9" w:rsidR="00A77B3E" w:rsidRPr="003E0CD0" w:rsidRDefault="00000000">
      <w:pPr>
        <w:spacing w:line="360" w:lineRule="auto"/>
        <w:ind w:firstLine="240"/>
        <w:jc w:val="both"/>
      </w:pPr>
      <w:r w:rsidRPr="003E0CD0">
        <w:rPr>
          <w:rFonts w:ascii="Book Antiqua" w:eastAsia="Book Antiqua" w:hAnsi="Book Antiqua" w:cs="Book Antiqua"/>
          <w:color w:val="000000"/>
        </w:rPr>
        <w:t>Although technically demanding, due to CL anatomical location requiring a retroflexed position and the movement of the HH sac with respiration, endoscopic hemostasis is indicated in case of active bleeding, visible vessel or adherent clot, similarly to peptic ulcers. Injection of epinephrine, thermal contact therapy, clipping and band ligation may be adopted</w:t>
      </w:r>
      <w:r w:rsidRPr="003E0CD0">
        <w:rPr>
          <w:rFonts w:ascii="Book Antiqua" w:eastAsia="Book Antiqua" w:hAnsi="Book Antiqua" w:cs="Book Antiqua"/>
          <w:color w:val="000000"/>
          <w:vertAlign w:val="superscript"/>
        </w:rPr>
        <w:t>[14,83,13]</w:t>
      </w:r>
      <w:r w:rsidRPr="003E0CD0">
        <w:rPr>
          <w:rFonts w:ascii="Book Antiqua" w:eastAsia="Book Antiqua" w:hAnsi="Book Antiqua" w:cs="Book Antiqua"/>
          <w:color w:val="000000"/>
        </w:rPr>
        <w:t>. However, because of the thin wall and the lack of fibrous support tissue in the gastroesophageal junction, caution is needed when attempting endoscopic therapy, given the potential risk of deep ulcer or perforation</w:t>
      </w:r>
      <w:r w:rsidRPr="003E0CD0">
        <w:rPr>
          <w:rFonts w:ascii="Book Antiqua" w:eastAsia="Book Antiqua" w:hAnsi="Book Antiqua" w:cs="Book Antiqua"/>
          <w:color w:val="000000"/>
          <w:vertAlign w:val="superscript"/>
        </w:rPr>
        <w:t>[15,75]</w:t>
      </w:r>
      <w:r w:rsidRPr="003E0CD0">
        <w:rPr>
          <w:rFonts w:ascii="Book Antiqua" w:eastAsia="Book Antiqua" w:hAnsi="Book Antiqua" w:cs="Book Antiqua"/>
          <w:color w:val="000000"/>
        </w:rPr>
        <w:t>. Finally, a surgical approach with laparoscopic or open fundoplication should be considered in patients with refractory or recurrent CL bleeding</w:t>
      </w:r>
      <w:r w:rsidRPr="003E0CD0">
        <w:rPr>
          <w:rFonts w:ascii="Book Antiqua" w:eastAsia="Book Antiqua" w:hAnsi="Book Antiqua" w:cs="Book Antiqua"/>
          <w:color w:val="000000"/>
          <w:vertAlign w:val="superscript"/>
        </w:rPr>
        <w:t>[75,80]</w:t>
      </w:r>
      <w:r w:rsidRPr="003E0CD0">
        <w:rPr>
          <w:rFonts w:ascii="Book Antiqua" w:eastAsia="Book Antiqua" w:hAnsi="Book Antiqua" w:cs="Book Antiqua"/>
          <w:color w:val="000000"/>
        </w:rPr>
        <w:t>. A case of CL is shown in Figure 5.</w:t>
      </w:r>
    </w:p>
    <w:p w14:paraId="3BDE16F3" w14:textId="77777777" w:rsidR="00A77B3E" w:rsidRPr="003E0CD0" w:rsidRDefault="00A77B3E" w:rsidP="00A72427">
      <w:pPr>
        <w:spacing w:line="360" w:lineRule="auto"/>
        <w:jc w:val="both"/>
      </w:pPr>
    </w:p>
    <w:p w14:paraId="52234350" w14:textId="30C4CCA8" w:rsidR="00A77B3E" w:rsidRPr="003E0CD0" w:rsidRDefault="00000000">
      <w:pPr>
        <w:spacing w:line="360" w:lineRule="auto"/>
        <w:jc w:val="both"/>
      </w:pPr>
      <w:r w:rsidRPr="003E0CD0">
        <w:rPr>
          <w:rFonts w:ascii="Book Antiqua" w:eastAsia="Book Antiqua" w:hAnsi="Book Antiqua" w:cs="Book Antiqua"/>
          <w:b/>
          <w:bCs/>
          <w:i/>
          <w:iCs/>
          <w:color w:val="000000"/>
        </w:rPr>
        <w:t>H</w:t>
      </w:r>
      <w:r w:rsidR="00A72427" w:rsidRPr="003E0CD0">
        <w:rPr>
          <w:rFonts w:ascii="Book Antiqua" w:eastAsia="Book Antiqua" w:hAnsi="Book Antiqua" w:cs="Book Antiqua"/>
          <w:b/>
          <w:bCs/>
          <w:i/>
          <w:iCs/>
          <w:color w:val="000000"/>
        </w:rPr>
        <w:t>P</w:t>
      </w:r>
    </w:p>
    <w:p w14:paraId="2DDA4881" w14:textId="2DFF973A" w:rsidR="00A77B3E" w:rsidRPr="003E0CD0" w:rsidRDefault="00000000">
      <w:pPr>
        <w:spacing w:line="360" w:lineRule="auto"/>
        <w:jc w:val="both"/>
      </w:pPr>
      <w:r w:rsidRPr="003E0CD0">
        <w:rPr>
          <w:rFonts w:ascii="Book Antiqua" w:eastAsia="Book Antiqua" w:hAnsi="Book Antiqua" w:cs="Book Antiqua"/>
          <w:color w:val="000000"/>
        </w:rPr>
        <w:lastRenderedPageBreak/>
        <w:t>First described in 1931 by Lower and Farrell</w:t>
      </w:r>
      <w:r w:rsidRPr="003E0CD0">
        <w:rPr>
          <w:rFonts w:ascii="Book Antiqua" w:eastAsia="Book Antiqua" w:hAnsi="Book Antiqua" w:cs="Book Antiqua"/>
          <w:color w:val="000000"/>
          <w:vertAlign w:val="superscript"/>
        </w:rPr>
        <w:t>[84]</w:t>
      </w:r>
      <w:r w:rsidRPr="003E0CD0">
        <w:rPr>
          <w:rFonts w:ascii="Book Antiqua" w:eastAsia="Book Antiqua" w:hAnsi="Book Antiqua" w:cs="Book Antiqua"/>
          <w:color w:val="000000"/>
        </w:rPr>
        <w:t>, HP is an exceptionally rare cause of potentially fatal NVUGIB, with a reported incidence of about one in 1500 cases</w:t>
      </w:r>
      <w:r w:rsidRPr="003E0CD0">
        <w:rPr>
          <w:rFonts w:ascii="Book Antiqua" w:eastAsia="Book Antiqua" w:hAnsi="Book Antiqua" w:cs="Book Antiqua"/>
          <w:color w:val="000000"/>
          <w:vertAlign w:val="superscript"/>
        </w:rPr>
        <w:t>[85]</w:t>
      </w:r>
      <w:r w:rsidRPr="003E0CD0">
        <w:rPr>
          <w:rFonts w:ascii="Book Antiqua" w:eastAsia="Book Antiqua" w:hAnsi="Book Antiqua" w:cs="Book Antiqua"/>
          <w:color w:val="000000"/>
        </w:rPr>
        <w:t>. Also referred to as pseudohemobilia or wirsungorrhagia, the term HP was coined in 1970 by Sandblom</w:t>
      </w:r>
      <w:r w:rsidRPr="003E0CD0">
        <w:rPr>
          <w:rFonts w:ascii="Book Antiqua" w:eastAsia="Book Antiqua" w:hAnsi="Book Antiqua" w:cs="Book Antiqua"/>
          <w:color w:val="000000"/>
          <w:vertAlign w:val="superscript"/>
        </w:rPr>
        <w:t>[8</w:t>
      </w:r>
      <w:r w:rsidR="009B320A" w:rsidRPr="003E0CD0">
        <w:rPr>
          <w:rFonts w:ascii="Book Antiqua" w:eastAsia="Book Antiqua" w:hAnsi="Book Antiqua" w:cs="Book Antiqua"/>
          <w:color w:val="000000"/>
          <w:vertAlign w:val="superscript"/>
        </w:rPr>
        <w:t>6</w:t>
      </w:r>
      <w:r w:rsidRPr="003E0CD0">
        <w:rPr>
          <w:rFonts w:ascii="Book Antiqua" w:eastAsia="Book Antiqua" w:hAnsi="Book Antiqua" w:cs="Book Antiqua"/>
          <w:color w:val="000000"/>
          <w:vertAlign w:val="superscript"/>
        </w:rPr>
        <w:t>]</w:t>
      </w:r>
      <w:r w:rsidRPr="003E0CD0">
        <w:rPr>
          <w:rFonts w:ascii="Book Antiqua" w:eastAsia="Book Antiqua" w:hAnsi="Book Antiqua" w:cs="Book Antiqua"/>
          <w:color w:val="000000"/>
        </w:rPr>
        <w:t xml:space="preserve">. It is defined as bleeding within the pancreatic duct exteriorizing through the major duodenal papilla. Of note, hemorrhage can also occur </w:t>
      </w:r>
      <w:r w:rsidRPr="003E0CD0">
        <w:rPr>
          <w:rFonts w:ascii="Book Antiqua" w:eastAsia="Book Antiqua" w:hAnsi="Book Antiqua" w:cs="Book Antiqua"/>
          <w:i/>
          <w:iCs/>
          <w:color w:val="000000"/>
        </w:rPr>
        <w:t>via</w:t>
      </w:r>
      <w:r w:rsidRPr="003E0CD0">
        <w:rPr>
          <w:rFonts w:ascii="Book Antiqua" w:eastAsia="Book Antiqua" w:hAnsi="Book Antiqua" w:cs="Book Antiqua"/>
          <w:color w:val="000000"/>
        </w:rPr>
        <w:t xml:space="preserve"> the minor duodenal papilla, also known as santorinirrhage, in case of pancreas divisum. The reported mortality rate of HP is high, reaching up to approximately 10%</w:t>
      </w:r>
      <w:r w:rsidRPr="003E0CD0">
        <w:rPr>
          <w:rFonts w:ascii="Book Antiqua" w:eastAsia="Book Antiqua" w:hAnsi="Book Antiqua" w:cs="Book Antiqua"/>
          <w:color w:val="000000"/>
          <w:vertAlign w:val="superscript"/>
        </w:rPr>
        <w:t>[85]</w:t>
      </w:r>
      <w:r w:rsidRPr="003E0CD0">
        <w:rPr>
          <w:rFonts w:ascii="Book Antiqua" w:eastAsia="Book Antiqua" w:hAnsi="Book Antiqua" w:cs="Book Antiqua"/>
          <w:color w:val="000000"/>
        </w:rPr>
        <w:t>. If untreated, the mortality rate may increase up to 90%</w:t>
      </w:r>
      <w:r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rPr>
        <w:t>.</w:t>
      </w:r>
    </w:p>
    <w:p w14:paraId="2A1C3AAE" w14:textId="3CBF632B" w:rsidR="00A77B3E" w:rsidRPr="003E0CD0" w:rsidRDefault="00000000">
      <w:pPr>
        <w:spacing w:line="360" w:lineRule="auto"/>
        <w:ind w:firstLine="240"/>
        <w:jc w:val="both"/>
      </w:pPr>
      <w:r w:rsidRPr="003E0CD0">
        <w:rPr>
          <w:rFonts w:ascii="Book Antiqua" w:eastAsia="Book Antiqua" w:hAnsi="Book Antiqua" w:cs="Book Antiqua"/>
          <w:color w:val="000000"/>
        </w:rPr>
        <w:t>HP is commonly observed among patients with an history of pancreatic diseases, mainly including acute or CP and less frequently pancreatic neoplasms</w:t>
      </w:r>
      <w:r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rPr>
        <w:t>. The most common cause of HP is ruptured VAPA</w:t>
      </w:r>
      <w:r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rPr>
        <w:t>. Indeed, VAPA formation and rupture in the setting of pancreatitis, are thought to be secondary to local leakage of proteolytic enzymes with destruction of the arterial wall. Alternatively, they may also result from erosion of nearby pseudocysts or walled-off necrosis into adjacent arteries</w:t>
      </w:r>
      <w:r w:rsidRPr="003E0CD0">
        <w:rPr>
          <w:rFonts w:ascii="Book Antiqua" w:eastAsia="Book Antiqua" w:hAnsi="Book Antiqua" w:cs="Book Antiqua"/>
          <w:color w:val="000000"/>
          <w:vertAlign w:val="superscript"/>
        </w:rPr>
        <w:t>[88]</w:t>
      </w:r>
      <w:r w:rsidRPr="003E0CD0">
        <w:rPr>
          <w:rFonts w:ascii="Book Antiqua" w:eastAsia="Book Antiqua" w:hAnsi="Book Antiqua" w:cs="Book Antiqua"/>
          <w:color w:val="000000"/>
        </w:rPr>
        <w:t>. Given its close anatomical relationship with the pancreas, SA is the most common involved site of pseudoaneurysm, followed by the GDA, the PDA, and the HA</w:t>
      </w:r>
      <w:r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rPr>
        <w:t>. Less common causes of HP include pancreatic neoplasms, pseudocysts, pancreas divisum, vascular malformations, TVAA, and traumatic or iatrogenic injuries, including endoscopic retrograde cholangiopancreatography (ERCP) and EUS interventional procedures</w:t>
      </w:r>
      <w:r w:rsidRPr="003E0CD0">
        <w:rPr>
          <w:rFonts w:ascii="Book Antiqua" w:eastAsia="Book Antiqua" w:hAnsi="Book Antiqua" w:cs="Book Antiqua"/>
          <w:color w:val="000000"/>
          <w:vertAlign w:val="superscript"/>
        </w:rPr>
        <w:t>[87,88]</w:t>
      </w:r>
      <w:r w:rsidRPr="003E0CD0">
        <w:rPr>
          <w:rFonts w:ascii="Book Antiqua" w:eastAsia="Book Antiqua" w:hAnsi="Book Antiqua" w:cs="Book Antiqua"/>
          <w:color w:val="000000"/>
        </w:rPr>
        <w:t>.</w:t>
      </w:r>
    </w:p>
    <w:p w14:paraId="1803F96F" w14:textId="67C0CFAE" w:rsidR="00A77B3E" w:rsidRPr="003E0CD0" w:rsidRDefault="00000000">
      <w:pPr>
        <w:spacing w:line="360" w:lineRule="auto"/>
        <w:ind w:firstLine="240"/>
        <w:jc w:val="both"/>
      </w:pPr>
      <w:r w:rsidRPr="003E0CD0">
        <w:rPr>
          <w:rFonts w:ascii="Book Antiqua" w:eastAsia="Book Antiqua" w:hAnsi="Book Antiqua" w:cs="Book Antiqua"/>
          <w:color w:val="000000"/>
        </w:rPr>
        <w:t>The classical Sandblom</w:t>
      </w:r>
      <w:r w:rsidR="00A72427" w:rsidRPr="003E0CD0">
        <w:rPr>
          <w:rFonts w:ascii="Book Antiqua" w:eastAsia="Book Antiqua" w:hAnsi="Book Antiqua" w:cs="Book Antiqua"/>
          <w:color w:val="000000"/>
        </w:rPr>
        <w:t>’</w:t>
      </w:r>
      <w:r w:rsidRPr="003E0CD0">
        <w:rPr>
          <w:rFonts w:ascii="Book Antiqua" w:eastAsia="Book Antiqua" w:hAnsi="Book Antiqua" w:cs="Book Antiqua"/>
          <w:color w:val="000000"/>
        </w:rPr>
        <w:t>s triad of clinical presentation associated with HP consists of abdominal pain radiating to the back, intermittent UGIB manifesting as melena, hematemesis, and rarely, hematochezia, and hyperamylasemia</w:t>
      </w:r>
      <w:r w:rsidRPr="003E0CD0">
        <w:rPr>
          <w:rFonts w:ascii="Book Antiqua" w:eastAsia="Book Antiqua" w:hAnsi="Book Antiqua" w:cs="Book Antiqua"/>
          <w:color w:val="000000"/>
          <w:vertAlign w:val="superscript"/>
        </w:rPr>
        <w:t>[8</w:t>
      </w:r>
      <w:r w:rsidR="009B320A" w:rsidRPr="003E0CD0">
        <w:rPr>
          <w:rFonts w:ascii="Book Antiqua" w:eastAsia="Book Antiqua" w:hAnsi="Book Antiqua" w:cs="Book Antiqua"/>
          <w:color w:val="000000"/>
          <w:vertAlign w:val="superscript"/>
        </w:rPr>
        <w:t>6</w:t>
      </w:r>
      <w:r w:rsidRPr="003E0CD0">
        <w:rPr>
          <w:rFonts w:ascii="Book Antiqua" w:eastAsia="Book Antiqua" w:hAnsi="Book Antiqua" w:cs="Book Antiqua"/>
          <w:color w:val="000000"/>
          <w:vertAlign w:val="superscript"/>
        </w:rPr>
        <w:t>]</w:t>
      </w:r>
      <w:r w:rsidRPr="003E0CD0">
        <w:rPr>
          <w:rFonts w:ascii="Book Antiqua" w:eastAsia="Book Antiqua" w:hAnsi="Book Antiqua" w:cs="Book Antiqua"/>
          <w:color w:val="000000"/>
        </w:rPr>
        <w:t>. Pain is secondary to transient increase in intraductal pancreatic pressure due pancreatic duct obstruction from blood clot. It is alleviated following bleeding episodes, due to clots clearance. Icterus from retrograde biliary obstruction may also occur</w:t>
      </w:r>
      <w:r w:rsidRPr="003E0CD0">
        <w:rPr>
          <w:rFonts w:ascii="Book Antiqua" w:eastAsia="Book Antiqua" w:hAnsi="Book Antiqua" w:cs="Book Antiqua"/>
          <w:color w:val="000000"/>
          <w:vertAlign w:val="superscript"/>
        </w:rPr>
        <w:t>[88]</w:t>
      </w:r>
      <w:r w:rsidRPr="003E0CD0">
        <w:rPr>
          <w:rFonts w:ascii="Book Antiqua" w:eastAsia="Book Antiqua" w:hAnsi="Book Antiqua" w:cs="Book Antiqua"/>
          <w:color w:val="000000"/>
        </w:rPr>
        <w:t>.</w:t>
      </w:r>
    </w:p>
    <w:p w14:paraId="6B84D117" w14:textId="1286196D" w:rsidR="00A77B3E" w:rsidRPr="003E0CD0" w:rsidRDefault="00000000">
      <w:pPr>
        <w:spacing w:line="360" w:lineRule="auto"/>
        <w:ind w:firstLine="240"/>
        <w:jc w:val="both"/>
      </w:pPr>
      <w:r w:rsidRPr="003E0CD0">
        <w:rPr>
          <w:rFonts w:ascii="Book Antiqua" w:eastAsia="Book Antiqua" w:hAnsi="Book Antiqua" w:cs="Book Antiqua"/>
          <w:color w:val="000000"/>
        </w:rPr>
        <w:t xml:space="preserve">Diagnosis of HP is challenging, requiring a multidisciplinary and integrative approach. Given the hidden and intermittent nature of the bleeding and its anatomical location, EGD was reported to be able to direct visualize active bleeding </w:t>
      </w:r>
      <w:r w:rsidRPr="003E0CD0">
        <w:rPr>
          <w:rFonts w:ascii="Book Antiqua" w:eastAsia="Book Antiqua" w:hAnsi="Book Antiqua" w:cs="Book Antiqua"/>
          <w:i/>
          <w:iCs/>
          <w:color w:val="000000"/>
        </w:rPr>
        <w:t>via</w:t>
      </w:r>
      <w:r w:rsidRPr="003E0CD0">
        <w:rPr>
          <w:rFonts w:ascii="Book Antiqua" w:eastAsia="Book Antiqua" w:hAnsi="Book Antiqua" w:cs="Book Antiqua"/>
          <w:color w:val="000000"/>
        </w:rPr>
        <w:t xml:space="preserve"> the major duodenal papilla in only about 30</w:t>
      </w:r>
      <w:r w:rsidR="00A72427" w:rsidRPr="003E0CD0">
        <w:rPr>
          <w:rFonts w:ascii="Book Antiqua" w:eastAsia="Book Antiqua" w:hAnsi="Book Antiqua" w:cs="Book Antiqua"/>
          <w:color w:val="000000"/>
        </w:rPr>
        <w:t>%</w:t>
      </w:r>
      <w:r w:rsidRPr="003E0CD0">
        <w:rPr>
          <w:rFonts w:ascii="Book Antiqua" w:eastAsia="Book Antiqua" w:hAnsi="Book Antiqua" w:cs="Book Antiqua"/>
          <w:color w:val="000000"/>
        </w:rPr>
        <w:t>-75% of cases</w:t>
      </w:r>
      <w:r w:rsidRPr="003E0CD0">
        <w:rPr>
          <w:rFonts w:ascii="Book Antiqua" w:eastAsia="Book Antiqua" w:hAnsi="Book Antiqua" w:cs="Book Antiqua"/>
          <w:color w:val="000000"/>
          <w:vertAlign w:val="superscript"/>
        </w:rPr>
        <w:t>[</w:t>
      </w:r>
      <w:r w:rsidR="006D1ACA"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vertAlign w:val="superscript"/>
        </w:rPr>
        <w:t>88]</w:t>
      </w:r>
      <w:r w:rsidRPr="003E0CD0">
        <w:rPr>
          <w:rFonts w:ascii="Book Antiqua" w:eastAsia="Book Antiqua" w:hAnsi="Book Antiqua" w:cs="Book Antiqua"/>
          <w:color w:val="000000"/>
        </w:rPr>
        <w:t xml:space="preserve">. Suspicion for HP should be increased by </w:t>
      </w:r>
      <w:r w:rsidRPr="003E0CD0">
        <w:rPr>
          <w:rFonts w:ascii="Book Antiqua" w:eastAsia="Book Antiqua" w:hAnsi="Book Antiqua" w:cs="Book Antiqua"/>
          <w:color w:val="000000"/>
        </w:rPr>
        <w:lastRenderedPageBreak/>
        <w:t>indirect signs of bleeding, including clots within the duodenum in the absence of an alternative explanation. Furthermore, when HP is suspected, repeated endoscopy and the adjunct of a duodenoscope to properly visualize the major papilla are often necessary to establish the diagnosis</w:t>
      </w:r>
      <w:r w:rsidRPr="003E0CD0">
        <w:rPr>
          <w:rFonts w:ascii="Book Antiqua" w:eastAsia="Book Antiqua" w:hAnsi="Book Antiqua" w:cs="Book Antiqua"/>
          <w:color w:val="000000"/>
          <w:vertAlign w:val="superscript"/>
        </w:rPr>
        <w:t>[87,88]</w:t>
      </w:r>
      <w:r w:rsidRPr="003E0CD0">
        <w:rPr>
          <w:rFonts w:ascii="Book Antiqua" w:eastAsia="Book Antiqua" w:hAnsi="Book Antiqua" w:cs="Book Antiqua"/>
          <w:color w:val="000000"/>
        </w:rPr>
        <w:t>.</w:t>
      </w:r>
    </w:p>
    <w:p w14:paraId="61566148" w14:textId="1CE7C4ED" w:rsidR="00A77B3E" w:rsidRPr="003E0CD0" w:rsidRDefault="00000000">
      <w:pPr>
        <w:spacing w:line="360" w:lineRule="auto"/>
        <w:ind w:firstLine="240"/>
        <w:jc w:val="both"/>
      </w:pPr>
      <w:r w:rsidRPr="003E0CD0">
        <w:rPr>
          <w:rFonts w:ascii="Book Antiqua" w:eastAsia="Book Antiqua" w:hAnsi="Book Antiqua" w:cs="Book Antiqua"/>
          <w:color w:val="000000"/>
        </w:rPr>
        <w:t>ERCP may highlight filling defects within the pancreatic ducts, favoring the diagnosis. However, being associated with potential bleeding worsening and pancreatic duct disruption, and having a limited therapeutic role especially in the setting of ruptured VAPA, ERCP is generally not recommended for the diagnosis and treatment of HP</w:t>
      </w:r>
      <w:r w:rsidRPr="003E0CD0">
        <w:rPr>
          <w:rFonts w:ascii="Book Antiqua" w:eastAsia="Book Antiqua" w:hAnsi="Book Antiqua" w:cs="Book Antiqua"/>
          <w:color w:val="000000"/>
          <w:vertAlign w:val="superscript"/>
        </w:rPr>
        <w:t>[15,89]</w:t>
      </w:r>
      <w:r w:rsidRPr="003E0CD0">
        <w:rPr>
          <w:rFonts w:ascii="Book Antiqua" w:eastAsia="Book Antiqua" w:hAnsi="Book Antiqua" w:cs="Book Antiqua"/>
          <w:color w:val="000000"/>
        </w:rPr>
        <w:t>.</w:t>
      </w:r>
    </w:p>
    <w:p w14:paraId="49DEDFCC" w14:textId="027A88CD" w:rsidR="00A77B3E" w:rsidRPr="003E0CD0" w:rsidRDefault="00000000">
      <w:pPr>
        <w:spacing w:line="360" w:lineRule="auto"/>
        <w:ind w:firstLine="240"/>
        <w:jc w:val="both"/>
      </w:pPr>
      <w:r w:rsidRPr="003E0CD0">
        <w:rPr>
          <w:rFonts w:ascii="Book Antiqua" w:eastAsia="Book Antiqua" w:hAnsi="Book Antiqua" w:cs="Book Antiqua"/>
          <w:color w:val="000000"/>
        </w:rPr>
        <w:t>Intriguingly, EUS has been shown to be a promising tool in the diagnosis of HP, being capable to clearly depict bleeding within the pancreatic duct and its underlying cause</w:t>
      </w:r>
      <w:r w:rsidRPr="003E0CD0">
        <w:rPr>
          <w:rFonts w:ascii="Book Antiqua" w:eastAsia="Book Antiqua" w:hAnsi="Book Antiqua" w:cs="Book Antiqua"/>
          <w:color w:val="000000"/>
          <w:vertAlign w:val="superscript"/>
        </w:rPr>
        <w:t>[90,91]</w:t>
      </w:r>
      <w:r w:rsidRPr="003E0CD0">
        <w:rPr>
          <w:rFonts w:ascii="Book Antiqua" w:eastAsia="Book Antiqua" w:hAnsi="Book Antiqua" w:cs="Book Antiqua"/>
          <w:color w:val="000000"/>
        </w:rPr>
        <w:t>. Among experienced centers, EUS could be performed immediately after EGD in suspected cases, in order to provide prompt diagnosis and treatment.</w:t>
      </w:r>
    </w:p>
    <w:p w14:paraId="063C6A62" w14:textId="0E3F813C" w:rsidR="00A77B3E" w:rsidRPr="003E0CD0" w:rsidRDefault="00000000">
      <w:pPr>
        <w:spacing w:line="360" w:lineRule="auto"/>
        <w:ind w:firstLine="240"/>
        <w:jc w:val="both"/>
      </w:pPr>
      <w:r w:rsidRPr="003E0CD0">
        <w:rPr>
          <w:rFonts w:ascii="Book Antiqua" w:eastAsia="Book Antiqua" w:hAnsi="Book Antiqua" w:cs="Book Antiqua"/>
          <w:color w:val="000000"/>
        </w:rPr>
        <w:t>MDCTA represents a very useful diagnostic tool for HP, providing characterization of the local anatomy, detection of bleeding within the pancreatic duct and its underlying etiology, thus effectively guiding further management in most of cases</w:t>
      </w:r>
      <w:r w:rsidRPr="003E0CD0">
        <w:rPr>
          <w:rFonts w:ascii="Book Antiqua" w:eastAsia="Book Antiqua" w:hAnsi="Book Antiqua" w:cs="Book Antiqua"/>
          <w:color w:val="000000"/>
          <w:vertAlign w:val="superscript"/>
        </w:rPr>
        <w:t>[15,</w:t>
      </w:r>
      <w:r w:rsidR="00726A75"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vertAlign w:val="superscript"/>
        </w:rPr>
        <w:t>88]</w:t>
      </w:r>
      <w:r w:rsidRPr="003E0CD0">
        <w:rPr>
          <w:rFonts w:ascii="Book Antiqua" w:eastAsia="Book Antiqua" w:hAnsi="Book Antiqua" w:cs="Book Antiqua"/>
          <w:color w:val="000000"/>
        </w:rPr>
        <w:t>. On pre-contrast MDCTA, the characteristic feature of clotted blood within the pancreatic duct, known as the sentinel clot sign, may also be observed. However, the diagnostic gold standard for HP is currently represented by DSA</w:t>
      </w:r>
      <w:r w:rsidRPr="003E0CD0">
        <w:rPr>
          <w:rFonts w:ascii="Book Antiqua" w:eastAsia="Book Antiqua" w:hAnsi="Book Antiqua" w:cs="Book Antiqua"/>
          <w:color w:val="000000"/>
          <w:vertAlign w:val="superscript"/>
        </w:rPr>
        <w:t>[</w:t>
      </w:r>
      <w:r w:rsidR="00726A75" w:rsidRPr="003E0CD0">
        <w:rPr>
          <w:rFonts w:ascii="Book Antiqua" w:eastAsia="Book Antiqua" w:hAnsi="Book Antiqua" w:cs="Book Antiqua"/>
          <w:color w:val="000000"/>
          <w:vertAlign w:val="superscript"/>
        </w:rPr>
        <w:t>87,</w:t>
      </w:r>
      <w:r w:rsidRPr="003E0CD0">
        <w:rPr>
          <w:rFonts w:ascii="Book Antiqua" w:eastAsia="Book Antiqua" w:hAnsi="Book Antiqua" w:cs="Book Antiqua"/>
          <w:color w:val="000000"/>
          <w:vertAlign w:val="superscript"/>
        </w:rPr>
        <w:t>88]</w:t>
      </w:r>
      <w:r w:rsidRPr="003E0CD0">
        <w:rPr>
          <w:rFonts w:ascii="Book Antiqua" w:eastAsia="Book Antiqua" w:hAnsi="Book Antiqua" w:cs="Book Antiqua"/>
          <w:color w:val="000000"/>
        </w:rPr>
        <w:t>.</w:t>
      </w:r>
    </w:p>
    <w:p w14:paraId="56C9D9D6"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t>Percutaneous endovascular treatment, mainly by means of TAE, is currently recommended as the first choice of treatment for HP, with surgery being reserved for patients with persistent hemodynamic instability and unsuccessful embolization</w:t>
      </w:r>
      <w:r w:rsidRPr="003E0CD0">
        <w:rPr>
          <w:rFonts w:ascii="Book Antiqua" w:eastAsia="Book Antiqua" w:hAnsi="Book Antiqua" w:cs="Book Antiqua"/>
          <w:color w:val="000000"/>
          <w:vertAlign w:val="superscript"/>
        </w:rPr>
        <w:t>[89]</w:t>
      </w:r>
      <w:r w:rsidRPr="003E0CD0">
        <w:rPr>
          <w:rFonts w:ascii="Book Antiqua" w:eastAsia="Book Antiqua" w:hAnsi="Book Antiqua" w:cs="Book Antiqua"/>
          <w:color w:val="000000"/>
        </w:rPr>
        <w:t>. Although therapeutic ECRP with pancreatic multistenting has been successfully reported for the tamponade of a iatrogenic post-ERCP case of HP, its adoption may not be recommended, especially in the setting of ruptured VAPA</w:t>
      </w:r>
      <w:r w:rsidRPr="003E0CD0">
        <w:rPr>
          <w:rFonts w:ascii="Book Antiqua" w:eastAsia="Book Antiqua" w:hAnsi="Book Antiqua" w:cs="Book Antiqua"/>
          <w:color w:val="000000"/>
          <w:vertAlign w:val="superscript"/>
        </w:rPr>
        <w:t>[92]</w:t>
      </w:r>
      <w:r w:rsidRPr="003E0CD0">
        <w:rPr>
          <w:rFonts w:ascii="Book Antiqua" w:eastAsia="Book Antiqua" w:hAnsi="Book Antiqua" w:cs="Book Antiqua"/>
          <w:color w:val="000000"/>
        </w:rPr>
        <w:t>. Finally, the promising role of EUS-guided embolization in the treatment of VAPA has been previously discussed. A case of HP is shown in Figure 6.</w:t>
      </w:r>
    </w:p>
    <w:p w14:paraId="18B6D557" w14:textId="77777777" w:rsidR="00A77B3E" w:rsidRPr="003E0CD0" w:rsidRDefault="00A77B3E" w:rsidP="00A72427">
      <w:pPr>
        <w:spacing w:line="360" w:lineRule="auto"/>
        <w:jc w:val="both"/>
      </w:pPr>
    </w:p>
    <w:p w14:paraId="392321FA" w14:textId="77777777" w:rsidR="00A77B3E" w:rsidRPr="003E0CD0" w:rsidRDefault="00000000">
      <w:pPr>
        <w:spacing w:line="360" w:lineRule="auto"/>
        <w:jc w:val="both"/>
      </w:pPr>
      <w:r w:rsidRPr="003E0CD0">
        <w:rPr>
          <w:rFonts w:ascii="Book Antiqua" w:eastAsia="Book Antiqua" w:hAnsi="Book Antiqua" w:cs="Book Antiqua"/>
          <w:b/>
          <w:bCs/>
          <w:i/>
          <w:iCs/>
          <w:color w:val="000000"/>
        </w:rPr>
        <w:t>Hemobilia</w:t>
      </w:r>
    </w:p>
    <w:p w14:paraId="13DB5694" w14:textId="123C75CE" w:rsidR="00A77B3E" w:rsidRPr="003E0CD0" w:rsidRDefault="00000000">
      <w:pPr>
        <w:spacing w:line="360" w:lineRule="auto"/>
        <w:jc w:val="both"/>
      </w:pPr>
      <w:r w:rsidRPr="003E0CD0">
        <w:rPr>
          <w:rFonts w:ascii="Book Antiqua" w:eastAsia="Book Antiqua" w:hAnsi="Book Antiqua" w:cs="Book Antiqua"/>
          <w:color w:val="000000"/>
        </w:rPr>
        <w:lastRenderedPageBreak/>
        <w:t>First described in 1654 by Glisson</w:t>
      </w:r>
      <w:r w:rsidR="00A72427" w:rsidRPr="003E0CD0">
        <w:rPr>
          <w:rFonts w:ascii="Book Antiqua" w:eastAsia="Book Antiqua" w:hAnsi="Book Antiqua" w:cs="Book Antiqua"/>
          <w:color w:val="000000"/>
          <w:vertAlign w:val="superscript"/>
        </w:rPr>
        <w:t>[93]</w:t>
      </w:r>
      <w:r w:rsidRPr="003E0CD0">
        <w:rPr>
          <w:rFonts w:ascii="Book Antiqua" w:eastAsia="Book Antiqua" w:hAnsi="Book Antiqua" w:cs="Book Antiqua"/>
          <w:color w:val="000000"/>
        </w:rPr>
        <w:t xml:space="preserve"> on autopsy, hemobilia is defined as bleeding into the intra- or extra-hepatic biliary system exteriorizing </w:t>
      </w:r>
      <w:r w:rsidRPr="003E0CD0">
        <w:rPr>
          <w:rFonts w:ascii="Book Antiqua" w:eastAsia="Book Antiqua" w:hAnsi="Book Antiqua" w:cs="Book Antiqua"/>
          <w:i/>
          <w:iCs/>
          <w:color w:val="000000"/>
        </w:rPr>
        <w:t>via</w:t>
      </w:r>
      <w:r w:rsidRPr="003E0CD0">
        <w:rPr>
          <w:rFonts w:ascii="Book Antiqua" w:eastAsia="Book Antiqua" w:hAnsi="Book Antiqua" w:cs="Book Antiqua"/>
          <w:color w:val="000000"/>
        </w:rPr>
        <w:t xml:space="preserve"> the major duodenal papilla. It occurs as a result of a fistula formation between a splanchnic blood vessel and the biliary system. Arterial vessels are more commonly involved, due to their higher intravascular pressure. However, biliary venous fistulas have also been reported, especially in the setting of portal hypertension</w:t>
      </w:r>
      <w:r w:rsidRPr="003E0CD0">
        <w:rPr>
          <w:rFonts w:ascii="Book Antiqua" w:eastAsia="Book Antiqua" w:hAnsi="Book Antiqua" w:cs="Book Antiqua"/>
          <w:color w:val="000000"/>
          <w:vertAlign w:val="superscript"/>
        </w:rPr>
        <w:t>[94]</w:t>
      </w:r>
      <w:r w:rsidRPr="003E0CD0">
        <w:rPr>
          <w:rFonts w:ascii="Book Antiqua" w:eastAsia="Book Antiqua" w:hAnsi="Book Antiqua" w:cs="Book Antiqua"/>
          <w:color w:val="000000"/>
        </w:rPr>
        <w:t>.</w:t>
      </w:r>
    </w:p>
    <w:p w14:paraId="60952EAD"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t>Due to their increased adoption, the most common reported etiology of hemobilia is currently represented by iatrogenic causes involving hepatopancreatobiliary (HPB) manipulation, including percutaneous radiological interventions, ERCP, interventional EUS, and HPB surgery. In these situations, hemobilia may be secondary to traumatic arteriobiliary fistula formation or less frequently to rupture of a HA, or rarely cistyc artery, pseudoaneurysm. Less common etiologies include traumatogenic causes, HPB malignancies, portal biliopathy, chronic ductal obstruction, inflammatory conditions, such as cholecystitis, gallstone disease, ruptured HA true aneurysms, and intraductal infection</w:t>
      </w:r>
      <w:r w:rsidRPr="003E0CD0">
        <w:rPr>
          <w:rFonts w:ascii="Book Antiqua" w:eastAsia="Book Antiqua" w:hAnsi="Book Antiqua" w:cs="Book Antiqua"/>
          <w:color w:val="000000"/>
          <w:vertAlign w:val="superscript"/>
        </w:rPr>
        <w:t>[94]</w:t>
      </w:r>
      <w:r w:rsidRPr="003E0CD0">
        <w:rPr>
          <w:rFonts w:ascii="Book Antiqua" w:eastAsia="Book Antiqua" w:hAnsi="Book Antiqua" w:cs="Book Antiqua"/>
          <w:color w:val="000000"/>
        </w:rPr>
        <w:t>.</w:t>
      </w:r>
    </w:p>
    <w:p w14:paraId="562C848E" w14:textId="0DB206A1" w:rsidR="00A77B3E" w:rsidRPr="003E0CD0" w:rsidRDefault="00000000">
      <w:pPr>
        <w:spacing w:line="360" w:lineRule="auto"/>
        <w:ind w:firstLine="240"/>
        <w:jc w:val="both"/>
      </w:pPr>
      <w:r w:rsidRPr="003E0CD0">
        <w:rPr>
          <w:rFonts w:ascii="Book Antiqua" w:eastAsia="Book Antiqua" w:hAnsi="Book Antiqua" w:cs="Book Antiqua"/>
          <w:color w:val="000000"/>
        </w:rPr>
        <w:t>The classic clinical presentation of hemobilia is Quincke</w:t>
      </w:r>
      <w:r w:rsidR="00A72427" w:rsidRPr="003E0CD0">
        <w:rPr>
          <w:rFonts w:ascii="Book Antiqua" w:eastAsia="Book Antiqua" w:hAnsi="Book Antiqua" w:cs="Book Antiqua"/>
          <w:color w:val="000000"/>
        </w:rPr>
        <w:t>’</w:t>
      </w:r>
      <w:r w:rsidRPr="003E0CD0">
        <w:rPr>
          <w:rFonts w:ascii="Book Antiqua" w:eastAsia="Book Antiqua" w:hAnsi="Book Antiqua" w:cs="Book Antiqua"/>
          <w:color w:val="000000"/>
        </w:rPr>
        <w:t>s triad, consisting of right upper quadrant pain, jaundice and UGIB</w:t>
      </w:r>
      <w:r w:rsidRPr="003E0CD0">
        <w:rPr>
          <w:rFonts w:ascii="Book Antiqua" w:eastAsia="Book Antiqua" w:hAnsi="Book Antiqua" w:cs="Book Antiqua"/>
          <w:color w:val="000000"/>
          <w:vertAlign w:val="superscript"/>
        </w:rPr>
        <w:t>[</w:t>
      </w:r>
      <w:r w:rsidR="00726A75" w:rsidRPr="003E0CD0">
        <w:rPr>
          <w:rFonts w:ascii="Book Antiqua" w:eastAsia="Book Antiqua" w:hAnsi="Book Antiqua" w:cs="Book Antiqua"/>
          <w:color w:val="000000"/>
          <w:vertAlign w:val="superscript"/>
        </w:rPr>
        <w:t>95</w:t>
      </w:r>
      <w:r w:rsidRPr="003E0CD0">
        <w:rPr>
          <w:rFonts w:ascii="Book Antiqua" w:eastAsia="Book Antiqua" w:hAnsi="Book Antiqua" w:cs="Book Antiqua"/>
          <w:color w:val="000000"/>
          <w:vertAlign w:val="superscript"/>
        </w:rPr>
        <w:t>]</w:t>
      </w:r>
      <w:r w:rsidRPr="003E0CD0">
        <w:rPr>
          <w:rFonts w:ascii="Book Antiqua" w:eastAsia="Book Antiqua" w:hAnsi="Book Antiqua" w:cs="Book Antiqua"/>
          <w:color w:val="000000"/>
        </w:rPr>
        <w:t>, but all three findings are simultaneously observed in only 22%-35% of cases</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The diagnosis of hemobilia may be challenging and a high index of suspicion, mainly based on a patient’s clinical presentation and suggestive medical history, is crucial. Furthermore, as with HP, bleeding can be intermittent and difficult to visualize endoscopically, even with the use of a side-viewing endoscope or a forward-viewing endoscope with distal attachment cap</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ERCP can improve diagnosis by detecting findings suggestive of hemobilia, such as amorphous, tubular, or cast-like filling defects with unexplained dilation of the common or perihilar bile duct</w:t>
      </w:r>
      <w:r w:rsidRPr="003E0CD0">
        <w:rPr>
          <w:rFonts w:ascii="Book Antiqua" w:eastAsia="Book Antiqua" w:hAnsi="Book Antiqua" w:cs="Book Antiqua"/>
          <w:color w:val="000000"/>
          <w:vertAlign w:val="superscript"/>
        </w:rPr>
        <w:t>[97]</w:t>
      </w:r>
      <w:r w:rsidRPr="003E0CD0">
        <w:rPr>
          <w:rFonts w:ascii="Book Antiqua" w:eastAsia="Book Antiqua" w:hAnsi="Book Antiqua" w:cs="Book Antiqua"/>
          <w:color w:val="000000"/>
        </w:rPr>
        <w:t>. However, it is rarely performed with a solely diagnostic intent. Of note, the use of per oral cholangioscopy has been suggested in the management of unexplained hemobilia</w:t>
      </w:r>
      <w:r w:rsidRPr="003E0CD0">
        <w:rPr>
          <w:rFonts w:ascii="Book Antiqua" w:eastAsia="Book Antiqua" w:hAnsi="Book Antiqua" w:cs="Book Antiqua"/>
          <w:color w:val="000000"/>
          <w:vertAlign w:val="superscript"/>
        </w:rPr>
        <w:t>[98]</w:t>
      </w:r>
      <w:r w:rsidRPr="003E0CD0">
        <w:rPr>
          <w:rFonts w:ascii="Book Antiqua" w:eastAsia="Book Antiqua" w:hAnsi="Book Antiqua" w:cs="Book Antiqua"/>
          <w:color w:val="000000"/>
        </w:rPr>
        <w:t xml:space="preserve">. Finally, a promising role of EUS in the diagnosis of hemobilia has been reported. Indeed, EUS was shown to be able to detect aneurysm or pseudoaneurysm in the hepatic vasculature, presence of blood within the gallbladder and common bile duct, </w:t>
      </w:r>
      <w:r w:rsidRPr="003E0CD0">
        <w:rPr>
          <w:rFonts w:ascii="Book Antiqua" w:eastAsia="Book Antiqua" w:hAnsi="Book Antiqua" w:cs="Book Antiqua"/>
          <w:color w:val="000000"/>
        </w:rPr>
        <w:lastRenderedPageBreak/>
        <w:t>presenting as mobile hyperechoic material, and bleeding from intra- and para-choledochal varices in portal biliopathy</w:t>
      </w:r>
      <w:r w:rsidRPr="003E0CD0">
        <w:rPr>
          <w:rFonts w:ascii="Book Antiqua" w:eastAsia="Book Antiqua" w:hAnsi="Book Antiqua" w:cs="Book Antiqua"/>
          <w:color w:val="000000"/>
          <w:vertAlign w:val="superscript"/>
        </w:rPr>
        <w:t>[99-102]</w:t>
      </w:r>
      <w:r w:rsidRPr="003E0CD0">
        <w:rPr>
          <w:rFonts w:ascii="Book Antiqua" w:eastAsia="Book Antiqua" w:hAnsi="Book Antiqua" w:cs="Book Antiqua"/>
          <w:color w:val="000000"/>
        </w:rPr>
        <w:t>.</w:t>
      </w:r>
    </w:p>
    <w:p w14:paraId="04E61009" w14:textId="0B9E56A1" w:rsidR="00A77B3E" w:rsidRPr="003E0CD0" w:rsidRDefault="00000000">
      <w:pPr>
        <w:spacing w:line="360" w:lineRule="auto"/>
        <w:ind w:firstLine="240"/>
        <w:jc w:val="both"/>
      </w:pPr>
      <w:r w:rsidRPr="003E0CD0">
        <w:rPr>
          <w:rFonts w:ascii="Book Antiqua" w:eastAsia="Book Antiqua" w:hAnsi="Book Antiqua" w:cs="Book Antiqua"/>
          <w:color w:val="000000"/>
        </w:rPr>
        <w:t>In hemodynamically stable patients with suspected major hemobilia, MDCTA should be performed in order to rule out vascular complications, such as HA aneurysms, pseudoaneurysms and cholangiovenous or arterio-ductal fistulas, and thus guiding further management</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w:t>
      </w:r>
    </w:p>
    <w:p w14:paraId="0901D196" w14:textId="1F94C9C4" w:rsidR="00A77B3E" w:rsidRPr="003E0CD0" w:rsidRDefault="00000000">
      <w:pPr>
        <w:spacing w:line="360" w:lineRule="auto"/>
        <w:ind w:firstLine="240"/>
        <w:jc w:val="both"/>
      </w:pPr>
      <w:r w:rsidRPr="003E0CD0">
        <w:rPr>
          <w:rFonts w:ascii="Book Antiqua" w:eastAsia="Book Antiqua" w:hAnsi="Book Antiqua" w:cs="Book Antiqua"/>
          <w:color w:val="000000"/>
        </w:rPr>
        <w:t>The aim of treatment consists of both hemorrhage control and maintenance of biliary patency. In the absence of vascular complications detected by MDCTA, ERCP is commonly the initial therapeutic procedure of choice, being able to provide simultaneous management of both bleeding and biliary obstruction</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Several endoscopic hemostatic techniques have been reported, varying according to etiology, location, and source of hemobilia. In case of post-sphincterotomy hemobilia, which typically is a result of injury to the posterior branch of the superior PDA, or distal hemobilia, hemostasis may be achieved by epinephrine spraying or injection, monopolar or bipolar coagulation, fibrin sealant injection, clipping, balloon tamponade, and stenting. Conversely, biliary stenting is the preferred option for proximal hemobilia</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In selected cases, biliary stents are capable to achieve immediate hemostasis, by creating a tamponade effect on the biliary wall, while maintaining luminal patency and thus bile flow. Of note, as compared with plastic stents, fully covered self-expanding metallic stents appear to have superior tamponade effect and greater patency, and should be favored in this setting</w:t>
      </w:r>
      <w:r w:rsidRPr="003E0CD0">
        <w:rPr>
          <w:rFonts w:ascii="Book Antiqua" w:eastAsia="Book Antiqua" w:hAnsi="Book Antiqua" w:cs="Book Antiqua"/>
          <w:color w:val="000000"/>
          <w:vertAlign w:val="superscript"/>
        </w:rPr>
        <w:t>[103-105]</w:t>
      </w:r>
      <w:r w:rsidRPr="003E0CD0">
        <w:rPr>
          <w:rFonts w:ascii="Book Antiqua" w:eastAsia="Book Antiqua" w:hAnsi="Book Antiqua" w:cs="Book Antiqua"/>
          <w:color w:val="000000"/>
        </w:rPr>
        <w:t>. Finally, ERCP may provide bile flow restoration, by directly extracting intraductal blood clots and/or by biliary stenting, thus preventing complications related to biliary obstruction</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w:t>
      </w:r>
    </w:p>
    <w:p w14:paraId="25D21054" w14:textId="2A0D31E8" w:rsidR="00A77B3E" w:rsidRPr="003E0CD0" w:rsidRDefault="00000000">
      <w:pPr>
        <w:spacing w:line="360" w:lineRule="auto"/>
        <w:ind w:firstLine="240"/>
        <w:jc w:val="both"/>
      </w:pPr>
      <w:r w:rsidRPr="003E0CD0">
        <w:rPr>
          <w:rFonts w:ascii="Book Antiqua" w:eastAsia="Book Antiqua" w:hAnsi="Book Antiqua" w:cs="Book Antiqua"/>
          <w:color w:val="000000"/>
        </w:rPr>
        <w:t>In case of vascular complications, refractory hemodynamic instability, or endoscopic treatment failure, interventional radiology is recommended</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TAE is the most widely adopted technique. However, it is contraindicated in liver transplant recipients, portal vein thrombosis, and cirrhosis with concomitant shock, due to compromised collateral blood flow from the portal vein and the consequent risk of severe hepatic ischemia. In this setting, arterial stenting should be preferred</w:t>
      </w:r>
      <w:r w:rsidRPr="003E0CD0">
        <w:rPr>
          <w:rFonts w:ascii="Book Antiqua" w:eastAsia="Book Antiqua" w:hAnsi="Book Antiqua" w:cs="Book Antiqua"/>
          <w:color w:val="000000"/>
          <w:vertAlign w:val="superscript"/>
        </w:rPr>
        <w:t>[106]</w:t>
      </w:r>
      <w:r w:rsidRPr="003E0CD0">
        <w:rPr>
          <w:rFonts w:ascii="Book Antiqua" w:eastAsia="Book Antiqua" w:hAnsi="Book Antiqua" w:cs="Book Antiqua"/>
          <w:color w:val="000000"/>
        </w:rPr>
        <w:t>.</w:t>
      </w:r>
    </w:p>
    <w:p w14:paraId="06C94022" w14:textId="5740529E" w:rsidR="00A77B3E" w:rsidRPr="003E0CD0" w:rsidRDefault="00000000">
      <w:pPr>
        <w:spacing w:line="360" w:lineRule="auto"/>
        <w:ind w:firstLine="240"/>
        <w:jc w:val="both"/>
      </w:pPr>
      <w:r w:rsidRPr="003E0CD0">
        <w:rPr>
          <w:rFonts w:ascii="Book Antiqua" w:eastAsia="Book Antiqua" w:hAnsi="Book Antiqua" w:cs="Book Antiqua"/>
          <w:color w:val="000000"/>
        </w:rPr>
        <w:lastRenderedPageBreak/>
        <w:t>Intriguingly, EUS-guided obliteration has been recently successfully reported also in the setting of hemobilia due to cystic artery pseudoaneurysm</w:t>
      </w:r>
      <w:r w:rsidRPr="003E0CD0">
        <w:rPr>
          <w:rFonts w:ascii="Book Antiqua" w:eastAsia="Book Antiqua" w:hAnsi="Book Antiqua" w:cs="Book Antiqua"/>
          <w:color w:val="000000"/>
          <w:vertAlign w:val="superscript"/>
        </w:rPr>
        <w:t>[107]</w:t>
      </w:r>
      <w:r w:rsidRPr="003E0CD0">
        <w:rPr>
          <w:rFonts w:ascii="Book Antiqua" w:eastAsia="Book Antiqua" w:hAnsi="Book Antiqua" w:cs="Book Antiqua"/>
          <w:color w:val="000000"/>
        </w:rPr>
        <w:t>. Surgery is typically reserved as a last resort, due to its high morbidity and mortality rate</w:t>
      </w:r>
      <w:r w:rsidRPr="003E0CD0">
        <w:rPr>
          <w:rFonts w:ascii="Book Antiqua" w:eastAsia="Book Antiqua" w:hAnsi="Book Antiqua" w:cs="Book Antiqua"/>
          <w:color w:val="000000"/>
          <w:vertAlign w:val="superscript"/>
        </w:rPr>
        <w:t>[94,96]</w:t>
      </w:r>
      <w:r w:rsidRPr="003E0CD0">
        <w:rPr>
          <w:rFonts w:ascii="Book Antiqua" w:eastAsia="Book Antiqua" w:hAnsi="Book Antiqua" w:cs="Book Antiqua"/>
          <w:color w:val="000000"/>
        </w:rPr>
        <w:t>. A case of hemobilia is shown in Figure 7.</w:t>
      </w:r>
    </w:p>
    <w:p w14:paraId="71AE151E" w14:textId="77777777" w:rsidR="00A77B3E" w:rsidRPr="003E0CD0" w:rsidRDefault="00A77B3E">
      <w:pPr>
        <w:spacing w:line="360" w:lineRule="auto"/>
        <w:ind w:firstLine="240"/>
        <w:jc w:val="both"/>
      </w:pPr>
    </w:p>
    <w:p w14:paraId="3E6D05A7" w14:textId="77777777" w:rsidR="00A77B3E" w:rsidRPr="003E0CD0" w:rsidRDefault="00000000">
      <w:pPr>
        <w:spacing w:line="360" w:lineRule="auto"/>
        <w:jc w:val="both"/>
      </w:pPr>
      <w:r w:rsidRPr="003E0CD0">
        <w:rPr>
          <w:rFonts w:ascii="Book Antiqua" w:eastAsia="Book Antiqua" w:hAnsi="Book Antiqua" w:cs="Book Antiqua"/>
          <w:b/>
          <w:caps/>
          <w:color w:val="000000"/>
          <w:u w:val="single"/>
        </w:rPr>
        <w:t>CONCLUSION</w:t>
      </w:r>
    </w:p>
    <w:p w14:paraId="777EA4EA" w14:textId="663218E6" w:rsidR="00A77B3E" w:rsidRPr="003E0CD0" w:rsidRDefault="00000000">
      <w:pPr>
        <w:spacing w:line="360" w:lineRule="auto"/>
        <w:jc w:val="both"/>
      </w:pPr>
      <w:r w:rsidRPr="003E0CD0">
        <w:rPr>
          <w:rFonts w:ascii="Book Antiqua" w:eastAsia="Book Antiqua" w:hAnsi="Book Antiqua" w:cs="Book Antiqua"/>
          <w:color w:val="000000"/>
        </w:rPr>
        <w:t>Upper GI endoscopy is currently recommended as the gold standard modality for both diagnosis and treatment of NVUGIB. However, NVUGIB due to PUD only is mainly addressed by current international guidelines, whereas rare causes of NVUGIB are not covered due to their scarcity.</w:t>
      </w:r>
      <w:r w:rsidR="00A72427"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In these instances, EGD may often not represent the gold standard for the diagnosis and may not have any role in their treatment. Conversely, a multidisciplinary approach involving not only the GI endoscopists, but also the diagnostic and the interventional radiologists, and the general and the vascular surgeons, is in most cases needed for both diagnosis and treatment. Nevertheless, EGD is inevitably the most frequently first diagnostic modality performed or requested even in NVUGIB due to rare causes. Thus, the GI endoscopists are commonly the main actors in driving further diagnostic and therapeutic process, rising the suspect of rare NVUGIB causes when appropriated. In this setting, the diagnostic role of EGD is commonly limited, mainly directed to exclude common causes of NVUGIB, whereas the diagnostic gold standard is frequently represented by MDCTA and/or DSA.</w:t>
      </w:r>
    </w:p>
    <w:p w14:paraId="5089AFA0"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t>Worth mentioning, NVUGIB due to rare causes are generally associated with morbidity and mortality significantly higher as compared with those secondary to common sources. Moreover, given any delay in proper diagnosis and/or treatment is inevitably associated with increased mortality, a prompt and effective management is crucial. Thus, not only the gastroenterologists, frequently the first actors involved in the management of NVUGIB due to both common and uncommon causes, should be aware and very confident with rare NVUGIB causes, but also the diagnostic and the interventional radiologists, and the general and the vascular surgeons.</w:t>
      </w:r>
    </w:p>
    <w:p w14:paraId="4D236876" w14:textId="77777777" w:rsidR="00A77B3E" w:rsidRPr="003E0CD0" w:rsidRDefault="00000000">
      <w:pPr>
        <w:spacing w:line="360" w:lineRule="auto"/>
        <w:ind w:firstLine="240"/>
        <w:jc w:val="both"/>
      </w:pPr>
      <w:r w:rsidRPr="003E0CD0">
        <w:rPr>
          <w:rFonts w:ascii="Book Antiqua" w:eastAsia="Book Antiqua" w:hAnsi="Book Antiqua" w:cs="Book Antiqua"/>
          <w:color w:val="000000"/>
        </w:rPr>
        <w:lastRenderedPageBreak/>
        <w:t>Finally, a multidisciplinary, patient-tailored, and minimally-invasive, when feasible, approach should be pursued for the management of most of the rare NVUGIB causes. Given their complexity, often requiring a strict cooperation between different specialists, rare and extraordinary rare causes of NVUGIB should be desirably managed among highly-experienced referral centers.</w:t>
      </w:r>
    </w:p>
    <w:p w14:paraId="626B60D0" w14:textId="77777777" w:rsidR="00A77B3E" w:rsidRPr="003E0CD0" w:rsidRDefault="00A77B3E" w:rsidP="00A72427">
      <w:pPr>
        <w:spacing w:line="360" w:lineRule="auto"/>
        <w:jc w:val="both"/>
      </w:pPr>
    </w:p>
    <w:p w14:paraId="4C6E059F" w14:textId="77777777" w:rsidR="00A77B3E" w:rsidRPr="003E0CD0" w:rsidRDefault="00000000">
      <w:pPr>
        <w:spacing w:line="360" w:lineRule="auto"/>
        <w:jc w:val="both"/>
      </w:pPr>
      <w:r w:rsidRPr="003E0CD0">
        <w:rPr>
          <w:rFonts w:ascii="Book Antiqua" w:eastAsia="Book Antiqua" w:hAnsi="Book Antiqua" w:cs="Book Antiqua"/>
          <w:b/>
          <w:caps/>
          <w:color w:val="000000"/>
          <w:u w:val="single"/>
        </w:rPr>
        <w:t>ACKNOWLEDGEMENTS</w:t>
      </w:r>
    </w:p>
    <w:p w14:paraId="33DA7A7B" w14:textId="77777777" w:rsidR="00A77B3E" w:rsidRPr="003E0CD0" w:rsidRDefault="00000000">
      <w:pPr>
        <w:spacing w:line="360" w:lineRule="auto"/>
        <w:jc w:val="both"/>
      </w:pPr>
      <w:r w:rsidRPr="003E0CD0">
        <w:rPr>
          <w:rFonts w:ascii="Book Antiqua" w:eastAsia="Book Antiqua" w:hAnsi="Book Antiqua" w:cs="Book Antiqua"/>
          <w:color w:val="000000"/>
        </w:rPr>
        <w:t>We are grateful to Velia De Magistris for English editing.</w:t>
      </w:r>
    </w:p>
    <w:p w14:paraId="5F9992BA" w14:textId="77777777" w:rsidR="00A77B3E" w:rsidRPr="003E0CD0" w:rsidRDefault="00A77B3E">
      <w:pPr>
        <w:spacing w:line="360" w:lineRule="auto"/>
        <w:jc w:val="both"/>
      </w:pPr>
    </w:p>
    <w:p w14:paraId="219EE5CE" w14:textId="77777777" w:rsidR="00A77B3E" w:rsidRPr="003E0CD0" w:rsidRDefault="00000000">
      <w:pPr>
        <w:spacing w:line="360" w:lineRule="auto"/>
        <w:jc w:val="both"/>
      </w:pPr>
      <w:r w:rsidRPr="003E0CD0">
        <w:rPr>
          <w:rFonts w:ascii="Book Antiqua" w:eastAsia="Book Antiqua" w:hAnsi="Book Antiqua" w:cs="Book Antiqua"/>
          <w:b/>
          <w:color w:val="000000"/>
        </w:rPr>
        <w:t>REFERENCES</w:t>
      </w:r>
    </w:p>
    <w:p w14:paraId="67E2C974" w14:textId="77777777" w:rsidR="00A77B3E" w:rsidRPr="003E0CD0" w:rsidRDefault="00000000">
      <w:pPr>
        <w:spacing w:line="360" w:lineRule="auto"/>
        <w:jc w:val="both"/>
      </w:pPr>
      <w:r w:rsidRPr="003E0CD0">
        <w:rPr>
          <w:rFonts w:ascii="Book Antiqua" w:eastAsia="Book Antiqua" w:hAnsi="Book Antiqua" w:cs="Book Antiqua"/>
        </w:rPr>
        <w:t xml:space="preserve">1 </w:t>
      </w:r>
      <w:r w:rsidRPr="003E0CD0">
        <w:rPr>
          <w:rFonts w:ascii="Book Antiqua" w:eastAsia="Book Antiqua" w:hAnsi="Book Antiqua" w:cs="Book Antiqua"/>
          <w:b/>
          <w:bCs/>
        </w:rPr>
        <w:t>Enestvedt BK</w:t>
      </w:r>
      <w:r w:rsidRPr="003E0CD0">
        <w:rPr>
          <w:rFonts w:ascii="Book Antiqua" w:eastAsia="Book Antiqua" w:hAnsi="Book Antiqua" w:cs="Book Antiqua"/>
        </w:rPr>
        <w:t xml:space="preserve">, Gralnek IM, Mattek N, Lieberman DA, Eisen G. An evaluation of endoscopic indications and findings related to nonvariceal upper-GI hemorrhage in a large multicenter consortium.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2008; </w:t>
      </w:r>
      <w:r w:rsidRPr="003E0CD0">
        <w:rPr>
          <w:rFonts w:ascii="Book Antiqua" w:eastAsia="Book Antiqua" w:hAnsi="Book Antiqua" w:cs="Book Antiqua"/>
          <w:b/>
          <w:bCs/>
        </w:rPr>
        <w:t>67</w:t>
      </w:r>
      <w:r w:rsidRPr="003E0CD0">
        <w:rPr>
          <w:rFonts w:ascii="Book Antiqua" w:eastAsia="Book Antiqua" w:hAnsi="Book Antiqua" w:cs="Book Antiqua"/>
        </w:rPr>
        <w:t>: 422-429 [PMID: 18206878 DOI: 10.1016/j.gie.2007.09.024]</w:t>
      </w:r>
    </w:p>
    <w:p w14:paraId="02575B22" w14:textId="77777777" w:rsidR="00A77B3E" w:rsidRPr="003E0CD0" w:rsidRDefault="00000000">
      <w:pPr>
        <w:spacing w:line="360" w:lineRule="auto"/>
        <w:jc w:val="both"/>
      </w:pPr>
      <w:r w:rsidRPr="003E0CD0">
        <w:rPr>
          <w:rFonts w:ascii="Book Antiqua" w:eastAsia="Book Antiqua" w:hAnsi="Book Antiqua" w:cs="Book Antiqua"/>
        </w:rPr>
        <w:t xml:space="preserve">2 </w:t>
      </w:r>
      <w:r w:rsidRPr="003E0CD0">
        <w:rPr>
          <w:rFonts w:ascii="Book Antiqua" w:eastAsia="Book Antiqua" w:hAnsi="Book Antiqua" w:cs="Book Antiqua"/>
          <w:b/>
          <w:bCs/>
        </w:rPr>
        <w:t>Tielleman T</w:t>
      </w:r>
      <w:r w:rsidRPr="003E0CD0">
        <w:rPr>
          <w:rFonts w:ascii="Book Antiqua" w:eastAsia="Book Antiqua" w:hAnsi="Book Antiqua" w:cs="Book Antiqua"/>
        </w:rPr>
        <w:t xml:space="preserve">, Bujanda D, Cryer B. Epidemiology and Risk Factors for Upper Gastrointestinal Bleeding. </w:t>
      </w:r>
      <w:r w:rsidRPr="003E0CD0">
        <w:rPr>
          <w:rFonts w:ascii="Book Antiqua" w:eastAsia="Book Antiqua" w:hAnsi="Book Antiqua" w:cs="Book Antiqua"/>
          <w:i/>
          <w:iCs/>
        </w:rPr>
        <w:t>Gastrointest Endosc Clin N Am</w:t>
      </w:r>
      <w:r w:rsidRPr="003E0CD0">
        <w:rPr>
          <w:rFonts w:ascii="Book Antiqua" w:eastAsia="Book Antiqua" w:hAnsi="Book Antiqua" w:cs="Book Antiqua"/>
        </w:rPr>
        <w:t xml:space="preserve"> 2015; </w:t>
      </w:r>
      <w:r w:rsidRPr="003E0CD0">
        <w:rPr>
          <w:rFonts w:ascii="Book Antiqua" w:eastAsia="Book Antiqua" w:hAnsi="Book Antiqua" w:cs="Book Antiqua"/>
          <w:b/>
          <w:bCs/>
        </w:rPr>
        <w:t>25</w:t>
      </w:r>
      <w:r w:rsidRPr="003E0CD0">
        <w:rPr>
          <w:rFonts w:ascii="Book Antiqua" w:eastAsia="Book Antiqua" w:hAnsi="Book Antiqua" w:cs="Book Antiqua"/>
        </w:rPr>
        <w:t>: 415-428 [PMID: 26142028 DOI: 10.1016/j.giec.2015.02.010]</w:t>
      </w:r>
    </w:p>
    <w:p w14:paraId="6C4FE1B8" w14:textId="77777777" w:rsidR="00A77B3E" w:rsidRPr="003E0CD0" w:rsidRDefault="00000000">
      <w:pPr>
        <w:spacing w:line="360" w:lineRule="auto"/>
        <w:jc w:val="both"/>
      </w:pPr>
      <w:r w:rsidRPr="003E0CD0">
        <w:rPr>
          <w:rFonts w:ascii="Book Antiqua" w:eastAsia="Book Antiqua" w:hAnsi="Book Antiqua" w:cs="Book Antiqua"/>
        </w:rPr>
        <w:t xml:space="preserve">3 </w:t>
      </w:r>
      <w:r w:rsidRPr="003E0CD0">
        <w:rPr>
          <w:rFonts w:ascii="Book Antiqua" w:eastAsia="Book Antiqua" w:hAnsi="Book Antiqua" w:cs="Book Antiqua"/>
          <w:b/>
          <w:bCs/>
        </w:rPr>
        <w:t>Wuerth BA</w:t>
      </w:r>
      <w:r w:rsidRPr="003E0CD0">
        <w:rPr>
          <w:rFonts w:ascii="Book Antiqua" w:eastAsia="Book Antiqua" w:hAnsi="Book Antiqua" w:cs="Book Antiqua"/>
        </w:rPr>
        <w:t xml:space="preserve">, Rockey DC. Changing Epidemiology of Upper Gastrointestinal Hemorrhage in the Last Decade: A Nationwide Analysis. </w:t>
      </w:r>
      <w:r w:rsidRPr="003E0CD0">
        <w:rPr>
          <w:rFonts w:ascii="Book Antiqua" w:eastAsia="Book Antiqua" w:hAnsi="Book Antiqua" w:cs="Book Antiqua"/>
          <w:i/>
          <w:iCs/>
        </w:rPr>
        <w:t>Dig Dis Sci</w:t>
      </w:r>
      <w:r w:rsidRPr="003E0CD0">
        <w:rPr>
          <w:rFonts w:ascii="Book Antiqua" w:eastAsia="Book Antiqua" w:hAnsi="Book Antiqua" w:cs="Book Antiqua"/>
        </w:rPr>
        <w:t xml:space="preserve"> 2018; </w:t>
      </w:r>
      <w:r w:rsidRPr="003E0CD0">
        <w:rPr>
          <w:rFonts w:ascii="Book Antiqua" w:eastAsia="Book Antiqua" w:hAnsi="Book Antiqua" w:cs="Book Antiqua"/>
          <w:b/>
          <w:bCs/>
        </w:rPr>
        <w:t>63</w:t>
      </w:r>
      <w:r w:rsidRPr="003E0CD0">
        <w:rPr>
          <w:rFonts w:ascii="Book Antiqua" w:eastAsia="Book Antiqua" w:hAnsi="Book Antiqua" w:cs="Book Antiqua"/>
        </w:rPr>
        <w:t>: 1286-1293 [PMID: 29282637 DOI: 10.1007/s10620-017-4882-6]</w:t>
      </w:r>
    </w:p>
    <w:p w14:paraId="4F933CCB" w14:textId="77777777" w:rsidR="00A77B3E" w:rsidRPr="003E0CD0" w:rsidRDefault="00000000">
      <w:pPr>
        <w:spacing w:line="360" w:lineRule="auto"/>
        <w:jc w:val="both"/>
      </w:pPr>
      <w:r w:rsidRPr="003E0CD0">
        <w:rPr>
          <w:rFonts w:ascii="Book Antiqua" w:eastAsia="Book Antiqua" w:hAnsi="Book Antiqua" w:cs="Book Antiqua"/>
        </w:rPr>
        <w:t xml:space="preserve">4 </w:t>
      </w:r>
      <w:r w:rsidRPr="003E0CD0">
        <w:rPr>
          <w:rFonts w:ascii="Book Antiqua" w:eastAsia="Book Antiqua" w:hAnsi="Book Antiqua" w:cs="Book Antiqua"/>
          <w:b/>
          <w:bCs/>
        </w:rPr>
        <w:t>British Society of Gastroenterology Endoscopy Committee</w:t>
      </w:r>
      <w:r w:rsidRPr="003E0CD0">
        <w:rPr>
          <w:rFonts w:ascii="Book Antiqua" w:eastAsia="Book Antiqua" w:hAnsi="Book Antiqua" w:cs="Book Antiqua"/>
        </w:rPr>
        <w:t xml:space="preserve">. Non-variceal upper gastrointestinal haemorrhage: guidelines. </w:t>
      </w:r>
      <w:r w:rsidRPr="003E0CD0">
        <w:rPr>
          <w:rFonts w:ascii="Book Antiqua" w:eastAsia="Book Antiqua" w:hAnsi="Book Antiqua" w:cs="Book Antiqua"/>
          <w:i/>
          <w:iCs/>
        </w:rPr>
        <w:t>Gut</w:t>
      </w:r>
      <w:r w:rsidRPr="003E0CD0">
        <w:rPr>
          <w:rFonts w:ascii="Book Antiqua" w:eastAsia="Book Antiqua" w:hAnsi="Book Antiqua" w:cs="Book Antiqua"/>
        </w:rPr>
        <w:t xml:space="preserve"> 2002; </w:t>
      </w:r>
      <w:r w:rsidRPr="003E0CD0">
        <w:rPr>
          <w:rFonts w:ascii="Book Antiqua" w:eastAsia="Book Antiqua" w:hAnsi="Book Antiqua" w:cs="Book Antiqua"/>
          <w:b/>
          <w:bCs/>
        </w:rPr>
        <w:t>51</w:t>
      </w:r>
      <w:r w:rsidRPr="003E0CD0">
        <w:rPr>
          <w:rFonts w:ascii="Book Antiqua" w:eastAsia="Book Antiqua" w:hAnsi="Book Antiqua" w:cs="Book Antiqua"/>
        </w:rPr>
        <w:t xml:space="preserve"> Suppl 4: iv1-iv6 [PMID: 12208839 DOI: 10.1136/gut.51.suppl_4.iv1]</w:t>
      </w:r>
    </w:p>
    <w:p w14:paraId="5E900658" w14:textId="77777777" w:rsidR="00A77B3E" w:rsidRPr="003E0CD0" w:rsidRDefault="00000000">
      <w:pPr>
        <w:spacing w:line="360" w:lineRule="auto"/>
        <w:jc w:val="both"/>
      </w:pPr>
      <w:r w:rsidRPr="003E0CD0">
        <w:rPr>
          <w:rFonts w:ascii="Book Antiqua" w:eastAsia="Book Antiqua" w:hAnsi="Book Antiqua" w:cs="Book Antiqua"/>
        </w:rPr>
        <w:t xml:space="preserve">5 </w:t>
      </w:r>
      <w:r w:rsidRPr="003E0CD0">
        <w:rPr>
          <w:rFonts w:ascii="Book Antiqua" w:eastAsia="Book Antiqua" w:hAnsi="Book Antiqua" w:cs="Book Antiqua"/>
          <w:b/>
          <w:bCs/>
        </w:rPr>
        <w:t>Oakland K</w:t>
      </w:r>
      <w:r w:rsidRPr="003E0CD0">
        <w:rPr>
          <w:rFonts w:ascii="Book Antiqua" w:eastAsia="Book Antiqua" w:hAnsi="Book Antiqua" w:cs="Book Antiqua"/>
        </w:rPr>
        <w:t xml:space="preserve">. Changing epidemiology and etiology of upper and lower gastrointestinal bleeding. </w:t>
      </w:r>
      <w:r w:rsidRPr="003E0CD0">
        <w:rPr>
          <w:rFonts w:ascii="Book Antiqua" w:eastAsia="Book Antiqua" w:hAnsi="Book Antiqua" w:cs="Book Antiqua"/>
          <w:i/>
          <w:iCs/>
        </w:rPr>
        <w:t>Best Pract Res Clin Gastroenterol</w:t>
      </w:r>
      <w:r w:rsidRPr="003E0CD0">
        <w:rPr>
          <w:rFonts w:ascii="Book Antiqua" w:eastAsia="Book Antiqua" w:hAnsi="Book Antiqua" w:cs="Book Antiqua"/>
        </w:rPr>
        <w:t xml:space="preserve"> 2019; </w:t>
      </w:r>
      <w:r w:rsidRPr="003E0CD0">
        <w:rPr>
          <w:rFonts w:ascii="Book Antiqua" w:eastAsia="Book Antiqua" w:hAnsi="Book Antiqua" w:cs="Book Antiqua"/>
          <w:b/>
          <w:bCs/>
        </w:rPr>
        <w:t>42-43</w:t>
      </w:r>
      <w:r w:rsidRPr="003E0CD0">
        <w:rPr>
          <w:rFonts w:ascii="Book Antiqua" w:eastAsia="Book Antiqua" w:hAnsi="Book Antiqua" w:cs="Book Antiqua"/>
        </w:rPr>
        <w:t>: 101610 [PMID: 31785737 DOI: 10.1016/j.bpg.2019.04.003]</w:t>
      </w:r>
    </w:p>
    <w:p w14:paraId="56504C90" w14:textId="77777777" w:rsidR="00A77B3E" w:rsidRPr="003E0CD0" w:rsidRDefault="00000000">
      <w:pPr>
        <w:spacing w:line="360" w:lineRule="auto"/>
        <w:jc w:val="both"/>
      </w:pPr>
      <w:r w:rsidRPr="003E0CD0">
        <w:rPr>
          <w:rFonts w:ascii="Book Antiqua" w:eastAsia="Book Antiqua" w:hAnsi="Book Antiqua" w:cs="Book Antiqua"/>
        </w:rPr>
        <w:t xml:space="preserve">6 </w:t>
      </w:r>
      <w:r w:rsidRPr="003E0CD0">
        <w:rPr>
          <w:rFonts w:ascii="Book Antiqua" w:eastAsia="Book Antiqua" w:hAnsi="Book Antiqua" w:cs="Book Antiqua"/>
          <w:b/>
          <w:bCs/>
        </w:rPr>
        <w:t>Hearnshaw SA</w:t>
      </w:r>
      <w:r w:rsidRPr="003E0CD0">
        <w:rPr>
          <w:rFonts w:ascii="Book Antiqua" w:eastAsia="Book Antiqua" w:hAnsi="Book Antiqua" w:cs="Book Antiqua"/>
        </w:rPr>
        <w:t xml:space="preserve">, Logan RF, Lowe D, Travis SP, Murphy MF, Palmer KR. Acute upper gastrointestinal bleeding in the UK: patient characteristics, diagnoses and outcomes in </w:t>
      </w:r>
      <w:r w:rsidRPr="003E0CD0">
        <w:rPr>
          <w:rFonts w:ascii="Book Antiqua" w:eastAsia="Book Antiqua" w:hAnsi="Book Antiqua" w:cs="Book Antiqua"/>
        </w:rPr>
        <w:lastRenderedPageBreak/>
        <w:t xml:space="preserve">the 2007 UK audit. </w:t>
      </w:r>
      <w:r w:rsidRPr="003E0CD0">
        <w:rPr>
          <w:rFonts w:ascii="Book Antiqua" w:eastAsia="Book Antiqua" w:hAnsi="Book Antiqua" w:cs="Book Antiqua"/>
          <w:i/>
          <w:iCs/>
        </w:rPr>
        <w:t>Gut</w:t>
      </w:r>
      <w:r w:rsidRPr="003E0CD0">
        <w:rPr>
          <w:rFonts w:ascii="Book Antiqua" w:eastAsia="Book Antiqua" w:hAnsi="Book Antiqua" w:cs="Book Antiqua"/>
        </w:rPr>
        <w:t xml:space="preserve"> 2011; </w:t>
      </w:r>
      <w:r w:rsidRPr="003E0CD0">
        <w:rPr>
          <w:rFonts w:ascii="Book Antiqua" w:eastAsia="Book Antiqua" w:hAnsi="Book Antiqua" w:cs="Book Antiqua"/>
          <w:b/>
          <w:bCs/>
        </w:rPr>
        <w:t>60</w:t>
      </w:r>
      <w:r w:rsidRPr="003E0CD0">
        <w:rPr>
          <w:rFonts w:ascii="Book Antiqua" w:eastAsia="Book Antiqua" w:hAnsi="Book Antiqua" w:cs="Book Antiqua"/>
        </w:rPr>
        <w:t>: 1327-1335 [PMID: 21490373 DOI: 10.1136/gut.2010.228437]</w:t>
      </w:r>
    </w:p>
    <w:p w14:paraId="61960E0C" w14:textId="77777777" w:rsidR="00A77B3E" w:rsidRPr="003E0CD0" w:rsidRDefault="00000000">
      <w:pPr>
        <w:spacing w:line="360" w:lineRule="auto"/>
        <w:jc w:val="both"/>
      </w:pPr>
      <w:r w:rsidRPr="003E0CD0">
        <w:rPr>
          <w:rFonts w:ascii="Book Antiqua" w:eastAsia="Book Antiqua" w:hAnsi="Book Antiqua" w:cs="Book Antiqua"/>
        </w:rPr>
        <w:t xml:space="preserve">7 </w:t>
      </w:r>
      <w:r w:rsidRPr="003E0CD0">
        <w:rPr>
          <w:rFonts w:ascii="Book Antiqua" w:eastAsia="Book Antiqua" w:hAnsi="Book Antiqua" w:cs="Book Antiqua"/>
          <w:b/>
          <w:bCs/>
        </w:rPr>
        <w:t>Walker TG</w:t>
      </w:r>
      <w:r w:rsidRPr="003E0CD0">
        <w:rPr>
          <w:rFonts w:ascii="Book Antiqua" w:eastAsia="Book Antiqua" w:hAnsi="Book Antiqua" w:cs="Book Antiqua"/>
        </w:rPr>
        <w:t xml:space="preserve">. Acute gastrointestinal hemorrhage. </w:t>
      </w:r>
      <w:r w:rsidRPr="003E0CD0">
        <w:rPr>
          <w:rFonts w:ascii="Book Antiqua" w:eastAsia="Book Antiqua" w:hAnsi="Book Antiqua" w:cs="Book Antiqua"/>
          <w:i/>
          <w:iCs/>
        </w:rPr>
        <w:t>Tech Vasc Interv Radiol</w:t>
      </w:r>
      <w:r w:rsidRPr="003E0CD0">
        <w:rPr>
          <w:rFonts w:ascii="Book Antiqua" w:eastAsia="Book Antiqua" w:hAnsi="Book Antiqua" w:cs="Book Antiqua"/>
        </w:rPr>
        <w:t xml:space="preserve"> 2009; </w:t>
      </w:r>
      <w:r w:rsidRPr="003E0CD0">
        <w:rPr>
          <w:rFonts w:ascii="Book Antiqua" w:eastAsia="Book Antiqua" w:hAnsi="Book Antiqua" w:cs="Book Antiqua"/>
          <w:b/>
          <w:bCs/>
        </w:rPr>
        <w:t>12</w:t>
      </w:r>
      <w:r w:rsidRPr="003E0CD0">
        <w:rPr>
          <w:rFonts w:ascii="Book Antiqua" w:eastAsia="Book Antiqua" w:hAnsi="Book Antiqua" w:cs="Book Antiqua"/>
        </w:rPr>
        <w:t>: 80-91 [PMID: 19853226 DOI: 10.1053/j.tvir.2009.08.002]</w:t>
      </w:r>
    </w:p>
    <w:p w14:paraId="54A5C51D" w14:textId="77777777" w:rsidR="00A77B3E" w:rsidRPr="003E0CD0" w:rsidRDefault="00000000">
      <w:pPr>
        <w:spacing w:line="360" w:lineRule="auto"/>
        <w:jc w:val="both"/>
      </w:pPr>
      <w:r w:rsidRPr="003E0CD0">
        <w:rPr>
          <w:rFonts w:ascii="Book Antiqua" w:eastAsia="Book Antiqua" w:hAnsi="Book Antiqua" w:cs="Book Antiqua"/>
        </w:rPr>
        <w:t xml:space="preserve">8 </w:t>
      </w:r>
      <w:r w:rsidRPr="003E0CD0">
        <w:rPr>
          <w:rFonts w:ascii="Book Antiqua" w:eastAsia="Book Antiqua" w:hAnsi="Book Antiqua" w:cs="Book Antiqua"/>
          <w:b/>
          <w:bCs/>
        </w:rPr>
        <w:t>Laine L</w:t>
      </w:r>
      <w:r w:rsidRPr="003E0CD0">
        <w:rPr>
          <w:rFonts w:ascii="Book Antiqua" w:eastAsia="Book Antiqua" w:hAnsi="Book Antiqua" w:cs="Book Antiqua"/>
        </w:rPr>
        <w:t xml:space="preserve">, Barkun AN, Saltzman JR, Martel M, Leontiadis GI. ACG Clinical Guideline: Upper Gastrointestinal and Ulcer Bleeding. </w:t>
      </w:r>
      <w:r w:rsidRPr="003E0CD0">
        <w:rPr>
          <w:rFonts w:ascii="Book Antiqua" w:eastAsia="Book Antiqua" w:hAnsi="Book Antiqua" w:cs="Book Antiqua"/>
          <w:i/>
          <w:iCs/>
        </w:rPr>
        <w:t>Am J Gastroenterol</w:t>
      </w:r>
      <w:r w:rsidRPr="003E0CD0">
        <w:rPr>
          <w:rFonts w:ascii="Book Antiqua" w:eastAsia="Book Antiqua" w:hAnsi="Book Antiqua" w:cs="Book Antiqua"/>
        </w:rPr>
        <w:t xml:space="preserve"> 2021; </w:t>
      </w:r>
      <w:r w:rsidRPr="003E0CD0">
        <w:rPr>
          <w:rFonts w:ascii="Book Antiqua" w:eastAsia="Book Antiqua" w:hAnsi="Book Antiqua" w:cs="Book Antiqua"/>
          <w:b/>
          <w:bCs/>
        </w:rPr>
        <w:t>116</w:t>
      </w:r>
      <w:r w:rsidRPr="003E0CD0">
        <w:rPr>
          <w:rFonts w:ascii="Book Antiqua" w:eastAsia="Book Antiqua" w:hAnsi="Book Antiqua" w:cs="Book Antiqua"/>
        </w:rPr>
        <w:t>: 899-917 [PMID: 33929377 DOI: 10.14309/ajg.0000000000001245]</w:t>
      </w:r>
    </w:p>
    <w:p w14:paraId="7687D2CE" w14:textId="77777777" w:rsidR="00A77B3E" w:rsidRPr="003E0CD0" w:rsidRDefault="00000000">
      <w:pPr>
        <w:spacing w:line="360" w:lineRule="auto"/>
        <w:jc w:val="both"/>
      </w:pPr>
      <w:r w:rsidRPr="003E0CD0">
        <w:rPr>
          <w:rFonts w:ascii="Book Antiqua" w:eastAsia="Book Antiqua" w:hAnsi="Book Antiqua" w:cs="Book Antiqua"/>
        </w:rPr>
        <w:t xml:space="preserve">9 </w:t>
      </w:r>
      <w:r w:rsidRPr="003E0CD0">
        <w:rPr>
          <w:rFonts w:ascii="Book Antiqua" w:eastAsia="Book Antiqua" w:hAnsi="Book Antiqua" w:cs="Book Antiqua"/>
          <w:b/>
          <w:bCs/>
        </w:rPr>
        <w:t>Gralnek IM</w:t>
      </w:r>
      <w:r w:rsidRPr="003E0CD0">
        <w:rPr>
          <w:rFonts w:ascii="Book Antiqua" w:eastAsia="Book Antiqua" w:hAnsi="Book Antiqua" w:cs="Book Antiqua"/>
        </w:rPr>
        <w:t xml:space="preserve">, Stanley AJ, Morris AJ, Camus M, Lau J, Lanas A, Laursen SB, Radaelli F, Papanikolaou IS, Cúrdia Gonçalves T, Dinis-Ribeiro M, Awadie H, Braun G, de Groot N, Udd M, Sanchez-Yague A, Neeman Z, van Hooft JE. Endoscopic diagnosis and management of nonvariceal upper gastrointestinal hemorrhage (NVUGIH): European Society of Gastrointestinal Endoscopy (ESGE) Guideline - Update 2021.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2021; </w:t>
      </w:r>
      <w:r w:rsidRPr="003E0CD0">
        <w:rPr>
          <w:rFonts w:ascii="Book Antiqua" w:eastAsia="Book Antiqua" w:hAnsi="Book Antiqua" w:cs="Book Antiqua"/>
          <w:b/>
          <w:bCs/>
        </w:rPr>
        <w:t>53</w:t>
      </w:r>
      <w:r w:rsidRPr="003E0CD0">
        <w:rPr>
          <w:rFonts w:ascii="Book Antiqua" w:eastAsia="Book Antiqua" w:hAnsi="Book Antiqua" w:cs="Book Antiqua"/>
        </w:rPr>
        <w:t>: 300-332 [PMID: 33567467 DOI: 10.1055/a-1369-5274]</w:t>
      </w:r>
    </w:p>
    <w:p w14:paraId="53AF30E8" w14:textId="77777777" w:rsidR="00A77B3E" w:rsidRPr="003E0CD0" w:rsidRDefault="00000000">
      <w:pPr>
        <w:spacing w:line="360" w:lineRule="auto"/>
        <w:jc w:val="both"/>
      </w:pPr>
      <w:r w:rsidRPr="003E0CD0">
        <w:rPr>
          <w:rFonts w:ascii="Book Antiqua" w:eastAsia="Book Antiqua" w:hAnsi="Book Antiqua" w:cs="Book Antiqua"/>
        </w:rPr>
        <w:t xml:space="preserve">10 </w:t>
      </w:r>
      <w:r w:rsidRPr="003E0CD0">
        <w:rPr>
          <w:rFonts w:ascii="Book Antiqua" w:eastAsia="Book Antiqua" w:hAnsi="Book Antiqua" w:cs="Book Antiqua"/>
          <w:b/>
          <w:bCs/>
        </w:rPr>
        <w:t>Sung JJ</w:t>
      </w:r>
      <w:r w:rsidRPr="003E0CD0">
        <w:rPr>
          <w:rFonts w:ascii="Book Antiqua" w:eastAsia="Book Antiqua" w:hAnsi="Book Antiqua" w:cs="Book Antiqua"/>
        </w:rPr>
        <w:t xml:space="preserve">, Chiu PW, Chan FKL, Lau JY, Goh KL, Ho LH, Jung HY, Sollano JD, Gotoda T, Reddy N, Singh R, Sugano K, Wu KC, Wu CY, Bjorkman DJ, Jensen DM, Kuipers EJ, Lanas A. Asia-Pacific working group consensus on non-variceal upper gastrointestinal bleeding: an update 2018. </w:t>
      </w:r>
      <w:r w:rsidRPr="003E0CD0">
        <w:rPr>
          <w:rFonts w:ascii="Book Antiqua" w:eastAsia="Book Antiqua" w:hAnsi="Book Antiqua" w:cs="Book Antiqua"/>
          <w:i/>
          <w:iCs/>
        </w:rPr>
        <w:t>Gut</w:t>
      </w:r>
      <w:r w:rsidRPr="003E0CD0">
        <w:rPr>
          <w:rFonts w:ascii="Book Antiqua" w:eastAsia="Book Antiqua" w:hAnsi="Book Antiqua" w:cs="Book Antiqua"/>
        </w:rPr>
        <w:t xml:space="preserve"> 2018; </w:t>
      </w:r>
      <w:r w:rsidRPr="003E0CD0">
        <w:rPr>
          <w:rFonts w:ascii="Book Antiqua" w:eastAsia="Book Antiqua" w:hAnsi="Book Antiqua" w:cs="Book Antiqua"/>
          <w:b/>
          <w:bCs/>
        </w:rPr>
        <w:t>67</w:t>
      </w:r>
      <w:r w:rsidRPr="003E0CD0">
        <w:rPr>
          <w:rFonts w:ascii="Book Antiqua" w:eastAsia="Book Antiqua" w:hAnsi="Book Antiqua" w:cs="Book Antiqua"/>
        </w:rPr>
        <w:t>: 1757-1768 [PMID: 29691276 DOI: 10.1136/gutjnl-2018-316276]</w:t>
      </w:r>
    </w:p>
    <w:p w14:paraId="02F408BB" w14:textId="77777777" w:rsidR="00A77B3E" w:rsidRPr="003E0CD0" w:rsidRDefault="00000000">
      <w:pPr>
        <w:spacing w:line="360" w:lineRule="auto"/>
        <w:jc w:val="both"/>
      </w:pPr>
      <w:r w:rsidRPr="003E0CD0">
        <w:rPr>
          <w:rFonts w:ascii="Book Antiqua" w:eastAsia="Book Antiqua" w:hAnsi="Book Antiqua" w:cs="Book Antiqua"/>
        </w:rPr>
        <w:t xml:space="preserve">11 </w:t>
      </w:r>
      <w:r w:rsidRPr="003E0CD0">
        <w:rPr>
          <w:rFonts w:ascii="Book Antiqua" w:eastAsia="Book Antiqua" w:hAnsi="Book Antiqua" w:cs="Book Antiqua"/>
          <w:b/>
          <w:bCs/>
        </w:rPr>
        <w:t>Mullady DK</w:t>
      </w:r>
      <w:r w:rsidRPr="003E0CD0">
        <w:rPr>
          <w:rFonts w:ascii="Book Antiqua" w:eastAsia="Book Antiqua" w:hAnsi="Book Antiqua" w:cs="Book Antiqua"/>
        </w:rPr>
        <w:t xml:space="preserve">, Wang AY, Waschke KA. AGA Clinical Practice Update on Endoscopic Therapies for Non-Variceal Upper Gastrointestinal Bleeding: Expert Review. </w:t>
      </w:r>
      <w:r w:rsidRPr="003E0CD0">
        <w:rPr>
          <w:rFonts w:ascii="Book Antiqua" w:eastAsia="Book Antiqua" w:hAnsi="Book Antiqua" w:cs="Book Antiqua"/>
          <w:i/>
          <w:iCs/>
        </w:rPr>
        <w:t>Gastroenterology</w:t>
      </w:r>
      <w:r w:rsidRPr="003E0CD0">
        <w:rPr>
          <w:rFonts w:ascii="Book Antiqua" w:eastAsia="Book Antiqua" w:hAnsi="Book Antiqua" w:cs="Book Antiqua"/>
        </w:rPr>
        <w:t xml:space="preserve"> 2020; </w:t>
      </w:r>
      <w:r w:rsidRPr="003E0CD0">
        <w:rPr>
          <w:rFonts w:ascii="Book Antiqua" w:eastAsia="Book Antiqua" w:hAnsi="Book Antiqua" w:cs="Book Antiqua"/>
          <w:b/>
          <w:bCs/>
        </w:rPr>
        <w:t>159</w:t>
      </w:r>
      <w:r w:rsidRPr="003E0CD0">
        <w:rPr>
          <w:rFonts w:ascii="Book Antiqua" w:eastAsia="Book Antiqua" w:hAnsi="Book Antiqua" w:cs="Book Antiqua"/>
        </w:rPr>
        <w:t>: 1120-1128 [PMID: 32574620 DOI: 10.1053/j.gastro.2020.05.095]</w:t>
      </w:r>
    </w:p>
    <w:p w14:paraId="66FF963E" w14:textId="77777777" w:rsidR="00A77B3E" w:rsidRPr="003E0CD0" w:rsidRDefault="00000000">
      <w:pPr>
        <w:spacing w:line="360" w:lineRule="auto"/>
        <w:jc w:val="both"/>
      </w:pPr>
      <w:r w:rsidRPr="003E0CD0">
        <w:rPr>
          <w:rFonts w:ascii="Book Antiqua" w:eastAsia="Book Antiqua" w:hAnsi="Book Antiqua" w:cs="Book Antiqua"/>
        </w:rPr>
        <w:t xml:space="preserve">12 </w:t>
      </w:r>
      <w:r w:rsidRPr="003E0CD0">
        <w:rPr>
          <w:rFonts w:ascii="Book Antiqua" w:eastAsia="Book Antiqua" w:hAnsi="Book Antiqua" w:cs="Book Antiqua"/>
          <w:b/>
          <w:bCs/>
        </w:rPr>
        <w:t>Barkun AN</w:t>
      </w:r>
      <w:r w:rsidRPr="003E0CD0">
        <w:rPr>
          <w:rFonts w:ascii="Book Antiqua" w:eastAsia="Book Antiqua" w:hAnsi="Book Antiqua" w:cs="Book Antiqua"/>
        </w:rPr>
        <w:t xml:space="preserve">, Almadi M, Kuipers EJ, Laine L, Sung J, Tse F, Leontiadis GI, Abraham NS, Calvet X, Chan FKL, Douketis J, Enns R, Gralnek IM, Jairath V, Jensen D, Lau J, Lip GYH, Loffroy R, Maluf-Filho F, Meltzer AC, Reddy N, Saltzman JR, Marshall JK, Bardou M. Management of Nonvariceal Upper Gastrointestinal Bleeding: Guideline Recommendations From the International Consensus Group. </w:t>
      </w:r>
      <w:r w:rsidRPr="003E0CD0">
        <w:rPr>
          <w:rFonts w:ascii="Book Antiqua" w:eastAsia="Book Antiqua" w:hAnsi="Book Antiqua" w:cs="Book Antiqua"/>
          <w:i/>
          <w:iCs/>
        </w:rPr>
        <w:t>Ann Intern Med</w:t>
      </w:r>
      <w:r w:rsidRPr="003E0CD0">
        <w:rPr>
          <w:rFonts w:ascii="Book Antiqua" w:eastAsia="Book Antiqua" w:hAnsi="Book Antiqua" w:cs="Book Antiqua"/>
        </w:rPr>
        <w:t xml:space="preserve"> 2019; </w:t>
      </w:r>
      <w:r w:rsidRPr="003E0CD0">
        <w:rPr>
          <w:rFonts w:ascii="Book Antiqua" w:eastAsia="Book Antiqua" w:hAnsi="Book Antiqua" w:cs="Book Antiqua"/>
          <w:b/>
          <w:bCs/>
        </w:rPr>
        <w:t>171</w:t>
      </w:r>
      <w:r w:rsidRPr="003E0CD0">
        <w:rPr>
          <w:rFonts w:ascii="Book Antiqua" w:eastAsia="Book Antiqua" w:hAnsi="Book Antiqua" w:cs="Book Antiqua"/>
        </w:rPr>
        <w:t>: 805-822 [PMID: 31634917 DOI: 10.7326/M19-1795]</w:t>
      </w:r>
    </w:p>
    <w:p w14:paraId="7633BE16"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13 </w:t>
      </w:r>
      <w:r w:rsidRPr="003E0CD0">
        <w:rPr>
          <w:rFonts w:ascii="Book Antiqua" w:eastAsia="Book Antiqua" w:hAnsi="Book Antiqua" w:cs="Book Antiqua"/>
          <w:b/>
          <w:bCs/>
        </w:rPr>
        <w:t>Chang MA</w:t>
      </w:r>
      <w:r w:rsidRPr="003E0CD0">
        <w:rPr>
          <w:rFonts w:ascii="Book Antiqua" w:eastAsia="Book Antiqua" w:hAnsi="Book Antiqua" w:cs="Book Antiqua"/>
        </w:rPr>
        <w:t xml:space="preserve">, Savides TJ. Endoscopic Management of Nonvariceal, Nonulcer Upper Gastrointestinal Bleeding. </w:t>
      </w:r>
      <w:r w:rsidRPr="003E0CD0">
        <w:rPr>
          <w:rFonts w:ascii="Book Antiqua" w:eastAsia="Book Antiqua" w:hAnsi="Book Antiqua" w:cs="Book Antiqua"/>
          <w:i/>
          <w:iCs/>
        </w:rPr>
        <w:t>Gastrointest Endosc Clin N Am</w:t>
      </w:r>
      <w:r w:rsidRPr="003E0CD0">
        <w:rPr>
          <w:rFonts w:ascii="Book Antiqua" w:eastAsia="Book Antiqua" w:hAnsi="Book Antiqua" w:cs="Book Antiqua"/>
        </w:rPr>
        <w:t xml:space="preserve"> 2018; </w:t>
      </w:r>
      <w:r w:rsidRPr="003E0CD0">
        <w:rPr>
          <w:rFonts w:ascii="Book Antiqua" w:eastAsia="Book Antiqua" w:hAnsi="Book Antiqua" w:cs="Book Antiqua"/>
          <w:b/>
          <w:bCs/>
        </w:rPr>
        <w:t>28</w:t>
      </w:r>
      <w:r w:rsidRPr="003E0CD0">
        <w:rPr>
          <w:rFonts w:ascii="Book Antiqua" w:eastAsia="Book Antiqua" w:hAnsi="Book Antiqua" w:cs="Book Antiqua"/>
        </w:rPr>
        <w:t>: 291-306 [PMID: 29933776 DOI: 10.1016/j.giec.2018.02.003]</w:t>
      </w:r>
    </w:p>
    <w:p w14:paraId="3A10429C" w14:textId="77777777" w:rsidR="00A77B3E" w:rsidRPr="003E0CD0" w:rsidRDefault="00000000">
      <w:pPr>
        <w:spacing w:line="360" w:lineRule="auto"/>
        <w:jc w:val="both"/>
      </w:pPr>
      <w:r w:rsidRPr="003E0CD0">
        <w:rPr>
          <w:rFonts w:ascii="Book Antiqua" w:eastAsia="Book Antiqua" w:hAnsi="Book Antiqua" w:cs="Book Antiqua"/>
        </w:rPr>
        <w:t xml:space="preserve">14 </w:t>
      </w:r>
      <w:r w:rsidRPr="003E0CD0">
        <w:rPr>
          <w:rFonts w:ascii="Book Antiqua" w:eastAsia="Book Antiqua" w:hAnsi="Book Antiqua" w:cs="Book Antiqua"/>
          <w:b/>
          <w:bCs/>
        </w:rPr>
        <w:t>Di Serafino M</w:t>
      </w:r>
      <w:r w:rsidRPr="003E0CD0">
        <w:rPr>
          <w:rFonts w:ascii="Book Antiqua" w:eastAsia="Book Antiqua" w:hAnsi="Book Antiqua" w:cs="Book Antiqua"/>
        </w:rPr>
        <w:t xml:space="preserve">, Iacobellis F, Schillirò ML, Dell'Aversano Orabona G, Martino A, Bennato R, Borzelli A, Oliva G, D'Errico C, Pezzullo F, Barbuto L, Ronza R, Ponticiello G, Corvino F, Giurazza F, Lombardi G, Niola R, Romano L. The Role of CT-Angiography in the Acute Gastrointestinal Bleeding: A Pictorial Essay of Active and Obscure Findings. </w:t>
      </w:r>
      <w:r w:rsidRPr="003E0CD0">
        <w:rPr>
          <w:rFonts w:ascii="Book Antiqua" w:eastAsia="Book Antiqua" w:hAnsi="Book Antiqua" w:cs="Book Antiqua"/>
          <w:i/>
          <w:iCs/>
        </w:rPr>
        <w:t>Tomography</w:t>
      </w:r>
      <w:r w:rsidRPr="003E0CD0">
        <w:rPr>
          <w:rFonts w:ascii="Book Antiqua" w:eastAsia="Book Antiqua" w:hAnsi="Book Antiqua" w:cs="Book Antiqua"/>
        </w:rPr>
        <w:t xml:space="preserve"> 2022; </w:t>
      </w:r>
      <w:r w:rsidRPr="003E0CD0">
        <w:rPr>
          <w:rFonts w:ascii="Book Antiqua" w:eastAsia="Book Antiqua" w:hAnsi="Book Antiqua" w:cs="Book Antiqua"/>
          <w:b/>
          <w:bCs/>
        </w:rPr>
        <w:t>8</w:t>
      </w:r>
      <w:r w:rsidRPr="003E0CD0">
        <w:rPr>
          <w:rFonts w:ascii="Book Antiqua" w:eastAsia="Book Antiqua" w:hAnsi="Book Antiqua" w:cs="Book Antiqua"/>
        </w:rPr>
        <w:t>: 2369-2402 [PMID: 36287797 DOI: 10.3390/tomography8050198]</w:t>
      </w:r>
    </w:p>
    <w:p w14:paraId="1CD834D0" w14:textId="77777777" w:rsidR="00A77B3E" w:rsidRPr="003E0CD0" w:rsidRDefault="00000000">
      <w:pPr>
        <w:spacing w:line="360" w:lineRule="auto"/>
        <w:jc w:val="both"/>
      </w:pPr>
      <w:r w:rsidRPr="003E0CD0">
        <w:rPr>
          <w:rFonts w:ascii="Book Antiqua" w:eastAsia="Book Antiqua" w:hAnsi="Book Antiqua" w:cs="Book Antiqua"/>
        </w:rPr>
        <w:t xml:space="preserve">15 </w:t>
      </w:r>
      <w:r w:rsidRPr="003E0CD0">
        <w:rPr>
          <w:rFonts w:ascii="Book Antiqua" w:eastAsia="Book Antiqua" w:hAnsi="Book Antiqua" w:cs="Book Antiqua"/>
          <w:b/>
          <w:bCs/>
        </w:rPr>
        <w:t>Parikh K</w:t>
      </w:r>
      <w:r w:rsidRPr="003E0CD0">
        <w:rPr>
          <w:rFonts w:ascii="Book Antiqua" w:eastAsia="Book Antiqua" w:hAnsi="Book Antiqua" w:cs="Book Antiqua"/>
        </w:rPr>
        <w:t xml:space="preserve">, Ali MA, Wong RC. Unusual Causes of Upper Gastrointestinal Bleeding. </w:t>
      </w:r>
      <w:r w:rsidRPr="003E0CD0">
        <w:rPr>
          <w:rFonts w:ascii="Book Antiqua" w:eastAsia="Book Antiqua" w:hAnsi="Book Antiqua" w:cs="Book Antiqua"/>
          <w:i/>
          <w:iCs/>
        </w:rPr>
        <w:t>Gastrointest Endosc Clin N Am</w:t>
      </w:r>
      <w:r w:rsidRPr="003E0CD0">
        <w:rPr>
          <w:rFonts w:ascii="Book Antiqua" w:eastAsia="Book Antiqua" w:hAnsi="Book Antiqua" w:cs="Book Antiqua"/>
        </w:rPr>
        <w:t xml:space="preserve"> 2015; </w:t>
      </w:r>
      <w:r w:rsidRPr="003E0CD0">
        <w:rPr>
          <w:rFonts w:ascii="Book Antiqua" w:eastAsia="Book Antiqua" w:hAnsi="Book Antiqua" w:cs="Book Antiqua"/>
          <w:b/>
          <w:bCs/>
        </w:rPr>
        <w:t>25</w:t>
      </w:r>
      <w:r w:rsidRPr="003E0CD0">
        <w:rPr>
          <w:rFonts w:ascii="Book Antiqua" w:eastAsia="Book Antiqua" w:hAnsi="Book Antiqua" w:cs="Book Antiqua"/>
        </w:rPr>
        <w:t>: 583-605 [PMID: 26142040 DOI: 10.1016/j.giec.2015.02.009]</w:t>
      </w:r>
    </w:p>
    <w:p w14:paraId="2D6ED6BF" w14:textId="77777777" w:rsidR="00A77B3E" w:rsidRPr="003E0CD0" w:rsidRDefault="00000000">
      <w:pPr>
        <w:spacing w:line="360" w:lineRule="auto"/>
        <w:jc w:val="both"/>
      </w:pPr>
      <w:r w:rsidRPr="003E0CD0">
        <w:rPr>
          <w:rFonts w:ascii="Book Antiqua" w:eastAsia="Book Antiqua" w:hAnsi="Book Antiqua" w:cs="Book Antiqua"/>
        </w:rPr>
        <w:t xml:space="preserve">16 </w:t>
      </w:r>
      <w:r w:rsidRPr="003E0CD0">
        <w:rPr>
          <w:rFonts w:ascii="Book Antiqua" w:eastAsia="Book Antiqua" w:hAnsi="Book Antiqua" w:cs="Book Antiqua"/>
          <w:b/>
          <w:bCs/>
        </w:rPr>
        <w:t>Munteanu L</w:t>
      </w:r>
      <w:r w:rsidRPr="003E0CD0">
        <w:rPr>
          <w:rFonts w:ascii="Book Antiqua" w:eastAsia="Book Antiqua" w:hAnsi="Book Antiqua" w:cs="Book Antiqua"/>
        </w:rPr>
        <w:t xml:space="preserve">, Iancu I, Breazu C, Cioltean C, Brânzilă S, Odainii A, Furda P, Bocşe H, Herdean A, Bartoş D, Bartoş A. Rare Causes of Gastrointestinal Bleeding: Focus on Pancreatic Pathology and Visceral Artery Aneurysms. </w:t>
      </w:r>
      <w:r w:rsidRPr="003E0CD0">
        <w:rPr>
          <w:rFonts w:ascii="Book Antiqua" w:eastAsia="Book Antiqua" w:hAnsi="Book Antiqua" w:cs="Book Antiqua"/>
          <w:i/>
          <w:iCs/>
        </w:rPr>
        <w:t>Chirurgia (Bucur)</w:t>
      </w:r>
      <w:r w:rsidRPr="003E0CD0">
        <w:rPr>
          <w:rFonts w:ascii="Book Antiqua" w:eastAsia="Book Antiqua" w:hAnsi="Book Antiqua" w:cs="Book Antiqua"/>
        </w:rPr>
        <w:t xml:space="preserve"> 2021; </w:t>
      </w:r>
      <w:r w:rsidRPr="003E0CD0">
        <w:rPr>
          <w:rFonts w:ascii="Book Antiqua" w:eastAsia="Book Antiqua" w:hAnsi="Book Antiqua" w:cs="Book Antiqua"/>
          <w:b/>
          <w:bCs/>
        </w:rPr>
        <w:t>116</w:t>
      </w:r>
      <w:r w:rsidRPr="003E0CD0">
        <w:rPr>
          <w:rFonts w:ascii="Book Antiqua" w:eastAsia="Book Antiqua" w:hAnsi="Book Antiqua" w:cs="Book Antiqua"/>
        </w:rPr>
        <w:t>: S5-S15 [PMID: 35274607]</w:t>
      </w:r>
    </w:p>
    <w:p w14:paraId="1031264C" w14:textId="07A5A882" w:rsidR="00A77B3E" w:rsidRPr="003E0CD0" w:rsidRDefault="00000000">
      <w:pPr>
        <w:spacing w:line="360" w:lineRule="auto"/>
        <w:jc w:val="both"/>
      </w:pPr>
      <w:r w:rsidRPr="003E0CD0">
        <w:rPr>
          <w:rFonts w:ascii="Book Antiqua" w:eastAsia="Book Antiqua" w:hAnsi="Book Antiqua" w:cs="Book Antiqua"/>
        </w:rPr>
        <w:t xml:space="preserve">17 </w:t>
      </w:r>
      <w:r w:rsidRPr="003E0CD0">
        <w:rPr>
          <w:rFonts w:ascii="Book Antiqua" w:eastAsia="Book Antiqua" w:hAnsi="Book Antiqua" w:cs="Book Antiqua"/>
          <w:b/>
          <w:bCs/>
        </w:rPr>
        <w:t>Cooper A</w:t>
      </w:r>
      <w:r w:rsidRPr="003E0CD0">
        <w:rPr>
          <w:rFonts w:ascii="Book Antiqua" w:eastAsia="Book Antiqua" w:hAnsi="Book Antiqua" w:cs="Book Antiqua"/>
        </w:rPr>
        <w:t>. Lectures on principles and practice of surgery with additional notes and cases by tyrrell. 5th edition. Philadelphia: Haswell</w:t>
      </w:r>
      <w:r w:rsidR="0035439C" w:rsidRPr="003E0CD0">
        <w:rPr>
          <w:rFonts w:ascii="Book Antiqua" w:eastAsia="Book Antiqua" w:hAnsi="Book Antiqua" w:cs="Book Antiqua"/>
        </w:rPr>
        <w:t>,</w:t>
      </w:r>
      <w:r w:rsidRPr="003E0CD0">
        <w:rPr>
          <w:rFonts w:ascii="Book Antiqua" w:eastAsia="Book Antiqua" w:hAnsi="Book Antiqua" w:cs="Book Antiqua"/>
        </w:rPr>
        <w:t xml:space="preserve"> 1839</w:t>
      </w:r>
    </w:p>
    <w:p w14:paraId="4896DAF8" w14:textId="77777777" w:rsidR="00A77B3E" w:rsidRPr="003E0CD0" w:rsidRDefault="00000000">
      <w:pPr>
        <w:spacing w:line="360" w:lineRule="auto"/>
        <w:jc w:val="both"/>
      </w:pPr>
      <w:r w:rsidRPr="003E0CD0">
        <w:rPr>
          <w:rFonts w:ascii="Book Antiqua" w:eastAsia="Book Antiqua" w:hAnsi="Book Antiqua" w:cs="Book Antiqua"/>
        </w:rPr>
        <w:t xml:space="preserve">18 </w:t>
      </w:r>
      <w:r w:rsidRPr="003E0CD0">
        <w:rPr>
          <w:rFonts w:ascii="Book Antiqua" w:eastAsia="Book Antiqua" w:hAnsi="Book Antiqua" w:cs="Book Antiqua"/>
          <w:b/>
          <w:bCs/>
        </w:rPr>
        <w:t>Chung J</w:t>
      </w:r>
      <w:r w:rsidRPr="003E0CD0">
        <w:rPr>
          <w:rFonts w:ascii="Book Antiqua" w:eastAsia="Book Antiqua" w:hAnsi="Book Antiqua" w:cs="Book Antiqua"/>
        </w:rPr>
        <w:t xml:space="preserve">. Management of Aortoenteric Fistula. </w:t>
      </w:r>
      <w:r w:rsidRPr="003E0CD0">
        <w:rPr>
          <w:rFonts w:ascii="Book Antiqua" w:eastAsia="Book Antiqua" w:hAnsi="Book Antiqua" w:cs="Book Antiqua"/>
          <w:i/>
          <w:iCs/>
        </w:rPr>
        <w:t>Adv Surg</w:t>
      </w:r>
      <w:r w:rsidRPr="003E0CD0">
        <w:rPr>
          <w:rFonts w:ascii="Book Antiqua" w:eastAsia="Book Antiqua" w:hAnsi="Book Antiqua" w:cs="Book Antiqua"/>
        </w:rPr>
        <w:t xml:space="preserve"> 2018; </w:t>
      </w:r>
      <w:r w:rsidRPr="003E0CD0">
        <w:rPr>
          <w:rFonts w:ascii="Book Antiqua" w:eastAsia="Book Antiqua" w:hAnsi="Book Antiqua" w:cs="Book Antiqua"/>
          <w:b/>
          <w:bCs/>
        </w:rPr>
        <w:t>52</w:t>
      </w:r>
      <w:r w:rsidRPr="003E0CD0">
        <w:rPr>
          <w:rFonts w:ascii="Book Antiqua" w:eastAsia="Book Antiqua" w:hAnsi="Book Antiqua" w:cs="Book Antiqua"/>
        </w:rPr>
        <w:t>: 155-177 [PMID: 30098611 DOI: 10.1016/j.yasu.2018.03.007]</w:t>
      </w:r>
    </w:p>
    <w:p w14:paraId="5E5B401F" w14:textId="77777777" w:rsidR="00A77B3E" w:rsidRPr="003E0CD0" w:rsidRDefault="00000000">
      <w:pPr>
        <w:spacing w:line="360" w:lineRule="auto"/>
        <w:jc w:val="both"/>
      </w:pPr>
      <w:r w:rsidRPr="003E0CD0">
        <w:rPr>
          <w:rFonts w:ascii="Book Antiqua" w:eastAsia="Book Antiqua" w:hAnsi="Book Antiqua" w:cs="Book Antiqua"/>
        </w:rPr>
        <w:t xml:space="preserve">19 </w:t>
      </w:r>
      <w:r w:rsidRPr="003E0CD0">
        <w:rPr>
          <w:rFonts w:ascii="Book Antiqua" w:eastAsia="Book Antiqua" w:hAnsi="Book Antiqua" w:cs="Book Antiqua"/>
          <w:b/>
          <w:bCs/>
        </w:rPr>
        <w:t>Saers SJ</w:t>
      </w:r>
      <w:r w:rsidRPr="003E0CD0">
        <w:rPr>
          <w:rFonts w:ascii="Book Antiqua" w:eastAsia="Book Antiqua" w:hAnsi="Book Antiqua" w:cs="Book Antiqua"/>
        </w:rPr>
        <w:t xml:space="preserve">, Scheltinga MR. Primary aortoenteric fistula. </w:t>
      </w:r>
      <w:r w:rsidRPr="003E0CD0">
        <w:rPr>
          <w:rFonts w:ascii="Book Antiqua" w:eastAsia="Book Antiqua" w:hAnsi="Book Antiqua" w:cs="Book Antiqua"/>
          <w:i/>
          <w:iCs/>
        </w:rPr>
        <w:t>Br J Surg</w:t>
      </w:r>
      <w:r w:rsidRPr="003E0CD0">
        <w:rPr>
          <w:rFonts w:ascii="Book Antiqua" w:eastAsia="Book Antiqua" w:hAnsi="Book Antiqua" w:cs="Book Antiqua"/>
        </w:rPr>
        <w:t xml:space="preserve"> 2005; </w:t>
      </w:r>
      <w:r w:rsidRPr="003E0CD0">
        <w:rPr>
          <w:rFonts w:ascii="Book Antiqua" w:eastAsia="Book Antiqua" w:hAnsi="Book Antiqua" w:cs="Book Antiqua"/>
          <w:b/>
          <w:bCs/>
        </w:rPr>
        <w:t>92</w:t>
      </w:r>
      <w:r w:rsidRPr="003E0CD0">
        <w:rPr>
          <w:rFonts w:ascii="Book Antiqua" w:eastAsia="Book Antiqua" w:hAnsi="Book Antiqua" w:cs="Book Antiqua"/>
        </w:rPr>
        <w:t>: 143-152 [PMID: 15685700 DOI: 10.1002/bjs.4928]</w:t>
      </w:r>
    </w:p>
    <w:p w14:paraId="6DB7D1E8" w14:textId="77777777" w:rsidR="00A77B3E" w:rsidRPr="003E0CD0" w:rsidRDefault="00000000">
      <w:pPr>
        <w:spacing w:line="360" w:lineRule="auto"/>
        <w:jc w:val="both"/>
      </w:pPr>
      <w:r w:rsidRPr="003E0CD0">
        <w:rPr>
          <w:rFonts w:ascii="Book Antiqua" w:eastAsia="Book Antiqua" w:hAnsi="Book Antiqua" w:cs="Book Antiqua"/>
        </w:rPr>
        <w:t xml:space="preserve">20 </w:t>
      </w:r>
      <w:r w:rsidRPr="003E0CD0">
        <w:rPr>
          <w:rFonts w:ascii="Book Antiqua" w:eastAsia="Book Antiqua" w:hAnsi="Book Antiqua" w:cs="Book Antiqua"/>
          <w:b/>
          <w:bCs/>
        </w:rPr>
        <w:t>Kakkos SK</w:t>
      </w:r>
      <w:r w:rsidRPr="003E0CD0">
        <w:rPr>
          <w:rFonts w:ascii="Book Antiqua" w:eastAsia="Book Antiqua" w:hAnsi="Book Antiqua" w:cs="Book Antiqua"/>
        </w:rPr>
        <w:t xml:space="preserve">, Bicknell CD, Tsolakis IA, Bergqvist D; Hellenic Co-operative Group on Aortic Surgery. Editor's Choice - Management of Secondary Aorto-enteric and Other Abdominal Arterio-enteric Fistulas: A Review and Pooled Data Analysis. </w:t>
      </w:r>
      <w:r w:rsidRPr="003E0CD0">
        <w:rPr>
          <w:rFonts w:ascii="Book Antiqua" w:eastAsia="Book Antiqua" w:hAnsi="Book Antiqua" w:cs="Book Antiqua"/>
          <w:i/>
          <w:iCs/>
        </w:rPr>
        <w:t>Eur J Vasc Endovasc Surg</w:t>
      </w:r>
      <w:r w:rsidRPr="003E0CD0">
        <w:rPr>
          <w:rFonts w:ascii="Book Antiqua" w:eastAsia="Book Antiqua" w:hAnsi="Book Antiqua" w:cs="Book Antiqua"/>
        </w:rPr>
        <w:t xml:space="preserve"> 2016; </w:t>
      </w:r>
      <w:r w:rsidRPr="003E0CD0">
        <w:rPr>
          <w:rFonts w:ascii="Book Antiqua" w:eastAsia="Book Antiqua" w:hAnsi="Book Antiqua" w:cs="Book Antiqua"/>
          <w:b/>
          <w:bCs/>
        </w:rPr>
        <w:t>52</w:t>
      </w:r>
      <w:r w:rsidRPr="003E0CD0">
        <w:rPr>
          <w:rFonts w:ascii="Book Antiqua" w:eastAsia="Book Antiqua" w:hAnsi="Book Antiqua" w:cs="Book Antiqua"/>
        </w:rPr>
        <w:t>: 770-786 [PMID: 27838156 DOI: 10.1016/j.ejvs.2016.09.014]</w:t>
      </w:r>
    </w:p>
    <w:p w14:paraId="3FFC99A8" w14:textId="77777777" w:rsidR="00A77B3E" w:rsidRPr="003E0CD0" w:rsidRDefault="00000000">
      <w:pPr>
        <w:spacing w:line="360" w:lineRule="auto"/>
        <w:jc w:val="both"/>
      </w:pPr>
      <w:r w:rsidRPr="003E0CD0">
        <w:rPr>
          <w:rFonts w:ascii="Book Antiqua" w:eastAsia="Book Antiqua" w:hAnsi="Book Antiqua" w:cs="Book Antiqua"/>
        </w:rPr>
        <w:t xml:space="preserve">21 </w:t>
      </w:r>
      <w:r w:rsidRPr="003E0CD0">
        <w:rPr>
          <w:rFonts w:ascii="Book Antiqua" w:eastAsia="Book Antiqua" w:hAnsi="Book Antiqua" w:cs="Book Antiqua"/>
          <w:b/>
          <w:bCs/>
        </w:rPr>
        <w:t>Burks JA Jr</w:t>
      </w:r>
      <w:r w:rsidRPr="003E0CD0">
        <w:rPr>
          <w:rFonts w:ascii="Book Antiqua" w:eastAsia="Book Antiqua" w:hAnsi="Book Antiqua" w:cs="Book Antiqua"/>
        </w:rPr>
        <w:t xml:space="preserve">, Faries PL, Gravereaux EC, Hollier LH, Marin ML. Endovascular repair of bleeding aortoenteric fistulas: a 5-year experience. </w:t>
      </w:r>
      <w:r w:rsidRPr="003E0CD0">
        <w:rPr>
          <w:rFonts w:ascii="Book Antiqua" w:eastAsia="Book Antiqua" w:hAnsi="Book Antiqua" w:cs="Book Antiqua"/>
          <w:i/>
          <w:iCs/>
        </w:rPr>
        <w:t>J Vasc Surg</w:t>
      </w:r>
      <w:r w:rsidRPr="003E0CD0">
        <w:rPr>
          <w:rFonts w:ascii="Book Antiqua" w:eastAsia="Book Antiqua" w:hAnsi="Book Antiqua" w:cs="Book Antiqua"/>
        </w:rPr>
        <w:t xml:space="preserve"> 2001; </w:t>
      </w:r>
      <w:r w:rsidRPr="003E0CD0">
        <w:rPr>
          <w:rFonts w:ascii="Book Antiqua" w:eastAsia="Book Antiqua" w:hAnsi="Book Antiqua" w:cs="Book Antiqua"/>
          <w:b/>
          <w:bCs/>
        </w:rPr>
        <w:t>34</w:t>
      </w:r>
      <w:r w:rsidRPr="003E0CD0">
        <w:rPr>
          <w:rFonts w:ascii="Book Antiqua" w:eastAsia="Book Antiqua" w:hAnsi="Book Antiqua" w:cs="Book Antiqua"/>
        </w:rPr>
        <w:t>: 1055-1059 [PMID: 11743560 DOI: 10.1067/mva.2001.119752]</w:t>
      </w:r>
    </w:p>
    <w:p w14:paraId="589F9CEB"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22 </w:t>
      </w:r>
      <w:r w:rsidRPr="003E0CD0">
        <w:rPr>
          <w:rFonts w:ascii="Book Antiqua" w:eastAsia="Book Antiqua" w:hAnsi="Book Antiqua" w:cs="Book Antiqua"/>
          <w:b/>
          <w:bCs/>
        </w:rPr>
        <w:t>Voorhoeve R</w:t>
      </w:r>
      <w:r w:rsidRPr="003E0CD0">
        <w:rPr>
          <w:rFonts w:ascii="Book Antiqua" w:eastAsia="Book Antiqua" w:hAnsi="Book Antiqua" w:cs="Book Antiqua"/>
        </w:rPr>
        <w:t xml:space="preserve">, Moll FL, de Letter JA, Bast TJ, Wester JP, Slee PH. Primary aortoenteric fistula: report of eight new cases and review of the literature. </w:t>
      </w:r>
      <w:r w:rsidRPr="003E0CD0">
        <w:rPr>
          <w:rFonts w:ascii="Book Antiqua" w:eastAsia="Book Antiqua" w:hAnsi="Book Antiqua" w:cs="Book Antiqua"/>
          <w:i/>
          <w:iCs/>
        </w:rPr>
        <w:t>Ann Vasc Surg</w:t>
      </w:r>
      <w:r w:rsidRPr="003E0CD0">
        <w:rPr>
          <w:rFonts w:ascii="Book Antiqua" w:eastAsia="Book Antiqua" w:hAnsi="Book Antiqua" w:cs="Book Antiqua"/>
        </w:rPr>
        <w:t xml:space="preserve"> 1996; </w:t>
      </w:r>
      <w:r w:rsidRPr="003E0CD0">
        <w:rPr>
          <w:rFonts w:ascii="Book Antiqua" w:eastAsia="Book Antiqua" w:hAnsi="Book Antiqua" w:cs="Book Antiqua"/>
          <w:b/>
          <w:bCs/>
        </w:rPr>
        <w:t>10</w:t>
      </w:r>
      <w:r w:rsidRPr="003E0CD0">
        <w:rPr>
          <w:rFonts w:ascii="Book Antiqua" w:eastAsia="Book Antiqua" w:hAnsi="Book Antiqua" w:cs="Book Antiqua"/>
        </w:rPr>
        <w:t>: 40-48 [PMID: 8688296 DOI: 10.1007/BF02002340]</w:t>
      </w:r>
    </w:p>
    <w:p w14:paraId="7E53C9DF" w14:textId="77777777" w:rsidR="00A77B3E" w:rsidRPr="003E0CD0" w:rsidRDefault="00000000">
      <w:pPr>
        <w:spacing w:line="360" w:lineRule="auto"/>
        <w:jc w:val="both"/>
      </w:pPr>
      <w:r w:rsidRPr="003E0CD0">
        <w:rPr>
          <w:rFonts w:ascii="Book Antiqua" w:eastAsia="Book Antiqua" w:hAnsi="Book Antiqua" w:cs="Book Antiqua"/>
        </w:rPr>
        <w:t xml:space="preserve">23 </w:t>
      </w:r>
      <w:r w:rsidRPr="003E0CD0">
        <w:rPr>
          <w:rFonts w:ascii="Book Antiqua" w:eastAsia="Book Antiqua" w:hAnsi="Book Antiqua" w:cs="Book Antiqua"/>
          <w:b/>
          <w:bCs/>
        </w:rPr>
        <w:t>Chopra A</w:t>
      </w:r>
      <w:r w:rsidRPr="003E0CD0">
        <w:rPr>
          <w:rFonts w:ascii="Book Antiqua" w:eastAsia="Book Antiqua" w:hAnsi="Book Antiqua" w:cs="Book Antiqua"/>
        </w:rPr>
        <w:t xml:space="preserve">, Cieciura L, Modrall JG, Valentine RJ, Chung J. Twenty-Year Experience with Aorto-Enteric Fistula Repair: Gastrointestinal Complications Predict Mortality. </w:t>
      </w:r>
      <w:r w:rsidRPr="003E0CD0">
        <w:rPr>
          <w:rFonts w:ascii="Book Antiqua" w:eastAsia="Book Antiqua" w:hAnsi="Book Antiqua" w:cs="Book Antiqua"/>
          <w:i/>
          <w:iCs/>
        </w:rPr>
        <w:t>J Am Coll Surg</w:t>
      </w:r>
      <w:r w:rsidRPr="003E0CD0">
        <w:rPr>
          <w:rFonts w:ascii="Book Antiqua" w:eastAsia="Book Antiqua" w:hAnsi="Book Antiqua" w:cs="Book Antiqua"/>
        </w:rPr>
        <w:t xml:space="preserve"> 2017; </w:t>
      </w:r>
      <w:r w:rsidRPr="003E0CD0">
        <w:rPr>
          <w:rFonts w:ascii="Book Antiqua" w:eastAsia="Book Antiqua" w:hAnsi="Book Antiqua" w:cs="Book Antiqua"/>
          <w:b/>
          <w:bCs/>
        </w:rPr>
        <w:t>225</w:t>
      </w:r>
      <w:r w:rsidRPr="003E0CD0">
        <w:rPr>
          <w:rFonts w:ascii="Book Antiqua" w:eastAsia="Book Antiqua" w:hAnsi="Book Antiqua" w:cs="Book Antiqua"/>
        </w:rPr>
        <w:t>: 9-18 [PMID: 28161484 DOI: 10.1016/j.jamcollsurg.2017.01.050]</w:t>
      </w:r>
    </w:p>
    <w:p w14:paraId="6F745C6E" w14:textId="77777777" w:rsidR="00A77B3E" w:rsidRPr="003E0CD0" w:rsidRDefault="00000000">
      <w:pPr>
        <w:spacing w:line="360" w:lineRule="auto"/>
        <w:jc w:val="both"/>
      </w:pPr>
      <w:r w:rsidRPr="003E0CD0">
        <w:rPr>
          <w:rFonts w:ascii="Book Antiqua" w:eastAsia="Book Antiqua" w:hAnsi="Book Antiqua" w:cs="Book Antiqua"/>
        </w:rPr>
        <w:t xml:space="preserve">24 </w:t>
      </w:r>
      <w:r w:rsidRPr="003E0CD0">
        <w:rPr>
          <w:rFonts w:ascii="Book Antiqua" w:eastAsia="Book Antiqua" w:hAnsi="Book Antiqua" w:cs="Book Antiqua"/>
          <w:b/>
          <w:bCs/>
        </w:rPr>
        <w:t>Sipe A</w:t>
      </w:r>
      <w:r w:rsidRPr="003E0CD0">
        <w:rPr>
          <w:rFonts w:ascii="Book Antiqua" w:eastAsia="Book Antiqua" w:hAnsi="Book Antiqua" w:cs="Book Antiqua"/>
        </w:rPr>
        <w:t xml:space="preserve">, McWilliams SR, Saling L, Raptis C, Mellnick V, Bhalla S. The red connection: a review of aortic and arterial fistulae with an emphasis on CT findings. </w:t>
      </w:r>
      <w:r w:rsidRPr="003E0CD0">
        <w:rPr>
          <w:rFonts w:ascii="Book Antiqua" w:eastAsia="Book Antiqua" w:hAnsi="Book Antiqua" w:cs="Book Antiqua"/>
          <w:i/>
          <w:iCs/>
        </w:rPr>
        <w:t>Emerg Radiol</w:t>
      </w:r>
      <w:r w:rsidRPr="003E0CD0">
        <w:rPr>
          <w:rFonts w:ascii="Book Antiqua" w:eastAsia="Book Antiqua" w:hAnsi="Book Antiqua" w:cs="Book Antiqua"/>
        </w:rPr>
        <w:t xml:space="preserve"> 2017; </w:t>
      </w:r>
      <w:r w:rsidRPr="003E0CD0">
        <w:rPr>
          <w:rFonts w:ascii="Book Antiqua" w:eastAsia="Book Antiqua" w:hAnsi="Book Antiqua" w:cs="Book Antiqua"/>
          <w:b/>
          <w:bCs/>
        </w:rPr>
        <w:t>24</w:t>
      </w:r>
      <w:r w:rsidRPr="003E0CD0">
        <w:rPr>
          <w:rFonts w:ascii="Book Antiqua" w:eastAsia="Book Antiqua" w:hAnsi="Book Antiqua" w:cs="Book Antiqua"/>
        </w:rPr>
        <w:t>: 73-80 [PMID: 27553778 DOI: 10.1007/s10140-016-1433-y]</w:t>
      </w:r>
    </w:p>
    <w:p w14:paraId="5E0AE1DE" w14:textId="77777777" w:rsidR="00A77B3E" w:rsidRPr="003E0CD0" w:rsidRDefault="00000000">
      <w:pPr>
        <w:spacing w:line="360" w:lineRule="auto"/>
        <w:jc w:val="both"/>
      </w:pPr>
      <w:r w:rsidRPr="003E0CD0">
        <w:rPr>
          <w:rFonts w:ascii="Book Antiqua" w:eastAsia="Book Antiqua" w:hAnsi="Book Antiqua" w:cs="Book Antiqua"/>
        </w:rPr>
        <w:t xml:space="preserve">25 </w:t>
      </w:r>
      <w:r w:rsidRPr="003E0CD0">
        <w:rPr>
          <w:rFonts w:ascii="Book Antiqua" w:eastAsia="Book Antiqua" w:hAnsi="Book Antiqua" w:cs="Book Antiqua"/>
          <w:b/>
          <w:bCs/>
        </w:rPr>
        <w:t>Partovi S</w:t>
      </w:r>
      <w:r w:rsidRPr="003E0CD0">
        <w:rPr>
          <w:rFonts w:ascii="Book Antiqua" w:eastAsia="Book Antiqua" w:hAnsi="Book Antiqua" w:cs="Book Antiqua"/>
        </w:rPr>
        <w:t xml:space="preserve">, Trischman T, Sheth RA, Huynh TTT, Davidson JC, Prabhakar AM, Ganguli S. Imaging work-up and endovascular treatment options for aorto-enteric fistula. </w:t>
      </w:r>
      <w:r w:rsidRPr="003E0CD0">
        <w:rPr>
          <w:rFonts w:ascii="Book Antiqua" w:eastAsia="Book Antiqua" w:hAnsi="Book Antiqua" w:cs="Book Antiqua"/>
          <w:i/>
          <w:iCs/>
        </w:rPr>
        <w:t>Cardiovasc Diagn Ther</w:t>
      </w:r>
      <w:r w:rsidRPr="003E0CD0">
        <w:rPr>
          <w:rFonts w:ascii="Book Antiqua" w:eastAsia="Book Antiqua" w:hAnsi="Book Antiqua" w:cs="Book Antiqua"/>
        </w:rPr>
        <w:t xml:space="preserve"> 2018; </w:t>
      </w:r>
      <w:r w:rsidRPr="003E0CD0">
        <w:rPr>
          <w:rFonts w:ascii="Book Antiqua" w:eastAsia="Book Antiqua" w:hAnsi="Book Antiqua" w:cs="Book Antiqua"/>
          <w:b/>
          <w:bCs/>
        </w:rPr>
        <w:t>8</w:t>
      </w:r>
      <w:r w:rsidRPr="003E0CD0">
        <w:rPr>
          <w:rFonts w:ascii="Book Antiqua" w:eastAsia="Book Antiqua" w:hAnsi="Book Antiqua" w:cs="Book Antiqua"/>
        </w:rPr>
        <w:t>: S200-S207 [PMID: 29850432 DOI: 10.21037/cdt.2017.10.05]</w:t>
      </w:r>
    </w:p>
    <w:p w14:paraId="6287EFDE" w14:textId="77777777" w:rsidR="00A77B3E" w:rsidRPr="003E0CD0" w:rsidRDefault="00000000">
      <w:pPr>
        <w:spacing w:line="360" w:lineRule="auto"/>
        <w:jc w:val="both"/>
      </w:pPr>
      <w:r w:rsidRPr="003E0CD0">
        <w:rPr>
          <w:rFonts w:ascii="Book Antiqua" w:eastAsia="Book Antiqua" w:hAnsi="Book Antiqua" w:cs="Book Antiqua"/>
        </w:rPr>
        <w:t xml:space="preserve">26 </w:t>
      </w:r>
      <w:r w:rsidRPr="003E0CD0">
        <w:rPr>
          <w:rFonts w:ascii="Book Antiqua" w:eastAsia="Book Antiqua" w:hAnsi="Book Antiqua" w:cs="Book Antiqua"/>
          <w:b/>
          <w:bCs/>
        </w:rPr>
        <w:t>Vu QD</w:t>
      </w:r>
      <w:r w:rsidRPr="003E0CD0">
        <w:rPr>
          <w:rFonts w:ascii="Book Antiqua" w:eastAsia="Book Antiqua" w:hAnsi="Book Antiqua" w:cs="Book Antiqua"/>
        </w:rPr>
        <w:t xml:space="preserve">, Menias CO, Bhalla S, Peterson C, Wang LL, Balfe DM. Aortoenteric fistulas: CT features and potential mimics. </w:t>
      </w:r>
      <w:r w:rsidRPr="003E0CD0">
        <w:rPr>
          <w:rFonts w:ascii="Book Antiqua" w:eastAsia="Book Antiqua" w:hAnsi="Book Antiqua" w:cs="Book Antiqua"/>
          <w:i/>
          <w:iCs/>
        </w:rPr>
        <w:t>Radiographics</w:t>
      </w:r>
      <w:r w:rsidRPr="003E0CD0">
        <w:rPr>
          <w:rFonts w:ascii="Book Antiqua" w:eastAsia="Book Antiqua" w:hAnsi="Book Antiqua" w:cs="Book Antiqua"/>
        </w:rPr>
        <w:t xml:space="preserve"> 2009; </w:t>
      </w:r>
      <w:r w:rsidRPr="003E0CD0">
        <w:rPr>
          <w:rFonts w:ascii="Book Antiqua" w:eastAsia="Book Antiqua" w:hAnsi="Book Antiqua" w:cs="Book Antiqua"/>
          <w:b/>
          <w:bCs/>
        </w:rPr>
        <w:t>29</w:t>
      </w:r>
      <w:r w:rsidRPr="003E0CD0">
        <w:rPr>
          <w:rFonts w:ascii="Book Antiqua" w:eastAsia="Book Antiqua" w:hAnsi="Book Antiqua" w:cs="Book Antiqua"/>
        </w:rPr>
        <w:t>: 197-209 [PMID: 19168845 DOI: 10.1148/rg.291075185]</w:t>
      </w:r>
    </w:p>
    <w:p w14:paraId="1409F8E9" w14:textId="77777777" w:rsidR="00A77B3E" w:rsidRPr="003E0CD0" w:rsidRDefault="00000000">
      <w:pPr>
        <w:spacing w:line="360" w:lineRule="auto"/>
        <w:jc w:val="both"/>
      </w:pPr>
      <w:r w:rsidRPr="003E0CD0">
        <w:rPr>
          <w:rFonts w:ascii="Book Antiqua" w:eastAsia="Book Antiqua" w:hAnsi="Book Antiqua" w:cs="Book Antiqua"/>
        </w:rPr>
        <w:t xml:space="preserve">27 </w:t>
      </w:r>
      <w:r w:rsidRPr="003E0CD0">
        <w:rPr>
          <w:rFonts w:ascii="Book Antiqua" w:eastAsia="Book Antiqua" w:hAnsi="Book Antiqua" w:cs="Book Antiqua"/>
          <w:b/>
          <w:bCs/>
        </w:rPr>
        <w:t>Busuttil SJ</w:t>
      </w:r>
      <w:r w:rsidRPr="003E0CD0">
        <w:rPr>
          <w:rFonts w:ascii="Book Antiqua" w:eastAsia="Book Antiqua" w:hAnsi="Book Antiqua" w:cs="Book Antiqua"/>
        </w:rPr>
        <w:t xml:space="preserve">, Goldstone J. Diagnosis and management of aortoenteric fistulas. </w:t>
      </w:r>
      <w:r w:rsidRPr="003E0CD0">
        <w:rPr>
          <w:rFonts w:ascii="Book Antiqua" w:eastAsia="Book Antiqua" w:hAnsi="Book Antiqua" w:cs="Book Antiqua"/>
          <w:i/>
          <w:iCs/>
        </w:rPr>
        <w:t>Semin Vasc Surg</w:t>
      </w:r>
      <w:r w:rsidRPr="003E0CD0">
        <w:rPr>
          <w:rFonts w:ascii="Book Antiqua" w:eastAsia="Book Antiqua" w:hAnsi="Book Antiqua" w:cs="Book Antiqua"/>
        </w:rPr>
        <w:t xml:space="preserve"> 2001; </w:t>
      </w:r>
      <w:r w:rsidRPr="003E0CD0">
        <w:rPr>
          <w:rFonts w:ascii="Book Antiqua" w:eastAsia="Book Antiqua" w:hAnsi="Book Antiqua" w:cs="Book Antiqua"/>
          <w:b/>
          <w:bCs/>
        </w:rPr>
        <w:t>14</w:t>
      </w:r>
      <w:r w:rsidRPr="003E0CD0">
        <w:rPr>
          <w:rFonts w:ascii="Book Antiqua" w:eastAsia="Book Antiqua" w:hAnsi="Book Antiqua" w:cs="Book Antiqua"/>
        </w:rPr>
        <w:t>: 302-311 [PMID: 11740838 DOI: 10.1053/svas.2001.27888]</w:t>
      </w:r>
    </w:p>
    <w:p w14:paraId="5D9EAD47" w14:textId="77777777" w:rsidR="00A77B3E" w:rsidRPr="003E0CD0" w:rsidRDefault="00000000">
      <w:pPr>
        <w:spacing w:line="360" w:lineRule="auto"/>
        <w:jc w:val="both"/>
      </w:pPr>
      <w:r w:rsidRPr="003E0CD0">
        <w:rPr>
          <w:rFonts w:ascii="Book Antiqua" w:eastAsia="Book Antiqua" w:hAnsi="Book Antiqua" w:cs="Book Antiqua"/>
        </w:rPr>
        <w:t xml:space="preserve">28 </w:t>
      </w:r>
      <w:r w:rsidRPr="003E0CD0">
        <w:rPr>
          <w:rFonts w:ascii="Book Antiqua" w:eastAsia="Book Antiqua" w:hAnsi="Book Antiqua" w:cs="Book Antiqua"/>
          <w:b/>
          <w:bCs/>
        </w:rPr>
        <w:t>Martino A</w:t>
      </w:r>
      <w:r w:rsidRPr="003E0CD0">
        <w:rPr>
          <w:rFonts w:ascii="Book Antiqua" w:eastAsia="Book Antiqua" w:hAnsi="Book Antiqua" w:cs="Book Antiqua"/>
        </w:rPr>
        <w:t xml:space="preserve">, Bennato R, Oliva G, Pontarelli A, Picascia D, Romano L, Lombardi G. Primary aortogastric fistula: an extraordinary rare endoscopic finding in the setting of upper gastrointestinal bleeding.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2021; </w:t>
      </w:r>
      <w:r w:rsidRPr="003E0CD0">
        <w:rPr>
          <w:rFonts w:ascii="Book Antiqua" w:eastAsia="Book Antiqua" w:hAnsi="Book Antiqua" w:cs="Book Antiqua"/>
          <w:b/>
          <w:bCs/>
        </w:rPr>
        <w:t>53</w:t>
      </w:r>
      <w:r w:rsidRPr="003E0CD0">
        <w:rPr>
          <w:rFonts w:ascii="Book Antiqua" w:eastAsia="Book Antiqua" w:hAnsi="Book Antiqua" w:cs="Book Antiqua"/>
        </w:rPr>
        <w:t>: E60-E61 [PMID: 32559781 DOI: 10.1055/a-1180-7701]</w:t>
      </w:r>
    </w:p>
    <w:p w14:paraId="2B6A6432" w14:textId="77777777" w:rsidR="00A77B3E" w:rsidRPr="003E0CD0" w:rsidRDefault="00000000">
      <w:pPr>
        <w:spacing w:line="360" w:lineRule="auto"/>
        <w:jc w:val="both"/>
      </w:pPr>
      <w:r w:rsidRPr="003E0CD0">
        <w:rPr>
          <w:rFonts w:ascii="Book Antiqua" w:eastAsia="Book Antiqua" w:hAnsi="Book Antiqua" w:cs="Book Antiqua"/>
        </w:rPr>
        <w:t xml:space="preserve">29 </w:t>
      </w:r>
      <w:r w:rsidRPr="003E0CD0">
        <w:rPr>
          <w:rFonts w:ascii="Book Antiqua" w:eastAsia="Book Antiqua" w:hAnsi="Book Antiqua" w:cs="Book Antiqua"/>
          <w:b/>
          <w:bCs/>
        </w:rPr>
        <w:t>Yang DY</w:t>
      </w:r>
      <w:r w:rsidRPr="003E0CD0">
        <w:rPr>
          <w:rFonts w:ascii="Book Antiqua" w:eastAsia="Book Antiqua" w:hAnsi="Book Antiqua" w:cs="Book Antiqua"/>
        </w:rPr>
        <w:t xml:space="preserve">, Wiebe E, Peerani F. Aortoenteric fistula: A rare cause of upper gastrointestinal bleed captured on endoscopy with exceptional clarity. </w:t>
      </w:r>
      <w:r w:rsidRPr="003E0CD0">
        <w:rPr>
          <w:rFonts w:ascii="Book Antiqua" w:eastAsia="Book Antiqua" w:hAnsi="Book Antiqua" w:cs="Book Antiqua"/>
          <w:i/>
          <w:iCs/>
        </w:rPr>
        <w:t>Dig Liver Dis</w:t>
      </w:r>
      <w:r w:rsidRPr="003E0CD0">
        <w:rPr>
          <w:rFonts w:ascii="Book Antiqua" w:eastAsia="Book Antiqua" w:hAnsi="Book Antiqua" w:cs="Book Antiqua"/>
        </w:rPr>
        <w:t xml:space="preserve"> 2018; </w:t>
      </w:r>
      <w:r w:rsidRPr="003E0CD0">
        <w:rPr>
          <w:rFonts w:ascii="Book Antiqua" w:eastAsia="Book Antiqua" w:hAnsi="Book Antiqua" w:cs="Book Antiqua"/>
          <w:b/>
          <w:bCs/>
        </w:rPr>
        <w:t>50</w:t>
      </w:r>
      <w:r w:rsidRPr="003E0CD0">
        <w:rPr>
          <w:rFonts w:ascii="Book Antiqua" w:eastAsia="Book Antiqua" w:hAnsi="Book Antiqua" w:cs="Book Antiqua"/>
        </w:rPr>
        <w:t>: 1367 [PMID: 30049639 DOI: 10.1016/j.dld.2018.06.023]</w:t>
      </w:r>
    </w:p>
    <w:p w14:paraId="2B929F1E" w14:textId="77777777" w:rsidR="00A77B3E" w:rsidRPr="003E0CD0" w:rsidRDefault="00000000">
      <w:pPr>
        <w:spacing w:line="360" w:lineRule="auto"/>
        <w:jc w:val="both"/>
      </w:pPr>
      <w:r w:rsidRPr="003E0CD0">
        <w:rPr>
          <w:rFonts w:ascii="Book Antiqua" w:eastAsia="Book Antiqua" w:hAnsi="Book Antiqua" w:cs="Book Antiqua"/>
        </w:rPr>
        <w:t xml:space="preserve">30 </w:t>
      </w:r>
      <w:r w:rsidRPr="003E0CD0">
        <w:rPr>
          <w:rFonts w:ascii="Book Antiqua" w:eastAsia="Book Antiqua" w:hAnsi="Book Antiqua" w:cs="Book Antiqua"/>
          <w:b/>
          <w:bCs/>
        </w:rPr>
        <w:t>Chakfé N</w:t>
      </w:r>
      <w:r w:rsidRPr="003E0CD0">
        <w:rPr>
          <w:rFonts w:ascii="Book Antiqua" w:eastAsia="Book Antiqua" w:hAnsi="Book Antiqua" w:cs="Book Antiqua"/>
        </w:rPr>
        <w:t xml:space="preserve">, Diener H, Lejay A, Assadian O, Berard X, Caillon J, Fourneau I, Glaudemans AWJM, Koncar I, Lindholt J, Melissano G, Saleem BR, Senneville E, Slart RHJA, Szeberin Z, Venermo M, Vermassen F, Wyss TR, Esvs Guidelines Committee, de Borst GJ, Bastos Gonçalves F, Kakkos SK, Kolh P, Tulamo R, Vega de Ceniga M, Document Reviewers, von Allmen RS, van den Berg JC, Debus ES, Koelemay MJW, </w:t>
      </w:r>
      <w:r w:rsidRPr="003E0CD0">
        <w:rPr>
          <w:rFonts w:ascii="Book Antiqua" w:eastAsia="Book Antiqua" w:hAnsi="Book Antiqua" w:cs="Book Antiqua"/>
        </w:rPr>
        <w:lastRenderedPageBreak/>
        <w:t xml:space="preserve">Linares-Palomino JP, Moneta GL, Ricco JB, Wanhainen A. Editor's Choice - European Society for Vascular Surgery (ESVS) 2020 Clinical Practice Guidelines on the Management of Vascular Graft and Endograft Infections. </w:t>
      </w:r>
      <w:r w:rsidRPr="003E0CD0">
        <w:rPr>
          <w:rFonts w:ascii="Book Antiqua" w:eastAsia="Book Antiqua" w:hAnsi="Book Antiqua" w:cs="Book Antiqua"/>
          <w:i/>
          <w:iCs/>
        </w:rPr>
        <w:t>Eur J Vasc Endovasc Surg</w:t>
      </w:r>
      <w:r w:rsidRPr="003E0CD0">
        <w:rPr>
          <w:rFonts w:ascii="Book Antiqua" w:eastAsia="Book Antiqua" w:hAnsi="Book Antiqua" w:cs="Book Antiqua"/>
        </w:rPr>
        <w:t xml:space="preserve"> 2020; </w:t>
      </w:r>
      <w:r w:rsidRPr="003E0CD0">
        <w:rPr>
          <w:rFonts w:ascii="Book Antiqua" w:eastAsia="Book Antiqua" w:hAnsi="Book Antiqua" w:cs="Book Antiqua"/>
          <w:b/>
          <w:bCs/>
        </w:rPr>
        <w:t>59</w:t>
      </w:r>
      <w:r w:rsidRPr="003E0CD0">
        <w:rPr>
          <w:rFonts w:ascii="Book Antiqua" w:eastAsia="Book Antiqua" w:hAnsi="Book Antiqua" w:cs="Book Antiqua"/>
        </w:rPr>
        <w:t>: 339-384 [PMID: 32035742 DOI: 10.1016/j.ejvs.2019.10.016]</w:t>
      </w:r>
    </w:p>
    <w:p w14:paraId="32EF0A48" w14:textId="77777777" w:rsidR="00A77B3E" w:rsidRPr="003E0CD0" w:rsidRDefault="00000000">
      <w:pPr>
        <w:spacing w:line="360" w:lineRule="auto"/>
        <w:jc w:val="both"/>
      </w:pPr>
      <w:r w:rsidRPr="003E0CD0">
        <w:rPr>
          <w:rFonts w:ascii="Book Antiqua" w:eastAsia="Book Antiqua" w:hAnsi="Book Antiqua" w:cs="Book Antiqua"/>
        </w:rPr>
        <w:t xml:space="preserve">31 </w:t>
      </w:r>
      <w:r w:rsidRPr="003E0CD0">
        <w:rPr>
          <w:rFonts w:ascii="Book Antiqua" w:eastAsia="Book Antiqua" w:hAnsi="Book Antiqua" w:cs="Book Antiqua"/>
          <w:b/>
          <w:bCs/>
        </w:rPr>
        <w:t>Kakkos SK</w:t>
      </w:r>
      <w:r w:rsidRPr="003E0CD0">
        <w:rPr>
          <w:rFonts w:ascii="Book Antiqua" w:eastAsia="Book Antiqua" w:hAnsi="Book Antiqua" w:cs="Book Antiqua"/>
        </w:rPr>
        <w:t xml:space="preserve">, Antoniadis PN, Klonaris CN, Papazoglou KO, Giannoukas AD, Matsagkas MI, Kotsis T, Dervisis K, Gerasimidis T, Tsolakis IA, Liapis CD. Open or endovascular repair of aortoenteric fistulas? A multicentre comparative study. </w:t>
      </w:r>
      <w:r w:rsidRPr="003E0CD0">
        <w:rPr>
          <w:rFonts w:ascii="Book Antiqua" w:eastAsia="Book Antiqua" w:hAnsi="Book Antiqua" w:cs="Book Antiqua"/>
          <w:i/>
          <w:iCs/>
        </w:rPr>
        <w:t>Eur J Vasc Endovasc Surg</w:t>
      </w:r>
      <w:r w:rsidRPr="003E0CD0">
        <w:rPr>
          <w:rFonts w:ascii="Book Antiqua" w:eastAsia="Book Antiqua" w:hAnsi="Book Antiqua" w:cs="Book Antiqua"/>
        </w:rPr>
        <w:t xml:space="preserve"> 2011; </w:t>
      </w:r>
      <w:r w:rsidRPr="003E0CD0">
        <w:rPr>
          <w:rFonts w:ascii="Book Antiqua" w:eastAsia="Book Antiqua" w:hAnsi="Book Antiqua" w:cs="Book Antiqua"/>
          <w:b/>
          <w:bCs/>
        </w:rPr>
        <w:t>41</w:t>
      </w:r>
      <w:r w:rsidRPr="003E0CD0">
        <w:rPr>
          <w:rFonts w:ascii="Book Antiqua" w:eastAsia="Book Antiqua" w:hAnsi="Book Antiqua" w:cs="Book Antiqua"/>
        </w:rPr>
        <w:t>: 625-634 [PMID: 21324718 DOI: 10.1016/j.ejvs.2010.12.026]</w:t>
      </w:r>
    </w:p>
    <w:p w14:paraId="176A3178" w14:textId="77777777" w:rsidR="00A77B3E" w:rsidRPr="003E0CD0" w:rsidRDefault="00000000">
      <w:pPr>
        <w:spacing w:line="360" w:lineRule="auto"/>
        <w:jc w:val="both"/>
      </w:pPr>
      <w:r w:rsidRPr="003E0CD0">
        <w:rPr>
          <w:rFonts w:ascii="Book Antiqua" w:eastAsia="Book Antiqua" w:hAnsi="Book Antiqua" w:cs="Book Antiqua"/>
        </w:rPr>
        <w:t xml:space="preserve">32 </w:t>
      </w:r>
      <w:r w:rsidRPr="003E0CD0">
        <w:rPr>
          <w:rFonts w:ascii="Book Antiqua" w:eastAsia="Book Antiqua" w:hAnsi="Book Antiqua" w:cs="Book Antiqua"/>
          <w:b/>
          <w:bCs/>
        </w:rPr>
        <w:t>Berner-Hansen V</w:t>
      </w:r>
      <w:r w:rsidRPr="003E0CD0">
        <w:rPr>
          <w:rFonts w:ascii="Book Antiqua" w:eastAsia="Book Antiqua" w:hAnsi="Book Antiqua" w:cs="Book Antiqua"/>
        </w:rPr>
        <w:t xml:space="preserve">, Olsen AA, Brandstrup B. Endoscopic treatment of primary aorto-enteric fistulas: A case report and review of literature. </w:t>
      </w:r>
      <w:r w:rsidRPr="003E0CD0">
        <w:rPr>
          <w:rFonts w:ascii="Book Antiqua" w:eastAsia="Book Antiqua" w:hAnsi="Book Antiqua" w:cs="Book Antiqua"/>
          <w:i/>
          <w:iCs/>
        </w:rPr>
        <w:t>World J Gastrointest Endosc</w:t>
      </w:r>
      <w:r w:rsidRPr="003E0CD0">
        <w:rPr>
          <w:rFonts w:ascii="Book Antiqua" w:eastAsia="Book Antiqua" w:hAnsi="Book Antiqua" w:cs="Book Antiqua"/>
        </w:rPr>
        <w:t xml:space="preserve"> 2021; </w:t>
      </w:r>
      <w:r w:rsidRPr="003E0CD0">
        <w:rPr>
          <w:rFonts w:ascii="Book Antiqua" w:eastAsia="Book Antiqua" w:hAnsi="Book Antiqua" w:cs="Book Antiqua"/>
          <w:b/>
          <w:bCs/>
        </w:rPr>
        <w:t>13</w:t>
      </w:r>
      <w:r w:rsidRPr="003E0CD0">
        <w:rPr>
          <w:rFonts w:ascii="Book Antiqua" w:eastAsia="Book Antiqua" w:hAnsi="Book Antiqua" w:cs="Book Antiqua"/>
        </w:rPr>
        <w:t>: 189-197 [PMID: 34163566 DOI: 10.4253/wjge.v13.i6.189]</w:t>
      </w:r>
    </w:p>
    <w:p w14:paraId="5FF87CBE" w14:textId="77777777" w:rsidR="00A77B3E" w:rsidRPr="003E0CD0" w:rsidRDefault="00000000">
      <w:pPr>
        <w:spacing w:line="360" w:lineRule="auto"/>
        <w:jc w:val="both"/>
      </w:pPr>
      <w:r w:rsidRPr="003E0CD0">
        <w:rPr>
          <w:rFonts w:ascii="Book Antiqua" w:eastAsia="Book Antiqua" w:hAnsi="Book Antiqua" w:cs="Book Antiqua"/>
        </w:rPr>
        <w:t xml:space="preserve">33 </w:t>
      </w:r>
      <w:r w:rsidRPr="003E0CD0">
        <w:rPr>
          <w:rFonts w:ascii="Book Antiqua" w:eastAsia="Book Antiqua" w:hAnsi="Book Antiqua" w:cs="Book Antiqua"/>
          <w:b/>
          <w:bCs/>
        </w:rPr>
        <w:t>Donato F</w:t>
      </w:r>
      <w:r w:rsidRPr="003E0CD0">
        <w:rPr>
          <w:rFonts w:ascii="Book Antiqua" w:eastAsia="Book Antiqua" w:hAnsi="Book Antiqua" w:cs="Book Antiqua"/>
        </w:rPr>
        <w:t xml:space="preserve">, Boskoski I, Vincenzoni C, Montanari F, Tinelli G, Donati T, Tshomba Y. A New Mini-Invasive Approach for a Catastrophic Disease: Staged Endovascular and Endoscopic Treatment of Aorto-Esophageal Fistulas. </w:t>
      </w:r>
      <w:r w:rsidRPr="003E0CD0">
        <w:rPr>
          <w:rFonts w:ascii="Book Antiqua" w:eastAsia="Book Antiqua" w:hAnsi="Book Antiqua" w:cs="Book Antiqua"/>
          <w:i/>
          <w:iCs/>
        </w:rPr>
        <w:t>J Pers Med</w:t>
      </w:r>
      <w:r w:rsidRPr="003E0CD0">
        <w:rPr>
          <w:rFonts w:ascii="Book Antiqua" w:eastAsia="Book Antiqua" w:hAnsi="Book Antiqua" w:cs="Book Antiqua"/>
        </w:rPr>
        <w:t xml:space="preserve"> 2022; </w:t>
      </w:r>
      <w:r w:rsidRPr="003E0CD0">
        <w:rPr>
          <w:rFonts w:ascii="Book Antiqua" w:eastAsia="Book Antiqua" w:hAnsi="Book Antiqua" w:cs="Book Antiqua"/>
          <w:b/>
          <w:bCs/>
        </w:rPr>
        <w:t>12</w:t>
      </w:r>
      <w:r w:rsidRPr="003E0CD0">
        <w:rPr>
          <w:rFonts w:ascii="Book Antiqua" w:eastAsia="Book Antiqua" w:hAnsi="Book Antiqua" w:cs="Book Antiqua"/>
        </w:rPr>
        <w:t xml:space="preserve"> [PMID: 36294876 DOI: 10.3390/jpm12101735]</w:t>
      </w:r>
    </w:p>
    <w:p w14:paraId="5AD66F0C" w14:textId="4F7EB78D" w:rsidR="00A77B3E" w:rsidRPr="003E0CD0" w:rsidRDefault="00000000">
      <w:pPr>
        <w:spacing w:line="360" w:lineRule="auto"/>
        <w:jc w:val="both"/>
      </w:pPr>
      <w:r w:rsidRPr="003E0CD0">
        <w:rPr>
          <w:rFonts w:ascii="Book Antiqua" w:eastAsia="Book Antiqua" w:hAnsi="Book Antiqua" w:cs="Book Antiqua"/>
        </w:rPr>
        <w:t xml:space="preserve">34 </w:t>
      </w:r>
      <w:r w:rsidRPr="003E0CD0">
        <w:rPr>
          <w:rFonts w:ascii="Book Antiqua" w:eastAsia="Book Antiqua" w:hAnsi="Book Antiqua" w:cs="Book Antiqua"/>
          <w:b/>
          <w:bCs/>
        </w:rPr>
        <w:t>Tsai SM</w:t>
      </w:r>
      <w:r w:rsidRPr="003E0CD0">
        <w:rPr>
          <w:rFonts w:ascii="Book Antiqua" w:eastAsia="Book Antiqua" w:hAnsi="Book Antiqua" w:cs="Book Antiqua"/>
        </w:rPr>
        <w:t xml:space="preserve">, Chen YY, Chin-Yuan Y, Lai WL. Closure of an aortoesophageal fistula with an esophageal stent and hemoclip.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2011; </w:t>
      </w:r>
      <w:r w:rsidRPr="003E0CD0">
        <w:rPr>
          <w:rFonts w:ascii="Book Antiqua" w:eastAsia="Book Antiqua" w:hAnsi="Book Antiqua" w:cs="Book Antiqua"/>
          <w:b/>
          <w:bCs/>
        </w:rPr>
        <w:t>43</w:t>
      </w:r>
      <w:r w:rsidRPr="003E0CD0">
        <w:rPr>
          <w:rFonts w:ascii="Book Antiqua" w:eastAsia="Book Antiqua" w:hAnsi="Book Antiqua" w:cs="Book Antiqua"/>
        </w:rPr>
        <w:t xml:space="preserve"> Suppl 2: E302-E303 [PMID: 21915838 DOI: 10.1055/s-0030-1256525]</w:t>
      </w:r>
    </w:p>
    <w:p w14:paraId="6F6EFA05" w14:textId="4B546DE5" w:rsidR="00A77B3E" w:rsidRPr="003E0CD0" w:rsidRDefault="00000000">
      <w:pPr>
        <w:spacing w:line="360" w:lineRule="auto"/>
        <w:jc w:val="both"/>
      </w:pPr>
      <w:r w:rsidRPr="003E0CD0">
        <w:rPr>
          <w:rFonts w:ascii="Book Antiqua" w:eastAsia="Book Antiqua" w:hAnsi="Book Antiqua" w:cs="Book Antiqua"/>
        </w:rPr>
        <w:t xml:space="preserve">35 </w:t>
      </w:r>
      <w:r w:rsidRPr="003E0CD0">
        <w:rPr>
          <w:rFonts w:ascii="Book Antiqua" w:eastAsia="Book Antiqua" w:hAnsi="Book Antiqua" w:cs="Book Antiqua"/>
          <w:b/>
          <w:bCs/>
        </w:rPr>
        <w:t>Tseng KC</w:t>
      </w:r>
      <w:r w:rsidRPr="003E0CD0">
        <w:rPr>
          <w:rFonts w:ascii="Book Antiqua" w:eastAsia="Book Antiqua" w:hAnsi="Book Antiqua" w:cs="Book Antiqua"/>
        </w:rPr>
        <w:t xml:space="preserve">, Lin CW, Tan JW. Successful management of aortoesophageal fistula by combining endoscopic cyanoacrylate injection and endovascular stent grafting.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2011; </w:t>
      </w:r>
      <w:r w:rsidRPr="003E0CD0">
        <w:rPr>
          <w:rFonts w:ascii="Book Antiqua" w:eastAsia="Book Antiqua" w:hAnsi="Book Antiqua" w:cs="Book Antiqua"/>
          <w:b/>
          <w:bCs/>
        </w:rPr>
        <w:t>43</w:t>
      </w:r>
      <w:r w:rsidRPr="003E0CD0">
        <w:rPr>
          <w:rFonts w:ascii="Book Antiqua" w:eastAsia="Book Antiqua" w:hAnsi="Book Antiqua" w:cs="Book Antiqua"/>
        </w:rPr>
        <w:t xml:space="preserve"> Suppl 2: E135-E136 [PMID: 21425013 DOI: 10.1055/s-0030-1256167]</w:t>
      </w:r>
    </w:p>
    <w:p w14:paraId="0F7A89C8" w14:textId="77777777" w:rsidR="00A77B3E" w:rsidRPr="003E0CD0" w:rsidRDefault="00000000">
      <w:pPr>
        <w:spacing w:line="360" w:lineRule="auto"/>
        <w:jc w:val="both"/>
      </w:pPr>
      <w:r w:rsidRPr="003E0CD0">
        <w:rPr>
          <w:rFonts w:ascii="Book Antiqua" w:eastAsia="Book Antiqua" w:hAnsi="Book Antiqua" w:cs="Book Antiqua"/>
        </w:rPr>
        <w:t xml:space="preserve">36 </w:t>
      </w:r>
      <w:r w:rsidRPr="003E0CD0">
        <w:rPr>
          <w:rFonts w:ascii="Book Antiqua" w:eastAsia="Book Antiqua" w:hAnsi="Book Antiqua" w:cs="Book Antiqua"/>
          <w:b/>
          <w:bCs/>
        </w:rPr>
        <w:t>Celada-Sendino M</w:t>
      </w:r>
      <w:r w:rsidRPr="003E0CD0">
        <w:rPr>
          <w:rFonts w:ascii="Book Antiqua" w:eastAsia="Book Antiqua" w:hAnsi="Book Antiqua" w:cs="Book Antiqua"/>
        </w:rPr>
        <w:t xml:space="preserve">, Martín-Carro C, Turienzo-Santos EO, Fernández-Cadenas F, Fraile-López M. Acute upper gastrointestinal bleeding secondary to aortoesophageal fistula. Endoscopic treatment using the over-the-scope clip (OTSC®) system. </w:t>
      </w:r>
      <w:r w:rsidRPr="003E0CD0">
        <w:rPr>
          <w:rFonts w:ascii="Book Antiqua" w:eastAsia="Book Antiqua" w:hAnsi="Book Antiqua" w:cs="Book Antiqua"/>
          <w:i/>
          <w:iCs/>
        </w:rPr>
        <w:t>Rev Esp Enferm Dig</w:t>
      </w:r>
      <w:r w:rsidRPr="003E0CD0">
        <w:rPr>
          <w:rFonts w:ascii="Book Antiqua" w:eastAsia="Book Antiqua" w:hAnsi="Book Antiqua" w:cs="Book Antiqua"/>
        </w:rPr>
        <w:t xml:space="preserve"> 2022; </w:t>
      </w:r>
      <w:r w:rsidRPr="003E0CD0">
        <w:rPr>
          <w:rFonts w:ascii="Book Antiqua" w:eastAsia="Book Antiqua" w:hAnsi="Book Antiqua" w:cs="Book Antiqua"/>
          <w:b/>
          <w:bCs/>
        </w:rPr>
        <w:t>114</w:t>
      </w:r>
      <w:r w:rsidRPr="003E0CD0">
        <w:rPr>
          <w:rFonts w:ascii="Book Antiqua" w:eastAsia="Book Antiqua" w:hAnsi="Book Antiqua" w:cs="Book Antiqua"/>
        </w:rPr>
        <w:t>: 682-683 [PMID: 35510315 DOI: 10.17235/reed.2022.8881/2022]</w:t>
      </w:r>
    </w:p>
    <w:p w14:paraId="6B0469C9" w14:textId="77777777" w:rsidR="00A77B3E" w:rsidRPr="003E0CD0" w:rsidRDefault="00000000">
      <w:pPr>
        <w:spacing w:line="360" w:lineRule="auto"/>
        <w:jc w:val="both"/>
      </w:pPr>
      <w:r w:rsidRPr="003E0CD0">
        <w:rPr>
          <w:rFonts w:ascii="Book Antiqua" w:eastAsia="Book Antiqua" w:hAnsi="Book Antiqua" w:cs="Book Antiqua"/>
        </w:rPr>
        <w:t xml:space="preserve">37 </w:t>
      </w:r>
      <w:r w:rsidRPr="003E0CD0">
        <w:rPr>
          <w:rFonts w:ascii="Book Antiqua" w:eastAsia="Book Antiqua" w:hAnsi="Book Antiqua" w:cs="Book Antiqua"/>
          <w:b/>
          <w:bCs/>
        </w:rPr>
        <w:t>Kibbler CC</w:t>
      </w:r>
      <w:r w:rsidRPr="003E0CD0">
        <w:rPr>
          <w:rFonts w:ascii="Book Antiqua" w:eastAsia="Book Antiqua" w:hAnsi="Book Antiqua" w:cs="Book Antiqua"/>
        </w:rPr>
        <w:t xml:space="preserve">, Cohen DL, Cruicshank JK, Kushwaha SS, Morgan MY, Dick RD. Use of CAT scanning in the diagnosis and management of hepatic artery aneurysm. </w:t>
      </w:r>
      <w:r w:rsidRPr="003E0CD0">
        <w:rPr>
          <w:rFonts w:ascii="Book Antiqua" w:eastAsia="Book Antiqua" w:hAnsi="Book Antiqua" w:cs="Book Antiqua"/>
          <w:i/>
          <w:iCs/>
        </w:rPr>
        <w:t>Gut</w:t>
      </w:r>
      <w:r w:rsidRPr="003E0CD0">
        <w:rPr>
          <w:rFonts w:ascii="Book Antiqua" w:eastAsia="Book Antiqua" w:hAnsi="Book Antiqua" w:cs="Book Antiqua"/>
        </w:rPr>
        <w:t xml:space="preserve"> 1985; </w:t>
      </w:r>
      <w:r w:rsidRPr="003E0CD0">
        <w:rPr>
          <w:rFonts w:ascii="Book Antiqua" w:eastAsia="Book Antiqua" w:hAnsi="Book Antiqua" w:cs="Book Antiqua"/>
          <w:b/>
          <w:bCs/>
        </w:rPr>
        <w:t>26</w:t>
      </w:r>
      <w:r w:rsidRPr="003E0CD0">
        <w:rPr>
          <w:rFonts w:ascii="Book Antiqua" w:eastAsia="Book Antiqua" w:hAnsi="Book Antiqua" w:cs="Book Antiqua"/>
        </w:rPr>
        <w:t>: 752-756 [PMID: 4018639 DOI: 10.1136/gut.26.7.752]</w:t>
      </w:r>
    </w:p>
    <w:p w14:paraId="235B43B3"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38 </w:t>
      </w:r>
      <w:r w:rsidRPr="003E0CD0">
        <w:rPr>
          <w:rFonts w:ascii="Book Antiqua" w:eastAsia="Book Antiqua" w:hAnsi="Book Antiqua" w:cs="Book Antiqua"/>
          <w:b/>
          <w:bCs/>
        </w:rPr>
        <w:t>Stanley JC</w:t>
      </w:r>
      <w:r w:rsidRPr="003E0CD0">
        <w:rPr>
          <w:rFonts w:ascii="Book Antiqua" w:eastAsia="Book Antiqua" w:hAnsi="Book Antiqua" w:cs="Book Antiqua"/>
        </w:rPr>
        <w:t xml:space="preserve">, Thompson NW, Fry WJ. Splanchnic artery aneurysms. </w:t>
      </w:r>
      <w:r w:rsidRPr="003E0CD0">
        <w:rPr>
          <w:rFonts w:ascii="Book Antiqua" w:eastAsia="Book Antiqua" w:hAnsi="Book Antiqua" w:cs="Book Antiqua"/>
          <w:i/>
          <w:iCs/>
        </w:rPr>
        <w:t>Arch Surg</w:t>
      </w:r>
      <w:r w:rsidRPr="003E0CD0">
        <w:rPr>
          <w:rFonts w:ascii="Book Antiqua" w:eastAsia="Book Antiqua" w:hAnsi="Book Antiqua" w:cs="Book Antiqua"/>
        </w:rPr>
        <w:t xml:space="preserve"> 1970; </w:t>
      </w:r>
      <w:r w:rsidRPr="003E0CD0">
        <w:rPr>
          <w:rFonts w:ascii="Book Antiqua" w:eastAsia="Book Antiqua" w:hAnsi="Book Antiqua" w:cs="Book Antiqua"/>
          <w:b/>
          <w:bCs/>
        </w:rPr>
        <w:t>101</w:t>
      </w:r>
      <w:r w:rsidRPr="003E0CD0">
        <w:rPr>
          <w:rFonts w:ascii="Book Antiqua" w:eastAsia="Book Antiqua" w:hAnsi="Book Antiqua" w:cs="Book Antiqua"/>
        </w:rPr>
        <w:t>: 689-697 [PMID: 5489293 DOI: 10.1001/archsurg.1970.01340300045009]</w:t>
      </w:r>
    </w:p>
    <w:p w14:paraId="7F40F148" w14:textId="77777777" w:rsidR="00A77B3E" w:rsidRPr="003E0CD0" w:rsidRDefault="00000000">
      <w:pPr>
        <w:spacing w:line="360" w:lineRule="auto"/>
        <w:jc w:val="both"/>
      </w:pPr>
      <w:r w:rsidRPr="003E0CD0">
        <w:rPr>
          <w:rFonts w:ascii="Book Antiqua" w:eastAsia="Book Antiqua" w:hAnsi="Book Antiqua" w:cs="Book Antiqua"/>
        </w:rPr>
        <w:t xml:space="preserve">39 </w:t>
      </w:r>
      <w:r w:rsidRPr="003E0CD0">
        <w:rPr>
          <w:rFonts w:ascii="Book Antiqua" w:eastAsia="Book Antiqua" w:hAnsi="Book Antiqua" w:cs="Book Antiqua"/>
          <w:b/>
          <w:bCs/>
        </w:rPr>
        <w:t>Sousa J</w:t>
      </w:r>
      <w:r w:rsidRPr="003E0CD0">
        <w:rPr>
          <w:rFonts w:ascii="Book Antiqua" w:eastAsia="Book Antiqua" w:hAnsi="Book Antiqua" w:cs="Book Antiqua"/>
        </w:rPr>
        <w:t xml:space="preserve">, Costa D, Mansilha A. Visceral artery aneurysms: review on indications and current treatment strategies. </w:t>
      </w:r>
      <w:r w:rsidRPr="003E0CD0">
        <w:rPr>
          <w:rFonts w:ascii="Book Antiqua" w:eastAsia="Book Antiqua" w:hAnsi="Book Antiqua" w:cs="Book Antiqua"/>
          <w:i/>
          <w:iCs/>
        </w:rPr>
        <w:t>Int Angiol</w:t>
      </w:r>
      <w:r w:rsidRPr="003E0CD0">
        <w:rPr>
          <w:rFonts w:ascii="Book Antiqua" w:eastAsia="Book Antiqua" w:hAnsi="Book Antiqua" w:cs="Book Antiqua"/>
        </w:rPr>
        <w:t xml:space="preserve"> 2019; </w:t>
      </w:r>
      <w:r w:rsidRPr="003E0CD0">
        <w:rPr>
          <w:rFonts w:ascii="Book Antiqua" w:eastAsia="Book Antiqua" w:hAnsi="Book Antiqua" w:cs="Book Antiqua"/>
          <w:b/>
          <w:bCs/>
        </w:rPr>
        <w:t>38</w:t>
      </w:r>
      <w:r w:rsidRPr="003E0CD0">
        <w:rPr>
          <w:rFonts w:ascii="Book Antiqua" w:eastAsia="Book Antiqua" w:hAnsi="Book Antiqua" w:cs="Book Antiqua"/>
        </w:rPr>
        <w:t>: 381-394 [PMID: 31284707 DOI: 10.23736/S0392-9590.19.04194-4]</w:t>
      </w:r>
    </w:p>
    <w:p w14:paraId="79754D64" w14:textId="77777777" w:rsidR="00A77B3E" w:rsidRPr="003E0CD0" w:rsidRDefault="00000000">
      <w:pPr>
        <w:spacing w:line="360" w:lineRule="auto"/>
        <w:jc w:val="both"/>
      </w:pPr>
      <w:r w:rsidRPr="003E0CD0">
        <w:rPr>
          <w:rFonts w:ascii="Book Antiqua" w:eastAsia="Book Antiqua" w:hAnsi="Book Antiqua" w:cs="Book Antiqua"/>
        </w:rPr>
        <w:t xml:space="preserve">40 </w:t>
      </w:r>
      <w:r w:rsidRPr="003E0CD0">
        <w:rPr>
          <w:rFonts w:ascii="Book Antiqua" w:eastAsia="Book Antiqua" w:hAnsi="Book Antiqua" w:cs="Book Antiqua"/>
          <w:b/>
          <w:bCs/>
        </w:rPr>
        <w:t>Pulli R</w:t>
      </w:r>
      <w:r w:rsidRPr="003E0CD0">
        <w:rPr>
          <w:rFonts w:ascii="Book Antiqua" w:eastAsia="Book Antiqua" w:hAnsi="Book Antiqua" w:cs="Book Antiqua"/>
        </w:rPr>
        <w:t xml:space="preserve">, Dorigo W, Troisi N, Pratesi G, Innocenti AA, Pratesi C. Surgical treatment of visceral artery aneurysms: A 25-year experience. </w:t>
      </w:r>
      <w:r w:rsidRPr="003E0CD0">
        <w:rPr>
          <w:rFonts w:ascii="Book Antiqua" w:eastAsia="Book Antiqua" w:hAnsi="Book Antiqua" w:cs="Book Antiqua"/>
          <w:i/>
          <w:iCs/>
        </w:rPr>
        <w:t>J Vasc Surg</w:t>
      </w:r>
      <w:r w:rsidRPr="003E0CD0">
        <w:rPr>
          <w:rFonts w:ascii="Book Antiqua" w:eastAsia="Book Antiqua" w:hAnsi="Book Antiqua" w:cs="Book Antiqua"/>
        </w:rPr>
        <w:t xml:space="preserve"> 2008; </w:t>
      </w:r>
      <w:r w:rsidRPr="003E0CD0">
        <w:rPr>
          <w:rFonts w:ascii="Book Antiqua" w:eastAsia="Book Antiqua" w:hAnsi="Book Antiqua" w:cs="Book Antiqua"/>
          <w:b/>
          <w:bCs/>
        </w:rPr>
        <w:t>48</w:t>
      </w:r>
      <w:r w:rsidRPr="003E0CD0">
        <w:rPr>
          <w:rFonts w:ascii="Book Antiqua" w:eastAsia="Book Antiqua" w:hAnsi="Book Antiqua" w:cs="Book Antiqua"/>
        </w:rPr>
        <w:t>: 334-342 [PMID: 18644480 DOI: 10.1016/j.jvs.2008.03.043]</w:t>
      </w:r>
    </w:p>
    <w:p w14:paraId="2426E772" w14:textId="77777777" w:rsidR="00A77B3E" w:rsidRPr="003E0CD0" w:rsidRDefault="00000000">
      <w:pPr>
        <w:spacing w:line="360" w:lineRule="auto"/>
        <w:jc w:val="both"/>
      </w:pPr>
      <w:r w:rsidRPr="003E0CD0">
        <w:rPr>
          <w:rFonts w:ascii="Book Antiqua" w:eastAsia="Book Antiqua" w:hAnsi="Book Antiqua" w:cs="Book Antiqua"/>
        </w:rPr>
        <w:t xml:space="preserve">41 </w:t>
      </w:r>
      <w:r w:rsidRPr="003E0CD0">
        <w:rPr>
          <w:rFonts w:ascii="Book Antiqua" w:eastAsia="Book Antiqua" w:hAnsi="Book Antiqua" w:cs="Book Antiqua"/>
          <w:b/>
          <w:bCs/>
        </w:rPr>
        <w:t>Chaer RA</w:t>
      </w:r>
      <w:r w:rsidRPr="003E0CD0">
        <w:rPr>
          <w:rFonts w:ascii="Book Antiqua" w:eastAsia="Book Antiqua" w:hAnsi="Book Antiqua" w:cs="Book Antiqua"/>
        </w:rPr>
        <w:t xml:space="preserve">, Abularrage CJ, Coleman DM, Eslami MH, Kashyap VS, Rockman C, Murad MH. The Society for Vascular Surgery clinical practice guidelines on the management of visceral aneurysms. </w:t>
      </w:r>
      <w:r w:rsidRPr="003E0CD0">
        <w:rPr>
          <w:rFonts w:ascii="Book Antiqua" w:eastAsia="Book Antiqua" w:hAnsi="Book Antiqua" w:cs="Book Antiqua"/>
          <w:i/>
          <w:iCs/>
        </w:rPr>
        <w:t>J Vasc Surg</w:t>
      </w:r>
      <w:r w:rsidRPr="003E0CD0">
        <w:rPr>
          <w:rFonts w:ascii="Book Antiqua" w:eastAsia="Book Antiqua" w:hAnsi="Book Antiqua" w:cs="Book Antiqua"/>
        </w:rPr>
        <w:t xml:space="preserve"> 2020; </w:t>
      </w:r>
      <w:r w:rsidRPr="003E0CD0">
        <w:rPr>
          <w:rFonts w:ascii="Book Antiqua" w:eastAsia="Book Antiqua" w:hAnsi="Book Antiqua" w:cs="Book Antiqua"/>
          <w:b/>
          <w:bCs/>
        </w:rPr>
        <w:t>72</w:t>
      </w:r>
      <w:r w:rsidRPr="003E0CD0">
        <w:rPr>
          <w:rFonts w:ascii="Book Antiqua" w:eastAsia="Book Antiqua" w:hAnsi="Book Antiqua" w:cs="Book Antiqua"/>
        </w:rPr>
        <w:t>: 3S-39S [PMID: 32201007 DOI: 10.1016/j.jvs.2020.01.039]</w:t>
      </w:r>
    </w:p>
    <w:p w14:paraId="0389CC78" w14:textId="77777777" w:rsidR="00A77B3E" w:rsidRPr="003E0CD0" w:rsidRDefault="00000000">
      <w:pPr>
        <w:spacing w:line="360" w:lineRule="auto"/>
        <w:jc w:val="both"/>
      </w:pPr>
      <w:r w:rsidRPr="003E0CD0">
        <w:rPr>
          <w:rFonts w:ascii="Book Antiqua" w:eastAsia="Book Antiqua" w:hAnsi="Book Antiqua" w:cs="Book Antiqua"/>
        </w:rPr>
        <w:t xml:space="preserve">42 </w:t>
      </w:r>
      <w:r w:rsidRPr="003E0CD0">
        <w:rPr>
          <w:rFonts w:ascii="Book Antiqua" w:eastAsia="Book Antiqua" w:hAnsi="Book Antiqua" w:cs="Book Antiqua"/>
          <w:b/>
          <w:bCs/>
        </w:rPr>
        <w:t>Cordova AC</w:t>
      </w:r>
      <w:r w:rsidRPr="003E0CD0">
        <w:rPr>
          <w:rFonts w:ascii="Book Antiqua" w:eastAsia="Book Antiqua" w:hAnsi="Book Antiqua" w:cs="Book Antiqua"/>
        </w:rPr>
        <w:t xml:space="preserve">, Sumpio BE. Visceral Artery Aneurysms and Pseudoaneurysms—Should They All be Managed by Endovascular Techniques? </w:t>
      </w:r>
      <w:r w:rsidRPr="003E0CD0">
        <w:rPr>
          <w:rFonts w:ascii="Book Antiqua" w:eastAsia="Book Antiqua" w:hAnsi="Book Antiqua" w:cs="Book Antiqua"/>
          <w:i/>
          <w:iCs/>
        </w:rPr>
        <w:t>Ann Vasc Dis</w:t>
      </w:r>
      <w:r w:rsidRPr="003E0CD0">
        <w:rPr>
          <w:rFonts w:ascii="Book Antiqua" w:eastAsia="Book Antiqua" w:hAnsi="Book Antiqua" w:cs="Book Antiqua"/>
        </w:rPr>
        <w:t xml:space="preserve"> 2013; </w:t>
      </w:r>
      <w:r w:rsidRPr="003E0CD0">
        <w:rPr>
          <w:rFonts w:ascii="Book Antiqua" w:eastAsia="Book Antiqua" w:hAnsi="Book Antiqua" w:cs="Book Antiqua"/>
          <w:b/>
          <w:bCs/>
        </w:rPr>
        <w:t>6</w:t>
      </w:r>
      <w:r w:rsidRPr="003E0CD0">
        <w:rPr>
          <w:rFonts w:ascii="Book Antiqua" w:eastAsia="Book Antiqua" w:hAnsi="Book Antiqua" w:cs="Book Antiqua"/>
        </w:rPr>
        <w:t>: 687-693 [PMID: 24386016 DOI: 10.3400/avd.ra.13-00045]</w:t>
      </w:r>
    </w:p>
    <w:p w14:paraId="5875D914" w14:textId="77777777" w:rsidR="00A77B3E" w:rsidRPr="003E0CD0" w:rsidRDefault="00000000">
      <w:pPr>
        <w:spacing w:line="360" w:lineRule="auto"/>
        <w:jc w:val="both"/>
      </w:pPr>
      <w:r w:rsidRPr="003E0CD0">
        <w:rPr>
          <w:rFonts w:ascii="Book Antiqua" w:eastAsia="Book Antiqua" w:hAnsi="Book Antiqua" w:cs="Book Antiqua"/>
        </w:rPr>
        <w:t xml:space="preserve">43 </w:t>
      </w:r>
      <w:r w:rsidRPr="003E0CD0">
        <w:rPr>
          <w:rFonts w:ascii="Book Antiqua" w:eastAsia="Book Antiqua" w:hAnsi="Book Antiqua" w:cs="Book Antiqua"/>
          <w:b/>
          <w:bCs/>
        </w:rPr>
        <w:t>Shanley CJ</w:t>
      </w:r>
      <w:r w:rsidRPr="003E0CD0">
        <w:rPr>
          <w:rFonts w:ascii="Book Antiqua" w:eastAsia="Book Antiqua" w:hAnsi="Book Antiqua" w:cs="Book Antiqua"/>
        </w:rPr>
        <w:t xml:space="preserve">, Shah NL, Messina LM. Common splanchnic artery aneurysms: splenic, hepatic, and celiac. </w:t>
      </w:r>
      <w:r w:rsidRPr="003E0CD0">
        <w:rPr>
          <w:rFonts w:ascii="Book Antiqua" w:eastAsia="Book Antiqua" w:hAnsi="Book Antiqua" w:cs="Book Antiqua"/>
          <w:i/>
          <w:iCs/>
        </w:rPr>
        <w:t>Ann Vasc Surg</w:t>
      </w:r>
      <w:r w:rsidRPr="003E0CD0">
        <w:rPr>
          <w:rFonts w:ascii="Book Antiqua" w:eastAsia="Book Antiqua" w:hAnsi="Book Antiqua" w:cs="Book Antiqua"/>
        </w:rPr>
        <w:t xml:space="preserve"> 1996; </w:t>
      </w:r>
      <w:r w:rsidRPr="003E0CD0">
        <w:rPr>
          <w:rFonts w:ascii="Book Antiqua" w:eastAsia="Book Antiqua" w:hAnsi="Book Antiqua" w:cs="Book Antiqua"/>
          <w:b/>
          <w:bCs/>
        </w:rPr>
        <w:t>10</w:t>
      </w:r>
      <w:r w:rsidRPr="003E0CD0">
        <w:rPr>
          <w:rFonts w:ascii="Book Antiqua" w:eastAsia="Book Antiqua" w:hAnsi="Book Antiqua" w:cs="Book Antiqua"/>
        </w:rPr>
        <w:t>: 315-322 [PMID: 8793003 DOI: 10.1007/BF02001900]</w:t>
      </w:r>
    </w:p>
    <w:p w14:paraId="3C15CB07" w14:textId="77777777" w:rsidR="00A77B3E" w:rsidRPr="003E0CD0" w:rsidRDefault="00000000">
      <w:pPr>
        <w:spacing w:line="360" w:lineRule="auto"/>
        <w:jc w:val="both"/>
      </w:pPr>
      <w:r w:rsidRPr="003E0CD0">
        <w:rPr>
          <w:rFonts w:ascii="Book Antiqua" w:eastAsia="Book Antiqua" w:hAnsi="Book Antiqua" w:cs="Book Antiqua"/>
        </w:rPr>
        <w:t xml:space="preserve">44 </w:t>
      </w:r>
      <w:r w:rsidRPr="003E0CD0">
        <w:rPr>
          <w:rFonts w:ascii="Book Antiqua" w:eastAsia="Book Antiqua" w:hAnsi="Book Antiqua" w:cs="Book Antiqua"/>
          <w:b/>
          <w:bCs/>
        </w:rPr>
        <w:t>Björck M</w:t>
      </w:r>
      <w:r w:rsidRPr="003E0CD0">
        <w:rPr>
          <w:rFonts w:ascii="Book Antiqua" w:eastAsia="Book Antiqua" w:hAnsi="Book Antiqua" w:cs="Book Antiqua"/>
        </w:rPr>
        <w:t xml:space="preserve">, Koelemay M, Acosta S, Bastos Goncalves F, Kölbel T, Kolkman JJ, Lees T, Lefevre JH, Menyhei G, Oderich G, Esvs Guidelines Committee, Kolh P, de Borst GJ, Chakfe N, Debus S, Hinchliffe R, Kakkos S, Koncar I, Sanddal Lindholt J, Vega de Ceniga M, Vermassen F, Verzini F, Document Reviewers, Geelkerken B, Gloviczki P, Huber T, Naylor R. Editor's Choice - Management of the Diseases of Mesenteric Arteries and Veins: Clinical Practice Guidelines of the European Society of Vascular Surgery (ESVS). </w:t>
      </w:r>
      <w:r w:rsidRPr="003E0CD0">
        <w:rPr>
          <w:rFonts w:ascii="Book Antiqua" w:eastAsia="Book Antiqua" w:hAnsi="Book Antiqua" w:cs="Book Antiqua"/>
          <w:i/>
          <w:iCs/>
        </w:rPr>
        <w:t>Eur J Vasc Endovasc Surg</w:t>
      </w:r>
      <w:r w:rsidRPr="003E0CD0">
        <w:rPr>
          <w:rFonts w:ascii="Book Antiqua" w:eastAsia="Book Antiqua" w:hAnsi="Book Antiqua" w:cs="Book Antiqua"/>
        </w:rPr>
        <w:t xml:space="preserve"> 2017; </w:t>
      </w:r>
      <w:r w:rsidRPr="003E0CD0">
        <w:rPr>
          <w:rFonts w:ascii="Book Antiqua" w:eastAsia="Book Antiqua" w:hAnsi="Book Antiqua" w:cs="Book Antiqua"/>
          <w:b/>
          <w:bCs/>
        </w:rPr>
        <w:t>53</w:t>
      </w:r>
      <w:r w:rsidRPr="003E0CD0">
        <w:rPr>
          <w:rFonts w:ascii="Book Antiqua" w:eastAsia="Book Antiqua" w:hAnsi="Book Antiqua" w:cs="Book Antiqua"/>
        </w:rPr>
        <w:t>: 460-510 [PMID: 28359440 DOI: 10.1016/j.ejvs.2017.01.010]</w:t>
      </w:r>
    </w:p>
    <w:p w14:paraId="2B1AA190" w14:textId="77777777" w:rsidR="00A77B3E" w:rsidRPr="003E0CD0" w:rsidRDefault="00000000">
      <w:pPr>
        <w:spacing w:line="360" w:lineRule="auto"/>
        <w:jc w:val="both"/>
      </w:pPr>
      <w:r w:rsidRPr="003E0CD0">
        <w:rPr>
          <w:rFonts w:ascii="Book Antiqua" w:eastAsia="Book Antiqua" w:hAnsi="Book Antiqua" w:cs="Book Antiqua"/>
        </w:rPr>
        <w:t xml:space="preserve">45 </w:t>
      </w:r>
      <w:r w:rsidRPr="003E0CD0">
        <w:rPr>
          <w:rFonts w:ascii="Book Antiqua" w:eastAsia="Book Antiqua" w:hAnsi="Book Antiqua" w:cs="Book Antiqua"/>
          <w:b/>
          <w:bCs/>
        </w:rPr>
        <w:t>Panzera F</w:t>
      </w:r>
      <w:r w:rsidRPr="003E0CD0">
        <w:rPr>
          <w:rFonts w:ascii="Book Antiqua" w:eastAsia="Book Antiqua" w:hAnsi="Book Antiqua" w:cs="Book Antiqua"/>
        </w:rPr>
        <w:t xml:space="preserve">, Inchingolo R, Rizzi M, Biscaglia A, Schievenin MG, Tallarico E, Pacifico G, Di Venere B. Giant splenic artery aneurysm presenting with massive upper gastrointestinal bleeding: A case report and review of literature.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2020; </w:t>
      </w:r>
      <w:r w:rsidRPr="003E0CD0">
        <w:rPr>
          <w:rFonts w:ascii="Book Antiqua" w:eastAsia="Book Antiqua" w:hAnsi="Book Antiqua" w:cs="Book Antiqua"/>
          <w:b/>
          <w:bCs/>
        </w:rPr>
        <w:t>26</w:t>
      </w:r>
      <w:r w:rsidRPr="003E0CD0">
        <w:rPr>
          <w:rFonts w:ascii="Book Antiqua" w:eastAsia="Book Antiqua" w:hAnsi="Book Antiqua" w:cs="Book Antiqua"/>
        </w:rPr>
        <w:t>: 3110-3117 [PMID: 32587452 DOI: 10.3748/wjg.v26.i22.3110]</w:t>
      </w:r>
    </w:p>
    <w:p w14:paraId="37B4D8DF"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46 </w:t>
      </w:r>
      <w:r w:rsidRPr="003E0CD0">
        <w:rPr>
          <w:rFonts w:ascii="Book Antiqua" w:eastAsia="Book Antiqua" w:hAnsi="Book Antiqua" w:cs="Book Antiqua"/>
          <w:b/>
          <w:bCs/>
        </w:rPr>
        <w:t>Binetti M</w:t>
      </w:r>
      <w:r w:rsidRPr="003E0CD0">
        <w:rPr>
          <w:rFonts w:ascii="Book Antiqua" w:eastAsia="Book Antiqua" w:hAnsi="Book Antiqua" w:cs="Book Antiqua"/>
        </w:rPr>
        <w:t xml:space="preserve">, Lauro A, Golfieri R, Vaccari S, D'Andrea V, Marino IR, Cervellera M, Renzulli M, Tonini V. False in Name Only-Gastroduodenal Artery Pseudoaneurysm in a Recurrently Bleeding Patient: Case Report and Literature Review. </w:t>
      </w:r>
      <w:r w:rsidRPr="003E0CD0">
        <w:rPr>
          <w:rFonts w:ascii="Book Antiqua" w:eastAsia="Book Antiqua" w:hAnsi="Book Antiqua" w:cs="Book Antiqua"/>
          <w:i/>
          <w:iCs/>
        </w:rPr>
        <w:t>Dig Dis Sci</w:t>
      </w:r>
      <w:r w:rsidRPr="003E0CD0">
        <w:rPr>
          <w:rFonts w:ascii="Book Antiqua" w:eastAsia="Book Antiqua" w:hAnsi="Book Antiqua" w:cs="Book Antiqua"/>
        </w:rPr>
        <w:t xml:space="preserve"> 2019; </w:t>
      </w:r>
      <w:r w:rsidRPr="003E0CD0">
        <w:rPr>
          <w:rFonts w:ascii="Book Antiqua" w:eastAsia="Book Antiqua" w:hAnsi="Book Antiqua" w:cs="Book Antiqua"/>
          <w:b/>
          <w:bCs/>
        </w:rPr>
        <w:t>64</w:t>
      </w:r>
      <w:r w:rsidRPr="003E0CD0">
        <w:rPr>
          <w:rFonts w:ascii="Book Antiqua" w:eastAsia="Book Antiqua" w:hAnsi="Book Antiqua" w:cs="Book Antiqua"/>
        </w:rPr>
        <w:t>: 3086-3091 [PMID: 31559552 DOI: 10.1007/s10620-019-05853-7]</w:t>
      </w:r>
    </w:p>
    <w:p w14:paraId="2FF0A866" w14:textId="77777777" w:rsidR="00A77B3E" w:rsidRPr="003E0CD0" w:rsidRDefault="00000000">
      <w:pPr>
        <w:spacing w:line="360" w:lineRule="auto"/>
        <w:jc w:val="both"/>
      </w:pPr>
      <w:r w:rsidRPr="003E0CD0">
        <w:rPr>
          <w:rFonts w:ascii="Book Antiqua" w:eastAsia="Book Antiqua" w:hAnsi="Book Antiqua" w:cs="Book Antiqua"/>
        </w:rPr>
        <w:t xml:space="preserve">47 </w:t>
      </w:r>
      <w:r w:rsidRPr="003E0CD0">
        <w:rPr>
          <w:rFonts w:ascii="Book Antiqua" w:eastAsia="Book Antiqua" w:hAnsi="Book Antiqua" w:cs="Book Antiqua"/>
          <w:b/>
          <w:bCs/>
        </w:rPr>
        <w:t>Roberts KJ</w:t>
      </w:r>
      <w:r w:rsidRPr="003E0CD0">
        <w:rPr>
          <w:rFonts w:ascii="Book Antiqua" w:eastAsia="Book Antiqua" w:hAnsi="Book Antiqua" w:cs="Book Antiqua"/>
        </w:rPr>
        <w:t xml:space="preserve">, Jones RG, Forde C, Marudanayagam R. Endoscopic ultrasound-guided treatment of visceral artery pseudoaneurysm. </w:t>
      </w:r>
      <w:r w:rsidRPr="003E0CD0">
        <w:rPr>
          <w:rFonts w:ascii="Book Antiqua" w:eastAsia="Book Antiqua" w:hAnsi="Book Antiqua" w:cs="Book Antiqua"/>
          <w:i/>
          <w:iCs/>
        </w:rPr>
        <w:t>HPB (Oxford)</w:t>
      </w:r>
      <w:r w:rsidRPr="003E0CD0">
        <w:rPr>
          <w:rFonts w:ascii="Book Antiqua" w:eastAsia="Book Antiqua" w:hAnsi="Book Antiqua" w:cs="Book Antiqua"/>
        </w:rPr>
        <w:t xml:space="preserve"> 2012; </w:t>
      </w:r>
      <w:r w:rsidRPr="003E0CD0">
        <w:rPr>
          <w:rFonts w:ascii="Book Antiqua" w:eastAsia="Book Antiqua" w:hAnsi="Book Antiqua" w:cs="Book Antiqua"/>
          <w:b/>
          <w:bCs/>
        </w:rPr>
        <w:t>14</w:t>
      </w:r>
      <w:r w:rsidRPr="003E0CD0">
        <w:rPr>
          <w:rFonts w:ascii="Book Antiqua" w:eastAsia="Book Antiqua" w:hAnsi="Book Antiqua" w:cs="Book Antiqua"/>
        </w:rPr>
        <w:t>: 489-490 [PMID: 22672553 DOI: 10.1111/j.1477-2574.2012.00470.x]</w:t>
      </w:r>
    </w:p>
    <w:p w14:paraId="3E790C2C" w14:textId="77777777" w:rsidR="00A77B3E" w:rsidRPr="003E0CD0" w:rsidRDefault="00000000">
      <w:pPr>
        <w:spacing w:line="360" w:lineRule="auto"/>
        <w:jc w:val="both"/>
      </w:pPr>
      <w:r w:rsidRPr="003E0CD0">
        <w:rPr>
          <w:rFonts w:ascii="Book Antiqua" w:eastAsia="Book Antiqua" w:hAnsi="Book Antiqua" w:cs="Book Antiqua"/>
        </w:rPr>
        <w:t xml:space="preserve">48 </w:t>
      </w:r>
      <w:r w:rsidRPr="003E0CD0">
        <w:rPr>
          <w:rFonts w:ascii="Book Antiqua" w:eastAsia="Book Antiqua" w:hAnsi="Book Antiqua" w:cs="Book Antiqua"/>
          <w:b/>
          <w:bCs/>
        </w:rPr>
        <w:t>Gamanagatti S</w:t>
      </w:r>
      <w:r w:rsidRPr="003E0CD0">
        <w:rPr>
          <w:rFonts w:ascii="Book Antiqua" w:eastAsia="Book Antiqua" w:hAnsi="Book Antiqua" w:cs="Book Antiqua"/>
        </w:rPr>
        <w:t xml:space="preserve">, Thingujam U, Garg P, Nongthombam S, Dash NR. Endoscopic ultrasound guided thrombin injection of angiographically occult pancreatitis associated visceral artery pseudoaneurysms: Case series. </w:t>
      </w:r>
      <w:r w:rsidRPr="003E0CD0">
        <w:rPr>
          <w:rFonts w:ascii="Book Antiqua" w:eastAsia="Book Antiqua" w:hAnsi="Book Antiqua" w:cs="Book Antiqua"/>
          <w:i/>
          <w:iCs/>
        </w:rPr>
        <w:t>World J Gastrointest Endosc</w:t>
      </w:r>
      <w:r w:rsidRPr="003E0CD0">
        <w:rPr>
          <w:rFonts w:ascii="Book Antiqua" w:eastAsia="Book Antiqua" w:hAnsi="Book Antiqua" w:cs="Book Antiqua"/>
        </w:rPr>
        <w:t xml:space="preserve"> 2015; </w:t>
      </w:r>
      <w:r w:rsidRPr="003E0CD0">
        <w:rPr>
          <w:rFonts w:ascii="Book Antiqua" w:eastAsia="Book Antiqua" w:hAnsi="Book Antiqua" w:cs="Book Antiqua"/>
          <w:b/>
          <w:bCs/>
        </w:rPr>
        <w:t>7</w:t>
      </w:r>
      <w:r w:rsidRPr="003E0CD0">
        <w:rPr>
          <w:rFonts w:ascii="Book Antiqua" w:eastAsia="Book Antiqua" w:hAnsi="Book Antiqua" w:cs="Book Antiqua"/>
        </w:rPr>
        <w:t>: 1107-1113 [PMID: 26421108 DOI: 10.4253/wjge.v7.i13.1107]</w:t>
      </w:r>
    </w:p>
    <w:p w14:paraId="44D4D9E3" w14:textId="339E9056" w:rsidR="00A77B3E" w:rsidRPr="003E0CD0" w:rsidRDefault="00000000">
      <w:pPr>
        <w:spacing w:line="360" w:lineRule="auto"/>
        <w:jc w:val="both"/>
      </w:pPr>
      <w:r w:rsidRPr="003E0CD0">
        <w:rPr>
          <w:rFonts w:ascii="Book Antiqua" w:eastAsia="Book Antiqua" w:hAnsi="Book Antiqua" w:cs="Book Antiqua"/>
        </w:rPr>
        <w:t xml:space="preserve">49 </w:t>
      </w:r>
      <w:r w:rsidR="00DA1082" w:rsidRPr="003E0CD0">
        <w:rPr>
          <w:rFonts w:ascii="Book Antiqua" w:eastAsia="Book Antiqua" w:hAnsi="Book Antiqua" w:cs="Book Antiqua"/>
          <w:b/>
          <w:bCs/>
        </w:rPr>
        <w:t>Maharshi S</w:t>
      </w:r>
      <w:r w:rsidR="00DA1082" w:rsidRPr="003E0CD0">
        <w:rPr>
          <w:rFonts w:ascii="Book Antiqua" w:eastAsia="Book Antiqua" w:hAnsi="Book Antiqua" w:cs="Book Antiqua"/>
        </w:rPr>
        <w:t xml:space="preserve">, Sharma SS, Sharma D, Sapra B, Nijhawan S. Endoscopic ultrasound-guided thrombin injection, a management approach for visceral artery pseudoaneurysms. </w:t>
      </w:r>
      <w:r w:rsidR="00DA1082" w:rsidRPr="003E0CD0">
        <w:rPr>
          <w:rFonts w:ascii="Book Antiqua" w:eastAsia="Book Antiqua" w:hAnsi="Book Antiqua" w:cs="Book Antiqua"/>
          <w:i/>
          <w:iCs/>
        </w:rPr>
        <w:t>Endosc Int Open</w:t>
      </w:r>
      <w:r w:rsidR="00DA1082" w:rsidRPr="003E0CD0">
        <w:rPr>
          <w:rFonts w:ascii="Book Antiqua" w:eastAsia="Book Antiqua" w:hAnsi="Book Antiqua" w:cs="Book Antiqua"/>
        </w:rPr>
        <w:t xml:space="preserve"> 2020; </w:t>
      </w:r>
      <w:r w:rsidR="00DA1082" w:rsidRPr="003E0CD0">
        <w:rPr>
          <w:rFonts w:ascii="Book Antiqua" w:eastAsia="Book Antiqua" w:hAnsi="Book Antiqua" w:cs="Book Antiqua"/>
          <w:b/>
          <w:bCs/>
        </w:rPr>
        <w:t>8</w:t>
      </w:r>
      <w:r w:rsidR="00DA1082" w:rsidRPr="003E0CD0">
        <w:rPr>
          <w:rFonts w:ascii="Book Antiqua" w:eastAsia="Book Antiqua" w:hAnsi="Book Antiqua" w:cs="Book Antiqua"/>
        </w:rPr>
        <w:t>: E407-E412 [PMID: 32118114 DOI: 10.1055/a-1070-9168]</w:t>
      </w:r>
    </w:p>
    <w:p w14:paraId="34B7B481" w14:textId="769D63D3" w:rsidR="00A77B3E" w:rsidRPr="003E0CD0" w:rsidRDefault="00000000">
      <w:pPr>
        <w:spacing w:line="360" w:lineRule="auto"/>
        <w:jc w:val="both"/>
      </w:pPr>
      <w:r w:rsidRPr="003E0CD0">
        <w:rPr>
          <w:rFonts w:ascii="Book Antiqua" w:eastAsia="Book Antiqua" w:hAnsi="Book Antiqua" w:cs="Book Antiqua"/>
        </w:rPr>
        <w:t xml:space="preserve">50 </w:t>
      </w:r>
      <w:r w:rsidR="0035439C" w:rsidRPr="003E0CD0">
        <w:rPr>
          <w:rFonts w:ascii="Book Antiqua" w:eastAsia="Book Antiqua" w:hAnsi="Book Antiqua" w:cs="Book Antiqua"/>
          <w:b/>
          <w:bCs/>
        </w:rPr>
        <w:t>Anderloni A</w:t>
      </w:r>
      <w:r w:rsidR="0035439C" w:rsidRPr="003E0CD0">
        <w:rPr>
          <w:rFonts w:ascii="Book Antiqua" w:eastAsia="Book Antiqua" w:hAnsi="Book Antiqua" w:cs="Book Antiqua"/>
        </w:rPr>
        <w:t xml:space="preserve">, Auriemma F, Samarasena J. Visceral artery pseudoaneurysm: Is EUS-guided treatment ready for prime time? </w:t>
      </w:r>
      <w:r w:rsidR="0035439C" w:rsidRPr="003E0CD0">
        <w:rPr>
          <w:rFonts w:ascii="Book Antiqua" w:eastAsia="Book Antiqua" w:hAnsi="Book Antiqua" w:cs="Book Antiqua"/>
          <w:i/>
          <w:iCs/>
        </w:rPr>
        <w:t>Endosc Int Open</w:t>
      </w:r>
      <w:r w:rsidR="0035439C" w:rsidRPr="003E0CD0">
        <w:rPr>
          <w:rFonts w:ascii="Book Antiqua" w:eastAsia="Book Antiqua" w:hAnsi="Book Antiqua" w:cs="Book Antiqua"/>
        </w:rPr>
        <w:t xml:space="preserve"> 2020;</w:t>
      </w:r>
      <w:r w:rsidR="00DA1082" w:rsidRPr="003E0CD0">
        <w:rPr>
          <w:rFonts w:ascii="Book Antiqua" w:eastAsia="Book Antiqua" w:hAnsi="Book Antiqua" w:cs="Book Antiqua"/>
        </w:rPr>
        <w:t xml:space="preserve"> </w:t>
      </w:r>
      <w:r w:rsidR="0035439C" w:rsidRPr="003E0CD0">
        <w:rPr>
          <w:rFonts w:ascii="Book Antiqua" w:eastAsia="Book Antiqua" w:hAnsi="Book Antiqua" w:cs="Book Antiqua"/>
          <w:b/>
          <w:bCs/>
        </w:rPr>
        <w:t>8</w:t>
      </w:r>
      <w:r w:rsidR="0035439C" w:rsidRPr="003E0CD0">
        <w:rPr>
          <w:rFonts w:ascii="Book Antiqua" w:eastAsia="Book Antiqua" w:hAnsi="Book Antiqua" w:cs="Book Antiqua"/>
        </w:rPr>
        <w:t>:</w:t>
      </w:r>
      <w:r w:rsidR="00DA1082" w:rsidRPr="003E0CD0">
        <w:rPr>
          <w:rFonts w:ascii="Book Antiqua" w:eastAsia="Book Antiqua" w:hAnsi="Book Antiqua" w:cs="Book Antiqua"/>
        </w:rPr>
        <w:t xml:space="preserve"> </w:t>
      </w:r>
      <w:r w:rsidR="0035439C" w:rsidRPr="003E0CD0">
        <w:rPr>
          <w:rFonts w:ascii="Book Antiqua" w:eastAsia="Book Antiqua" w:hAnsi="Book Antiqua" w:cs="Book Antiqua"/>
        </w:rPr>
        <w:t>E413-E414</w:t>
      </w:r>
      <w:r w:rsidR="00DA1082" w:rsidRPr="003E0CD0">
        <w:rPr>
          <w:rFonts w:ascii="Book Antiqua" w:eastAsia="Book Antiqua" w:hAnsi="Book Antiqua" w:cs="Book Antiqua"/>
        </w:rPr>
        <w:t xml:space="preserve"> [PMID: 32140558</w:t>
      </w:r>
      <w:r w:rsidR="0035439C" w:rsidRPr="003E0CD0">
        <w:rPr>
          <w:rFonts w:ascii="Book Antiqua" w:eastAsia="Book Antiqua" w:hAnsi="Book Antiqua" w:cs="Book Antiqua"/>
        </w:rPr>
        <w:t xml:space="preserve"> </w:t>
      </w:r>
      <w:r w:rsidR="00DA1082" w:rsidRPr="003E0CD0">
        <w:rPr>
          <w:rFonts w:ascii="Book Antiqua" w:eastAsia="Book Antiqua" w:hAnsi="Book Antiqua" w:cs="Book Antiqua"/>
        </w:rPr>
        <w:t>DOI</w:t>
      </w:r>
      <w:r w:rsidR="0035439C" w:rsidRPr="003E0CD0">
        <w:rPr>
          <w:rFonts w:ascii="Book Antiqua" w:eastAsia="Book Antiqua" w:hAnsi="Book Antiqua" w:cs="Book Antiqua"/>
        </w:rPr>
        <w:t>: 10.1055/a-1096-0617</w:t>
      </w:r>
      <w:r w:rsidR="00DA1082" w:rsidRPr="003E0CD0">
        <w:rPr>
          <w:rFonts w:ascii="Book Antiqua" w:eastAsia="Book Antiqua" w:hAnsi="Book Antiqua" w:cs="Book Antiqua"/>
        </w:rPr>
        <w:t>]</w:t>
      </w:r>
    </w:p>
    <w:p w14:paraId="069486F1" w14:textId="77777777" w:rsidR="00A77B3E" w:rsidRPr="003E0CD0" w:rsidRDefault="00000000">
      <w:pPr>
        <w:spacing w:line="360" w:lineRule="auto"/>
        <w:jc w:val="both"/>
      </w:pPr>
      <w:r w:rsidRPr="003E0CD0">
        <w:rPr>
          <w:rFonts w:ascii="Book Antiqua" w:eastAsia="Book Antiqua" w:hAnsi="Book Antiqua" w:cs="Book Antiqua"/>
        </w:rPr>
        <w:t xml:space="preserve">51 </w:t>
      </w:r>
      <w:r w:rsidRPr="003E0CD0">
        <w:rPr>
          <w:rFonts w:ascii="Book Antiqua" w:eastAsia="Book Antiqua" w:hAnsi="Book Antiqua" w:cs="Book Antiqua"/>
          <w:b/>
          <w:bCs/>
        </w:rPr>
        <w:t>Spriggs DW</w:t>
      </w:r>
      <w:r w:rsidRPr="003E0CD0">
        <w:rPr>
          <w:rFonts w:ascii="Book Antiqua" w:eastAsia="Book Antiqua" w:hAnsi="Book Antiqua" w:cs="Book Antiqua"/>
        </w:rPr>
        <w:t xml:space="preserve">. Congenital absence of the splenic artery. </w:t>
      </w:r>
      <w:r w:rsidRPr="003E0CD0">
        <w:rPr>
          <w:rFonts w:ascii="Book Antiqua" w:eastAsia="Book Antiqua" w:hAnsi="Book Antiqua" w:cs="Book Antiqua"/>
          <w:i/>
          <w:iCs/>
        </w:rPr>
        <w:t>Cardiovasc Intervent Radiol</w:t>
      </w:r>
      <w:r w:rsidRPr="003E0CD0">
        <w:rPr>
          <w:rFonts w:ascii="Book Antiqua" w:eastAsia="Book Antiqua" w:hAnsi="Book Antiqua" w:cs="Book Antiqua"/>
        </w:rPr>
        <w:t xml:space="preserve"> 1984; </w:t>
      </w:r>
      <w:r w:rsidRPr="003E0CD0">
        <w:rPr>
          <w:rFonts w:ascii="Book Antiqua" w:eastAsia="Book Antiqua" w:hAnsi="Book Antiqua" w:cs="Book Antiqua"/>
          <w:b/>
          <w:bCs/>
        </w:rPr>
        <w:t>7</w:t>
      </w:r>
      <w:r w:rsidRPr="003E0CD0">
        <w:rPr>
          <w:rFonts w:ascii="Book Antiqua" w:eastAsia="Book Antiqua" w:hAnsi="Book Antiqua" w:cs="Book Antiqua"/>
        </w:rPr>
        <w:t>: 303-305 [PMID: 6335674 DOI: 10.1007/BF02625116]</w:t>
      </w:r>
    </w:p>
    <w:p w14:paraId="0B09895F" w14:textId="77777777" w:rsidR="00A77B3E" w:rsidRPr="003E0CD0" w:rsidRDefault="00000000">
      <w:pPr>
        <w:spacing w:line="360" w:lineRule="auto"/>
        <w:jc w:val="both"/>
      </w:pPr>
      <w:r w:rsidRPr="003E0CD0">
        <w:rPr>
          <w:rFonts w:ascii="Book Antiqua" w:eastAsia="Book Antiqua" w:hAnsi="Book Antiqua" w:cs="Book Antiqua"/>
        </w:rPr>
        <w:t xml:space="preserve">52 </w:t>
      </w:r>
      <w:r w:rsidRPr="003E0CD0">
        <w:rPr>
          <w:rFonts w:ascii="Book Antiqua" w:eastAsia="Book Antiqua" w:hAnsi="Book Antiqua" w:cs="Book Antiqua"/>
          <w:b/>
          <w:bCs/>
        </w:rPr>
        <w:t>Martino A</w:t>
      </w:r>
      <w:r w:rsidRPr="003E0CD0">
        <w:rPr>
          <w:rFonts w:ascii="Book Antiqua" w:eastAsia="Book Antiqua" w:hAnsi="Book Antiqua" w:cs="Book Antiqua"/>
        </w:rPr>
        <w:t xml:space="preserve">, Di Serafino M, Zito FP, Maglione F, Bennato R, Orsini L, Iacobelli A, Niola R, Romano L, Lombardi G. Massive bleeding from gastric submucosal arterial collaterals secondary to splenic artery thrombosis: A case report.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2022; </w:t>
      </w:r>
      <w:r w:rsidRPr="003E0CD0">
        <w:rPr>
          <w:rFonts w:ascii="Book Antiqua" w:eastAsia="Book Antiqua" w:hAnsi="Book Antiqua" w:cs="Book Antiqua"/>
          <w:b/>
          <w:bCs/>
        </w:rPr>
        <w:t>28</w:t>
      </w:r>
      <w:r w:rsidRPr="003E0CD0">
        <w:rPr>
          <w:rFonts w:ascii="Book Antiqua" w:eastAsia="Book Antiqua" w:hAnsi="Book Antiqua" w:cs="Book Antiqua"/>
        </w:rPr>
        <w:t>: 5506-5514 [PMID: 36312836 DOI: 10.3748/wjg.v28.i37.5506]</w:t>
      </w:r>
    </w:p>
    <w:p w14:paraId="07E7AF5F" w14:textId="77777777" w:rsidR="00A77B3E" w:rsidRPr="003E0CD0" w:rsidRDefault="00000000">
      <w:pPr>
        <w:spacing w:line="360" w:lineRule="auto"/>
        <w:jc w:val="both"/>
      </w:pPr>
      <w:r w:rsidRPr="003E0CD0">
        <w:rPr>
          <w:rFonts w:ascii="Book Antiqua" w:eastAsia="Book Antiqua" w:hAnsi="Book Antiqua" w:cs="Book Antiqua"/>
        </w:rPr>
        <w:t xml:space="preserve">53 </w:t>
      </w:r>
      <w:r w:rsidRPr="003E0CD0">
        <w:rPr>
          <w:rFonts w:ascii="Book Antiqua" w:eastAsia="Book Antiqua" w:hAnsi="Book Antiqua" w:cs="Book Antiqua"/>
          <w:b/>
          <w:bCs/>
        </w:rPr>
        <w:t>Stolze T</w:t>
      </w:r>
      <w:r w:rsidRPr="003E0CD0">
        <w:rPr>
          <w:rFonts w:ascii="Book Antiqua" w:eastAsia="Book Antiqua" w:hAnsi="Book Antiqua" w:cs="Book Antiqua"/>
        </w:rPr>
        <w:t xml:space="preserve">, Wienbeck M. [The collateral circulation in the chronic occlusion of the splenic artery]. </w:t>
      </w:r>
      <w:r w:rsidRPr="003E0CD0">
        <w:rPr>
          <w:rFonts w:ascii="Book Antiqua" w:eastAsia="Book Antiqua" w:hAnsi="Book Antiqua" w:cs="Book Antiqua"/>
          <w:i/>
          <w:iCs/>
        </w:rPr>
        <w:t>Rofo</w:t>
      </w:r>
      <w:r w:rsidRPr="003E0CD0">
        <w:rPr>
          <w:rFonts w:ascii="Book Antiqua" w:eastAsia="Book Antiqua" w:hAnsi="Book Antiqua" w:cs="Book Antiqua"/>
        </w:rPr>
        <w:t xml:space="preserve"> 1976; </w:t>
      </w:r>
      <w:r w:rsidRPr="003E0CD0">
        <w:rPr>
          <w:rFonts w:ascii="Book Antiqua" w:eastAsia="Book Antiqua" w:hAnsi="Book Antiqua" w:cs="Book Antiqua"/>
          <w:b/>
          <w:bCs/>
        </w:rPr>
        <w:t>124</w:t>
      </w:r>
      <w:r w:rsidRPr="003E0CD0">
        <w:rPr>
          <w:rFonts w:ascii="Book Antiqua" w:eastAsia="Book Antiqua" w:hAnsi="Book Antiqua" w:cs="Book Antiqua"/>
        </w:rPr>
        <w:t>: 386-387 [PMID: 131773 DOI: 10.1055/s-0029-1230356]</w:t>
      </w:r>
    </w:p>
    <w:p w14:paraId="5E3F8948" w14:textId="77777777" w:rsidR="00A77B3E" w:rsidRPr="003E0CD0" w:rsidRDefault="00000000">
      <w:pPr>
        <w:spacing w:line="360" w:lineRule="auto"/>
        <w:jc w:val="both"/>
      </w:pPr>
      <w:r w:rsidRPr="003E0CD0">
        <w:rPr>
          <w:rFonts w:ascii="Book Antiqua" w:eastAsia="Book Antiqua" w:hAnsi="Book Antiqua" w:cs="Book Antiqua"/>
        </w:rPr>
        <w:t xml:space="preserve">54 </w:t>
      </w:r>
      <w:r w:rsidRPr="003E0CD0">
        <w:rPr>
          <w:rFonts w:ascii="Book Antiqua" w:eastAsia="Book Antiqua" w:hAnsi="Book Antiqua" w:cs="Book Antiqua"/>
          <w:b/>
          <w:bCs/>
        </w:rPr>
        <w:t>Sarin SK</w:t>
      </w:r>
      <w:r w:rsidRPr="003E0CD0">
        <w:rPr>
          <w:rFonts w:ascii="Book Antiqua" w:eastAsia="Book Antiqua" w:hAnsi="Book Antiqua" w:cs="Book Antiqua"/>
        </w:rPr>
        <w:t xml:space="preserve">, Lahoti D, Saxena SP, Murthy NS, Makwana UK. Prevalence, classification and natural history of gastric varices: a long-term follow-up study in 568 portal hypertension patients. </w:t>
      </w:r>
      <w:r w:rsidRPr="003E0CD0">
        <w:rPr>
          <w:rFonts w:ascii="Book Antiqua" w:eastAsia="Book Antiqua" w:hAnsi="Book Antiqua" w:cs="Book Antiqua"/>
          <w:i/>
          <w:iCs/>
        </w:rPr>
        <w:t>Hepatology</w:t>
      </w:r>
      <w:r w:rsidRPr="003E0CD0">
        <w:rPr>
          <w:rFonts w:ascii="Book Antiqua" w:eastAsia="Book Antiqua" w:hAnsi="Book Antiqua" w:cs="Book Antiqua"/>
        </w:rPr>
        <w:t xml:space="preserve"> 1992; </w:t>
      </w:r>
      <w:r w:rsidRPr="003E0CD0">
        <w:rPr>
          <w:rFonts w:ascii="Book Antiqua" w:eastAsia="Book Antiqua" w:hAnsi="Book Antiqua" w:cs="Book Antiqua"/>
          <w:b/>
          <w:bCs/>
        </w:rPr>
        <w:t>16</w:t>
      </w:r>
      <w:r w:rsidRPr="003E0CD0">
        <w:rPr>
          <w:rFonts w:ascii="Book Antiqua" w:eastAsia="Book Antiqua" w:hAnsi="Book Antiqua" w:cs="Book Antiqua"/>
        </w:rPr>
        <w:t>: 1343-1349 [PMID: 1446890 DOI: 10.1002/hep.1840160607]</w:t>
      </w:r>
    </w:p>
    <w:p w14:paraId="46826AB8"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55 </w:t>
      </w:r>
      <w:r w:rsidRPr="003E0CD0">
        <w:rPr>
          <w:rFonts w:ascii="Book Antiqua" w:eastAsia="Book Antiqua" w:hAnsi="Book Antiqua" w:cs="Book Antiqua"/>
          <w:b/>
          <w:bCs/>
        </w:rPr>
        <w:t>Gralnek IM</w:t>
      </w:r>
      <w:r w:rsidRPr="003E0CD0">
        <w:rPr>
          <w:rFonts w:ascii="Book Antiqua" w:eastAsia="Book Antiqua" w:hAnsi="Book Antiqua" w:cs="Book Antiqua"/>
        </w:rPr>
        <w:t xml:space="preserve">, Camus Duboc M, Garcia-Pagan JC, Fuccio L, Karstensen JG, Hucl T, Jovanovic I, Awadie H, Hernandez-Gea V, Tantau M, Ebigbo A, Ibrahim M, Vlachogiannakos J, Burgmans MC, Rosasco R, Triantafyllou K. Endoscopic diagnosis and management of esophagogastric variceal hemorrhage: European Society of Gastrointestinal Endoscopy (ESGE) Guideline.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2022; </w:t>
      </w:r>
      <w:r w:rsidRPr="003E0CD0">
        <w:rPr>
          <w:rFonts w:ascii="Book Antiqua" w:eastAsia="Book Antiqua" w:hAnsi="Book Antiqua" w:cs="Book Antiqua"/>
          <w:b/>
          <w:bCs/>
        </w:rPr>
        <w:t>54</w:t>
      </w:r>
      <w:r w:rsidRPr="003E0CD0">
        <w:rPr>
          <w:rFonts w:ascii="Book Antiqua" w:eastAsia="Book Antiqua" w:hAnsi="Book Antiqua" w:cs="Book Antiqua"/>
        </w:rPr>
        <w:t>: 1094-1120 [PMID: 36174643 DOI: 10.1055/a-1939-4887]</w:t>
      </w:r>
    </w:p>
    <w:p w14:paraId="1444ED56" w14:textId="77777777" w:rsidR="00A77B3E" w:rsidRPr="003E0CD0" w:rsidRDefault="00000000">
      <w:pPr>
        <w:spacing w:line="360" w:lineRule="auto"/>
        <w:jc w:val="both"/>
      </w:pPr>
      <w:r w:rsidRPr="003E0CD0">
        <w:rPr>
          <w:rFonts w:ascii="Book Antiqua" w:eastAsia="Book Antiqua" w:hAnsi="Book Antiqua" w:cs="Book Antiqua"/>
        </w:rPr>
        <w:t xml:space="preserve">56 </w:t>
      </w:r>
      <w:r w:rsidRPr="003E0CD0">
        <w:rPr>
          <w:rFonts w:ascii="Book Antiqua" w:eastAsia="Book Antiqua" w:hAnsi="Book Antiqua" w:cs="Book Antiqua"/>
          <w:b/>
          <w:bCs/>
        </w:rPr>
        <w:t>Lee GH</w:t>
      </w:r>
      <w:r w:rsidRPr="003E0CD0">
        <w:rPr>
          <w:rFonts w:ascii="Book Antiqua" w:eastAsia="Book Antiqua" w:hAnsi="Book Antiqua" w:cs="Book Antiqua"/>
        </w:rPr>
        <w:t xml:space="preserve">, Kim JH, Lee KJ, Yoo BM, Hahm KB, Cho SW, Park YS, Moon YS. Life-threatening intraabdominal arterial embolization after histoacryl injection for bleeding gastric ulcer.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2000; </w:t>
      </w:r>
      <w:r w:rsidRPr="003E0CD0">
        <w:rPr>
          <w:rFonts w:ascii="Book Antiqua" w:eastAsia="Book Antiqua" w:hAnsi="Book Antiqua" w:cs="Book Antiqua"/>
          <w:b/>
          <w:bCs/>
        </w:rPr>
        <w:t>32</w:t>
      </w:r>
      <w:r w:rsidRPr="003E0CD0">
        <w:rPr>
          <w:rFonts w:ascii="Book Antiqua" w:eastAsia="Book Antiqua" w:hAnsi="Book Antiqua" w:cs="Book Antiqua"/>
        </w:rPr>
        <w:t>: 422-424 [PMID: 10817185 DOI: 10.1055/s-2000-9002]</w:t>
      </w:r>
    </w:p>
    <w:p w14:paraId="3351C393" w14:textId="77777777" w:rsidR="00A77B3E" w:rsidRPr="003E0CD0" w:rsidRDefault="00000000">
      <w:pPr>
        <w:spacing w:line="360" w:lineRule="auto"/>
        <w:jc w:val="both"/>
      </w:pPr>
      <w:r w:rsidRPr="003E0CD0">
        <w:rPr>
          <w:rFonts w:ascii="Book Antiqua" w:eastAsia="Book Antiqua" w:hAnsi="Book Antiqua" w:cs="Book Antiqua"/>
        </w:rPr>
        <w:t xml:space="preserve">57 </w:t>
      </w:r>
      <w:r w:rsidRPr="003E0CD0">
        <w:rPr>
          <w:rFonts w:ascii="Book Antiqua" w:eastAsia="Book Antiqua" w:hAnsi="Book Antiqua" w:cs="Book Antiqua"/>
          <w:b/>
          <w:bCs/>
        </w:rPr>
        <w:t>Lee KJ</w:t>
      </w:r>
      <w:r w:rsidRPr="003E0CD0">
        <w:rPr>
          <w:rFonts w:ascii="Book Antiqua" w:eastAsia="Book Antiqua" w:hAnsi="Book Antiqua" w:cs="Book Antiqua"/>
        </w:rPr>
        <w:t xml:space="preserve">, Kim JH, Hahm KB, Cho SW, Park YS. Randomized trial of N-butyl-2-cyanoacrylate compared with injection of hypertonic saline-epinephrine in the endoscopic treatment of bleeding peptic ulcers.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2000; </w:t>
      </w:r>
      <w:r w:rsidRPr="003E0CD0">
        <w:rPr>
          <w:rFonts w:ascii="Book Antiqua" w:eastAsia="Book Antiqua" w:hAnsi="Book Antiqua" w:cs="Book Antiqua"/>
          <w:b/>
          <w:bCs/>
        </w:rPr>
        <w:t>32</w:t>
      </w:r>
      <w:r w:rsidRPr="003E0CD0">
        <w:rPr>
          <w:rFonts w:ascii="Book Antiqua" w:eastAsia="Book Antiqua" w:hAnsi="Book Antiqua" w:cs="Book Antiqua"/>
        </w:rPr>
        <w:t>: 505-511 [PMID: 10917181 DOI: 10.1055/s-2000-3816]</w:t>
      </w:r>
    </w:p>
    <w:p w14:paraId="62C8B53E" w14:textId="77777777" w:rsidR="00A77B3E" w:rsidRPr="003E0CD0" w:rsidRDefault="00000000">
      <w:pPr>
        <w:spacing w:line="360" w:lineRule="auto"/>
        <w:jc w:val="both"/>
      </w:pPr>
      <w:r w:rsidRPr="003E0CD0">
        <w:rPr>
          <w:rFonts w:ascii="Book Antiqua" w:eastAsia="Book Antiqua" w:hAnsi="Book Antiqua" w:cs="Book Antiqua"/>
        </w:rPr>
        <w:t xml:space="preserve">58 </w:t>
      </w:r>
      <w:r w:rsidRPr="003E0CD0">
        <w:rPr>
          <w:rFonts w:ascii="Book Antiqua" w:eastAsia="Book Antiqua" w:hAnsi="Book Antiqua" w:cs="Book Antiqua"/>
          <w:b/>
          <w:bCs/>
        </w:rPr>
        <w:t>Lee YT</w:t>
      </w:r>
      <w:r w:rsidRPr="003E0CD0">
        <w:rPr>
          <w:rFonts w:ascii="Book Antiqua" w:eastAsia="Book Antiqua" w:hAnsi="Book Antiqua" w:cs="Book Antiqua"/>
        </w:rPr>
        <w:t xml:space="preserve">, Walmsley RS, Leong RW, Sung JJ. Dieulafoy's lesion.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2003; </w:t>
      </w:r>
      <w:r w:rsidRPr="003E0CD0">
        <w:rPr>
          <w:rFonts w:ascii="Book Antiqua" w:eastAsia="Book Antiqua" w:hAnsi="Book Antiqua" w:cs="Book Antiqua"/>
          <w:b/>
          <w:bCs/>
        </w:rPr>
        <w:t>58</w:t>
      </w:r>
      <w:r w:rsidRPr="003E0CD0">
        <w:rPr>
          <w:rFonts w:ascii="Book Antiqua" w:eastAsia="Book Antiqua" w:hAnsi="Book Antiqua" w:cs="Book Antiqua"/>
        </w:rPr>
        <w:t>: 236-243 [PMID: 12872092 DOI: 10.1067/mge.2003.328]</w:t>
      </w:r>
    </w:p>
    <w:p w14:paraId="48DDF95E" w14:textId="77777777" w:rsidR="00A77B3E" w:rsidRPr="003E0CD0" w:rsidRDefault="00000000">
      <w:pPr>
        <w:spacing w:line="360" w:lineRule="auto"/>
        <w:jc w:val="both"/>
      </w:pPr>
      <w:r w:rsidRPr="003E0CD0">
        <w:rPr>
          <w:rFonts w:ascii="Book Antiqua" w:eastAsia="Book Antiqua" w:hAnsi="Book Antiqua" w:cs="Book Antiqua"/>
        </w:rPr>
        <w:t xml:space="preserve">59 </w:t>
      </w:r>
      <w:r w:rsidRPr="003E0CD0">
        <w:rPr>
          <w:rFonts w:ascii="Book Antiqua" w:eastAsia="Book Antiqua" w:hAnsi="Book Antiqua" w:cs="Book Antiqua"/>
          <w:b/>
          <w:bCs/>
        </w:rPr>
        <w:t>Nojkov B</w:t>
      </w:r>
      <w:r w:rsidRPr="003E0CD0">
        <w:rPr>
          <w:rFonts w:ascii="Book Antiqua" w:eastAsia="Book Antiqua" w:hAnsi="Book Antiqua" w:cs="Book Antiqua"/>
        </w:rPr>
        <w:t xml:space="preserve">, Cappell MS. Gastrointestinal bleeding from Dieulafoy's lesion: Clinical presentation, endoscopic findings, and endoscopic therapy. </w:t>
      </w:r>
      <w:r w:rsidRPr="003E0CD0">
        <w:rPr>
          <w:rFonts w:ascii="Book Antiqua" w:eastAsia="Book Antiqua" w:hAnsi="Book Antiqua" w:cs="Book Antiqua"/>
          <w:i/>
          <w:iCs/>
        </w:rPr>
        <w:t>World J Gastrointest Endosc</w:t>
      </w:r>
      <w:r w:rsidRPr="003E0CD0">
        <w:rPr>
          <w:rFonts w:ascii="Book Antiqua" w:eastAsia="Book Antiqua" w:hAnsi="Book Antiqua" w:cs="Book Antiqua"/>
        </w:rPr>
        <w:t xml:space="preserve"> 2015; </w:t>
      </w:r>
      <w:r w:rsidRPr="003E0CD0">
        <w:rPr>
          <w:rFonts w:ascii="Book Antiqua" w:eastAsia="Book Antiqua" w:hAnsi="Book Antiqua" w:cs="Book Antiqua"/>
          <w:b/>
          <w:bCs/>
        </w:rPr>
        <w:t>7</w:t>
      </w:r>
      <w:r w:rsidRPr="003E0CD0">
        <w:rPr>
          <w:rFonts w:ascii="Book Antiqua" w:eastAsia="Book Antiqua" w:hAnsi="Book Antiqua" w:cs="Book Antiqua"/>
        </w:rPr>
        <w:t>: 295-307 [PMID: 25901208 DOI: 10.4253/wjge.v7.i4.295]</w:t>
      </w:r>
    </w:p>
    <w:p w14:paraId="147406D1" w14:textId="1E96DC3E" w:rsidR="009B1746" w:rsidRPr="003E0CD0" w:rsidRDefault="00000000">
      <w:pPr>
        <w:spacing w:line="360" w:lineRule="auto"/>
        <w:jc w:val="both"/>
        <w:rPr>
          <w:rFonts w:ascii="Book Antiqua" w:eastAsia="Book Antiqua" w:hAnsi="Book Antiqua" w:cs="Book Antiqua"/>
        </w:rPr>
      </w:pPr>
      <w:r w:rsidRPr="003E0CD0">
        <w:rPr>
          <w:rFonts w:ascii="Book Antiqua" w:eastAsia="Book Antiqua" w:hAnsi="Book Antiqua" w:cs="Book Antiqua"/>
        </w:rPr>
        <w:t xml:space="preserve">60 </w:t>
      </w:r>
      <w:r w:rsidR="009B1746" w:rsidRPr="003E0CD0">
        <w:rPr>
          <w:rFonts w:ascii="Book Antiqua" w:eastAsia="Book Antiqua" w:hAnsi="Book Antiqua" w:cs="Book Antiqua"/>
          <w:b/>
          <w:bCs/>
        </w:rPr>
        <w:t>Gallard MT</w:t>
      </w:r>
      <w:r w:rsidR="009B1746" w:rsidRPr="003E0CD0">
        <w:rPr>
          <w:rFonts w:ascii="Book Antiqua" w:eastAsia="Book Antiqua" w:hAnsi="Book Antiqua" w:cs="Book Antiqua"/>
        </w:rPr>
        <w:t>. Aneurysme miliaires de l’estomach, donnant lieu a des hematemese mortelles.</w:t>
      </w:r>
      <w:r w:rsidR="007D4DA8" w:rsidRPr="003E0CD0">
        <w:rPr>
          <w:rFonts w:ascii="Book Antiqua" w:eastAsia="Book Antiqua" w:hAnsi="Book Antiqua" w:cs="Book Antiqua"/>
        </w:rPr>
        <w:t xml:space="preserve"> </w:t>
      </w:r>
      <w:r w:rsidR="009B1746" w:rsidRPr="003E0CD0">
        <w:rPr>
          <w:rFonts w:ascii="Book Antiqua" w:eastAsia="Book Antiqua" w:hAnsi="Book Antiqua" w:cs="Book Antiqua"/>
          <w:i/>
          <w:iCs/>
        </w:rPr>
        <w:t>Bull Soc Med Hop Paris</w:t>
      </w:r>
      <w:r w:rsidR="007D4DA8" w:rsidRPr="003E0CD0">
        <w:rPr>
          <w:rFonts w:ascii="Book Antiqua" w:eastAsia="Book Antiqua" w:hAnsi="Book Antiqua" w:cs="Book Antiqua"/>
        </w:rPr>
        <w:t xml:space="preserve"> </w:t>
      </w:r>
      <w:r w:rsidR="009B1746" w:rsidRPr="003E0CD0">
        <w:rPr>
          <w:rFonts w:ascii="Book Antiqua" w:eastAsia="Book Antiqua" w:hAnsi="Book Antiqua" w:cs="Book Antiqua"/>
        </w:rPr>
        <w:t xml:space="preserve">1884; </w:t>
      </w:r>
      <w:r w:rsidR="009B1746" w:rsidRPr="003E0CD0">
        <w:rPr>
          <w:rFonts w:ascii="Book Antiqua" w:eastAsia="Book Antiqua" w:hAnsi="Book Antiqua" w:cs="Book Antiqua"/>
          <w:b/>
          <w:bCs/>
        </w:rPr>
        <w:t>1</w:t>
      </w:r>
      <w:r w:rsidR="009B1746" w:rsidRPr="003E0CD0">
        <w:rPr>
          <w:rFonts w:ascii="Book Antiqua" w:eastAsia="Book Antiqua" w:hAnsi="Book Antiqua" w:cs="Book Antiqua"/>
        </w:rPr>
        <w:t>: 84-91</w:t>
      </w:r>
    </w:p>
    <w:p w14:paraId="5336BCB3" w14:textId="28D2DFF8" w:rsidR="00A77B3E" w:rsidRPr="003E0CD0" w:rsidRDefault="00000000">
      <w:pPr>
        <w:spacing w:line="360" w:lineRule="auto"/>
        <w:jc w:val="both"/>
      </w:pPr>
      <w:r w:rsidRPr="003E0CD0">
        <w:rPr>
          <w:rFonts w:ascii="Book Antiqua" w:eastAsia="Book Antiqua" w:hAnsi="Book Antiqua" w:cs="Book Antiqua"/>
        </w:rPr>
        <w:t xml:space="preserve">61 </w:t>
      </w:r>
      <w:r w:rsidRPr="003E0CD0">
        <w:rPr>
          <w:rFonts w:ascii="Book Antiqua" w:eastAsia="Book Antiqua" w:hAnsi="Book Antiqua" w:cs="Book Antiqua"/>
          <w:b/>
          <w:bCs/>
        </w:rPr>
        <w:t>Dieulafoy G</w:t>
      </w:r>
      <w:r w:rsidRPr="003E0CD0">
        <w:rPr>
          <w:rFonts w:ascii="Book Antiqua" w:eastAsia="Book Antiqua" w:hAnsi="Book Antiqua" w:cs="Book Antiqua"/>
        </w:rPr>
        <w:t>. Exulceratio simplex: Leçons 1-3. In: Dieulafoy G. Clinique medicale de l’Hotel Dieu de Paris. Paris: Masson et Cie</w:t>
      </w:r>
      <w:r w:rsidR="00DA1082" w:rsidRPr="003E0CD0">
        <w:rPr>
          <w:rFonts w:ascii="Book Antiqua" w:eastAsia="Book Antiqua" w:hAnsi="Book Antiqua" w:cs="Book Antiqua"/>
        </w:rPr>
        <w:t>,</w:t>
      </w:r>
      <w:r w:rsidRPr="003E0CD0">
        <w:rPr>
          <w:rFonts w:ascii="Book Antiqua" w:eastAsia="Book Antiqua" w:hAnsi="Book Antiqua" w:cs="Book Antiqua"/>
        </w:rPr>
        <w:t xml:space="preserve"> 1898</w:t>
      </w:r>
      <w:r w:rsidR="00DA1082" w:rsidRPr="003E0CD0">
        <w:rPr>
          <w:rFonts w:ascii="Book Antiqua" w:eastAsia="Book Antiqua" w:hAnsi="Book Antiqua" w:cs="Book Antiqua"/>
        </w:rPr>
        <w:t>:</w:t>
      </w:r>
      <w:r w:rsidRPr="003E0CD0">
        <w:rPr>
          <w:rFonts w:ascii="Book Antiqua" w:eastAsia="Book Antiqua" w:hAnsi="Book Antiqua" w:cs="Book Antiqua"/>
        </w:rPr>
        <w:t xml:space="preserve"> 1</w:t>
      </w:r>
      <w:r w:rsidR="00DA1082" w:rsidRPr="003E0CD0">
        <w:rPr>
          <w:rFonts w:ascii="Book Antiqua" w:eastAsia="Book Antiqua" w:hAnsi="Book Antiqua" w:cs="Book Antiqua"/>
        </w:rPr>
        <w:t>-</w:t>
      </w:r>
      <w:r w:rsidRPr="003E0CD0">
        <w:rPr>
          <w:rFonts w:ascii="Book Antiqua" w:eastAsia="Book Antiqua" w:hAnsi="Book Antiqua" w:cs="Book Antiqua"/>
        </w:rPr>
        <w:t>38</w:t>
      </w:r>
    </w:p>
    <w:p w14:paraId="75F2048D" w14:textId="0888576A" w:rsidR="00A77B3E" w:rsidRPr="003E0CD0" w:rsidRDefault="00000000">
      <w:pPr>
        <w:spacing w:line="360" w:lineRule="auto"/>
        <w:jc w:val="both"/>
      </w:pPr>
      <w:r w:rsidRPr="003E0CD0">
        <w:rPr>
          <w:rFonts w:ascii="Book Antiqua" w:eastAsia="Book Antiqua" w:hAnsi="Book Antiqua" w:cs="Book Antiqua"/>
        </w:rPr>
        <w:t xml:space="preserve">62 </w:t>
      </w:r>
      <w:r w:rsidRPr="003E0CD0">
        <w:rPr>
          <w:rFonts w:ascii="Book Antiqua" w:eastAsia="Book Antiqua" w:hAnsi="Book Antiqua" w:cs="Book Antiqua"/>
          <w:b/>
          <w:bCs/>
        </w:rPr>
        <w:t>B</w:t>
      </w:r>
      <w:r w:rsidR="00DA1082" w:rsidRPr="003E0CD0">
        <w:rPr>
          <w:rFonts w:ascii="Book Antiqua" w:eastAsia="Book Antiqua" w:hAnsi="Book Antiqua" w:cs="Book Antiqua"/>
          <w:b/>
          <w:bCs/>
        </w:rPr>
        <w:t>arlow</w:t>
      </w:r>
      <w:r w:rsidRPr="003E0CD0">
        <w:rPr>
          <w:rFonts w:ascii="Book Antiqua" w:eastAsia="Book Antiqua" w:hAnsi="Book Antiqua" w:cs="Book Antiqua"/>
          <w:b/>
          <w:bCs/>
        </w:rPr>
        <w:t xml:space="preserve"> TE</w:t>
      </w:r>
      <w:r w:rsidRPr="003E0CD0">
        <w:rPr>
          <w:rFonts w:ascii="Book Antiqua" w:eastAsia="Book Antiqua" w:hAnsi="Book Antiqua" w:cs="Book Antiqua"/>
        </w:rPr>
        <w:t>, B</w:t>
      </w:r>
      <w:r w:rsidR="00DA1082" w:rsidRPr="003E0CD0">
        <w:rPr>
          <w:rFonts w:ascii="Book Antiqua" w:eastAsia="Book Antiqua" w:hAnsi="Book Antiqua" w:cs="Book Antiqua"/>
        </w:rPr>
        <w:t>entley</w:t>
      </w:r>
      <w:r w:rsidRPr="003E0CD0">
        <w:rPr>
          <w:rFonts w:ascii="Book Antiqua" w:eastAsia="Book Antiqua" w:hAnsi="Book Antiqua" w:cs="Book Antiqua"/>
        </w:rPr>
        <w:t xml:space="preserve"> FH, W</w:t>
      </w:r>
      <w:r w:rsidR="00DA1082" w:rsidRPr="003E0CD0">
        <w:rPr>
          <w:rFonts w:ascii="Book Antiqua" w:eastAsia="Book Antiqua" w:hAnsi="Book Antiqua" w:cs="Book Antiqua"/>
        </w:rPr>
        <w:t>alder</w:t>
      </w:r>
      <w:r w:rsidRPr="003E0CD0">
        <w:rPr>
          <w:rFonts w:ascii="Book Antiqua" w:eastAsia="Book Antiqua" w:hAnsi="Book Antiqua" w:cs="Book Antiqua"/>
        </w:rPr>
        <w:t xml:space="preserve"> DN. Arteries, veins, and arteriovenous anastomoses in the human stomach. </w:t>
      </w:r>
      <w:r w:rsidRPr="003E0CD0">
        <w:rPr>
          <w:rFonts w:ascii="Book Antiqua" w:eastAsia="Book Antiqua" w:hAnsi="Book Antiqua" w:cs="Book Antiqua"/>
          <w:i/>
          <w:iCs/>
        </w:rPr>
        <w:t>Surg Gynecol Obstet</w:t>
      </w:r>
      <w:r w:rsidRPr="003E0CD0">
        <w:rPr>
          <w:rFonts w:ascii="Book Antiqua" w:eastAsia="Book Antiqua" w:hAnsi="Book Antiqua" w:cs="Book Antiqua"/>
        </w:rPr>
        <w:t xml:space="preserve"> 1951; </w:t>
      </w:r>
      <w:r w:rsidRPr="003E0CD0">
        <w:rPr>
          <w:rFonts w:ascii="Book Antiqua" w:eastAsia="Book Antiqua" w:hAnsi="Book Antiqua" w:cs="Book Antiqua"/>
          <w:b/>
          <w:bCs/>
        </w:rPr>
        <w:t>93</w:t>
      </w:r>
      <w:r w:rsidRPr="003E0CD0">
        <w:rPr>
          <w:rFonts w:ascii="Book Antiqua" w:eastAsia="Book Antiqua" w:hAnsi="Book Antiqua" w:cs="Book Antiqua"/>
        </w:rPr>
        <w:t>: 657-671 [PMID: 14893072]</w:t>
      </w:r>
    </w:p>
    <w:p w14:paraId="60A59A25" w14:textId="744DC4B9" w:rsidR="00A77B3E" w:rsidRPr="003E0CD0" w:rsidRDefault="00000000">
      <w:pPr>
        <w:spacing w:line="360" w:lineRule="auto"/>
        <w:jc w:val="both"/>
      </w:pPr>
      <w:r w:rsidRPr="003E0CD0">
        <w:rPr>
          <w:rFonts w:ascii="Book Antiqua" w:eastAsia="Book Antiqua" w:hAnsi="Book Antiqua" w:cs="Book Antiqua"/>
        </w:rPr>
        <w:t xml:space="preserve">63 </w:t>
      </w:r>
      <w:r w:rsidRPr="003E0CD0">
        <w:rPr>
          <w:rFonts w:ascii="Book Antiqua" w:eastAsia="Book Antiqua" w:hAnsi="Book Antiqua" w:cs="Book Antiqua"/>
          <w:b/>
          <w:bCs/>
        </w:rPr>
        <w:t>Chaer RA</w:t>
      </w:r>
      <w:r w:rsidRPr="003E0CD0">
        <w:rPr>
          <w:rFonts w:ascii="Book Antiqua" w:eastAsia="Book Antiqua" w:hAnsi="Book Antiqua" w:cs="Book Antiqua"/>
        </w:rPr>
        <w:t xml:space="preserve">, Helton WS. Dieulafoy's disease. </w:t>
      </w:r>
      <w:r w:rsidRPr="003E0CD0">
        <w:rPr>
          <w:rFonts w:ascii="Book Antiqua" w:eastAsia="Book Antiqua" w:hAnsi="Book Antiqua" w:cs="Book Antiqua"/>
          <w:i/>
          <w:iCs/>
        </w:rPr>
        <w:t>J Am Coll Surg</w:t>
      </w:r>
      <w:r w:rsidRPr="003E0CD0">
        <w:rPr>
          <w:rFonts w:ascii="Book Antiqua" w:eastAsia="Book Antiqua" w:hAnsi="Book Antiqua" w:cs="Book Antiqua"/>
        </w:rPr>
        <w:t xml:space="preserve"> 2003; </w:t>
      </w:r>
      <w:r w:rsidRPr="003E0CD0">
        <w:rPr>
          <w:rFonts w:ascii="Book Antiqua" w:eastAsia="Book Antiqua" w:hAnsi="Book Antiqua" w:cs="Book Antiqua"/>
          <w:b/>
          <w:bCs/>
        </w:rPr>
        <w:t>196</w:t>
      </w:r>
      <w:r w:rsidRPr="003E0CD0">
        <w:rPr>
          <w:rFonts w:ascii="Book Antiqua" w:eastAsia="Book Antiqua" w:hAnsi="Book Antiqua" w:cs="Book Antiqua"/>
        </w:rPr>
        <w:t>: 290-296 [PMID: 12595057</w:t>
      </w:r>
      <w:r w:rsidR="00DA1082" w:rsidRPr="003E0CD0">
        <w:rPr>
          <w:rFonts w:ascii="Book Antiqua" w:eastAsia="Book Antiqua" w:hAnsi="Book Antiqua" w:cs="Book Antiqua"/>
        </w:rPr>
        <w:t xml:space="preserve"> DOI: 10.1016/S1072-7515(02)01801-X</w:t>
      </w:r>
      <w:r w:rsidRPr="003E0CD0">
        <w:rPr>
          <w:rFonts w:ascii="Book Antiqua" w:eastAsia="Book Antiqua" w:hAnsi="Book Antiqua" w:cs="Book Antiqua"/>
        </w:rPr>
        <w:t>]</w:t>
      </w:r>
    </w:p>
    <w:p w14:paraId="4C176045" w14:textId="77777777" w:rsidR="00A77B3E" w:rsidRPr="003E0CD0" w:rsidRDefault="00000000">
      <w:pPr>
        <w:spacing w:line="360" w:lineRule="auto"/>
        <w:jc w:val="both"/>
      </w:pPr>
      <w:r w:rsidRPr="003E0CD0">
        <w:rPr>
          <w:rFonts w:ascii="Book Antiqua" w:eastAsia="Book Antiqua" w:hAnsi="Book Antiqua" w:cs="Book Antiqua"/>
        </w:rPr>
        <w:t xml:space="preserve">64 </w:t>
      </w:r>
      <w:r w:rsidRPr="003E0CD0">
        <w:rPr>
          <w:rFonts w:ascii="Book Antiqua" w:eastAsia="Book Antiqua" w:hAnsi="Book Antiqua" w:cs="Book Antiqua"/>
          <w:b/>
          <w:bCs/>
        </w:rPr>
        <w:t>Dy NM</w:t>
      </w:r>
      <w:r w:rsidRPr="003E0CD0">
        <w:rPr>
          <w:rFonts w:ascii="Book Antiqua" w:eastAsia="Book Antiqua" w:hAnsi="Book Antiqua" w:cs="Book Antiqua"/>
        </w:rPr>
        <w:t xml:space="preserve">, Gostout CJ, Balm RK. Bleeding from the endoscopically-identified Dieulafoy lesion of the proximal small intestine and colon. </w:t>
      </w:r>
      <w:r w:rsidRPr="003E0CD0">
        <w:rPr>
          <w:rFonts w:ascii="Book Antiqua" w:eastAsia="Book Antiqua" w:hAnsi="Book Antiqua" w:cs="Book Antiqua"/>
          <w:i/>
          <w:iCs/>
        </w:rPr>
        <w:t>Am J Gastroenterol</w:t>
      </w:r>
      <w:r w:rsidRPr="003E0CD0">
        <w:rPr>
          <w:rFonts w:ascii="Book Antiqua" w:eastAsia="Book Antiqua" w:hAnsi="Book Antiqua" w:cs="Book Antiqua"/>
        </w:rPr>
        <w:t xml:space="preserve"> 1995; </w:t>
      </w:r>
      <w:r w:rsidRPr="003E0CD0">
        <w:rPr>
          <w:rFonts w:ascii="Book Antiqua" w:eastAsia="Book Antiqua" w:hAnsi="Book Antiqua" w:cs="Book Antiqua"/>
          <w:b/>
          <w:bCs/>
        </w:rPr>
        <w:t>90</w:t>
      </w:r>
      <w:r w:rsidRPr="003E0CD0">
        <w:rPr>
          <w:rFonts w:ascii="Book Antiqua" w:eastAsia="Book Antiqua" w:hAnsi="Book Antiqua" w:cs="Book Antiqua"/>
        </w:rPr>
        <w:t>: 108-111 [PMID: 7801908]</w:t>
      </w:r>
    </w:p>
    <w:p w14:paraId="37D5274F" w14:textId="5EFB775A" w:rsidR="00A77B3E" w:rsidRPr="003E0CD0" w:rsidRDefault="00000000">
      <w:pPr>
        <w:spacing w:line="360" w:lineRule="auto"/>
        <w:jc w:val="both"/>
      </w:pPr>
      <w:r w:rsidRPr="003E0CD0">
        <w:rPr>
          <w:rFonts w:ascii="Book Antiqua" w:eastAsia="Book Antiqua" w:hAnsi="Book Antiqua" w:cs="Book Antiqua"/>
        </w:rPr>
        <w:lastRenderedPageBreak/>
        <w:t xml:space="preserve">65 </w:t>
      </w:r>
      <w:r w:rsidRPr="003E0CD0">
        <w:rPr>
          <w:rFonts w:ascii="Book Antiqua" w:eastAsia="Book Antiqua" w:hAnsi="Book Antiqua" w:cs="Book Antiqua"/>
          <w:b/>
          <w:bCs/>
        </w:rPr>
        <w:t>Chung YF</w:t>
      </w:r>
      <w:r w:rsidRPr="003E0CD0">
        <w:rPr>
          <w:rFonts w:ascii="Book Antiqua" w:eastAsia="Book Antiqua" w:hAnsi="Book Antiqua" w:cs="Book Antiqua"/>
        </w:rPr>
        <w:t xml:space="preserve">, Wong WK, Soo KC. Diagnostic failures in endoscopy for acute upper gastrointestinal haemorrhage. </w:t>
      </w:r>
      <w:r w:rsidRPr="003E0CD0">
        <w:rPr>
          <w:rFonts w:ascii="Book Antiqua" w:eastAsia="Book Antiqua" w:hAnsi="Book Antiqua" w:cs="Book Antiqua"/>
          <w:i/>
          <w:iCs/>
        </w:rPr>
        <w:t>Br J Surg</w:t>
      </w:r>
      <w:r w:rsidRPr="003E0CD0">
        <w:rPr>
          <w:rFonts w:ascii="Book Antiqua" w:eastAsia="Book Antiqua" w:hAnsi="Book Antiqua" w:cs="Book Antiqua"/>
        </w:rPr>
        <w:t xml:space="preserve"> 2000; </w:t>
      </w:r>
      <w:r w:rsidRPr="003E0CD0">
        <w:rPr>
          <w:rFonts w:ascii="Book Antiqua" w:eastAsia="Book Antiqua" w:hAnsi="Book Antiqua" w:cs="Book Antiqua"/>
          <w:b/>
          <w:bCs/>
        </w:rPr>
        <w:t>87</w:t>
      </w:r>
      <w:r w:rsidRPr="003E0CD0">
        <w:rPr>
          <w:rFonts w:ascii="Book Antiqua" w:eastAsia="Book Antiqua" w:hAnsi="Book Antiqua" w:cs="Book Antiqua"/>
        </w:rPr>
        <w:t>: 614-617 [PMID: 10792319</w:t>
      </w:r>
      <w:r w:rsidR="00DA1082" w:rsidRPr="003E0CD0">
        <w:rPr>
          <w:rFonts w:ascii="Book Antiqua" w:eastAsia="Book Antiqua" w:hAnsi="Book Antiqua" w:cs="Book Antiqua"/>
        </w:rPr>
        <w:t xml:space="preserve"> DOI: 10.1046/j.1365-2168.2000.01386.x</w:t>
      </w:r>
      <w:r w:rsidRPr="003E0CD0">
        <w:rPr>
          <w:rFonts w:ascii="Book Antiqua" w:eastAsia="Book Antiqua" w:hAnsi="Book Antiqua" w:cs="Book Antiqua"/>
        </w:rPr>
        <w:t>]</w:t>
      </w:r>
    </w:p>
    <w:p w14:paraId="0751DF4A" w14:textId="77777777" w:rsidR="00A77B3E" w:rsidRPr="003E0CD0" w:rsidRDefault="00000000">
      <w:pPr>
        <w:spacing w:line="360" w:lineRule="auto"/>
        <w:jc w:val="both"/>
      </w:pPr>
      <w:r w:rsidRPr="003E0CD0">
        <w:rPr>
          <w:rFonts w:ascii="Book Antiqua" w:eastAsia="Book Antiqua" w:hAnsi="Book Antiqua" w:cs="Book Antiqua"/>
        </w:rPr>
        <w:t xml:space="preserve">66 </w:t>
      </w:r>
      <w:r w:rsidRPr="003E0CD0">
        <w:rPr>
          <w:rFonts w:ascii="Book Antiqua" w:eastAsia="Book Antiqua" w:hAnsi="Book Antiqua" w:cs="Book Antiqua"/>
          <w:b/>
          <w:bCs/>
        </w:rPr>
        <w:t>Fockens P</w:t>
      </w:r>
      <w:r w:rsidRPr="003E0CD0">
        <w:rPr>
          <w:rFonts w:ascii="Book Antiqua" w:eastAsia="Book Antiqua" w:hAnsi="Book Antiqua" w:cs="Book Antiqua"/>
        </w:rPr>
        <w:t xml:space="preserve">, Meenan J, van Dullemen HM, Bolwerk CJ, Tytgat GN. Dieulafoy's disease: endosonographic detection and endosonography-guided treatment.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1996; </w:t>
      </w:r>
      <w:r w:rsidRPr="003E0CD0">
        <w:rPr>
          <w:rFonts w:ascii="Book Antiqua" w:eastAsia="Book Antiqua" w:hAnsi="Book Antiqua" w:cs="Book Antiqua"/>
          <w:b/>
          <w:bCs/>
        </w:rPr>
        <w:t>44</w:t>
      </w:r>
      <w:r w:rsidRPr="003E0CD0">
        <w:rPr>
          <w:rFonts w:ascii="Book Antiqua" w:eastAsia="Book Antiqua" w:hAnsi="Book Antiqua" w:cs="Book Antiqua"/>
        </w:rPr>
        <w:t>: 437-442 [PMID: 8905365 DOI: 10.1016/s0016-5107(96)70096-2]</w:t>
      </w:r>
    </w:p>
    <w:p w14:paraId="6AEFC856" w14:textId="77777777" w:rsidR="00A77B3E" w:rsidRPr="003E0CD0" w:rsidRDefault="00000000">
      <w:pPr>
        <w:spacing w:line="360" w:lineRule="auto"/>
        <w:jc w:val="both"/>
      </w:pPr>
      <w:r w:rsidRPr="003E0CD0">
        <w:rPr>
          <w:rFonts w:ascii="Book Antiqua" w:eastAsia="Book Antiqua" w:hAnsi="Book Antiqua" w:cs="Book Antiqua"/>
        </w:rPr>
        <w:t xml:space="preserve">67 </w:t>
      </w:r>
      <w:r w:rsidRPr="003E0CD0">
        <w:rPr>
          <w:rFonts w:ascii="Book Antiqua" w:eastAsia="Book Antiqua" w:hAnsi="Book Antiqua" w:cs="Book Antiqua"/>
          <w:b/>
          <w:bCs/>
        </w:rPr>
        <w:t>Durham JD</w:t>
      </w:r>
      <w:r w:rsidRPr="003E0CD0">
        <w:rPr>
          <w:rFonts w:ascii="Book Antiqua" w:eastAsia="Book Antiqua" w:hAnsi="Book Antiqua" w:cs="Book Antiqua"/>
        </w:rPr>
        <w:t xml:space="preserve">, Kumpe DA, Rothbarth LJ, Van Stiegmann G. Dieulafoy disease: arteriographic findings and treatment. </w:t>
      </w:r>
      <w:r w:rsidRPr="003E0CD0">
        <w:rPr>
          <w:rFonts w:ascii="Book Antiqua" w:eastAsia="Book Antiqua" w:hAnsi="Book Antiqua" w:cs="Book Antiqua"/>
          <w:i/>
          <w:iCs/>
        </w:rPr>
        <w:t>Radiology</w:t>
      </w:r>
      <w:r w:rsidRPr="003E0CD0">
        <w:rPr>
          <w:rFonts w:ascii="Book Antiqua" w:eastAsia="Book Antiqua" w:hAnsi="Book Antiqua" w:cs="Book Antiqua"/>
        </w:rPr>
        <w:t xml:space="preserve"> 1990; </w:t>
      </w:r>
      <w:r w:rsidRPr="003E0CD0">
        <w:rPr>
          <w:rFonts w:ascii="Book Antiqua" w:eastAsia="Book Antiqua" w:hAnsi="Book Antiqua" w:cs="Book Antiqua"/>
          <w:b/>
          <w:bCs/>
        </w:rPr>
        <w:t>174</w:t>
      </w:r>
      <w:r w:rsidRPr="003E0CD0">
        <w:rPr>
          <w:rFonts w:ascii="Book Antiqua" w:eastAsia="Book Antiqua" w:hAnsi="Book Antiqua" w:cs="Book Antiqua"/>
        </w:rPr>
        <w:t>: 937-941 [PMID: 2305095 DOI: 10.1148/radiology.174.3.174-3-937]</w:t>
      </w:r>
    </w:p>
    <w:p w14:paraId="0BE57CC3" w14:textId="20F0A7A8" w:rsidR="00A77B3E" w:rsidRPr="003E0CD0" w:rsidRDefault="00000000">
      <w:pPr>
        <w:spacing w:line="360" w:lineRule="auto"/>
        <w:jc w:val="both"/>
      </w:pPr>
      <w:r w:rsidRPr="003E0CD0">
        <w:rPr>
          <w:rFonts w:ascii="Book Antiqua" w:eastAsia="Book Antiqua" w:hAnsi="Book Antiqua" w:cs="Book Antiqua"/>
        </w:rPr>
        <w:t xml:space="preserve">68 </w:t>
      </w:r>
      <w:r w:rsidRPr="003E0CD0">
        <w:rPr>
          <w:rFonts w:ascii="Book Antiqua" w:eastAsia="Book Antiqua" w:hAnsi="Book Antiqua" w:cs="Book Antiqua"/>
          <w:b/>
          <w:bCs/>
        </w:rPr>
        <w:t>Chen YY</w:t>
      </w:r>
      <w:r w:rsidRPr="003E0CD0">
        <w:rPr>
          <w:rFonts w:ascii="Book Antiqua" w:eastAsia="Book Antiqua" w:hAnsi="Book Antiqua" w:cs="Book Antiqua"/>
        </w:rPr>
        <w:t xml:space="preserve">, Su WW, Soon MS, Yen HH. Delayed fatal hemorrhage after endoscopic band ligation for gastric Dieulafoy's lesion.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2005; </w:t>
      </w:r>
      <w:r w:rsidRPr="003E0CD0">
        <w:rPr>
          <w:rFonts w:ascii="Book Antiqua" w:eastAsia="Book Antiqua" w:hAnsi="Book Antiqua" w:cs="Book Antiqua"/>
          <w:b/>
          <w:bCs/>
        </w:rPr>
        <w:t>62</w:t>
      </w:r>
      <w:r w:rsidRPr="003E0CD0">
        <w:rPr>
          <w:rFonts w:ascii="Book Antiqua" w:eastAsia="Book Antiqua" w:hAnsi="Book Antiqua" w:cs="Book Antiqua"/>
        </w:rPr>
        <w:t>: 630-632 [PMID: 16185987</w:t>
      </w:r>
      <w:r w:rsidR="00DA1082" w:rsidRPr="003E0CD0">
        <w:rPr>
          <w:rFonts w:ascii="Book Antiqua" w:eastAsia="Book Antiqua" w:hAnsi="Book Antiqua" w:cs="Book Antiqua"/>
        </w:rPr>
        <w:t xml:space="preserve"> DOI: 10.1016/s0016-5107(05)01583-x</w:t>
      </w:r>
      <w:r w:rsidRPr="003E0CD0">
        <w:rPr>
          <w:rFonts w:ascii="Book Antiqua" w:eastAsia="Book Antiqua" w:hAnsi="Book Antiqua" w:cs="Book Antiqua"/>
        </w:rPr>
        <w:t>]</w:t>
      </w:r>
    </w:p>
    <w:p w14:paraId="7DEFFF81" w14:textId="77777777" w:rsidR="00A77B3E" w:rsidRPr="003E0CD0" w:rsidRDefault="00000000">
      <w:pPr>
        <w:spacing w:line="360" w:lineRule="auto"/>
        <w:jc w:val="both"/>
      </w:pPr>
      <w:r w:rsidRPr="003E0CD0">
        <w:rPr>
          <w:rFonts w:ascii="Book Antiqua" w:eastAsia="Book Antiqua" w:hAnsi="Book Antiqua" w:cs="Book Antiqua"/>
        </w:rPr>
        <w:t xml:space="preserve">69 </w:t>
      </w:r>
      <w:r w:rsidRPr="003E0CD0">
        <w:rPr>
          <w:rFonts w:ascii="Book Antiqua" w:eastAsia="Book Antiqua" w:hAnsi="Book Antiqua" w:cs="Book Antiqua"/>
          <w:b/>
          <w:bCs/>
        </w:rPr>
        <w:t>Skinner M</w:t>
      </w:r>
      <w:r w:rsidRPr="003E0CD0">
        <w:rPr>
          <w:rFonts w:ascii="Book Antiqua" w:eastAsia="Book Antiqua" w:hAnsi="Book Antiqua" w:cs="Book Antiqua"/>
        </w:rPr>
        <w:t xml:space="preserve">, Gutierrez JP, Neumann H, Wilcox CM, Burski C, Mönkemüller K. Over-the-scope clip placement is effective rescue therapy for severe acute upper gastrointestinal bleeding. </w:t>
      </w:r>
      <w:r w:rsidRPr="003E0CD0">
        <w:rPr>
          <w:rFonts w:ascii="Book Antiqua" w:eastAsia="Book Antiqua" w:hAnsi="Book Antiqua" w:cs="Book Antiqua"/>
          <w:i/>
          <w:iCs/>
        </w:rPr>
        <w:t>Endosc Int Open</w:t>
      </w:r>
      <w:r w:rsidRPr="003E0CD0">
        <w:rPr>
          <w:rFonts w:ascii="Book Antiqua" w:eastAsia="Book Antiqua" w:hAnsi="Book Antiqua" w:cs="Book Antiqua"/>
        </w:rPr>
        <w:t xml:space="preserve"> 2014; </w:t>
      </w:r>
      <w:r w:rsidRPr="003E0CD0">
        <w:rPr>
          <w:rFonts w:ascii="Book Antiqua" w:eastAsia="Book Antiqua" w:hAnsi="Book Antiqua" w:cs="Book Antiqua"/>
          <w:b/>
          <w:bCs/>
        </w:rPr>
        <w:t>2</w:t>
      </w:r>
      <w:r w:rsidRPr="003E0CD0">
        <w:rPr>
          <w:rFonts w:ascii="Book Antiqua" w:eastAsia="Book Antiqua" w:hAnsi="Book Antiqua" w:cs="Book Antiqua"/>
        </w:rPr>
        <w:t>: E37-E40 [PMID: 26134611 DOI: 10.1055/s-0034-1365282]</w:t>
      </w:r>
    </w:p>
    <w:p w14:paraId="7B2A00AE" w14:textId="77777777" w:rsidR="00A77B3E" w:rsidRPr="003E0CD0" w:rsidRDefault="00000000">
      <w:pPr>
        <w:spacing w:line="360" w:lineRule="auto"/>
        <w:jc w:val="both"/>
      </w:pPr>
      <w:r w:rsidRPr="003E0CD0">
        <w:rPr>
          <w:rFonts w:ascii="Book Antiqua" w:eastAsia="Book Antiqua" w:hAnsi="Book Antiqua" w:cs="Book Antiqua"/>
        </w:rPr>
        <w:t xml:space="preserve">70 </w:t>
      </w:r>
      <w:r w:rsidRPr="003E0CD0">
        <w:rPr>
          <w:rFonts w:ascii="Book Antiqua" w:eastAsia="Book Antiqua" w:hAnsi="Book Antiqua" w:cs="Book Antiqua"/>
          <w:b/>
          <w:bCs/>
        </w:rPr>
        <w:t>Manno M</w:t>
      </w:r>
      <w:r w:rsidRPr="003E0CD0">
        <w:rPr>
          <w:rFonts w:ascii="Book Antiqua" w:eastAsia="Book Antiqua" w:hAnsi="Book Antiqua" w:cs="Book Antiqua"/>
        </w:rPr>
        <w:t xml:space="preserve">, Mangiafico S, Caruso A, Barbera C, Bertani H, Mirante VG, Pigò F, Amardeep K, Conigliaro R. First-line endoscopic treatment with OTSC in patients with high-risk non-variceal upper gastrointestinal bleeding: preliminary experience in 40 cases. </w:t>
      </w:r>
      <w:r w:rsidRPr="003E0CD0">
        <w:rPr>
          <w:rFonts w:ascii="Book Antiqua" w:eastAsia="Book Antiqua" w:hAnsi="Book Antiqua" w:cs="Book Antiqua"/>
          <w:i/>
          <w:iCs/>
        </w:rPr>
        <w:t>Surg Endosc</w:t>
      </w:r>
      <w:r w:rsidRPr="003E0CD0">
        <w:rPr>
          <w:rFonts w:ascii="Book Antiqua" w:eastAsia="Book Antiqua" w:hAnsi="Book Antiqua" w:cs="Book Antiqua"/>
        </w:rPr>
        <w:t xml:space="preserve"> 2016; </w:t>
      </w:r>
      <w:r w:rsidRPr="003E0CD0">
        <w:rPr>
          <w:rFonts w:ascii="Book Antiqua" w:eastAsia="Book Antiqua" w:hAnsi="Book Antiqua" w:cs="Book Antiqua"/>
          <w:b/>
          <w:bCs/>
        </w:rPr>
        <w:t>30</w:t>
      </w:r>
      <w:r w:rsidRPr="003E0CD0">
        <w:rPr>
          <w:rFonts w:ascii="Book Antiqua" w:eastAsia="Book Antiqua" w:hAnsi="Book Antiqua" w:cs="Book Antiqua"/>
        </w:rPr>
        <w:t>: 2026-2029 [PMID: 26201415 DOI: 10.1007/s00464-015-4436-y]</w:t>
      </w:r>
    </w:p>
    <w:p w14:paraId="15690721" w14:textId="77777777" w:rsidR="00A77B3E" w:rsidRPr="003E0CD0" w:rsidRDefault="00000000">
      <w:pPr>
        <w:spacing w:line="360" w:lineRule="auto"/>
        <w:jc w:val="both"/>
      </w:pPr>
      <w:r w:rsidRPr="003E0CD0">
        <w:rPr>
          <w:rFonts w:ascii="Book Antiqua" w:eastAsia="Book Antiqua" w:hAnsi="Book Antiqua" w:cs="Book Antiqua"/>
        </w:rPr>
        <w:t xml:space="preserve">71 </w:t>
      </w:r>
      <w:r w:rsidRPr="003E0CD0">
        <w:rPr>
          <w:rFonts w:ascii="Book Antiqua" w:eastAsia="Book Antiqua" w:hAnsi="Book Antiqua" w:cs="Book Antiqua"/>
          <w:b/>
          <w:bCs/>
        </w:rPr>
        <w:t>Wong RC</w:t>
      </w:r>
      <w:r w:rsidRPr="003E0CD0">
        <w:rPr>
          <w:rFonts w:ascii="Book Antiqua" w:eastAsia="Book Antiqua" w:hAnsi="Book Antiqua" w:cs="Book Antiqua"/>
        </w:rPr>
        <w:t xml:space="preserve">. New diagnostic imaging technologies in nonvariceal upper gastrointestinal bleeding. </w:t>
      </w:r>
      <w:r w:rsidRPr="003E0CD0">
        <w:rPr>
          <w:rFonts w:ascii="Book Antiqua" w:eastAsia="Book Antiqua" w:hAnsi="Book Antiqua" w:cs="Book Antiqua"/>
          <w:i/>
          <w:iCs/>
        </w:rPr>
        <w:t>Gastrointest Endosc Clin N Am</w:t>
      </w:r>
      <w:r w:rsidRPr="003E0CD0">
        <w:rPr>
          <w:rFonts w:ascii="Book Antiqua" w:eastAsia="Book Antiqua" w:hAnsi="Book Antiqua" w:cs="Book Antiqua"/>
        </w:rPr>
        <w:t xml:space="preserve"> 2011; </w:t>
      </w:r>
      <w:r w:rsidRPr="003E0CD0">
        <w:rPr>
          <w:rFonts w:ascii="Book Antiqua" w:eastAsia="Book Antiqua" w:hAnsi="Book Antiqua" w:cs="Book Antiqua"/>
          <w:b/>
          <w:bCs/>
        </w:rPr>
        <w:t>21</w:t>
      </w:r>
      <w:r w:rsidRPr="003E0CD0">
        <w:rPr>
          <w:rFonts w:ascii="Book Antiqua" w:eastAsia="Book Antiqua" w:hAnsi="Book Antiqua" w:cs="Book Antiqua"/>
        </w:rPr>
        <w:t>: 707-720 [PMID: 21944420 DOI: 10.1016/j.giec.2011.07.013]</w:t>
      </w:r>
    </w:p>
    <w:p w14:paraId="79433076" w14:textId="77777777" w:rsidR="00A77B3E" w:rsidRPr="003E0CD0" w:rsidRDefault="00000000">
      <w:pPr>
        <w:spacing w:line="360" w:lineRule="auto"/>
        <w:jc w:val="both"/>
      </w:pPr>
      <w:r w:rsidRPr="003E0CD0">
        <w:rPr>
          <w:rFonts w:ascii="Book Antiqua" w:eastAsia="Book Antiqua" w:hAnsi="Book Antiqua" w:cs="Book Antiqua"/>
        </w:rPr>
        <w:t xml:space="preserve">72 </w:t>
      </w:r>
      <w:r w:rsidRPr="003E0CD0">
        <w:rPr>
          <w:rFonts w:ascii="Book Antiqua" w:eastAsia="Book Antiqua" w:hAnsi="Book Antiqua" w:cs="Book Antiqua"/>
          <w:b/>
          <w:bCs/>
        </w:rPr>
        <w:t>Han C</w:t>
      </w:r>
      <w:r w:rsidRPr="003E0CD0">
        <w:rPr>
          <w:rFonts w:ascii="Book Antiqua" w:eastAsia="Book Antiqua" w:hAnsi="Book Antiqua" w:cs="Book Antiqua"/>
        </w:rPr>
        <w:t xml:space="preserve">, Ling X, Liu J, Lin R, Ding Z. Management of non-variceal upper gastrointestinal bleeding: role of endoscopic ultrasound-guided treatments. </w:t>
      </w:r>
      <w:r w:rsidRPr="003E0CD0">
        <w:rPr>
          <w:rFonts w:ascii="Book Antiqua" w:eastAsia="Book Antiqua" w:hAnsi="Book Antiqua" w:cs="Book Antiqua"/>
          <w:i/>
          <w:iCs/>
        </w:rPr>
        <w:t>Therap Adv Gastroenterol</w:t>
      </w:r>
      <w:r w:rsidRPr="003E0CD0">
        <w:rPr>
          <w:rFonts w:ascii="Book Antiqua" w:eastAsia="Book Antiqua" w:hAnsi="Book Antiqua" w:cs="Book Antiqua"/>
        </w:rPr>
        <w:t xml:space="preserve"> 2022; </w:t>
      </w:r>
      <w:r w:rsidRPr="003E0CD0">
        <w:rPr>
          <w:rFonts w:ascii="Book Antiqua" w:eastAsia="Book Antiqua" w:hAnsi="Book Antiqua" w:cs="Book Antiqua"/>
          <w:b/>
          <w:bCs/>
        </w:rPr>
        <w:t>15</w:t>
      </w:r>
      <w:r w:rsidRPr="003E0CD0">
        <w:rPr>
          <w:rFonts w:ascii="Book Antiqua" w:eastAsia="Book Antiqua" w:hAnsi="Book Antiqua" w:cs="Book Antiqua"/>
        </w:rPr>
        <w:t>: 17562848211056148 [PMID: 35126666 DOI: 10.1177/17562848211056148]</w:t>
      </w:r>
    </w:p>
    <w:p w14:paraId="21A716E8" w14:textId="77777777" w:rsidR="00A77B3E" w:rsidRPr="003E0CD0" w:rsidRDefault="00000000">
      <w:pPr>
        <w:spacing w:line="360" w:lineRule="auto"/>
        <w:jc w:val="both"/>
      </w:pPr>
      <w:r w:rsidRPr="003E0CD0">
        <w:rPr>
          <w:rFonts w:ascii="Book Antiqua" w:eastAsia="Book Antiqua" w:hAnsi="Book Antiqua" w:cs="Book Antiqua"/>
        </w:rPr>
        <w:t xml:space="preserve">73 </w:t>
      </w:r>
      <w:r w:rsidRPr="003E0CD0">
        <w:rPr>
          <w:rFonts w:ascii="Book Antiqua" w:eastAsia="Book Antiqua" w:hAnsi="Book Antiqua" w:cs="Book Antiqua"/>
          <w:b/>
          <w:bCs/>
        </w:rPr>
        <w:t>Truesdale PE</w:t>
      </w:r>
      <w:r w:rsidRPr="003E0CD0">
        <w:rPr>
          <w:rFonts w:ascii="Book Antiqua" w:eastAsia="Book Antiqua" w:hAnsi="Book Antiqua" w:cs="Book Antiqua"/>
        </w:rPr>
        <w:t xml:space="preserve">. RECURRING HERNIA OF THE DIAPHRAGM. </w:t>
      </w:r>
      <w:r w:rsidRPr="003E0CD0">
        <w:rPr>
          <w:rFonts w:ascii="Book Antiqua" w:eastAsia="Book Antiqua" w:hAnsi="Book Antiqua" w:cs="Book Antiqua"/>
          <w:i/>
          <w:iCs/>
        </w:rPr>
        <w:t>Ann Surg</w:t>
      </w:r>
      <w:r w:rsidRPr="003E0CD0">
        <w:rPr>
          <w:rFonts w:ascii="Book Antiqua" w:eastAsia="Book Antiqua" w:hAnsi="Book Antiqua" w:cs="Book Antiqua"/>
        </w:rPr>
        <w:t xml:space="preserve"> 1924; </w:t>
      </w:r>
      <w:r w:rsidRPr="003E0CD0">
        <w:rPr>
          <w:rFonts w:ascii="Book Antiqua" w:eastAsia="Book Antiqua" w:hAnsi="Book Antiqua" w:cs="Book Antiqua"/>
          <w:b/>
          <w:bCs/>
        </w:rPr>
        <w:t>79</w:t>
      </w:r>
      <w:r w:rsidRPr="003E0CD0">
        <w:rPr>
          <w:rFonts w:ascii="Book Antiqua" w:eastAsia="Book Antiqua" w:hAnsi="Book Antiqua" w:cs="Book Antiqua"/>
        </w:rPr>
        <w:t>: 751-757 [PMID: 17865033 DOI: 10.1097/00000658-192405000-00010]</w:t>
      </w:r>
    </w:p>
    <w:p w14:paraId="22267576"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74 </w:t>
      </w:r>
      <w:r w:rsidRPr="003E0CD0">
        <w:rPr>
          <w:rFonts w:ascii="Book Antiqua" w:eastAsia="Book Antiqua" w:hAnsi="Book Antiqua" w:cs="Book Antiqua"/>
          <w:b/>
          <w:bCs/>
        </w:rPr>
        <w:t>Cameron AJ</w:t>
      </w:r>
      <w:r w:rsidRPr="003E0CD0">
        <w:rPr>
          <w:rFonts w:ascii="Book Antiqua" w:eastAsia="Book Antiqua" w:hAnsi="Book Antiqua" w:cs="Book Antiqua"/>
        </w:rPr>
        <w:t xml:space="preserve">. Incidence of iron deficiency anemia in patients with large diaphragmatic hernia. A controlled study. </w:t>
      </w:r>
      <w:r w:rsidRPr="003E0CD0">
        <w:rPr>
          <w:rFonts w:ascii="Book Antiqua" w:eastAsia="Book Antiqua" w:hAnsi="Book Antiqua" w:cs="Book Antiqua"/>
          <w:i/>
          <w:iCs/>
        </w:rPr>
        <w:t>Mayo Clin Proc</w:t>
      </w:r>
      <w:r w:rsidRPr="003E0CD0">
        <w:rPr>
          <w:rFonts w:ascii="Book Antiqua" w:eastAsia="Book Antiqua" w:hAnsi="Book Antiqua" w:cs="Book Antiqua"/>
        </w:rPr>
        <w:t xml:space="preserve"> 1976; </w:t>
      </w:r>
      <w:r w:rsidRPr="003E0CD0">
        <w:rPr>
          <w:rFonts w:ascii="Book Antiqua" w:eastAsia="Book Antiqua" w:hAnsi="Book Antiqua" w:cs="Book Antiqua"/>
          <w:b/>
          <w:bCs/>
        </w:rPr>
        <w:t>51</w:t>
      </w:r>
      <w:r w:rsidRPr="003E0CD0">
        <w:rPr>
          <w:rFonts w:ascii="Book Antiqua" w:eastAsia="Book Antiqua" w:hAnsi="Book Antiqua" w:cs="Book Antiqua"/>
        </w:rPr>
        <w:t>: 767-769 [PMID: 1086935]</w:t>
      </w:r>
    </w:p>
    <w:p w14:paraId="3874E5AB" w14:textId="77777777" w:rsidR="00A77B3E" w:rsidRPr="003E0CD0" w:rsidRDefault="00000000">
      <w:pPr>
        <w:spacing w:line="360" w:lineRule="auto"/>
        <w:jc w:val="both"/>
      </w:pPr>
      <w:r w:rsidRPr="003E0CD0">
        <w:rPr>
          <w:rFonts w:ascii="Book Antiqua" w:eastAsia="Book Antiqua" w:hAnsi="Book Antiqua" w:cs="Book Antiqua"/>
        </w:rPr>
        <w:t xml:space="preserve">75 </w:t>
      </w:r>
      <w:r w:rsidRPr="003E0CD0">
        <w:rPr>
          <w:rFonts w:ascii="Book Antiqua" w:eastAsia="Book Antiqua" w:hAnsi="Book Antiqua" w:cs="Book Antiqua"/>
          <w:b/>
          <w:bCs/>
        </w:rPr>
        <w:t>Kapadia S</w:t>
      </w:r>
      <w:r w:rsidRPr="003E0CD0">
        <w:rPr>
          <w:rFonts w:ascii="Book Antiqua" w:eastAsia="Book Antiqua" w:hAnsi="Book Antiqua" w:cs="Book Antiqua"/>
        </w:rPr>
        <w:t xml:space="preserve">, Jagroop S, Kumar A. Cameron ulcers: an atypical source for a massive upper gastrointestinal bleed.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2012; </w:t>
      </w:r>
      <w:r w:rsidRPr="003E0CD0">
        <w:rPr>
          <w:rFonts w:ascii="Book Antiqua" w:eastAsia="Book Antiqua" w:hAnsi="Book Antiqua" w:cs="Book Antiqua"/>
          <w:b/>
          <w:bCs/>
        </w:rPr>
        <w:t>18</w:t>
      </w:r>
      <w:r w:rsidRPr="003E0CD0">
        <w:rPr>
          <w:rFonts w:ascii="Book Antiqua" w:eastAsia="Book Antiqua" w:hAnsi="Book Antiqua" w:cs="Book Antiqua"/>
        </w:rPr>
        <w:t>: 4959-4961 [PMID: 23002369 DOI: 10.3748/wjg.v18.i35.4959]</w:t>
      </w:r>
    </w:p>
    <w:p w14:paraId="779B94A1" w14:textId="77777777" w:rsidR="00A77B3E" w:rsidRPr="003E0CD0" w:rsidRDefault="00000000">
      <w:pPr>
        <w:spacing w:line="360" w:lineRule="auto"/>
        <w:jc w:val="both"/>
      </w:pPr>
      <w:r w:rsidRPr="003E0CD0">
        <w:rPr>
          <w:rFonts w:ascii="Book Antiqua" w:eastAsia="Book Antiqua" w:hAnsi="Book Antiqua" w:cs="Book Antiqua"/>
        </w:rPr>
        <w:t xml:space="preserve">76 </w:t>
      </w:r>
      <w:r w:rsidRPr="003E0CD0">
        <w:rPr>
          <w:rFonts w:ascii="Book Antiqua" w:eastAsia="Book Antiqua" w:hAnsi="Book Antiqua" w:cs="Book Antiqua"/>
          <w:b/>
          <w:bCs/>
        </w:rPr>
        <w:t>Gray DM</w:t>
      </w:r>
      <w:r w:rsidRPr="003E0CD0">
        <w:rPr>
          <w:rFonts w:ascii="Book Antiqua" w:eastAsia="Book Antiqua" w:hAnsi="Book Antiqua" w:cs="Book Antiqua"/>
        </w:rPr>
        <w:t xml:space="preserve">, Kushnir V, Kalra G, Rosenstock A, Alsakka MA, Patel A, Sayuk G, Gyawali CP. Cameron lesions in patients with hiatal hernias: prevalence, presentation, and treatment outcome. </w:t>
      </w:r>
      <w:r w:rsidRPr="003E0CD0">
        <w:rPr>
          <w:rFonts w:ascii="Book Antiqua" w:eastAsia="Book Antiqua" w:hAnsi="Book Antiqua" w:cs="Book Antiqua"/>
          <w:i/>
          <w:iCs/>
        </w:rPr>
        <w:t>Dis Esophagus</w:t>
      </w:r>
      <w:r w:rsidRPr="003E0CD0">
        <w:rPr>
          <w:rFonts w:ascii="Book Antiqua" w:eastAsia="Book Antiqua" w:hAnsi="Book Antiqua" w:cs="Book Antiqua"/>
        </w:rPr>
        <w:t xml:space="preserve"> 2015; </w:t>
      </w:r>
      <w:r w:rsidRPr="003E0CD0">
        <w:rPr>
          <w:rFonts w:ascii="Book Antiqua" w:eastAsia="Book Antiqua" w:hAnsi="Book Antiqua" w:cs="Book Antiqua"/>
          <w:b/>
          <w:bCs/>
        </w:rPr>
        <w:t>28</w:t>
      </w:r>
      <w:r w:rsidRPr="003E0CD0">
        <w:rPr>
          <w:rFonts w:ascii="Book Antiqua" w:eastAsia="Book Antiqua" w:hAnsi="Book Antiqua" w:cs="Book Antiqua"/>
        </w:rPr>
        <w:t>: 448-452 [PMID: 24758713 DOI: 10.1111/dote.12223]</w:t>
      </w:r>
    </w:p>
    <w:p w14:paraId="26A1D794" w14:textId="77777777" w:rsidR="00A77B3E" w:rsidRPr="003E0CD0" w:rsidRDefault="00000000">
      <w:pPr>
        <w:spacing w:line="360" w:lineRule="auto"/>
        <w:jc w:val="both"/>
      </w:pPr>
      <w:r w:rsidRPr="003E0CD0">
        <w:rPr>
          <w:rFonts w:ascii="Book Antiqua" w:eastAsia="Book Antiqua" w:hAnsi="Book Antiqua" w:cs="Book Antiqua"/>
        </w:rPr>
        <w:t xml:space="preserve">77 </w:t>
      </w:r>
      <w:r w:rsidRPr="003E0CD0">
        <w:rPr>
          <w:rFonts w:ascii="Book Antiqua" w:eastAsia="Book Antiqua" w:hAnsi="Book Antiqua" w:cs="Book Antiqua"/>
          <w:b/>
          <w:bCs/>
        </w:rPr>
        <w:t>Weston AP</w:t>
      </w:r>
      <w:r w:rsidRPr="003E0CD0">
        <w:rPr>
          <w:rFonts w:ascii="Book Antiqua" w:eastAsia="Book Antiqua" w:hAnsi="Book Antiqua" w:cs="Book Antiqua"/>
        </w:rPr>
        <w:t xml:space="preserve">. Hiatal hernia with cameron ulcers and erosions. </w:t>
      </w:r>
      <w:r w:rsidRPr="003E0CD0">
        <w:rPr>
          <w:rFonts w:ascii="Book Antiqua" w:eastAsia="Book Antiqua" w:hAnsi="Book Antiqua" w:cs="Book Antiqua"/>
          <w:i/>
          <w:iCs/>
        </w:rPr>
        <w:t>Gastrointest Endosc Clin N Am</w:t>
      </w:r>
      <w:r w:rsidRPr="003E0CD0">
        <w:rPr>
          <w:rFonts w:ascii="Book Antiqua" w:eastAsia="Book Antiqua" w:hAnsi="Book Antiqua" w:cs="Book Antiqua"/>
        </w:rPr>
        <w:t xml:space="preserve"> 1996; </w:t>
      </w:r>
      <w:r w:rsidRPr="003E0CD0">
        <w:rPr>
          <w:rFonts w:ascii="Book Antiqua" w:eastAsia="Book Antiqua" w:hAnsi="Book Antiqua" w:cs="Book Antiqua"/>
          <w:b/>
          <w:bCs/>
        </w:rPr>
        <w:t>6</w:t>
      </w:r>
      <w:r w:rsidRPr="003E0CD0">
        <w:rPr>
          <w:rFonts w:ascii="Book Antiqua" w:eastAsia="Book Antiqua" w:hAnsi="Book Antiqua" w:cs="Book Antiqua"/>
        </w:rPr>
        <w:t>: 671-679 [PMID: 8899401]</w:t>
      </w:r>
    </w:p>
    <w:p w14:paraId="29D8229B" w14:textId="77777777" w:rsidR="00A77B3E" w:rsidRPr="003E0CD0" w:rsidRDefault="00000000">
      <w:pPr>
        <w:spacing w:line="360" w:lineRule="auto"/>
        <w:jc w:val="both"/>
      </w:pPr>
      <w:r w:rsidRPr="003E0CD0">
        <w:rPr>
          <w:rFonts w:ascii="Book Antiqua" w:eastAsia="Book Antiqua" w:hAnsi="Book Antiqua" w:cs="Book Antiqua"/>
        </w:rPr>
        <w:t xml:space="preserve">78 </w:t>
      </w:r>
      <w:r w:rsidRPr="003E0CD0">
        <w:rPr>
          <w:rFonts w:ascii="Book Antiqua" w:eastAsia="Book Antiqua" w:hAnsi="Book Antiqua" w:cs="Book Antiqua"/>
          <w:b/>
          <w:bCs/>
        </w:rPr>
        <w:t>Nguyen N</w:t>
      </w:r>
      <w:r w:rsidRPr="003E0CD0">
        <w:rPr>
          <w:rFonts w:ascii="Book Antiqua" w:eastAsia="Book Antiqua" w:hAnsi="Book Antiqua" w:cs="Book Antiqua"/>
        </w:rPr>
        <w:t xml:space="preserve">, Tam W, Kimber R, Roberts-Thomson IC. Gastrointestinal: Cameron's erosions. </w:t>
      </w:r>
      <w:r w:rsidRPr="003E0CD0">
        <w:rPr>
          <w:rFonts w:ascii="Book Antiqua" w:eastAsia="Book Antiqua" w:hAnsi="Book Antiqua" w:cs="Book Antiqua"/>
          <w:i/>
          <w:iCs/>
        </w:rPr>
        <w:t>J Gastroenterol Hepatol</w:t>
      </w:r>
      <w:r w:rsidRPr="003E0CD0">
        <w:rPr>
          <w:rFonts w:ascii="Book Antiqua" w:eastAsia="Book Antiqua" w:hAnsi="Book Antiqua" w:cs="Book Antiqua"/>
        </w:rPr>
        <w:t xml:space="preserve"> 2002; </w:t>
      </w:r>
      <w:r w:rsidRPr="003E0CD0">
        <w:rPr>
          <w:rFonts w:ascii="Book Antiqua" w:eastAsia="Book Antiqua" w:hAnsi="Book Antiqua" w:cs="Book Antiqua"/>
          <w:b/>
          <w:bCs/>
        </w:rPr>
        <w:t>17</w:t>
      </w:r>
      <w:r w:rsidRPr="003E0CD0">
        <w:rPr>
          <w:rFonts w:ascii="Book Antiqua" w:eastAsia="Book Antiqua" w:hAnsi="Book Antiqua" w:cs="Book Antiqua"/>
        </w:rPr>
        <w:t>: 343 [PMID: 11982707 DOI: 10.1046/j.1440-1746.2002.02760.x]</w:t>
      </w:r>
    </w:p>
    <w:p w14:paraId="63B465FB" w14:textId="77777777" w:rsidR="00A77B3E" w:rsidRPr="003E0CD0" w:rsidRDefault="00000000">
      <w:pPr>
        <w:spacing w:line="360" w:lineRule="auto"/>
        <w:jc w:val="both"/>
      </w:pPr>
      <w:r w:rsidRPr="003E0CD0">
        <w:rPr>
          <w:rFonts w:ascii="Book Antiqua" w:eastAsia="Book Antiqua" w:hAnsi="Book Antiqua" w:cs="Book Antiqua"/>
        </w:rPr>
        <w:t xml:space="preserve">79 </w:t>
      </w:r>
      <w:r w:rsidRPr="003E0CD0">
        <w:rPr>
          <w:rFonts w:ascii="Book Antiqua" w:eastAsia="Book Antiqua" w:hAnsi="Book Antiqua" w:cs="Book Antiqua"/>
          <w:b/>
          <w:bCs/>
        </w:rPr>
        <w:t>Camus M</w:t>
      </w:r>
      <w:r w:rsidRPr="003E0CD0">
        <w:rPr>
          <w:rFonts w:ascii="Book Antiqua" w:eastAsia="Book Antiqua" w:hAnsi="Book Antiqua" w:cs="Book Antiqua"/>
        </w:rPr>
        <w:t xml:space="preserve">, Jensen DM, Ohning GV, Kovacs TO, Ghassemi KA, Jutabha R, Machicado GA, Dulai GS, Hines OJ. Severe upper gastrointestinal hemorrhage from linear gastric ulcers in large hiatal hernias: a large prospective case series of Cameron ulcers.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2013; </w:t>
      </w:r>
      <w:r w:rsidRPr="003E0CD0">
        <w:rPr>
          <w:rFonts w:ascii="Book Antiqua" w:eastAsia="Book Antiqua" w:hAnsi="Book Antiqua" w:cs="Book Antiqua"/>
          <w:b/>
          <w:bCs/>
        </w:rPr>
        <w:t>45</w:t>
      </w:r>
      <w:r w:rsidRPr="003E0CD0">
        <w:rPr>
          <w:rFonts w:ascii="Book Antiqua" w:eastAsia="Book Antiqua" w:hAnsi="Book Antiqua" w:cs="Book Antiqua"/>
        </w:rPr>
        <w:t>: 397-400 [PMID: 23616128 DOI: 10.1055/s-0032-1326294]</w:t>
      </w:r>
    </w:p>
    <w:p w14:paraId="1AB92793" w14:textId="77777777" w:rsidR="00A77B3E" w:rsidRPr="003E0CD0" w:rsidRDefault="00000000">
      <w:pPr>
        <w:spacing w:line="360" w:lineRule="auto"/>
        <w:jc w:val="both"/>
      </w:pPr>
      <w:r w:rsidRPr="003E0CD0">
        <w:rPr>
          <w:rFonts w:ascii="Book Antiqua" w:eastAsia="Book Antiqua" w:hAnsi="Book Antiqua" w:cs="Book Antiqua"/>
        </w:rPr>
        <w:t xml:space="preserve">80 </w:t>
      </w:r>
      <w:r w:rsidRPr="003E0CD0">
        <w:rPr>
          <w:rFonts w:ascii="Book Antiqua" w:eastAsia="Book Antiqua" w:hAnsi="Book Antiqua" w:cs="Book Antiqua"/>
          <w:b/>
          <w:bCs/>
        </w:rPr>
        <w:t>Maganty K</w:t>
      </w:r>
      <w:r w:rsidRPr="003E0CD0">
        <w:rPr>
          <w:rFonts w:ascii="Book Antiqua" w:eastAsia="Book Antiqua" w:hAnsi="Book Antiqua" w:cs="Book Antiqua"/>
        </w:rPr>
        <w:t xml:space="preserve">, Smith RL. Cameron lesions: unusual cause of gastrointestinal bleeding and anemia. </w:t>
      </w:r>
      <w:r w:rsidRPr="003E0CD0">
        <w:rPr>
          <w:rFonts w:ascii="Book Antiqua" w:eastAsia="Book Antiqua" w:hAnsi="Book Antiqua" w:cs="Book Antiqua"/>
          <w:i/>
          <w:iCs/>
        </w:rPr>
        <w:t>Digestion</w:t>
      </w:r>
      <w:r w:rsidRPr="003E0CD0">
        <w:rPr>
          <w:rFonts w:ascii="Book Antiqua" w:eastAsia="Book Antiqua" w:hAnsi="Book Antiqua" w:cs="Book Antiqua"/>
        </w:rPr>
        <w:t xml:space="preserve"> 2008; </w:t>
      </w:r>
      <w:r w:rsidRPr="003E0CD0">
        <w:rPr>
          <w:rFonts w:ascii="Book Antiqua" w:eastAsia="Book Antiqua" w:hAnsi="Book Antiqua" w:cs="Book Antiqua"/>
          <w:b/>
          <w:bCs/>
        </w:rPr>
        <w:t>77</w:t>
      </w:r>
      <w:r w:rsidRPr="003E0CD0">
        <w:rPr>
          <w:rFonts w:ascii="Book Antiqua" w:eastAsia="Book Antiqua" w:hAnsi="Book Antiqua" w:cs="Book Antiqua"/>
        </w:rPr>
        <w:t>: 214-217 [PMID: 18622137 DOI: 10.1159/000144281]</w:t>
      </w:r>
    </w:p>
    <w:p w14:paraId="4C3000A1" w14:textId="77777777" w:rsidR="00A77B3E" w:rsidRPr="003E0CD0" w:rsidRDefault="00000000">
      <w:pPr>
        <w:spacing w:line="360" w:lineRule="auto"/>
        <w:jc w:val="both"/>
      </w:pPr>
      <w:r w:rsidRPr="003E0CD0">
        <w:rPr>
          <w:rFonts w:ascii="Book Antiqua" w:eastAsia="Book Antiqua" w:hAnsi="Book Antiqua" w:cs="Book Antiqua"/>
        </w:rPr>
        <w:t xml:space="preserve">81 </w:t>
      </w:r>
      <w:r w:rsidRPr="003E0CD0">
        <w:rPr>
          <w:rFonts w:ascii="Book Antiqua" w:eastAsia="Book Antiqua" w:hAnsi="Book Antiqua" w:cs="Book Antiqua"/>
          <w:b/>
          <w:bCs/>
        </w:rPr>
        <w:t>Zaman A</w:t>
      </w:r>
      <w:r w:rsidRPr="003E0CD0">
        <w:rPr>
          <w:rFonts w:ascii="Book Antiqua" w:eastAsia="Book Antiqua" w:hAnsi="Book Antiqua" w:cs="Book Antiqua"/>
        </w:rPr>
        <w:t xml:space="preserve">, Katon RM. Push enteroscopy for obscure gastrointestinal bleeding yields a high incidence of proximal lesions within reach of a standard endoscope.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1998; </w:t>
      </w:r>
      <w:r w:rsidRPr="003E0CD0">
        <w:rPr>
          <w:rFonts w:ascii="Book Antiqua" w:eastAsia="Book Antiqua" w:hAnsi="Book Antiqua" w:cs="Book Antiqua"/>
          <w:b/>
          <w:bCs/>
        </w:rPr>
        <w:t>47</w:t>
      </w:r>
      <w:r w:rsidRPr="003E0CD0">
        <w:rPr>
          <w:rFonts w:ascii="Book Antiqua" w:eastAsia="Book Antiqua" w:hAnsi="Book Antiqua" w:cs="Book Antiqua"/>
        </w:rPr>
        <w:t>: 372-376 [PMID: 9609429 DOI: 10.1016/s0016-5107(98)70221-4]</w:t>
      </w:r>
    </w:p>
    <w:p w14:paraId="6894EC3D" w14:textId="77777777" w:rsidR="00A77B3E" w:rsidRPr="003E0CD0" w:rsidRDefault="00000000">
      <w:pPr>
        <w:spacing w:line="360" w:lineRule="auto"/>
        <w:jc w:val="both"/>
      </w:pPr>
      <w:r w:rsidRPr="003E0CD0">
        <w:rPr>
          <w:rFonts w:ascii="Book Antiqua" w:eastAsia="Book Antiqua" w:hAnsi="Book Antiqua" w:cs="Book Antiqua"/>
        </w:rPr>
        <w:t xml:space="preserve">82 </w:t>
      </w:r>
      <w:r w:rsidRPr="003E0CD0">
        <w:rPr>
          <w:rFonts w:ascii="Book Antiqua" w:eastAsia="Book Antiqua" w:hAnsi="Book Antiqua" w:cs="Book Antiqua"/>
          <w:b/>
          <w:bCs/>
        </w:rPr>
        <w:t>Appleyard MN</w:t>
      </w:r>
      <w:r w:rsidRPr="003E0CD0">
        <w:rPr>
          <w:rFonts w:ascii="Book Antiqua" w:eastAsia="Book Antiqua" w:hAnsi="Book Antiqua" w:cs="Book Antiqua"/>
        </w:rPr>
        <w:t xml:space="preserve">, Swain CP. Endoscopic difficulties in the diagnosis of upper gastrointestinal bleeding.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2001; </w:t>
      </w:r>
      <w:r w:rsidRPr="003E0CD0">
        <w:rPr>
          <w:rFonts w:ascii="Book Antiqua" w:eastAsia="Book Antiqua" w:hAnsi="Book Antiqua" w:cs="Book Antiqua"/>
          <w:b/>
          <w:bCs/>
        </w:rPr>
        <w:t>7</w:t>
      </w:r>
      <w:r w:rsidRPr="003E0CD0">
        <w:rPr>
          <w:rFonts w:ascii="Book Antiqua" w:eastAsia="Book Antiqua" w:hAnsi="Book Antiqua" w:cs="Book Antiqua"/>
        </w:rPr>
        <w:t>: 308-312 [PMID: 11819781 DOI: 10.3748/wjg.v7.i3.308]</w:t>
      </w:r>
    </w:p>
    <w:p w14:paraId="3437D280" w14:textId="77777777" w:rsidR="00A77B3E" w:rsidRPr="003E0CD0" w:rsidRDefault="00000000">
      <w:pPr>
        <w:spacing w:line="360" w:lineRule="auto"/>
        <w:jc w:val="both"/>
      </w:pPr>
      <w:r w:rsidRPr="003E0CD0">
        <w:rPr>
          <w:rFonts w:ascii="Book Antiqua" w:eastAsia="Book Antiqua" w:hAnsi="Book Antiqua" w:cs="Book Antiqua"/>
        </w:rPr>
        <w:t xml:space="preserve">83 </w:t>
      </w:r>
      <w:r w:rsidRPr="003E0CD0">
        <w:rPr>
          <w:rFonts w:ascii="Book Antiqua" w:eastAsia="Book Antiqua" w:hAnsi="Book Antiqua" w:cs="Book Antiqua"/>
          <w:b/>
          <w:bCs/>
        </w:rPr>
        <w:t>Lin CC</w:t>
      </w:r>
      <w:r w:rsidRPr="003E0CD0">
        <w:rPr>
          <w:rFonts w:ascii="Book Antiqua" w:eastAsia="Book Antiqua" w:hAnsi="Book Antiqua" w:cs="Book Antiqua"/>
        </w:rPr>
        <w:t xml:space="preserve">, Chen TH, Ho WC, Chen TY. Endoscopic treatment of a Cameron lesion presenting as life-threatening gastrointestinal hemorrhage. </w:t>
      </w:r>
      <w:r w:rsidRPr="003E0CD0">
        <w:rPr>
          <w:rFonts w:ascii="Book Antiqua" w:eastAsia="Book Antiqua" w:hAnsi="Book Antiqua" w:cs="Book Antiqua"/>
          <w:i/>
          <w:iCs/>
        </w:rPr>
        <w:t>J Clin Gastroenterol</w:t>
      </w:r>
      <w:r w:rsidRPr="003E0CD0">
        <w:rPr>
          <w:rFonts w:ascii="Book Antiqua" w:eastAsia="Book Antiqua" w:hAnsi="Book Antiqua" w:cs="Book Antiqua"/>
        </w:rPr>
        <w:t xml:space="preserve"> 2001; </w:t>
      </w:r>
      <w:r w:rsidRPr="003E0CD0">
        <w:rPr>
          <w:rFonts w:ascii="Book Antiqua" w:eastAsia="Book Antiqua" w:hAnsi="Book Antiqua" w:cs="Book Antiqua"/>
          <w:b/>
          <w:bCs/>
        </w:rPr>
        <w:t>33</w:t>
      </w:r>
      <w:r w:rsidRPr="003E0CD0">
        <w:rPr>
          <w:rFonts w:ascii="Book Antiqua" w:eastAsia="Book Antiqua" w:hAnsi="Book Antiqua" w:cs="Book Antiqua"/>
        </w:rPr>
        <w:t>: 423-424 [PMID: 11606864 DOI: 10.1097/00004836-200111000-00018]</w:t>
      </w:r>
    </w:p>
    <w:p w14:paraId="1F1D37BB" w14:textId="7EC26F72" w:rsidR="009B320A" w:rsidRPr="003E0CD0" w:rsidRDefault="00000000">
      <w:pPr>
        <w:spacing w:line="360" w:lineRule="auto"/>
        <w:jc w:val="both"/>
        <w:rPr>
          <w:rFonts w:ascii="Book Antiqua" w:eastAsia="Book Antiqua" w:hAnsi="Book Antiqua" w:cs="Book Antiqua"/>
        </w:rPr>
      </w:pPr>
      <w:r w:rsidRPr="003E0CD0">
        <w:rPr>
          <w:rFonts w:ascii="Book Antiqua" w:eastAsia="Book Antiqua" w:hAnsi="Book Antiqua" w:cs="Book Antiqua"/>
        </w:rPr>
        <w:lastRenderedPageBreak/>
        <w:t xml:space="preserve">84 </w:t>
      </w:r>
      <w:r w:rsidR="009B320A" w:rsidRPr="003E0CD0">
        <w:rPr>
          <w:rFonts w:ascii="Book Antiqua" w:eastAsia="Book Antiqua" w:hAnsi="Book Antiqua" w:cs="Book Antiqua"/>
          <w:b/>
          <w:bCs/>
        </w:rPr>
        <w:t>Lower WE</w:t>
      </w:r>
      <w:r w:rsidR="009B320A" w:rsidRPr="003E0CD0">
        <w:rPr>
          <w:rFonts w:ascii="Book Antiqua" w:eastAsia="Book Antiqua" w:hAnsi="Book Antiqua" w:cs="Book Antiqua"/>
        </w:rPr>
        <w:t>, Farrell JI. Aneurysm of the splenic artery:</w:t>
      </w:r>
      <w:r w:rsidR="007D4DA8" w:rsidRPr="003E0CD0">
        <w:rPr>
          <w:rFonts w:ascii="Book Antiqua" w:eastAsia="Book Antiqua" w:hAnsi="Book Antiqua" w:cs="Book Antiqua"/>
        </w:rPr>
        <w:t xml:space="preserve"> </w:t>
      </w:r>
      <w:r w:rsidR="009B320A" w:rsidRPr="003E0CD0">
        <w:rPr>
          <w:rFonts w:ascii="Book Antiqua" w:eastAsia="Book Antiqua" w:hAnsi="Book Antiqua" w:cs="Book Antiqua"/>
        </w:rPr>
        <w:t>report of a case and review of the literature.</w:t>
      </w:r>
      <w:r w:rsidR="007D4DA8" w:rsidRPr="003E0CD0">
        <w:rPr>
          <w:rFonts w:ascii="Book Antiqua" w:eastAsia="Book Antiqua" w:hAnsi="Book Antiqua" w:cs="Book Antiqua"/>
        </w:rPr>
        <w:t xml:space="preserve"> </w:t>
      </w:r>
      <w:r w:rsidR="009B320A" w:rsidRPr="003E0CD0">
        <w:rPr>
          <w:rFonts w:ascii="Book Antiqua" w:eastAsia="Book Antiqua" w:hAnsi="Book Antiqua" w:cs="Book Antiqua"/>
          <w:i/>
          <w:iCs/>
        </w:rPr>
        <w:t>Arch Surg</w:t>
      </w:r>
      <w:r w:rsidR="007D4DA8" w:rsidRPr="003E0CD0">
        <w:rPr>
          <w:rFonts w:ascii="Book Antiqua" w:eastAsia="Book Antiqua" w:hAnsi="Book Antiqua" w:cs="Book Antiqua"/>
        </w:rPr>
        <w:t xml:space="preserve"> </w:t>
      </w:r>
      <w:r w:rsidR="009B320A" w:rsidRPr="003E0CD0">
        <w:rPr>
          <w:rFonts w:ascii="Book Antiqua" w:eastAsia="Book Antiqua" w:hAnsi="Book Antiqua" w:cs="Book Antiqua"/>
        </w:rPr>
        <w:t xml:space="preserve">1931; </w:t>
      </w:r>
      <w:r w:rsidR="009B320A" w:rsidRPr="003E0CD0">
        <w:rPr>
          <w:rFonts w:ascii="Book Antiqua" w:eastAsia="Book Antiqua" w:hAnsi="Book Antiqua" w:cs="Book Antiqua"/>
          <w:b/>
          <w:bCs/>
        </w:rPr>
        <w:t>23</w:t>
      </w:r>
      <w:r w:rsidR="009B320A" w:rsidRPr="003E0CD0">
        <w:rPr>
          <w:rFonts w:ascii="Book Antiqua" w:eastAsia="Book Antiqua" w:hAnsi="Book Antiqua" w:cs="Book Antiqua"/>
        </w:rPr>
        <w:t>: 182–190 [DOI:</w:t>
      </w:r>
      <w:r w:rsidR="007D4DA8" w:rsidRPr="003E0CD0">
        <w:rPr>
          <w:rFonts w:ascii="Book Antiqua" w:eastAsia="Book Antiqua" w:hAnsi="Book Antiqua" w:cs="Book Antiqua"/>
        </w:rPr>
        <w:t xml:space="preserve"> </w:t>
      </w:r>
      <w:r w:rsidR="009B320A" w:rsidRPr="003E0CD0">
        <w:rPr>
          <w:rFonts w:ascii="Book Antiqua" w:eastAsia="Book Antiqua" w:hAnsi="Book Antiqua" w:cs="Book Antiqua"/>
        </w:rPr>
        <w:t>10.1001/archsurg.1931.01160080010002]</w:t>
      </w:r>
    </w:p>
    <w:p w14:paraId="1BD8D920" w14:textId="77777777" w:rsidR="00A77B3E" w:rsidRPr="003E0CD0" w:rsidRDefault="00000000">
      <w:pPr>
        <w:spacing w:line="360" w:lineRule="auto"/>
        <w:jc w:val="both"/>
      </w:pPr>
      <w:r w:rsidRPr="003E0CD0">
        <w:rPr>
          <w:rFonts w:ascii="Book Antiqua" w:eastAsia="Book Antiqua" w:hAnsi="Book Antiqua" w:cs="Book Antiqua"/>
        </w:rPr>
        <w:t xml:space="preserve">85 </w:t>
      </w:r>
      <w:r w:rsidRPr="003E0CD0">
        <w:rPr>
          <w:rFonts w:ascii="Book Antiqua" w:eastAsia="Book Antiqua" w:hAnsi="Book Antiqua" w:cs="Book Antiqua"/>
          <w:b/>
          <w:bCs/>
        </w:rPr>
        <w:t>Rammohan A</w:t>
      </w:r>
      <w:r w:rsidRPr="003E0CD0">
        <w:rPr>
          <w:rFonts w:ascii="Book Antiqua" w:eastAsia="Book Antiqua" w:hAnsi="Book Antiqua" w:cs="Book Antiqua"/>
        </w:rPr>
        <w:t xml:space="preserve">, Palaniappan R, Ramaswami S, Perumal SK, Lakshmanan A, Srinivasan UP, Ramasamy R, Sathyanesan J. Hemosuccus Pancreaticus: 15-Year Experience from a Tertiary Care GI Bleed Centre. </w:t>
      </w:r>
      <w:r w:rsidRPr="003E0CD0">
        <w:rPr>
          <w:rFonts w:ascii="Book Antiqua" w:eastAsia="Book Antiqua" w:hAnsi="Book Antiqua" w:cs="Book Antiqua"/>
          <w:i/>
          <w:iCs/>
        </w:rPr>
        <w:t>ISRN Radiol</w:t>
      </w:r>
      <w:r w:rsidRPr="003E0CD0">
        <w:rPr>
          <w:rFonts w:ascii="Book Antiqua" w:eastAsia="Book Antiqua" w:hAnsi="Book Antiqua" w:cs="Book Antiqua"/>
        </w:rPr>
        <w:t xml:space="preserve"> 2013; </w:t>
      </w:r>
      <w:r w:rsidRPr="003E0CD0">
        <w:rPr>
          <w:rFonts w:ascii="Book Antiqua" w:eastAsia="Book Antiqua" w:hAnsi="Book Antiqua" w:cs="Book Antiqua"/>
          <w:b/>
          <w:bCs/>
        </w:rPr>
        <w:t>2013</w:t>
      </w:r>
      <w:r w:rsidRPr="003E0CD0">
        <w:rPr>
          <w:rFonts w:ascii="Book Antiqua" w:eastAsia="Book Antiqua" w:hAnsi="Book Antiqua" w:cs="Book Antiqua"/>
        </w:rPr>
        <w:t>: 191794 [PMID: 24959558 DOI: 10.5402/2013/191794]</w:t>
      </w:r>
    </w:p>
    <w:p w14:paraId="5350B9CE" w14:textId="60B4ED70" w:rsidR="009B320A" w:rsidRPr="003E0CD0" w:rsidRDefault="00000000" w:rsidP="009B320A">
      <w:pPr>
        <w:spacing w:line="360" w:lineRule="auto"/>
        <w:jc w:val="both"/>
        <w:rPr>
          <w:rFonts w:ascii="Book Antiqua" w:eastAsia="Book Antiqua" w:hAnsi="Book Antiqua" w:cs="Book Antiqua"/>
          <w:b/>
          <w:bCs/>
        </w:rPr>
      </w:pPr>
      <w:r w:rsidRPr="003E0CD0">
        <w:rPr>
          <w:rFonts w:ascii="Book Antiqua" w:eastAsia="Book Antiqua" w:hAnsi="Book Antiqua" w:cs="Book Antiqua"/>
        </w:rPr>
        <w:t xml:space="preserve">86 </w:t>
      </w:r>
      <w:r w:rsidR="009B320A" w:rsidRPr="003E0CD0">
        <w:rPr>
          <w:rFonts w:ascii="Book Antiqua" w:eastAsia="Book Antiqua" w:hAnsi="Book Antiqua" w:cs="Book Antiqua"/>
          <w:b/>
          <w:bCs/>
        </w:rPr>
        <w:t>Sandblom P</w:t>
      </w:r>
      <w:r w:rsidR="009B320A" w:rsidRPr="003E0CD0">
        <w:rPr>
          <w:rFonts w:ascii="Book Antiqua" w:eastAsia="Book Antiqua" w:hAnsi="Book Antiqua" w:cs="Book Antiqua"/>
        </w:rPr>
        <w:t xml:space="preserve">. Gastrointestinal hemorrhage through the pancreatic duct. </w:t>
      </w:r>
      <w:r w:rsidR="009B320A" w:rsidRPr="003E0CD0">
        <w:rPr>
          <w:rFonts w:ascii="Book Antiqua" w:eastAsia="Book Antiqua" w:hAnsi="Book Antiqua" w:cs="Book Antiqua"/>
          <w:i/>
          <w:iCs/>
        </w:rPr>
        <w:t>Ann Surg</w:t>
      </w:r>
      <w:r w:rsidR="009B320A" w:rsidRPr="003E0CD0">
        <w:rPr>
          <w:rFonts w:ascii="Book Antiqua" w:eastAsia="Book Antiqua" w:hAnsi="Book Antiqua" w:cs="Book Antiqua"/>
        </w:rPr>
        <w:t xml:space="preserve"> 1970; </w:t>
      </w:r>
      <w:r w:rsidR="009B320A" w:rsidRPr="003E0CD0">
        <w:rPr>
          <w:rFonts w:ascii="Book Antiqua" w:eastAsia="Book Antiqua" w:hAnsi="Book Antiqua" w:cs="Book Antiqua"/>
          <w:b/>
          <w:bCs/>
        </w:rPr>
        <w:t>171</w:t>
      </w:r>
      <w:r w:rsidR="009B320A" w:rsidRPr="003E0CD0">
        <w:rPr>
          <w:rFonts w:ascii="Book Antiqua" w:eastAsia="Book Antiqua" w:hAnsi="Book Antiqua" w:cs="Book Antiqua"/>
        </w:rPr>
        <w:t>: 61-66 [PMID: 5308032 DOI: 10.1097/00000658-197001000-00009]</w:t>
      </w:r>
    </w:p>
    <w:p w14:paraId="651C425C" w14:textId="77777777" w:rsidR="00A77B3E" w:rsidRPr="003E0CD0" w:rsidRDefault="00000000">
      <w:pPr>
        <w:spacing w:line="360" w:lineRule="auto"/>
        <w:jc w:val="both"/>
      </w:pPr>
      <w:r w:rsidRPr="003E0CD0">
        <w:rPr>
          <w:rFonts w:ascii="Book Antiqua" w:eastAsia="Book Antiqua" w:hAnsi="Book Antiqua" w:cs="Book Antiqua"/>
        </w:rPr>
        <w:t xml:space="preserve">87 </w:t>
      </w:r>
      <w:r w:rsidRPr="003E0CD0">
        <w:rPr>
          <w:rFonts w:ascii="Book Antiqua" w:eastAsia="Book Antiqua" w:hAnsi="Book Antiqua" w:cs="Book Antiqua"/>
          <w:b/>
          <w:bCs/>
        </w:rPr>
        <w:t>Ru N</w:t>
      </w:r>
      <w:r w:rsidRPr="003E0CD0">
        <w:rPr>
          <w:rFonts w:ascii="Book Antiqua" w:eastAsia="Book Antiqua" w:hAnsi="Book Antiqua" w:cs="Book Antiqua"/>
        </w:rPr>
        <w:t xml:space="preserve">, Zou WB, Qian YY, Tang XY, Zhu JH, Hu LH, Li ZS, Liao Z. A Systematic Review of the Etiology, Diagnosis, and Treatment of Hemosuccus Pancreaticus. </w:t>
      </w:r>
      <w:r w:rsidRPr="003E0CD0">
        <w:rPr>
          <w:rFonts w:ascii="Book Antiqua" w:eastAsia="Book Antiqua" w:hAnsi="Book Antiqua" w:cs="Book Antiqua"/>
          <w:i/>
          <w:iCs/>
        </w:rPr>
        <w:t>Pancreas</w:t>
      </w:r>
      <w:r w:rsidRPr="003E0CD0">
        <w:rPr>
          <w:rFonts w:ascii="Book Antiqua" w:eastAsia="Book Antiqua" w:hAnsi="Book Antiqua" w:cs="Book Antiqua"/>
        </w:rPr>
        <w:t xml:space="preserve"> 2019; </w:t>
      </w:r>
      <w:r w:rsidRPr="003E0CD0">
        <w:rPr>
          <w:rFonts w:ascii="Book Antiqua" w:eastAsia="Book Antiqua" w:hAnsi="Book Antiqua" w:cs="Book Antiqua"/>
          <w:b/>
          <w:bCs/>
        </w:rPr>
        <w:t>48</w:t>
      </w:r>
      <w:r w:rsidRPr="003E0CD0">
        <w:rPr>
          <w:rFonts w:ascii="Book Antiqua" w:eastAsia="Book Antiqua" w:hAnsi="Book Antiqua" w:cs="Book Antiqua"/>
        </w:rPr>
        <w:t>: e47-e49 [PMID: 31090670 DOI: 10.1097/MPA.0000000000001278]</w:t>
      </w:r>
    </w:p>
    <w:p w14:paraId="082A9D6A" w14:textId="77777777" w:rsidR="00A77B3E" w:rsidRPr="003E0CD0" w:rsidRDefault="00000000">
      <w:pPr>
        <w:spacing w:line="360" w:lineRule="auto"/>
        <w:jc w:val="both"/>
      </w:pPr>
      <w:r w:rsidRPr="003E0CD0">
        <w:rPr>
          <w:rFonts w:ascii="Book Antiqua" w:eastAsia="Book Antiqua" w:hAnsi="Book Antiqua" w:cs="Book Antiqua"/>
        </w:rPr>
        <w:t xml:space="preserve">88 </w:t>
      </w:r>
      <w:r w:rsidRPr="003E0CD0">
        <w:rPr>
          <w:rFonts w:ascii="Book Antiqua" w:eastAsia="Book Antiqua" w:hAnsi="Book Antiqua" w:cs="Book Antiqua"/>
          <w:b/>
          <w:bCs/>
        </w:rPr>
        <w:t>Abdelgabar A</w:t>
      </w:r>
      <w:r w:rsidRPr="003E0CD0">
        <w:rPr>
          <w:rFonts w:ascii="Book Antiqua" w:eastAsia="Book Antiqua" w:hAnsi="Book Antiqua" w:cs="Book Antiqua"/>
        </w:rPr>
        <w:t xml:space="preserve">, d'Archambeau O, Maes J, Van den Brande F, Cools P, Rutsaert RR. Visceral artery pseudoaneurysms: two case reports and a review of the literature. </w:t>
      </w:r>
      <w:r w:rsidRPr="003E0CD0">
        <w:rPr>
          <w:rFonts w:ascii="Book Antiqua" w:eastAsia="Book Antiqua" w:hAnsi="Book Antiqua" w:cs="Book Antiqua"/>
          <w:i/>
          <w:iCs/>
        </w:rPr>
        <w:t>J Med Case Rep</w:t>
      </w:r>
      <w:r w:rsidRPr="003E0CD0">
        <w:rPr>
          <w:rFonts w:ascii="Book Antiqua" w:eastAsia="Book Antiqua" w:hAnsi="Book Antiqua" w:cs="Book Antiqua"/>
        </w:rPr>
        <w:t xml:space="preserve"> 2017; </w:t>
      </w:r>
      <w:r w:rsidRPr="003E0CD0">
        <w:rPr>
          <w:rFonts w:ascii="Book Antiqua" w:eastAsia="Book Antiqua" w:hAnsi="Book Antiqua" w:cs="Book Antiqua"/>
          <w:b/>
          <w:bCs/>
        </w:rPr>
        <w:t>11</w:t>
      </w:r>
      <w:r w:rsidRPr="003E0CD0">
        <w:rPr>
          <w:rFonts w:ascii="Book Antiqua" w:eastAsia="Book Antiqua" w:hAnsi="Book Antiqua" w:cs="Book Antiqua"/>
        </w:rPr>
        <w:t>: 126 [PMID: 28472975 DOI: 10.1186/s13256-017-1291-6]</w:t>
      </w:r>
    </w:p>
    <w:p w14:paraId="65E5A4C0" w14:textId="77777777" w:rsidR="00A77B3E" w:rsidRPr="003E0CD0" w:rsidRDefault="00000000">
      <w:pPr>
        <w:spacing w:line="360" w:lineRule="auto"/>
        <w:jc w:val="both"/>
      </w:pPr>
      <w:r w:rsidRPr="003E0CD0">
        <w:rPr>
          <w:rFonts w:ascii="Book Antiqua" w:eastAsia="Book Antiqua" w:hAnsi="Book Antiqua" w:cs="Book Antiqua"/>
        </w:rPr>
        <w:t xml:space="preserve">89 </w:t>
      </w:r>
      <w:r w:rsidRPr="003E0CD0">
        <w:rPr>
          <w:rFonts w:ascii="Book Antiqua" w:eastAsia="Book Antiqua" w:hAnsi="Book Antiqua" w:cs="Book Antiqua"/>
          <w:b/>
          <w:bCs/>
        </w:rPr>
        <w:t>Kitano M</w:t>
      </w:r>
      <w:r w:rsidRPr="003E0CD0">
        <w:rPr>
          <w:rFonts w:ascii="Book Antiqua" w:eastAsia="Book Antiqua" w:hAnsi="Book Antiqua" w:cs="Book Antiqua"/>
        </w:rPr>
        <w:t xml:space="preserve">, Gress TM, Garg PK, Itoi T, Irisawa A, Isayama H, Kanno A, Takase K, Levy M, Yasuda I, Lévy P, Isaji S, Fernandez-Del Castillo C, Drewes AM, Sheel ARG, Neoptolemos JP, Shimosegawa T, Boermeester M, Wilcox CM, Whitcomb DC. International consensus guidelines on interventional endoscopy in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sidRPr="003E0CD0">
        <w:rPr>
          <w:rFonts w:ascii="Book Antiqua" w:eastAsia="Book Antiqua" w:hAnsi="Book Antiqua" w:cs="Book Antiqua"/>
          <w:i/>
          <w:iCs/>
        </w:rPr>
        <w:t>Pancreatology</w:t>
      </w:r>
      <w:r w:rsidRPr="003E0CD0">
        <w:rPr>
          <w:rFonts w:ascii="Book Antiqua" w:eastAsia="Book Antiqua" w:hAnsi="Book Antiqua" w:cs="Book Antiqua"/>
        </w:rPr>
        <w:t xml:space="preserve"> 2020; </w:t>
      </w:r>
      <w:r w:rsidRPr="003E0CD0">
        <w:rPr>
          <w:rFonts w:ascii="Book Antiqua" w:eastAsia="Book Antiqua" w:hAnsi="Book Antiqua" w:cs="Book Antiqua"/>
          <w:b/>
          <w:bCs/>
        </w:rPr>
        <w:t>20</w:t>
      </w:r>
      <w:r w:rsidRPr="003E0CD0">
        <w:rPr>
          <w:rFonts w:ascii="Book Antiqua" w:eastAsia="Book Antiqua" w:hAnsi="Book Antiqua" w:cs="Book Antiqua"/>
        </w:rPr>
        <w:t>: 1045-1055 [PMID: 32792253 DOI: 10.1016/j.pan.2020.05.022]</w:t>
      </w:r>
    </w:p>
    <w:p w14:paraId="35EE5143" w14:textId="5C554D2E" w:rsidR="00A77B3E" w:rsidRPr="003E0CD0" w:rsidRDefault="00000000">
      <w:pPr>
        <w:spacing w:line="360" w:lineRule="auto"/>
        <w:jc w:val="both"/>
      </w:pPr>
      <w:r w:rsidRPr="003E0CD0">
        <w:rPr>
          <w:rFonts w:ascii="Book Antiqua" w:eastAsia="Book Antiqua" w:hAnsi="Book Antiqua" w:cs="Book Antiqua"/>
        </w:rPr>
        <w:t xml:space="preserve">90 </w:t>
      </w:r>
      <w:r w:rsidRPr="003E0CD0">
        <w:rPr>
          <w:rFonts w:ascii="Book Antiqua" w:eastAsia="Book Antiqua" w:hAnsi="Book Antiqua" w:cs="Book Antiqua"/>
          <w:b/>
          <w:bCs/>
        </w:rPr>
        <w:t>Pham KD</w:t>
      </w:r>
      <w:r w:rsidRPr="003E0CD0">
        <w:rPr>
          <w:rFonts w:ascii="Book Antiqua" w:eastAsia="Book Antiqua" w:hAnsi="Book Antiqua" w:cs="Book Antiqua"/>
        </w:rPr>
        <w:t xml:space="preserve">, Pedersen G, Halvorsen H, Jøssang D, Flesland RH, Gjorgji GD. Usefulness of endoscopic ultrasound for the diagnosis of hemosuccus pancreaticus.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2014; </w:t>
      </w:r>
      <w:r w:rsidRPr="003E0CD0">
        <w:rPr>
          <w:rFonts w:ascii="Book Antiqua" w:eastAsia="Book Antiqua" w:hAnsi="Book Antiqua" w:cs="Book Antiqua"/>
          <w:b/>
          <w:bCs/>
        </w:rPr>
        <w:t>46</w:t>
      </w:r>
      <w:r w:rsidRPr="003E0CD0">
        <w:rPr>
          <w:rFonts w:ascii="Book Antiqua" w:eastAsia="Book Antiqua" w:hAnsi="Book Antiqua" w:cs="Book Antiqua"/>
        </w:rPr>
        <w:t xml:space="preserve"> Suppl 1: E528 [PMID: 25409053 DOI: 10.1055/s-0034-1377641]</w:t>
      </w:r>
    </w:p>
    <w:p w14:paraId="12B04651" w14:textId="77777777" w:rsidR="00A77B3E" w:rsidRPr="003E0CD0" w:rsidRDefault="00000000">
      <w:pPr>
        <w:spacing w:line="360" w:lineRule="auto"/>
        <w:jc w:val="both"/>
      </w:pPr>
      <w:r w:rsidRPr="003E0CD0">
        <w:rPr>
          <w:rFonts w:ascii="Book Antiqua" w:eastAsia="Book Antiqua" w:hAnsi="Book Antiqua" w:cs="Book Antiqua"/>
        </w:rPr>
        <w:t xml:space="preserve">91 </w:t>
      </w:r>
      <w:r w:rsidRPr="003E0CD0">
        <w:rPr>
          <w:rFonts w:ascii="Book Antiqua" w:eastAsia="Book Antiqua" w:hAnsi="Book Antiqua" w:cs="Book Antiqua"/>
          <w:b/>
          <w:bCs/>
        </w:rPr>
        <w:t>Tarantino I</w:t>
      </w:r>
      <w:r w:rsidRPr="003E0CD0">
        <w:rPr>
          <w:rFonts w:ascii="Book Antiqua" w:eastAsia="Book Antiqua" w:hAnsi="Book Antiqua" w:cs="Book Antiqua"/>
        </w:rPr>
        <w:t xml:space="preserve">, Rizzo GEM, Ligresti D, Jukna A, Maruzzelli L, Gruttadauria S, Traina M. Hemosuccus pancreaticus: an in-motion endoscopic ultrasound view.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2022; </w:t>
      </w:r>
      <w:r w:rsidRPr="003E0CD0">
        <w:rPr>
          <w:rFonts w:ascii="Book Antiqua" w:eastAsia="Book Antiqua" w:hAnsi="Book Antiqua" w:cs="Book Antiqua"/>
          <w:b/>
          <w:bCs/>
        </w:rPr>
        <w:t>54</w:t>
      </w:r>
      <w:r w:rsidRPr="003E0CD0">
        <w:rPr>
          <w:rFonts w:ascii="Book Antiqua" w:eastAsia="Book Antiqua" w:hAnsi="Book Antiqua" w:cs="Book Antiqua"/>
        </w:rPr>
        <w:t>: E1038-E1040 [PMID: 36007913 DOI: 10.1055/a-1904-7312]</w:t>
      </w:r>
    </w:p>
    <w:p w14:paraId="0F865623"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92 </w:t>
      </w:r>
      <w:r w:rsidRPr="003E0CD0">
        <w:rPr>
          <w:rFonts w:ascii="Book Antiqua" w:eastAsia="Book Antiqua" w:hAnsi="Book Antiqua" w:cs="Book Antiqua"/>
          <w:b/>
          <w:bCs/>
        </w:rPr>
        <w:t>Gutkin E</w:t>
      </w:r>
      <w:r w:rsidRPr="003E0CD0">
        <w:rPr>
          <w:rFonts w:ascii="Book Antiqua" w:eastAsia="Book Antiqua" w:hAnsi="Book Antiqua" w:cs="Book Antiqua"/>
        </w:rPr>
        <w:t xml:space="preserve">, Kim SH. A novel endoscopic treatment of hemosuccus pancreaticus: a stent tree tamponade. </w:t>
      </w:r>
      <w:r w:rsidRPr="003E0CD0">
        <w:rPr>
          <w:rFonts w:ascii="Book Antiqua" w:eastAsia="Book Antiqua" w:hAnsi="Book Antiqua" w:cs="Book Antiqua"/>
          <w:i/>
          <w:iCs/>
        </w:rPr>
        <w:t>JOP</w:t>
      </w:r>
      <w:r w:rsidRPr="003E0CD0">
        <w:rPr>
          <w:rFonts w:ascii="Book Antiqua" w:eastAsia="Book Antiqua" w:hAnsi="Book Antiqua" w:cs="Book Antiqua"/>
        </w:rPr>
        <w:t xml:space="preserve"> 2012; </w:t>
      </w:r>
      <w:r w:rsidRPr="003E0CD0">
        <w:rPr>
          <w:rFonts w:ascii="Book Antiqua" w:eastAsia="Book Antiqua" w:hAnsi="Book Antiqua" w:cs="Book Antiqua"/>
          <w:b/>
          <w:bCs/>
        </w:rPr>
        <w:t>13</w:t>
      </w:r>
      <w:r w:rsidRPr="003E0CD0">
        <w:rPr>
          <w:rFonts w:ascii="Book Antiqua" w:eastAsia="Book Antiqua" w:hAnsi="Book Antiqua" w:cs="Book Antiqua"/>
        </w:rPr>
        <w:t>: 312-313 [PMID: 22572140]</w:t>
      </w:r>
    </w:p>
    <w:p w14:paraId="2FA345D9" w14:textId="36799D8E" w:rsidR="00A77B3E" w:rsidRPr="003E0CD0" w:rsidRDefault="00000000">
      <w:pPr>
        <w:spacing w:line="360" w:lineRule="auto"/>
        <w:jc w:val="both"/>
      </w:pPr>
      <w:r w:rsidRPr="003E0CD0">
        <w:rPr>
          <w:rFonts w:ascii="Book Antiqua" w:eastAsia="Book Antiqua" w:hAnsi="Book Antiqua" w:cs="Book Antiqua"/>
        </w:rPr>
        <w:t xml:space="preserve">93 </w:t>
      </w:r>
      <w:r w:rsidRPr="003E0CD0">
        <w:rPr>
          <w:rFonts w:ascii="Book Antiqua" w:eastAsia="Book Antiqua" w:hAnsi="Book Antiqua" w:cs="Book Antiqua"/>
          <w:b/>
          <w:bCs/>
        </w:rPr>
        <w:t>Glisson F</w:t>
      </w:r>
      <w:r w:rsidRPr="003E0CD0">
        <w:rPr>
          <w:rFonts w:ascii="Book Antiqua" w:eastAsia="Book Antiqua" w:hAnsi="Book Antiqua" w:cs="Book Antiqua"/>
        </w:rPr>
        <w:t>. Anatomia Hepatis. London: O. Pullein</w:t>
      </w:r>
      <w:r w:rsidR="00DA1082" w:rsidRPr="003E0CD0">
        <w:rPr>
          <w:rFonts w:ascii="Book Antiqua" w:eastAsia="Book Antiqua" w:hAnsi="Book Antiqua" w:cs="Book Antiqua"/>
        </w:rPr>
        <w:t>,</w:t>
      </w:r>
      <w:r w:rsidRPr="003E0CD0">
        <w:rPr>
          <w:rFonts w:ascii="Book Antiqua" w:eastAsia="Book Antiqua" w:hAnsi="Book Antiqua" w:cs="Book Antiqua"/>
        </w:rPr>
        <w:t xml:space="preserve"> 1654</w:t>
      </w:r>
    </w:p>
    <w:p w14:paraId="25BB5419" w14:textId="36B4E174" w:rsidR="00A77B3E" w:rsidRPr="003E0CD0" w:rsidRDefault="00000000">
      <w:pPr>
        <w:spacing w:line="360" w:lineRule="auto"/>
        <w:jc w:val="both"/>
      </w:pPr>
      <w:r w:rsidRPr="003E0CD0">
        <w:rPr>
          <w:rFonts w:ascii="Book Antiqua" w:eastAsia="Book Antiqua" w:hAnsi="Book Antiqua" w:cs="Book Antiqua"/>
        </w:rPr>
        <w:t xml:space="preserve">94 </w:t>
      </w:r>
      <w:r w:rsidRPr="003E0CD0">
        <w:rPr>
          <w:rFonts w:ascii="Book Antiqua" w:eastAsia="Book Antiqua" w:hAnsi="Book Antiqua" w:cs="Book Antiqua"/>
          <w:b/>
          <w:bCs/>
        </w:rPr>
        <w:t>Zhornitskiy A</w:t>
      </w:r>
      <w:r w:rsidRPr="003E0CD0">
        <w:rPr>
          <w:rFonts w:ascii="Book Antiqua" w:eastAsia="Book Antiqua" w:hAnsi="Book Antiqua" w:cs="Book Antiqua"/>
        </w:rPr>
        <w:t xml:space="preserve">, Berry R, Han JY, Tabibian JH. Hemobilia: Historical overview, clinical update, and current practices. </w:t>
      </w:r>
      <w:r w:rsidRPr="003E0CD0">
        <w:rPr>
          <w:rFonts w:ascii="Book Antiqua" w:eastAsia="Book Antiqua" w:hAnsi="Book Antiqua" w:cs="Book Antiqua"/>
          <w:i/>
          <w:iCs/>
        </w:rPr>
        <w:t>Liver Int</w:t>
      </w:r>
      <w:r w:rsidRPr="003E0CD0">
        <w:rPr>
          <w:rFonts w:ascii="Book Antiqua" w:eastAsia="Book Antiqua" w:hAnsi="Book Antiqua" w:cs="Book Antiqua"/>
        </w:rPr>
        <w:t xml:space="preserve"> 2019; </w:t>
      </w:r>
      <w:r w:rsidRPr="003E0CD0">
        <w:rPr>
          <w:rFonts w:ascii="Book Antiqua" w:eastAsia="Book Antiqua" w:hAnsi="Book Antiqua" w:cs="Book Antiqua"/>
          <w:b/>
          <w:bCs/>
        </w:rPr>
        <w:t>39</w:t>
      </w:r>
      <w:r w:rsidRPr="003E0CD0">
        <w:rPr>
          <w:rFonts w:ascii="Book Antiqua" w:eastAsia="Book Antiqua" w:hAnsi="Book Antiqua" w:cs="Book Antiqua"/>
        </w:rPr>
        <w:t>: 1378-1388 [PMID: 30932305 DOI: 10.1111/</w:t>
      </w:r>
      <w:r w:rsidR="00DA1082" w:rsidRPr="003E0CD0">
        <w:rPr>
          <w:rFonts w:ascii="Book Antiqua" w:eastAsia="Book Antiqua" w:hAnsi="Book Antiqua" w:cs="Book Antiqua"/>
        </w:rPr>
        <w:t>l</w:t>
      </w:r>
      <w:r w:rsidRPr="003E0CD0">
        <w:rPr>
          <w:rFonts w:ascii="Book Antiqua" w:eastAsia="Book Antiqua" w:hAnsi="Book Antiqua" w:cs="Book Antiqua"/>
        </w:rPr>
        <w:t>iv.14111]</w:t>
      </w:r>
    </w:p>
    <w:p w14:paraId="1E961AC0" w14:textId="00707401" w:rsidR="00A77B3E" w:rsidRPr="003E0CD0" w:rsidRDefault="00000000">
      <w:pPr>
        <w:spacing w:line="360" w:lineRule="auto"/>
        <w:jc w:val="both"/>
      </w:pPr>
      <w:r w:rsidRPr="003E0CD0">
        <w:rPr>
          <w:rFonts w:ascii="Book Antiqua" w:eastAsia="Book Antiqua" w:hAnsi="Book Antiqua" w:cs="Book Antiqua"/>
        </w:rPr>
        <w:t xml:space="preserve">95 </w:t>
      </w:r>
      <w:r w:rsidRPr="003E0CD0">
        <w:rPr>
          <w:rFonts w:ascii="Book Antiqua" w:eastAsia="Book Antiqua" w:hAnsi="Book Antiqua" w:cs="Book Antiqua"/>
          <w:b/>
          <w:bCs/>
        </w:rPr>
        <w:t>Quincke H</w:t>
      </w:r>
      <w:r w:rsidRPr="003E0CD0">
        <w:rPr>
          <w:rFonts w:ascii="Book Antiqua" w:eastAsia="Book Antiqua" w:hAnsi="Book Antiqua" w:cs="Book Antiqua"/>
        </w:rPr>
        <w:t xml:space="preserve">. Ein fall von aneurysma der leberarterie [A Case of Hepatic Artery Aneurysm]. </w:t>
      </w:r>
      <w:r w:rsidRPr="003E0CD0">
        <w:rPr>
          <w:rFonts w:ascii="Book Antiqua" w:eastAsia="Book Antiqua" w:hAnsi="Book Antiqua" w:cs="Book Antiqua"/>
          <w:i/>
          <w:iCs/>
        </w:rPr>
        <w:t>Berl Klin Wochenschr</w:t>
      </w:r>
      <w:r w:rsidRPr="003E0CD0">
        <w:rPr>
          <w:rFonts w:ascii="Book Antiqua" w:eastAsia="Book Antiqua" w:hAnsi="Book Antiqua" w:cs="Book Antiqua"/>
        </w:rPr>
        <w:t xml:space="preserve"> 1871; </w:t>
      </w:r>
      <w:r w:rsidRPr="003E0CD0">
        <w:rPr>
          <w:rFonts w:ascii="Book Antiqua" w:eastAsia="Book Antiqua" w:hAnsi="Book Antiqua" w:cs="Book Antiqua"/>
          <w:b/>
          <w:bCs/>
        </w:rPr>
        <w:t>30</w:t>
      </w:r>
      <w:r w:rsidRPr="003E0CD0">
        <w:rPr>
          <w:rFonts w:ascii="Book Antiqua" w:eastAsia="Book Antiqua" w:hAnsi="Book Antiqua" w:cs="Book Antiqua"/>
        </w:rPr>
        <w:t>: 349</w:t>
      </w:r>
      <w:r w:rsidR="00E510FA" w:rsidRPr="003E0CD0">
        <w:rPr>
          <w:rFonts w:ascii="Book Antiqua" w:eastAsia="Book Antiqua" w:hAnsi="Book Antiqua" w:cs="Book Antiqua"/>
        </w:rPr>
        <w:t>-</w:t>
      </w:r>
      <w:r w:rsidRPr="003E0CD0">
        <w:rPr>
          <w:rFonts w:ascii="Book Antiqua" w:eastAsia="Book Antiqua" w:hAnsi="Book Antiqua" w:cs="Book Antiqua"/>
        </w:rPr>
        <w:t>352</w:t>
      </w:r>
    </w:p>
    <w:p w14:paraId="7F8CFF27" w14:textId="77777777" w:rsidR="00A77B3E" w:rsidRPr="003E0CD0" w:rsidRDefault="00000000">
      <w:pPr>
        <w:spacing w:line="360" w:lineRule="auto"/>
        <w:jc w:val="both"/>
      </w:pPr>
      <w:r w:rsidRPr="003E0CD0">
        <w:rPr>
          <w:rFonts w:ascii="Book Antiqua" w:eastAsia="Book Antiqua" w:hAnsi="Book Antiqua" w:cs="Book Antiqua"/>
        </w:rPr>
        <w:t xml:space="preserve">96 </w:t>
      </w:r>
      <w:r w:rsidRPr="003E0CD0">
        <w:rPr>
          <w:rFonts w:ascii="Book Antiqua" w:eastAsia="Book Antiqua" w:hAnsi="Book Antiqua" w:cs="Book Antiqua"/>
          <w:b/>
          <w:bCs/>
        </w:rPr>
        <w:t>Berry R</w:t>
      </w:r>
      <w:r w:rsidRPr="003E0CD0">
        <w:rPr>
          <w:rFonts w:ascii="Book Antiqua" w:eastAsia="Book Antiqua" w:hAnsi="Book Antiqua" w:cs="Book Antiqua"/>
        </w:rPr>
        <w:t xml:space="preserve">, Han J, Girotra M, Tabibian JH. Hemobilia: Perspective and Role of the Advanced Endoscopist. </w:t>
      </w:r>
      <w:r w:rsidRPr="003E0CD0">
        <w:rPr>
          <w:rFonts w:ascii="Book Antiqua" w:eastAsia="Book Antiqua" w:hAnsi="Book Antiqua" w:cs="Book Antiqua"/>
          <w:i/>
          <w:iCs/>
        </w:rPr>
        <w:t>Gastroenterol Res Pract</w:t>
      </w:r>
      <w:r w:rsidRPr="003E0CD0">
        <w:rPr>
          <w:rFonts w:ascii="Book Antiqua" w:eastAsia="Book Antiqua" w:hAnsi="Book Antiqua" w:cs="Book Antiqua"/>
        </w:rPr>
        <w:t xml:space="preserve"> 2018; </w:t>
      </w:r>
      <w:r w:rsidRPr="003E0CD0">
        <w:rPr>
          <w:rFonts w:ascii="Book Antiqua" w:eastAsia="Book Antiqua" w:hAnsi="Book Antiqua" w:cs="Book Antiqua"/>
          <w:b/>
          <w:bCs/>
        </w:rPr>
        <w:t>2018</w:t>
      </w:r>
      <w:r w:rsidRPr="003E0CD0">
        <w:rPr>
          <w:rFonts w:ascii="Book Antiqua" w:eastAsia="Book Antiqua" w:hAnsi="Book Antiqua" w:cs="Book Antiqua"/>
        </w:rPr>
        <w:t>: 3670739 [PMID: 30116262 DOI: 10.1155/2018/3670739]</w:t>
      </w:r>
    </w:p>
    <w:p w14:paraId="5F257F57" w14:textId="77777777" w:rsidR="00A77B3E" w:rsidRPr="003E0CD0" w:rsidRDefault="00000000">
      <w:pPr>
        <w:spacing w:line="360" w:lineRule="auto"/>
        <w:jc w:val="both"/>
      </w:pPr>
      <w:r w:rsidRPr="003E0CD0">
        <w:rPr>
          <w:rFonts w:ascii="Book Antiqua" w:eastAsia="Book Antiqua" w:hAnsi="Book Antiqua" w:cs="Book Antiqua"/>
        </w:rPr>
        <w:t xml:space="preserve">97 </w:t>
      </w:r>
      <w:r w:rsidRPr="003E0CD0">
        <w:rPr>
          <w:rFonts w:ascii="Book Antiqua" w:eastAsia="Book Antiqua" w:hAnsi="Book Antiqua" w:cs="Book Antiqua"/>
          <w:b/>
          <w:bCs/>
        </w:rPr>
        <w:t>Murugesan SD</w:t>
      </w:r>
      <w:r w:rsidRPr="003E0CD0">
        <w:rPr>
          <w:rFonts w:ascii="Book Antiqua" w:eastAsia="Book Antiqua" w:hAnsi="Book Antiqua" w:cs="Book Antiqua"/>
        </w:rPr>
        <w:t xml:space="preserve">, Sathyanesan J, Lakshmanan A, Ramaswami S, Perumal S, Perumal SU, Ramasamy R, Palaniappan R. Massive hemobilia: a diagnostic and therapeutic challenge. </w:t>
      </w:r>
      <w:r w:rsidRPr="003E0CD0">
        <w:rPr>
          <w:rFonts w:ascii="Book Antiqua" w:eastAsia="Book Antiqua" w:hAnsi="Book Antiqua" w:cs="Book Antiqua"/>
          <w:i/>
          <w:iCs/>
        </w:rPr>
        <w:t>World J Surg</w:t>
      </w:r>
      <w:r w:rsidRPr="003E0CD0">
        <w:rPr>
          <w:rFonts w:ascii="Book Antiqua" w:eastAsia="Book Antiqua" w:hAnsi="Book Antiqua" w:cs="Book Antiqua"/>
        </w:rPr>
        <w:t xml:space="preserve"> 2014; </w:t>
      </w:r>
      <w:r w:rsidRPr="003E0CD0">
        <w:rPr>
          <w:rFonts w:ascii="Book Antiqua" w:eastAsia="Book Antiqua" w:hAnsi="Book Antiqua" w:cs="Book Antiqua"/>
          <w:b/>
          <w:bCs/>
        </w:rPr>
        <w:t>38</w:t>
      </w:r>
      <w:r w:rsidRPr="003E0CD0">
        <w:rPr>
          <w:rFonts w:ascii="Book Antiqua" w:eastAsia="Book Antiqua" w:hAnsi="Book Antiqua" w:cs="Book Antiqua"/>
        </w:rPr>
        <w:t>: 1755-1762 [PMID: 24381048 DOI: 10.1007/s00268-013-2435-5]</w:t>
      </w:r>
    </w:p>
    <w:p w14:paraId="3C931654" w14:textId="77777777" w:rsidR="00A77B3E" w:rsidRPr="003E0CD0" w:rsidRDefault="00000000">
      <w:pPr>
        <w:spacing w:line="360" w:lineRule="auto"/>
        <w:jc w:val="both"/>
      </w:pPr>
      <w:r w:rsidRPr="003E0CD0">
        <w:rPr>
          <w:rFonts w:ascii="Book Antiqua" w:eastAsia="Book Antiqua" w:hAnsi="Book Antiqua" w:cs="Book Antiqua"/>
        </w:rPr>
        <w:t xml:space="preserve">98 </w:t>
      </w:r>
      <w:r w:rsidRPr="003E0CD0">
        <w:rPr>
          <w:rFonts w:ascii="Book Antiqua" w:eastAsia="Book Antiqua" w:hAnsi="Book Antiqua" w:cs="Book Antiqua"/>
          <w:b/>
          <w:bCs/>
        </w:rPr>
        <w:t>Ramchandani M</w:t>
      </w:r>
      <w:r w:rsidRPr="003E0CD0">
        <w:rPr>
          <w:rFonts w:ascii="Book Antiqua" w:eastAsia="Book Antiqua" w:hAnsi="Book Antiqua" w:cs="Book Antiqua"/>
        </w:rPr>
        <w:t xml:space="preserve">, Reddy DN, Lakhtakia S, Tandan M, Maydeo A, Chandrashekhar TS, Kumar A, Sud R, Rerknimitr R, Makmun D, Khor C. Per oral cholangiopancreatoscopy in pancreatico biliary diseases--expert consensus statements. </w:t>
      </w:r>
      <w:r w:rsidRPr="003E0CD0">
        <w:rPr>
          <w:rFonts w:ascii="Book Antiqua" w:eastAsia="Book Antiqua" w:hAnsi="Book Antiqua" w:cs="Book Antiqua"/>
          <w:i/>
          <w:iCs/>
        </w:rPr>
        <w:t>World J Gastroenterol</w:t>
      </w:r>
      <w:r w:rsidRPr="003E0CD0">
        <w:rPr>
          <w:rFonts w:ascii="Book Antiqua" w:eastAsia="Book Antiqua" w:hAnsi="Book Antiqua" w:cs="Book Antiqua"/>
        </w:rPr>
        <w:t xml:space="preserve"> 2015; </w:t>
      </w:r>
      <w:r w:rsidRPr="003E0CD0">
        <w:rPr>
          <w:rFonts w:ascii="Book Antiqua" w:eastAsia="Book Antiqua" w:hAnsi="Book Antiqua" w:cs="Book Antiqua"/>
          <w:b/>
          <w:bCs/>
        </w:rPr>
        <w:t>21</w:t>
      </w:r>
      <w:r w:rsidRPr="003E0CD0">
        <w:rPr>
          <w:rFonts w:ascii="Book Antiqua" w:eastAsia="Book Antiqua" w:hAnsi="Book Antiqua" w:cs="Book Antiqua"/>
        </w:rPr>
        <w:t>: 4722-4734 [PMID: 25914484 DOI: 10.3748/wjg.v21.i15.4722]</w:t>
      </w:r>
    </w:p>
    <w:p w14:paraId="71CC79AB" w14:textId="77777777" w:rsidR="00A77B3E" w:rsidRPr="003E0CD0" w:rsidRDefault="00000000">
      <w:pPr>
        <w:spacing w:line="360" w:lineRule="auto"/>
        <w:jc w:val="both"/>
      </w:pPr>
      <w:r w:rsidRPr="003E0CD0">
        <w:rPr>
          <w:rFonts w:ascii="Book Antiqua" w:eastAsia="Book Antiqua" w:hAnsi="Book Antiqua" w:cs="Book Antiqua"/>
        </w:rPr>
        <w:t xml:space="preserve">99 </w:t>
      </w:r>
      <w:r w:rsidRPr="003E0CD0">
        <w:rPr>
          <w:rFonts w:ascii="Book Antiqua" w:eastAsia="Book Antiqua" w:hAnsi="Book Antiqua" w:cs="Book Antiqua"/>
          <w:b/>
          <w:bCs/>
        </w:rPr>
        <w:t>Konerman MA</w:t>
      </w:r>
      <w:r w:rsidRPr="003E0CD0">
        <w:rPr>
          <w:rFonts w:ascii="Book Antiqua" w:eastAsia="Book Antiqua" w:hAnsi="Book Antiqua" w:cs="Book Antiqua"/>
        </w:rPr>
        <w:t xml:space="preserve">, Zhang Z, Piraka C. Endoscopic Ultrasound as a Diagnostic Tool in a Case of Obscure Hemobilia. </w:t>
      </w:r>
      <w:r w:rsidRPr="003E0CD0">
        <w:rPr>
          <w:rFonts w:ascii="Book Antiqua" w:eastAsia="Book Antiqua" w:hAnsi="Book Antiqua" w:cs="Book Antiqua"/>
          <w:i/>
          <w:iCs/>
        </w:rPr>
        <w:t>ACG Case Rep J</w:t>
      </w:r>
      <w:r w:rsidRPr="003E0CD0">
        <w:rPr>
          <w:rFonts w:ascii="Book Antiqua" w:eastAsia="Book Antiqua" w:hAnsi="Book Antiqua" w:cs="Book Antiqua"/>
        </w:rPr>
        <w:t xml:space="preserve"> 2016; </w:t>
      </w:r>
      <w:r w:rsidRPr="003E0CD0">
        <w:rPr>
          <w:rFonts w:ascii="Book Antiqua" w:eastAsia="Book Antiqua" w:hAnsi="Book Antiqua" w:cs="Book Antiqua"/>
          <w:b/>
          <w:bCs/>
        </w:rPr>
        <w:t>3</w:t>
      </w:r>
      <w:r w:rsidRPr="003E0CD0">
        <w:rPr>
          <w:rFonts w:ascii="Book Antiqua" w:eastAsia="Book Antiqua" w:hAnsi="Book Antiqua" w:cs="Book Antiqua"/>
        </w:rPr>
        <w:t>: e170 [PMID: 28008403 DOI: 10.14309/crj.2016.143]</w:t>
      </w:r>
    </w:p>
    <w:p w14:paraId="4C647734" w14:textId="77777777" w:rsidR="00A77B3E" w:rsidRPr="003E0CD0" w:rsidRDefault="00000000">
      <w:pPr>
        <w:spacing w:line="360" w:lineRule="auto"/>
        <w:jc w:val="both"/>
      </w:pPr>
      <w:r w:rsidRPr="003E0CD0">
        <w:rPr>
          <w:rFonts w:ascii="Book Antiqua" w:eastAsia="Book Antiqua" w:hAnsi="Book Antiqua" w:cs="Book Antiqua"/>
        </w:rPr>
        <w:t xml:space="preserve">100 </w:t>
      </w:r>
      <w:r w:rsidRPr="003E0CD0">
        <w:rPr>
          <w:rFonts w:ascii="Book Antiqua" w:eastAsia="Book Antiqua" w:hAnsi="Book Antiqua" w:cs="Book Antiqua"/>
          <w:b/>
          <w:bCs/>
        </w:rPr>
        <w:t>Trakarnsanga A</w:t>
      </w:r>
      <w:r w:rsidRPr="003E0CD0">
        <w:rPr>
          <w:rFonts w:ascii="Book Antiqua" w:eastAsia="Book Antiqua" w:hAnsi="Book Antiqua" w:cs="Book Antiqua"/>
        </w:rPr>
        <w:t xml:space="preserve">, Sriprayoon T, Akaraviputh T, Tongdee T. Massive hemobilia from a ruptured hepatic artery aneurysm detected by endoscopic ultrasound (EUS) and successfully treated.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2010; </w:t>
      </w:r>
      <w:r w:rsidRPr="003E0CD0">
        <w:rPr>
          <w:rFonts w:ascii="Book Antiqua" w:eastAsia="Book Antiqua" w:hAnsi="Book Antiqua" w:cs="Book Antiqua"/>
          <w:b/>
          <w:bCs/>
        </w:rPr>
        <w:t>42</w:t>
      </w:r>
      <w:r w:rsidRPr="003E0CD0">
        <w:rPr>
          <w:rFonts w:ascii="Book Antiqua" w:eastAsia="Book Antiqua" w:hAnsi="Book Antiqua" w:cs="Book Antiqua"/>
        </w:rPr>
        <w:t xml:space="preserve"> Suppl 2: E340-E341 [PMID: 21170839 DOI: 10.1055/s-0030-1255940]</w:t>
      </w:r>
    </w:p>
    <w:p w14:paraId="453DD6E3" w14:textId="77777777" w:rsidR="00A77B3E" w:rsidRPr="003E0CD0" w:rsidRDefault="00000000">
      <w:pPr>
        <w:spacing w:line="360" w:lineRule="auto"/>
        <w:jc w:val="both"/>
      </w:pPr>
      <w:r w:rsidRPr="003E0CD0">
        <w:rPr>
          <w:rFonts w:ascii="Book Antiqua" w:eastAsia="Book Antiqua" w:hAnsi="Book Antiqua" w:cs="Book Antiqua"/>
        </w:rPr>
        <w:t xml:space="preserve">101 </w:t>
      </w:r>
      <w:r w:rsidRPr="003E0CD0">
        <w:rPr>
          <w:rFonts w:ascii="Book Antiqua" w:eastAsia="Book Antiqua" w:hAnsi="Book Antiqua" w:cs="Book Antiqua"/>
          <w:b/>
          <w:bCs/>
        </w:rPr>
        <w:t>Sharma M</w:t>
      </w:r>
      <w:r w:rsidRPr="003E0CD0">
        <w:rPr>
          <w:rFonts w:ascii="Book Antiqua" w:eastAsia="Book Antiqua" w:hAnsi="Book Antiqua" w:cs="Book Antiqua"/>
        </w:rPr>
        <w:t xml:space="preserve">, Rameshbabu CS. Portal cavernoma cholangiopathy: an endoscopic ultrasound based imaging approach. </w:t>
      </w:r>
      <w:r w:rsidRPr="003E0CD0">
        <w:rPr>
          <w:rFonts w:ascii="Book Antiqua" w:eastAsia="Book Antiqua" w:hAnsi="Book Antiqua" w:cs="Book Antiqua"/>
          <w:i/>
          <w:iCs/>
        </w:rPr>
        <w:t>J Clin Exp Hepatol</w:t>
      </w:r>
      <w:r w:rsidRPr="003E0CD0">
        <w:rPr>
          <w:rFonts w:ascii="Book Antiqua" w:eastAsia="Book Antiqua" w:hAnsi="Book Antiqua" w:cs="Book Antiqua"/>
        </w:rPr>
        <w:t xml:space="preserve"> 2014; </w:t>
      </w:r>
      <w:r w:rsidRPr="003E0CD0">
        <w:rPr>
          <w:rFonts w:ascii="Book Antiqua" w:eastAsia="Book Antiqua" w:hAnsi="Book Antiqua" w:cs="Book Antiqua"/>
          <w:b/>
          <w:bCs/>
        </w:rPr>
        <w:t>4</w:t>
      </w:r>
      <w:r w:rsidRPr="003E0CD0">
        <w:rPr>
          <w:rFonts w:ascii="Book Antiqua" w:eastAsia="Book Antiqua" w:hAnsi="Book Antiqua" w:cs="Book Antiqua"/>
        </w:rPr>
        <w:t>: S53-S61 [PMID: 25755596 DOI: 10.1016/j.jceh.2013.08.015]</w:t>
      </w:r>
    </w:p>
    <w:p w14:paraId="7069A9DD" w14:textId="77777777" w:rsidR="00A77B3E" w:rsidRPr="003E0CD0" w:rsidRDefault="00000000">
      <w:pPr>
        <w:spacing w:line="360" w:lineRule="auto"/>
        <w:jc w:val="both"/>
      </w:pPr>
      <w:r w:rsidRPr="003E0CD0">
        <w:rPr>
          <w:rFonts w:ascii="Book Antiqua" w:eastAsia="Book Antiqua" w:hAnsi="Book Antiqua" w:cs="Book Antiqua"/>
        </w:rPr>
        <w:lastRenderedPageBreak/>
        <w:t xml:space="preserve">102 </w:t>
      </w:r>
      <w:r w:rsidRPr="003E0CD0">
        <w:rPr>
          <w:rFonts w:ascii="Book Antiqua" w:eastAsia="Book Antiqua" w:hAnsi="Book Antiqua" w:cs="Book Antiqua"/>
          <w:b/>
          <w:bCs/>
        </w:rPr>
        <w:t>Seicean A</w:t>
      </w:r>
      <w:r w:rsidRPr="003E0CD0">
        <w:rPr>
          <w:rFonts w:ascii="Book Antiqua" w:eastAsia="Book Antiqua" w:hAnsi="Book Antiqua" w:cs="Book Antiqua"/>
        </w:rPr>
        <w:t xml:space="preserve">. Endoscopic ultrasound in the diagnosis and treatment of upper digestive bleeding: a useful tool. </w:t>
      </w:r>
      <w:r w:rsidRPr="003E0CD0">
        <w:rPr>
          <w:rFonts w:ascii="Book Antiqua" w:eastAsia="Book Antiqua" w:hAnsi="Book Antiqua" w:cs="Book Antiqua"/>
          <w:i/>
          <w:iCs/>
        </w:rPr>
        <w:t>J Gastrointestin Liver Dis</w:t>
      </w:r>
      <w:r w:rsidRPr="003E0CD0">
        <w:rPr>
          <w:rFonts w:ascii="Book Antiqua" w:eastAsia="Book Antiqua" w:hAnsi="Book Antiqua" w:cs="Book Antiqua"/>
        </w:rPr>
        <w:t xml:space="preserve"> 2013; </w:t>
      </w:r>
      <w:r w:rsidRPr="003E0CD0">
        <w:rPr>
          <w:rFonts w:ascii="Book Antiqua" w:eastAsia="Book Antiqua" w:hAnsi="Book Antiqua" w:cs="Book Antiqua"/>
          <w:b/>
          <w:bCs/>
        </w:rPr>
        <w:t>22</w:t>
      </w:r>
      <w:r w:rsidRPr="003E0CD0">
        <w:rPr>
          <w:rFonts w:ascii="Book Antiqua" w:eastAsia="Book Antiqua" w:hAnsi="Book Antiqua" w:cs="Book Antiqua"/>
        </w:rPr>
        <w:t>: 465-469 [PMID: 24369332]</w:t>
      </w:r>
    </w:p>
    <w:p w14:paraId="20A6769A" w14:textId="19F1E5FF" w:rsidR="00A77B3E" w:rsidRPr="003E0CD0" w:rsidRDefault="00000000">
      <w:pPr>
        <w:spacing w:line="360" w:lineRule="auto"/>
        <w:jc w:val="both"/>
      </w:pPr>
      <w:r w:rsidRPr="003E0CD0">
        <w:rPr>
          <w:rFonts w:ascii="Book Antiqua" w:eastAsia="Book Antiqua" w:hAnsi="Book Antiqua" w:cs="Book Antiqua"/>
        </w:rPr>
        <w:t xml:space="preserve">103 </w:t>
      </w:r>
      <w:r w:rsidRPr="003E0CD0">
        <w:rPr>
          <w:rFonts w:ascii="Book Antiqua" w:eastAsia="Book Antiqua" w:hAnsi="Book Antiqua" w:cs="Book Antiqua"/>
          <w:b/>
          <w:bCs/>
        </w:rPr>
        <w:t>Barresi L</w:t>
      </w:r>
      <w:r w:rsidRPr="003E0CD0">
        <w:rPr>
          <w:rFonts w:ascii="Book Antiqua" w:eastAsia="Book Antiqua" w:hAnsi="Book Antiqua" w:cs="Book Antiqua"/>
        </w:rPr>
        <w:t xml:space="preserve">, Tarantino I, Ligresti D, Curcio G, Granata A, Traina M. Fully covered self-expandable metal stent treatment of spurting bleeding into the biliary tract after endoscopic ultrasound-guided fine-needle aspiration of a solid lesion of the pancreatic head.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2015; </w:t>
      </w:r>
      <w:r w:rsidRPr="003E0CD0">
        <w:rPr>
          <w:rFonts w:ascii="Book Antiqua" w:eastAsia="Book Antiqua" w:hAnsi="Book Antiqua" w:cs="Book Antiqua"/>
          <w:b/>
          <w:bCs/>
        </w:rPr>
        <w:t>47</w:t>
      </w:r>
      <w:r w:rsidRPr="003E0CD0">
        <w:rPr>
          <w:rFonts w:ascii="Book Antiqua" w:eastAsia="Book Antiqua" w:hAnsi="Book Antiqua" w:cs="Book Antiqua"/>
        </w:rPr>
        <w:t xml:space="preserve"> Suppl 1: E87-E88 [PMID: 25926229 DOI: 10.1055/s-0034-1391239]</w:t>
      </w:r>
    </w:p>
    <w:p w14:paraId="2D20BA67" w14:textId="70112214" w:rsidR="00A77B3E" w:rsidRPr="003E0CD0" w:rsidRDefault="00000000">
      <w:pPr>
        <w:spacing w:line="360" w:lineRule="auto"/>
        <w:jc w:val="both"/>
      </w:pPr>
      <w:r w:rsidRPr="003E0CD0">
        <w:rPr>
          <w:rFonts w:ascii="Book Antiqua" w:eastAsia="Book Antiqua" w:hAnsi="Book Antiqua" w:cs="Book Antiqua"/>
        </w:rPr>
        <w:t xml:space="preserve">104 </w:t>
      </w:r>
      <w:r w:rsidRPr="003E0CD0">
        <w:rPr>
          <w:rFonts w:ascii="Book Antiqua" w:eastAsia="Book Antiqua" w:hAnsi="Book Antiqua" w:cs="Book Antiqua"/>
          <w:b/>
          <w:bCs/>
        </w:rPr>
        <w:t>Song JY</w:t>
      </w:r>
      <w:r w:rsidRPr="003E0CD0">
        <w:rPr>
          <w:rFonts w:ascii="Book Antiqua" w:eastAsia="Book Antiqua" w:hAnsi="Book Antiqua" w:cs="Book Antiqua"/>
        </w:rPr>
        <w:t xml:space="preserve">, Moon JH, Choi HJ, Kim DC, Choi MH, Lee TH, Cha SW, Cho YD, Park SH. Massive hemobilia following transpapillary bile duct biopsy treated by using a covered self-expandable metal stent. </w:t>
      </w:r>
      <w:r w:rsidRPr="003E0CD0">
        <w:rPr>
          <w:rFonts w:ascii="Book Antiqua" w:eastAsia="Book Antiqua" w:hAnsi="Book Antiqua" w:cs="Book Antiqua"/>
          <w:i/>
          <w:iCs/>
        </w:rPr>
        <w:t>Endoscopy</w:t>
      </w:r>
      <w:r w:rsidRPr="003E0CD0">
        <w:rPr>
          <w:rFonts w:ascii="Book Antiqua" w:eastAsia="Book Antiqua" w:hAnsi="Book Antiqua" w:cs="Book Antiqua"/>
        </w:rPr>
        <w:t xml:space="preserve"> 2014; </w:t>
      </w:r>
      <w:r w:rsidRPr="003E0CD0">
        <w:rPr>
          <w:rFonts w:ascii="Book Antiqua" w:eastAsia="Book Antiqua" w:hAnsi="Book Antiqua" w:cs="Book Antiqua"/>
          <w:b/>
          <w:bCs/>
        </w:rPr>
        <w:t>46</w:t>
      </w:r>
      <w:r w:rsidRPr="003E0CD0">
        <w:rPr>
          <w:rFonts w:ascii="Book Antiqua" w:eastAsia="Book Antiqua" w:hAnsi="Book Antiqua" w:cs="Book Antiqua"/>
        </w:rPr>
        <w:t xml:space="preserve"> Suppl 1: E161-E162 [PMID: 24756274 DOI: 10.1055/s-0034-1365115]</w:t>
      </w:r>
    </w:p>
    <w:p w14:paraId="5B9BCDB2" w14:textId="77777777" w:rsidR="00A77B3E" w:rsidRPr="003E0CD0" w:rsidRDefault="00000000">
      <w:pPr>
        <w:spacing w:line="360" w:lineRule="auto"/>
        <w:jc w:val="both"/>
      </w:pPr>
      <w:r w:rsidRPr="003E0CD0">
        <w:rPr>
          <w:rFonts w:ascii="Book Antiqua" w:eastAsia="Book Antiqua" w:hAnsi="Book Antiqua" w:cs="Book Antiqua"/>
        </w:rPr>
        <w:t xml:space="preserve">105 </w:t>
      </w:r>
      <w:r w:rsidRPr="003E0CD0">
        <w:rPr>
          <w:rFonts w:ascii="Book Antiqua" w:eastAsia="Book Antiqua" w:hAnsi="Book Antiqua" w:cs="Book Antiqua"/>
          <w:b/>
          <w:bCs/>
        </w:rPr>
        <w:t>Goenka MK</w:t>
      </w:r>
      <w:r w:rsidRPr="003E0CD0">
        <w:rPr>
          <w:rFonts w:ascii="Book Antiqua" w:eastAsia="Book Antiqua" w:hAnsi="Book Antiqua" w:cs="Book Antiqua"/>
        </w:rPr>
        <w:t xml:space="preserve">, Harwani Y, Rai V, Goenka U. Fully covered self-expandable metal biliary stent for hemobilia caused by portal biliopathy. </w:t>
      </w:r>
      <w:r w:rsidRPr="003E0CD0">
        <w:rPr>
          <w:rFonts w:ascii="Book Antiqua" w:eastAsia="Book Antiqua" w:hAnsi="Book Antiqua" w:cs="Book Antiqua"/>
          <w:i/>
          <w:iCs/>
        </w:rPr>
        <w:t>Gastrointest Endosc</w:t>
      </w:r>
      <w:r w:rsidRPr="003E0CD0">
        <w:rPr>
          <w:rFonts w:ascii="Book Antiqua" w:eastAsia="Book Antiqua" w:hAnsi="Book Antiqua" w:cs="Book Antiqua"/>
        </w:rPr>
        <w:t xml:space="preserve"> 2014; </w:t>
      </w:r>
      <w:r w:rsidRPr="003E0CD0">
        <w:rPr>
          <w:rFonts w:ascii="Book Antiqua" w:eastAsia="Book Antiqua" w:hAnsi="Book Antiqua" w:cs="Book Antiqua"/>
          <w:b/>
          <w:bCs/>
        </w:rPr>
        <w:t>80</w:t>
      </w:r>
      <w:r w:rsidRPr="003E0CD0">
        <w:rPr>
          <w:rFonts w:ascii="Book Antiqua" w:eastAsia="Book Antiqua" w:hAnsi="Book Antiqua" w:cs="Book Antiqua"/>
        </w:rPr>
        <w:t>: 1175 [PMID: 24818548 DOI: 10.1016/j.gie.2014.03.029]</w:t>
      </w:r>
    </w:p>
    <w:p w14:paraId="032EFC0F" w14:textId="77777777" w:rsidR="00A77B3E" w:rsidRPr="003E0CD0" w:rsidRDefault="00000000">
      <w:pPr>
        <w:spacing w:line="360" w:lineRule="auto"/>
        <w:jc w:val="both"/>
      </w:pPr>
      <w:r w:rsidRPr="003E0CD0">
        <w:rPr>
          <w:rFonts w:ascii="Book Antiqua" w:eastAsia="Book Antiqua" w:hAnsi="Book Antiqua" w:cs="Book Antiqua"/>
        </w:rPr>
        <w:t xml:space="preserve">106 </w:t>
      </w:r>
      <w:r w:rsidRPr="003E0CD0">
        <w:rPr>
          <w:rFonts w:ascii="Book Antiqua" w:eastAsia="Book Antiqua" w:hAnsi="Book Antiqua" w:cs="Book Antiqua"/>
          <w:b/>
          <w:bCs/>
        </w:rPr>
        <w:t>Cathcart S</w:t>
      </w:r>
      <w:r w:rsidRPr="003E0CD0">
        <w:rPr>
          <w:rFonts w:ascii="Book Antiqua" w:eastAsia="Book Antiqua" w:hAnsi="Book Antiqua" w:cs="Book Antiqua"/>
        </w:rPr>
        <w:t xml:space="preserve">, Birk JW, Tadros M, Schuster M. Hemobilia: An Uncommon But Notable Cause of Upper Gastrointestinal Bleeding. </w:t>
      </w:r>
      <w:r w:rsidRPr="003E0CD0">
        <w:rPr>
          <w:rFonts w:ascii="Book Antiqua" w:eastAsia="Book Antiqua" w:hAnsi="Book Antiqua" w:cs="Book Antiqua"/>
          <w:i/>
          <w:iCs/>
        </w:rPr>
        <w:t>J Clin Gastroenterol</w:t>
      </w:r>
      <w:r w:rsidRPr="003E0CD0">
        <w:rPr>
          <w:rFonts w:ascii="Book Antiqua" w:eastAsia="Book Antiqua" w:hAnsi="Book Antiqua" w:cs="Book Antiqua"/>
        </w:rPr>
        <w:t xml:space="preserve"> 2017; </w:t>
      </w:r>
      <w:r w:rsidRPr="003E0CD0">
        <w:rPr>
          <w:rFonts w:ascii="Book Antiqua" w:eastAsia="Book Antiqua" w:hAnsi="Book Antiqua" w:cs="Book Antiqua"/>
          <w:b/>
          <w:bCs/>
        </w:rPr>
        <w:t>51</w:t>
      </w:r>
      <w:r w:rsidRPr="003E0CD0">
        <w:rPr>
          <w:rFonts w:ascii="Book Antiqua" w:eastAsia="Book Antiqua" w:hAnsi="Book Antiqua" w:cs="Book Antiqua"/>
        </w:rPr>
        <w:t>: 796-804 [PMID: 28644311 DOI: 10.1097/MCG.0000000000000876]</w:t>
      </w:r>
    </w:p>
    <w:p w14:paraId="3C888F7C" w14:textId="77777777" w:rsidR="00A77B3E" w:rsidRPr="003E0CD0" w:rsidRDefault="00000000">
      <w:pPr>
        <w:spacing w:line="360" w:lineRule="auto"/>
        <w:jc w:val="both"/>
      </w:pPr>
      <w:r w:rsidRPr="003E0CD0">
        <w:rPr>
          <w:rFonts w:ascii="Book Antiqua" w:eastAsia="Book Antiqua" w:hAnsi="Book Antiqua" w:cs="Book Antiqua"/>
        </w:rPr>
        <w:t xml:space="preserve">107 </w:t>
      </w:r>
      <w:r w:rsidRPr="003E0CD0">
        <w:rPr>
          <w:rFonts w:ascii="Book Antiqua" w:eastAsia="Book Antiqua" w:hAnsi="Book Antiqua" w:cs="Book Antiqua"/>
          <w:b/>
          <w:bCs/>
        </w:rPr>
        <w:t>Sharma M</w:t>
      </w:r>
      <w:r w:rsidRPr="003E0CD0">
        <w:rPr>
          <w:rFonts w:ascii="Book Antiqua" w:eastAsia="Book Antiqua" w:hAnsi="Book Antiqua" w:cs="Book Antiqua"/>
        </w:rPr>
        <w:t xml:space="preserve">, Somani P, Talele R, Kohli V, Sunkara T. EUS-guided thrombin injection of cystic artery pseudoaneurysm leading to Mirizzi's syndrome and hemobilia. </w:t>
      </w:r>
      <w:r w:rsidRPr="003E0CD0">
        <w:rPr>
          <w:rFonts w:ascii="Book Antiqua" w:eastAsia="Book Antiqua" w:hAnsi="Book Antiqua" w:cs="Book Antiqua"/>
          <w:i/>
          <w:iCs/>
        </w:rPr>
        <w:t>VideoGIE</w:t>
      </w:r>
      <w:r w:rsidRPr="003E0CD0">
        <w:rPr>
          <w:rFonts w:ascii="Book Antiqua" w:eastAsia="Book Antiqua" w:hAnsi="Book Antiqua" w:cs="Book Antiqua"/>
        </w:rPr>
        <w:t xml:space="preserve"> 2019; </w:t>
      </w:r>
      <w:r w:rsidRPr="003E0CD0">
        <w:rPr>
          <w:rFonts w:ascii="Book Antiqua" w:eastAsia="Book Antiqua" w:hAnsi="Book Antiqua" w:cs="Book Antiqua"/>
          <w:b/>
          <w:bCs/>
        </w:rPr>
        <w:t>4</w:t>
      </w:r>
      <w:r w:rsidRPr="003E0CD0">
        <w:rPr>
          <w:rFonts w:ascii="Book Antiqua" w:eastAsia="Book Antiqua" w:hAnsi="Book Antiqua" w:cs="Book Antiqua"/>
        </w:rPr>
        <w:t>: 163-165 [PMID: 31032465 DOI: 10.1016/j.vgie.2018.12.004]</w:t>
      </w:r>
    </w:p>
    <w:p w14:paraId="5DF55F30" w14:textId="77777777" w:rsidR="00A77B3E" w:rsidRPr="003E0CD0" w:rsidRDefault="00A77B3E">
      <w:pPr>
        <w:spacing w:line="360" w:lineRule="auto"/>
        <w:jc w:val="both"/>
        <w:sectPr w:rsidR="00A77B3E" w:rsidRPr="003E0CD0">
          <w:pgSz w:w="12240" w:h="15840"/>
          <w:pgMar w:top="1440" w:right="1440" w:bottom="1440" w:left="1440" w:header="720" w:footer="720" w:gutter="0"/>
          <w:cols w:space="720"/>
          <w:docGrid w:linePitch="360"/>
        </w:sectPr>
      </w:pPr>
    </w:p>
    <w:p w14:paraId="2951AECC" w14:textId="77777777" w:rsidR="00A77B3E" w:rsidRPr="003E0CD0" w:rsidRDefault="00000000">
      <w:pPr>
        <w:spacing w:line="360" w:lineRule="auto"/>
        <w:jc w:val="both"/>
      </w:pPr>
      <w:r w:rsidRPr="003E0CD0">
        <w:rPr>
          <w:rFonts w:ascii="Book Antiqua" w:eastAsia="Book Antiqua" w:hAnsi="Book Antiqua" w:cs="Book Antiqua"/>
          <w:b/>
          <w:color w:val="000000"/>
        </w:rPr>
        <w:lastRenderedPageBreak/>
        <w:t>Footnotes</w:t>
      </w:r>
    </w:p>
    <w:p w14:paraId="0BD172FE" w14:textId="4843F95B" w:rsidR="00A77B3E" w:rsidRPr="003E0CD0" w:rsidRDefault="00000000">
      <w:pPr>
        <w:spacing w:line="360" w:lineRule="auto"/>
        <w:jc w:val="both"/>
      </w:pPr>
      <w:r w:rsidRPr="003E0CD0">
        <w:rPr>
          <w:rFonts w:ascii="Book Antiqua" w:eastAsia="Book Antiqua" w:hAnsi="Book Antiqua" w:cs="Book Antiqua"/>
          <w:b/>
          <w:bCs/>
        </w:rPr>
        <w:t xml:space="preserve">Conflict-of-interest statement: </w:t>
      </w:r>
      <w:r w:rsidRPr="003E0CD0">
        <w:rPr>
          <w:rFonts w:ascii="Book Antiqua" w:eastAsia="Book Antiqua" w:hAnsi="Book Antiqua" w:cs="Book Antiqua"/>
          <w:color w:val="000000"/>
        </w:rPr>
        <w:t>All the authors report no relevant conflicts of interest for this article.</w:t>
      </w:r>
    </w:p>
    <w:p w14:paraId="7D3525F4" w14:textId="77777777" w:rsidR="00A77B3E" w:rsidRPr="003E0CD0" w:rsidRDefault="00A77B3E">
      <w:pPr>
        <w:spacing w:line="360" w:lineRule="auto"/>
        <w:jc w:val="both"/>
      </w:pPr>
    </w:p>
    <w:p w14:paraId="7AFDFDDE" w14:textId="77777777" w:rsidR="00A77B3E" w:rsidRPr="003E0CD0" w:rsidRDefault="00000000">
      <w:pPr>
        <w:spacing w:line="360" w:lineRule="auto"/>
        <w:jc w:val="both"/>
      </w:pPr>
      <w:r w:rsidRPr="003E0CD0">
        <w:rPr>
          <w:rFonts w:ascii="Book Antiqua" w:eastAsia="Book Antiqua" w:hAnsi="Book Antiqua" w:cs="Book Antiqua"/>
          <w:b/>
          <w:bCs/>
        </w:rPr>
        <w:t xml:space="preserve">Open-Access: </w:t>
      </w:r>
      <w:r w:rsidRPr="003E0CD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013424" w14:textId="77777777" w:rsidR="00A77B3E" w:rsidRPr="003E0CD0" w:rsidRDefault="00A77B3E">
      <w:pPr>
        <w:spacing w:line="360" w:lineRule="auto"/>
        <w:jc w:val="both"/>
      </w:pPr>
    </w:p>
    <w:p w14:paraId="323A4B14" w14:textId="77777777" w:rsidR="00A77B3E" w:rsidRPr="003E0CD0" w:rsidRDefault="00000000">
      <w:pPr>
        <w:spacing w:line="360" w:lineRule="auto"/>
        <w:jc w:val="both"/>
      </w:pPr>
      <w:r w:rsidRPr="003E0CD0">
        <w:rPr>
          <w:rFonts w:ascii="Book Antiqua" w:eastAsia="Book Antiqua" w:hAnsi="Book Antiqua" w:cs="Book Antiqua"/>
          <w:b/>
          <w:color w:val="000000"/>
        </w:rPr>
        <w:t xml:space="preserve">Provenance and peer review: </w:t>
      </w:r>
      <w:r w:rsidRPr="003E0CD0">
        <w:rPr>
          <w:rFonts w:ascii="Book Antiqua" w:eastAsia="Book Antiqua" w:hAnsi="Book Antiqua" w:cs="Book Antiqua"/>
        </w:rPr>
        <w:t>Invited article; Externally peer reviewed.</w:t>
      </w:r>
    </w:p>
    <w:p w14:paraId="015F1DCE" w14:textId="77777777" w:rsidR="00A77B3E" w:rsidRPr="003E0CD0" w:rsidRDefault="00000000">
      <w:pPr>
        <w:spacing w:line="360" w:lineRule="auto"/>
        <w:jc w:val="both"/>
      </w:pPr>
      <w:r w:rsidRPr="003E0CD0">
        <w:rPr>
          <w:rFonts w:ascii="Book Antiqua" w:eastAsia="Book Antiqua" w:hAnsi="Book Antiqua" w:cs="Book Antiqua"/>
          <w:b/>
          <w:color w:val="000000"/>
        </w:rPr>
        <w:t xml:space="preserve">Peer-review model: </w:t>
      </w:r>
      <w:r w:rsidRPr="003E0CD0">
        <w:rPr>
          <w:rFonts w:ascii="Book Antiqua" w:eastAsia="Book Antiqua" w:hAnsi="Book Antiqua" w:cs="Book Antiqua"/>
        </w:rPr>
        <w:t>Single blind</w:t>
      </w:r>
    </w:p>
    <w:p w14:paraId="39070BA7" w14:textId="244E4D79" w:rsidR="00A77B3E" w:rsidRPr="003E0CD0" w:rsidRDefault="00000000">
      <w:pPr>
        <w:spacing w:line="360" w:lineRule="auto"/>
        <w:jc w:val="both"/>
      </w:pPr>
      <w:r w:rsidRPr="003E0CD0">
        <w:rPr>
          <w:rFonts w:ascii="Book Antiqua" w:eastAsia="Book Antiqua" w:hAnsi="Book Antiqua" w:cs="Book Antiqua"/>
          <w:b/>
          <w:color w:val="000000"/>
        </w:rPr>
        <w:t>Corresponding Author</w:t>
      </w:r>
      <w:r w:rsidR="00E510FA" w:rsidRPr="003E0CD0">
        <w:rPr>
          <w:rFonts w:ascii="Book Antiqua" w:eastAsia="Book Antiqua" w:hAnsi="Book Antiqua" w:cs="Book Antiqua"/>
          <w:b/>
          <w:color w:val="000000"/>
        </w:rPr>
        <w:t>’</w:t>
      </w:r>
      <w:r w:rsidRPr="003E0CD0">
        <w:rPr>
          <w:rFonts w:ascii="Book Antiqua" w:eastAsia="Book Antiqua" w:hAnsi="Book Antiqua" w:cs="Book Antiqua"/>
          <w:b/>
          <w:color w:val="000000"/>
        </w:rPr>
        <w:t xml:space="preserve">s Membership in Professional Societies: </w:t>
      </w:r>
      <w:r w:rsidRPr="003E0CD0">
        <w:rPr>
          <w:rFonts w:ascii="Book Antiqua" w:eastAsia="Book Antiqua" w:hAnsi="Book Antiqua" w:cs="Book Antiqua"/>
        </w:rPr>
        <w:t>Associazione Italiana Gastroenterologi ed endoscopisti digestivi Ospedalieri (AIGO); Società Italiana Endoscopia Digestiva (SIED).</w:t>
      </w:r>
    </w:p>
    <w:p w14:paraId="5E56D8C3" w14:textId="77777777" w:rsidR="00A77B3E" w:rsidRPr="003E0CD0" w:rsidRDefault="00A77B3E">
      <w:pPr>
        <w:spacing w:line="360" w:lineRule="auto"/>
        <w:jc w:val="both"/>
      </w:pPr>
    </w:p>
    <w:p w14:paraId="44C6A700" w14:textId="77777777" w:rsidR="00A77B3E" w:rsidRPr="003E0CD0" w:rsidRDefault="00000000">
      <w:pPr>
        <w:spacing w:line="360" w:lineRule="auto"/>
        <w:jc w:val="both"/>
      </w:pPr>
      <w:r w:rsidRPr="003E0CD0">
        <w:rPr>
          <w:rFonts w:ascii="Book Antiqua" w:eastAsia="Book Antiqua" w:hAnsi="Book Antiqua" w:cs="Book Antiqua"/>
          <w:b/>
          <w:color w:val="000000"/>
        </w:rPr>
        <w:t xml:space="preserve">Peer-review started: </w:t>
      </w:r>
      <w:r w:rsidRPr="003E0CD0">
        <w:rPr>
          <w:rFonts w:ascii="Book Antiqua" w:eastAsia="Book Antiqua" w:hAnsi="Book Antiqua" w:cs="Book Antiqua"/>
        </w:rPr>
        <w:t>February 4, 2023</w:t>
      </w:r>
    </w:p>
    <w:p w14:paraId="14019600" w14:textId="77777777" w:rsidR="00A77B3E" w:rsidRPr="003E0CD0" w:rsidRDefault="00000000">
      <w:pPr>
        <w:spacing w:line="360" w:lineRule="auto"/>
        <w:jc w:val="both"/>
      </w:pPr>
      <w:r w:rsidRPr="003E0CD0">
        <w:rPr>
          <w:rFonts w:ascii="Book Antiqua" w:eastAsia="Book Antiqua" w:hAnsi="Book Antiqua" w:cs="Book Antiqua"/>
          <w:b/>
          <w:color w:val="000000"/>
        </w:rPr>
        <w:t xml:space="preserve">First decision: </w:t>
      </w:r>
      <w:r w:rsidRPr="003E0CD0">
        <w:rPr>
          <w:rFonts w:ascii="Book Antiqua" w:eastAsia="Book Antiqua" w:hAnsi="Book Antiqua" w:cs="Book Antiqua"/>
        </w:rPr>
        <w:t>April 3, 2023</w:t>
      </w:r>
    </w:p>
    <w:p w14:paraId="1BE4402A" w14:textId="131AB206" w:rsidR="00A77B3E" w:rsidRPr="003E0CD0" w:rsidRDefault="00000000">
      <w:pPr>
        <w:spacing w:line="360" w:lineRule="auto"/>
        <w:jc w:val="both"/>
      </w:pPr>
      <w:r w:rsidRPr="003E0CD0">
        <w:rPr>
          <w:rFonts w:ascii="Book Antiqua" w:eastAsia="Book Antiqua" w:hAnsi="Book Antiqua" w:cs="Book Antiqua"/>
          <w:b/>
          <w:color w:val="000000"/>
        </w:rPr>
        <w:t xml:space="preserve">Article in press: </w:t>
      </w:r>
      <w:r w:rsidR="003E0CD0" w:rsidRPr="003E0CD0">
        <w:rPr>
          <w:rFonts w:ascii="Times-Roman" w:hAnsi="Times-Roman" w:cs="Times-Roman"/>
        </w:rPr>
        <w:t>May 8, 2023</w:t>
      </w:r>
    </w:p>
    <w:p w14:paraId="1E7E4DA6" w14:textId="77777777" w:rsidR="00A77B3E" w:rsidRPr="003E0CD0" w:rsidRDefault="00A77B3E">
      <w:pPr>
        <w:spacing w:line="360" w:lineRule="auto"/>
        <w:jc w:val="both"/>
      </w:pPr>
    </w:p>
    <w:p w14:paraId="6E758A3B" w14:textId="4E61918E" w:rsidR="00A77B3E" w:rsidRPr="003E0CD0" w:rsidRDefault="00000000">
      <w:pPr>
        <w:spacing w:line="360" w:lineRule="auto"/>
        <w:jc w:val="both"/>
      </w:pPr>
      <w:r w:rsidRPr="003E0CD0">
        <w:rPr>
          <w:rFonts w:ascii="Book Antiqua" w:eastAsia="Book Antiqua" w:hAnsi="Book Antiqua" w:cs="Book Antiqua"/>
          <w:b/>
          <w:color w:val="000000"/>
        </w:rPr>
        <w:t xml:space="preserve">Specialty type: </w:t>
      </w:r>
      <w:r w:rsidRPr="003E0CD0">
        <w:rPr>
          <w:rFonts w:ascii="Book Antiqua" w:eastAsia="Book Antiqua" w:hAnsi="Book Antiqua" w:cs="Book Antiqua"/>
        </w:rPr>
        <w:t xml:space="preserve">Gastroenterology and </w:t>
      </w:r>
      <w:r w:rsidR="00E510FA" w:rsidRPr="003E0CD0">
        <w:rPr>
          <w:rFonts w:ascii="Book Antiqua" w:eastAsia="Book Antiqua" w:hAnsi="Book Antiqua" w:cs="Book Antiqua"/>
        </w:rPr>
        <w:t>h</w:t>
      </w:r>
      <w:r w:rsidRPr="003E0CD0">
        <w:rPr>
          <w:rFonts w:ascii="Book Antiqua" w:eastAsia="Book Antiqua" w:hAnsi="Book Antiqua" w:cs="Book Antiqua"/>
        </w:rPr>
        <w:t>epatology</w:t>
      </w:r>
    </w:p>
    <w:p w14:paraId="2E44EABA" w14:textId="77777777" w:rsidR="00A77B3E" w:rsidRPr="003E0CD0" w:rsidRDefault="00000000">
      <w:pPr>
        <w:spacing w:line="360" w:lineRule="auto"/>
        <w:jc w:val="both"/>
      </w:pPr>
      <w:r w:rsidRPr="003E0CD0">
        <w:rPr>
          <w:rFonts w:ascii="Book Antiqua" w:eastAsia="Book Antiqua" w:hAnsi="Book Antiqua" w:cs="Book Antiqua"/>
          <w:b/>
          <w:color w:val="000000"/>
        </w:rPr>
        <w:t xml:space="preserve">Country/Territory of origin: </w:t>
      </w:r>
      <w:r w:rsidRPr="003E0CD0">
        <w:rPr>
          <w:rFonts w:ascii="Book Antiqua" w:eastAsia="Book Antiqua" w:hAnsi="Book Antiqua" w:cs="Book Antiqua"/>
        </w:rPr>
        <w:t>Italy</w:t>
      </w:r>
    </w:p>
    <w:p w14:paraId="24EDADA0" w14:textId="77777777" w:rsidR="00A77B3E" w:rsidRPr="003E0CD0" w:rsidRDefault="00000000">
      <w:pPr>
        <w:spacing w:line="360" w:lineRule="auto"/>
        <w:jc w:val="both"/>
      </w:pPr>
      <w:r w:rsidRPr="003E0CD0">
        <w:rPr>
          <w:rFonts w:ascii="Book Antiqua" w:eastAsia="Book Antiqua" w:hAnsi="Book Antiqua" w:cs="Book Antiqua"/>
          <w:b/>
          <w:color w:val="000000"/>
        </w:rPr>
        <w:t>Peer-review report’s scientific quality classification</w:t>
      </w:r>
    </w:p>
    <w:p w14:paraId="4D2A949D" w14:textId="77777777" w:rsidR="00A77B3E" w:rsidRPr="003E0CD0" w:rsidRDefault="00000000">
      <w:pPr>
        <w:spacing w:line="360" w:lineRule="auto"/>
        <w:jc w:val="both"/>
      </w:pPr>
      <w:r w:rsidRPr="003E0CD0">
        <w:rPr>
          <w:rFonts w:ascii="Book Antiqua" w:eastAsia="Book Antiqua" w:hAnsi="Book Antiqua" w:cs="Book Antiqua"/>
        </w:rPr>
        <w:t>Grade A (Excellent): 0</w:t>
      </w:r>
    </w:p>
    <w:p w14:paraId="75941B6E" w14:textId="77777777" w:rsidR="00A77B3E" w:rsidRPr="003E0CD0" w:rsidRDefault="00000000">
      <w:pPr>
        <w:spacing w:line="360" w:lineRule="auto"/>
        <w:jc w:val="both"/>
      </w:pPr>
      <w:r w:rsidRPr="003E0CD0">
        <w:rPr>
          <w:rFonts w:ascii="Book Antiqua" w:eastAsia="Book Antiqua" w:hAnsi="Book Antiqua" w:cs="Book Antiqua"/>
        </w:rPr>
        <w:t>Grade B (Very good): B, B</w:t>
      </w:r>
    </w:p>
    <w:p w14:paraId="4DED4757" w14:textId="77777777" w:rsidR="00A77B3E" w:rsidRPr="003E0CD0" w:rsidRDefault="00000000">
      <w:pPr>
        <w:spacing w:line="360" w:lineRule="auto"/>
        <w:jc w:val="both"/>
      </w:pPr>
      <w:r w:rsidRPr="003E0CD0">
        <w:rPr>
          <w:rFonts w:ascii="Book Antiqua" w:eastAsia="Book Antiqua" w:hAnsi="Book Antiqua" w:cs="Book Antiqua"/>
        </w:rPr>
        <w:t>Grade C (Good): 0</w:t>
      </w:r>
    </w:p>
    <w:p w14:paraId="22D6C287" w14:textId="77777777" w:rsidR="00A77B3E" w:rsidRPr="003E0CD0" w:rsidRDefault="00000000">
      <w:pPr>
        <w:spacing w:line="360" w:lineRule="auto"/>
        <w:jc w:val="both"/>
      </w:pPr>
      <w:r w:rsidRPr="003E0CD0">
        <w:rPr>
          <w:rFonts w:ascii="Book Antiqua" w:eastAsia="Book Antiqua" w:hAnsi="Book Antiqua" w:cs="Book Antiqua"/>
        </w:rPr>
        <w:t>Grade D (Fair): 0</w:t>
      </w:r>
    </w:p>
    <w:p w14:paraId="23F17A6E" w14:textId="77777777" w:rsidR="00A77B3E" w:rsidRPr="003E0CD0" w:rsidRDefault="00000000">
      <w:pPr>
        <w:spacing w:line="360" w:lineRule="auto"/>
        <w:jc w:val="both"/>
      </w:pPr>
      <w:r w:rsidRPr="003E0CD0">
        <w:rPr>
          <w:rFonts w:ascii="Book Antiqua" w:eastAsia="Book Antiqua" w:hAnsi="Book Antiqua" w:cs="Book Antiqua"/>
        </w:rPr>
        <w:t>Grade E (Poor): 0</w:t>
      </w:r>
    </w:p>
    <w:p w14:paraId="01F28915" w14:textId="77777777" w:rsidR="00A77B3E" w:rsidRPr="003E0CD0" w:rsidRDefault="00A77B3E">
      <w:pPr>
        <w:spacing w:line="360" w:lineRule="auto"/>
        <w:jc w:val="both"/>
      </w:pPr>
    </w:p>
    <w:p w14:paraId="2FDF7AA1" w14:textId="3BFA79AD" w:rsidR="00E510FA" w:rsidRPr="003E0CD0" w:rsidRDefault="00000000">
      <w:pPr>
        <w:spacing w:line="360" w:lineRule="auto"/>
        <w:jc w:val="both"/>
        <w:rPr>
          <w:rFonts w:ascii="Book Antiqua" w:eastAsia="Book Antiqua" w:hAnsi="Book Antiqua" w:cs="Book Antiqua"/>
          <w:b/>
          <w:color w:val="000000"/>
        </w:rPr>
      </w:pPr>
      <w:r w:rsidRPr="003E0CD0">
        <w:rPr>
          <w:rFonts w:ascii="Book Antiqua" w:eastAsia="Book Antiqua" w:hAnsi="Book Antiqua" w:cs="Book Antiqua"/>
          <w:b/>
          <w:color w:val="000000"/>
        </w:rPr>
        <w:t xml:space="preserve">P-Reviewer: </w:t>
      </w:r>
      <w:r w:rsidRPr="003E0CD0">
        <w:rPr>
          <w:rFonts w:ascii="Book Antiqua" w:eastAsia="Book Antiqua" w:hAnsi="Book Antiqua" w:cs="Book Antiqua"/>
        </w:rPr>
        <w:t>Mori H, Belgium; Zhang JW, United Kingdom</w:t>
      </w:r>
      <w:r w:rsidRPr="003E0CD0">
        <w:rPr>
          <w:rFonts w:ascii="Book Antiqua" w:eastAsia="Book Antiqua" w:hAnsi="Book Antiqua" w:cs="Book Antiqua"/>
          <w:b/>
          <w:color w:val="000000"/>
        </w:rPr>
        <w:t xml:space="preserve"> S-Editor: </w:t>
      </w:r>
      <w:r w:rsidR="00E510FA" w:rsidRPr="003E0CD0">
        <w:rPr>
          <w:rFonts w:ascii="Book Antiqua" w:eastAsia="Book Antiqua" w:hAnsi="Book Antiqua" w:cs="Book Antiqua"/>
          <w:bCs/>
          <w:color w:val="000000"/>
        </w:rPr>
        <w:t>Wang JJ</w:t>
      </w:r>
      <w:r w:rsidRPr="003E0CD0">
        <w:rPr>
          <w:rFonts w:ascii="Book Antiqua" w:eastAsia="Book Antiqua" w:hAnsi="Book Antiqua" w:cs="Book Antiqua"/>
          <w:b/>
          <w:color w:val="000000"/>
        </w:rPr>
        <w:t xml:space="preserve"> L-Editor: </w:t>
      </w:r>
      <w:r w:rsidR="00E510FA" w:rsidRPr="003E0CD0">
        <w:rPr>
          <w:rFonts w:ascii="Book Antiqua" w:eastAsia="Book Antiqua" w:hAnsi="Book Antiqua" w:cs="Book Antiqua"/>
          <w:bCs/>
          <w:color w:val="000000"/>
        </w:rPr>
        <w:t>A</w:t>
      </w:r>
      <w:r w:rsidRPr="003E0CD0">
        <w:rPr>
          <w:rFonts w:ascii="Book Antiqua" w:eastAsia="Book Antiqua" w:hAnsi="Book Antiqua" w:cs="Book Antiqua"/>
          <w:b/>
          <w:color w:val="000000"/>
        </w:rPr>
        <w:t xml:space="preserve"> P-Editor:</w:t>
      </w:r>
      <w:r w:rsidR="003E0CD0" w:rsidRPr="003E0CD0">
        <w:rPr>
          <w:rFonts w:ascii="Book Antiqua" w:eastAsia="Book Antiqua" w:hAnsi="Book Antiqua" w:cs="Book Antiqua"/>
          <w:b/>
          <w:color w:val="000000"/>
        </w:rPr>
        <w:t xml:space="preserve"> </w:t>
      </w:r>
      <w:r w:rsidR="003E0CD0" w:rsidRPr="003E0CD0">
        <w:rPr>
          <w:rFonts w:ascii="Book Antiqua" w:eastAsia="Book Antiqua" w:hAnsi="Book Antiqua" w:cs="Book Antiqua" w:hint="eastAsia"/>
          <w:bCs/>
          <w:color w:val="000000"/>
          <w:lang w:eastAsia="zh-CN"/>
        </w:rPr>
        <w:t>Z</w:t>
      </w:r>
      <w:r w:rsidR="003E0CD0" w:rsidRPr="003E0CD0">
        <w:rPr>
          <w:rFonts w:ascii="Book Antiqua" w:eastAsia="Book Antiqua" w:hAnsi="Book Antiqua" w:cs="Book Antiqua"/>
          <w:bCs/>
          <w:color w:val="000000"/>
          <w:lang w:eastAsia="zh-CN"/>
        </w:rPr>
        <w:t>hang XD</w:t>
      </w:r>
    </w:p>
    <w:p w14:paraId="5081AA2B" w14:textId="7759174A" w:rsidR="00A77B3E" w:rsidRPr="003E0CD0" w:rsidRDefault="00000000">
      <w:pPr>
        <w:spacing w:line="360" w:lineRule="auto"/>
        <w:jc w:val="both"/>
        <w:sectPr w:rsidR="00A77B3E" w:rsidRPr="003E0CD0">
          <w:pgSz w:w="12240" w:h="15840"/>
          <w:pgMar w:top="1440" w:right="1440" w:bottom="1440" w:left="1440" w:header="720" w:footer="720" w:gutter="0"/>
          <w:cols w:space="720"/>
          <w:docGrid w:linePitch="360"/>
        </w:sectPr>
      </w:pPr>
      <w:r w:rsidRPr="003E0CD0">
        <w:rPr>
          <w:rFonts w:ascii="Book Antiqua" w:eastAsia="Book Antiqua" w:hAnsi="Book Antiqua" w:cs="Book Antiqua"/>
          <w:b/>
          <w:color w:val="000000"/>
        </w:rPr>
        <w:t xml:space="preserve"> </w:t>
      </w:r>
    </w:p>
    <w:p w14:paraId="196A0EAA" w14:textId="77777777" w:rsidR="00A77B3E" w:rsidRPr="003E0CD0" w:rsidRDefault="00000000">
      <w:pPr>
        <w:spacing w:line="360" w:lineRule="auto"/>
        <w:jc w:val="both"/>
        <w:rPr>
          <w:rFonts w:ascii="Book Antiqua" w:eastAsia="Book Antiqua" w:hAnsi="Book Antiqua" w:cs="Book Antiqua"/>
          <w:b/>
          <w:color w:val="000000"/>
        </w:rPr>
      </w:pPr>
      <w:r w:rsidRPr="003E0CD0">
        <w:rPr>
          <w:rFonts w:ascii="Book Antiqua" w:eastAsia="Book Antiqua" w:hAnsi="Book Antiqua" w:cs="Book Antiqua"/>
          <w:b/>
          <w:color w:val="000000"/>
        </w:rPr>
        <w:lastRenderedPageBreak/>
        <w:t>Figure Legends</w:t>
      </w:r>
    </w:p>
    <w:p w14:paraId="715384ED" w14:textId="0CCA1611" w:rsidR="00E510FA" w:rsidRPr="003E0CD0" w:rsidRDefault="00994D0D">
      <w:pPr>
        <w:spacing w:line="360" w:lineRule="auto"/>
        <w:jc w:val="both"/>
      </w:pPr>
      <w:r>
        <w:rPr>
          <w:noProof/>
        </w:rPr>
        <w:drawing>
          <wp:inline distT="0" distB="0" distL="0" distR="0" wp14:anchorId="0131F6DE" wp14:editId="6BE37EC8">
            <wp:extent cx="5943600" cy="3187065"/>
            <wp:effectExtent l="0" t="0" r="0" b="0"/>
            <wp:docPr id="37024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87065"/>
                    </a:xfrm>
                    <a:prstGeom prst="rect">
                      <a:avLst/>
                    </a:prstGeom>
                    <a:noFill/>
                    <a:ln>
                      <a:noFill/>
                    </a:ln>
                  </pic:spPr>
                </pic:pic>
              </a:graphicData>
            </a:graphic>
          </wp:inline>
        </w:drawing>
      </w:r>
    </w:p>
    <w:p w14:paraId="14C14E7A" w14:textId="4B1483CF" w:rsidR="00A77B3E" w:rsidRPr="003E0CD0"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Figure 1 Non-variceal upper gastrointestinal bleeding due to primary aorto-gastric fistula.</w:t>
      </w:r>
      <w:r w:rsidRPr="003E0CD0">
        <w:rPr>
          <w:rFonts w:ascii="Book Antiqua" w:eastAsia="Book Antiqua" w:hAnsi="Book Antiqua" w:cs="Book Antiqua"/>
          <w:color w:val="000000"/>
        </w:rPr>
        <w:t xml:space="preserve"> A</w:t>
      </w:r>
      <w:r w:rsidR="00E510FA"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B: Retroflexed endoscopic view showing gastric bulging mass partially covered by blood clots, originating from the fundus and extending to the posterior wall of the proximal body</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 Three-dimensional computed tomography angiography showing ruptured thoracoabdominal aortic aneurysm (black asterisk), retained by a periaortic hematoma (white asterisk)</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D: Endovascular stent graft aortic repair. CA</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E510FA" w:rsidRPr="003E0CD0">
        <w:rPr>
          <w:rFonts w:ascii="Book Antiqua" w:eastAsia="Book Antiqua" w:hAnsi="Book Antiqua" w:cs="Book Antiqua"/>
          <w:color w:val="000000"/>
        </w:rPr>
        <w:t>C</w:t>
      </w:r>
      <w:r w:rsidRPr="003E0CD0">
        <w:rPr>
          <w:rFonts w:ascii="Book Antiqua" w:eastAsia="Book Antiqua" w:hAnsi="Book Antiqua" w:cs="Book Antiqua"/>
          <w:color w:val="000000"/>
        </w:rPr>
        <w:t>eliac artery; RRA</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E510FA" w:rsidRPr="003E0CD0">
        <w:rPr>
          <w:rFonts w:ascii="Book Antiqua" w:eastAsia="Book Antiqua" w:hAnsi="Book Antiqua" w:cs="Book Antiqua"/>
          <w:color w:val="000000"/>
        </w:rPr>
        <w:t>R</w:t>
      </w:r>
      <w:r w:rsidRPr="003E0CD0">
        <w:rPr>
          <w:rFonts w:ascii="Book Antiqua" w:eastAsia="Book Antiqua" w:hAnsi="Book Antiqua" w:cs="Book Antiqua"/>
          <w:color w:val="000000"/>
        </w:rPr>
        <w:t>ight renal artery; SA</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E510FA" w:rsidRPr="003E0CD0">
        <w:rPr>
          <w:rFonts w:ascii="Book Antiqua" w:eastAsia="Book Antiqua" w:hAnsi="Book Antiqua" w:cs="Book Antiqua"/>
          <w:color w:val="000000"/>
        </w:rPr>
        <w:t>S</w:t>
      </w:r>
      <w:r w:rsidRPr="003E0CD0">
        <w:rPr>
          <w:rFonts w:ascii="Book Antiqua" w:eastAsia="Book Antiqua" w:hAnsi="Book Antiqua" w:cs="Book Antiqua"/>
          <w:color w:val="000000"/>
        </w:rPr>
        <w:t>plenic artery; LRA</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E510FA" w:rsidRPr="003E0CD0">
        <w:rPr>
          <w:rFonts w:ascii="Book Antiqua" w:eastAsia="Book Antiqua" w:hAnsi="Book Antiqua" w:cs="Book Antiqua"/>
          <w:color w:val="000000"/>
        </w:rPr>
        <w:t>L</w:t>
      </w:r>
      <w:r w:rsidRPr="003E0CD0">
        <w:rPr>
          <w:rFonts w:ascii="Book Antiqua" w:eastAsia="Book Antiqua" w:hAnsi="Book Antiqua" w:cs="Book Antiqua"/>
          <w:color w:val="000000"/>
        </w:rPr>
        <w:t>eft renal artery; SMA</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E510FA" w:rsidRPr="003E0CD0">
        <w:rPr>
          <w:rFonts w:ascii="Book Antiqua" w:eastAsia="Book Antiqua" w:hAnsi="Book Antiqua" w:cs="Book Antiqua"/>
          <w:color w:val="000000"/>
        </w:rPr>
        <w:t>S</w:t>
      </w:r>
      <w:r w:rsidRPr="003E0CD0">
        <w:rPr>
          <w:rFonts w:ascii="Book Antiqua" w:eastAsia="Book Antiqua" w:hAnsi="Book Antiqua" w:cs="Book Antiqua"/>
          <w:color w:val="000000"/>
        </w:rPr>
        <w:t>uperior mesenteric artery.</w:t>
      </w:r>
    </w:p>
    <w:p w14:paraId="732FE37D" w14:textId="77777777" w:rsidR="00E510FA" w:rsidRPr="003E0CD0" w:rsidRDefault="00E510FA">
      <w:pPr>
        <w:spacing w:line="360" w:lineRule="auto"/>
        <w:jc w:val="both"/>
        <w:sectPr w:rsidR="00E510FA" w:rsidRPr="003E0CD0">
          <w:pgSz w:w="12240" w:h="15840"/>
          <w:pgMar w:top="1440" w:right="1440" w:bottom="1440" w:left="1440" w:header="720" w:footer="720" w:gutter="0"/>
          <w:cols w:space="720"/>
          <w:docGrid w:linePitch="360"/>
        </w:sectPr>
      </w:pPr>
    </w:p>
    <w:p w14:paraId="50ADFD88" w14:textId="4C773C64" w:rsidR="00E510FA" w:rsidRPr="003E0CD0" w:rsidRDefault="006E181F">
      <w:pPr>
        <w:spacing w:line="360" w:lineRule="auto"/>
        <w:jc w:val="both"/>
      </w:pPr>
      <w:r>
        <w:rPr>
          <w:noProof/>
        </w:rPr>
        <w:lastRenderedPageBreak/>
        <w:drawing>
          <wp:inline distT="0" distB="0" distL="0" distR="0" wp14:anchorId="28D45671" wp14:editId="42653934">
            <wp:extent cx="5943600" cy="3992245"/>
            <wp:effectExtent l="0" t="0" r="0" b="8255"/>
            <wp:docPr id="280024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92245"/>
                    </a:xfrm>
                    <a:prstGeom prst="rect">
                      <a:avLst/>
                    </a:prstGeom>
                    <a:noFill/>
                    <a:ln>
                      <a:noFill/>
                    </a:ln>
                  </pic:spPr>
                </pic:pic>
              </a:graphicData>
            </a:graphic>
          </wp:inline>
        </w:drawing>
      </w:r>
    </w:p>
    <w:p w14:paraId="56EC5312" w14:textId="7937E740" w:rsidR="00A77B3E" w:rsidRPr="003E0CD0"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Figure 2 Non-variceal upper gastrointestinal bleeding due rupture of a superior mesenteric artery pseudoaneurysm into the duodenum.</w:t>
      </w:r>
      <w:r w:rsidRPr="003E0CD0">
        <w:rPr>
          <w:rFonts w:ascii="Book Antiqua" w:eastAsia="Book Antiqua" w:hAnsi="Book Antiqua" w:cs="Book Antiqua"/>
          <w:color w:val="000000"/>
        </w:rPr>
        <w:t xml:space="preserve"> A</w:t>
      </w:r>
      <w:r w:rsidR="00E510FA"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B: Upper endoscopy showing a bulging, focally ulcerated, lesion in the second-third part of the duodenum, with a suspected small fistulous orifice on its surface (arrow)</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w:t>
      </w:r>
      <w:r w:rsidR="00E510FA"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D: Contrast-enhanced </w:t>
      </w:r>
      <w:r w:rsidR="00E510FA" w:rsidRPr="003E0CD0">
        <w:rPr>
          <w:rFonts w:ascii="Book Antiqua" w:eastAsia="Book Antiqua" w:hAnsi="Book Antiqua" w:cs="Book Antiqua"/>
          <w:color w:val="000000"/>
        </w:rPr>
        <w:t>computed tomography</w:t>
      </w:r>
      <w:r w:rsidRPr="003E0CD0">
        <w:rPr>
          <w:rFonts w:ascii="Book Antiqua" w:eastAsia="Book Antiqua" w:hAnsi="Book Antiqua" w:cs="Book Antiqua"/>
          <w:color w:val="000000"/>
        </w:rPr>
        <w:t xml:space="preserve"> axial scan in the arterial phase (C) and its maximum intensity projection oblique-coronal reconstruction (D) showing a large lesion (dotted area</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D) arising from the second-third part of the duodenum, with peripheral vascularity and a pseudoaneurysm (long arrow</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D) arising from branches of the superior mesenteric artery (short arrow</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w:t>
      </w:r>
      <w:r w:rsidR="004D0BD1" w:rsidRPr="003E0CD0">
        <w:rPr>
          <w:rFonts w:ascii="Book Antiqua" w:eastAsia="Book Antiqua" w:hAnsi="Book Antiqua" w:cs="Book Antiqua"/>
          <w:color w:val="000000"/>
        </w:rPr>
        <w:t>B</w:t>
      </w:r>
      <w:r w:rsidRPr="003E0CD0">
        <w:rPr>
          <w:rFonts w:ascii="Book Antiqua" w:eastAsia="Book Antiqua" w:hAnsi="Book Antiqua" w:cs="Book Antiqua"/>
          <w:color w:val="000000"/>
        </w:rPr>
        <w:t>)</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E: Superselective superior mesenteric artery angiography showing a pseudoaneurysm (red dotted circle) fed by the inferior pancreaticoduodenal artery</w:t>
      </w:r>
      <w:r w:rsidR="00E510FA"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F: Successful endovascular embolization by the use of cohesive glue (Onyx-18</w:t>
      </w:r>
      <w:r w:rsidRPr="003E0CD0">
        <w:rPr>
          <w:rFonts w:ascii="Book Antiqua" w:eastAsia="Book Antiqua" w:hAnsi="Book Antiqua" w:cs="Book Antiqua"/>
          <w:color w:val="000000"/>
          <w:vertAlign w:val="superscript"/>
        </w:rPr>
        <w:t>®</w:t>
      </w:r>
      <w:r w:rsidRPr="003E0CD0">
        <w:rPr>
          <w:rFonts w:ascii="Book Antiqua" w:eastAsia="Book Antiqua" w:hAnsi="Book Antiqua" w:cs="Book Antiqua"/>
          <w:color w:val="000000"/>
        </w:rPr>
        <w:t>, Medtronic, Dublin, Ireland) with disappearance of the pseudoaneurysm and visibility of the Onyx-18</w:t>
      </w:r>
      <w:r w:rsidRPr="003E0CD0">
        <w:rPr>
          <w:rFonts w:ascii="Book Antiqua" w:eastAsia="Book Antiqua" w:hAnsi="Book Antiqua" w:cs="Book Antiqua"/>
          <w:color w:val="000000"/>
          <w:vertAlign w:val="superscript"/>
        </w:rPr>
        <w:t>®</w:t>
      </w:r>
      <w:r w:rsidRPr="003E0CD0">
        <w:rPr>
          <w:rFonts w:ascii="Book Antiqua" w:eastAsia="Book Antiqua" w:hAnsi="Book Antiqua" w:cs="Book Antiqua"/>
          <w:color w:val="000000"/>
        </w:rPr>
        <w:t xml:space="preserve"> cast (red dotted circle).</w:t>
      </w:r>
    </w:p>
    <w:p w14:paraId="6507CD45" w14:textId="77777777" w:rsidR="004D0BD1" w:rsidRPr="003E0CD0" w:rsidRDefault="004D0BD1">
      <w:pPr>
        <w:spacing w:line="360" w:lineRule="auto"/>
        <w:jc w:val="both"/>
        <w:sectPr w:rsidR="004D0BD1" w:rsidRPr="003E0CD0">
          <w:pgSz w:w="12240" w:h="15840"/>
          <w:pgMar w:top="1440" w:right="1440" w:bottom="1440" w:left="1440" w:header="720" w:footer="720" w:gutter="0"/>
          <w:cols w:space="720"/>
          <w:docGrid w:linePitch="360"/>
        </w:sectPr>
      </w:pPr>
    </w:p>
    <w:p w14:paraId="0A792832" w14:textId="579B0F40" w:rsidR="004D0BD1" w:rsidRPr="003E0CD0" w:rsidRDefault="00994D0D">
      <w:pPr>
        <w:spacing w:line="360" w:lineRule="auto"/>
        <w:jc w:val="both"/>
      </w:pPr>
      <w:r>
        <w:rPr>
          <w:noProof/>
        </w:rPr>
        <w:lastRenderedPageBreak/>
        <w:drawing>
          <wp:inline distT="0" distB="0" distL="0" distR="0" wp14:anchorId="50AD37EE" wp14:editId="4ED16CFA">
            <wp:extent cx="5943600" cy="4989830"/>
            <wp:effectExtent l="0" t="0" r="0" b="1270"/>
            <wp:docPr id="11780412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989830"/>
                    </a:xfrm>
                    <a:prstGeom prst="rect">
                      <a:avLst/>
                    </a:prstGeom>
                    <a:noFill/>
                    <a:ln>
                      <a:noFill/>
                    </a:ln>
                  </pic:spPr>
                </pic:pic>
              </a:graphicData>
            </a:graphic>
          </wp:inline>
        </w:drawing>
      </w:r>
    </w:p>
    <w:p w14:paraId="433BAE95" w14:textId="1A6056B5" w:rsidR="00A77B3E" w:rsidRPr="003E0CD0" w:rsidRDefault="00000000">
      <w:pPr>
        <w:spacing w:line="360" w:lineRule="auto"/>
        <w:jc w:val="both"/>
      </w:pPr>
      <w:r w:rsidRPr="003E0CD0">
        <w:rPr>
          <w:rFonts w:ascii="Book Antiqua" w:eastAsia="Book Antiqua" w:hAnsi="Book Antiqua" w:cs="Book Antiqua"/>
          <w:b/>
          <w:bCs/>
          <w:color w:val="000000"/>
        </w:rPr>
        <w:t>Figure 3 Non-variceal upper gastrointestinal bleeding due to gastric submucosal arterial collaterals secondary to splenic artery thrombosis.</w:t>
      </w:r>
      <w:r w:rsidRPr="003E0CD0">
        <w:rPr>
          <w:rFonts w:ascii="Book Antiqua" w:eastAsia="Book Antiqua" w:hAnsi="Book Antiqua" w:cs="Book Antiqua"/>
          <w:color w:val="000000"/>
        </w:rPr>
        <w:t xml:space="preserve"> A: Retroflexed endoscopic view of the gastric fundus showing varicose-shaped submucosal vessels with a small erosion (circle), in the absence of active bleeding</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B</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C: Pre-operative axial computed tomography arterial phase showing an arterial cluster at the gastric fundus (B</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arrow) arising from splenic artery collateral vessels due to splenic artery complete thrombosis (C</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arrow)</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D-F: Successful endoscopic mechanical hemostasis attempt, with intraprocedural spurting active bleeding following first endoclip application</w:t>
      </w:r>
      <w:r w:rsidR="004D0BD1"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(D</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E)</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G: Operative angiography with selective arterial embolization using microspheres</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H: Post-operative axial computed tomography arterial phase showing gastric vascular lesion exclusion (red arrow) and splenic infarction (yellow arrow).</w:t>
      </w:r>
    </w:p>
    <w:p w14:paraId="5222F4E3" w14:textId="1D30E4B4" w:rsidR="004D0BD1" w:rsidRPr="003E0CD0" w:rsidRDefault="00994D0D">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90C4C4C" wp14:editId="7B76BE40">
            <wp:extent cx="5943600" cy="1479550"/>
            <wp:effectExtent l="0" t="0" r="0" b="6350"/>
            <wp:docPr id="1892788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79550"/>
                    </a:xfrm>
                    <a:prstGeom prst="rect">
                      <a:avLst/>
                    </a:prstGeom>
                    <a:noFill/>
                    <a:ln>
                      <a:noFill/>
                    </a:ln>
                  </pic:spPr>
                </pic:pic>
              </a:graphicData>
            </a:graphic>
          </wp:inline>
        </w:drawing>
      </w:r>
    </w:p>
    <w:p w14:paraId="63A56A2F" w14:textId="5C34014E" w:rsidR="00A77B3E" w:rsidRPr="003E0CD0"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Figure 4 Non-variceal upper gastrointestinal bleeding due to Dieulafoy’s lesion.</w:t>
      </w:r>
      <w:r w:rsidRPr="003E0CD0">
        <w:rPr>
          <w:rFonts w:ascii="Book Antiqua" w:eastAsia="Book Antiqua" w:hAnsi="Book Antiqua" w:cs="Book Antiqua"/>
          <w:color w:val="000000"/>
        </w:rPr>
        <w:t xml:space="preserve"> A: Retroflexed endoscopic view of the gastric fundus showing a minute mucosal defect, surrounded by normal-appearing mucosa, without active bleeding</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B: Active bleeding following provocative water-jet endoscopic irrigation</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 Successful endoscopic mechanical hemostasis.</w:t>
      </w:r>
    </w:p>
    <w:p w14:paraId="016A05C4" w14:textId="77777777" w:rsidR="004D0BD1" w:rsidRPr="003E0CD0" w:rsidRDefault="004D0BD1">
      <w:pPr>
        <w:spacing w:line="360" w:lineRule="auto"/>
        <w:jc w:val="both"/>
        <w:sectPr w:rsidR="004D0BD1" w:rsidRPr="003E0CD0">
          <w:pgSz w:w="12240" w:h="15840"/>
          <w:pgMar w:top="1440" w:right="1440" w:bottom="1440" w:left="1440" w:header="720" w:footer="720" w:gutter="0"/>
          <w:cols w:space="720"/>
          <w:docGrid w:linePitch="360"/>
        </w:sectPr>
      </w:pPr>
    </w:p>
    <w:p w14:paraId="7EB85A38" w14:textId="7FF9BB87" w:rsidR="004D0BD1" w:rsidRPr="003E0CD0" w:rsidRDefault="00994D0D">
      <w:pPr>
        <w:spacing w:line="360" w:lineRule="auto"/>
        <w:jc w:val="both"/>
      </w:pPr>
      <w:r>
        <w:rPr>
          <w:noProof/>
        </w:rPr>
        <w:lastRenderedPageBreak/>
        <w:drawing>
          <wp:inline distT="0" distB="0" distL="0" distR="0" wp14:anchorId="4ADF77FF" wp14:editId="0E98336E">
            <wp:extent cx="2774950" cy="2405380"/>
            <wp:effectExtent l="0" t="0" r="6350" b="0"/>
            <wp:docPr id="8949469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950" cy="2405380"/>
                    </a:xfrm>
                    <a:prstGeom prst="rect">
                      <a:avLst/>
                    </a:prstGeom>
                    <a:noFill/>
                    <a:ln>
                      <a:noFill/>
                    </a:ln>
                  </pic:spPr>
                </pic:pic>
              </a:graphicData>
            </a:graphic>
          </wp:inline>
        </w:drawing>
      </w:r>
    </w:p>
    <w:p w14:paraId="5BE78808" w14:textId="77777777" w:rsidR="00A77B3E" w:rsidRPr="003E0CD0"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 xml:space="preserve">Figure 5 Non-variceal upper gastrointestinal bleeding due to Cameron lesion. </w:t>
      </w:r>
      <w:r w:rsidRPr="003E0CD0">
        <w:rPr>
          <w:rFonts w:ascii="Book Antiqua" w:eastAsia="Book Antiqua" w:hAnsi="Book Antiqua" w:cs="Book Antiqua"/>
          <w:color w:val="000000"/>
        </w:rPr>
        <w:t>Retroflexed endoscopic view of the gastric fundus showing a fibrin covered linear erosion (arrow) at the end of a large hiatal ernia.</w:t>
      </w:r>
    </w:p>
    <w:p w14:paraId="61ADE740" w14:textId="77777777" w:rsidR="004D0BD1" w:rsidRPr="003E0CD0" w:rsidRDefault="004D0BD1">
      <w:pPr>
        <w:spacing w:line="360" w:lineRule="auto"/>
        <w:jc w:val="both"/>
        <w:sectPr w:rsidR="004D0BD1" w:rsidRPr="003E0CD0">
          <w:pgSz w:w="12240" w:h="15840"/>
          <w:pgMar w:top="1440" w:right="1440" w:bottom="1440" w:left="1440" w:header="720" w:footer="720" w:gutter="0"/>
          <w:cols w:space="720"/>
          <w:docGrid w:linePitch="360"/>
        </w:sectPr>
      </w:pPr>
    </w:p>
    <w:p w14:paraId="06B4D076" w14:textId="2CD25734" w:rsidR="004D0BD1" w:rsidRPr="003E0CD0" w:rsidRDefault="00994D0D">
      <w:pPr>
        <w:spacing w:line="360" w:lineRule="auto"/>
        <w:jc w:val="both"/>
      </w:pPr>
      <w:r>
        <w:rPr>
          <w:noProof/>
        </w:rPr>
        <w:lastRenderedPageBreak/>
        <w:drawing>
          <wp:inline distT="0" distB="0" distL="0" distR="0" wp14:anchorId="6B6680CF" wp14:editId="57DBF852">
            <wp:extent cx="5895975" cy="1498600"/>
            <wp:effectExtent l="0" t="0" r="9525" b="6350"/>
            <wp:docPr id="1551721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975" cy="1498600"/>
                    </a:xfrm>
                    <a:prstGeom prst="rect">
                      <a:avLst/>
                    </a:prstGeom>
                    <a:noFill/>
                    <a:ln>
                      <a:noFill/>
                    </a:ln>
                  </pic:spPr>
                </pic:pic>
              </a:graphicData>
            </a:graphic>
          </wp:inline>
        </w:drawing>
      </w:r>
    </w:p>
    <w:p w14:paraId="5C5A7784" w14:textId="406B9AED" w:rsidR="00A77B3E" w:rsidRPr="003E0CD0"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Figure 6 Non-variceal upper gastrointestinal bleeding due to hemosuccus pancreaticus.</w:t>
      </w:r>
      <w:r w:rsidRPr="003E0CD0">
        <w:rPr>
          <w:rFonts w:ascii="Book Antiqua" w:eastAsia="Book Antiqua" w:hAnsi="Book Antiqua" w:cs="Book Antiqua"/>
          <w:color w:val="000000"/>
        </w:rPr>
        <w:t xml:space="preserve"> A</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B: Contrast-enhanced </w:t>
      </w:r>
      <w:r w:rsidR="004D0BD1" w:rsidRPr="003E0CD0">
        <w:rPr>
          <w:rFonts w:ascii="Book Antiqua" w:eastAsia="Book Antiqua" w:hAnsi="Book Antiqua" w:cs="Book Antiqua"/>
          <w:color w:val="000000"/>
        </w:rPr>
        <w:t>computed tomography</w:t>
      </w:r>
      <w:r w:rsidRPr="003E0CD0">
        <w:rPr>
          <w:rFonts w:ascii="Book Antiqua" w:eastAsia="Book Antiqua" w:hAnsi="Book Antiqua" w:cs="Book Antiqua"/>
          <w:color w:val="000000"/>
        </w:rPr>
        <w:t xml:space="preserve"> axial scan in the arterial phase (A) and its maximum intensity projection axial reconstruction (B) showing a large pancreaticoduodenal artery pseudoaneurysm (arrow</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A</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B)</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 Successful endovascular coil embolization (arrow).</w:t>
      </w:r>
    </w:p>
    <w:p w14:paraId="74ECCFF1" w14:textId="77777777" w:rsidR="004D0BD1" w:rsidRPr="003E0CD0" w:rsidRDefault="004D0BD1">
      <w:pPr>
        <w:spacing w:line="360" w:lineRule="auto"/>
        <w:jc w:val="both"/>
        <w:sectPr w:rsidR="004D0BD1" w:rsidRPr="003E0CD0">
          <w:pgSz w:w="12240" w:h="15840"/>
          <w:pgMar w:top="1440" w:right="1440" w:bottom="1440" w:left="1440" w:header="720" w:footer="720" w:gutter="0"/>
          <w:cols w:space="720"/>
          <w:docGrid w:linePitch="360"/>
        </w:sectPr>
      </w:pPr>
    </w:p>
    <w:p w14:paraId="0744C957" w14:textId="4691E1B1" w:rsidR="004D0BD1" w:rsidRPr="003E0CD0" w:rsidRDefault="00F500B3">
      <w:pPr>
        <w:spacing w:line="360" w:lineRule="auto"/>
        <w:jc w:val="both"/>
      </w:pPr>
      <w:r>
        <w:rPr>
          <w:noProof/>
        </w:rPr>
        <w:lastRenderedPageBreak/>
        <w:drawing>
          <wp:inline distT="0" distB="0" distL="0" distR="0" wp14:anchorId="0D17DF94" wp14:editId="6B480FC5">
            <wp:extent cx="4230370" cy="3351530"/>
            <wp:effectExtent l="0" t="0" r="0" b="1270"/>
            <wp:docPr id="170010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370" cy="3351530"/>
                    </a:xfrm>
                    <a:prstGeom prst="rect">
                      <a:avLst/>
                    </a:prstGeom>
                    <a:noFill/>
                    <a:ln>
                      <a:noFill/>
                    </a:ln>
                  </pic:spPr>
                </pic:pic>
              </a:graphicData>
            </a:graphic>
          </wp:inline>
        </w:drawing>
      </w:r>
    </w:p>
    <w:p w14:paraId="15A7F047" w14:textId="05E960BE" w:rsidR="008E1F8A" w:rsidRDefault="00000000">
      <w:pPr>
        <w:spacing w:line="360" w:lineRule="auto"/>
        <w:jc w:val="both"/>
        <w:rPr>
          <w:rFonts w:ascii="Book Antiqua" w:eastAsia="Book Antiqua" w:hAnsi="Book Antiqua" w:cs="Book Antiqua"/>
          <w:color w:val="000000"/>
        </w:rPr>
      </w:pPr>
      <w:r w:rsidRPr="003E0CD0">
        <w:rPr>
          <w:rFonts w:ascii="Book Antiqua" w:eastAsia="Book Antiqua" w:hAnsi="Book Antiqua" w:cs="Book Antiqua"/>
          <w:b/>
          <w:bCs/>
          <w:color w:val="000000"/>
        </w:rPr>
        <w:t>Figure 7 Non-variceal upper gastrointestinal bleeding due to hemobilia.</w:t>
      </w:r>
      <w:r w:rsidRPr="003E0CD0">
        <w:rPr>
          <w:rFonts w:ascii="Book Antiqua" w:eastAsia="Book Antiqua" w:hAnsi="Book Antiqua" w:cs="Book Antiqua"/>
          <w:color w:val="000000"/>
        </w:rPr>
        <w:t xml:space="preserve"> A</w:t>
      </w:r>
      <w:r w:rsidR="004D0BD1" w:rsidRPr="003E0CD0">
        <w:rPr>
          <w:rFonts w:ascii="Book Antiqua" w:eastAsia="Book Antiqua" w:hAnsi="Book Antiqua" w:cs="Book Antiqua"/>
          <w:color w:val="000000"/>
        </w:rPr>
        <w:t xml:space="preserve"> and</w:t>
      </w:r>
      <w:r w:rsidRPr="003E0CD0">
        <w:rPr>
          <w:rFonts w:ascii="Book Antiqua" w:eastAsia="Book Antiqua" w:hAnsi="Book Antiqua" w:cs="Book Antiqua"/>
          <w:color w:val="000000"/>
        </w:rPr>
        <w:t xml:space="preserve"> B: Contrast-enhanced </w:t>
      </w:r>
      <w:r w:rsidR="004D0BD1" w:rsidRPr="003E0CD0">
        <w:rPr>
          <w:rFonts w:ascii="Book Antiqua" w:eastAsia="Book Antiqua" w:hAnsi="Book Antiqua" w:cs="Book Antiqua"/>
          <w:color w:val="000000"/>
        </w:rPr>
        <w:t>computed tomography</w:t>
      </w:r>
      <w:r w:rsidRPr="003E0CD0">
        <w:rPr>
          <w:rFonts w:ascii="Book Antiqua" w:eastAsia="Book Antiqua" w:hAnsi="Book Antiqua" w:cs="Book Antiqua"/>
          <w:color w:val="000000"/>
        </w:rPr>
        <w:t xml:space="preserve"> axial scan in the arterial phase (A) and its maximum intensity projection oblique-sagittal reconstruction (B) showing a pseudoaneurysm in the lumen of the metallic biliary stent (long arrow, A), arising from the hepatic artery (short arrow, B)</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C: Delayed phase celiac angiography showing a pseudoaneurysm (black asterisk) into the lumen of a metallic biliary stent (white arrow)</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D: The pseudoaneurysm of the proper hepatic artery was reached with a 2.7</w:t>
      </w:r>
      <w:r w:rsidR="004D0BD1"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Fr microcatheter (white arrow) coaxially through a 5</w:t>
      </w:r>
      <w:r w:rsidR="004D0BD1" w:rsidRPr="003E0CD0">
        <w:rPr>
          <w:rFonts w:ascii="Book Antiqua" w:eastAsia="Book Antiqua" w:hAnsi="Book Antiqua" w:cs="Book Antiqua"/>
          <w:color w:val="000000"/>
        </w:rPr>
        <w:t xml:space="preserve"> </w:t>
      </w:r>
      <w:r w:rsidRPr="003E0CD0">
        <w:rPr>
          <w:rFonts w:ascii="Book Antiqua" w:eastAsia="Book Antiqua" w:hAnsi="Book Antiqua" w:cs="Book Antiqua"/>
          <w:color w:val="000000"/>
        </w:rPr>
        <w:t>Fr catheter (black arrow) positioned into the celiac trunk</w:t>
      </w:r>
      <w:r w:rsidR="004D0BD1" w:rsidRPr="003E0CD0">
        <w:rPr>
          <w:rFonts w:ascii="Book Antiqua" w:eastAsia="Book Antiqua" w:hAnsi="Book Antiqua" w:cs="Book Antiqua"/>
          <w:color w:val="000000"/>
        </w:rPr>
        <w:t>;</w:t>
      </w:r>
      <w:r w:rsidRPr="003E0CD0">
        <w:rPr>
          <w:rFonts w:ascii="Book Antiqua" w:eastAsia="Book Antiqua" w:hAnsi="Book Antiqua" w:cs="Book Antiqua"/>
          <w:color w:val="000000"/>
        </w:rPr>
        <w:t xml:space="preserve"> E: Successful coil embolization of both the proper hepatic artery (black arrow) and the gastroduodenal artery (white arrow), in order to avoid recanalization.</w:t>
      </w:r>
    </w:p>
    <w:p w14:paraId="65311625" w14:textId="77777777" w:rsidR="008E1F8A" w:rsidRDefault="008E1F8A">
      <w:pPr>
        <w:rPr>
          <w:rFonts w:ascii="Book Antiqua" w:eastAsia="Book Antiqua" w:hAnsi="Book Antiqua" w:cs="Book Antiqua"/>
          <w:color w:val="000000"/>
        </w:rPr>
      </w:pPr>
      <w:r>
        <w:rPr>
          <w:rFonts w:ascii="Book Antiqua" w:eastAsia="Book Antiqua" w:hAnsi="Book Antiqua" w:cs="Book Antiqua"/>
          <w:color w:val="000000"/>
        </w:rPr>
        <w:br w:type="page"/>
      </w:r>
    </w:p>
    <w:p w14:paraId="23850F5C" w14:textId="77777777" w:rsidR="008E1F8A" w:rsidRDefault="008E1F8A" w:rsidP="008E1F8A">
      <w:pPr>
        <w:snapToGrid w:val="0"/>
        <w:ind w:leftChars="100" w:left="240"/>
        <w:jc w:val="center"/>
        <w:rPr>
          <w:rFonts w:ascii="Book Antiqua" w:hAnsi="Book Antiqua"/>
        </w:rPr>
      </w:pPr>
    </w:p>
    <w:p w14:paraId="42AAFCEF" w14:textId="77777777" w:rsidR="008E1F8A" w:rsidRDefault="008E1F8A" w:rsidP="008E1F8A">
      <w:pPr>
        <w:snapToGrid w:val="0"/>
        <w:ind w:leftChars="100" w:left="240"/>
        <w:jc w:val="center"/>
        <w:rPr>
          <w:rFonts w:ascii="Book Antiqua" w:hAnsi="Book Antiqua"/>
        </w:rPr>
      </w:pPr>
    </w:p>
    <w:p w14:paraId="34B645BA" w14:textId="77777777" w:rsidR="008E1F8A" w:rsidRDefault="008E1F8A" w:rsidP="008E1F8A">
      <w:pPr>
        <w:snapToGrid w:val="0"/>
        <w:ind w:leftChars="100" w:left="240"/>
        <w:jc w:val="center"/>
        <w:rPr>
          <w:rFonts w:ascii="Book Antiqua" w:hAnsi="Book Antiqua"/>
        </w:rPr>
      </w:pPr>
    </w:p>
    <w:p w14:paraId="4F9DAF6F" w14:textId="77777777" w:rsidR="008E1F8A" w:rsidRDefault="008E1F8A" w:rsidP="008E1F8A">
      <w:pPr>
        <w:snapToGrid w:val="0"/>
        <w:ind w:leftChars="100" w:left="240"/>
        <w:jc w:val="center"/>
        <w:rPr>
          <w:rFonts w:ascii="Book Antiqua" w:hAnsi="Book Antiqua"/>
        </w:rPr>
      </w:pPr>
    </w:p>
    <w:p w14:paraId="6F601E5F" w14:textId="77777777" w:rsidR="008E1F8A" w:rsidRDefault="008E1F8A" w:rsidP="008E1F8A">
      <w:pPr>
        <w:snapToGrid w:val="0"/>
        <w:ind w:leftChars="100" w:left="240"/>
        <w:jc w:val="center"/>
        <w:rPr>
          <w:rFonts w:ascii="Book Antiqua" w:hAnsi="Book Antiqua"/>
        </w:rPr>
      </w:pPr>
      <w:r>
        <w:rPr>
          <w:rFonts w:ascii="Book Antiqua" w:hAnsi="Book Antiqua"/>
          <w:noProof/>
        </w:rPr>
        <w:drawing>
          <wp:inline distT="0" distB="0" distL="0" distR="0" wp14:anchorId="6A0BF667" wp14:editId="67F8B20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57A15AD" w14:textId="77777777" w:rsidR="008E1F8A" w:rsidRDefault="008E1F8A" w:rsidP="008E1F8A">
      <w:pPr>
        <w:snapToGrid w:val="0"/>
        <w:ind w:leftChars="100" w:left="240"/>
        <w:jc w:val="center"/>
        <w:rPr>
          <w:rFonts w:ascii="Book Antiqua" w:hAnsi="Book Antiqua"/>
        </w:rPr>
      </w:pPr>
    </w:p>
    <w:p w14:paraId="479E6EBB" w14:textId="77777777" w:rsidR="008E1F8A" w:rsidRDefault="008E1F8A" w:rsidP="008E1F8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40AD074" w14:textId="77777777" w:rsidR="008E1F8A" w:rsidRDefault="008E1F8A" w:rsidP="008E1F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EBC7C8" w14:textId="77777777" w:rsidR="008E1F8A" w:rsidRDefault="008E1F8A" w:rsidP="008E1F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5C3518" w14:textId="77777777" w:rsidR="008E1F8A" w:rsidRDefault="008E1F8A" w:rsidP="008E1F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6DDA13" w14:textId="77777777" w:rsidR="008E1F8A" w:rsidRDefault="008E1F8A" w:rsidP="008E1F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53C426" w14:textId="77777777" w:rsidR="008E1F8A" w:rsidRDefault="008E1F8A" w:rsidP="008E1F8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98B6F4" w14:textId="77777777" w:rsidR="008E1F8A" w:rsidRDefault="008E1F8A" w:rsidP="008E1F8A">
      <w:pPr>
        <w:snapToGrid w:val="0"/>
        <w:ind w:leftChars="100" w:left="240"/>
        <w:jc w:val="center"/>
        <w:rPr>
          <w:rFonts w:ascii="Book Antiqua" w:hAnsi="Book Antiqua"/>
        </w:rPr>
      </w:pPr>
    </w:p>
    <w:p w14:paraId="33AF7D9E" w14:textId="77777777" w:rsidR="008E1F8A" w:rsidRDefault="008E1F8A" w:rsidP="008E1F8A">
      <w:pPr>
        <w:snapToGrid w:val="0"/>
        <w:ind w:leftChars="100" w:left="240"/>
        <w:jc w:val="center"/>
        <w:rPr>
          <w:rFonts w:ascii="Book Antiqua" w:hAnsi="Book Antiqua"/>
        </w:rPr>
      </w:pPr>
    </w:p>
    <w:p w14:paraId="6E72DB1B" w14:textId="77777777" w:rsidR="008E1F8A" w:rsidRDefault="008E1F8A" w:rsidP="008E1F8A">
      <w:pPr>
        <w:snapToGrid w:val="0"/>
        <w:ind w:leftChars="100" w:left="240"/>
        <w:jc w:val="center"/>
        <w:rPr>
          <w:rFonts w:ascii="Book Antiqua" w:hAnsi="Book Antiqua"/>
        </w:rPr>
      </w:pPr>
    </w:p>
    <w:p w14:paraId="474C8A4D" w14:textId="77777777" w:rsidR="008E1F8A" w:rsidRDefault="008E1F8A" w:rsidP="008E1F8A">
      <w:pPr>
        <w:snapToGrid w:val="0"/>
        <w:ind w:leftChars="100" w:left="240"/>
        <w:jc w:val="center"/>
        <w:rPr>
          <w:rFonts w:ascii="Book Antiqua" w:hAnsi="Book Antiqua"/>
        </w:rPr>
      </w:pPr>
      <w:r>
        <w:rPr>
          <w:rFonts w:ascii="Book Antiqua" w:hAnsi="Book Antiqua"/>
          <w:noProof/>
        </w:rPr>
        <w:drawing>
          <wp:inline distT="0" distB="0" distL="0" distR="0" wp14:anchorId="4AD34E06" wp14:editId="276529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62909A" w14:textId="77777777" w:rsidR="008E1F8A" w:rsidRDefault="008E1F8A" w:rsidP="008E1F8A">
      <w:pPr>
        <w:snapToGrid w:val="0"/>
        <w:ind w:leftChars="100" w:left="240"/>
        <w:jc w:val="center"/>
        <w:rPr>
          <w:rFonts w:ascii="Book Antiqua" w:hAnsi="Book Antiqua"/>
        </w:rPr>
      </w:pPr>
    </w:p>
    <w:p w14:paraId="06523B9E" w14:textId="77777777" w:rsidR="008E1F8A" w:rsidRDefault="008E1F8A" w:rsidP="008E1F8A">
      <w:pPr>
        <w:snapToGrid w:val="0"/>
        <w:ind w:leftChars="100" w:left="240"/>
        <w:jc w:val="center"/>
        <w:rPr>
          <w:rFonts w:ascii="Book Antiqua" w:hAnsi="Book Antiqua"/>
        </w:rPr>
      </w:pPr>
    </w:p>
    <w:p w14:paraId="1BC5BD72" w14:textId="77777777" w:rsidR="008E1F8A" w:rsidRDefault="008E1F8A" w:rsidP="008E1F8A">
      <w:pPr>
        <w:snapToGrid w:val="0"/>
        <w:ind w:leftChars="100" w:left="240"/>
        <w:jc w:val="center"/>
        <w:rPr>
          <w:rFonts w:ascii="Book Antiqua" w:hAnsi="Book Antiqua"/>
        </w:rPr>
      </w:pPr>
    </w:p>
    <w:p w14:paraId="0C0175DD" w14:textId="77777777" w:rsidR="008E1F8A" w:rsidRDefault="008E1F8A" w:rsidP="008E1F8A">
      <w:pPr>
        <w:snapToGrid w:val="0"/>
        <w:ind w:leftChars="100" w:left="240"/>
        <w:jc w:val="center"/>
        <w:rPr>
          <w:rFonts w:ascii="Book Antiqua" w:hAnsi="Book Antiqua"/>
        </w:rPr>
      </w:pPr>
    </w:p>
    <w:p w14:paraId="2F1362A6" w14:textId="77777777" w:rsidR="008E1F8A" w:rsidRDefault="008E1F8A" w:rsidP="008E1F8A">
      <w:pPr>
        <w:snapToGrid w:val="0"/>
        <w:ind w:leftChars="100" w:left="240"/>
        <w:jc w:val="center"/>
        <w:rPr>
          <w:rFonts w:ascii="Book Antiqua" w:hAnsi="Book Antiqua"/>
        </w:rPr>
      </w:pPr>
    </w:p>
    <w:p w14:paraId="15BC3919" w14:textId="77777777" w:rsidR="008E1F8A" w:rsidRDefault="008E1F8A" w:rsidP="008E1F8A">
      <w:pPr>
        <w:snapToGrid w:val="0"/>
        <w:ind w:leftChars="100" w:left="240"/>
        <w:jc w:val="center"/>
        <w:rPr>
          <w:rFonts w:ascii="Book Antiqua" w:hAnsi="Book Antiqua"/>
        </w:rPr>
      </w:pPr>
    </w:p>
    <w:p w14:paraId="70E72FCC" w14:textId="77777777" w:rsidR="008E1F8A" w:rsidRDefault="008E1F8A" w:rsidP="008E1F8A">
      <w:pPr>
        <w:snapToGrid w:val="0"/>
        <w:ind w:leftChars="100" w:left="240"/>
        <w:jc w:val="center"/>
        <w:rPr>
          <w:rFonts w:ascii="Book Antiqua" w:hAnsi="Book Antiqua"/>
        </w:rPr>
      </w:pPr>
    </w:p>
    <w:p w14:paraId="70219C65" w14:textId="77777777" w:rsidR="008E1F8A" w:rsidRDefault="008E1F8A" w:rsidP="008E1F8A">
      <w:pPr>
        <w:snapToGrid w:val="0"/>
        <w:ind w:leftChars="100" w:left="240"/>
        <w:jc w:val="center"/>
        <w:rPr>
          <w:rFonts w:ascii="Book Antiqua" w:hAnsi="Book Antiqua"/>
        </w:rPr>
      </w:pPr>
    </w:p>
    <w:p w14:paraId="5479AF20" w14:textId="77777777" w:rsidR="008E1F8A" w:rsidRDefault="008E1F8A" w:rsidP="008E1F8A">
      <w:pPr>
        <w:snapToGrid w:val="0"/>
        <w:ind w:leftChars="100" w:left="240"/>
        <w:jc w:val="center"/>
        <w:rPr>
          <w:rFonts w:ascii="Book Antiqua" w:hAnsi="Book Antiqua"/>
        </w:rPr>
      </w:pPr>
    </w:p>
    <w:p w14:paraId="5B402FC5" w14:textId="77777777" w:rsidR="008E1F8A" w:rsidRDefault="008E1F8A" w:rsidP="008E1F8A">
      <w:pPr>
        <w:snapToGrid w:val="0"/>
        <w:ind w:leftChars="100" w:left="240"/>
        <w:jc w:val="right"/>
        <w:rPr>
          <w:rFonts w:ascii="Book Antiqua" w:hAnsi="Book Antiqua"/>
          <w:color w:val="000000" w:themeColor="text1"/>
        </w:rPr>
      </w:pPr>
    </w:p>
    <w:p w14:paraId="48758DE7" w14:textId="77777777" w:rsidR="008E1F8A" w:rsidRDefault="008E1F8A" w:rsidP="008E1F8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0D1C1FD" w14:textId="77777777" w:rsidR="008E1F8A" w:rsidRDefault="008E1F8A" w:rsidP="008E1F8A">
      <w:pPr>
        <w:rPr>
          <w:rFonts w:ascii="Book Antiqua" w:hAnsi="Book Antiqua" w:cs="Book Antiqua"/>
          <w:b/>
          <w:bCs/>
          <w:color w:val="000000"/>
        </w:rPr>
      </w:pPr>
    </w:p>
    <w:p w14:paraId="1930F310"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B464" w14:textId="77777777" w:rsidR="00AD17FC" w:rsidRDefault="00AD17FC" w:rsidP="0035439C">
      <w:r>
        <w:separator/>
      </w:r>
    </w:p>
  </w:endnote>
  <w:endnote w:type="continuationSeparator" w:id="0">
    <w:p w14:paraId="0F4D3F66" w14:textId="77777777" w:rsidR="00AD17FC" w:rsidRDefault="00AD17FC" w:rsidP="0035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77C3" w14:textId="77777777" w:rsidR="0035439C" w:rsidRPr="0035439C" w:rsidRDefault="0035439C" w:rsidP="0035439C">
    <w:pPr>
      <w:pStyle w:val="a5"/>
      <w:jc w:val="right"/>
      <w:rPr>
        <w:rFonts w:ascii="Book Antiqua" w:hAnsi="Book Antiqua"/>
        <w:color w:val="000000" w:themeColor="text1"/>
        <w:sz w:val="24"/>
        <w:szCs w:val="24"/>
      </w:rPr>
    </w:pPr>
    <w:r w:rsidRPr="0035439C">
      <w:rPr>
        <w:rFonts w:ascii="Book Antiqua" w:hAnsi="Book Antiqua"/>
        <w:color w:val="000000" w:themeColor="text1"/>
        <w:sz w:val="24"/>
        <w:szCs w:val="24"/>
        <w:lang w:val="zh-CN" w:eastAsia="zh-CN"/>
      </w:rPr>
      <w:t xml:space="preserve"> </w:t>
    </w:r>
    <w:r w:rsidRPr="0035439C">
      <w:rPr>
        <w:rFonts w:ascii="Book Antiqua" w:hAnsi="Book Antiqua"/>
        <w:color w:val="000000" w:themeColor="text1"/>
        <w:sz w:val="24"/>
        <w:szCs w:val="24"/>
      </w:rPr>
      <w:fldChar w:fldCharType="begin"/>
    </w:r>
    <w:r w:rsidRPr="0035439C">
      <w:rPr>
        <w:rFonts w:ascii="Book Antiqua" w:hAnsi="Book Antiqua"/>
        <w:color w:val="000000" w:themeColor="text1"/>
        <w:sz w:val="24"/>
        <w:szCs w:val="24"/>
      </w:rPr>
      <w:instrText>PAGE  \* Arabic  \* MERGEFORMAT</w:instrText>
    </w:r>
    <w:r w:rsidRPr="0035439C">
      <w:rPr>
        <w:rFonts w:ascii="Book Antiqua" w:hAnsi="Book Antiqua"/>
        <w:color w:val="000000" w:themeColor="text1"/>
        <w:sz w:val="24"/>
        <w:szCs w:val="24"/>
      </w:rPr>
      <w:fldChar w:fldCharType="separate"/>
    </w:r>
    <w:r w:rsidRPr="0035439C">
      <w:rPr>
        <w:rFonts w:ascii="Book Antiqua" w:hAnsi="Book Antiqua"/>
        <w:color w:val="000000" w:themeColor="text1"/>
        <w:sz w:val="24"/>
        <w:szCs w:val="24"/>
        <w:lang w:val="zh-CN" w:eastAsia="zh-CN"/>
      </w:rPr>
      <w:t>2</w:t>
    </w:r>
    <w:r w:rsidRPr="0035439C">
      <w:rPr>
        <w:rFonts w:ascii="Book Antiqua" w:hAnsi="Book Antiqua"/>
        <w:color w:val="000000" w:themeColor="text1"/>
        <w:sz w:val="24"/>
        <w:szCs w:val="24"/>
      </w:rPr>
      <w:fldChar w:fldCharType="end"/>
    </w:r>
    <w:r w:rsidRPr="0035439C">
      <w:rPr>
        <w:rFonts w:ascii="Book Antiqua" w:hAnsi="Book Antiqua"/>
        <w:color w:val="000000" w:themeColor="text1"/>
        <w:sz w:val="24"/>
        <w:szCs w:val="24"/>
        <w:lang w:val="zh-CN" w:eastAsia="zh-CN"/>
      </w:rPr>
      <w:t xml:space="preserve"> / </w:t>
    </w:r>
    <w:r w:rsidRPr="0035439C">
      <w:rPr>
        <w:rFonts w:ascii="Book Antiqua" w:hAnsi="Book Antiqua"/>
        <w:color w:val="000000" w:themeColor="text1"/>
        <w:sz w:val="24"/>
        <w:szCs w:val="24"/>
      </w:rPr>
      <w:fldChar w:fldCharType="begin"/>
    </w:r>
    <w:r w:rsidRPr="0035439C">
      <w:rPr>
        <w:rFonts w:ascii="Book Antiqua" w:hAnsi="Book Antiqua"/>
        <w:color w:val="000000" w:themeColor="text1"/>
        <w:sz w:val="24"/>
        <w:szCs w:val="24"/>
      </w:rPr>
      <w:instrText>NUMPAGES  \* Arabic  \* MERGEFORMAT</w:instrText>
    </w:r>
    <w:r w:rsidRPr="0035439C">
      <w:rPr>
        <w:rFonts w:ascii="Book Antiqua" w:hAnsi="Book Antiqua"/>
        <w:color w:val="000000" w:themeColor="text1"/>
        <w:sz w:val="24"/>
        <w:szCs w:val="24"/>
      </w:rPr>
      <w:fldChar w:fldCharType="separate"/>
    </w:r>
    <w:r w:rsidRPr="0035439C">
      <w:rPr>
        <w:rFonts w:ascii="Book Antiqua" w:hAnsi="Book Antiqua"/>
        <w:color w:val="000000" w:themeColor="text1"/>
        <w:sz w:val="24"/>
        <w:szCs w:val="24"/>
        <w:lang w:val="zh-CN" w:eastAsia="zh-CN"/>
      </w:rPr>
      <w:t>2</w:t>
    </w:r>
    <w:r w:rsidRPr="0035439C">
      <w:rPr>
        <w:rFonts w:ascii="Book Antiqua" w:hAnsi="Book Antiqua"/>
        <w:color w:val="000000" w:themeColor="text1"/>
        <w:sz w:val="24"/>
        <w:szCs w:val="24"/>
      </w:rPr>
      <w:fldChar w:fldCharType="end"/>
    </w:r>
  </w:p>
  <w:p w14:paraId="0A3CAD70" w14:textId="77777777" w:rsidR="0035439C" w:rsidRDefault="003543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9F45A" w14:textId="77777777" w:rsidR="00AD17FC" w:rsidRDefault="00AD17FC" w:rsidP="0035439C">
      <w:r>
        <w:separator/>
      </w:r>
    </w:p>
  </w:footnote>
  <w:footnote w:type="continuationSeparator" w:id="0">
    <w:p w14:paraId="55CE6255" w14:textId="77777777" w:rsidR="00AD17FC" w:rsidRDefault="00AD17FC" w:rsidP="003543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CD8"/>
    <w:rsid w:val="000F7926"/>
    <w:rsid w:val="00212F58"/>
    <w:rsid w:val="002E1BA6"/>
    <w:rsid w:val="0035439C"/>
    <w:rsid w:val="00356C29"/>
    <w:rsid w:val="003E0CD0"/>
    <w:rsid w:val="00411D9A"/>
    <w:rsid w:val="004D0BD1"/>
    <w:rsid w:val="00554378"/>
    <w:rsid w:val="006A6F47"/>
    <w:rsid w:val="006D1ACA"/>
    <w:rsid w:val="006E181F"/>
    <w:rsid w:val="00726A75"/>
    <w:rsid w:val="007D4DA8"/>
    <w:rsid w:val="008261CA"/>
    <w:rsid w:val="0086537A"/>
    <w:rsid w:val="008E1F8A"/>
    <w:rsid w:val="009071B1"/>
    <w:rsid w:val="00977975"/>
    <w:rsid w:val="00994D0D"/>
    <w:rsid w:val="009B1746"/>
    <w:rsid w:val="009B320A"/>
    <w:rsid w:val="00A72427"/>
    <w:rsid w:val="00A77B3E"/>
    <w:rsid w:val="00AD17FC"/>
    <w:rsid w:val="00AE1B87"/>
    <w:rsid w:val="00CA2A55"/>
    <w:rsid w:val="00D861DA"/>
    <w:rsid w:val="00DA1082"/>
    <w:rsid w:val="00E510FA"/>
    <w:rsid w:val="00EF576F"/>
    <w:rsid w:val="00F23787"/>
    <w:rsid w:val="00F50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B52D4"/>
  <w15:docId w15:val="{D0D8A05B-2060-4C9C-B877-130E1C6C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43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439C"/>
    <w:rPr>
      <w:sz w:val="18"/>
      <w:szCs w:val="18"/>
    </w:rPr>
  </w:style>
  <w:style w:type="paragraph" w:styleId="a5">
    <w:name w:val="footer"/>
    <w:basedOn w:val="a"/>
    <w:link w:val="a6"/>
    <w:uiPriority w:val="99"/>
    <w:unhideWhenUsed/>
    <w:rsid w:val="0035439C"/>
    <w:pPr>
      <w:tabs>
        <w:tab w:val="center" w:pos="4153"/>
        <w:tab w:val="right" w:pos="8306"/>
      </w:tabs>
      <w:snapToGrid w:val="0"/>
    </w:pPr>
    <w:rPr>
      <w:sz w:val="18"/>
      <w:szCs w:val="18"/>
    </w:rPr>
  </w:style>
  <w:style w:type="character" w:customStyle="1" w:styleId="a6">
    <w:name w:val="页脚 字符"/>
    <w:basedOn w:val="a0"/>
    <w:link w:val="a5"/>
    <w:uiPriority w:val="99"/>
    <w:rsid w:val="0035439C"/>
    <w:rPr>
      <w:sz w:val="18"/>
      <w:szCs w:val="18"/>
    </w:rPr>
  </w:style>
  <w:style w:type="character" w:styleId="a7">
    <w:name w:val="annotation reference"/>
    <w:basedOn w:val="a0"/>
    <w:semiHidden/>
    <w:unhideWhenUsed/>
    <w:rsid w:val="00DA1082"/>
    <w:rPr>
      <w:sz w:val="21"/>
      <w:szCs w:val="21"/>
    </w:rPr>
  </w:style>
  <w:style w:type="paragraph" w:styleId="a8">
    <w:name w:val="annotation text"/>
    <w:basedOn w:val="a"/>
    <w:link w:val="a9"/>
    <w:semiHidden/>
    <w:unhideWhenUsed/>
    <w:rsid w:val="00DA1082"/>
  </w:style>
  <w:style w:type="character" w:customStyle="1" w:styleId="a9">
    <w:name w:val="批注文字 字符"/>
    <w:basedOn w:val="a0"/>
    <w:link w:val="a8"/>
    <w:semiHidden/>
    <w:rsid w:val="00DA1082"/>
    <w:rPr>
      <w:sz w:val="24"/>
      <w:szCs w:val="24"/>
    </w:rPr>
  </w:style>
  <w:style w:type="paragraph" w:styleId="aa">
    <w:name w:val="annotation subject"/>
    <w:basedOn w:val="a8"/>
    <w:next w:val="a8"/>
    <w:link w:val="ab"/>
    <w:semiHidden/>
    <w:unhideWhenUsed/>
    <w:rsid w:val="00DA1082"/>
    <w:rPr>
      <w:b/>
      <w:bCs/>
    </w:rPr>
  </w:style>
  <w:style w:type="character" w:customStyle="1" w:styleId="ab">
    <w:name w:val="批注主题 字符"/>
    <w:basedOn w:val="a9"/>
    <w:link w:val="aa"/>
    <w:semiHidden/>
    <w:rsid w:val="00DA1082"/>
    <w:rPr>
      <w:b/>
      <w:bCs/>
      <w:sz w:val="24"/>
      <w:szCs w:val="24"/>
    </w:rPr>
  </w:style>
  <w:style w:type="paragraph" w:styleId="ac">
    <w:name w:val="Revision"/>
    <w:hidden/>
    <w:uiPriority w:val="99"/>
    <w:semiHidden/>
    <w:rsid w:val="002E1B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42</Pages>
  <Words>10732</Words>
  <Characters>61178</Characters>
  <Application>Microsoft Office Word</Application>
  <DocSecurity>0</DocSecurity>
  <Lines>509</Lines>
  <Paragraphs>143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Martino</dc:creator>
  <cp:lastModifiedBy>蔡 一瑄</cp:lastModifiedBy>
  <cp:revision>9</cp:revision>
  <dcterms:created xsi:type="dcterms:W3CDTF">2023-05-08T10:29:00Z</dcterms:created>
  <dcterms:modified xsi:type="dcterms:W3CDTF">2023-07-13T07:22:00Z</dcterms:modified>
</cp:coreProperties>
</file>