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F5234" w14:textId="77777777" w:rsidR="0068222A" w:rsidRDefault="00000000">
      <w:pPr>
        <w:spacing w:line="360" w:lineRule="auto"/>
        <w:jc w:val="both"/>
        <w:rPr>
          <w:rFonts w:ascii="Book Antiqua" w:hAnsi="Book Antiqua"/>
          <w:color w:val="000000" w:themeColor="text1"/>
        </w:rPr>
      </w:pPr>
      <w:bookmarkStart w:id="0" w:name="OLE_LINK5930"/>
      <w:bookmarkStart w:id="1" w:name="OLE_LINK5929"/>
      <w:bookmarkStart w:id="2" w:name="OLE_LINK5931"/>
      <w:bookmarkStart w:id="3" w:name="OLE_LINK5932"/>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Gastroenterology</w:t>
      </w:r>
    </w:p>
    <w:p w14:paraId="7791716D"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83825</w:t>
      </w:r>
    </w:p>
    <w:p w14:paraId="21B948F4"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ORIGINAL ARTICLE</w:t>
      </w:r>
    </w:p>
    <w:p w14:paraId="5C3070E9" w14:textId="77777777" w:rsidR="0068222A" w:rsidRDefault="0068222A">
      <w:pPr>
        <w:spacing w:line="360" w:lineRule="auto"/>
        <w:jc w:val="both"/>
        <w:rPr>
          <w:rFonts w:ascii="Book Antiqua" w:hAnsi="Book Antiqua"/>
          <w:color w:val="000000" w:themeColor="text1"/>
        </w:rPr>
      </w:pPr>
    </w:p>
    <w:p w14:paraId="4968844B"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Retrospective Study</w:t>
      </w:r>
    </w:p>
    <w:p w14:paraId="49A80F6E" w14:textId="77777777" w:rsidR="0068222A" w:rsidRDefault="00000000">
      <w:pPr>
        <w:spacing w:line="360" w:lineRule="auto"/>
        <w:jc w:val="both"/>
        <w:rPr>
          <w:rFonts w:ascii="Book Antiqua" w:hAnsi="Book Antiqua"/>
          <w:color w:val="000000" w:themeColor="text1"/>
        </w:rPr>
      </w:pPr>
      <w:bookmarkStart w:id="4" w:name="OLE_LINK5951"/>
      <w:bookmarkStart w:id="5" w:name="OLE_LINK5952"/>
      <w:bookmarkStart w:id="6" w:name="OLE_LINK6173"/>
      <w:r>
        <w:rPr>
          <w:rFonts w:ascii="Book Antiqua" w:eastAsia="Book Antiqua" w:hAnsi="Book Antiqua" w:cs="Book Antiqua"/>
          <w:b/>
          <w:color w:val="000000" w:themeColor="text1"/>
        </w:rPr>
        <w:t xml:space="preserve">Radiomics model based on contrast-enhanced </w:t>
      </w:r>
      <w:r>
        <w:rPr>
          <w:rFonts w:ascii="Book Antiqua" w:eastAsia="Book Antiqua" w:hAnsi="Book Antiqua" w:cs="Book Antiqua"/>
          <w:b/>
          <w:bCs/>
          <w:color w:val="000000" w:themeColor="text1"/>
        </w:rPr>
        <w:t>computed tomography</w:t>
      </w:r>
      <w:r>
        <w:rPr>
          <w:rFonts w:ascii="Book Antiqua" w:eastAsia="宋体" w:hAnsi="Book Antiqua" w:cs="Book Antiqua" w:hint="eastAsia"/>
          <w:b/>
          <w:color w:val="000000" w:themeColor="text1"/>
          <w:lang w:eastAsia="zh-CN"/>
        </w:rPr>
        <w:t xml:space="preserve"> </w:t>
      </w:r>
      <w:r>
        <w:rPr>
          <w:rFonts w:ascii="Book Antiqua" w:eastAsia="Book Antiqua" w:hAnsi="Book Antiqua" w:cs="Book Antiqua"/>
          <w:b/>
          <w:color w:val="000000" w:themeColor="text1"/>
        </w:rPr>
        <w:t xml:space="preserve">to predict early recurrence </w:t>
      </w:r>
      <w:r>
        <w:rPr>
          <w:rFonts w:ascii="Book Antiqua" w:eastAsia="宋体" w:hAnsi="Book Antiqua" w:cs="Book Antiqua" w:hint="eastAsia"/>
          <w:b/>
          <w:color w:val="000000" w:themeColor="text1"/>
          <w:lang w:eastAsia="zh-CN"/>
        </w:rPr>
        <w:t>in</w:t>
      </w:r>
      <w:r>
        <w:rPr>
          <w:rFonts w:ascii="Book Antiqua" w:eastAsia="Book Antiqua" w:hAnsi="Book Antiqua" w:cs="Book Antiqua"/>
          <w:b/>
          <w:color w:val="000000" w:themeColor="text1"/>
        </w:rPr>
        <w:t xml:space="preserve"> patients with hepatocellular carcinoma after radical resection</w:t>
      </w:r>
    </w:p>
    <w:bookmarkEnd w:id="4"/>
    <w:bookmarkEnd w:id="5"/>
    <w:bookmarkEnd w:id="6"/>
    <w:p w14:paraId="4F64D52A" w14:textId="77777777" w:rsidR="0068222A" w:rsidRDefault="0068222A">
      <w:pPr>
        <w:spacing w:line="360" w:lineRule="auto"/>
        <w:jc w:val="both"/>
        <w:rPr>
          <w:rFonts w:ascii="Book Antiqua" w:hAnsi="Book Antiqua"/>
          <w:color w:val="000000" w:themeColor="text1"/>
          <w:lang w:eastAsia="zh-CN"/>
        </w:rPr>
      </w:pPr>
    </w:p>
    <w:p w14:paraId="6A527CCE"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L</w:t>
      </w:r>
      <w:r>
        <w:rPr>
          <w:rFonts w:ascii="Book Antiqua" w:eastAsia="Book Antiqua" w:hAnsi="Book Antiqua" w:cs="Book Antiqua" w:hint="eastAsia"/>
          <w:color w:val="000000" w:themeColor="text1"/>
          <w:lang w:eastAsia="zh-CN"/>
        </w:rPr>
        <w:t>i</w:t>
      </w:r>
      <w:r>
        <w:rPr>
          <w:rFonts w:ascii="Book Antiqua" w:eastAsia="Book Antiqua" w:hAnsi="Book Antiqua" w:cs="Book Antiqua"/>
          <w:color w:val="000000" w:themeColor="text1"/>
          <w:lang w:eastAsia="zh-CN"/>
        </w:rPr>
        <w:t xml:space="preserve"> SQ </w:t>
      </w:r>
      <w:r>
        <w:rPr>
          <w:rFonts w:ascii="Book Antiqua" w:eastAsia="Book Antiqua" w:hAnsi="Book Antiqua" w:cs="Book Antiqua"/>
          <w:i/>
          <w:iCs/>
          <w:color w:val="000000" w:themeColor="text1"/>
          <w:lang w:eastAsia="zh-CN"/>
        </w:rPr>
        <w:t>et al</w:t>
      </w:r>
      <w:r>
        <w:rPr>
          <w:rFonts w:ascii="Book Antiqua" w:eastAsia="Book Antiqua" w:hAnsi="Book Antiqua" w:cs="Book Antiqua"/>
          <w:color w:val="000000" w:themeColor="text1"/>
          <w:lang w:eastAsia="zh-CN"/>
        </w:rPr>
        <w:t xml:space="preserve">. </w:t>
      </w:r>
      <w:bookmarkStart w:id="7" w:name="OLE_LINK6174"/>
      <w:bookmarkStart w:id="8" w:name="OLE_LINK6175"/>
      <w:r>
        <w:rPr>
          <w:rFonts w:ascii="Book Antiqua" w:eastAsia="Book Antiqua" w:hAnsi="Book Antiqua" w:cs="Book Antiqua"/>
          <w:color w:val="000000" w:themeColor="text1"/>
        </w:rPr>
        <w:t>C</w:t>
      </w:r>
      <w:r>
        <w:rPr>
          <w:rFonts w:ascii="Book Antiqua" w:eastAsia="宋体" w:hAnsi="Book Antiqua" w:cs="Book Antiqua" w:hint="eastAsia"/>
          <w:color w:val="000000" w:themeColor="text1"/>
          <w:lang w:eastAsia="zh-CN"/>
        </w:rPr>
        <w:t>E</w:t>
      </w:r>
      <w:r>
        <w:rPr>
          <w:rFonts w:ascii="Book Antiqua" w:eastAsia="Book Antiqua" w:hAnsi="Book Antiqua" w:cs="Book Antiqua"/>
          <w:color w:val="000000" w:themeColor="text1"/>
        </w:rPr>
        <w:t>CT</w:t>
      </w:r>
      <w:r>
        <w:rPr>
          <w:rFonts w:ascii="Book Antiqua" w:eastAsia="宋体" w:hAnsi="Book Antiqua" w:cs="Book Antiqua" w:hint="eastAsia"/>
          <w:color w:val="000000" w:themeColor="text1"/>
          <w:lang w:eastAsia="zh-CN"/>
        </w:rPr>
        <w:t>-based</w:t>
      </w:r>
      <w:r>
        <w:rPr>
          <w:rFonts w:ascii="Book Antiqua" w:eastAsia="Book Antiqua" w:hAnsi="Book Antiqua" w:cs="Book Antiqua"/>
          <w:color w:val="000000" w:themeColor="text1"/>
        </w:rPr>
        <w:t xml:space="preserve"> </w:t>
      </w:r>
      <w:r>
        <w:rPr>
          <w:rFonts w:ascii="Book Antiqua" w:eastAsia="宋体" w:hAnsi="Book Antiqua" w:cs="Book Antiqua" w:hint="eastAsia"/>
          <w:bCs/>
          <w:color w:val="000000" w:themeColor="text1"/>
          <w:lang w:eastAsia="zh-CN"/>
        </w:rPr>
        <w:t>r</w:t>
      </w:r>
      <w:r>
        <w:rPr>
          <w:rFonts w:ascii="Book Antiqua" w:eastAsia="Book Antiqua" w:hAnsi="Book Antiqua" w:cs="Book Antiqua"/>
          <w:bCs/>
          <w:color w:val="000000" w:themeColor="text1"/>
        </w:rPr>
        <w:t>adiomics model</w:t>
      </w:r>
      <w:r>
        <w:rPr>
          <w:rFonts w:ascii="Book Antiqua" w:eastAsia="宋体" w:hAnsi="Book Antiqua" w:cs="Book Antiqua" w:hint="eastAsia"/>
          <w:bCs/>
          <w:color w:val="000000" w:themeColor="text1"/>
          <w:lang w:eastAsia="zh-CN"/>
        </w:rPr>
        <w:t xml:space="preserve"> for</w:t>
      </w:r>
      <w:r>
        <w:rPr>
          <w:rFonts w:ascii="Book Antiqua" w:eastAsia="宋体" w:hAnsi="Book Antiqua" w:cs="Book Antiqua" w:hint="eastAsia"/>
          <w:b/>
          <w:color w:val="000000" w:themeColor="text1"/>
          <w:lang w:eastAsia="zh-CN"/>
        </w:rPr>
        <w:t xml:space="preserve"> </w:t>
      </w:r>
      <w:r>
        <w:rPr>
          <w:rFonts w:ascii="Book Antiqua" w:eastAsia="Book Antiqua" w:hAnsi="Book Antiqua" w:cs="Book Antiqua"/>
          <w:color w:val="000000" w:themeColor="text1"/>
        </w:rPr>
        <w:t>predict</w:t>
      </w:r>
      <w:r>
        <w:rPr>
          <w:rFonts w:ascii="Book Antiqua" w:eastAsia="宋体" w:hAnsi="Book Antiqua" w:cs="Book Antiqua" w:hint="eastAsia"/>
          <w:color w:val="000000" w:themeColor="text1"/>
          <w:lang w:eastAsia="zh-CN"/>
        </w:rPr>
        <w:t>ing</w:t>
      </w:r>
      <w:r>
        <w:rPr>
          <w:rFonts w:ascii="Book Antiqua" w:eastAsia="Book Antiqua" w:hAnsi="Book Antiqua" w:cs="Book Antiqua"/>
          <w:color w:val="000000" w:themeColor="text1"/>
        </w:rPr>
        <w:t xml:space="preserve"> HCC</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recurrence</w:t>
      </w:r>
      <w:bookmarkEnd w:id="7"/>
      <w:bookmarkEnd w:id="8"/>
    </w:p>
    <w:p w14:paraId="798ACEC9" w14:textId="77777777" w:rsidR="0068222A" w:rsidRDefault="0068222A">
      <w:pPr>
        <w:spacing w:line="360" w:lineRule="auto"/>
        <w:jc w:val="both"/>
        <w:rPr>
          <w:rFonts w:ascii="Book Antiqua" w:hAnsi="Book Antiqua"/>
          <w:color w:val="000000" w:themeColor="text1"/>
        </w:rPr>
      </w:pPr>
    </w:p>
    <w:p w14:paraId="5D2C010F"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Shu-</w:t>
      </w:r>
      <w:proofErr w:type="spellStart"/>
      <w:r>
        <w:rPr>
          <w:rFonts w:ascii="Book Antiqua" w:eastAsia="Book Antiqua" w:hAnsi="Book Antiqua" w:cs="Book Antiqua"/>
          <w:color w:val="000000" w:themeColor="text1"/>
        </w:rPr>
        <w:t>Qun</w:t>
      </w:r>
      <w:proofErr w:type="spellEnd"/>
      <w:r>
        <w:rPr>
          <w:rFonts w:ascii="Book Antiqua" w:eastAsia="Book Antiqua" w:hAnsi="Book Antiqua" w:cs="Book Antiqua"/>
          <w:color w:val="000000" w:themeColor="text1"/>
        </w:rPr>
        <w:t xml:space="preserve"> Li, Li-Li </w:t>
      </w:r>
      <w:proofErr w:type="spellStart"/>
      <w:r>
        <w:rPr>
          <w:rFonts w:ascii="Book Antiqua" w:eastAsia="Book Antiqua" w:hAnsi="Book Antiqua" w:cs="Book Antiqua"/>
          <w:color w:val="000000" w:themeColor="text1"/>
        </w:rPr>
        <w:t>Su</w:t>
      </w:r>
      <w:proofErr w:type="spellEnd"/>
      <w:r>
        <w:rPr>
          <w:rFonts w:ascii="Book Antiqua" w:eastAsia="Book Antiqua" w:hAnsi="Book Antiqua" w:cs="Book Antiqua"/>
          <w:color w:val="000000" w:themeColor="text1"/>
        </w:rPr>
        <w:t>, Ting-Feng Xu, Li-Ying Ren, Dong-Bo Chen, Wan-Ying Qin, Xuan-Zhi Yan, Jia-Xing Fan, Hong-Song Chen, Wei-Jia Liao</w:t>
      </w:r>
    </w:p>
    <w:p w14:paraId="7C318904" w14:textId="77777777" w:rsidR="0068222A" w:rsidRDefault="0068222A">
      <w:pPr>
        <w:spacing w:line="360" w:lineRule="auto"/>
        <w:jc w:val="both"/>
        <w:rPr>
          <w:rFonts w:ascii="Book Antiqua" w:hAnsi="Book Antiqua"/>
          <w:color w:val="000000" w:themeColor="text1"/>
        </w:rPr>
      </w:pPr>
    </w:p>
    <w:p w14:paraId="1362663A"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Shu-</w:t>
      </w:r>
      <w:proofErr w:type="spellStart"/>
      <w:r>
        <w:rPr>
          <w:rFonts w:ascii="Book Antiqua" w:eastAsia="Book Antiqua" w:hAnsi="Book Antiqua" w:cs="Book Antiqua"/>
          <w:b/>
          <w:bCs/>
          <w:color w:val="000000" w:themeColor="text1"/>
        </w:rPr>
        <w:t>Qun</w:t>
      </w:r>
      <w:proofErr w:type="spellEnd"/>
      <w:r>
        <w:rPr>
          <w:rFonts w:ascii="Book Antiqua" w:eastAsia="Book Antiqua" w:hAnsi="Book Antiqua" w:cs="Book Antiqua"/>
          <w:b/>
          <w:bCs/>
          <w:color w:val="000000" w:themeColor="text1"/>
        </w:rPr>
        <w:t xml:space="preserve"> Li, Ting-Feng Xu, Li-Ying Ren, Wan-Ying Qin, Xuan-Zhi Yan,</w:t>
      </w:r>
      <w:r>
        <w:rPr>
          <w:rFonts w:ascii="Book Antiqua" w:eastAsia="宋体" w:hAnsi="Book Antiqua" w:cs="Book Antiqua"/>
          <w:b/>
          <w:bCs/>
          <w:color w:val="000000" w:themeColor="text1"/>
          <w:lang w:eastAsia="zh-CN"/>
        </w:rPr>
        <w:t xml:space="preserve"> </w:t>
      </w:r>
      <w:r>
        <w:rPr>
          <w:rFonts w:ascii="Book Antiqua" w:eastAsia="Book Antiqua" w:hAnsi="Book Antiqua" w:cs="Book Antiqua"/>
          <w:b/>
          <w:bCs/>
          <w:color w:val="000000" w:themeColor="text1"/>
        </w:rPr>
        <w:t xml:space="preserve">Jia-Xing Fan, Wei-Jia Liao, </w:t>
      </w:r>
      <w:bookmarkStart w:id="9" w:name="OLE_LINK5938"/>
      <w:bookmarkStart w:id="10" w:name="OLE_LINK5937"/>
      <w:r>
        <w:rPr>
          <w:rFonts w:ascii="Book Antiqua" w:eastAsia="Book Antiqua" w:hAnsi="Book Antiqua" w:cs="Book Antiqua"/>
          <w:color w:val="000000" w:themeColor="text1"/>
        </w:rPr>
        <w:t>Laboratory of Hepatobiliary and Pancreatic Surgery, T</w:t>
      </w:r>
      <w:r>
        <w:rPr>
          <w:rFonts w:ascii="Book Antiqua" w:eastAsia="Book Antiqua" w:hAnsi="Book Antiqua" w:cs="Book Antiqua" w:hint="eastAsia"/>
          <w:color w:val="000000" w:themeColor="text1"/>
          <w:lang w:eastAsia="zh-CN"/>
        </w:rPr>
        <w:t>h</w:t>
      </w:r>
      <w:r>
        <w:rPr>
          <w:rFonts w:ascii="Book Antiqua" w:eastAsia="Book Antiqua" w:hAnsi="Book Antiqua" w:cs="Book Antiqua"/>
          <w:color w:val="000000" w:themeColor="text1"/>
          <w:lang w:eastAsia="zh-CN"/>
        </w:rPr>
        <w:t xml:space="preserve">e </w:t>
      </w:r>
      <w:r>
        <w:rPr>
          <w:rFonts w:ascii="Book Antiqua" w:eastAsia="Book Antiqua" w:hAnsi="Book Antiqua" w:cs="Book Antiqua"/>
          <w:color w:val="000000" w:themeColor="text1"/>
        </w:rPr>
        <w:t xml:space="preserve">Affiliated Hospital of Guilin Medical University, Guilin 541001, </w:t>
      </w:r>
      <w:bookmarkStart w:id="11" w:name="OLE_LINK5936"/>
      <w:bookmarkStart w:id="12" w:name="OLE_LINK5935"/>
      <w:r>
        <w:rPr>
          <w:rFonts w:ascii="Book Antiqua" w:eastAsia="Book Antiqua" w:hAnsi="Book Antiqua" w:cs="Book Antiqua"/>
          <w:color w:val="000000" w:themeColor="text1"/>
        </w:rPr>
        <w:t>Guangxi Zhuang Autonomous Region,</w:t>
      </w:r>
      <w:bookmarkEnd w:id="11"/>
      <w:bookmarkEnd w:id="12"/>
      <w:r>
        <w:rPr>
          <w:rFonts w:ascii="Book Antiqua" w:eastAsia="Book Antiqua" w:hAnsi="Book Antiqua" w:cs="Book Antiqua"/>
          <w:color w:val="000000" w:themeColor="text1"/>
        </w:rPr>
        <w:t xml:space="preserve"> China</w:t>
      </w:r>
    </w:p>
    <w:bookmarkEnd w:id="9"/>
    <w:bookmarkEnd w:id="10"/>
    <w:p w14:paraId="40F877A4" w14:textId="77777777" w:rsidR="0068222A" w:rsidRDefault="0068222A">
      <w:pPr>
        <w:spacing w:line="360" w:lineRule="auto"/>
        <w:jc w:val="both"/>
        <w:rPr>
          <w:rFonts w:ascii="Book Antiqua" w:hAnsi="Book Antiqua"/>
          <w:color w:val="000000" w:themeColor="text1"/>
        </w:rPr>
      </w:pPr>
    </w:p>
    <w:p w14:paraId="1712ADBD"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Li-Li </w:t>
      </w:r>
      <w:proofErr w:type="spellStart"/>
      <w:r>
        <w:rPr>
          <w:rFonts w:ascii="Book Antiqua" w:eastAsia="Book Antiqua" w:hAnsi="Book Antiqua" w:cs="Book Antiqua"/>
          <w:b/>
          <w:bCs/>
          <w:color w:val="000000" w:themeColor="text1"/>
        </w:rPr>
        <w:t>Su</w:t>
      </w:r>
      <w:proofErr w:type="spellEnd"/>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 xml:space="preserve">Department of Clinical Laboratory, </w:t>
      </w:r>
      <w:proofErr w:type="spellStart"/>
      <w:r>
        <w:rPr>
          <w:rFonts w:ascii="Book Antiqua" w:eastAsia="Book Antiqua" w:hAnsi="Book Antiqua" w:cs="Book Antiqua"/>
          <w:color w:val="000000" w:themeColor="text1"/>
        </w:rPr>
        <w:t>Nanxishan</w:t>
      </w:r>
      <w:proofErr w:type="spellEnd"/>
      <w:r>
        <w:rPr>
          <w:rFonts w:ascii="Book Antiqua" w:eastAsia="Book Antiqua" w:hAnsi="Book Antiqua" w:cs="Book Antiqua"/>
          <w:color w:val="000000" w:themeColor="text1"/>
        </w:rPr>
        <w:t xml:space="preserve"> Hospital of Guangxi Zhuang Autonomous Region, Guilin 541002, Guangxi Zhuang Autonomous Region, China</w:t>
      </w:r>
    </w:p>
    <w:p w14:paraId="429FF95C" w14:textId="77777777" w:rsidR="0068222A" w:rsidRDefault="0068222A">
      <w:pPr>
        <w:spacing w:line="360" w:lineRule="auto"/>
        <w:jc w:val="both"/>
        <w:rPr>
          <w:rFonts w:ascii="Book Antiqua" w:hAnsi="Book Antiqua"/>
          <w:color w:val="000000" w:themeColor="text1"/>
        </w:rPr>
      </w:pPr>
    </w:p>
    <w:p w14:paraId="0E2E2620"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Dong-Bo Chen,</w:t>
      </w:r>
      <w:r>
        <w:rPr>
          <w:rFonts w:ascii="Book Antiqua" w:eastAsia="宋体" w:hAnsi="Book Antiqua" w:cs="Book Antiqua"/>
          <w:b/>
          <w:bCs/>
          <w:color w:val="000000" w:themeColor="text1"/>
          <w:lang w:eastAsia="zh-CN"/>
        </w:rPr>
        <w:t xml:space="preserve"> </w:t>
      </w:r>
      <w:r>
        <w:rPr>
          <w:rFonts w:ascii="Book Antiqua" w:eastAsia="Book Antiqua" w:hAnsi="Book Antiqua" w:cs="Book Antiqua"/>
          <w:b/>
          <w:bCs/>
          <w:color w:val="000000" w:themeColor="text1"/>
        </w:rPr>
        <w:t>Hong-Song Chen,</w:t>
      </w:r>
      <w:r>
        <w:rPr>
          <w:rFonts w:ascii="Book Antiqua" w:eastAsia="宋体" w:hAnsi="Book Antiqua" w:cs="Book Antiqua"/>
          <w:b/>
          <w:bCs/>
          <w:color w:val="000000" w:themeColor="text1"/>
          <w:lang w:eastAsia="zh-CN"/>
        </w:rPr>
        <w:t xml:space="preserve"> </w:t>
      </w:r>
      <w:r>
        <w:rPr>
          <w:rFonts w:ascii="Book Antiqua" w:eastAsia="Book Antiqua" w:hAnsi="Book Antiqua" w:cs="Book Antiqua"/>
          <w:color w:val="000000" w:themeColor="text1"/>
        </w:rPr>
        <w:t>Peking University People’s Hospita</w:t>
      </w:r>
      <w:r>
        <w:rPr>
          <w:rFonts w:ascii="Book Antiqua" w:eastAsia="宋体" w:hAnsi="Book Antiqua" w:cs="Book Antiqua"/>
          <w:color w:val="000000" w:themeColor="text1"/>
          <w:lang w:eastAsia="zh-CN"/>
        </w:rPr>
        <w:t>l</w:t>
      </w:r>
      <w:r>
        <w:rPr>
          <w:rFonts w:ascii="Book Antiqua" w:eastAsia="Book Antiqua" w:hAnsi="Book Antiqua" w:cs="Book Antiqua"/>
          <w:color w:val="000000" w:themeColor="text1"/>
        </w:rPr>
        <w:t>, Peking University Hepatology Institute, Beijing Key Laboratory of Hepatitis C and Immunotherapy for Liver Disease, Beijing 100091, China</w:t>
      </w:r>
    </w:p>
    <w:p w14:paraId="1B795C17" w14:textId="77777777" w:rsidR="0068222A" w:rsidRDefault="0068222A">
      <w:pPr>
        <w:spacing w:line="360" w:lineRule="auto"/>
        <w:jc w:val="both"/>
        <w:rPr>
          <w:rFonts w:ascii="Book Antiqua" w:hAnsi="Book Antiqua"/>
          <w:color w:val="000000" w:themeColor="text1"/>
        </w:rPr>
      </w:pPr>
    </w:p>
    <w:p w14:paraId="19CE9641"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 Author contributions: </w:t>
      </w:r>
      <w:r>
        <w:rPr>
          <w:rFonts w:ascii="Book Antiqua" w:eastAsia="Book Antiqua" w:hAnsi="Book Antiqua" w:cs="Book Antiqua"/>
          <w:color w:val="000000" w:themeColor="text1"/>
        </w:rPr>
        <w:t xml:space="preserve">Li SQ, </w:t>
      </w:r>
      <w:proofErr w:type="spellStart"/>
      <w:r>
        <w:rPr>
          <w:rFonts w:ascii="Book Antiqua" w:eastAsia="Book Antiqua" w:hAnsi="Book Antiqua" w:cs="Book Antiqua"/>
          <w:color w:val="000000" w:themeColor="text1"/>
        </w:rPr>
        <w:t>Su</w:t>
      </w:r>
      <w:proofErr w:type="spellEnd"/>
      <w:r>
        <w:rPr>
          <w:rFonts w:ascii="Book Antiqua" w:eastAsia="Book Antiqua" w:hAnsi="Book Antiqua" w:cs="Book Antiqua"/>
          <w:color w:val="000000" w:themeColor="text1"/>
        </w:rPr>
        <w:t xml:space="preserve"> LL, Xu TF</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Ren LY contributed equally to this work; Liao WJ and Li SQ design</w:t>
      </w:r>
      <w:r>
        <w:rPr>
          <w:rFonts w:ascii="Book Antiqua" w:eastAsia="宋体" w:hAnsi="Book Antiqua" w:cs="Book Antiqua" w:hint="eastAsia"/>
          <w:color w:val="000000" w:themeColor="text1"/>
          <w:lang w:eastAsia="zh-CN"/>
        </w:rPr>
        <w:t>ed</w:t>
      </w:r>
      <w:r>
        <w:rPr>
          <w:rFonts w:ascii="Book Antiqua" w:eastAsia="Book Antiqua" w:hAnsi="Book Antiqua" w:cs="Book Antiqua"/>
          <w:color w:val="000000" w:themeColor="text1"/>
        </w:rPr>
        <w:t xml:space="preserve"> the study; Ren LY, Chen DB, Xu TF</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color w:val="000000" w:themeColor="text1"/>
        </w:rPr>
        <w:t>Su</w:t>
      </w:r>
      <w:proofErr w:type="spellEnd"/>
      <w:r>
        <w:rPr>
          <w:rFonts w:ascii="Book Antiqua" w:eastAsia="Book Antiqua" w:hAnsi="Book Antiqua" w:cs="Book Antiqua"/>
          <w:color w:val="000000" w:themeColor="text1"/>
        </w:rPr>
        <w:t xml:space="preserve"> LL analyzed the data and wrote the manuscript; Yan XZ and Fan JX collected the data; Qin </w:t>
      </w:r>
      <w:r>
        <w:rPr>
          <w:rFonts w:ascii="Book Antiqua" w:eastAsia="Book Antiqua" w:hAnsi="Book Antiqua" w:cs="Book Antiqua"/>
          <w:color w:val="000000" w:themeColor="text1"/>
        </w:rPr>
        <w:lastRenderedPageBreak/>
        <w:t>WY and Chen HS analyzed the images data; all authors have read and approve</w:t>
      </w:r>
      <w:r>
        <w:rPr>
          <w:rFonts w:ascii="Book Antiqua" w:eastAsia="宋体" w:hAnsi="Book Antiqua" w:cs="Book Antiqua" w:hint="eastAsia"/>
          <w:color w:val="000000" w:themeColor="text1"/>
          <w:lang w:eastAsia="zh-CN"/>
        </w:rPr>
        <w:t>d</w:t>
      </w:r>
      <w:r>
        <w:rPr>
          <w:rFonts w:ascii="Book Antiqua" w:eastAsia="Book Antiqua" w:hAnsi="Book Antiqua" w:cs="Book Antiqua"/>
          <w:color w:val="000000" w:themeColor="text1"/>
        </w:rPr>
        <w:t xml:space="preserve"> the final manuscript.</w:t>
      </w:r>
    </w:p>
    <w:p w14:paraId="2567026C" w14:textId="77777777" w:rsidR="0068222A" w:rsidRDefault="0068222A">
      <w:pPr>
        <w:spacing w:line="360" w:lineRule="auto"/>
        <w:jc w:val="both"/>
        <w:rPr>
          <w:rFonts w:ascii="Book Antiqua" w:hAnsi="Book Antiqua"/>
          <w:color w:val="000000" w:themeColor="text1"/>
        </w:rPr>
      </w:pPr>
    </w:p>
    <w:p w14:paraId="7BD4B5A8"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Supported by </w:t>
      </w:r>
      <w:r>
        <w:rPr>
          <w:rFonts w:ascii="Book Antiqua" w:eastAsia="Book Antiqua" w:hAnsi="Book Antiqua" w:cs="Book Antiqua"/>
          <w:color w:val="000000" w:themeColor="text1"/>
        </w:rPr>
        <w:t>National Natural Science Foundation of China, No. 81773148; Natural Science Foundation of Guangxi, No. 2018GXNSFDA138001;</w:t>
      </w:r>
      <w:r>
        <w:rPr>
          <w:rFonts w:ascii="Book Antiqua" w:hAnsi="Book Antiqua" w:hint="eastAsia"/>
          <w:color w:val="000000" w:themeColor="text1"/>
        </w:rPr>
        <w:t xml:space="preserve"> </w:t>
      </w:r>
      <w:r>
        <w:rPr>
          <w:rFonts w:ascii="Book Antiqua" w:eastAsia="Book Antiqua" w:hAnsi="Book Antiqua" w:cs="Book Antiqua"/>
          <w:color w:val="000000" w:themeColor="text1"/>
        </w:rPr>
        <w:t xml:space="preserve">Program of Guangxi Zhuang Autonomous Region </w:t>
      </w:r>
      <w:r>
        <w:rPr>
          <w:rFonts w:ascii="Book Antiqua" w:eastAsia="宋体" w:hAnsi="Book Antiqua" w:cs="Book Antiqua" w:hint="eastAsia"/>
          <w:color w:val="000000" w:themeColor="text1"/>
          <w:lang w:eastAsia="zh-CN"/>
        </w:rPr>
        <w:t>H</w:t>
      </w:r>
      <w:r>
        <w:rPr>
          <w:rFonts w:ascii="Book Antiqua" w:eastAsia="Book Antiqua" w:hAnsi="Book Antiqua" w:cs="Book Antiqua"/>
          <w:color w:val="000000" w:themeColor="text1"/>
        </w:rPr>
        <w:t>ealth and Family Planning Commission, No. Z20210706</w:t>
      </w:r>
      <w:r>
        <w:rPr>
          <w:rFonts w:ascii="Book Antiqua" w:eastAsia="宋体" w:hAnsi="Book Antiqua" w:cs="Book Antiqua"/>
          <w:color w:val="000000" w:themeColor="text1"/>
          <w:lang w:eastAsia="zh-CN"/>
        </w:rPr>
        <w:t>;</w:t>
      </w:r>
      <w:r>
        <w:rPr>
          <w:rFonts w:ascii="Book Antiqua" w:hAnsi="Book Antiqua" w:hint="eastAsia"/>
          <w:color w:val="000000" w:themeColor="text1"/>
        </w:rPr>
        <w:t xml:space="preserve"> </w:t>
      </w:r>
      <w:bookmarkStart w:id="13" w:name="OLE_LINK6185"/>
      <w:bookmarkStart w:id="14" w:name="OLE_LINK6186"/>
      <w:r>
        <w:rPr>
          <w:rFonts w:ascii="Book Antiqua" w:eastAsia="Book Antiqua" w:hAnsi="Book Antiqua" w:cs="Book Antiqua"/>
          <w:color w:val="000000" w:themeColor="text1"/>
        </w:rPr>
        <w:t>Guangxi Medical and Healthcare Appropriate Technology Development and Promotion and Application Projects</w:t>
      </w:r>
      <w:r>
        <w:rPr>
          <w:rFonts w:ascii="Book Antiqua" w:eastAsia="宋体" w:hAnsi="Book Antiqua" w:cs="Book Antiqua"/>
          <w:color w:val="000000" w:themeColor="text1"/>
          <w:lang w:eastAsia="zh-CN"/>
        </w:rPr>
        <w:t xml:space="preserve">, No. </w:t>
      </w:r>
      <w:r>
        <w:rPr>
          <w:rFonts w:ascii="Book Antiqua" w:eastAsia="Book Antiqua" w:hAnsi="Book Antiqua" w:cs="Book Antiqua"/>
          <w:color w:val="000000" w:themeColor="text1"/>
        </w:rPr>
        <w:t>S2022132</w:t>
      </w:r>
      <w:bookmarkEnd w:id="13"/>
      <w:bookmarkEnd w:id="14"/>
      <w:r>
        <w:rPr>
          <w:rFonts w:ascii="Book Antiqua" w:eastAsia="宋体" w:hAnsi="Book Antiqua" w:cs="Book Antiqua"/>
          <w:color w:val="000000" w:themeColor="text1"/>
          <w:lang w:eastAsia="zh-CN"/>
        </w:rPr>
        <w:t>;</w:t>
      </w:r>
      <w:r>
        <w:rPr>
          <w:rFonts w:ascii="Book Antiqua" w:hAnsi="Book Antiqua" w:hint="eastAsia"/>
          <w:color w:val="000000" w:themeColor="text1"/>
        </w:rPr>
        <w:t xml:space="preserve"> </w:t>
      </w:r>
      <w:bookmarkStart w:id="15" w:name="OLE_LINK6187"/>
      <w:bookmarkStart w:id="16" w:name="OLE_LINK6188"/>
      <w:r>
        <w:rPr>
          <w:rFonts w:ascii="Book Antiqua" w:eastAsia="Book Antiqua" w:hAnsi="Book Antiqua" w:cs="Book Antiqua"/>
          <w:color w:val="000000" w:themeColor="text1"/>
        </w:rPr>
        <w:t>Guangxi Natural Science Foundation</w:t>
      </w:r>
      <w:r>
        <w:rPr>
          <w:rFonts w:ascii="Book Antiqua" w:eastAsia="宋体" w:hAnsi="Book Antiqua" w:cs="Book Antiqua"/>
          <w:color w:val="000000" w:themeColor="text1"/>
          <w:lang w:eastAsia="zh-CN"/>
        </w:rPr>
        <w:t xml:space="preserve">, No. </w:t>
      </w:r>
      <w:r>
        <w:rPr>
          <w:rFonts w:ascii="Book Antiqua" w:eastAsia="Book Antiqua" w:hAnsi="Book Antiqua" w:cs="Book Antiqua"/>
          <w:color w:val="000000" w:themeColor="text1"/>
        </w:rPr>
        <w:t>2022JJA140009</w:t>
      </w:r>
      <w:bookmarkEnd w:id="15"/>
      <w:bookmarkEnd w:id="16"/>
      <w:r>
        <w:rPr>
          <w:rFonts w:ascii="Book Antiqua" w:eastAsia="宋体" w:hAnsi="Book Antiqua" w:cs="Book Antiqua"/>
          <w:color w:val="000000" w:themeColor="text1"/>
          <w:lang w:eastAsia="zh-CN"/>
        </w:rPr>
        <w:t>;</w:t>
      </w:r>
      <w:r>
        <w:rPr>
          <w:rFonts w:ascii="Book Antiqua" w:hAnsi="Book Antiqua" w:hint="eastAsia"/>
          <w:color w:val="000000" w:themeColor="text1"/>
        </w:rPr>
        <w:t xml:space="preserve"> </w:t>
      </w:r>
      <w:r>
        <w:rPr>
          <w:rFonts w:ascii="Book Antiqua" w:hAnsi="Book Antiqua"/>
          <w:color w:val="000000" w:themeColor="text1"/>
        </w:rPr>
        <w:t xml:space="preserve">and </w:t>
      </w:r>
      <w:bookmarkStart w:id="17" w:name="OLE_LINK6189"/>
      <w:bookmarkStart w:id="18" w:name="OLE_LINK6190"/>
      <w:r>
        <w:rPr>
          <w:rFonts w:ascii="Book Antiqua" w:eastAsia="Book Antiqua" w:hAnsi="Book Antiqua" w:cs="Book Antiqua"/>
          <w:color w:val="000000" w:themeColor="text1"/>
        </w:rPr>
        <w:t>Guangxi Zhuang Autonomous Region Health and Family Planning Commission Self-funded of Scientific Research Project</w:t>
      </w:r>
      <w:r>
        <w:rPr>
          <w:rFonts w:ascii="Book Antiqua" w:eastAsia="宋体" w:hAnsi="Book Antiqua" w:cs="Book Antiqua"/>
          <w:color w:val="000000" w:themeColor="text1"/>
          <w:lang w:eastAsia="zh-CN"/>
        </w:rPr>
        <w:t xml:space="preserve">, No. </w:t>
      </w:r>
      <w:r>
        <w:rPr>
          <w:rFonts w:ascii="Book Antiqua" w:eastAsia="Book Antiqua" w:hAnsi="Book Antiqua" w:cs="Book Antiqua"/>
          <w:color w:val="000000" w:themeColor="text1"/>
        </w:rPr>
        <w:t>Z20170812</w:t>
      </w:r>
      <w:bookmarkEnd w:id="17"/>
      <w:bookmarkEnd w:id="18"/>
      <w:r>
        <w:rPr>
          <w:rFonts w:ascii="Book Antiqua" w:eastAsia="宋体" w:hAnsi="Book Antiqua" w:cs="Book Antiqua"/>
          <w:color w:val="000000" w:themeColor="text1"/>
          <w:lang w:eastAsia="zh-CN"/>
        </w:rPr>
        <w:t>.</w:t>
      </w:r>
    </w:p>
    <w:p w14:paraId="2A49F8BA" w14:textId="77777777" w:rsidR="0068222A" w:rsidRDefault="0068222A">
      <w:pPr>
        <w:spacing w:line="360" w:lineRule="auto"/>
        <w:jc w:val="both"/>
        <w:rPr>
          <w:rFonts w:ascii="Book Antiqua" w:hAnsi="Book Antiqua"/>
          <w:color w:val="000000" w:themeColor="text1"/>
        </w:rPr>
      </w:pPr>
    </w:p>
    <w:p w14:paraId="72D7B36F"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Wei-Jia Liao, BM </w:t>
      </w:r>
      <w:proofErr w:type="spellStart"/>
      <w:r>
        <w:rPr>
          <w:rFonts w:ascii="Book Antiqua" w:eastAsia="Book Antiqua" w:hAnsi="Book Antiqua" w:cs="Book Antiqua"/>
          <w:b/>
          <w:bCs/>
          <w:color w:val="000000" w:themeColor="text1"/>
        </w:rPr>
        <w:t>BCh</w:t>
      </w:r>
      <w:proofErr w:type="spellEnd"/>
      <w:r>
        <w:rPr>
          <w:rFonts w:ascii="Book Antiqua" w:eastAsia="Book Antiqua" w:hAnsi="Book Antiqua" w:cs="Book Antiqua"/>
          <w:b/>
          <w:bCs/>
          <w:color w:val="000000" w:themeColor="text1"/>
        </w:rPr>
        <w:t xml:space="preserve">, Professor, </w:t>
      </w:r>
      <w:r>
        <w:rPr>
          <w:rFonts w:ascii="Book Antiqua" w:eastAsia="Book Antiqua" w:hAnsi="Book Antiqua" w:cs="Book Antiqua"/>
          <w:color w:val="000000" w:themeColor="text1"/>
        </w:rPr>
        <w:t>Laboratory of Hepatobiliary and Pancreatic Surgery, T</w:t>
      </w:r>
      <w:r>
        <w:rPr>
          <w:rFonts w:ascii="Book Antiqua" w:eastAsia="Book Antiqua" w:hAnsi="Book Antiqua" w:cs="Book Antiqua" w:hint="eastAsia"/>
          <w:color w:val="000000" w:themeColor="text1"/>
          <w:lang w:eastAsia="zh-CN"/>
        </w:rPr>
        <w:t>h</w:t>
      </w:r>
      <w:r>
        <w:rPr>
          <w:rFonts w:ascii="Book Antiqua" w:eastAsia="Book Antiqua" w:hAnsi="Book Antiqua" w:cs="Book Antiqua"/>
          <w:color w:val="000000" w:themeColor="text1"/>
          <w:lang w:eastAsia="zh-CN"/>
        </w:rPr>
        <w:t xml:space="preserve">e </w:t>
      </w:r>
      <w:r>
        <w:rPr>
          <w:rFonts w:ascii="Book Antiqua" w:eastAsia="Book Antiqua" w:hAnsi="Book Antiqua" w:cs="Book Antiqua"/>
          <w:color w:val="000000" w:themeColor="text1"/>
        </w:rPr>
        <w:t xml:space="preserve">Affiliated Hospital of Guilin Medical University, </w:t>
      </w:r>
      <w:bookmarkStart w:id="19" w:name="OLE_LINK6191"/>
      <w:bookmarkStart w:id="20" w:name="OLE_LINK6192"/>
      <w:r>
        <w:rPr>
          <w:rFonts w:ascii="Book Antiqua" w:eastAsia="Book Antiqua" w:hAnsi="Book Antiqua" w:cs="Book Antiqua"/>
          <w:color w:val="000000" w:themeColor="text1"/>
        </w:rPr>
        <w:t xml:space="preserve">No. 15 </w:t>
      </w:r>
      <w:proofErr w:type="spellStart"/>
      <w:r>
        <w:rPr>
          <w:rFonts w:ascii="Book Antiqua" w:eastAsia="Book Antiqua" w:hAnsi="Book Antiqua" w:cs="Book Antiqua"/>
          <w:color w:val="000000" w:themeColor="text1"/>
        </w:rPr>
        <w:t>Lequn</w:t>
      </w:r>
      <w:proofErr w:type="spellEnd"/>
      <w:r>
        <w:rPr>
          <w:rFonts w:ascii="Book Antiqua" w:eastAsia="Book Antiqua" w:hAnsi="Book Antiqua" w:cs="Book Antiqua"/>
          <w:color w:val="000000" w:themeColor="text1"/>
        </w:rPr>
        <w:t xml:space="preserve"> Road, </w:t>
      </w:r>
      <w:proofErr w:type="spellStart"/>
      <w:r>
        <w:rPr>
          <w:rFonts w:ascii="Book Antiqua" w:eastAsia="Book Antiqua" w:hAnsi="Book Antiqua" w:cs="Book Antiqua"/>
          <w:color w:val="000000" w:themeColor="text1"/>
        </w:rPr>
        <w:t>Xiufeng</w:t>
      </w:r>
      <w:proofErr w:type="spellEnd"/>
      <w:r>
        <w:rPr>
          <w:rFonts w:ascii="Book Antiqua" w:eastAsia="Book Antiqua" w:hAnsi="Book Antiqua" w:cs="Book Antiqua"/>
          <w:color w:val="000000" w:themeColor="text1"/>
        </w:rPr>
        <w:t xml:space="preserve"> District</w:t>
      </w:r>
      <w:bookmarkEnd w:id="19"/>
      <w:bookmarkEnd w:id="20"/>
      <w:r>
        <w:rPr>
          <w:rFonts w:ascii="Book Antiqua" w:eastAsia="Book Antiqua" w:hAnsi="Book Antiqua" w:cs="Book Antiqua"/>
          <w:color w:val="000000" w:themeColor="text1"/>
        </w:rPr>
        <w:t xml:space="preserve">, Guilin 541001, </w:t>
      </w:r>
      <w:bookmarkStart w:id="21" w:name="OLE_LINK6193"/>
      <w:bookmarkStart w:id="22" w:name="OLE_LINK6194"/>
      <w:r>
        <w:rPr>
          <w:rFonts w:ascii="Book Antiqua" w:eastAsia="Book Antiqua" w:hAnsi="Book Antiqua" w:cs="Book Antiqua"/>
          <w:color w:val="000000" w:themeColor="text1"/>
        </w:rPr>
        <w:t>Guangxi Zhuang Autonomous Region</w:t>
      </w:r>
      <w:bookmarkEnd w:id="21"/>
      <w:bookmarkEnd w:id="22"/>
      <w:r>
        <w:rPr>
          <w:rFonts w:ascii="Book Antiqua" w:eastAsia="Book Antiqua" w:hAnsi="Book Antiqua" w:cs="Book Antiqua"/>
          <w:color w:val="000000" w:themeColor="text1"/>
        </w:rPr>
        <w:t>, China. liaoweijia288@163.com</w:t>
      </w:r>
    </w:p>
    <w:p w14:paraId="580BAE8C" w14:textId="77777777" w:rsidR="0068222A" w:rsidRDefault="0068222A">
      <w:pPr>
        <w:spacing w:line="360" w:lineRule="auto"/>
        <w:jc w:val="both"/>
        <w:rPr>
          <w:rFonts w:ascii="Book Antiqua" w:hAnsi="Book Antiqua"/>
          <w:color w:val="000000" w:themeColor="text1"/>
        </w:rPr>
      </w:pPr>
    </w:p>
    <w:p w14:paraId="53340933"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February 11, 2023</w:t>
      </w:r>
    </w:p>
    <w:p w14:paraId="0E51C94A"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March 25, 2023</w:t>
      </w:r>
    </w:p>
    <w:p w14:paraId="72A3D49A" w14:textId="0D2C3F4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ins w:id="23" w:author="Jin-Lei Wang" w:date="2023-06-06T18:00:00Z">
        <w:r w:rsidR="00792EDD" w:rsidRPr="00792EDD">
          <w:rPr>
            <w:rFonts w:ascii="Book Antiqua" w:eastAsia="Book Antiqua" w:hAnsi="Book Antiqua" w:cs="Book Antiqua"/>
            <w:color w:val="000000" w:themeColor="text1"/>
          </w:rPr>
          <w:t>June 6, 2023</w:t>
        </w:r>
      </w:ins>
    </w:p>
    <w:p w14:paraId="1220050B"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Published online: </w:t>
      </w:r>
    </w:p>
    <w:p w14:paraId="716E3C74" w14:textId="77777777" w:rsidR="0068222A" w:rsidRDefault="0068222A">
      <w:pPr>
        <w:spacing w:line="360" w:lineRule="auto"/>
        <w:jc w:val="both"/>
        <w:rPr>
          <w:rFonts w:ascii="Book Antiqua" w:hAnsi="Book Antiqua"/>
          <w:color w:val="000000" w:themeColor="text1"/>
        </w:rPr>
        <w:sectPr w:rsidR="0068222A">
          <w:footerReference w:type="default" r:id="rId7"/>
          <w:pgSz w:w="12240" w:h="15840"/>
          <w:pgMar w:top="1440" w:right="1440" w:bottom="1440" w:left="1440" w:header="720" w:footer="720" w:gutter="0"/>
          <w:cols w:space="720"/>
          <w:docGrid w:linePitch="360"/>
        </w:sectPr>
      </w:pPr>
    </w:p>
    <w:p w14:paraId="2D121698"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14:paraId="29F980CA"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14:paraId="63CE885E"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Radical resection remains an effective strategy for patients with </w:t>
      </w:r>
      <w:bookmarkStart w:id="26" w:name="OLE_LINK6089"/>
      <w:bookmarkStart w:id="27" w:name="OLE_LINK6085"/>
      <w:bookmarkStart w:id="28" w:name="OLE_LINK5943"/>
      <w:bookmarkStart w:id="29" w:name="OLE_LINK5944"/>
      <w:r>
        <w:rPr>
          <w:rFonts w:ascii="Book Antiqua" w:eastAsia="Book Antiqua" w:hAnsi="Book Antiqua" w:cs="Book Antiqua"/>
          <w:color w:val="000000" w:themeColor="text1"/>
        </w:rPr>
        <w:t>hepatocellular carcinoma</w:t>
      </w:r>
      <w:bookmarkEnd w:id="26"/>
      <w:bookmarkEnd w:id="27"/>
      <w:bookmarkEnd w:id="28"/>
      <w:bookmarkEnd w:id="29"/>
      <w:r>
        <w:rPr>
          <w:rFonts w:ascii="Book Antiqua" w:eastAsia="Book Antiqua" w:hAnsi="Book Antiqua" w:cs="Book Antiqua"/>
          <w:color w:val="000000" w:themeColor="text1"/>
        </w:rPr>
        <w:t xml:space="preserve"> (HCC). Unfortunately, the postoperative early recurrence (recurrence within 2 years) rate is still high. </w:t>
      </w:r>
    </w:p>
    <w:p w14:paraId="055266D4" w14:textId="77777777" w:rsidR="0068222A" w:rsidRDefault="0068222A">
      <w:pPr>
        <w:spacing w:line="360" w:lineRule="auto"/>
        <w:jc w:val="both"/>
        <w:rPr>
          <w:rFonts w:ascii="Book Antiqua" w:hAnsi="Book Antiqua"/>
          <w:color w:val="000000" w:themeColor="text1"/>
        </w:rPr>
      </w:pPr>
    </w:p>
    <w:p w14:paraId="453F7CFA"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AIM</w:t>
      </w:r>
    </w:p>
    <w:p w14:paraId="2FAA51DF"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To develop a radiomics model based on preoperative </w:t>
      </w:r>
      <w:bookmarkStart w:id="30" w:name="OLE_LINK5946"/>
      <w:bookmarkStart w:id="31" w:name="OLE_LINK5945"/>
      <w:bookmarkStart w:id="32" w:name="OLE_LINK5965"/>
      <w:bookmarkStart w:id="33" w:name="OLE_LINK6108"/>
      <w:r>
        <w:rPr>
          <w:rFonts w:ascii="Book Antiqua" w:eastAsia="Book Antiqua" w:hAnsi="Book Antiqua" w:cs="Book Antiqua"/>
          <w:color w:val="000000" w:themeColor="text1"/>
        </w:rPr>
        <w:t xml:space="preserve">contrast-enhanced </w:t>
      </w:r>
      <w:bookmarkStart w:id="34" w:name="OLE_LINK5953"/>
      <w:bookmarkStart w:id="35" w:name="OLE_LINK5954"/>
      <w:bookmarkStart w:id="36" w:name="OLE_LINK6090"/>
      <w:bookmarkStart w:id="37" w:name="OLE_LINK5972"/>
      <w:r>
        <w:rPr>
          <w:rFonts w:ascii="Book Antiqua" w:eastAsia="Book Antiqua" w:hAnsi="Book Antiqua" w:cs="Book Antiqua"/>
          <w:color w:val="000000" w:themeColor="text1"/>
        </w:rPr>
        <w:t>computed tomography</w:t>
      </w:r>
      <w:bookmarkEnd w:id="30"/>
      <w:bookmarkEnd w:id="31"/>
      <w:bookmarkEnd w:id="32"/>
      <w:bookmarkEnd w:id="33"/>
      <w:bookmarkEnd w:id="34"/>
      <w:bookmarkEnd w:id="35"/>
      <w:bookmarkEnd w:id="36"/>
      <w:bookmarkEnd w:id="37"/>
      <w:r>
        <w:rPr>
          <w:rFonts w:ascii="Book Antiqua" w:eastAsia="Book Antiqua" w:hAnsi="Book Antiqua" w:cs="Book Antiqua"/>
          <w:color w:val="000000" w:themeColor="text1"/>
        </w:rPr>
        <w:t xml:space="preserve"> (</w:t>
      </w:r>
      <w:r>
        <w:rPr>
          <w:rFonts w:ascii="Book Antiqua" w:eastAsia="宋体" w:hAnsi="Book Antiqua" w:cs="Book Antiqua"/>
          <w:color w:val="000000" w:themeColor="text1"/>
          <w:lang w:eastAsia="zh-CN"/>
        </w:rPr>
        <w:t>CE</w:t>
      </w:r>
      <w:r>
        <w:rPr>
          <w:rFonts w:ascii="Book Antiqua" w:eastAsia="Book Antiqua" w:hAnsi="Book Antiqua" w:cs="Book Antiqua"/>
          <w:color w:val="000000" w:themeColor="text1"/>
        </w:rPr>
        <w:t xml:space="preserve">CT) to evaluate early recurrence in </w:t>
      </w:r>
      <w:r>
        <w:rPr>
          <w:rFonts w:ascii="Book Antiqua" w:eastAsia="宋体" w:hAnsi="Book Antiqua" w:cs="Book Antiqua"/>
          <w:color w:val="000000" w:themeColor="text1"/>
          <w:lang w:eastAsia="zh-CN"/>
        </w:rPr>
        <w:t xml:space="preserve">HCC </w:t>
      </w:r>
      <w:r>
        <w:rPr>
          <w:rFonts w:ascii="Book Antiqua" w:eastAsia="Book Antiqua" w:hAnsi="Book Antiqua" w:cs="Book Antiqua"/>
          <w:color w:val="000000" w:themeColor="text1"/>
        </w:rPr>
        <w:t xml:space="preserve">patients with a single </w:t>
      </w:r>
      <w:proofErr w:type="spellStart"/>
      <w:r>
        <w:rPr>
          <w:rFonts w:ascii="Book Antiqua" w:eastAsia="宋体" w:hAnsi="Book Antiqua" w:cs="Book Antiqua"/>
          <w:color w:val="000000" w:themeColor="text1"/>
          <w:lang w:eastAsia="zh-CN"/>
        </w:rPr>
        <w:t>tumour</w:t>
      </w:r>
      <w:proofErr w:type="spellEnd"/>
      <w:r>
        <w:rPr>
          <w:rFonts w:ascii="Book Antiqua" w:eastAsia="Book Antiqua" w:hAnsi="Book Antiqua" w:cs="Book Antiqua"/>
          <w:color w:val="000000" w:themeColor="text1"/>
        </w:rPr>
        <w:t>.</w:t>
      </w:r>
    </w:p>
    <w:p w14:paraId="3413A3B1" w14:textId="77777777" w:rsidR="0068222A" w:rsidRDefault="0068222A">
      <w:pPr>
        <w:spacing w:line="360" w:lineRule="auto"/>
        <w:jc w:val="both"/>
        <w:rPr>
          <w:rFonts w:ascii="Book Antiqua" w:hAnsi="Book Antiqua"/>
          <w:color w:val="000000" w:themeColor="text1"/>
        </w:rPr>
      </w:pPr>
    </w:p>
    <w:p w14:paraId="707B824F"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METHODS</w:t>
      </w:r>
    </w:p>
    <w:p w14:paraId="4D42F5B4"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We enrolled a total of 402</w:t>
      </w:r>
      <w:r>
        <w:rPr>
          <w:rFonts w:ascii="Book Antiqua" w:eastAsia="宋体" w:hAnsi="Book Antiqua" w:cs="Book Antiqua"/>
          <w:color w:val="000000" w:themeColor="text1"/>
          <w:lang w:eastAsia="zh-CN"/>
        </w:rPr>
        <w:t xml:space="preserve"> HCC</w:t>
      </w:r>
      <w:r>
        <w:rPr>
          <w:rFonts w:ascii="Book Antiqua" w:eastAsia="Book Antiqua" w:hAnsi="Book Antiqua" w:cs="Book Antiqua"/>
          <w:color w:val="000000" w:themeColor="text1"/>
        </w:rPr>
        <w:t xml:space="preserve"> patients from two </w:t>
      </w:r>
      <w:proofErr w:type="spellStart"/>
      <w:r>
        <w:rPr>
          <w:rFonts w:ascii="Book Antiqua" w:eastAsia="Book Antiqua" w:hAnsi="Book Antiqua" w:cs="Book Antiqua"/>
          <w:color w:val="000000" w:themeColor="text1"/>
        </w:rPr>
        <w:t>centres</w:t>
      </w:r>
      <w:proofErr w:type="spellEnd"/>
      <w:r>
        <w:rPr>
          <w:rFonts w:ascii="Book Antiqua" w:eastAsia="Book Antiqua" w:hAnsi="Book Antiqua" w:cs="Book Antiqua"/>
          <w:color w:val="000000" w:themeColor="text1"/>
        </w:rPr>
        <w:t xml:space="preserve"> who were diagnosed with a single </w:t>
      </w:r>
      <w:proofErr w:type="spellStart"/>
      <w:r>
        <w:rPr>
          <w:rFonts w:ascii="Book Antiqua" w:eastAsia="宋体" w:hAnsi="Book Antiqua" w:cs="Book Antiqua"/>
          <w:color w:val="000000" w:themeColor="text1"/>
          <w:lang w:eastAsia="zh-CN"/>
        </w:rPr>
        <w:t>tumour</w:t>
      </w:r>
      <w:proofErr w:type="spellEnd"/>
      <w:r>
        <w:rPr>
          <w:rFonts w:ascii="Book Antiqua" w:eastAsia="Book Antiqua" w:hAnsi="Book Antiqua" w:cs="Book Antiqua"/>
          <w:color w:val="000000" w:themeColor="text1"/>
        </w:rPr>
        <w:t xml:space="preserve"> and underwent radical resection. First, the features from the portal venous and arterial phases of </w:t>
      </w:r>
      <w:r>
        <w:rPr>
          <w:rFonts w:ascii="Book Antiqua" w:eastAsia="宋体" w:hAnsi="Book Antiqua" w:cs="Book Antiqua"/>
          <w:color w:val="000000" w:themeColor="text1"/>
          <w:lang w:eastAsia="zh-CN"/>
        </w:rPr>
        <w:t>CE</w:t>
      </w:r>
      <w:r>
        <w:rPr>
          <w:rFonts w:ascii="Book Antiqua" w:eastAsia="Book Antiqua" w:hAnsi="Book Antiqua" w:cs="Book Antiqua"/>
          <w:color w:val="000000" w:themeColor="text1"/>
        </w:rPr>
        <w:t xml:space="preserve">CT were extracted based on the </w:t>
      </w:r>
      <w:bookmarkStart w:id="38" w:name="OLE_LINK5966"/>
      <w:bookmarkStart w:id="39" w:name="OLE_LINK5967"/>
      <w:r>
        <w:rPr>
          <w:rFonts w:ascii="Book Antiqua" w:eastAsia="Book Antiqua" w:hAnsi="Book Antiqua" w:cs="Book Antiqua"/>
          <w:color w:val="000000" w:themeColor="text1"/>
        </w:rPr>
        <w:t>region of interest</w:t>
      </w:r>
      <w:bookmarkEnd w:id="38"/>
      <w:bookmarkEnd w:id="39"/>
      <w:r>
        <w:rPr>
          <w:rFonts w:ascii="Book Antiqua" w:eastAsia="Book Antiqua" w:hAnsi="Book Antiqua" w:cs="Book Antiqua"/>
          <w:color w:val="000000" w:themeColor="text1"/>
        </w:rPr>
        <w:t xml:space="preserve">, and the early recurrence-related radiomics features were selected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the least absolute shrinkage and selection operator proportional hazards model (LASSO Cox) to determine radiomics scores for each patient. Then, the clinicopathologic data were combined to develop a model to predict early recurrence by Cox regression. Finally, we evaluated the prediction </w:t>
      </w:r>
      <w:r>
        <w:rPr>
          <w:rFonts w:ascii="Book Antiqua" w:eastAsia="宋体" w:hAnsi="Book Antiqua" w:cs="Book Antiqua" w:hint="eastAsia"/>
          <w:color w:val="000000" w:themeColor="text1"/>
          <w:lang w:eastAsia="zh-CN"/>
        </w:rPr>
        <w:t>performance</w:t>
      </w:r>
      <w:r>
        <w:rPr>
          <w:rFonts w:ascii="Book Antiqua" w:eastAsia="Book Antiqua" w:hAnsi="Book Antiqua" w:cs="Book Antiqua"/>
          <w:color w:val="000000" w:themeColor="text1"/>
        </w:rPr>
        <w:t xml:space="preserve"> of this model by multiple methods.</w:t>
      </w:r>
    </w:p>
    <w:p w14:paraId="1CD8CE8A" w14:textId="77777777" w:rsidR="0068222A" w:rsidRDefault="0068222A">
      <w:pPr>
        <w:spacing w:line="360" w:lineRule="auto"/>
        <w:jc w:val="both"/>
        <w:rPr>
          <w:rFonts w:ascii="Book Antiqua" w:hAnsi="Book Antiqua"/>
          <w:color w:val="000000" w:themeColor="text1"/>
        </w:rPr>
      </w:pPr>
    </w:p>
    <w:p w14:paraId="447836EF"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RESULTS</w:t>
      </w:r>
    </w:p>
    <w:p w14:paraId="52E04E82"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total of 1915 radiomics features were extracted from </w:t>
      </w:r>
      <w:r>
        <w:rPr>
          <w:rFonts w:ascii="Book Antiqua" w:eastAsia="宋体" w:hAnsi="Book Antiqua" w:cs="Book Antiqua"/>
          <w:color w:val="000000" w:themeColor="text1"/>
          <w:lang w:eastAsia="zh-CN"/>
        </w:rPr>
        <w:t>CE</w:t>
      </w:r>
      <w:r>
        <w:rPr>
          <w:rFonts w:ascii="Book Antiqua" w:eastAsia="Book Antiqua" w:hAnsi="Book Antiqua" w:cs="Book Antiqua"/>
          <w:color w:val="000000" w:themeColor="text1"/>
        </w:rPr>
        <w:t>CT images, and 31 of them were used to determine the radiomics scores, which showed a significant difference between the early recurrence and nonearly recurrence groups. Univariate and multivariate Cox regression analyses showed that radiomics scores and serum alpha</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fetoprotein were independent indicators</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w:t>
      </w:r>
      <w:r>
        <w:rPr>
          <w:rFonts w:ascii="Book Antiqua" w:eastAsia="宋体" w:hAnsi="Book Antiqua" w:cs="Book Antiqua" w:hint="eastAsia"/>
          <w:color w:val="000000" w:themeColor="text1"/>
          <w:lang w:eastAsia="zh-CN"/>
        </w:rPr>
        <w:t xml:space="preserve"> they</w:t>
      </w:r>
      <w:r>
        <w:rPr>
          <w:rFonts w:ascii="Book Antiqua" w:eastAsia="Book Antiqua" w:hAnsi="Book Antiqua" w:cs="Book Antiqua"/>
          <w:color w:val="000000" w:themeColor="text1"/>
        </w:rPr>
        <w:t xml:space="preserve"> were used to develop a combined model to predict early recurrence. The area under the receiver operating characteristic curve values for the training and validation cohorts were 0.77 and 0.74, respectively, while the C-indices were 0.712 and 0.674, respectively. The calibration curves and </w:t>
      </w:r>
      <w:r>
        <w:rPr>
          <w:rFonts w:ascii="Book Antiqua" w:eastAsia="Book Antiqua" w:hAnsi="Book Antiqua" w:cs="Book Antiqua"/>
          <w:color w:val="000000" w:themeColor="text1"/>
        </w:rPr>
        <w:lastRenderedPageBreak/>
        <w:t>decision curve analysis showed satisfactory accuracy and clinical utilities. Kaplan</w:t>
      </w:r>
      <w:r>
        <w:rPr>
          <w:rFonts w:ascii="Book Antiqua" w:eastAsia="宋体" w:hAnsi="Book Antiqua"/>
          <w:color w:val="000000" w:themeColor="text1"/>
        </w:rPr>
        <w:t>-</w:t>
      </w:r>
      <w:r>
        <w:rPr>
          <w:rFonts w:ascii="Book Antiqua" w:eastAsia="Book Antiqua" w:hAnsi="Book Antiqua" w:cs="Book Antiqua"/>
          <w:color w:val="000000" w:themeColor="text1"/>
        </w:rPr>
        <w:t xml:space="preserve">Meier curves based on </w:t>
      </w:r>
      <w:bookmarkStart w:id="40" w:name="OLE_LINK5947"/>
      <w:bookmarkStart w:id="41" w:name="OLE_LINK5948"/>
      <w:r>
        <w:rPr>
          <w:rFonts w:ascii="Book Antiqua" w:eastAsia="Book Antiqua" w:hAnsi="Book Antiqua" w:cs="Book Antiqua"/>
          <w:color w:val="000000" w:themeColor="text1"/>
        </w:rPr>
        <w:t>recurrence-free survival</w:t>
      </w:r>
      <w:bookmarkEnd w:id="40"/>
      <w:bookmarkEnd w:id="41"/>
      <w:r>
        <w:rPr>
          <w:rFonts w:ascii="Book Antiqua" w:eastAsia="Book Antiqua" w:hAnsi="Book Antiqua" w:cs="Book Antiqua"/>
          <w:color w:val="000000" w:themeColor="text1"/>
        </w:rPr>
        <w:t xml:space="preserve"> and </w:t>
      </w:r>
      <w:bookmarkStart w:id="42" w:name="OLE_LINK6088"/>
      <w:bookmarkStart w:id="43" w:name="OLE_LINK5949"/>
      <w:bookmarkStart w:id="44" w:name="OLE_LINK5950"/>
      <w:r>
        <w:rPr>
          <w:rFonts w:ascii="Book Antiqua" w:eastAsia="Book Antiqua" w:hAnsi="Book Antiqua" w:cs="Book Antiqua"/>
          <w:color w:val="000000" w:themeColor="text1"/>
        </w:rPr>
        <w:t>overall survival</w:t>
      </w:r>
      <w:bookmarkEnd w:id="42"/>
      <w:bookmarkEnd w:id="43"/>
      <w:bookmarkEnd w:id="44"/>
      <w:r>
        <w:rPr>
          <w:rFonts w:ascii="Book Antiqua" w:eastAsia="Book Antiqua" w:hAnsi="Book Antiqua" w:cs="Book Antiqua"/>
          <w:color w:val="000000" w:themeColor="text1"/>
        </w:rPr>
        <w:t xml:space="preserve"> showed significant differences.</w:t>
      </w:r>
    </w:p>
    <w:p w14:paraId="0230A959" w14:textId="77777777" w:rsidR="0068222A" w:rsidRDefault="0068222A">
      <w:pPr>
        <w:spacing w:line="360" w:lineRule="auto"/>
        <w:jc w:val="both"/>
        <w:rPr>
          <w:rFonts w:ascii="Book Antiqua" w:hAnsi="Book Antiqua"/>
          <w:color w:val="000000" w:themeColor="text1"/>
        </w:rPr>
      </w:pPr>
    </w:p>
    <w:p w14:paraId="1FDD5FD3"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0AB1E6BE"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preoperative</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 xml:space="preserve">radiomics model was shown to be effective for predicting early recurrence among </w:t>
      </w:r>
      <w:r>
        <w:rPr>
          <w:rFonts w:ascii="Book Antiqua" w:eastAsia="宋体" w:hAnsi="Book Antiqua" w:cs="Book Antiqua" w:hint="eastAsia"/>
          <w:color w:val="000000" w:themeColor="text1"/>
          <w:lang w:eastAsia="zh-CN"/>
        </w:rPr>
        <w:t xml:space="preserve">HCC </w:t>
      </w:r>
      <w:r>
        <w:rPr>
          <w:rFonts w:ascii="Book Antiqua" w:eastAsia="Book Antiqua" w:hAnsi="Book Antiqua" w:cs="Book Antiqua"/>
          <w:color w:val="000000" w:themeColor="text1"/>
        </w:rPr>
        <w:t xml:space="preserve">patients with </w:t>
      </w:r>
      <w:r>
        <w:rPr>
          <w:rFonts w:ascii="Book Antiqua" w:eastAsia="宋体" w:hAnsi="Book Antiqua" w:cs="Book Antiqua" w:hint="eastAsia"/>
          <w:color w:val="000000" w:themeColor="text1"/>
          <w:lang w:eastAsia="zh-CN"/>
        </w:rPr>
        <w:t xml:space="preserve">a </w:t>
      </w:r>
      <w:r>
        <w:rPr>
          <w:rFonts w:ascii="Book Antiqua" w:eastAsia="Book Antiqua" w:hAnsi="Book Antiqua" w:cs="Book Antiqua"/>
          <w:color w:val="000000" w:themeColor="text1"/>
        </w:rPr>
        <w:t xml:space="preserve">single </w:t>
      </w:r>
      <w:proofErr w:type="spellStart"/>
      <w:r>
        <w:rPr>
          <w:rFonts w:ascii="Book Antiqua" w:eastAsia="宋体" w:hAnsi="Book Antiqua" w:cs="Book Antiqua"/>
          <w:color w:val="000000" w:themeColor="text1"/>
          <w:lang w:eastAsia="zh-CN"/>
        </w:rPr>
        <w:t>tumour</w:t>
      </w:r>
      <w:proofErr w:type="spellEnd"/>
      <w:r>
        <w:rPr>
          <w:rFonts w:ascii="Book Antiqua" w:eastAsia="Book Antiqua" w:hAnsi="Book Antiqua" w:cs="Book Antiqua"/>
          <w:color w:val="000000" w:themeColor="text1"/>
        </w:rPr>
        <w:t>.</w:t>
      </w:r>
    </w:p>
    <w:p w14:paraId="65EDBD45" w14:textId="77777777" w:rsidR="0068222A" w:rsidRDefault="0068222A">
      <w:pPr>
        <w:spacing w:line="360" w:lineRule="auto"/>
        <w:jc w:val="both"/>
        <w:rPr>
          <w:rFonts w:ascii="Book Antiqua" w:hAnsi="Book Antiqua"/>
          <w:color w:val="000000" w:themeColor="text1"/>
        </w:rPr>
      </w:pPr>
    </w:p>
    <w:p w14:paraId="6C82ED62"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bookmarkStart w:id="45" w:name="OLE_LINK6176"/>
      <w:bookmarkStart w:id="46" w:name="OLE_LINK6177"/>
      <w:r>
        <w:rPr>
          <w:rFonts w:ascii="Book Antiqua" w:eastAsia="Book Antiqua" w:hAnsi="Book Antiqua" w:cs="Book Antiqua"/>
          <w:color w:val="000000" w:themeColor="text1"/>
        </w:rPr>
        <w:t>Hepatocellular carcinoma; Contrast-enhanced computed tomography; Radiomics; Early recurrence</w:t>
      </w:r>
      <w:bookmarkEnd w:id="45"/>
      <w:bookmarkEnd w:id="46"/>
    </w:p>
    <w:p w14:paraId="75D9C953" w14:textId="77777777" w:rsidR="0068222A" w:rsidRDefault="0068222A">
      <w:pPr>
        <w:spacing w:line="360" w:lineRule="auto"/>
        <w:jc w:val="both"/>
        <w:rPr>
          <w:rFonts w:ascii="Book Antiqua" w:hAnsi="Book Antiqua"/>
          <w:color w:val="000000" w:themeColor="text1"/>
        </w:rPr>
      </w:pPr>
    </w:p>
    <w:p w14:paraId="3F0D77C1" w14:textId="77777777" w:rsidR="0068222A" w:rsidRDefault="00000000">
      <w:pPr>
        <w:spacing w:line="360" w:lineRule="auto"/>
        <w:jc w:val="both"/>
        <w:rPr>
          <w:rFonts w:ascii="Book Antiqua" w:hAnsi="Book Antiqua"/>
          <w:color w:val="000000" w:themeColor="text1"/>
        </w:rPr>
      </w:pPr>
      <w:bookmarkStart w:id="47" w:name="OLE_LINK6178"/>
      <w:bookmarkStart w:id="48" w:name="OLE_LINK6179"/>
      <w:r>
        <w:rPr>
          <w:rFonts w:ascii="Book Antiqua" w:eastAsia="Book Antiqua" w:hAnsi="Book Antiqua" w:cs="Book Antiqua"/>
          <w:color w:val="000000" w:themeColor="text1"/>
        </w:rPr>
        <w:t xml:space="preserve">Li SQ, </w:t>
      </w:r>
      <w:proofErr w:type="spellStart"/>
      <w:r>
        <w:rPr>
          <w:rFonts w:ascii="Book Antiqua" w:eastAsia="Book Antiqua" w:hAnsi="Book Antiqua" w:cs="Book Antiqua"/>
          <w:color w:val="000000" w:themeColor="text1"/>
        </w:rPr>
        <w:t>Su</w:t>
      </w:r>
      <w:proofErr w:type="spellEnd"/>
      <w:r>
        <w:rPr>
          <w:rFonts w:ascii="Book Antiqua" w:eastAsia="Book Antiqua" w:hAnsi="Book Antiqua" w:cs="Book Antiqua"/>
          <w:color w:val="000000" w:themeColor="text1"/>
        </w:rPr>
        <w:t xml:space="preserve"> LL, Xu TF, Ren LY, Chen DB, Qin WY, Yan XZ, Fan JX, Chen HS, Liao WJ. </w:t>
      </w:r>
      <w:r>
        <w:rPr>
          <w:rFonts w:ascii="Book Antiqua" w:eastAsia="Book Antiqua" w:hAnsi="Book Antiqua" w:cs="Book Antiqua"/>
          <w:bCs/>
          <w:color w:val="000000" w:themeColor="text1"/>
        </w:rPr>
        <w:t>Radiomics model based on contrast-enhanced computed tomography</w:t>
      </w:r>
      <w:r>
        <w:rPr>
          <w:rFonts w:ascii="Book Antiqua" w:eastAsia="宋体" w:hAnsi="Book Antiqua" w:cs="Book Antiqua" w:hint="eastAsia"/>
          <w:bCs/>
          <w:color w:val="000000" w:themeColor="text1"/>
          <w:lang w:eastAsia="zh-CN"/>
        </w:rPr>
        <w:t xml:space="preserve"> </w:t>
      </w:r>
      <w:r>
        <w:rPr>
          <w:rFonts w:ascii="Book Antiqua" w:eastAsia="Book Antiqua" w:hAnsi="Book Antiqua" w:cs="Book Antiqua"/>
          <w:bCs/>
          <w:color w:val="000000" w:themeColor="text1"/>
        </w:rPr>
        <w:t xml:space="preserve">to predict early recurrence </w:t>
      </w:r>
      <w:r>
        <w:rPr>
          <w:rFonts w:ascii="Book Antiqua" w:eastAsia="宋体" w:hAnsi="Book Antiqua" w:cs="Book Antiqua" w:hint="eastAsia"/>
          <w:bCs/>
          <w:color w:val="000000" w:themeColor="text1"/>
          <w:lang w:eastAsia="zh-CN"/>
        </w:rPr>
        <w:t>in</w:t>
      </w:r>
      <w:r>
        <w:rPr>
          <w:rFonts w:ascii="Book Antiqua" w:eastAsia="Book Antiqua" w:hAnsi="Book Antiqua" w:cs="Book Antiqua"/>
          <w:bCs/>
          <w:color w:val="000000" w:themeColor="text1"/>
        </w:rPr>
        <w:t xml:space="preserve"> patients with hepatocellular carcinoma after radical resection.</w:t>
      </w:r>
      <w:r>
        <w:rPr>
          <w:rFonts w:ascii="Book Antiqua" w:hAnsi="Book Antiqua" w:hint="eastAsia"/>
          <w:color w:val="000000" w:themeColor="text1"/>
        </w:rPr>
        <w:t xml:space="preserve">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2023; In press</w:t>
      </w:r>
    </w:p>
    <w:bookmarkEnd w:id="47"/>
    <w:bookmarkEnd w:id="48"/>
    <w:p w14:paraId="02B7F1AC" w14:textId="77777777" w:rsidR="0068222A" w:rsidRDefault="0068222A">
      <w:pPr>
        <w:spacing w:line="360" w:lineRule="auto"/>
        <w:jc w:val="both"/>
        <w:rPr>
          <w:rFonts w:ascii="Book Antiqua" w:hAnsi="Book Antiqua"/>
          <w:color w:val="000000" w:themeColor="text1"/>
        </w:rPr>
      </w:pPr>
    </w:p>
    <w:p w14:paraId="65BEFCB1"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bookmarkStart w:id="49" w:name="OLE_LINK6180"/>
      <w:bookmarkStart w:id="50" w:name="OLE_LINK6181"/>
      <w:r>
        <w:rPr>
          <w:rFonts w:ascii="Book Antiqua" w:eastAsia="Book Antiqua" w:hAnsi="Book Antiqua" w:cs="Book Antiqua"/>
          <w:color w:val="000000" w:themeColor="text1"/>
        </w:rPr>
        <w:t xml:space="preserve">Hepatocellular carcinoma (HCC) is a growing health issue worldwide, ranking sixth in incidence and third in mortality among all cancers. Moreover, due to the high malignancy and suppressive immune microenvironment of HCC, there remain high recurrence and metastasis rates. Therefore, we developed a radiomics model based on preoperative contrast-enhanced computed tomography to evaluate early recurrence in </w:t>
      </w:r>
      <w:r>
        <w:rPr>
          <w:rFonts w:ascii="Book Antiqua" w:eastAsia="宋体" w:hAnsi="Book Antiqua" w:cs="Book Antiqua" w:hint="eastAsia"/>
          <w:color w:val="000000" w:themeColor="text1"/>
          <w:lang w:eastAsia="zh-CN"/>
        </w:rPr>
        <w:t xml:space="preserve">HCC </w:t>
      </w:r>
      <w:r>
        <w:rPr>
          <w:rFonts w:ascii="Book Antiqua" w:eastAsia="Book Antiqua" w:hAnsi="Book Antiqua" w:cs="Book Antiqua"/>
          <w:color w:val="000000" w:themeColor="text1"/>
        </w:rPr>
        <w:t xml:space="preserve">patients with a single </w:t>
      </w:r>
      <w:proofErr w:type="spellStart"/>
      <w:r>
        <w:rPr>
          <w:rFonts w:ascii="Book Antiqua" w:eastAsia="宋体" w:hAnsi="Book Antiqua" w:cs="Book Antiqua"/>
          <w:color w:val="000000" w:themeColor="text1"/>
          <w:lang w:eastAsia="zh-CN"/>
        </w:rPr>
        <w:t>tumour</w:t>
      </w:r>
      <w:proofErr w:type="spellEnd"/>
      <w:r>
        <w:rPr>
          <w:rFonts w:ascii="Book Antiqua" w:eastAsia="Book Antiqua" w:hAnsi="Book Antiqua" w:cs="Book Antiqua"/>
          <w:color w:val="000000" w:themeColor="text1"/>
        </w:rPr>
        <w:t>.</w:t>
      </w:r>
    </w:p>
    <w:bookmarkEnd w:id="49"/>
    <w:bookmarkEnd w:id="50"/>
    <w:p w14:paraId="6AF10EC2" w14:textId="77777777" w:rsidR="0068222A" w:rsidRDefault="0068222A">
      <w:pPr>
        <w:spacing w:line="360" w:lineRule="auto"/>
        <w:jc w:val="both"/>
        <w:rPr>
          <w:rFonts w:ascii="Book Antiqua" w:hAnsi="Book Antiqua"/>
          <w:color w:val="000000" w:themeColor="text1"/>
          <w:lang w:eastAsia="zh-CN"/>
        </w:rPr>
      </w:pPr>
    </w:p>
    <w:p w14:paraId="3CD00E01" w14:textId="77777777" w:rsidR="0068222A" w:rsidRDefault="0068222A">
      <w:pPr>
        <w:spacing w:line="360" w:lineRule="auto"/>
        <w:jc w:val="both"/>
        <w:rPr>
          <w:rFonts w:ascii="Book Antiqua" w:hAnsi="Book Antiqua"/>
          <w:color w:val="000000" w:themeColor="text1"/>
        </w:rPr>
      </w:pPr>
    </w:p>
    <w:p w14:paraId="14B61B00"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INTRODUCTION</w:t>
      </w:r>
    </w:p>
    <w:p w14:paraId="2936924A"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Hepatocellular carcinoma (HCC) is a growing health issue worldwide, ranking sixth in incidence and third in mortality among all </w:t>
      </w:r>
      <w:proofErr w:type="gramStart"/>
      <w:r>
        <w:rPr>
          <w:rFonts w:ascii="Book Antiqua" w:eastAsia="Book Antiqua" w:hAnsi="Book Antiqua" w:cs="Book Antiqua"/>
          <w:color w:val="000000" w:themeColor="text1"/>
        </w:rPr>
        <w:t>cancers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For early-stage HCC patients, liver resection and liver transplantation are considered the main strategies to prolong overall survival (OS</w:t>
      </w:r>
      <w:proofErr w:type="gramStart"/>
      <w:r>
        <w:rPr>
          <w:rFonts w:ascii="Book Antiqua" w:eastAsia="Book Antiqua" w:hAnsi="Book Antiqua" w:cs="Book Antiqua"/>
          <w:color w:val="000000" w:themeColor="text1"/>
        </w:rPr>
        <w: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 xml:space="preserve">. However, the majority of HCC patients are diagnosed at later disease </w:t>
      </w:r>
      <w:r>
        <w:rPr>
          <w:rFonts w:ascii="Book Antiqua" w:eastAsia="Book Antiqua" w:hAnsi="Book Antiqua" w:cs="Book Antiqua"/>
          <w:color w:val="000000" w:themeColor="text1"/>
        </w:rPr>
        <w:lastRenderedPageBreak/>
        <w:t xml:space="preserve">stages, and thus, surgical care is no longer a treatment option for these </w:t>
      </w:r>
      <w:proofErr w:type="gramStart"/>
      <w:r>
        <w:rPr>
          <w:rFonts w:ascii="Book Antiqua" w:eastAsia="Book Antiqua" w:hAnsi="Book Antiqua" w:cs="Book Antiqua"/>
          <w:color w:val="000000" w:themeColor="text1"/>
        </w:rPr>
        <w:t>individuals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xml:space="preserve">. Moreover, due to the high malignancy and suppressive immune microenvironment of </w:t>
      </w:r>
      <w:proofErr w:type="gramStart"/>
      <w:r>
        <w:rPr>
          <w:rFonts w:ascii="Book Antiqua" w:eastAsia="Book Antiqua" w:hAnsi="Book Antiqua" w:cs="Book Antiqua"/>
          <w:color w:val="000000" w:themeColor="text1"/>
        </w:rPr>
        <w:t>HCC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there remain high recurrence and metastasis rates even for patients who undergo resection. Therefore, it is of vital importance to conduct systematic surveillance of HCC recurrence, and there is an urgent need to precisely predict recurrence in patients with HCC.</w:t>
      </w:r>
    </w:p>
    <w:p w14:paraId="2D96D8B5" w14:textId="77777777" w:rsidR="0068222A"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Currently, the recurrence rate for postoperative HCC patients is over 50% within 5 </w:t>
      </w:r>
      <w:proofErr w:type="gramStart"/>
      <w:r>
        <w:rPr>
          <w:rFonts w:ascii="Book Antiqua" w:eastAsia="Book Antiqua" w:hAnsi="Book Antiqua" w:cs="Book Antiqua"/>
          <w:color w:val="000000" w:themeColor="text1"/>
        </w:rPr>
        <w:t>years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xml:space="preserve">, and studies have shown that patients with early recurrence – </w:t>
      </w:r>
      <w:r>
        <w:rPr>
          <w:rFonts w:ascii="Book Antiqua" w:eastAsia="Book Antiqua" w:hAnsi="Book Antiqua" w:cs="Book Antiqua"/>
          <w:i/>
          <w:iCs/>
          <w:color w:val="000000" w:themeColor="text1"/>
        </w:rPr>
        <w:t>i.e</w:t>
      </w:r>
      <w:r>
        <w:rPr>
          <w:rFonts w:ascii="Book Antiqua" w:eastAsia="Book Antiqua" w:hAnsi="Book Antiqua" w:cs="Book Antiqua"/>
          <w:color w:val="000000" w:themeColor="text1"/>
        </w:rPr>
        <w:t>., recurrence occur</w:t>
      </w:r>
      <w:r>
        <w:rPr>
          <w:rFonts w:ascii="Book Antiqua" w:eastAsia="宋体" w:hAnsi="Book Antiqua" w:cs="Book Antiqua"/>
          <w:color w:val="000000" w:themeColor="text1"/>
          <w:lang w:eastAsia="zh-CN"/>
        </w:rPr>
        <w:t>r</w:t>
      </w:r>
      <w:r>
        <w:rPr>
          <w:rFonts w:ascii="Book Antiqua" w:eastAsia="宋体" w:hAnsi="Book Antiqua" w:cs="Book Antiqua" w:hint="eastAsia"/>
          <w:color w:val="000000" w:themeColor="text1"/>
          <w:lang w:eastAsia="zh-CN"/>
        </w:rPr>
        <w:t>ing</w:t>
      </w:r>
      <w:r>
        <w:rPr>
          <w:rFonts w:ascii="Book Antiqua" w:eastAsia="Book Antiqua" w:hAnsi="Book Antiqua" w:cs="Book Antiqua"/>
          <w:color w:val="000000" w:themeColor="text1"/>
        </w:rPr>
        <w:t xml:space="preserve"> within 2 years – have worse outcomes and poor</w:t>
      </w:r>
      <w:r>
        <w:rPr>
          <w:rFonts w:ascii="Book Antiqua" w:eastAsia="宋体" w:hAnsi="Book Antiqua" w:cs="Book Antiqua"/>
          <w:color w:val="000000" w:themeColor="text1"/>
          <w:lang w:eastAsia="zh-CN"/>
        </w:rPr>
        <w:t>er</w:t>
      </w:r>
      <w:r>
        <w:rPr>
          <w:rFonts w:ascii="Book Antiqua" w:eastAsia="Book Antiqua" w:hAnsi="Book Antiqua" w:cs="Book Antiqua"/>
          <w:color w:val="000000" w:themeColor="text1"/>
        </w:rPr>
        <w:t xml:space="preserve"> prognosis than those with recurrence over 2 years</w:t>
      </w:r>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Typically, the identi</w:t>
      </w:r>
      <w:r>
        <w:rPr>
          <w:rFonts w:ascii="Book Antiqua" w:eastAsia="宋体" w:hAnsi="Book Antiqua" w:cs="Book Antiqua"/>
          <w:color w:val="000000" w:themeColor="text1"/>
          <w:lang w:eastAsia="zh-CN"/>
        </w:rPr>
        <w:t>fication</w:t>
      </w:r>
      <w:r>
        <w:rPr>
          <w:rFonts w:ascii="Book Antiqua" w:eastAsia="Book Antiqua" w:hAnsi="Book Antiqua" w:cs="Book Antiqua"/>
          <w:color w:val="000000" w:themeColor="text1"/>
        </w:rPr>
        <w:t xml:space="preserve"> of primary and recurrent </w:t>
      </w:r>
      <w:proofErr w:type="spellStart"/>
      <w:r>
        <w:rPr>
          <w:rFonts w:ascii="Book Antiqua" w:eastAsia="宋体" w:hAnsi="Book Antiqua" w:cs="Book Antiqua"/>
          <w:color w:val="000000" w:themeColor="text1"/>
          <w:lang w:eastAsia="zh-CN"/>
        </w:rPr>
        <w:t>tumour</w:t>
      </w:r>
      <w:proofErr w:type="spellEnd"/>
      <w:r>
        <w:rPr>
          <w:rFonts w:ascii="Book Antiqua" w:eastAsia="Book Antiqua" w:hAnsi="Book Antiqua" w:cs="Book Antiqua"/>
          <w:color w:val="000000" w:themeColor="text1"/>
        </w:rPr>
        <w:t xml:space="preserve"> depends on the detection of genotype, in other words, on the molecular </w:t>
      </w:r>
      <w:proofErr w:type="gramStart"/>
      <w:r>
        <w:rPr>
          <w:rFonts w:ascii="Book Antiqua" w:eastAsia="Book Antiqua" w:hAnsi="Book Antiqua" w:cs="Book Antiqua"/>
          <w:color w:val="000000" w:themeColor="text1"/>
        </w:rPr>
        <w:t>scale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8,9]</w:t>
      </w:r>
      <w:r>
        <w:rPr>
          <w:rFonts w:ascii="Book Antiqua" w:eastAsia="Book Antiqua" w:hAnsi="Book Antiqua" w:cs="Book Antiqua"/>
          <w:color w:val="000000" w:themeColor="text1"/>
        </w:rPr>
        <w:t xml:space="preserve">. However, its complexities have limited the widespread adoption of this method. To evaluate the prognosis of HCC patients, many staging systems have been introduced to clinical use, such as the </w:t>
      </w:r>
      <w:bookmarkStart w:id="51" w:name="OLE_LINK6107"/>
      <w:bookmarkStart w:id="52" w:name="OLE_LINK6106"/>
      <w:r>
        <w:rPr>
          <w:rFonts w:ascii="Book Antiqua" w:eastAsia="Book Antiqua" w:hAnsi="Book Antiqua" w:cs="Book Antiqua"/>
          <w:color w:val="000000" w:themeColor="text1"/>
        </w:rPr>
        <w:t>Barcelona Clinic Liver Cancer</w:t>
      </w:r>
      <w:bookmarkEnd w:id="51"/>
      <w:bookmarkEnd w:id="52"/>
      <w:r>
        <w:rPr>
          <w:rFonts w:ascii="Book Antiqua" w:eastAsia="Book Antiqua" w:hAnsi="Book Antiqua" w:cs="Book Antiqua"/>
          <w:color w:val="000000" w:themeColor="text1"/>
        </w:rPr>
        <w:t xml:space="preserve"> (BCLC) staging system and</w:t>
      </w:r>
      <w:r>
        <w:rPr>
          <w:rFonts w:ascii="Book Antiqua" w:eastAsia="宋体" w:hAnsi="Book Antiqua" w:cs="Book Antiqua" w:hint="eastAsia"/>
          <w:color w:val="000000" w:themeColor="text1"/>
          <w:lang w:eastAsia="zh-CN"/>
        </w:rPr>
        <w:t xml:space="preserve"> a</w:t>
      </w:r>
      <w:r>
        <w:rPr>
          <w:rFonts w:ascii="Book Antiqua" w:eastAsia="Book Antiqua" w:hAnsi="Book Antiqua" w:cs="Book Antiqua" w:hint="eastAsia"/>
          <w:color w:val="000000" w:themeColor="text1"/>
        </w:rPr>
        <w:t>lbumin-bilirubin</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ALBI</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proofErr w:type="gramStart"/>
      <w:r>
        <w:rPr>
          <w:rFonts w:ascii="Book Antiqua" w:eastAsia="宋体" w:hAnsi="Book Antiqua" w:cs="Book Antiqua" w:hint="eastAsia"/>
          <w:color w:val="000000" w:themeColor="text1"/>
          <w:lang w:eastAsia="zh-CN"/>
        </w:rPr>
        <w:t>grading</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4,10]</w:t>
      </w:r>
      <w:r>
        <w:rPr>
          <w:rFonts w:ascii="Book Antiqua" w:eastAsia="Book Antiqua" w:hAnsi="Book Antiqua" w:cs="Book Antiqua"/>
          <w:color w:val="000000" w:themeColor="text1"/>
        </w:rPr>
        <w:t>. Given that the staging system</w:t>
      </w:r>
      <w:r>
        <w:rPr>
          <w:rFonts w:ascii="Book Antiqua" w:eastAsia="宋体" w:hAnsi="Book Antiqua" w:cs="Book Antiqua" w:hint="eastAsia"/>
          <w:color w:val="000000" w:themeColor="text1"/>
          <w:lang w:eastAsia="zh-CN"/>
        </w:rPr>
        <w:t>s</w:t>
      </w:r>
      <w:r>
        <w:rPr>
          <w:rFonts w:ascii="Book Antiqua" w:eastAsia="Book Antiqua" w:hAnsi="Book Antiqua" w:cs="Book Antiqua"/>
          <w:color w:val="000000" w:themeColor="text1"/>
        </w:rPr>
        <w:t xml:space="preserve"> above </w:t>
      </w:r>
      <w:r>
        <w:rPr>
          <w:rFonts w:ascii="Book Antiqua" w:eastAsia="宋体" w:hAnsi="Book Antiqua" w:cs="Book Antiqua" w:hint="eastAsia"/>
          <w:color w:val="000000" w:themeColor="text1"/>
          <w:lang w:eastAsia="zh-CN"/>
        </w:rPr>
        <w:t>are</w:t>
      </w:r>
      <w:r>
        <w:rPr>
          <w:rFonts w:ascii="Book Antiqua" w:eastAsia="Book Antiqua" w:hAnsi="Book Antiqua" w:cs="Book Antiqua"/>
          <w:color w:val="000000" w:themeColor="text1"/>
        </w:rPr>
        <w:t xml:space="preserve"> more suitable for use in evaluating liver function or guiding treatment, there is a lack of an efficient and accurate approach to evaluate recurrence.</w:t>
      </w:r>
    </w:p>
    <w:p w14:paraId="0F045799" w14:textId="77777777" w:rsidR="0068222A"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Radiomics is an emerging discipline based on medical imaging. Medical imaging, which includes </w:t>
      </w:r>
      <w:bookmarkStart w:id="53" w:name="OLE_LINK5955"/>
      <w:bookmarkStart w:id="54" w:name="OLE_LINK5956"/>
      <w:r>
        <w:rPr>
          <w:rFonts w:ascii="Book Antiqua" w:eastAsia="Book Antiqua" w:hAnsi="Book Antiqua" w:cs="Book Antiqua"/>
          <w:color w:val="000000" w:themeColor="text1"/>
        </w:rPr>
        <w:t>ultrasound</w:t>
      </w:r>
      <w:bookmarkEnd w:id="53"/>
      <w:bookmarkEnd w:id="54"/>
      <w:r>
        <w:rPr>
          <w:rFonts w:ascii="Book Antiqua" w:eastAsia="Book Antiqua" w:hAnsi="Book Antiqua" w:cs="Book Antiqua"/>
          <w:color w:val="000000" w:themeColor="text1"/>
        </w:rPr>
        <w:t xml:space="preserve"> (US), </w:t>
      </w:r>
      <w:bookmarkStart w:id="55" w:name="OLE_LINK5957"/>
      <w:bookmarkStart w:id="56" w:name="OLE_LINK5933"/>
      <w:bookmarkStart w:id="57" w:name="OLE_LINK5934"/>
      <w:r>
        <w:rPr>
          <w:rFonts w:ascii="Book Antiqua" w:eastAsia="Book Antiqua" w:hAnsi="Book Antiqua" w:cs="Book Antiqua"/>
          <w:color w:val="000000" w:themeColor="text1"/>
        </w:rPr>
        <w:t>computed tomography</w:t>
      </w:r>
      <w:bookmarkEnd w:id="55"/>
      <w:bookmarkEnd w:id="56"/>
      <w:bookmarkEnd w:id="57"/>
      <w:r>
        <w:rPr>
          <w:rFonts w:ascii="Book Antiqua" w:eastAsia="Book Antiqua" w:hAnsi="Book Antiqua" w:cs="Book Antiqua"/>
          <w:color w:val="000000" w:themeColor="text1"/>
        </w:rPr>
        <w:t xml:space="preserve"> (CT), and </w:t>
      </w:r>
      <w:bookmarkStart w:id="58" w:name="OLE_LINK5958"/>
      <w:bookmarkStart w:id="59" w:name="OLE_LINK5959"/>
      <w:r>
        <w:rPr>
          <w:rFonts w:ascii="Book Antiqua" w:eastAsia="Book Antiqua" w:hAnsi="Book Antiqua" w:cs="Book Antiqua"/>
          <w:color w:val="000000" w:themeColor="text1"/>
        </w:rPr>
        <w:t>magnetic resonance imaging</w:t>
      </w:r>
      <w:bookmarkEnd w:id="58"/>
      <w:bookmarkEnd w:id="59"/>
      <w:r>
        <w:rPr>
          <w:rFonts w:ascii="Book Antiqua" w:eastAsia="Book Antiqua" w:hAnsi="Book Antiqua" w:cs="Book Antiqua"/>
          <w:color w:val="000000" w:themeColor="text1"/>
        </w:rPr>
        <w:t xml:space="preserve"> (MRI), has played a crucial role in the screening and diagnosis of </w:t>
      </w:r>
      <w:proofErr w:type="gramStart"/>
      <w:r>
        <w:rPr>
          <w:rFonts w:ascii="Book Antiqua" w:eastAsia="Book Antiqua" w:hAnsi="Book Antiqua" w:cs="Book Antiqua"/>
          <w:color w:val="000000" w:themeColor="text1"/>
        </w:rPr>
        <w:t>HCC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xml:space="preserve">. However, the conventional imaging process relies on the experience and judgement of radiologists and might miss or be hard to quantify some crucial details. Many studies have shown that radiomics features may contain pathophysiological characteristics, which reflect </w:t>
      </w:r>
      <w:proofErr w:type="spellStart"/>
      <w:r>
        <w:rPr>
          <w:rFonts w:ascii="Book Antiqua" w:eastAsia="宋体" w:hAnsi="Book Antiqua" w:cs="Book Antiqua"/>
          <w:color w:val="000000" w:themeColor="text1"/>
          <w:lang w:eastAsia="zh-CN"/>
        </w:rPr>
        <w:t>tumour</w:t>
      </w:r>
      <w:proofErr w:type="spellEnd"/>
      <w:r>
        <w:rPr>
          <w:rFonts w:ascii="Book Antiqua" w:eastAsia="Book Antiqua" w:hAnsi="Book Antiqua" w:cs="Book Antiqua"/>
          <w:color w:val="000000" w:themeColor="text1"/>
        </w:rPr>
        <w:t xml:space="preserve"> heterogeneity and are associated with patient </w:t>
      </w:r>
      <w:proofErr w:type="gramStart"/>
      <w:r>
        <w:rPr>
          <w:rFonts w:ascii="Book Antiqua" w:eastAsia="Book Antiqua" w:hAnsi="Book Antiqua" w:cs="Book Antiqua"/>
          <w:color w:val="000000" w:themeColor="text1"/>
        </w:rPr>
        <w:t>prognosis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xml:space="preserve">. Based on artificial intelligence technology, radiomics has shown certain potential in HCC related gene analysis, microvascular invasion, postoperative survival and recurrence prediction, </w:t>
      </w:r>
      <w:proofErr w:type="gramStart"/>
      <w:r>
        <w:rPr>
          <w:rFonts w:ascii="Book Antiqua" w:eastAsia="Book Antiqua" w:hAnsi="Book Antiqua" w:cs="Book Antiqua"/>
          <w:i/>
          <w:iCs/>
          <w:color w:val="000000" w:themeColor="text1"/>
        </w:rPr>
        <w:t>etc.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12-16]</w:t>
      </w:r>
      <w:r>
        <w:rPr>
          <w:rFonts w:ascii="Book Antiqua" w:eastAsia="Book Antiqua" w:hAnsi="Book Antiqua" w:cs="Book Antiqua"/>
          <w:color w:val="000000" w:themeColor="text1"/>
        </w:rPr>
        <w:t xml:space="preserve">. However, there are few externally validated reports that studied on the use of radiomics to assess the risk of early recurrence </w:t>
      </w:r>
      <w:r>
        <w:rPr>
          <w:rFonts w:ascii="Book Antiqua" w:eastAsia="宋体" w:hAnsi="Book Antiqua" w:cs="Book Antiqua" w:hint="eastAsia"/>
          <w:color w:val="000000" w:themeColor="text1"/>
          <w:lang w:eastAsia="zh-CN"/>
        </w:rPr>
        <w:t>in</w:t>
      </w:r>
      <w:r>
        <w:rPr>
          <w:rFonts w:ascii="Book Antiqua" w:eastAsia="Book Antiqua" w:hAnsi="Book Antiqua" w:cs="Book Antiqua"/>
          <w:color w:val="000000" w:themeColor="text1"/>
        </w:rPr>
        <w:t xml:space="preserve"> HCC patients after surgery.</w:t>
      </w:r>
    </w:p>
    <w:p w14:paraId="34A132C5" w14:textId="77777777" w:rsidR="0068222A"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In this study, we aimed to establish a radiomics model to predict early recurrence for patients who underwent radical resection based on </w:t>
      </w:r>
      <w:r>
        <w:rPr>
          <w:rFonts w:ascii="Book Antiqua" w:eastAsia="宋体" w:hAnsi="Book Antiqua" w:cs="Book Antiqua" w:hint="eastAsia"/>
          <w:color w:val="000000" w:themeColor="text1"/>
          <w:lang w:eastAsia="zh-CN"/>
        </w:rPr>
        <w:t>contrast-</w:t>
      </w:r>
      <w:r>
        <w:rPr>
          <w:rFonts w:ascii="Book Antiqua" w:eastAsia="Book Antiqua" w:hAnsi="Book Antiqua" w:cs="Book Antiqua"/>
          <w:color w:val="000000" w:themeColor="text1"/>
        </w:rPr>
        <w:t xml:space="preserve">enhanced CT </w:t>
      </w:r>
      <w:r>
        <w:rPr>
          <w:rFonts w:ascii="Book Antiqua" w:eastAsia="宋体" w:hAnsi="Book Antiqua" w:cs="Book Antiqua" w:hint="eastAsia"/>
          <w:color w:val="000000" w:themeColor="text1"/>
          <w:lang w:eastAsia="zh-CN"/>
        </w:rPr>
        <w:t xml:space="preserve">(CECT) </w:t>
      </w:r>
      <w:r>
        <w:rPr>
          <w:rFonts w:ascii="Book Antiqua" w:eastAsia="Book Antiqua" w:hAnsi="Book Antiqua" w:cs="Book Antiqua"/>
          <w:color w:val="000000" w:themeColor="text1"/>
        </w:rPr>
        <w:t>and clinical variables, evaluate this model’s performance, and verify its feasibility in clinical application.</w:t>
      </w:r>
    </w:p>
    <w:p w14:paraId="27256D29" w14:textId="77777777" w:rsidR="0068222A" w:rsidRDefault="0068222A">
      <w:pPr>
        <w:spacing w:line="360" w:lineRule="auto"/>
        <w:jc w:val="both"/>
        <w:rPr>
          <w:rFonts w:ascii="Book Antiqua" w:hAnsi="Book Antiqua"/>
          <w:color w:val="000000" w:themeColor="text1"/>
        </w:rPr>
      </w:pPr>
    </w:p>
    <w:p w14:paraId="61D97D35"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MATERIALS AND METHODS</w:t>
      </w:r>
    </w:p>
    <w:p w14:paraId="6FA546BF"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Patients</w:t>
      </w:r>
    </w:p>
    <w:p w14:paraId="32980E31"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We retrospectively enrolled 537 HCC patients from </w:t>
      </w:r>
      <w:r>
        <w:rPr>
          <w:rFonts w:ascii="Book Antiqua" w:eastAsia="宋体" w:hAnsi="Book Antiqua" w:cs="Book Antiqua" w:hint="eastAsia"/>
          <w:color w:val="000000" w:themeColor="text1"/>
          <w:lang w:eastAsia="zh-CN"/>
        </w:rPr>
        <w:t>two</w:t>
      </w:r>
      <w:r>
        <w:rPr>
          <w:rFonts w:ascii="Book Antiqua" w:eastAsia="Book Antiqua" w:hAnsi="Book Antiqua" w:cs="Book Antiqua"/>
          <w:color w:val="000000" w:themeColor="text1"/>
        </w:rPr>
        <w:t xml:space="preserve"> institutions (Affiliated Hospital of Guilin Medical University; Peking University People’s Hospital) who underwent radical resection. According to the exclusion criteria in Figure 1, 277 patients enrolled from October 2009 to May 2017 at</w:t>
      </w:r>
      <w:r>
        <w:rPr>
          <w:rFonts w:ascii="Book Antiqua" w:eastAsia="宋体" w:hAnsi="Book Antiqua" w:cs="Book Antiqua" w:hint="eastAsia"/>
          <w:color w:val="000000" w:themeColor="text1"/>
          <w:lang w:eastAsia="zh-CN"/>
        </w:rPr>
        <w:t xml:space="preserve"> the</w:t>
      </w:r>
      <w:r>
        <w:rPr>
          <w:rFonts w:ascii="Book Antiqua" w:eastAsia="Book Antiqua" w:hAnsi="Book Antiqua" w:cs="Book Antiqua"/>
          <w:color w:val="000000" w:themeColor="text1"/>
        </w:rPr>
        <w:t xml:space="preserve"> Affiliated Hospital of Guilin Medical University were set as the training cohort, while 125 patients enrolled from June 2010 to December 2017 at Peking University People's Hospital were set as the validation cohort. Along with the </w:t>
      </w:r>
      <w:r>
        <w:rPr>
          <w:rFonts w:ascii="Book Antiqua" w:eastAsia="宋体" w:hAnsi="Book Antiqua" w:cs="Book Antiqua" w:hint="eastAsia"/>
          <w:color w:val="000000" w:themeColor="text1"/>
          <w:lang w:eastAsia="zh-CN"/>
        </w:rPr>
        <w:t>CE</w:t>
      </w:r>
      <w:r>
        <w:rPr>
          <w:rFonts w:ascii="Book Antiqua" w:eastAsia="Book Antiqua" w:hAnsi="Book Antiqua" w:cs="Book Antiqua"/>
          <w:color w:val="000000" w:themeColor="text1"/>
        </w:rPr>
        <w:t xml:space="preserve">CT images, information regarding demographic characteristics, clinicopathological data, and laboratory </w:t>
      </w:r>
      <w:r>
        <w:rPr>
          <w:rFonts w:ascii="Book Antiqua" w:eastAsia="宋体" w:hAnsi="Book Antiqua" w:cs="Book Antiqua" w:hint="eastAsia"/>
          <w:color w:val="000000" w:themeColor="text1"/>
          <w:lang w:eastAsia="zh-CN"/>
        </w:rPr>
        <w:t>data</w:t>
      </w:r>
      <w:r>
        <w:rPr>
          <w:rFonts w:ascii="Book Antiqua" w:eastAsia="Book Antiqua" w:hAnsi="Book Antiqua" w:cs="Book Antiqua"/>
          <w:color w:val="000000" w:themeColor="text1"/>
        </w:rPr>
        <w:t xml:space="preserve"> were also retrospectively collected. Patient demographic characteristics included sex and age, while clinicopathological data were collected from electronic case records</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containing </w:t>
      </w:r>
      <w:proofErr w:type="spellStart"/>
      <w:r>
        <w:rPr>
          <w:rFonts w:ascii="Book Antiqua" w:eastAsia="宋体" w:hAnsi="Book Antiqua" w:cs="Book Antiqua"/>
          <w:color w:val="000000" w:themeColor="text1"/>
          <w:lang w:eastAsia="zh-CN"/>
        </w:rPr>
        <w:t>tumour</w:t>
      </w:r>
      <w:proofErr w:type="spellEnd"/>
      <w:r>
        <w:rPr>
          <w:rFonts w:ascii="Book Antiqua" w:eastAsia="Book Antiqua" w:hAnsi="Book Antiqua" w:cs="Book Antiqua"/>
          <w:color w:val="000000" w:themeColor="text1"/>
        </w:rPr>
        <w:t xml:space="preserve"> size and vascular invasion. Furthermore, laboratory data were collected before surgery, including routine blood test, liver function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w:t>
      </w:r>
      <w:bookmarkStart w:id="60" w:name="OLE_LINK6080"/>
      <w:bookmarkStart w:id="61" w:name="OLE_LINK5962"/>
      <w:bookmarkStart w:id="62" w:name="OLE_LINK5961"/>
      <w:bookmarkStart w:id="63" w:name="OLE_LINK5960"/>
      <w:r>
        <w:rPr>
          <w:rFonts w:ascii="Book Antiqua" w:eastAsia="Book Antiqua" w:hAnsi="Book Antiqua" w:cs="Book Antiqua"/>
          <w:color w:val="000000" w:themeColor="text1"/>
        </w:rPr>
        <w:t>alpha</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fetoprotein</w:t>
      </w:r>
      <w:bookmarkEnd w:id="60"/>
      <w:bookmarkEnd w:id="61"/>
      <w:bookmarkEnd w:id="62"/>
      <w:bookmarkEnd w:id="63"/>
      <w:r>
        <w:rPr>
          <w:rFonts w:ascii="Book Antiqua" w:eastAsia="Book Antiqua" w:hAnsi="Book Antiqua" w:cs="Book Antiqua"/>
          <w:color w:val="000000" w:themeColor="text1"/>
        </w:rPr>
        <w:t xml:space="preserve"> (AFP) level.</w:t>
      </w:r>
    </w:p>
    <w:p w14:paraId="0E652A92" w14:textId="77777777" w:rsidR="0068222A" w:rsidRDefault="0068222A">
      <w:pPr>
        <w:spacing w:line="360" w:lineRule="auto"/>
        <w:jc w:val="both"/>
        <w:rPr>
          <w:rFonts w:ascii="Book Antiqua" w:hAnsi="Book Antiqua"/>
          <w:color w:val="000000" w:themeColor="text1"/>
        </w:rPr>
      </w:pPr>
    </w:p>
    <w:p w14:paraId="5A1EE26D"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Diagnostic criteria and exclusion criteria</w:t>
      </w:r>
    </w:p>
    <w:p w14:paraId="6DE1630F"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All enrolled patients were diagnosed with HCC by postoperative pathological examination; solitary HCC was confirmed by preoperative</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CE</w:t>
      </w:r>
      <w:r>
        <w:rPr>
          <w:rFonts w:ascii="Book Antiqua" w:eastAsia="Book Antiqua" w:hAnsi="Book Antiqua" w:cs="Book Antiqua"/>
          <w:color w:val="000000" w:themeColor="text1"/>
        </w:rPr>
        <w:t>CT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and intraoperative palpation or US. In addition to </w:t>
      </w:r>
      <w:r>
        <w:rPr>
          <w:rFonts w:ascii="Book Antiqua" w:eastAsia="宋体" w:hAnsi="Book Antiqua" w:cs="Book Antiqua"/>
          <w:color w:val="000000" w:themeColor="text1"/>
          <w:lang w:eastAsia="zh-CN"/>
        </w:rPr>
        <w:t>CECT</w:t>
      </w:r>
      <w:r>
        <w:rPr>
          <w:rFonts w:ascii="Book Antiqua" w:eastAsia="Book Antiqua" w:hAnsi="Book Antiqua" w:cs="Book Antiqua"/>
          <w:color w:val="000000" w:themeColor="text1"/>
        </w:rPr>
        <w:t>, at least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US and MRI supported an HCC diagnosis. Radical resection </w:t>
      </w:r>
      <w:r>
        <w:rPr>
          <w:rFonts w:ascii="Book Antiqua" w:eastAsia="宋体" w:hAnsi="Book Antiqua" w:cs="Book Antiqua" w:hint="eastAsia"/>
          <w:color w:val="000000" w:themeColor="text1"/>
          <w:lang w:eastAsia="zh-CN"/>
        </w:rPr>
        <w:t>was</w:t>
      </w:r>
      <w:r>
        <w:rPr>
          <w:rFonts w:ascii="Book Antiqua" w:eastAsia="Book Antiqua" w:hAnsi="Book Antiqua" w:cs="Book Antiqua"/>
          <w:color w:val="000000" w:themeColor="text1"/>
        </w:rPr>
        <w:t xml:space="preserve"> defined as complete removal of the </w:t>
      </w:r>
      <w:proofErr w:type="spellStart"/>
      <w:r>
        <w:rPr>
          <w:rFonts w:ascii="Book Antiqua" w:eastAsia="宋体" w:hAnsi="Book Antiqua" w:cs="Book Antiqua"/>
          <w:color w:val="000000" w:themeColor="text1"/>
          <w:lang w:eastAsia="zh-CN"/>
        </w:rPr>
        <w:t>tumour</w:t>
      </w:r>
      <w:proofErr w:type="spellEnd"/>
      <w:r>
        <w:rPr>
          <w:rFonts w:ascii="Book Antiqua" w:eastAsia="Book Antiqua" w:hAnsi="Book Antiqua" w:cs="Book Antiqua"/>
          <w:color w:val="000000" w:themeColor="text1"/>
        </w:rPr>
        <w:t xml:space="preserve"> with no residual </w:t>
      </w:r>
      <w:proofErr w:type="spellStart"/>
      <w:r>
        <w:rPr>
          <w:rFonts w:ascii="Book Antiqua" w:eastAsia="宋体" w:hAnsi="Book Antiqua" w:cs="Book Antiqua"/>
          <w:color w:val="000000" w:themeColor="text1"/>
          <w:lang w:eastAsia="zh-CN"/>
        </w:rPr>
        <w:t>tumour</w:t>
      </w:r>
      <w:proofErr w:type="spellEnd"/>
      <w:r>
        <w:rPr>
          <w:rFonts w:ascii="Book Antiqua" w:eastAsia="Book Antiqua" w:hAnsi="Book Antiqua" w:cs="Book Antiqua"/>
          <w:color w:val="000000" w:themeColor="text1"/>
        </w:rPr>
        <w:t xml:space="preserve"> or new lesion observed in two observations at an interval of no less than 4 wk. Two independent pathologists </w:t>
      </w:r>
      <w:proofErr w:type="spellStart"/>
      <w:r>
        <w:rPr>
          <w:rFonts w:ascii="Book Antiqua" w:eastAsia="Book Antiqua" w:hAnsi="Book Antiqua" w:cs="Book Antiqua"/>
          <w:color w:val="000000" w:themeColor="text1"/>
        </w:rPr>
        <w:t>histopathologically</w:t>
      </w:r>
      <w:proofErr w:type="spellEnd"/>
      <w:r>
        <w:rPr>
          <w:rFonts w:ascii="Book Antiqua" w:eastAsia="Book Antiqua" w:hAnsi="Book Antiqua" w:cs="Book Antiqua"/>
          <w:color w:val="000000" w:themeColor="text1"/>
        </w:rPr>
        <w:t xml:space="preserve"> examined resected </w:t>
      </w:r>
      <w:proofErr w:type="spellStart"/>
      <w:r>
        <w:rPr>
          <w:rFonts w:ascii="Book Antiqua" w:eastAsia="宋体" w:hAnsi="Book Antiqua" w:cs="Book Antiqua"/>
          <w:color w:val="000000" w:themeColor="text1"/>
          <w:lang w:eastAsia="zh-CN"/>
        </w:rPr>
        <w:t>tumour</w:t>
      </w:r>
      <w:proofErr w:type="spellEnd"/>
      <w:r>
        <w:rPr>
          <w:rFonts w:ascii="Book Antiqua" w:eastAsia="Book Antiqua" w:hAnsi="Book Antiqua" w:cs="Book Antiqua"/>
          <w:color w:val="000000" w:themeColor="text1"/>
        </w:rPr>
        <w:t xml:space="preserve"> specimens. The main exclusion criteria were as follows: (1) </w:t>
      </w:r>
      <w:r>
        <w:rPr>
          <w:rFonts w:ascii="Book Antiqua" w:eastAsia="宋体" w:hAnsi="Book Antiqua" w:cs="Book Antiqua"/>
          <w:color w:val="000000" w:themeColor="text1"/>
          <w:lang w:eastAsia="zh-CN"/>
        </w:rPr>
        <w:t>CECT</w:t>
      </w:r>
      <w:r>
        <w:rPr>
          <w:rFonts w:ascii="Book Antiqua" w:eastAsia="Book Antiqua" w:hAnsi="Book Antiqua" w:cs="Book Antiqua"/>
          <w:color w:val="000000" w:themeColor="text1"/>
        </w:rPr>
        <w:t xml:space="preserve"> image unavailable; (2) </w:t>
      </w:r>
      <w:r>
        <w:rPr>
          <w:rFonts w:ascii="Book Antiqua" w:eastAsia="宋体" w:hAnsi="Book Antiqua" w:cs="Book Antiqua"/>
          <w:color w:val="000000" w:themeColor="text1"/>
          <w:lang w:eastAsia="zh-CN"/>
        </w:rPr>
        <w:t>CECT</w:t>
      </w:r>
      <w:r>
        <w:rPr>
          <w:rFonts w:ascii="Book Antiqua" w:eastAsia="Book Antiqua" w:hAnsi="Book Antiqua" w:cs="Book Antiqua"/>
          <w:color w:val="000000" w:themeColor="text1"/>
        </w:rPr>
        <w:t xml:space="preserve"> scan over 1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before operation; (3) previous treatment including hepatectomy, </w:t>
      </w:r>
      <w:r>
        <w:rPr>
          <w:rFonts w:ascii="Book Antiqua" w:eastAsia="Book Antiqua" w:hAnsi="Book Antiqua" w:cs="Book Antiqua"/>
          <w:color w:val="000000" w:themeColor="text1"/>
        </w:rPr>
        <w:lastRenderedPageBreak/>
        <w:t>ablation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or </w:t>
      </w:r>
      <w:proofErr w:type="spellStart"/>
      <w:r>
        <w:rPr>
          <w:rFonts w:ascii="Book Antiqua" w:eastAsia="Book Antiqua" w:hAnsi="Book Antiqua" w:cs="Book Antiqua" w:hint="eastAsia"/>
          <w:color w:val="000000" w:themeColor="text1"/>
          <w:lang w:eastAsia="zh-CN"/>
        </w:rPr>
        <w:t>t</w:t>
      </w:r>
      <w:r>
        <w:rPr>
          <w:rFonts w:ascii="Book Antiqua" w:eastAsia="Book Antiqua" w:hAnsi="Book Antiqua" w:cs="Book Antiqua"/>
          <w:color w:val="000000" w:themeColor="text1"/>
        </w:rPr>
        <w:t>ransarterial</w:t>
      </w:r>
      <w:proofErr w:type="spellEnd"/>
      <w:r>
        <w:rPr>
          <w:rFonts w:ascii="Book Antiqua" w:eastAsia="Book Antiqua" w:hAnsi="Book Antiqua" w:cs="Book Antiqua"/>
          <w:color w:val="000000" w:themeColor="text1"/>
        </w:rPr>
        <w:t xml:space="preserve"> chemoembolization; and (4) incomplete clinical or follow-up data.</w:t>
      </w:r>
    </w:p>
    <w:p w14:paraId="7AA23320" w14:textId="77777777" w:rsidR="0068222A" w:rsidRDefault="0068222A">
      <w:pPr>
        <w:spacing w:line="360" w:lineRule="auto"/>
        <w:jc w:val="both"/>
        <w:rPr>
          <w:rFonts w:ascii="Book Antiqua" w:hAnsi="Book Antiqua"/>
          <w:color w:val="000000" w:themeColor="text1"/>
        </w:rPr>
      </w:pPr>
    </w:p>
    <w:p w14:paraId="3B905C6B"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Follow-up surveillance</w:t>
      </w:r>
    </w:p>
    <w:p w14:paraId="2C365036"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Postoperative surveillance at each institution was conducted according to the protocol. Patients were followed every 2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within the first 2 years and every 3-6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after 2 years postoperatively</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abdominal ultrasonography, serum AFP</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other serological tests</w:t>
      </w:r>
      <w:r>
        <w:rPr>
          <w:rFonts w:ascii="Book Antiqua" w:eastAsia="宋体" w:hAnsi="Book Antiqua" w:cs="Book Antiqua" w:hint="eastAsia"/>
          <w:color w:val="000000" w:themeColor="text1"/>
          <w:lang w:eastAsia="zh-CN"/>
        </w:rPr>
        <w:t xml:space="preserve"> were performed)</w:t>
      </w:r>
      <w:r>
        <w:rPr>
          <w:rFonts w:ascii="Book Antiqua" w:eastAsia="Book Antiqua" w:hAnsi="Book Antiqua" w:cs="Book Antiqua"/>
          <w:color w:val="000000" w:themeColor="text1"/>
        </w:rPr>
        <w:t xml:space="preserve">. </w:t>
      </w:r>
      <w:bookmarkStart w:id="64" w:name="OLE_LINK5964"/>
      <w:bookmarkStart w:id="65" w:name="OLE_LINK5963"/>
      <w:r>
        <w:rPr>
          <w:rFonts w:ascii="Book Antiqua" w:eastAsia="宋体" w:hAnsi="Book Antiqua" w:cs="Book Antiqua"/>
          <w:color w:val="000000" w:themeColor="text1"/>
          <w:lang w:eastAsia="zh-CN"/>
        </w:rPr>
        <w:t>CECT</w:t>
      </w:r>
      <w:bookmarkEnd w:id="64"/>
      <w:bookmarkEnd w:id="65"/>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or MRI examination was performed if recurrence was suspected. OS was determined as the interval between the operation date and the date of death or last follow-up. </w:t>
      </w:r>
      <w:bookmarkStart w:id="66" w:name="OLE_LINK6079"/>
      <w:bookmarkStart w:id="67" w:name="OLE_LINK6078"/>
      <w:r>
        <w:rPr>
          <w:rFonts w:ascii="Book Antiqua" w:eastAsia="Book Antiqua" w:hAnsi="Book Antiqua" w:cs="Book Antiqua"/>
          <w:color w:val="000000" w:themeColor="text1"/>
        </w:rPr>
        <w:t>Recurrence-free survival</w:t>
      </w:r>
      <w:bookmarkEnd w:id="66"/>
      <w:bookmarkEnd w:id="67"/>
      <w:r>
        <w:rPr>
          <w:rFonts w:ascii="Book Antiqua" w:eastAsia="Book Antiqua" w:hAnsi="Book Antiqua" w:cs="Book Antiqua"/>
          <w:color w:val="000000" w:themeColor="text1"/>
        </w:rPr>
        <w:t xml:space="preserve"> (RFS) was determined from the operation date of radical surgery to the date of the first recurrence at any site, death</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or the last follow-up. Recurrence within 2 years </w:t>
      </w:r>
      <w:r>
        <w:rPr>
          <w:rFonts w:ascii="Book Antiqua" w:eastAsia="宋体" w:hAnsi="Book Antiqua" w:cs="Book Antiqua"/>
          <w:color w:val="000000" w:themeColor="text1"/>
          <w:lang w:eastAsia="zh-CN"/>
        </w:rPr>
        <w:t xml:space="preserve">after </w:t>
      </w:r>
      <w:r>
        <w:rPr>
          <w:rFonts w:ascii="Book Antiqua" w:eastAsia="Book Antiqua" w:hAnsi="Book Antiqua" w:cs="Book Antiqua"/>
          <w:color w:val="000000" w:themeColor="text1"/>
        </w:rPr>
        <w:t xml:space="preserve">operation was considered </w:t>
      </w:r>
      <w:r>
        <w:rPr>
          <w:rFonts w:ascii="Book Antiqua" w:eastAsia="宋体" w:hAnsi="Book Antiqua" w:cs="Book Antiqua"/>
          <w:color w:val="000000" w:themeColor="text1"/>
          <w:lang w:eastAsia="zh-CN"/>
        </w:rPr>
        <w:t>as</w:t>
      </w:r>
      <w:r>
        <w:rPr>
          <w:rFonts w:ascii="Book Antiqua" w:eastAsia="Book Antiqua" w:hAnsi="Book Antiqua" w:cs="Book Antiqua"/>
          <w:color w:val="000000" w:themeColor="text1"/>
        </w:rPr>
        <w:t xml:space="preserve"> early recurrence.</w:t>
      </w:r>
    </w:p>
    <w:p w14:paraId="3AAFEB34" w14:textId="77777777" w:rsidR="0068222A" w:rsidRDefault="0068222A">
      <w:pPr>
        <w:spacing w:line="360" w:lineRule="auto"/>
        <w:jc w:val="both"/>
        <w:rPr>
          <w:rFonts w:ascii="Book Antiqua" w:hAnsi="Book Antiqua"/>
          <w:color w:val="000000" w:themeColor="text1"/>
        </w:rPr>
      </w:pPr>
    </w:p>
    <w:p w14:paraId="09DEFD97"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CT image acquisition</w:t>
      </w:r>
    </w:p>
    <w:p w14:paraId="4AB33936"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w:t>
      </w:r>
      <w:r>
        <w:rPr>
          <w:rFonts w:ascii="Book Antiqua" w:eastAsia="宋体" w:hAnsi="Book Antiqua" w:cs="Book Antiqua"/>
          <w:color w:val="000000" w:themeColor="text1"/>
          <w:lang w:eastAsia="zh-CN"/>
        </w:rPr>
        <w:t>CECT</w:t>
      </w:r>
      <w:r>
        <w:rPr>
          <w:rFonts w:ascii="Book Antiqua" w:eastAsia="Book Antiqua" w:hAnsi="Book Antiqua" w:cs="Book Antiqua"/>
          <w:color w:val="000000" w:themeColor="text1"/>
        </w:rPr>
        <w:t xml:space="preserve"> images were obtained from each institution according to routine procedures, and the usage of contrast medium is described in the Supplementary material.</w:t>
      </w:r>
    </w:p>
    <w:p w14:paraId="58A69EAA" w14:textId="77777777" w:rsidR="0068222A" w:rsidRDefault="0068222A">
      <w:pPr>
        <w:spacing w:line="360" w:lineRule="auto"/>
        <w:jc w:val="both"/>
        <w:rPr>
          <w:rFonts w:ascii="Book Antiqua" w:hAnsi="Book Antiqua"/>
          <w:color w:val="000000" w:themeColor="text1"/>
        </w:rPr>
      </w:pPr>
    </w:p>
    <w:p w14:paraId="0B21B5A1"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Region of interest segmentation and radiomics feature extraction</w:t>
      </w:r>
    </w:p>
    <w:p w14:paraId="27419B1C" w14:textId="77777777" w:rsidR="0068222A" w:rsidRDefault="00000000">
      <w:pPr>
        <w:spacing w:line="360" w:lineRule="auto"/>
        <w:jc w:val="both"/>
        <w:rPr>
          <w:rFonts w:ascii="Book Antiqua" w:hAnsi="Book Antiqua"/>
          <w:color w:val="000000" w:themeColor="text1"/>
        </w:rPr>
      </w:pPr>
      <w:bookmarkStart w:id="68" w:name="OLE_LINK6091"/>
      <w:bookmarkStart w:id="69" w:name="OLE_LINK6092"/>
      <w:r>
        <w:rPr>
          <w:rFonts w:ascii="Book Antiqua" w:eastAsia="Book Antiqua" w:hAnsi="Book Antiqua" w:cs="Book Antiqua"/>
          <w:color w:val="000000" w:themeColor="text1"/>
        </w:rPr>
        <w:t>Regions of interest</w:t>
      </w:r>
      <w:bookmarkEnd w:id="68"/>
      <w:bookmarkEnd w:id="69"/>
      <w:r>
        <w:rPr>
          <w:rFonts w:ascii="Book Antiqua" w:eastAsia="Book Antiqua" w:hAnsi="Book Antiqua" w:cs="Book Antiqua"/>
          <w:color w:val="000000" w:themeColor="text1"/>
        </w:rPr>
        <w:t xml:space="preserve"> (ROIs) were defined as the </w:t>
      </w:r>
      <w:proofErr w:type="spellStart"/>
      <w:r>
        <w:rPr>
          <w:rFonts w:ascii="Book Antiqua" w:eastAsia="宋体" w:hAnsi="Book Antiqua" w:cs="Book Antiqua"/>
          <w:color w:val="000000" w:themeColor="text1"/>
          <w:lang w:eastAsia="zh-CN"/>
        </w:rPr>
        <w:t>tumour</w:t>
      </w:r>
      <w:proofErr w:type="spellEnd"/>
      <w:r>
        <w:rPr>
          <w:rFonts w:ascii="Book Antiqua" w:eastAsia="Book Antiqua" w:hAnsi="Book Antiqua" w:cs="Book Antiqua"/>
          <w:color w:val="000000" w:themeColor="text1"/>
        </w:rPr>
        <w:t xml:space="preserve"> areas in both arterial and portal venous phases, which were delineated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3D Slicer (v4.11, https://www.slicer.org) by two experienced radiologists (Reader 1: H.Y</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with 10 years of working experience; reader 2: Z.Z. with 20 years of working experience). If they could not reach a consensus, the third radiologist intervened in the evaluation.</w:t>
      </w:r>
    </w:p>
    <w:p w14:paraId="1AE84ECD" w14:textId="77777777" w:rsidR="0068222A"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To minimize the variability and normalize the CT images, all the images were resampled to a voxel size of 1 mm × 1 mm × 1 </w:t>
      </w:r>
      <w:r>
        <w:rPr>
          <w:rFonts w:ascii="Book Antiqua" w:eastAsia="宋体" w:hAnsi="Book Antiqua" w:cs="Book Antiqua"/>
          <w:color w:val="000000" w:themeColor="text1"/>
          <w:lang w:eastAsia="zh-CN"/>
        </w:rPr>
        <w:t>m</w:t>
      </w:r>
      <w:r>
        <w:rPr>
          <w:rFonts w:ascii="Book Antiqua" w:eastAsia="Book Antiqua" w:hAnsi="Book Antiqua" w:cs="Book Antiqua"/>
          <w:color w:val="000000" w:themeColor="text1"/>
        </w:rPr>
        <w:t xml:space="preserve">m. Then, the radiomics features were extracted from the ROI segments based on the </w:t>
      </w:r>
      <w:proofErr w:type="spellStart"/>
      <w:r>
        <w:rPr>
          <w:rFonts w:ascii="Book Antiqua" w:eastAsia="Book Antiqua" w:hAnsi="Book Antiqua" w:cs="Book Antiqua"/>
          <w:color w:val="000000" w:themeColor="text1"/>
        </w:rPr>
        <w:t>Pyradiomics</w:t>
      </w:r>
      <w:proofErr w:type="spellEnd"/>
      <w:r>
        <w:rPr>
          <w:rFonts w:ascii="Book Antiqua" w:eastAsia="Book Antiqua" w:hAnsi="Book Antiqua" w:cs="Book Antiqua"/>
          <w:color w:val="000000" w:themeColor="text1"/>
        </w:rPr>
        <w:t xml:space="preserve"> package (version 3.0.1). The categories of radiomics features were as follows: First-order statistics, shape-based features (2D</w:t>
      </w:r>
      <w:r>
        <w:rPr>
          <w:rFonts w:ascii="Book Antiqua" w:eastAsia="宋体" w:hAnsi="Book Antiqua" w:cs="Book Antiqua" w:hint="eastAsia"/>
          <w:color w:val="000000" w:themeColor="text1"/>
          <w:lang w:eastAsia="zh-CN"/>
        </w:rPr>
        <w:t xml:space="preserve"> and</w:t>
      </w:r>
      <w:r>
        <w:rPr>
          <w:rFonts w:ascii="Book Antiqua" w:eastAsia="Book Antiqua" w:hAnsi="Book Antiqua" w:cs="Book Antiqua"/>
          <w:color w:val="000000" w:themeColor="text1"/>
        </w:rPr>
        <w:t xml:space="preserve"> 3D), grey level cooccurrence matrix (GLCM), grey level run length </w:t>
      </w:r>
      <w:r>
        <w:rPr>
          <w:rFonts w:ascii="Book Antiqua" w:eastAsia="Book Antiqua" w:hAnsi="Book Antiqua" w:cs="Book Antiqua"/>
          <w:color w:val="000000" w:themeColor="text1"/>
        </w:rPr>
        <w:lastRenderedPageBreak/>
        <w:t xml:space="preserve">matrix (GLRLM), grey level size zone matrix (GLZM), </w:t>
      </w:r>
      <w:proofErr w:type="spellStart"/>
      <w:r>
        <w:rPr>
          <w:rFonts w:ascii="Book Antiqua" w:eastAsia="Book Antiqua" w:hAnsi="Book Antiqua" w:cs="Book Antiqua"/>
          <w:color w:val="000000" w:themeColor="text1"/>
        </w:rPr>
        <w:t>neighbouring</w:t>
      </w:r>
      <w:proofErr w:type="spellEnd"/>
      <w:r>
        <w:rPr>
          <w:rFonts w:ascii="Book Antiqua" w:eastAsia="Book Antiqua" w:hAnsi="Book Antiqua" w:cs="Book Antiqua"/>
          <w:color w:val="000000" w:themeColor="text1"/>
        </w:rPr>
        <w:t xml:space="preserve"> grey tone difference matrix (NGTDM), and grey level dependence matrix (GLDM). LASSO Cox regression was performed to filter and obtain the early recurrence-related radiomics features according to the minimum criteria with 10-fold cross-validation. The radiomics score was determined according to the coefficients.</w:t>
      </w:r>
    </w:p>
    <w:p w14:paraId="5D23C8D7" w14:textId="77777777" w:rsidR="0068222A" w:rsidRDefault="0068222A">
      <w:pPr>
        <w:spacing w:line="360" w:lineRule="auto"/>
        <w:jc w:val="both"/>
        <w:rPr>
          <w:rFonts w:ascii="Book Antiqua" w:hAnsi="Book Antiqua"/>
          <w:color w:val="000000" w:themeColor="text1"/>
        </w:rPr>
      </w:pPr>
    </w:p>
    <w:p w14:paraId="40DCCD0D"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Modelling and validation</w:t>
      </w:r>
    </w:p>
    <w:p w14:paraId="71B3499B"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radiomics and clinical </w:t>
      </w:r>
      <w:r>
        <w:rPr>
          <w:rFonts w:ascii="Book Antiqua" w:eastAsia="宋体" w:hAnsi="Book Antiqua" w:cs="Book Antiqua"/>
          <w:color w:val="000000" w:themeColor="text1"/>
          <w:lang w:eastAsia="zh-CN"/>
        </w:rPr>
        <w:t xml:space="preserve">combined </w:t>
      </w:r>
      <w:r>
        <w:rPr>
          <w:rFonts w:ascii="Book Antiqua" w:eastAsia="Book Antiqua" w:hAnsi="Book Antiqua" w:cs="Book Antiqua"/>
          <w:color w:val="000000" w:themeColor="text1"/>
        </w:rPr>
        <w:t xml:space="preserve">model was developed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univariate and multivariate analyses, in which the optimal cut-off value of the radiomics score was determined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X-tile (Version 3.6.1). The candidate clinical indicators were hepatitis B surface antigen (HBsAg) (positive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i/>
          <w:iCs/>
          <w:color w:val="000000" w:themeColor="text1"/>
        </w:rPr>
        <w:t>vs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negative), cirrhosis (present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i/>
          <w:iCs/>
          <w:color w:val="000000" w:themeColor="text1"/>
        </w:rPr>
        <w:t>vs</w:t>
      </w:r>
      <w:r>
        <w:rPr>
          <w:rFonts w:ascii="Book Antiqua" w:eastAsia="宋体" w:hAnsi="Book Antiqua" w:cs="Book Antiqua" w:hint="eastAsia"/>
          <w:i/>
          <w:iCs/>
          <w:color w:val="000000" w:themeColor="text1"/>
          <w:lang w:eastAsia="zh-CN"/>
        </w:rPr>
        <w:t xml:space="preserve"> </w:t>
      </w:r>
      <w:r>
        <w:rPr>
          <w:rFonts w:ascii="Book Antiqua" w:eastAsia="Book Antiqua" w:hAnsi="Book Antiqua" w:cs="Book Antiqua"/>
          <w:color w:val="000000" w:themeColor="text1"/>
        </w:rPr>
        <w:t xml:space="preserve">absent), </w:t>
      </w:r>
      <w:bookmarkStart w:id="70" w:name="OLE_LINK6110"/>
      <w:bookmarkStart w:id="71" w:name="OLE_LINK6109"/>
      <w:r>
        <w:rPr>
          <w:rFonts w:ascii="Book Antiqua" w:eastAsia="Book Antiqua" w:hAnsi="Book Antiqua" w:cs="Book Antiqua"/>
          <w:color w:val="000000" w:themeColor="text1"/>
        </w:rPr>
        <w:t>microvascular invasion</w:t>
      </w:r>
      <w:bookmarkEnd w:id="70"/>
      <w:bookmarkEnd w:id="71"/>
      <w:r>
        <w:rPr>
          <w:rFonts w:ascii="Book Antiqua" w:eastAsia="Book Antiqua" w:hAnsi="Book Antiqua" w:cs="Book Antiqua"/>
          <w:color w:val="000000" w:themeColor="text1"/>
        </w:rPr>
        <w:t xml:space="preserve"> (MVI) (present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i/>
          <w:iCs/>
          <w:color w:val="000000" w:themeColor="text1"/>
        </w:rPr>
        <w:t>vs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absent), serum AFP (&gt; 200 </w:t>
      </w:r>
      <w:r>
        <w:rPr>
          <w:rFonts w:ascii="Book Antiqua" w:eastAsia="Book Antiqua" w:hAnsi="Book Antiqua" w:cs="Book Antiqua"/>
          <w:i/>
          <w:iCs/>
          <w:color w:val="000000" w:themeColor="text1"/>
        </w:rPr>
        <w:t xml:space="preserve">vs </w:t>
      </w:r>
      <w:r>
        <w:rPr>
          <w:rFonts w:ascii="Book Antiqua" w:eastAsia="Book Antiqua" w:hAnsi="Book Antiqua" w:cs="Book Antiqua"/>
          <w:color w:val="000000" w:themeColor="text1"/>
        </w:rPr>
        <w:t xml:space="preserve">≤ 200 ng/mL), </w:t>
      </w:r>
      <w:proofErr w:type="spellStart"/>
      <w:r>
        <w:rPr>
          <w:rFonts w:ascii="Book Antiqua" w:eastAsia="宋体" w:hAnsi="Book Antiqua" w:cs="Book Antiqua"/>
          <w:color w:val="000000" w:themeColor="text1"/>
          <w:lang w:eastAsia="zh-CN"/>
        </w:rPr>
        <w:t>tumour</w:t>
      </w:r>
      <w:proofErr w:type="spellEnd"/>
      <w:r>
        <w:rPr>
          <w:rFonts w:ascii="Book Antiqua" w:eastAsia="Book Antiqua" w:hAnsi="Book Antiqua" w:cs="Book Antiqua"/>
          <w:color w:val="000000" w:themeColor="text1"/>
        </w:rPr>
        <w:t xml:space="preserve"> size (cm), platelets (× 10</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/L), gamma-glutamyl transpeptidase</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themeColor="text1"/>
        </w:rPr>
        <w:t>GGT</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(U/L)</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ALBI. The combined model was presented as a nomogram and validated in an independent cohort.</w:t>
      </w:r>
    </w:p>
    <w:p w14:paraId="061BB001" w14:textId="77777777" w:rsidR="0068222A" w:rsidRDefault="0068222A">
      <w:pPr>
        <w:spacing w:line="360" w:lineRule="auto"/>
        <w:jc w:val="both"/>
        <w:rPr>
          <w:rFonts w:ascii="Book Antiqua" w:hAnsi="Book Antiqua"/>
          <w:color w:val="000000" w:themeColor="text1"/>
        </w:rPr>
      </w:pPr>
    </w:p>
    <w:p w14:paraId="6F3BD108"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Statistical analysis</w:t>
      </w:r>
    </w:p>
    <w:p w14:paraId="64CF025C"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Continuous variables that follow a normal distribution are shown as the mean ± SD and were compared by using</w:t>
      </w:r>
      <w:r>
        <w:rPr>
          <w:rFonts w:ascii="Book Antiqua" w:eastAsia="宋体" w:hAnsi="Book Antiqua" w:cs="Book Antiqua" w:hint="eastAsia"/>
          <w:color w:val="000000" w:themeColor="text1"/>
          <w:lang w:eastAsia="zh-CN"/>
        </w:rPr>
        <w:t xml:space="preserve"> the</w:t>
      </w:r>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themeColor="text1"/>
        </w:rPr>
        <w:t>Student’s</w:t>
      </w:r>
      <w:proofErr w:type="gram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t</w:t>
      </w:r>
      <w:r>
        <w:rPr>
          <w:rFonts w:ascii="Book Antiqua" w:eastAsia="Book Antiqua" w:hAnsi="Book Antiqua" w:cs="Book Antiqua"/>
          <w:color w:val="000000" w:themeColor="text1"/>
        </w:rPr>
        <w:t xml:space="preserve"> test. Otherwise, the Mann</w:t>
      </w:r>
      <w:r>
        <w:rPr>
          <w:rFonts w:eastAsia="Book Antiqua"/>
          <w:color w:val="000000" w:themeColor="text1"/>
        </w:rPr>
        <w:t>-</w:t>
      </w:r>
      <w:r>
        <w:rPr>
          <w:rFonts w:ascii="Book Antiqua" w:eastAsia="Book Antiqua" w:hAnsi="Book Antiqua" w:cs="Book Antiqua"/>
          <w:color w:val="000000" w:themeColor="text1"/>
        </w:rPr>
        <w:t xml:space="preserve">Whitney </w:t>
      </w:r>
      <w:r>
        <w:rPr>
          <w:rFonts w:ascii="Book Antiqua" w:eastAsia="Book Antiqua" w:hAnsi="Book Antiqua" w:cs="Book Antiqua"/>
          <w:i/>
          <w:iCs/>
          <w:color w:val="000000" w:themeColor="text1"/>
        </w:rPr>
        <w:t>U</w:t>
      </w:r>
      <w:r>
        <w:rPr>
          <w:rFonts w:ascii="Book Antiqua" w:eastAsia="Book Antiqua" w:hAnsi="Book Antiqua" w:cs="Book Antiqua"/>
          <w:color w:val="000000" w:themeColor="text1"/>
        </w:rPr>
        <w:t xml:space="preserve"> test was performed. Categorical variables were compared by chi-squared tests. RFS and OS analyses were conducted by using the Kaplan</w:t>
      </w:r>
      <w:r>
        <w:rPr>
          <w:rFonts w:eastAsia="Book Antiqua"/>
          <w:color w:val="000000" w:themeColor="text1"/>
        </w:rPr>
        <w:t>-</w:t>
      </w:r>
      <w:r>
        <w:rPr>
          <w:rFonts w:ascii="Book Antiqua" w:eastAsia="Book Antiqua" w:hAnsi="Book Antiqua" w:cs="Book Antiqua"/>
          <w:color w:val="000000" w:themeColor="text1"/>
        </w:rPr>
        <w:t xml:space="preserve">Meier method and </w:t>
      </w:r>
      <w:r>
        <w:rPr>
          <w:rFonts w:ascii="Book Antiqua" w:eastAsia="宋体" w:hAnsi="Book Antiqua" w:cs="Book Antiqua"/>
          <w:color w:val="000000" w:themeColor="text1"/>
          <w:lang w:eastAsia="zh-CN"/>
        </w:rPr>
        <w:t xml:space="preserve">compared by </w:t>
      </w:r>
      <w:r>
        <w:rPr>
          <w:rFonts w:ascii="Book Antiqua" w:eastAsia="Book Antiqua" w:hAnsi="Book Antiqua" w:cs="Book Antiqua"/>
          <w:color w:val="000000" w:themeColor="text1"/>
        </w:rPr>
        <w:t>log-rank test among different groups. Time-dependent</w:t>
      </w:r>
      <w:r>
        <w:rPr>
          <w:rFonts w:ascii="Book Antiqua" w:eastAsia="宋体" w:hAnsi="Book Antiqua" w:cs="Book Antiqua"/>
          <w:color w:val="000000" w:themeColor="text1"/>
          <w:lang w:eastAsia="zh-CN"/>
        </w:rPr>
        <w:t xml:space="preserve"> </w:t>
      </w:r>
      <w:bookmarkStart w:id="72" w:name="OLE_LINK6076"/>
      <w:bookmarkStart w:id="73" w:name="OLE_LINK6077"/>
      <w:r>
        <w:rPr>
          <w:rFonts w:ascii="Book Antiqua" w:eastAsia="Book Antiqua" w:hAnsi="Book Antiqua" w:cs="Book Antiqua"/>
          <w:color w:val="000000" w:themeColor="text1"/>
        </w:rPr>
        <w:t>receiver operating characteristic</w:t>
      </w:r>
      <w:bookmarkEnd w:id="72"/>
      <w:bookmarkEnd w:id="73"/>
      <w:r>
        <w:rPr>
          <w:rFonts w:ascii="Book Antiqua" w:eastAsia="Book Antiqua" w:hAnsi="Book Antiqua" w:cs="Book Antiqua"/>
          <w:color w:val="000000" w:themeColor="text1"/>
        </w:rPr>
        <w:t xml:space="preserve"> (ROC) curves were plotted based on the </w:t>
      </w:r>
      <w:proofErr w:type="spellStart"/>
      <w:r>
        <w:rPr>
          <w:rFonts w:ascii="Book Antiqua" w:eastAsia="Book Antiqua" w:hAnsi="Book Antiqua" w:cs="Book Antiqua"/>
          <w:color w:val="000000" w:themeColor="text1"/>
        </w:rPr>
        <w:t>timeROC</w:t>
      </w:r>
      <w:proofErr w:type="spellEnd"/>
      <w:r>
        <w:rPr>
          <w:rFonts w:ascii="Book Antiqua" w:eastAsia="Book Antiqua" w:hAnsi="Book Antiqua" w:cs="Book Antiqua"/>
          <w:color w:val="000000" w:themeColor="text1"/>
        </w:rPr>
        <w:t xml:space="preserve"> package. The concordance index (C-index) was determined to evaluate the predictive ability of the combined model. The calibration curves were plotted </w:t>
      </w:r>
      <w:r>
        <w:rPr>
          <w:rFonts w:ascii="Book Antiqua" w:eastAsia="宋体" w:hAnsi="Book Antiqua" w:cs="Book Antiqua" w:hint="eastAsia"/>
          <w:color w:val="000000" w:themeColor="text1"/>
          <w:lang w:eastAsia="zh-CN"/>
        </w:rPr>
        <w:t>with</w:t>
      </w:r>
      <w:r>
        <w:rPr>
          <w:rFonts w:ascii="Book Antiqua" w:eastAsia="Book Antiqua" w:hAnsi="Book Antiqua" w:cs="Book Antiqua"/>
          <w:color w:val="000000" w:themeColor="text1"/>
        </w:rPr>
        <w:t xml:space="preserve"> the rms package, while decision curve analysis (DCA) was based on the </w:t>
      </w:r>
      <w:proofErr w:type="spellStart"/>
      <w:r>
        <w:rPr>
          <w:rFonts w:ascii="Book Antiqua" w:eastAsia="Book Antiqua" w:hAnsi="Book Antiqua" w:cs="Book Antiqua"/>
          <w:color w:val="000000" w:themeColor="text1"/>
        </w:rPr>
        <w:t>rmda</w:t>
      </w:r>
      <w:proofErr w:type="spellEnd"/>
      <w:r>
        <w:rPr>
          <w:rFonts w:ascii="Book Antiqua" w:eastAsia="Book Antiqua" w:hAnsi="Book Antiqua" w:cs="Book Antiqua"/>
          <w:color w:val="000000" w:themeColor="text1"/>
        </w:rPr>
        <w:t xml:space="preserve"> package. SPSS18.0 (SPSS Inc., Chicago, IL, U</w:t>
      </w:r>
      <w:r>
        <w:rPr>
          <w:rFonts w:ascii="Book Antiqua" w:eastAsia="Book Antiqua" w:hAnsi="Book Antiqua" w:cs="Book Antiqua" w:hint="eastAsia"/>
          <w:color w:val="000000" w:themeColor="text1"/>
          <w:lang w:eastAsia="zh-CN"/>
        </w:rPr>
        <w:t>n</w:t>
      </w:r>
      <w:r>
        <w:rPr>
          <w:rFonts w:ascii="Book Antiqua" w:eastAsia="Book Antiqua" w:hAnsi="Book Antiqua" w:cs="Book Antiqua"/>
          <w:color w:val="000000" w:themeColor="text1"/>
          <w:lang w:eastAsia="zh-CN"/>
        </w:rPr>
        <w:t>ited S</w:t>
      </w:r>
      <w:r>
        <w:rPr>
          <w:rFonts w:ascii="Book Antiqua" w:eastAsia="Book Antiqua" w:hAnsi="Book Antiqua" w:cs="Book Antiqua" w:hint="eastAsia"/>
          <w:color w:val="000000" w:themeColor="text1"/>
          <w:lang w:eastAsia="zh-CN"/>
        </w:rPr>
        <w:t>ta</w:t>
      </w:r>
      <w:r>
        <w:rPr>
          <w:rFonts w:ascii="Book Antiqua" w:eastAsia="Book Antiqua" w:hAnsi="Book Antiqua" w:cs="Book Antiqua"/>
          <w:color w:val="000000" w:themeColor="text1"/>
          <w:lang w:eastAsia="zh-CN"/>
        </w:rPr>
        <w:t>tes</w:t>
      </w:r>
      <w:r>
        <w:rPr>
          <w:rFonts w:ascii="Book Antiqua" w:eastAsia="Book Antiqua" w:hAnsi="Book Antiqua" w:cs="Book Antiqua"/>
          <w:color w:val="000000" w:themeColor="text1"/>
        </w:rPr>
        <w:t>) and R (version 4.0.3, https://www.rproject.org/) were used for statistical analys</w:t>
      </w:r>
      <w:r>
        <w:rPr>
          <w:rFonts w:ascii="Book Antiqua" w:eastAsia="宋体" w:hAnsi="Book Antiqua" w:cs="Book Antiqua" w:hint="eastAsia"/>
          <w:color w:val="000000" w:themeColor="text1"/>
          <w:lang w:eastAsia="zh-CN"/>
        </w:rPr>
        <w:t>e</w:t>
      </w:r>
      <w:r>
        <w:rPr>
          <w:rFonts w:ascii="Book Antiqua" w:eastAsia="Book Antiqua" w:hAnsi="Book Antiqua" w:cs="Book Antiqua"/>
          <w:color w:val="000000" w:themeColor="text1"/>
        </w:rPr>
        <w:t xml:space="preserve">s.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was considered statistically significant.</w:t>
      </w:r>
    </w:p>
    <w:p w14:paraId="749A7755" w14:textId="77777777" w:rsidR="0068222A" w:rsidRDefault="0068222A">
      <w:pPr>
        <w:spacing w:line="360" w:lineRule="auto"/>
        <w:jc w:val="both"/>
        <w:rPr>
          <w:rFonts w:ascii="Book Antiqua" w:hAnsi="Book Antiqua"/>
          <w:color w:val="000000" w:themeColor="text1"/>
        </w:rPr>
      </w:pPr>
    </w:p>
    <w:p w14:paraId="64E0F801"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lastRenderedPageBreak/>
        <w:t>RESULTS</w:t>
      </w:r>
    </w:p>
    <w:p w14:paraId="25972F95"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Patient characteristics</w:t>
      </w:r>
    </w:p>
    <w:p w14:paraId="34092C37"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total of 402 patients </w:t>
      </w:r>
      <w:r>
        <w:rPr>
          <w:rFonts w:ascii="Book Antiqua" w:eastAsia="宋体" w:hAnsi="Book Antiqua" w:cs="Book Antiqua" w:hint="eastAsia"/>
          <w:color w:val="000000" w:themeColor="text1"/>
          <w:lang w:eastAsia="zh-CN"/>
        </w:rPr>
        <w:t xml:space="preserve">who underwent </w:t>
      </w:r>
      <w:r>
        <w:rPr>
          <w:rFonts w:ascii="Book Antiqua" w:eastAsia="Book Antiqua" w:hAnsi="Book Antiqua" w:cs="Book Antiqua"/>
          <w:color w:val="000000" w:themeColor="text1"/>
        </w:rPr>
        <w:t xml:space="preserve">preoperative </w:t>
      </w:r>
      <w:r>
        <w:rPr>
          <w:rFonts w:ascii="Book Antiqua" w:eastAsia="宋体" w:hAnsi="Book Antiqua" w:cs="Book Antiqua" w:hint="eastAsia"/>
          <w:color w:val="000000" w:themeColor="text1"/>
          <w:lang w:eastAsia="zh-CN"/>
        </w:rPr>
        <w:t>CECT</w:t>
      </w:r>
      <w:r>
        <w:rPr>
          <w:rFonts w:ascii="Book Antiqua" w:eastAsia="Book Antiqua" w:hAnsi="Book Antiqua" w:cs="Book Antiqua"/>
          <w:color w:val="000000" w:themeColor="text1"/>
        </w:rPr>
        <w:t xml:space="preserve"> were enrolled according to the exclusion criteria from </w:t>
      </w:r>
      <w:r>
        <w:rPr>
          <w:rFonts w:ascii="Book Antiqua" w:eastAsia="宋体" w:hAnsi="Book Antiqua" w:cs="Book Antiqua" w:hint="eastAsia"/>
          <w:color w:val="000000" w:themeColor="text1"/>
          <w:lang w:eastAsia="zh-CN"/>
        </w:rPr>
        <w:t>two</w:t>
      </w:r>
      <w:r>
        <w:rPr>
          <w:rFonts w:ascii="Book Antiqua" w:eastAsia="Book Antiqua" w:hAnsi="Book Antiqua" w:cs="Book Antiqua"/>
          <w:color w:val="000000" w:themeColor="text1"/>
        </w:rPr>
        <w:t xml:space="preserve"> institutions, and the baseline characteristics are illustrated in Table 1. There were no significant differences </w:t>
      </w:r>
      <w:r>
        <w:rPr>
          <w:rFonts w:ascii="Book Antiqua" w:eastAsia="宋体" w:hAnsi="Book Antiqua" w:cs="Book Antiqua" w:hint="eastAsia"/>
          <w:color w:val="000000" w:themeColor="text1"/>
          <w:lang w:eastAsia="zh-CN"/>
        </w:rPr>
        <w:t xml:space="preserve">in the variables evaluated </w:t>
      </w:r>
      <w:r>
        <w:rPr>
          <w:rFonts w:ascii="Book Antiqua" w:eastAsia="Book Antiqua" w:hAnsi="Book Antiqua" w:cs="Book Antiqua"/>
          <w:color w:val="000000" w:themeColor="text1"/>
        </w:rPr>
        <w:t>between the two cohorts except aspartate aminotransferase (AST); most patients were male (both 85.6</w:t>
      </w:r>
      <w:r>
        <w:rPr>
          <w:rFonts w:ascii="Book Antiqua" w:eastAsiaTheme="minorEastAsia" w:hAnsi="Book Antiqua" w:cs="Book Antiqua" w:hint="eastAsia"/>
          <w:color w:val="000000" w:themeColor="text1"/>
          <w:lang w:eastAsia="zh-CN"/>
        </w:rPr>
        <w:t>0</w:t>
      </w:r>
      <w:r>
        <w:rPr>
          <w:rFonts w:ascii="Book Antiqua" w:eastAsia="Book Antiqua" w:hAnsi="Book Antiqua" w:cs="Book Antiqua"/>
          <w:color w:val="000000" w:themeColor="text1"/>
        </w:rPr>
        <w:t>%), with liver cirrhosis (92.</w:t>
      </w:r>
      <w:r>
        <w:rPr>
          <w:rFonts w:ascii="Book Antiqua" w:eastAsia="宋体" w:hAnsi="Book Antiqua" w:cs="Book Antiqua" w:hint="eastAsia"/>
          <w:color w:val="000000" w:themeColor="text1"/>
          <w:lang w:eastAsia="zh-CN"/>
        </w:rPr>
        <w:t>06</w:t>
      </w:r>
      <w:r>
        <w:rPr>
          <w:rFonts w:ascii="Book Antiqua" w:eastAsia="Book Antiqua" w:hAnsi="Book Antiqua" w:cs="Book Antiqua"/>
          <w:color w:val="000000" w:themeColor="text1"/>
        </w:rPr>
        <w:t>% and 93.6</w:t>
      </w:r>
      <w:r>
        <w:rPr>
          <w:rFonts w:ascii="Book Antiqua" w:eastAsiaTheme="minorEastAsia" w:hAnsi="Book Antiqua" w:cs="Book Antiqua" w:hint="eastAsia"/>
          <w:color w:val="000000" w:themeColor="text1"/>
          <w:lang w:eastAsia="zh-CN"/>
        </w:rPr>
        <w:t>0</w:t>
      </w:r>
      <w:r>
        <w:rPr>
          <w:rFonts w:ascii="Book Antiqua" w:eastAsia="Book Antiqua" w:hAnsi="Book Antiqua" w:cs="Book Antiqua"/>
          <w:color w:val="000000" w:themeColor="text1"/>
        </w:rPr>
        <w:t>%) and HBV-related HCC (83.</w:t>
      </w:r>
      <w:r>
        <w:rPr>
          <w:rFonts w:ascii="Book Antiqua" w:eastAsia="宋体" w:hAnsi="Book Antiqua" w:cs="Book Antiqua" w:hint="eastAsia"/>
          <w:color w:val="000000" w:themeColor="text1"/>
          <w:lang w:eastAsia="zh-CN"/>
        </w:rPr>
        <w:t>75</w:t>
      </w:r>
      <w:r>
        <w:rPr>
          <w:rFonts w:ascii="Book Antiqua" w:eastAsia="Book Antiqua" w:hAnsi="Book Antiqua" w:cs="Book Antiqua"/>
          <w:color w:val="000000" w:themeColor="text1"/>
        </w:rPr>
        <w:t>% and 82.4</w:t>
      </w:r>
      <w:r>
        <w:rPr>
          <w:rFonts w:ascii="Book Antiqua" w:eastAsiaTheme="minorEastAsia" w:hAnsi="Book Antiqua" w:cs="Book Antiqua" w:hint="eastAsia"/>
          <w:color w:val="000000" w:themeColor="text1"/>
          <w:lang w:eastAsia="zh-CN"/>
        </w:rPr>
        <w:t>0</w:t>
      </w:r>
      <w:r>
        <w:rPr>
          <w:rFonts w:ascii="Book Antiqua" w:eastAsia="Book Antiqua" w:hAnsi="Book Antiqua" w:cs="Book Antiqua"/>
          <w:color w:val="000000" w:themeColor="text1"/>
        </w:rPr>
        <w:t xml:space="preserve">%, respectively). In institution 1, the median follow-up time was 54.2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the median OS time was 40.0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and the early recurrence rate was 36.8</w:t>
      </w:r>
      <w:r>
        <w:rPr>
          <w:rFonts w:ascii="Book Antiqua" w:eastAsiaTheme="minorEastAsia" w:hAnsi="Book Antiqua" w:cs="Book Antiqua" w:hint="eastAsia"/>
          <w:color w:val="000000" w:themeColor="text1"/>
          <w:lang w:eastAsia="zh-CN"/>
        </w:rPr>
        <w:t>2</w:t>
      </w:r>
      <w:r>
        <w:rPr>
          <w:rFonts w:ascii="Book Antiqua" w:eastAsia="Book Antiqua" w:hAnsi="Book Antiqua" w:cs="Book Antiqua"/>
          <w:color w:val="000000" w:themeColor="text1"/>
        </w:rPr>
        <w:t xml:space="preserve">% (102 recurred among 277). In institution 2, the median follow-up time was 50.7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the OS time was 37.0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and the early recurrence rate was 32.8</w:t>
      </w:r>
      <w:r>
        <w:rPr>
          <w:rFonts w:ascii="Book Antiqua" w:eastAsiaTheme="minorEastAsia" w:hAnsi="Book Antiqua" w:cs="Book Antiqua" w:hint="eastAsia"/>
          <w:color w:val="000000" w:themeColor="text1"/>
          <w:lang w:eastAsia="zh-CN"/>
        </w:rPr>
        <w:t>0</w:t>
      </w:r>
      <w:r>
        <w:rPr>
          <w:rFonts w:ascii="Book Antiqua" w:eastAsia="Book Antiqua" w:hAnsi="Book Antiqua" w:cs="Book Antiqua"/>
          <w:color w:val="000000" w:themeColor="text1"/>
        </w:rPr>
        <w:t>% (41 recurred among 125).</w:t>
      </w:r>
    </w:p>
    <w:p w14:paraId="5EF1FF96" w14:textId="77777777" w:rsidR="0068222A" w:rsidRDefault="0068222A">
      <w:pPr>
        <w:spacing w:line="360" w:lineRule="auto"/>
        <w:jc w:val="both"/>
        <w:rPr>
          <w:rFonts w:ascii="Book Antiqua" w:hAnsi="Book Antiqua"/>
          <w:color w:val="000000" w:themeColor="text1"/>
        </w:rPr>
      </w:pPr>
    </w:p>
    <w:p w14:paraId="04E713E2"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Determination of the radiomics score for early recurrence</w:t>
      </w:r>
    </w:p>
    <w:p w14:paraId="2FF27847"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total of 1915 </w:t>
      </w:r>
      <w:r>
        <w:rPr>
          <w:rFonts w:ascii="Book Antiqua" w:eastAsia="宋体" w:hAnsi="Book Antiqua" w:cs="Book Antiqua" w:hint="eastAsia"/>
          <w:color w:val="000000" w:themeColor="text1"/>
          <w:lang w:eastAsia="zh-CN"/>
        </w:rPr>
        <w:t>CE</w:t>
      </w:r>
      <w:r>
        <w:rPr>
          <w:rFonts w:ascii="Book Antiqua" w:eastAsia="Book Antiqua" w:hAnsi="Book Antiqua" w:cs="Book Antiqua"/>
          <w:color w:val="000000" w:themeColor="text1"/>
        </w:rPr>
        <w:t xml:space="preserve">CT-based radiomics features were extracted from </w:t>
      </w:r>
      <w:r>
        <w:rPr>
          <w:rFonts w:ascii="Book Antiqua" w:eastAsia="宋体" w:hAnsi="Book Antiqua" w:cs="Book Antiqua" w:hint="eastAsia"/>
          <w:color w:val="000000" w:themeColor="text1"/>
          <w:lang w:eastAsia="zh-CN"/>
        </w:rPr>
        <w:t xml:space="preserve">images acquired at </w:t>
      </w:r>
      <w:r>
        <w:rPr>
          <w:rFonts w:ascii="Book Antiqua" w:eastAsia="Book Antiqua" w:hAnsi="Book Antiqua" w:cs="Book Antiqua"/>
          <w:color w:val="000000" w:themeColor="text1"/>
        </w:rPr>
        <w:t xml:space="preserve">both </w:t>
      </w:r>
      <w:r>
        <w:rPr>
          <w:rFonts w:ascii="Book Antiqua" w:eastAsia="宋体" w:hAnsi="Book Antiqua" w:cs="Book Antiqua" w:hint="eastAsia"/>
          <w:color w:val="000000" w:themeColor="text1"/>
          <w:lang w:eastAsia="zh-CN"/>
        </w:rPr>
        <w:t xml:space="preserve">the </w:t>
      </w:r>
      <w:r>
        <w:rPr>
          <w:rFonts w:ascii="Book Antiqua" w:eastAsia="Book Antiqua" w:hAnsi="Book Antiqua" w:cs="Book Antiqua"/>
          <w:color w:val="000000" w:themeColor="text1"/>
        </w:rPr>
        <w:t>arterial and portal venous phases among 277 patients in institution 1 as the training cohort. To filter early recurrence-related features, LASSO Cox regression was performed, and 31 features were obtained (</w:t>
      </w:r>
      <w:bookmarkStart w:id="74" w:name="OLE_LINK5968"/>
      <w:bookmarkStart w:id="75" w:name="OLE_LINK5969"/>
      <w:r>
        <w:rPr>
          <w:rFonts w:ascii="Book Antiqua" w:eastAsia="Book Antiqua" w:hAnsi="Book Antiqua" w:cs="Book Antiqua"/>
          <w:color w:val="000000" w:themeColor="text1"/>
        </w:rPr>
        <w:t>Supplementary</w:t>
      </w:r>
      <w:bookmarkEnd w:id="74"/>
      <w:bookmarkEnd w:id="75"/>
      <w:r>
        <w:rPr>
          <w:rFonts w:ascii="Book Antiqua" w:eastAsia="Book Antiqua" w:hAnsi="Book Antiqua" w:cs="Book Antiqua"/>
          <w:color w:val="000000" w:themeColor="text1"/>
        </w:rPr>
        <w:t xml:space="preserve"> </w:t>
      </w:r>
      <w:r>
        <w:rPr>
          <w:rFonts w:ascii="Book Antiqua" w:eastAsia="Book Antiqua" w:hAnsi="Book Antiqua" w:cs="Book Antiqua" w:hint="eastAsia"/>
          <w:color w:val="000000" w:themeColor="text1"/>
          <w:lang w:eastAsia="zh-CN"/>
        </w:rPr>
        <w:t>F</w:t>
      </w:r>
      <w:r>
        <w:rPr>
          <w:rFonts w:ascii="Book Antiqua" w:eastAsia="Book Antiqua" w:hAnsi="Book Antiqua" w:cs="Book Antiqua"/>
          <w:color w:val="000000" w:themeColor="text1"/>
        </w:rPr>
        <w:t xml:space="preserve">igure 1). Figure 2 displays the distribution and correlations among these features. Then, a radiomics score was determined according to the coefficients in Supplementary Table 1 for each patient, and the optimal cut-off value was identified as 15.93, </w:t>
      </w:r>
      <w:r>
        <w:rPr>
          <w:rFonts w:ascii="Book Antiqua" w:eastAsia="宋体" w:hAnsi="Book Antiqua" w:cs="Book Antiqua" w:hint="eastAsia"/>
          <w:color w:val="000000" w:themeColor="text1"/>
          <w:lang w:eastAsia="zh-CN"/>
        </w:rPr>
        <w:t>based on</w:t>
      </w:r>
      <w:r>
        <w:rPr>
          <w:rFonts w:ascii="Book Antiqua" w:eastAsia="Book Antiqua" w:hAnsi="Book Antiqua" w:cs="Book Antiqua"/>
          <w:color w:val="000000" w:themeColor="text1"/>
        </w:rPr>
        <w:t xml:space="preserve"> which the low and high radiomics risk groups were divided accordingly. As shown in Figure 3A, the radiomics scores were significantly different between the early and nonearly recurrence groups, while the area under curve (AUC) value was 0.73 for both institutions (Figure 3B), thus demonstrating the predictive value of the radiomics score for early recurrence HCC.</w:t>
      </w:r>
    </w:p>
    <w:p w14:paraId="03FD17F5" w14:textId="77777777" w:rsidR="0068222A" w:rsidRDefault="0068222A">
      <w:pPr>
        <w:spacing w:line="360" w:lineRule="auto"/>
        <w:jc w:val="both"/>
        <w:rPr>
          <w:rFonts w:ascii="Book Antiqua" w:hAnsi="Book Antiqua"/>
          <w:color w:val="000000" w:themeColor="text1"/>
        </w:rPr>
      </w:pPr>
    </w:p>
    <w:p w14:paraId="1F8CD584"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Development and assessment of the radiomics and clinical combined model</w:t>
      </w:r>
    </w:p>
    <w:p w14:paraId="78E7F5AD" w14:textId="51DAFFDF"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To further improve the predictive performance of the model, univariate and multivariate Cox regression analyses were conducted among the radiomics model and clinicopathologic indicators. The results from univariate analysis (Table 2) illustrated </w:t>
      </w:r>
      <w:r>
        <w:rPr>
          <w:rFonts w:ascii="Book Antiqua" w:eastAsia="Book Antiqua" w:hAnsi="Book Antiqua" w:cs="Book Antiqua"/>
          <w:color w:val="000000" w:themeColor="text1"/>
        </w:rPr>
        <w:lastRenderedPageBreak/>
        <w:t xml:space="preserve">that the radiomics score, MVI, serum AFP, </w:t>
      </w:r>
      <w:proofErr w:type="spellStart"/>
      <w:r>
        <w:rPr>
          <w:rFonts w:ascii="Book Antiqua" w:eastAsia="宋体" w:hAnsi="Book Antiqua" w:cs="Book Antiqua"/>
          <w:color w:val="000000" w:themeColor="text1"/>
          <w:lang w:eastAsia="zh-CN"/>
        </w:rPr>
        <w:t>tumour</w:t>
      </w:r>
      <w:proofErr w:type="spellEnd"/>
      <w:r>
        <w:rPr>
          <w:rFonts w:ascii="Book Antiqua" w:eastAsia="Book Antiqua" w:hAnsi="Book Antiqua" w:cs="Book Antiqua"/>
          <w:color w:val="000000" w:themeColor="text1"/>
        </w:rPr>
        <w:t xml:space="preserve"> size</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GGT were statistically significant and were included in the multivariate analysis. Multivariate analysis showed that radiomics score </w:t>
      </w:r>
      <w:r w:rsidR="001A5D90">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hazard ratio </w:t>
      </w:r>
      <w:r w:rsidR="001A5D90">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HR</w:t>
      </w:r>
      <w:r w:rsidR="001A5D90">
        <w:rPr>
          <w:rFonts w:ascii="Book Antiqua" w:eastAsia="宋体" w:hAnsi="Book Antiqua" w:cs="Book Antiqua"/>
          <w:color w:val="000000" w:themeColor="text1"/>
          <w:lang w:eastAsia="zh-CN"/>
        </w:rPr>
        <w:t>)</w:t>
      </w:r>
      <w:r w:rsidR="001A5D90">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3.86; 95%CI: 2.41-6.16; </w:t>
      </w:r>
      <w:r>
        <w:rPr>
          <w:rFonts w:ascii="Book Antiqua" w:eastAsia="宋体" w:hAnsi="Book Antiqua" w:cs="Book Antiqua"/>
          <w:i/>
          <w:iCs/>
          <w:color w:val="000000" w:themeColor="text1"/>
          <w:lang w:eastAsia="zh-CN"/>
        </w:rPr>
        <w:t>P</w:t>
      </w:r>
      <w:r>
        <w:rPr>
          <w:rFonts w:ascii="Book Antiqua" w:eastAsia="Book Antiqua" w:hAnsi="Book Antiqua" w:cs="Book Antiqua"/>
          <w:color w:val="000000" w:themeColor="text1"/>
        </w:rPr>
        <w:t xml:space="preserve"> &lt; 0.001</w:t>
      </w:r>
      <w:r w:rsidR="001A5D90">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and serum AFP (HR, 1.52; 95%CI: 1.00-2.30;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0.048) were identified as independent predictive indicators for early HCC recurrence.</w:t>
      </w:r>
    </w:p>
    <w:p w14:paraId="75C8EE0C" w14:textId="77777777" w:rsidR="0068222A"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Next, a predictive and visible nomogram was developed based on the radiomics and clinical combined model (Figure 4), and the AUC values of the combined model were 0.79 (95%CI: 0.73-0.84) and 0.77 (95%CI: 0.70-0.83) for 1-year and 2-year recurrence </w:t>
      </w:r>
      <w:r>
        <w:rPr>
          <w:rFonts w:ascii="Book Antiqua" w:eastAsia="宋体" w:hAnsi="Book Antiqua" w:cs="Book Antiqua"/>
          <w:color w:val="000000" w:themeColor="text1"/>
          <w:lang w:eastAsia="zh-CN"/>
        </w:rPr>
        <w:t xml:space="preserve">prediction </w:t>
      </w:r>
      <w:r>
        <w:rPr>
          <w:rFonts w:ascii="Book Antiqua" w:eastAsia="Book Antiqua" w:hAnsi="Book Antiqua" w:cs="Book Antiqua"/>
          <w:color w:val="000000" w:themeColor="text1"/>
        </w:rPr>
        <w:t xml:space="preserve">in the training cohort (Figure 5A), respectively. The AUC values of the validation cohort were 0.65 (95%CI: 0.58-0.73) and 0.74 (95%CI: 0.63-0.77) for 1-year and 2-year recurrence, respectively (Figure 5B). The C-index was 0.712 and 0.674 in the training and validation cohorts, respectively. Moreover, the calibration curves illustrated good agreement between predictive and observed outcomes (Figure 5C and D), while the </w:t>
      </w:r>
      <w:r>
        <w:rPr>
          <w:rFonts w:ascii="Book Antiqua" w:eastAsia="宋体" w:hAnsi="Book Antiqua" w:cs="Book Antiqua" w:hint="eastAsia"/>
          <w:color w:val="000000" w:themeColor="text1"/>
          <w:lang w:eastAsia="zh-CN"/>
        </w:rPr>
        <w:t>DCA</w:t>
      </w:r>
      <w:r>
        <w:rPr>
          <w:rFonts w:ascii="Book Antiqua" w:eastAsia="Book Antiqua" w:hAnsi="Book Antiqua" w:cs="Book Antiqua"/>
          <w:color w:val="000000" w:themeColor="text1"/>
        </w:rPr>
        <w:t xml:space="preserve"> showed that the combined model had a </w:t>
      </w:r>
      <w:r>
        <w:rPr>
          <w:rFonts w:ascii="Book Antiqua" w:eastAsia="宋体" w:hAnsi="Book Antiqua" w:cs="Book Antiqua"/>
          <w:color w:val="000000" w:themeColor="text1"/>
          <w:lang w:eastAsia="zh-CN"/>
        </w:rPr>
        <w:t xml:space="preserve">relative </w:t>
      </w:r>
      <w:r>
        <w:rPr>
          <w:rFonts w:ascii="Book Antiqua" w:eastAsia="Book Antiqua" w:hAnsi="Book Antiqua" w:cs="Book Antiqua"/>
          <w:color w:val="000000" w:themeColor="text1"/>
        </w:rPr>
        <w:t>high net benefit (Figure 5E and F).</w:t>
      </w:r>
    </w:p>
    <w:p w14:paraId="38613A78" w14:textId="77777777" w:rsidR="0068222A" w:rsidRDefault="0068222A">
      <w:pPr>
        <w:spacing w:line="360" w:lineRule="auto"/>
        <w:jc w:val="both"/>
        <w:rPr>
          <w:rFonts w:ascii="Book Antiqua" w:hAnsi="Book Antiqua"/>
          <w:color w:val="000000" w:themeColor="text1"/>
        </w:rPr>
      </w:pPr>
    </w:p>
    <w:p w14:paraId="050CEE08" w14:textId="77777777" w:rsidR="0068222A" w:rsidRDefault="00000000">
      <w:pPr>
        <w:spacing w:line="360" w:lineRule="auto"/>
        <w:jc w:val="both"/>
        <w:rPr>
          <w:rFonts w:ascii="Book Antiqua" w:hAnsi="Book Antiqua"/>
          <w:color w:val="000000" w:themeColor="text1"/>
        </w:rPr>
      </w:pPr>
      <w:r>
        <w:rPr>
          <w:rFonts w:ascii="Book Antiqua" w:eastAsia="宋体" w:hAnsi="Book Antiqua" w:cs="Book Antiqua" w:hint="eastAsia"/>
          <w:b/>
          <w:bCs/>
          <w:i/>
          <w:iCs/>
          <w:color w:val="000000" w:themeColor="text1"/>
          <w:lang w:eastAsia="zh-CN"/>
        </w:rPr>
        <w:t>P</w:t>
      </w:r>
      <w:r>
        <w:rPr>
          <w:rFonts w:ascii="Book Antiqua" w:eastAsia="Book Antiqua" w:hAnsi="Book Antiqua" w:cs="Book Antiqua"/>
          <w:b/>
          <w:bCs/>
          <w:i/>
          <w:iCs/>
          <w:color w:val="000000" w:themeColor="text1"/>
        </w:rPr>
        <w:t>redictive significance and subgroup analysis of the combined model</w:t>
      </w:r>
    </w:p>
    <w:p w14:paraId="5C14539D"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To verify the discrimination ability of the combined model, survival curves for RFS and OS were plotted based on the median risk points in the training and validation cohorts. For early recurrence, the high-risk group was more likely to present recurrence than the low-risk group in both the training and validation cohorts (log-rank,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 xml:space="preserve">&lt; 0.0001 for </w:t>
      </w:r>
      <w:r>
        <w:rPr>
          <w:rFonts w:ascii="Book Antiqua" w:eastAsia="宋体" w:hAnsi="Book Antiqua" w:cs="Book Antiqua" w:hint="eastAsia"/>
          <w:color w:val="000000" w:themeColor="text1"/>
          <w:lang w:eastAsia="zh-CN"/>
        </w:rPr>
        <w:t>both</w:t>
      </w:r>
      <w:r>
        <w:rPr>
          <w:rFonts w:ascii="Book Antiqua" w:eastAsia="Book Antiqua" w:hAnsi="Book Antiqua" w:cs="Book Antiqua"/>
          <w:color w:val="000000" w:themeColor="text1"/>
        </w:rPr>
        <w:t xml:space="preserve">) (Figure 6A and C). Furthermore, OS was significantly different (log-rank,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 xml:space="preserve">&lt; 0.0001 for the training cohort and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0.0446 for the validation cohort) (Figure 6B and D).</w:t>
      </w:r>
    </w:p>
    <w:p w14:paraId="12D89C68" w14:textId="77777777" w:rsidR="0068222A"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Next, we performed subgroup analysis in AFP-negative (</w:t>
      </w:r>
      <w:r>
        <w:rPr>
          <w:rFonts w:ascii="Book Antiqua" w:eastAsia="宋体" w:hAnsi="Book Antiqua" w:cs="Book Antiqua" w:hint="eastAsia"/>
          <w:color w:val="000000" w:themeColor="text1"/>
          <w:lang w:eastAsia="zh-CN"/>
        </w:rPr>
        <w:t>&lt;</w:t>
      </w:r>
      <w:r>
        <w:rPr>
          <w:rFonts w:ascii="Book Antiqua" w:eastAsia="Book Antiqua" w:hAnsi="Book Antiqua" w:cs="Book Antiqua"/>
          <w:color w:val="000000" w:themeColor="text1"/>
        </w:rPr>
        <w:t xml:space="preserve"> 20 ng/mL) and AFP-positive (</w:t>
      </w:r>
      <w:r>
        <w:rPr>
          <w:rFonts w:ascii="Arial" w:eastAsia="Book Antiqua" w:hAnsi="Arial" w:cs="Arial"/>
          <w:color w:val="000000" w:themeColor="text1"/>
        </w:rPr>
        <w:t>≥</w:t>
      </w:r>
      <w:r>
        <w:rPr>
          <w:rFonts w:ascii="Book Antiqua" w:eastAsia="Book Antiqua" w:hAnsi="Book Antiqua" w:cs="Book Antiqua"/>
          <w:color w:val="000000" w:themeColor="text1"/>
        </w:rPr>
        <w:t xml:space="preserve"> 20 ng/mL) groups. Regardless of the AFP level (Figure 6E-H), the model calculated points were closely related to early recurrence and OS (log-rank,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0.0001 for all). The results above illustrated the discrimination ability of the combined model.</w:t>
      </w:r>
    </w:p>
    <w:p w14:paraId="1AF50A9D" w14:textId="77777777" w:rsidR="0068222A" w:rsidRDefault="0068222A">
      <w:pPr>
        <w:spacing w:line="360" w:lineRule="auto"/>
        <w:jc w:val="both"/>
        <w:rPr>
          <w:rFonts w:ascii="Book Antiqua" w:hAnsi="Book Antiqua"/>
          <w:color w:val="000000" w:themeColor="text1"/>
        </w:rPr>
      </w:pPr>
    </w:p>
    <w:p w14:paraId="45A4F1CA"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Representative case reports</w:t>
      </w:r>
    </w:p>
    <w:p w14:paraId="63DCBA88"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Two representative case reports were displayed to demonstrate the distinguishing ability for similar cases (Figure 7). Both of them were male with BCLC A stage HCC and similar ages, and the </w:t>
      </w:r>
      <w:r>
        <w:rPr>
          <w:rFonts w:ascii="Book Antiqua" w:eastAsia="宋体" w:hAnsi="Book Antiqua" w:cs="Book Antiqua" w:hint="eastAsia"/>
          <w:color w:val="000000" w:themeColor="text1"/>
          <w:lang w:eastAsia="zh-CN"/>
        </w:rPr>
        <w:t>ROI</w:t>
      </w:r>
      <w:r>
        <w:rPr>
          <w:rFonts w:ascii="Book Antiqua" w:eastAsia="Book Antiqua" w:hAnsi="Book Antiqua" w:cs="Book Antiqua"/>
          <w:color w:val="000000" w:themeColor="text1"/>
        </w:rPr>
        <w:t xml:space="preserve">, also known as the </w:t>
      </w:r>
      <w:proofErr w:type="spellStart"/>
      <w:r>
        <w:rPr>
          <w:rFonts w:ascii="Book Antiqua" w:eastAsia="宋体" w:hAnsi="Book Antiqua" w:cs="Book Antiqua"/>
          <w:color w:val="000000" w:themeColor="text1"/>
          <w:lang w:eastAsia="zh-CN"/>
        </w:rPr>
        <w:t>tumour</w:t>
      </w:r>
      <w:proofErr w:type="spellEnd"/>
      <w:r>
        <w:rPr>
          <w:rFonts w:ascii="Book Antiqua" w:eastAsia="Book Antiqua" w:hAnsi="Book Antiqua" w:cs="Book Antiqua"/>
          <w:color w:val="000000" w:themeColor="text1"/>
        </w:rPr>
        <w:t xml:space="preserve"> area, was similar in </w:t>
      </w:r>
      <w:proofErr w:type="spellStart"/>
      <w:r>
        <w:rPr>
          <w:rFonts w:ascii="Book Antiqua" w:eastAsia="宋体" w:hAnsi="Book Antiqua" w:cs="Book Antiqua"/>
          <w:color w:val="000000" w:themeColor="text1"/>
          <w:lang w:eastAsia="zh-CN"/>
        </w:rPr>
        <w:t>tumour</w:t>
      </w:r>
      <w:proofErr w:type="spellEnd"/>
      <w:r>
        <w:rPr>
          <w:rFonts w:ascii="Book Antiqua" w:eastAsia="Book Antiqua" w:hAnsi="Book Antiqua" w:cs="Book Antiqua"/>
          <w:color w:val="000000" w:themeColor="text1"/>
        </w:rPr>
        <w:t xml:space="preserve"> size and position. MVI was present in AFP-negative case 1, while MVI was absent in AFP-positive case 2. However, their outcomes were different. Case 1 was both low risk at the radiomics score and model prediction point and without recurrence until the last follow-up. Case 2 was high risk with worse outcomes, and recurrence was present at 14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after the operation. Thus, we conclude</w:t>
      </w:r>
      <w:r>
        <w:rPr>
          <w:rFonts w:ascii="Book Antiqua" w:eastAsia="宋体" w:hAnsi="Book Antiqua" w:cs="Book Antiqua"/>
          <w:color w:val="000000" w:themeColor="text1"/>
          <w:lang w:eastAsia="zh-CN"/>
        </w:rPr>
        <w:t>d</w:t>
      </w:r>
      <w:r>
        <w:rPr>
          <w:rFonts w:ascii="Book Antiqua" w:eastAsia="Book Antiqua" w:hAnsi="Book Antiqua" w:cs="Book Antiqua"/>
          <w:color w:val="000000" w:themeColor="text1"/>
        </w:rPr>
        <w:t xml:space="preserve"> that the radiomics combined model could </w:t>
      </w:r>
      <w:r>
        <w:rPr>
          <w:rFonts w:ascii="Book Antiqua" w:eastAsia="宋体" w:hAnsi="Book Antiqua" w:cs="Book Antiqua"/>
          <w:color w:val="000000" w:themeColor="text1"/>
          <w:lang w:eastAsia="zh-CN"/>
        </w:rPr>
        <w:t xml:space="preserve">support to </w:t>
      </w:r>
      <w:r>
        <w:rPr>
          <w:rFonts w:ascii="Book Antiqua" w:eastAsia="Book Antiqua" w:hAnsi="Book Antiqua" w:cs="Book Antiqua"/>
          <w:color w:val="000000" w:themeColor="text1"/>
        </w:rPr>
        <w:t xml:space="preserve">distinguish similar cases </w:t>
      </w:r>
      <w:r>
        <w:rPr>
          <w:rFonts w:ascii="Book Antiqua" w:eastAsia="宋体" w:hAnsi="Book Antiqua" w:cs="Book Antiqua"/>
          <w:color w:val="000000" w:themeColor="text1"/>
          <w:lang w:eastAsia="zh-CN"/>
        </w:rPr>
        <w:t>using</w:t>
      </w:r>
      <w:r>
        <w:rPr>
          <w:rFonts w:ascii="Book Antiqua" w:eastAsia="Book Antiqua" w:hAnsi="Book Antiqua" w:cs="Book Antiqua"/>
          <w:color w:val="000000" w:themeColor="text1"/>
        </w:rPr>
        <w:t xml:space="preserve"> </w:t>
      </w:r>
      <w:r>
        <w:rPr>
          <w:rFonts w:ascii="Book Antiqua" w:eastAsia="宋体" w:hAnsi="Book Antiqua" w:cs="Book Antiqua"/>
          <w:color w:val="000000" w:themeColor="text1"/>
          <w:lang w:eastAsia="zh-CN"/>
        </w:rPr>
        <w:t>CECT in clinical practice</w:t>
      </w:r>
      <w:r>
        <w:rPr>
          <w:rFonts w:ascii="Book Antiqua" w:eastAsia="Book Antiqua" w:hAnsi="Book Antiqua" w:cs="Book Antiqua"/>
          <w:color w:val="000000" w:themeColor="text1"/>
        </w:rPr>
        <w:t>.</w:t>
      </w:r>
    </w:p>
    <w:p w14:paraId="25ECDFAE" w14:textId="77777777" w:rsidR="0068222A" w:rsidRDefault="0068222A">
      <w:pPr>
        <w:spacing w:line="360" w:lineRule="auto"/>
        <w:jc w:val="both"/>
        <w:rPr>
          <w:rFonts w:ascii="Book Antiqua" w:hAnsi="Book Antiqua"/>
          <w:color w:val="000000" w:themeColor="text1"/>
        </w:rPr>
      </w:pPr>
    </w:p>
    <w:p w14:paraId="0B4DDBBF"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44F3F771" w14:textId="77777777" w:rsidR="0068222A" w:rsidRDefault="00000000">
      <w:pPr>
        <w:spacing w:line="360" w:lineRule="auto"/>
        <w:jc w:val="both"/>
        <w:rPr>
          <w:rFonts w:ascii="Book Antiqua" w:hAnsi="Book Antiqua"/>
          <w:color w:val="000000" w:themeColor="text1"/>
        </w:rPr>
      </w:pPr>
      <w:r>
        <w:rPr>
          <w:rFonts w:ascii="Book Antiqua" w:eastAsia="宋体" w:hAnsi="Book Antiqua" w:cs="Book Antiqua" w:hint="eastAsia"/>
          <w:color w:val="000000" w:themeColor="text1"/>
          <w:lang w:eastAsia="zh-CN"/>
        </w:rPr>
        <w:t>Due to</w:t>
      </w:r>
      <w:r>
        <w:rPr>
          <w:rFonts w:ascii="Book Antiqua" w:eastAsia="Book Antiqua" w:hAnsi="Book Antiqua" w:cs="Book Antiqua"/>
          <w:color w:val="000000" w:themeColor="text1"/>
        </w:rPr>
        <w:t xml:space="preserve"> the lack of indicators to predict early recurrence for patients who underwent radical resection, we determined a radiomics score based on preoperative </w:t>
      </w:r>
      <w:r>
        <w:rPr>
          <w:rFonts w:ascii="Book Antiqua" w:eastAsia="宋体" w:hAnsi="Book Antiqua" w:cs="Book Antiqua"/>
          <w:color w:val="000000" w:themeColor="text1"/>
          <w:lang w:eastAsia="zh-CN"/>
        </w:rPr>
        <w:t>CECT</w:t>
      </w:r>
      <w:r>
        <w:rPr>
          <w:rFonts w:ascii="Book Antiqua" w:eastAsia="Book Antiqua" w:hAnsi="Book Antiqua" w:cs="Book Antiqua"/>
          <w:color w:val="000000" w:themeColor="text1"/>
        </w:rPr>
        <w:t xml:space="preserve"> for patients from </w:t>
      </w:r>
      <w:r>
        <w:rPr>
          <w:rFonts w:ascii="Book Antiqua" w:eastAsia="宋体" w:hAnsi="Book Antiqua" w:cs="Book Antiqua" w:hint="eastAsia"/>
          <w:color w:val="000000" w:themeColor="text1"/>
          <w:lang w:eastAsia="zh-CN"/>
        </w:rPr>
        <w:t>two</w:t>
      </w:r>
      <w:r>
        <w:rPr>
          <w:rFonts w:ascii="Book Antiqua" w:eastAsia="Book Antiqua" w:hAnsi="Book Antiqua" w:cs="Book Antiqua"/>
          <w:color w:val="000000" w:themeColor="text1"/>
        </w:rPr>
        <w:t xml:space="preserve"> independent </w:t>
      </w:r>
      <w:proofErr w:type="spellStart"/>
      <w:r>
        <w:rPr>
          <w:rFonts w:ascii="Book Antiqua" w:eastAsia="Book Antiqua" w:hAnsi="Book Antiqua" w:cs="Book Antiqua"/>
          <w:color w:val="000000" w:themeColor="text1"/>
        </w:rPr>
        <w:t>centres</w:t>
      </w:r>
      <w:proofErr w:type="spellEnd"/>
      <w:r>
        <w:rPr>
          <w:rFonts w:ascii="Book Antiqua" w:eastAsia="Book Antiqua" w:hAnsi="Book Antiqua" w:cs="Book Antiqua"/>
          <w:color w:val="000000" w:themeColor="text1"/>
        </w:rPr>
        <w:t xml:space="preserve">, which was shown to be closely related to the occurrence of early recurrence. Next, serum AFP was included to establish a radiomics and clinical combined model, which elevated the accuracy of the model. The AUC values </w:t>
      </w:r>
      <w:r>
        <w:rPr>
          <w:rFonts w:ascii="Book Antiqua" w:eastAsia="宋体" w:hAnsi="Book Antiqua" w:cs="Book Antiqua" w:hint="eastAsia"/>
          <w:color w:val="000000" w:themeColor="text1"/>
          <w:lang w:eastAsia="zh-CN"/>
        </w:rPr>
        <w:t>for</w:t>
      </w:r>
      <w:r>
        <w:rPr>
          <w:rFonts w:ascii="Book Antiqua" w:eastAsia="Book Antiqua" w:hAnsi="Book Antiqua" w:cs="Book Antiqua"/>
          <w:color w:val="000000" w:themeColor="text1"/>
        </w:rPr>
        <w:t xml:space="preserve"> the </w:t>
      </w:r>
      <w:r>
        <w:rPr>
          <w:rFonts w:ascii="Book Antiqua" w:eastAsia="宋体" w:hAnsi="Book Antiqua" w:cs="Book Antiqua"/>
          <w:color w:val="000000" w:themeColor="text1"/>
          <w:lang w:eastAsia="zh-CN"/>
        </w:rPr>
        <w:t xml:space="preserve">two </w:t>
      </w:r>
      <w:r>
        <w:rPr>
          <w:rFonts w:ascii="Book Antiqua" w:eastAsia="Book Antiqua" w:hAnsi="Book Antiqua" w:cs="Book Antiqua"/>
          <w:color w:val="000000" w:themeColor="text1"/>
        </w:rPr>
        <w:t xml:space="preserve">cohorts were 0.77 and 0.74, respectively, and our findings supported that radiomics is able to be adopted to evaluate the RFS of HCC patients and might </w:t>
      </w:r>
      <w:r>
        <w:rPr>
          <w:rFonts w:ascii="Book Antiqua" w:eastAsia="宋体" w:hAnsi="Book Antiqua" w:cs="Book Antiqua"/>
          <w:color w:val="000000" w:themeColor="text1"/>
          <w:lang w:eastAsia="zh-CN"/>
        </w:rPr>
        <w:t>support</w:t>
      </w:r>
      <w:r>
        <w:rPr>
          <w:rFonts w:ascii="Book Antiqua" w:eastAsia="Book Antiqua" w:hAnsi="Book Antiqua" w:cs="Book Antiqua"/>
          <w:color w:val="000000" w:themeColor="text1"/>
        </w:rPr>
        <w:t xml:space="preserve"> preoperative risk stratification and postoperative surveillance</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themeColor="text1"/>
        </w:rPr>
        <w:t xml:space="preserve">management. Previous studies have illustrated the usage of radiomics in predicting recurrence of </w:t>
      </w:r>
      <w:proofErr w:type="gramStart"/>
      <w:r>
        <w:rPr>
          <w:rFonts w:ascii="Book Antiqua" w:eastAsia="Book Antiqua" w:hAnsi="Book Antiqua" w:cs="Book Antiqua"/>
          <w:color w:val="000000" w:themeColor="text1"/>
        </w:rPr>
        <w:t>HCC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15,16]</w:t>
      </w:r>
      <w:r>
        <w:rPr>
          <w:rFonts w:ascii="Book Antiqua" w:eastAsia="Book Antiqua" w:hAnsi="Book Antiqua" w:cs="Book Antiqua"/>
          <w:color w:val="000000" w:themeColor="text1"/>
        </w:rPr>
        <w:t xml:space="preserve">, but few studies focused on early recurrence and conducted external validation, in which early recurrence </w:t>
      </w:r>
      <w:r>
        <w:rPr>
          <w:rFonts w:ascii="Book Antiqua" w:eastAsia="宋体" w:hAnsi="Book Antiqua" w:cs="Book Antiqua" w:hint="eastAsia"/>
          <w:color w:val="000000" w:themeColor="text1"/>
          <w:lang w:eastAsia="zh-CN"/>
        </w:rPr>
        <w:t>was</w:t>
      </w:r>
      <w:r>
        <w:rPr>
          <w:rFonts w:ascii="Book Antiqua" w:eastAsia="Book Antiqua" w:hAnsi="Book Antiqua" w:cs="Book Antiqua"/>
          <w:color w:val="000000" w:themeColor="text1"/>
        </w:rPr>
        <w:t xml:space="preserve"> defined as recurrence occurring within 2 years. Furthermore, the model divided the </w:t>
      </w:r>
      <w:r>
        <w:rPr>
          <w:rFonts w:ascii="Book Antiqua" w:eastAsia="宋体" w:hAnsi="Book Antiqua" w:cs="Book Antiqua"/>
          <w:color w:val="000000" w:themeColor="text1"/>
          <w:lang w:eastAsia="zh-CN"/>
        </w:rPr>
        <w:t>HCC patients</w:t>
      </w:r>
      <w:r>
        <w:rPr>
          <w:rFonts w:ascii="Book Antiqua" w:eastAsia="Book Antiqua" w:hAnsi="Book Antiqua" w:cs="Book Antiqua"/>
          <w:color w:val="000000" w:themeColor="text1"/>
        </w:rPr>
        <w:t xml:space="preserve"> into </w:t>
      </w:r>
      <w:r>
        <w:rPr>
          <w:rFonts w:ascii="Book Antiqua" w:eastAsia="宋体" w:hAnsi="Book Antiqua" w:cs="Book Antiqua" w:hint="eastAsia"/>
          <w:color w:val="000000" w:themeColor="text1"/>
          <w:lang w:eastAsia="zh-CN"/>
        </w:rPr>
        <w:t>two</w:t>
      </w:r>
      <w:r>
        <w:rPr>
          <w:rFonts w:ascii="Book Antiqua" w:eastAsia="Book Antiqua" w:hAnsi="Book Antiqua" w:cs="Book Antiqua"/>
          <w:color w:val="000000" w:themeColor="text1"/>
        </w:rPr>
        <w:t xml:space="preserve"> </w:t>
      </w:r>
      <w:r>
        <w:rPr>
          <w:rFonts w:ascii="Book Antiqua" w:eastAsia="宋体" w:hAnsi="Book Antiqua" w:cs="Book Antiqua"/>
          <w:color w:val="000000" w:themeColor="text1"/>
          <w:lang w:eastAsia="zh-CN"/>
        </w:rPr>
        <w:t xml:space="preserve">risk </w:t>
      </w:r>
      <w:r>
        <w:rPr>
          <w:rFonts w:ascii="Book Antiqua" w:eastAsia="Book Antiqua" w:hAnsi="Book Antiqua" w:cs="Book Antiqua"/>
          <w:color w:val="000000" w:themeColor="text1"/>
        </w:rPr>
        <w:t xml:space="preserve">subgroups with a </w:t>
      </w:r>
      <w:proofErr w:type="spellStart"/>
      <w:r>
        <w:rPr>
          <w:rFonts w:ascii="Book Antiqua" w:eastAsia="Book Antiqua" w:hAnsi="Book Antiqua" w:cs="Book Antiqua"/>
          <w:color w:val="000000" w:themeColor="text1"/>
        </w:rPr>
        <w:t>favourable</w:t>
      </w:r>
      <w:proofErr w:type="spellEnd"/>
      <w:r>
        <w:rPr>
          <w:rFonts w:ascii="Book Antiqua" w:eastAsia="Book Antiqua" w:hAnsi="Book Antiqua" w:cs="Book Antiqua"/>
          <w:color w:val="000000" w:themeColor="text1"/>
        </w:rPr>
        <w:t xml:space="preserve"> distinction of recurrence and a significant difference in OS. AFP-negative subgroup analysis was also performed to evaluate the reliability of the model.</w:t>
      </w:r>
    </w:p>
    <w:p w14:paraId="5E6887B6" w14:textId="77777777" w:rsidR="0068222A"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The heterogeneity in primary</w:t>
      </w:r>
      <w:r>
        <w:rPr>
          <w:rFonts w:ascii="Book Antiqua" w:eastAsia="宋体" w:hAnsi="Book Antiqua" w:cs="Book Antiqua"/>
          <w:color w:val="000000" w:themeColor="text1"/>
          <w:lang w:eastAsia="zh-CN"/>
        </w:rPr>
        <w:t xml:space="preserve"> and</w:t>
      </w:r>
      <w:r>
        <w:rPr>
          <w:rFonts w:ascii="Book Antiqua" w:eastAsia="Book Antiqua" w:hAnsi="Book Antiqua" w:cs="Book Antiqua"/>
          <w:color w:val="000000" w:themeColor="text1"/>
        </w:rPr>
        <w:t xml:space="preserve"> recurrent HCC is quite different. Typically, the gene profile and microenvironments are supposed to be </w:t>
      </w:r>
      <w:r>
        <w:rPr>
          <w:rFonts w:ascii="Book Antiqua" w:eastAsia="宋体" w:hAnsi="Book Antiqua" w:cs="Book Antiqua"/>
          <w:color w:val="000000" w:themeColor="text1"/>
          <w:lang w:eastAsia="zh-CN"/>
        </w:rPr>
        <w:t>able</w:t>
      </w:r>
      <w:r>
        <w:rPr>
          <w:rFonts w:ascii="Book Antiqua" w:eastAsia="Book Antiqua" w:hAnsi="Book Antiqua" w:cs="Book Antiqua"/>
          <w:color w:val="000000" w:themeColor="text1"/>
        </w:rPr>
        <w:t xml:space="preserve"> to distinguish </w:t>
      </w:r>
      <w:proofErr w:type="gramStart"/>
      <w:r>
        <w:rPr>
          <w:rFonts w:ascii="Book Antiqua" w:eastAsia="Book Antiqua" w:hAnsi="Book Antiqua" w:cs="Book Antiqua"/>
          <w:color w:val="000000" w:themeColor="text1"/>
        </w:rPr>
        <w:t>them</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8,9]</w:t>
      </w:r>
      <w:r>
        <w:rPr>
          <w:rFonts w:ascii="Book Antiqua" w:eastAsia="Book Antiqua" w:hAnsi="Book Antiqua" w:cs="Book Antiqua"/>
          <w:color w:val="000000" w:themeColor="text1"/>
        </w:rPr>
        <w:t xml:space="preserve">. </w:t>
      </w:r>
      <w:bookmarkStart w:id="76" w:name="OLE_LINK5971"/>
      <w:bookmarkStart w:id="77" w:name="OLE_LINK5970"/>
      <w:r>
        <w:rPr>
          <w:rFonts w:ascii="Book Antiqua" w:eastAsia="Book Antiqua" w:hAnsi="Book Antiqua" w:cs="Book Antiqua"/>
          <w:color w:val="000000" w:themeColor="text1"/>
        </w:rPr>
        <w:t>Villanueva</w:t>
      </w:r>
      <w:bookmarkEnd w:id="76"/>
      <w:bookmarkEnd w:id="77"/>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17]</w:t>
      </w:r>
      <w:r>
        <w:rPr>
          <w:rFonts w:ascii="Book Antiqua" w:eastAsia="Book Antiqua" w:hAnsi="Book Antiqua" w:cs="Book Antiqua"/>
          <w:color w:val="000000" w:themeColor="text1"/>
        </w:rPr>
        <w:t xml:space="preserve"> developed a composite prognostic model for HCC recurrence based on gene expression in </w:t>
      </w:r>
      <w:proofErr w:type="spellStart"/>
      <w:r>
        <w:rPr>
          <w:rFonts w:ascii="Book Antiqua" w:eastAsia="宋体" w:hAnsi="Book Antiqua" w:cs="Book Antiqua"/>
          <w:color w:val="000000" w:themeColor="text1"/>
          <w:lang w:eastAsia="zh-CN"/>
        </w:rPr>
        <w:t>tumour</w:t>
      </w:r>
      <w:proofErr w:type="spellEnd"/>
      <w:r>
        <w:rPr>
          <w:rFonts w:ascii="Book Antiqua" w:eastAsia="Book Antiqua" w:hAnsi="Book Antiqua" w:cs="Book Antiqua"/>
          <w:color w:val="000000" w:themeColor="text1"/>
        </w:rPr>
        <w:t xml:space="preserve"> tissues. However, the majority of recurrent HCC cases </w:t>
      </w:r>
      <w:r>
        <w:rPr>
          <w:rFonts w:ascii="Book Antiqua" w:eastAsia="Book Antiqua" w:hAnsi="Book Antiqua" w:cs="Book Antiqua"/>
          <w:color w:val="000000" w:themeColor="text1"/>
        </w:rPr>
        <w:lastRenderedPageBreak/>
        <w:t xml:space="preserve">occur within 2 years after surgery, which is regarded as real recurrence. Many studies have indicated that patients with early recurrence have worse outcomes than those with late </w:t>
      </w:r>
      <w:proofErr w:type="gramStart"/>
      <w:r>
        <w:rPr>
          <w:rFonts w:ascii="Book Antiqua" w:eastAsia="Book Antiqua" w:hAnsi="Book Antiqua" w:cs="Book Antiqua"/>
          <w:color w:val="000000" w:themeColor="text1"/>
        </w:rPr>
        <w:t>recurrence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18]</w:t>
      </w:r>
      <w:r>
        <w:rPr>
          <w:rFonts w:ascii="Book Antiqua" w:eastAsia="Book Antiqua" w:hAnsi="Book Antiqua" w:cs="Book Antiqua"/>
          <w:color w:val="000000" w:themeColor="text1"/>
        </w:rPr>
        <w:t xml:space="preserve">. Hence, it is of vital significance to monitor early recurrence in clinical practice. Increasing evidence has illustrated that the immune microenvironment plays a crucial role in the early recurrence of HCC. Sun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19]</w:t>
      </w:r>
      <w:r>
        <w:rPr>
          <w:rFonts w:ascii="Book Antiqua" w:eastAsia="Book Antiqua" w:hAnsi="Book Antiqua" w:cs="Book Antiqua"/>
          <w:color w:val="000000" w:themeColor="text1"/>
        </w:rPr>
        <w:t xml:space="preserve"> revealed the unique characteristics of early relapse HCC at single-cell resolution. Additionally, metabolic microenvironments, such as lipogenesis and glycolysis, might promote oncogenic </w:t>
      </w:r>
      <w:proofErr w:type="gramStart"/>
      <w:r>
        <w:rPr>
          <w:rFonts w:ascii="Book Antiqua" w:eastAsia="Book Antiqua" w:hAnsi="Book Antiqua" w:cs="Book Antiqua"/>
          <w:color w:val="000000" w:themeColor="text1"/>
        </w:rPr>
        <w:t>transformation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20-23]</w:t>
      </w:r>
      <w:r>
        <w:rPr>
          <w:rFonts w:ascii="Book Antiqua" w:eastAsia="Book Antiqua" w:hAnsi="Book Antiqua" w:cs="Book Antiqua"/>
          <w:color w:val="000000" w:themeColor="text1"/>
        </w:rPr>
        <w:t>. The mechanism above reveals the complexity of recurrent HCC. Many staging systems have been applied in the diagnosis and treatment of HCC, including the AJCC TNM staging system and the BCLC and Child</w:t>
      </w:r>
      <w:r>
        <w:rPr>
          <w:rFonts w:eastAsia="Book Antiqua"/>
          <w:color w:val="000000" w:themeColor="text1"/>
        </w:rPr>
        <w:t>‒</w:t>
      </w:r>
      <w:r>
        <w:rPr>
          <w:rFonts w:ascii="Book Antiqua" w:eastAsia="Book Antiqua" w:hAnsi="Book Antiqua" w:cs="Book Antiqua"/>
          <w:color w:val="000000" w:themeColor="text1"/>
        </w:rPr>
        <w:t xml:space="preserve">Pugh staging systems. Nevertheless, none of them are capable of predicting recurrence. Serum AFP level has long been used as an indicator to predict recurrence in both hepatectomy and liver </w:t>
      </w:r>
      <w:proofErr w:type="gramStart"/>
      <w:r>
        <w:rPr>
          <w:rFonts w:ascii="Book Antiqua" w:eastAsia="Book Antiqua" w:hAnsi="Book Antiqua" w:cs="Book Antiqua"/>
          <w:color w:val="000000" w:themeColor="text1"/>
        </w:rPr>
        <w:t>transplantation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24,25]</w:t>
      </w:r>
      <w:r>
        <w:rPr>
          <w:rFonts w:ascii="Book Antiqua" w:eastAsia="Book Antiqua" w:hAnsi="Book Antiqua" w:cs="Book Antiqua"/>
          <w:color w:val="000000" w:themeColor="text1"/>
        </w:rPr>
        <w:t xml:space="preserve">, which showed effect in our model, as well. </w:t>
      </w:r>
    </w:p>
    <w:p w14:paraId="6B2B2CE7" w14:textId="77777777" w:rsidR="0068222A"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Preoperative imaging plays a very important role in the effective diagnosis and treatment of HCC, and </w:t>
      </w:r>
      <w:r>
        <w:rPr>
          <w:rFonts w:ascii="Book Antiqua" w:eastAsia="宋体" w:hAnsi="Book Antiqua" w:cs="Book Antiqua"/>
          <w:color w:val="000000" w:themeColor="text1"/>
          <w:lang w:eastAsia="zh-CN"/>
        </w:rPr>
        <w:t>CECT</w:t>
      </w:r>
      <w:r>
        <w:rPr>
          <w:rFonts w:ascii="Book Antiqua" w:eastAsia="Book Antiqua" w:hAnsi="Book Antiqua" w:cs="Book Antiqua"/>
          <w:color w:val="000000" w:themeColor="text1"/>
        </w:rPr>
        <w:t xml:space="preserve"> is part of this process. For BCLC </w:t>
      </w:r>
      <w:r>
        <w:rPr>
          <w:rFonts w:ascii="Book Antiqua" w:eastAsia="宋体" w:hAnsi="Book Antiqua" w:cs="Book Antiqua" w:hint="eastAsia"/>
          <w:color w:val="000000" w:themeColor="text1"/>
          <w:lang w:eastAsia="zh-CN"/>
        </w:rPr>
        <w:t xml:space="preserve">stages </w:t>
      </w:r>
      <w:r>
        <w:rPr>
          <w:rFonts w:ascii="Book Antiqua" w:eastAsia="Book Antiqua" w:hAnsi="Book Antiqua" w:cs="Book Antiqua"/>
          <w:color w:val="000000" w:themeColor="text1"/>
        </w:rPr>
        <w:t>A and B</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patients, liver resection is considered the main treatment strategy. However, the postoperative recurrence rate is extremely high. Hence, we employed radiomics to explore more details from </w:t>
      </w:r>
      <w:r>
        <w:rPr>
          <w:rFonts w:ascii="Book Antiqua" w:eastAsia="宋体" w:hAnsi="Book Antiqua" w:cs="Book Antiqua"/>
          <w:color w:val="000000" w:themeColor="text1"/>
          <w:lang w:eastAsia="zh-CN"/>
        </w:rPr>
        <w:t>CECT</w:t>
      </w:r>
      <w:r>
        <w:rPr>
          <w:rFonts w:ascii="Book Antiqua" w:eastAsia="Book Antiqua" w:hAnsi="Book Antiqua" w:cs="Book Antiqua"/>
          <w:color w:val="000000" w:themeColor="text1"/>
        </w:rPr>
        <w:t xml:space="preserve"> images. In this study, radiomics scores were determined based on the 31 features. There were 16 features </w:t>
      </w:r>
      <w:r>
        <w:rPr>
          <w:rFonts w:ascii="Book Antiqua" w:eastAsia="宋体" w:hAnsi="Book Antiqua" w:cs="Book Antiqua"/>
          <w:color w:val="000000" w:themeColor="text1"/>
          <w:lang w:eastAsia="zh-CN"/>
        </w:rPr>
        <w:t>extracted</w:t>
      </w:r>
      <w:r>
        <w:rPr>
          <w:rFonts w:ascii="Book Antiqua" w:eastAsia="Book Antiqua" w:hAnsi="Book Antiqua" w:cs="Book Antiqua"/>
          <w:color w:val="000000" w:themeColor="text1"/>
        </w:rPr>
        <w:t xml:space="preserve"> from </w:t>
      </w:r>
      <w:r>
        <w:rPr>
          <w:rFonts w:ascii="Book Antiqua" w:eastAsia="宋体" w:hAnsi="Book Antiqua" w:cs="Book Antiqua" w:hint="eastAsia"/>
          <w:color w:val="000000" w:themeColor="text1"/>
          <w:lang w:eastAsia="zh-CN"/>
        </w:rPr>
        <w:t xml:space="preserve">images in </w:t>
      </w:r>
      <w:r>
        <w:rPr>
          <w:rFonts w:ascii="Book Antiqua" w:eastAsia="Book Antiqua" w:hAnsi="Book Antiqua" w:cs="Book Antiqua"/>
          <w:color w:val="000000" w:themeColor="text1"/>
        </w:rPr>
        <w:t xml:space="preserve">the arterial phase and 15 features from </w:t>
      </w:r>
      <w:r>
        <w:rPr>
          <w:rFonts w:ascii="Book Antiqua" w:eastAsia="宋体" w:hAnsi="Book Antiqua" w:cs="Book Antiqua" w:hint="eastAsia"/>
          <w:color w:val="000000" w:themeColor="text1"/>
          <w:lang w:eastAsia="zh-CN"/>
        </w:rPr>
        <w:t xml:space="preserve">images in </w:t>
      </w:r>
      <w:r>
        <w:rPr>
          <w:rFonts w:ascii="Book Antiqua" w:eastAsia="Book Antiqua" w:hAnsi="Book Antiqua" w:cs="Book Antiqua"/>
          <w:color w:val="000000" w:themeColor="text1"/>
        </w:rPr>
        <w:t xml:space="preserve">the portal venous phase, which was consistent with the diagnosis of HCC depending on the dynamic changes in vascular findings from the arterial phase to portal venous </w:t>
      </w:r>
      <w:proofErr w:type="gramStart"/>
      <w:r>
        <w:rPr>
          <w:rFonts w:ascii="Book Antiqua" w:eastAsia="Book Antiqua" w:hAnsi="Book Antiqua" w:cs="Book Antiqua"/>
          <w:color w:val="000000" w:themeColor="text1"/>
        </w:rPr>
        <w:t>phase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26-29]</w:t>
      </w:r>
      <w:r>
        <w:rPr>
          <w:rFonts w:ascii="Book Antiqua" w:eastAsia="Book Antiqua" w:hAnsi="Book Antiqua" w:cs="Book Antiqua"/>
          <w:color w:val="000000" w:themeColor="text1"/>
        </w:rPr>
        <w:t>. Consistently, among these features, most of them were based on wavelet filter</w:t>
      </w:r>
      <w:r>
        <w:rPr>
          <w:rFonts w:ascii="Book Antiqua" w:eastAsia="宋体" w:hAnsi="Book Antiqua" w:cs="Book Antiqua"/>
          <w:color w:val="000000" w:themeColor="text1"/>
          <w:lang w:eastAsia="zh-CN"/>
        </w:rPr>
        <w:t>ed features that</w:t>
      </w:r>
      <w:r>
        <w:rPr>
          <w:rFonts w:ascii="Book Antiqua" w:eastAsia="Book Antiqua" w:hAnsi="Book Antiqua" w:cs="Book Antiqua"/>
          <w:color w:val="000000" w:themeColor="text1"/>
        </w:rPr>
        <w:t xml:space="preserve"> accounted for the greatest weight, which coincided with the previous </w:t>
      </w:r>
      <w:proofErr w:type="gramStart"/>
      <w:r>
        <w:rPr>
          <w:rFonts w:ascii="Book Antiqua" w:eastAsia="Book Antiqua" w:hAnsi="Book Antiqua" w:cs="Book Antiqua"/>
          <w:color w:val="000000" w:themeColor="text1"/>
        </w:rPr>
        <w:t>stud</w:t>
      </w:r>
      <w:r>
        <w:rPr>
          <w:rFonts w:ascii="Book Antiqua" w:eastAsia="宋体" w:hAnsi="Book Antiqua" w:cs="Book Antiqua"/>
          <w:color w:val="000000" w:themeColor="text1"/>
          <w:lang w:eastAsia="zh-CN"/>
        </w:rPr>
        <w:t>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 xml:space="preserve">, and might represent </w:t>
      </w:r>
      <w:proofErr w:type="spellStart"/>
      <w:r>
        <w:rPr>
          <w:rFonts w:ascii="Book Antiqua" w:eastAsia="宋体" w:hAnsi="Book Antiqua" w:cs="Book Antiqua"/>
          <w:color w:val="000000" w:themeColor="text1"/>
          <w:lang w:eastAsia="zh-CN"/>
        </w:rPr>
        <w:t>tumour</w:t>
      </w:r>
      <w:proofErr w:type="spellEnd"/>
      <w:r>
        <w:rPr>
          <w:rFonts w:ascii="Book Antiqua" w:eastAsia="Book Antiqua" w:hAnsi="Book Antiqua" w:cs="Book Antiqua"/>
          <w:color w:val="000000" w:themeColor="text1"/>
        </w:rPr>
        <w:t xml:space="preserve"> heterogeneity of HCC and peritumoral tissues that were hard to </w:t>
      </w:r>
      <w:r>
        <w:rPr>
          <w:rFonts w:ascii="Book Antiqua" w:eastAsia="宋体" w:hAnsi="Book Antiqua" w:cs="Book Antiqua"/>
          <w:color w:val="000000" w:themeColor="text1"/>
          <w:lang w:eastAsia="zh-CN"/>
        </w:rPr>
        <w:t>explain</w:t>
      </w:r>
      <w:r>
        <w:rPr>
          <w:rFonts w:ascii="Book Antiqua" w:eastAsia="Book Antiqua" w:hAnsi="Book Antiqua" w:cs="Book Antiqua"/>
          <w:color w:val="000000" w:themeColor="text1"/>
        </w:rPr>
        <w:t xml:space="preserve"> and easy to</w:t>
      </w:r>
      <w:r>
        <w:rPr>
          <w:rFonts w:ascii="Book Antiqua" w:eastAsia="宋体" w:hAnsi="Book Antiqua" w:cs="Book Antiqua"/>
          <w:color w:val="000000" w:themeColor="text1"/>
          <w:lang w:eastAsia="zh-CN"/>
        </w:rPr>
        <w:t xml:space="preserve"> be</w:t>
      </w:r>
      <w:r>
        <w:rPr>
          <w:rFonts w:ascii="Book Antiqua" w:eastAsia="Book Antiqua" w:hAnsi="Book Antiqua" w:cs="Book Antiqua"/>
          <w:color w:val="000000" w:themeColor="text1"/>
        </w:rPr>
        <w:t xml:space="preserve"> ignore</w:t>
      </w:r>
      <w:r>
        <w:rPr>
          <w:rFonts w:ascii="Book Antiqua" w:eastAsia="宋体" w:hAnsi="Book Antiqua" w:cs="Book Antiqua"/>
          <w:color w:val="000000" w:themeColor="text1"/>
          <w:lang w:eastAsia="zh-CN"/>
        </w:rPr>
        <w:t>d</w:t>
      </w:r>
      <w:r>
        <w:rPr>
          <w:rFonts w:ascii="Book Antiqua" w:eastAsia="Book Antiqua" w:hAnsi="Book Antiqua" w:cs="Book Antiqua"/>
          <w:color w:val="000000" w:themeColor="text1"/>
        </w:rPr>
        <w:t xml:space="preserve"> by the radiologist. The potential use of radiomics has been widely reported. Hence, we combined radiomics and serum indicators to evaluate the risk of early recurrence, which was validated in an independent cohort. Our findings showed</w:t>
      </w:r>
      <w:r>
        <w:rPr>
          <w:rFonts w:ascii="Book Antiqua" w:eastAsia="宋体" w:hAnsi="Book Antiqua" w:cs="Book Antiqua"/>
          <w:color w:val="000000" w:themeColor="text1"/>
          <w:lang w:eastAsia="zh-CN"/>
        </w:rPr>
        <w:t xml:space="preserve"> </w:t>
      </w:r>
      <w:proofErr w:type="spellStart"/>
      <w:r>
        <w:rPr>
          <w:rFonts w:ascii="Book Antiqua" w:eastAsia="宋体" w:hAnsi="Book Antiqua" w:cs="Book Antiqua"/>
          <w:color w:val="000000" w:themeColor="text1"/>
          <w:lang w:eastAsia="zh-CN"/>
        </w:rPr>
        <w:lastRenderedPageBreak/>
        <w:t>favourable</w:t>
      </w:r>
      <w:proofErr w:type="spellEnd"/>
      <w:r>
        <w:rPr>
          <w:rFonts w:ascii="Book Antiqua" w:eastAsia="Book Antiqua" w:hAnsi="Book Antiqua" w:cs="Book Antiqua"/>
          <w:color w:val="000000" w:themeColor="text1"/>
        </w:rPr>
        <w:t xml:space="preserve"> value in predicting early recurrence for patients with HCC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non-invasive indicators and might guide clinical decisions.</w:t>
      </w:r>
    </w:p>
    <w:p w14:paraId="7266874F" w14:textId="77777777" w:rsidR="0068222A"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There were several limitations in our study. First, because this was a retrospective analysis, inherent biases were inevitable. Second, even though the radiomics features were extracted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a standard process, the features might differ and be critically dependent across CT machines and </w:t>
      </w:r>
      <w:proofErr w:type="spellStart"/>
      <w:r>
        <w:rPr>
          <w:rFonts w:ascii="Book Antiqua" w:eastAsia="Book Antiqua" w:hAnsi="Book Antiqua" w:cs="Book Antiqua"/>
          <w:color w:val="000000" w:themeColor="text1"/>
        </w:rPr>
        <w:t>centres</w:t>
      </w:r>
      <w:proofErr w:type="spellEnd"/>
      <w:r>
        <w:rPr>
          <w:rFonts w:ascii="Book Antiqua" w:eastAsia="Book Antiqua" w:hAnsi="Book Antiqua" w:cs="Book Antiqua"/>
          <w:color w:val="000000" w:themeColor="text1"/>
        </w:rPr>
        <w:t>. Third, with the development of multimodality radiomics, Gd-EOB-DTPA-enhanced MR or 18F-FDG PET/CT ha</w:t>
      </w:r>
      <w:r>
        <w:rPr>
          <w:rFonts w:ascii="Book Antiqua" w:eastAsia="宋体" w:hAnsi="Book Antiqua" w:cs="Book Antiqua" w:hint="eastAsia"/>
          <w:color w:val="000000" w:themeColor="text1"/>
          <w:lang w:eastAsia="zh-CN"/>
        </w:rPr>
        <w:t>s</w:t>
      </w:r>
      <w:r>
        <w:rPr>
          <w:rFonts w:ascii="Book Antiqua" w:eastAsia="Book Antiqua" w:hAnsi="Book Antiqua" w:cs="Book Antiqua"/>
          <w:color w:val="000000" w:themeColor="text1"/>
        </w:rPr>
        <w:t xml:space="preserve"> been widely used and have more </w:t>
      </w:r>
      <w:proofErr w:type="spellStart"/>
      <w:r>
        <w:rPr>
          <w:rFonts w:ascii="Book Antiqua" w:eastAsia="Book Antiqua" w:hAnsi="Book Antiqua" w:cs="Book Antiqua"/>
          <w:color w:val="000000" w:themeColor="text1"/>
        </w:rPr>
        <w:t>favourable</w:t>
      </w:r>
      <w:proofErr w:type="spellEnd"/>
      <w:r>
        <w:rPr>
          <w:rFonts w:ascii="Book Antiqua" w:eastAsia="Book Antiqua" w:hAnsi="Book Antiqua" w:cs="Book Antiqua"/>
          <w:color w:val="000000" w:themeColor="text1"/>
        </w:rPr>
        <w:t xml:space="preserve"> discrimination in adipose tissue and </w:t>
      </w:r>
      <w:proofErr w:type="spellStart"/>
      <w:r>
        <w:rPr>
          <w:rFonts w:ascii="Book Antiqua" w:eastAsia="宋体" w:hAnsi="Book Antiqua" w:cs="Book Antiqua"/>
          <w:color w:val="000000" w:themeColor="text1"/>
          <w:lang w:eastAsia="zh-CN"/>
        </w:rPr>
        <w:t>tumour</w:t>
      </w:r>
      <w:proofErr w:type="spellEnd"/>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themeColor="text1"/>
        </w:rPr>
        <w:t>capsules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30,31]</w:t>
      </w:r>
      <w:r>
        <w:rPr>
          <w:rFonts w:ascii="Book Antiqua" w:eastAsia="Book Antiqua" w:hAnsi="Book Antiqua" w:cs="Book Antiqua"/>
          <w:color w:val="000000" w:themeColor="text1"/>
        </w:rPr>
        <w:t>. Therefore, we should conduct prospective trials with multimodality radiomics to confirm our results.</w:t>
      </w:r>
    </w:p>
    <w:p w14:paraId="6261E965" w14:textId="77777777" w:rsidR="0068222A" w:rsidRDefault="0068222A">
      <w:pPr>
        <w:spacing w:line="360" w:lineRule="auto"/>
        <w:jc w:val="both"/>
        <w:rPr>
          <w:rFonts w:ascii="Book Antiqua" w:hAnsi="Book Antiqua"/>
          <w:color w:val="000000" w:themeColor="text1"/>
        </w:rPr>
      </w:pPr>
    </w:p>
    <w:p w14:paraId="61439FBB"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7A53B32E"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In summary, the radiomics scores calculated herein revealed significant differences between early and nonearly recurrence HCC patients. Then, we integrated the scores with serum AFP to develop a radiomics and clinical combined model that showed advantages and might serve as a powerful tool to predict early recurrence of HCC. We will perform further validation and translate the results into clinical application.</w:t>
      </w:r>
    </w:p>
    <w:p w14:paraId="780DDB47" w14:textId="77777777" w:rsidR="0068222A" w:rsidRDefault="0068222A">
      <w:pPr>
        <w:spacing w:line="360" w:lineRule="auto"/>
        <w:jc w:val="both"/>
        <w:rPr>
          <w:rFonts w:ascii="Book Antiqua" w:hAnsi="Book Antiqua"/>
          <w:color w:val="000000" w:themeColor="text1"/>
        </w:rPr>
      </w:pPr>
    </w:p>
    <w:p w14:paraId="46A21E77"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ARTICLE HIGHLIGHTS</w:t>
      </w:r>
    </w:p>
    <w:p w14:paraId="547795D1"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background</w:t>
      </w:r>
    </w:p>
    <w:p w14:paraId="0ABB63EC"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Hepatocellular carcinoma (HCC) seriously endangers human life and health, but there is still a lack of satisfactory treatment</w:t>
      </w:r>
      <w:r>
        <w:rPr>
          <w:rFonts w:ascii="Book Antiqua" w:eastAsia="宋体" w:hAnsi="Book Antiqua" w:cs="Book Antiqua"/>
          <w:color w:val="000000" w:themeColor="text1"/>
          <w:lang w:eastAsia="zh-CN"/>
        </w:rPr>
        <w:t xml:space="preserve"> options</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E</w:t>
      </w:r>
      <w:r>
        <w:rPr>
          <w:rFonts w:ascii="Book Antiqua" w:eastAsia="Book Antiqua" w:hAnsi="Book Antiqua" w:cs="Book Antiqua"/>
          <w:color w:val="000000" w:themeColor="text1"/>
        </w:rPr>
        <w:t xml:space="preserve">ven if it is diagnosed </w:t>
      </w:r>
      <w:r>
        <w:rPr>
          <w:rFonts w:ascii="Book Antiqua" w:eastAsia="宋体" w:hAnsi="Book Antiqua" w:cs="Book Antiqua"/>
          <w:color w:val="000000" w:themeColor="text1"/>
          <w:lang w:eastAsia="zh-CN"/>
        </w:rPr>
        <w:t xml:space="preserve">at </w:t>
      </w:r>
      <w:r>
        <w:rPr>
          <w:rFonts w:ascii="Book Antiqua" w:eastAsia="Book Antiqua" w:hAnsi="Book Antiqua" w:cs="Book Antiqua"/>
          <w:color w:val="000000" w:themeColor="text1"/>
        </w:rPr>
        <w:t>early</w:t>
      </w:r>
      <w:r>
        <w:rPr>
          <w:rFonts w:ascii="Book Antiqua" w:eastAsia="宋体" w:hAnsi="Book Antiqua" w:cs="Book Antiqua"/>
          <w:color w:val="000000" w:themeColor="text1"/>
          <w:lang w:eastAsia="zh-CN"/>
        </w:rPr>
        <w:t xml:space="preserve"> stage</w:t>
      </w:r>
      <w:r>
        <w:rPr>
          <w:rFonts w:ascii="Book Antiqua" w:eastAsia="Book Antiqua" w:hAnsi="Book Antiqua" w:cs="Book Antiqua"/>
          <w:color w:val="000000" w:themeColor="text1"/>
        </w:rPr>
        <w:t>, the recurrence rate is still very high</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T</w:t>
      </w:r>
      <w:r>
        <w:rPr>
          <w:rFonts w:ascii="Book Antiqua" w:eastAsia="Book Antiqua" w:hAnsi="Book Antiqua" w:cs="Book Antiqua"/>
          <w:color w:val="000000" w:themeColor="text1"/>
        </w:rPr>
        <w:t xml:space="preserve">he clinical monitoring </w:t>
      </w:r>
      <w:r>
        <w:rPr>
          <w:rFonts w:ascii="Book Antiqua" w:eastAsia="宋体" w:hAnsi="Book Antiqua" w:cs="Book Antiqua"/>
          <w:color w:val="000000" w:themeColor="text1"/>
          <w:lang w:eastAsia="zh-CN"/>
        </w:rPr>
        <w:t xml:space="preserve">strategy </w:t>
      </w:r>
      <w:r>
        <w:rPr>
          <w:rFonts w:ascii="Book Antiqua" w:eastAsia="宋体" w:hAnsi="Book Antiqua" w:cs="Book Antiqua" w:hint="eastAsia"/>
          <w:color w:val="000000" w:themeColor="text1"/>
          <w:lang w:eastAsia="zh-CN"/>
        </w:rPr>
        <w:t>for</w:t>
      </w:r>
      <w:r>
        <w:rPr>
          <w:rFonts w:ascii="Book Antiqua" w:eastAsia="Book Antiqua" w:hAnsi="Book Antiqua" w:cs="Book Antiqua"/>
          <w:color w:val="000000" w:themeColor="text1"/>
        </w:rPr>
        <w:t xml:space="preserve"> </w:t>
      </w:r>
      <w:r>
        <w:rPr>
          <w:rFonts w:ascii="Book Antiqua" w:eastAsia="宋体" w:hAnsi="Book Antiqua" w:cs="Book Antiqua"/>
          <w:color w:val="000000" w:themeColor="text1"/>
          <w:lang w:eastAsia="zh-CN"/>
        </w:rPr>
        <w:t>HCC</w:t>
      </w:r>
      <w:r>
        <w:rPr>
          <w:rFonts w:ascii="Book Antiqua" w:eastAsia="Book Antiqua" w:hAnsi="Book Antiqua" w:cs="Book Antiqua"/>
          <w:color w:val="000000" w:themeColor="text1"/>
        </w:rPr>
        <w:t xml:space="preserve"> recurrence is limited, so </w:t>
      </w:r>
      <w:r>
        <w:rPr>
          <w:rFonts w:ascii="Book Antiqua" w:eastAsia="宋体" w:hAnsi="Book Antiqua" w:cs="Book Antiqua"/>
          <w:color w:val="000000" w:themeColor="text1"/>
          <w:lang w:eastAsia="zh-CN"/>
        </w:rPr>
        <w:t>there</w:t>
      </w:r>
      <w:r>
        <w:rPr>
          <w:rFonts w:ascii="Book Antiqua" w:eastAsia="Book Antiqua" w:hAnsi="Book Antiqua" w:cs="Book Antiqua"/>
          <w:color w:val="000000" w:themeColor="text1"/>
        </w:rPr>
        <w:t xml:space="preserve"> is </w:t>
      </w:r>
      <w:r>
        <w:rPr>
          <w:rFonts w:ascii="Book Antiqua" w:eastAsia="宋体" w:hAnsi="Book Antiqua" w:cs="Book Antiqua"/>
          <w:color w:val="000000" w:themeColor="text1"/>
          <w:lang w:eastAsia="zh-CN"/>
        </w:rPr>
        <w:t>a need</w:t>
      </w:r>
      <w:r>
        <w:rPr>
          <w:rFonts w:ascii="Book Antiqua" w:eastAsia="Book Antiqua" w:hAnsi="Book Antiqua" w:cs="Book Antiqua"/>
          <w:color w:val="000000" w:themeColor="text1"/>
        </w:rPr>
        <w:t xml:space="preserve"> to find a new and effective recurrence prediction model</w:t>
      </w:r>
      <w:r>
        <w:rPr>
          <w:rFonts w:ascii="Book Antiqua" w:eastAsia="宋体" w:hAnsi="Book Antiqua" w:cs="Book Antiqua"/>
          <w:color w:val="000000" w:themeColor="text1"/>
          <w:lang w:eastAsia="zh-CN"/>
        </w:rPr>
        <w:t xml:space="preserve"> for HCC</w:t>
      </w:r>
      <w:r>
        <w:rPr>
          <w:rFonts w:ascii="Book Antiqua" w:eastAsia="Book Antiqua" w:hAnsi="Book Antiqua" w:cs="Book Antiqua"/>
          <w:color w:val="000000" w:themeColor="text1"/>
        </w:rPr>
        <w:t>. And we developed a radiomics model based on preoperative contrast-enhanced computed tomography (</w:t>
      </w:r>
      <w:r>
        <w:rPr>
          <w:rFonts w:ascii="Book Antiqua" w:eastAsia="宋体" w:hAnsi="Book Antiqua" w:cs="Book Antiqua"/>
          <w:color w:val="000000" w:themeColor="text1"/>
          <w:lang w:eastAsia="zh-CN"/>
        </w:rPr>
        <w:t>CECT</w:t>
      </w:r>
      <w:r>
        <w:rPr>
          <w:rFonts w:ascii="Book Antiqua" w:eastAsia="Book Antiqua" w:hAnsi="Book Antiqua" w:cs="Book Antiqua"/>
          <w:color w:val="000000" w:themeColor="text1"/>
        </w:rPr>
        <w:t xml:space="preserve">) to evaluate early recurrence in patients with a single </w:t>
      </w:r>
      <w:proofErr w:type="spellStart"/>
      <w:r>
        <w:rPr>
          <w:rFonts w:ascii="Book Antiqua" w:eastAsia="Book Antiqua" w:hAnsi="Book Antiqua" w:cs="Book Antiqua"/>
          <w:color w:val="000000" w:themeColor="text1"/>
        </w:rPr>
        <w:t>tumour</w:t>
      </w:r>
      <w:proofErr w:type="spellEnd"/>
      <w:r>
        <w:rPr>
          <w:rFonts w:ascii="Book Antiqua" w:eastAsia="Book Antiqua" w:hAnsi="Book Antiqua" w:cs="Book Antiqua"/>
          <w:color w:val="000000" w:themeColor="text1"/>
        </w:rPr>
        <w:t>.</w:t>
      </w:r>
    </w:p>
    <w:p w14:paraId="51F504EA" w14:textId="77777777" w:rsidR="0068222A" w:rsidRDefault="0068222A">
      <w:pPr>
        <w:spacing w:line="360" w:lineRule="auto"/>
        <w:jc w:val="both"/>
        <w:rPr>
          <w:rFonts w:ascii="Book Antiqua" w:hAnsi="Book Antiqua"/>
          <w:color w:val="000000" w:themeColor="text1"/>
        </w:rPr>
      </w:pPr>
    </w:p>
    <w:p w14:paraId="3FCA56FB"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motivation</w:t>
      </w:r>
    </w:p>
    <w:p w14:paraId="5077AA15"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Due to the high malignancy and suppressive immune microenvironment of HCC, there </w:t>
      </w:r>
      <w:r>
        <w:rPr>
          <w:rFonts w:ascii="Book Antiqua" w:eastAsia="宋体" w:hAnsi="Book Antiqua" w:cs="Book Antiqua" w:hint="eastAsia"/>
          <w:color w:val="000000" w:themeColor="text1"/>
          <w:lang w:eastAsia="zh-CN"/>
        </w:rPr>
        <w:t>are</w:t>
      </w:r>
      <w:r>
        <w:rPr>
          <w:rFonts w:ascii="Book Antiqua" w:eastAsia="宋体" w:hAnsi="Book Antiqua" w:cs="Book Antiqua"/>
          <w:color w:val="000000" w:themeColor="text1"/>
          <w:lang w:eastAsia="zh-CN"/>
        </w:rPr>
        <w:t xml:space="preserve"> still </w:t>
      </w:r>
      <w:r>
        <w:rPr>
          <w:rFonts w:ascii="Book Antiqua" w:eastAsia="Book Antiqua" w:hAnsi="Book Antiqua" w:cs="Book Antiqua"/>
          <w:color w:val="000000" w:themeColor="text1"/>
        </w:rPr>
        <w:t xml:space="preserve">high recurrence and metastasis rates even </w:t>
      </w:r>
      <w:r>
        <w:rPr>
          <w:rFonts w:ascii="Book Antiqua" w:eastAsia="宋体" w:hAnsi="Book Antiqua" w:cs="Book Antiqua"/>
          <w:color w:val="000000" w:themeColor="text1"/>
          <w:lang w:eastAsia="zh-CN"/>
        </w:rPr>
        <w:t>in HCC</w:t>
      </w:r>
      <w:r>
        <w:rPr>
          <w:rFonts w:ascii="Book Antiqua" w:eastAsia="Book Antiqua" w:hAnsi="Book Antiqua" w:cs="Book Antiqua"/>
          <w:color w:val="000000" w:themeColor="text1"/>
        </w:rPr>
        <w:t xml:space="preserve"> patients who </w:t>
      </w:r>
      <w:r>
        <w:rPr>
          <w:rFonts w:ascii="Book Antiqua" w:eastAsia="宋体" w:hAnsi="Book Antiqua" w:cs="Book Antiqua"/>
          <w:color w:val="000000" w:themeColor="text1"/>
          <w:lang w:eastAsia="zh-CN"/>
        </w:rPr>
        <w:t xml:space="preserve">have </w:t>
      </w:r>
      <w:r>
        <w:rPr>
          <w:rFonts w:ascii="Book Antiqua" w:eastAsia="Book Antiqua" w:hAnsi="Book Antiqua" w:cs="Book Antiqua"/>
          <w:color w:val="000000" w:themeColor="text1"/>
        </w:rPr>
        <w:t>undergo</w:t>
      </w:r>
      <w:r>
        <w:rPr>
          <w:rFonts w:ascii="Book Antiqua" w:eastAsia="宋体" w:hAnsi="Book Antiqua" w:cs="Book Antiqua"/>
          <w:color w:val="000000" w:themeColor="text1"/>
          <w:lang w:eastAsia="zh-CN"/>
        </w:rPr>
        <w:t>ne</w:t>
      </w:r>
      <w:r>
        <w:rPr>
          <w:rFonts w:ascii="Book Antiqua" w:eastAsia="Book Antiqua" w:hAnsi="Book Antiqua" w:cs="Book Antiqua"/>
          <w:color w:val="000000" w:themeColor="text1"/>
        </w:rPr>
        <w:t xml:space="preserve"> </w:t>
      </w:r>
      <w:r>
        <w:rPr>
          <w:rFonts w:ascii="Book Antiqua" w:eastAsia="宋体" w:hAnsi="Book Antiqua" w:cs="Book Antiqua"/>
          <w:color w:val="000000" w:themeColor="text1"/>
          <w:lang w:eastAsia="zh-CN"/>
        </w:rPr>
        <w:t xml:space="preserve">radical </w:t>
      </w:r>
      <w:r>
        <w:rPr>
          <w:rFonts w:ascii="Book Antiqua" w:eastAsia="Book Antiqua" w:hAnsi="Book Antiqua" w:cs="Book Antiqua"/>
          <w:color w:val="000000" w:themeColor="text1"/>
        </w:rPr>
        <w:t xml:space="preserve">resection. Therefore, it is of vital importance to conduct systematic surveillance of HCC recurrence, and there is an urgent need to precisely predict recurrence in patients with HCC. If </w:t>
      </w:r>
      <w:proofErr w:type="spellStart"/>
      <w:r>
        <w:rPr>
          <w:rFonts w:ascii="Book Antiqua" w:eastAsia="宋体" w:hAnsi="Book Antiqua" w:cs="Book Antiqua"/>
          <w:color w:val="000000" w:themeColor="text1"/>
          <w:lang w:eastAsia="zh-CN"/>
        </w:rPr>
        <w:t>tumour</w:t>
      </w:r>
      <w:proofErr w:type="spellEnd"/>
      <w:r>
        <w:rPr>
          <w:rFonts w:ascii="Book Antiqua" w:eastAsia="Book Antiqua" w:hAnsi="Book Antiqua" w:cs="Book Antiqua"/>
          <w:color w:val="000000" w:themeColor="text1"/>
        </w:rPr>
        <w:t xml:space="preserve"> recurrence can be detected earl</w:t>
      </w:r>
      <w:r>
        <w:rPr>
          <w:rFonts w:ascii="Book Antiqua" w:eastAsia="宋体" w:hAnsi="Book Antiqua" w:cs="Book Antiqua"/>
          <w:color w:val="000000" w:themeColor="text1"/>
          <w:lang w:eastAsia="zh-CN"/>
        </w:rPr>
        <w:t>ier</w:t>
      </w:r>
      <w:r>
        <w:rPr>
          <w:rFonts w:ascii="Book Antiqua" w:eastAsia="Book Antiqua" w:hAnsi="Book Antiqua" w:cs="Book Antiqua"/>
          <w:color w:val="000000" w:themeColor="text1"/>
        </w:rPr>
        <w:t xml:space="preserve">, the survival and quality of life of </w:t>
      </w:r>
      <w:r>
        <w:rPr>
          <w:rFonts w:ascii="Book Antiqua" w:eastAsia="宋体" w:hAnsi="Book Antiqua" w:cs="Book Antiqua"/>
          <w:color w:val="000000" w:themeColor="text1"/>
          <w:lang w:eastAsia="zh-CN"/>
        </w:rPr>
        <w:t>HCC</w:t>
      </w:r>
      <w:r>
        <w:rPr>
          <w:rFonts w:ascii="Book Antiqua" w:eastAsia="Book Antiqua" w:hAnsi="Book Antiqua" w:cs="Book Antiqua"/>
          <w:color w:val="000000" w:themeColor="text1"/>
        </w:rPr>
        <w:t xml:space="preserve"> patients </w:t>
      </w:r>
      <w:r>
        <w:rPr>
          <w:rFonts w:ascii="Book Antiqua" w:eastAsia="宋体" w:hAnsi="Book Antiqua" w:cs="Book Antiqua"/>
          <w:color w:val="000000" w:themeColor="text1"/>
          <w:lang w:eastAsia="zh-CN"/>
        </w:rPr>
        <w:t>might</w:t>
      </w:r>
      <w:r>
        <w:rPr>
          <w:rFonts w:ascii="Book Antiqua" w:eastAsia="Book Antiqua" w:hAnsi="Book Antiqua" w:cs="Book Antiqua"/>
          <w:color w:val="000000" w:themeColor="text1"/>
        </w:rPr>
        <w:t xml:space="preserve"> </w:t>
      </w:r>
      <w:r>
        <w:rPr>
          <w:rFonts w:ascii="Book Antiqua" w:eastAsia="宋体" w:hAnsi="Book Antiqua" w:cs="Book Antiqua"/>
          <w:color w:val="000000" w:themeColor="text1"/>
          <w:lang w:eastAsia="zh-CN"/>
        </w:rPr>
        <w:t xml:space="preserve">be </w:t>
      </w:r>
      <w:r>
        <w:rPr>
          <w:rFonts w:ascii="Book Antiqua" w:eastAsia="Book Antiqua" w:hAnsi="Book Antiqua" w:cs="Book Antiqua"/>
          <w:color w:val="000000" w:themeColor="text1"/>
        </w:rPr>
        <w:t>greatly improved.</w:t>
      </w:r>
    </w:p>
    <w:p w14:paraId="19C4CBBC" w14:textId="77777777" w:rsidR="0068222A" w:rsidRDefault="0068222A">
      <w:pPr>
        <w:spacing w:line="360" w:lineRule="auto"/>
        <w:jc w:val="both"/>
        <w:rPr>
          <w:rFonts w:ascii="Book Antiqua" w:hAnsi="Book Antiqua"/>
          <w:color w:val="000000" w:themeColor="text1"/>
        </w:rPr>
      </w:pPr>
    </w:p>
    <w:p w14:paraId="2DC8B88D"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objectives</w:t>
      </w:r>
    </w:p>
    <w:p w14:paraId="085CB71E"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Despite the rapid development in</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themeColor="text1"/>
        </w:rPr>
        <w:t xml:space="preserve">the treatment of </w:t>
      </w:r>
      <w:r>
        <w:rPr>
          <w:rFonts w:ascii="Book Antiqua" w:eastAsia="宋体" w:hAnsi="Book Antiqua" w:cs="Book Antiqua"/>
          <w:color w:val="000000" w:themeColor="text1"/>
          <w:lang w:eastAsia="zh-CN"/>
        </w:rPr>
        <w:t>HCC</w:t>
      </w:r>
      <w:r>
        <w:rPr>
          <w:rFonts w:ascii="Book Antiqua" w:eastAsia="Book Antiqua" w:hAnsi="Book Antiqua" w:cs="Book Antiqua"/>
          <w:color w:val="000000" w:themeColor="text1"/>
        </w:rPr>
        <w:t xml:space="preserve"> in recent decades, </w:t>
      </w:r>
      <w:r>
        <w:rPr>
          <w:rFonts w:ascii="Book Antiqua" w:eastAsia="宋体" w:hAnsi="Book Antiqua" w:cs="Book Antiqua"/>
          <w:color w:val="000000" w:themeColor="text1"/>
          <w:lang w:eastAsia="zh-CN"/>
        </w:rPr>
        <w:t>patients’</w:t>
      </w:r>
      <w:r>
        <w:rPr>
          <w:rFonts w:ascii="Book Antiqua" w:eastAsia="Book Antiqua" w:hAnsi="Book Antiqua" w:cs="Book Antiqua"/>
          <w:color w:val="000000" w:themeColor="text1"/>
        </w:rPr>
        <w:t xml:space="preserve"> outcomes remain unsatisfactory. One of the reasons is that the early diagnosis system of </w:t>
      </w:r>
      <w:r>
        <w:rPr>
          <w:rFonts w:ascii="Book Antiqua" w:eastAsia="宋体" w:hAnsi="Book Antiqua" w:cs="Book Antiqua"/>
          <w:color w:val="000000" w:themeColor="text1"/>
          <w:lang w:eastAsia="zh-CN"/>
        </w:rPr>
        <w:t>HCC</w:t>
      </w:r>
      <w:r>
        <w:rPr>
          <w:rFonts w:ascii="Book Antiqua" w:eastAsia="Book Antiqua" w:hAnsi="Book Antiqua" w:cs="Book Antiqua"/>
          <w:color w:val="000000" w:themeColor="text1"/>
        </w:rPr>
        <w:t xml:space="preserve"> recurrence is not </w:t>
      </w:r>
      <w:r>
        <w:rPr>
          <w:rFonts w:ascii="Book Antiqua" w:eastAsia="宋体" w:hAnsi="Book Antiqua" w:cs="Book Antiqua"/>
          <w:color w:val="000000" w:themeColor="text1"/>
          <w:lang w:eastAsia="zh-CN"/>
        </w:rPr>
        <w:t>yet well developed</w:t>
      </w:r>
      <w:r>
        <w:rPr>
          <w:rFonts w:ascii="Book Antiqua" w:eastAsia="Book Antiqua" w:hAnsi="Book Antiqua" w:cs="Book Antiqua"/>
          <w:color w:val="000000" w:themeColor="text1"/>
        </w:rPr>
        <w:t xml:space="preserve">, so our research team established a recurrence prediction model </w:t>
      </w:r>
      <w:r>
        <w:rPr>
          <w:rFonts w:ascii="Book Antiqua" w:eastAsia="宋体" w:hAnsi="Book Antiqua" w:cs="Book Antiqua" w:hint="eastAsia"/>
          <w:color w:val="000000" w:themeColor="text1"/>
          <w:lang w:eastAsia="zh-CN"/>
        </w:rPr>
        <w:t>for</w:t>
      </w:r>
      <w:r>
        <w:rPr>
          <w:rFonts w:ascii="Book Antiqua" w:eastAsia="Book Antiqua" w:hAnsi="Book Antiqua" w:cs="Book Antiqua"/>
          <w:color w:val="000000" w:themeColor="text1"/>
        </w:rPr>
        <w:t xml:space="preserve"> </w:t>
      </w:r>
      <w:r>
        <w:rPr>
          <w:rFonts w:ascii="Book Antiqua" w:eastAsia="宋体" w:hAnsi="Book Antiqua" w:cs="Book Antiqua"/>
          <w:color w:val="000000" w:themeColor="text1"/>
          <w:lang w:eastAsia="zh-CN"/>
        </w:rPr>
        <w:t>HCC</w:t>
      </w:r>
      <w:r>
        <w:rPr>
          <w:rFonts w:ascii="Book Antiqua" w:eastAsia="Book Antiqua" w:hAnsi="Book Antiqua" w:cs="Book Antiqua"/>
          <w:color w:val="000000" w:themeColor="text1"/>
        </w:rPr>
        <w:t xml:space="preserve"> </w:t>
      </w:r>
      <w:r>
        <w:rPr>
          <w:rFonts w:ascii="Book Antiqua" w:eastAsia="宋体" w:hAnsi="Book Antiqua" w:cs="Book Antiqua"/>
          <w:color w:val="000000" w:themeColor="text1"/>
          <w:lang w:eastAsia="zh-CN"/>
        </w:rPr>
        <w:t>based on medical</w:t>
      </w:r>
      <w:r>
        <w:rPr>
          <w:rFonts w:ascii="Book Antiqua" w:eastAsia="Book Antiqua" w:hAnsi="Book Antiqua" w:cs="Book Antiqua"/>
          <w:color w:val="000000" w:themeColor="text1"/>
        </w:rPr>
        <w:t xml:space="preserve"> imaging such as computed tomography (CT) to predict </w:t>
      </w:r>
      <w:r>
        <w:rPr>
          <w:rFonts w:ascii="Book Antiqua" w:eastAsia="宋体" w:hAnsi="Book Antiqua" w:cs="Book Antiqua"/>
          <w:color w:val="000000" w:themeColor="text1"/>
          <w:lang w:eastAsia="zh-CN"/>
        </w:rPr>
        <w:t>HCC</w:t>
      </w:r>
      <w:r>
        <w:rPr>
          <w:rFonts w:ascii="Book Antiqua" w:eastAsia="Book Antiqua" w:hAnsi="Book Antiqua" w:cs="Book Antiqua"/>
          <w:color w:val="000000" w:themeColor="text1"/>
        </w:rPr>
        <w:t xml:space="preserve"> recurrence earlier, so that timely treatment measures can be taken.</w:t>
      </w:r>
    </w:p>
    <w:p w14:paraId="67E9AEB9" w14:textId="77777777" w:rsidR="0068222A" w:rsidRDefault="0068222A">
      <w:pPr>
        <w:spacing w:line="360" w:lineRule="auto"/>
        <w:jc w:val="both"/>
        <w:rPr>
          <w:rFonts w:ascii="Book Antiqua" w:hAnsi="Book Antiqua"/>
          <w:color w:val="000000" w:themeColor="text1"/>
        </w:rPr>
      </w:pPr>
    </w:p>
    <w:p w14:paraId="0AE0CB39"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methods</w:t>
      </w:r>
    </w:p>
    <w:p w14:paraId="6CE0FF47"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We collected </w:t>
      </w:r>
      <w:r>
        <w:rPr>
          <w:rFonts w:ascii="Book Antiqua" w:eastAsia="宋体" w:hAnsi="Book Antiqua" w:cs="Book Antiqua"/>
          <w:color w:val="000000" w:themeColor="text1"/>
          <w:lang w:eastAsia="zh-CN"/>
        </w:rPr>
        <w:t>CT</w:t>
      </w:r>
      <w:r>
        <w:rPr>
          <w:rFonts w:ascii="Book Antiqua" w:eastAsia="Book Antiqua" w:hAnsi="Book Antiqua" w:cs="Book Antiqua"/>
          <w:color w:val="000000" w:themeColor="text1"/>
        </w:rPr>
        <w:t xml:space="preserve"> images from 537 clinical patients </w:t>
      </w:r>
      <w:r>
        <w:rPr>
          <w:rFonts w:ascii="Book Antiqua" w:eastAsia="宋体" w:hAnsi="Book Antiqua" w:cs="Book Antiqua"/>
          <w:color w:val="000000" w:themeColor="text1"/>
          <w:lang w:eastAsia="zh-CN"/>
        </w:rPr>
        <w:t>in two</w:t>
      </w:r>
      <w:r>
        <w:rPr>
          <w:rFonts w:ascii="Book Antiqua" w:eastAsia="Book Antiqua" w:hAnsi="Book Antiqua" w:cs="Book Antiqua"/>
          <w:color w:val="000000" w:themeColor="text1"/>
        </w:rPr>
        <w:t xml:space="preserve"> institutions and extracted valuable CT image features </w:t>
      </w:r>
      <w:r>
        <w:rPr>
          <w:rFonts w:ascii="Book Antiqua" w:eastAsia="宋体" w:hAnsi="Book Antiqua" w:cs="Book Antiqua" w:hint="eastAsia"/>
          <w:color w:val="000000" w:themeColor="text1"/>
          <w:lang w:eastAsia="zh-CN"/>
        </w:rPr>
        <w:t>with</w:t>
      </w:r>
      <w:r>
        <w:rPr>
          <w:rFonts w:ascii="Book Antiqua" w:eastAsia="Book Antiqua" w:hAnsi="Book Antiqua" w:cs="Book Antiqua"/>
          <w:color w:val="000000" w:themeColor="text1"/>
        </w:rPr>
        <w:t xml:space="preserve"> 3D Slicer (v4.11, https://www.slicer.org). SPSS18.0 (SPSS Inc., Chicago, IL, U</w:t>
      </w:r>
      <w:r>
        <w:rPr>
          <w:rFonts w:ascii="Book Antiqua" w:eastAsia="Book Antiqua" w:hAnsi="Book Antiqua" w:cs="Book Antiqua" w:hint="eastAsia"/>
          <w:color w:val="000000" w:themeColor="text1"/>
          <w:lang w:eastAsia="zh-CN"/>
        </w:rPr>
        <w:t>n</w:t>
      </w:r>
      <w:r>
        <w:rPr>
          <w:rFonts w:ascii="Book Antiqua" w:eastAsia="Book Antiqua" w:hAnsi="Book Antiqua" w:cs="Book Antiqua"/>
          <w:color w:val="000000" w:themeColor="text1"/>
          <w:lang w:eastAsia="zh-CN"/>
        </w:rPr>
        <w:t>ited S</w:t>
      </w:r>
      <w:r>
        <w:rPr>
          <w:rFonts w:ascii="Book Antiqua" w:eastAsia="Book Antiqua" w:hAnsi="Book Antiqua" w:cs="Book Antiqua" w:hint="eastAsia"/>
          <w:color w:val="000000" w:themeColor="text1"/>
          <w:lang w:eastAsia="zh-CN"/>
        </w:rPr>
        <w:t>ta</w:t>
      </w:r>
      <w:r>
        <w:rPr>
          <w:rFonts w:ascii="Book Antiqua" w:eastAsia="Book Antiqua" w:hAnsi="Book Antiqua" w:cs="Book Antiqua"/>
          <w:color w:val="000000" w:themeColor="text1"/>
          <w:lang w:eastAsia="zh-CN"/>
        </w:rPr>
        <w:t>tes</w:t>
      </w:r>
      <w:r>
        <w:rPr>
          <w:rFonts w:ascii="Book Antiqua" w:eastAsia="Book Antiqua" w:hAnsi="Book Antiqua" w:cs="Book Antiqua"/>
          <w:color w:val="000000" w:themeColor="text1"/>
        </w:rPr>
        <w:t>) and R (version 4.0.3, https://www.rproject.org/) were used for statistical analys</w:t>
      </w:r>
      <w:r>
        <w:rPr>
          <w:rFonts w:ascii="Book Antiqua" w:eastAsia="宋体" w:hAnsi="Book Antiqua" w:cs="Book Antiqua" w:hint="eastAsia"/>
          <w:color w:val="000000" w:themeColor="text1"/>
          <w:lang w:eastAsia="zh-CN"/>
        </w:rPr>
        <w:t>e</w:t>
      </w:r>
      <w:r>
        <w:rPr>
          <w:rFonts w:ascii="Book Antiqua" w:eastAsia="Book Antiqua" w:hAnsi="Book Antiqua" w:cs="Book Antiqua"/>
          <w:color w:val="000000" w:themeColor="text1"/>
        </w:rPr>
        <w:t xml:space="preserve">s and the prediction model of </w:t>
      </w:r>
      <w:r>
        <w:rPr>
          <w:rFonts w:ascii="Book Antiqua" w:eastAsia="宋体" w:hAnsi="Book Antiqua" w:cs="Book Antiqua"/>
          <w:color w:val="000000" w:themeColor="text1"/>
          <w:lang w:eastAsia="zh-CN"/>
        </w:rPr>
        <w:t>HCC</w:t>
      </w:r>
      <w:r>
        <w:rPr>
          <w:rFonts w:ascii="Book Antiqua" w:eastAsia="Book Antiqua" w:hAnsi="Book Antiqua" w:cs="Book Antiqua"/>
          <w:color w:val="000000" w:themeColor="text1"/>
        </w:rPr>
        <w:t xml:space="preserve"> recurrence was established jointly with </w:t>
      </w:r>
      <w:r>
        <w:rPr>
          <w:rFonts w:ascii="Book Antiqua" w:eastAsia="宋体" w:hAnsi="Book Antiqua" w:cs="Book Antiqua"/>
          <w:color w:val="000000" w:themeColor="text1"/>
          <w:lang w:eastAsia="zh-CN"/>
        </w:rPr>
        <w:t>AFP</w:t>
      </w:r>
      <w:r>
        <w:rPr>
          <w:rFonts w:ascii="Book Antiqua" w:eastAsia="Book Antiqua" w:hAnsi="Book Antiqua" w:cs="Book Antiqua"/>
          <w:color w:val="000000" w:themeColor="text1"/>
        </w:rPr>
        <w:t>.</w:t>
      </w:r>
    </w:p>
    <w:p w14:paraId="0EAE4221" w14:textId="77777777" w:rsidR="0068222A" w:rsidRDefault="0068222A">
      <w:pPr>
        <w:spacing w:line="360" w:lineRule="auto"/>
        <w:jc w:val="both"/>
        <w:rPr>
          <w:rFonts w:ascii="Book Antiqua" w:hAnsi="Book Antiqua"/>
          <w:color w:val="000000" w:themeColor="text1"/>
        </w:rPr>
      </w:pPr>
    </w:p>
    <w:p w14:paraId="4E2B9EDD"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results</w:t>
      </w:r>
    </w:p>
    <w:p w14:paraId="7A7A6AEF"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radiomics scores calculated herein revealed significant differences between early and nonearly recurrence HCC patients. We combined radiomics and serum indicators to evaluate the risk of early recurrence, which was validated in an independent cohort. Our findings showed </w:t>
      </w:r>
      <w:r>
        <w:rPr>
          <w:rFonts w:ascii="Book Antiqua" w:eastAsia="宋体" w:hAnsi="Book Antiqua" w:cs="Book Antiqua"/>
          <w:color w:val="000000" w:themeColor="text1"/>
          <w:lang w:eastAsia="zh-CN"/>
        </w:rPr>
        <w:t xml:space="preserve">the </w:t>
      </w:r>
      <w:r>
        <w:rPr>
          <w:rFonts w:ascii="Book Antiqua" w:eastAsia="Book Antiqua" w:hAnsi="Book Antiqua" w:cs="Book Antiqua"/>
          <w:color w:val="000000" w:themeColor="text1"/>
        </w:rPr>
        <w:t xml:space="preserve">value </w:t>
      </w:r>
      <w:r>
        <w:rPr>
          <w:rFonts w:ascii="Book Antiqua" w:eastAsia="宋体" w:hAnsi="Book Antiqua" w:cs="Book Antiqua"/>
          <w:color w:val="000000" w:themeColor="text1"/>
          <w:lang w:eastAsia="zh-CN"/>
        </w:rPr>
        <w:t>of</w:t>
      </w:r>
      <w:r>
        <w:rPr>
          <w:rFonts w:ascii="Book Antiqua" w:eastAsia="Book Antiqua" w:hAnsi="Book Antiqua" w:cs="Book Antiqua"/>
          <w:color w:val="000000" w:themeColor="text1"/>
        </w:rPr>
        <w:t xml:space="preserve"> predicting early recurrence </w:t>
      </w:r>
      <w:r>
        <w:rPr>
          <w:rFonts w:ascii="Book Antiqua" w:eastAsia="宋体" w:hAnsi="Book Antiqua" w:cs="Book Antiqua"/>
          <w:color w:val="000000" w:themeColor="text1"/>
          <w:lang w:eastAsia="zh-CN"/>
        </w:rPr>
        <w:t>in HCC</w:t>
      </w:r>
      <w:r>
        <w:rPr>
          <w:rFonts w:ascii="Book Antiqua" w:eastAsia="Book Antiqua" w:hAnsi="Book Antiqua" w:cs="Book Antiqua"/>
          <w:color w:val="000000" w:themeColor="text1"/>
        </w:rPr>
        <w:t xml:space="preserve"> patients</w:t>
      </w:r>
      <w:r>
        <w:rPr>
          <w:rFonts w:ascii="Book Antiqua" w:eastAsia="宋体" w:hAnsi="Book Antiqua" w:cs="Book Antiqua"/>
          <w:color w:val="000000" w:themeColor="text1"/>
          <w:lang w:eastAsia="zh-CN"/>
        </w:rPr>
        <w:t xml:space="preserve"> by</w:t>
      </w:r>
      <w:r>
        <w:rPr>
          <w:rFonts w:ascii="Book Antiqua" w:eastAsia="Book Antiqua" w:hAnsi="Book Antiqua" w:cs="Book Antiqua"/>
          <w:color w:val="000000" w:themeColor="text1"/>
        </w:rPr>
        <w:t xml:space="preserve"> noninvasive indicators and might guide clinical decisions</w:t>
      </w:r>
      <w:r>
        <w:rPr>
          <w:rFonts w:ascii="Book Antiqua" w:eastAsia="宋体" w:hAnsi="Book Antiqua" w:cs="Book Antiqua"/>
          <w:color w:val="000000" w:themeColor="text1"/>
          <w:lang w:eastAsia="zh-CN"/>
        </w:rPr>
        <w:t xml:space="preserve"> making</w:t>
      </w:r>
      <w:r>
        <w:rPr>
          <w:rFonts w:ascii="Book Antiqua" w:eastAsia="Book Antiqua" w:hAnsi="Book Antiqua" w:cs="Book Antiqua"/>
          <w:color w:val="000000" w:themeColor="text1"/>
        </w:rPr>
        <w:t xml:space="preserve">. However, this </w:t>
      </w:r>
      <w:r>
        <w:rPr>
          <w:rFonts w:ascii="Book Antiqua" w:eastAsia="宋体" w:hAnsi="Book Antiqua" w:cs="Book Antiqua"/>
          <w:color w:val="000000" w:themeColor="text1"/>
          <w:lang w:eastAsia="zh-CN"/>
        </w:rPr>
        <w:t>is</w:t>
      </w:r>
      <w:r>
        <w:rPr>
          <w:rFonts w:ascii="Book Antiqua" w:eastAsia="Book Antiqua" w:hAnsi="Book Antiqua" w:cs="Book Antiqua"/>
          <w:color w:val="000000" w:themeColor="text1"/>
        </w:rPr>
        <w:t xml:space="preserve"> a </w:t>
      </w:r>
      <w:r>
        <w:rPr>
          <w:rFonts w:ascii="Book Antiqua" w:eastAsia="Book Antiqua" w:hAnsi="Book Antiqua" w:cs="Book Antiqua"/>
          <w:color w:val="000000" w:themeColor="text1"/>
        </w:rPr>
        <w:lastRenderedPageBreak/>
        <w:t xml:space="preserve">retrospective analysis, </w:t>
      </w:r>
      <w:r>
        <w:rPr>
          <w:rFonts w:ascii="Book Antiqua" w:eastAsia="宋体" w:hAnsi="Book Antiqua" w:cs="Book Antiqua" w:hint="eastAsia"/>
          <w:color w:val="000000" w:themeColor="text1"/>
          <w:lang w:eastAsia="zh-CN"/>
        </w:rPr>
        <w:t xml:space="preserve">and </w:t>
      </w:r>
      <w:r>
        <w:rPr>
          <w:rFonts w:ascii="Book Antiqua" w:eastAsia="Book Antiqua" w:hAnsi="Book Antiqua" w:cs="Book Antiqua"/>
          <w:color w:val="000000" w:themeColor="text1"/>
        </w:rPr>
        <w:t xml:space="preserve">inherent biases </w:t>
      </w:r>
      <w:r>
        <w:rPr>
          <w:rFonts w:ascii="Book Antiqua" w:eastAsia="宋体" w:hAnsi="Book Antiqua" w:cs="Book Antiqua"/>
          <w:color w:val="000000" w:themeColor="text1"/>
          <w:lang w:eastAsia="zh-CN"/>
        </w:rPr>
        <w:t>are</w:t>
      </w:r>
      <w:r>
        <w:rPr>
          <w:rFonts w:ascii="Book Antiqua" w:eastAsia="Book Antiqua" w:hAnsi="Book Antiqua" w:cs="Book Antiqua"/>
          <w:color w:val="000000" w:themeColor="text1"/>
        </w:rPr>
        <w:t xml:space="preserve"> inevitable. We </w:t>
      </w:r>
      <w:r>
        <w:rPr>
          <w:rFonts w:ascii="Book Antiqua" w:eastAsia="宋体" w:hAnsi="Book Antiqua" w:cs="Book Antiqua"/>
          <w:color w:val="000000" w:themeColor="text1"/>
          <w:lang w:eastAsia="zh-CN"/>
        </w:rPr>
        <w:t>would</w:t>
      </w:r>
      <w:r>
        <w:rPr>
          <w:rFonts w:ascii="Book Antiqua" w:eastAsia="Book Antiqua" w:hAnsi="Book Antiqua" w:cs="Book Antiqua"/>
          <w:color w:val="000000" w:themeColor="text1"/>
        </w:rPr>
        <w:t xml:space="preserve"> conduct prospective trials with multimodality radiomics to confirm our results</w:t>
      </w:r>
      <w:r>
        <w:rPr>
          <w:rFonts w:ascii="Book Antiqua" w:eastAsia="宋体" w:hAnsi="Book Antiqua" w:cs="Book Antiqua"/>
          <w:color w:val="000000" w:themeColor="text1"/>
          <w:lang w:eastAsia="zh-CN"/>
        </w:rPr>
        <w:t xml:space="preserve"> in future</w:t>
      </w:r>
      <w:r>
        <w:rPr>
          <w:rFonts w:ascii="Book Antiqua" w:eastAsia="Book Antiqua" w:hAnsi="Book Antiqua" w:cs="Book Antiqua"/>
          <w:color w:val="000000" w:themeColor="text1"/>
        </w:rPr>
        <w:t>.</w:t>
      </w:r>
    </w:p>
    <w:p w14:paraId="45654D2F" w14:textId="77777777" w:rsidR="0068222A" w:rsidRDefault="0068222A">
      <w:pPr>
        <w:spacing w:line="360" w:lineRule="auto"/>
        <w:jc w:val="both"/>
        <w:rPr>
          <w:rFonts w:ascii="Book Antiqua" w:hAnsi="Book Antiqua"/>
          <w:color w:val="000000" w:themeColor="text1"/>
        </w:rPr>
      </w:pPr>
    </w:p>
    <w:p w14:paraId="5A4ECF60"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conclusions</w:t>
      </w:r>
    </w:p>
    <w:p w14:paraId="1C7684C5"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preoperative</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 xml:space="preserve">radiomics model was shown to be effective for predicting early recurrence among patients with single HCC. Compared with pathological biopsy or other tests, this model is noninvasive and more </w:t>
      </w:r>
      <w:r>
        <w:rPr>
          <w:rFonts w:ascii="Book Antiqua" w:eastAsia="宋体" w:hAnsi="Book Antiqua" w:cs="Book Antiqua"/>
          <w:color w:val="000000" w:themeColor="text1"/>
          <w:lang w:eastAsia="zh-CN"/>
        </w:rPr>
        <w:t>convenient for</w:t>
      </w:r>
      <w:r>
        <w:rPr>
          <w:rFonts w:ascii="Book Antiqua" w:eastAsia="Book Antiqua" w:hAnsi="Book Antiqua" w:cs="Book Antiqua"/>
          <w:color w:val="000000" w:themeColor="text1"/>
        </w:rPr>
        <w:t xml:space="preserve"> </w:t>
      </w:r>
      <w:r>
        <w:rPr>
          <w:rFonts w:ascii="Book Antiqua" w:eastAsia="宋体" w:hAnsi="Book Antiqua" w:cs="Book Antiqua"/>
          <w:color w:val="000000" w:themeColor="text1"/>
          <w:lang w:eastAsia="zh-CN"/>
        </w:rPr>
        <w:t xml:space="preserve">HCC </w:t>
      </w:r>
      <w:r>
        <w:rPr>
          <w:rFonts w:ascii="Book Antiqua" w:eastAsia="Book Antiqua" w:hAnsi="Book Antiqua" w:cs="Book Antiqua"/>
          <w:color w:val="000000" w:themeColor="text1"/>
        </w:rPr>
        <w:t>patients.</w:t>
      </w:r>
    </w:p>
    <w:p w14:paraId="09D04CD1" w14:textId="77777777" w:rsidR="0068222A" w:rsidRDefault="0068222A">
      <w:pPr>
        <w:spacing w:line="360" w:lineRule="auto"/>
        <w:jc w:val="both"/>
        <w:rPr>
          <w:rFonts w:ascii="Book Antiqua" w:hAnsi="Book Antiqua"/>
          <w:color w:val="000000" w:themeColor="text1"/>
        </w:rPr>
      </w:pPr>
    </w:p>
    <w:p w14:paraId="171F99D6"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perspectives</w:t>
      </w:r>
    </w:p>
    <w:p w14:paraId="325D6B27" w14:textId="77777777" w:rsidR="0068222A" w:rsidRDefault="00000000">
      <w:pPr>
        <w:spacing w:line="360" w:lineRule="auto"/>
        <w:jc w:val="both"/>
        <w:rPr>
          <w:rFonts w:ascii="Book Antiqua" w:hAnsi="Book Antiqua"/>
          <w:color w:val="000000" w:themeColor="text1"/>
        </w:rPr>
      </w:pPr>
      <w:r>
        <w:rPr>
          <w:rFonts w:ascii="Book Antiqua" w:eastAsia="宋体" w:hAnsi="Book Antiqua" w:cs="Book Antiqua"/>
          <w:color w:val="000000" w:themeColor="text1"/>
          <w:lang w:eastAsia="zh-CN"/>
        </w:rPr>
        <w:t>For HCC</w:t>
      </w:r>
      <w:r>
        <w:rPr>
          <w:rFonts w:ascii="Book Antiqua" w:eastAsia="Book Antiqua" w:hAnsi="Book Antiqua" w:cs="Book Antiqua"/>
          <w:color w:val="000000" w:themeColor="text1"/>
        </w:rPr>
        <w:t xml:space="preserve"> diagnosis, treatment, or prognosis assessment, more non-invasive methods are of great significance and needed.</w:t>
      </w:r>
    </w:p>
    <w:p w14:paraId="44E48ACA" w14:textId="77777777" w:rsidR="0068222A" w:rsidRDefault="0068222A">
      <w:pPr>
        <w:spacing w:line="360" w:lineRule="auto"/>
        <w:jc w:val="both"/>
        <w:rPr>
          <w:rFonts w:ascii="Book Antiqua" w:hAnsi="Book Antiqua"/>
          <w:color w:val="000000" w:themeColor="text1"/>
        </w:rPr>
      </w:pPr>
    </w:p>
    <w:p w14:paraId="0EAD3623"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14:paraId="26028C85" w14:textId="77777777" w:rsidR="0068222A" w:rsidRDefault="00000000">
      <w:pPr>
        <w:spacing w:line="360" w:lineRule="auto"/>
        <w:jc w:val="both"/>
        <w:rPr>
          <w:rFonts w:ascii="Book Antiqua" w:hAnsi="Book Antiqua"/>
        </w:rPr>
      </w:pPr>
      <w:bookmarkStart w:id="78" w:name="OLE_LINK6069"/>
      <w:bookmarkStart w:id="79" w:name="OLE_LINK6068"/>
      <w:bookmarkStart w:id="80" w:name="OLE_LINK6070"/>
      <w:r>
        <w:rPr>
          <w:rFonts w:ascii="Book Antiqua" w:hAnsi="Book Antiqua"/>
        </w:rPr>
        <w:t xml:space="preserve">1 </w:t>
      </w:r>
      <w:r>
        <w:rPr>
          <w:rFonts w:ascii="Book Antiqua" w:hAnsi="Book Antiqua"/>
          <w:b/>
          <w:bCs/>
        </w:rPr>
        <w:t>Sung H</w:t>
      </w:r>
      <w:r>
        <w:rPr>
          <w:rFonts w:ascii="Book Antiqua" w:hAnsi="Book Antiqua"/>
        </w:rPr>
        <w:t xml:space="preserve">, </w:t>
      </w:r>
      <w:proofErr w:type="spellStart"/>
      <w:r>
        <w:rPr>
          <w:rFonts w:ascii="Book Antiqua" w:hAnsi="Book Antiqua"/>
        </w:rPr>
        <w:t>Ferlay</w:t>
      </w:r>
      <w:proofErr w:type="spellEnd"/>
      <w:r>
        <w:rPr>
          <w:rFonts w:ascii="Book Antiqua" w:hAnsi="Book Antiqua"/>
        </w:rPr>
        <w:t xml:space="preserve"> J, Siegel RL, </w:t>
      </w:r>
      <w:proofErr w:type="spellStart"/>
      <w:r>
        <w:rPr>
          <w:rFonts w:ascii="Book Antiqua" w:hAnsi="Book Antiqua"/>
        </w:rPr>
        <w:t>Laversanne</w:t>
      </w:r>
      <w:proofErr w:type="spellEnd"/>
      <w:r>
        <w:rPr>
          <w:rFonts w:ascii="Book Antiqua" w:hAnsi="Book Antiqua"/>
        </w:rPr>
        <w:t xml:space="preserve"> M, </w:t>
      </w:r>
      <w:proofErr w:type="spellStart"/>
      <w:r>
        <w:rPr>
          <w:rFonts w:ascii="Book Antiqua" w:hAnsi="Book Antiqua"/>
        </w:rPr>
        <w:t>Soerjomataram</w:t>
      </w:r>
      <w:proofErr w:type="spellEnd"/>
      <w:r>
        <w:rPr>
          <w:rFonts w:ascii="Book Antiqua" w:hAnsi="Book Antiqua"/>
        </w:rPr>
        <w:t xml:space="preserve"> I, Jemal A, Bray F. Global Cancer Statistics 2020: GLOBOCAN Estimates of Incidence and Mortality Worldwide for 36 Cancers in 185 Countries. </w:t>
      </w:r>
      <w:r>
        <w:rPr>
          <w:rFonts w:ascii="Book Antiqua" w:hAnsi="Book Antiqua"/>
          <w:i/>
          <w:iCs/>
        </w:rPr>
        <w:t>CA Cancer J Clin</w:t>
      </w:r>
      <w:r>
        <w:rPr>
          <w:rFonts w:ascii="Book Antiqua" w:hAnsi="Book Antiqua"/>
        </w:rPr>
        <w:t xml:space="preserve"> 2021; </w:t>
      </w:r>
      <w:r>
        <w:rPr>
          <w:rFonts w:ascii="Book Antiqua" w:hAnsi="Book Antiqua"/>
          <w:b/>
          <w:bCs/>
        </w:rPr>
        <w:t>71</w:t>
      </w:r>
      <w:r>
        <w:rPr>
          <w:rFonts w:ascii="Book Antiqua" w:hAnsi="Book Antiqua"/>
        </w:rPr>
        <w:t>: 209-249 [PMID: 33538338 DOI: 10.3322/caac.21660]</w:t>
      </w:r>
    </w:p>
    <w:p w14:paraId="4AD59FCF" w14:textId="77777777" w:rsidR="0068222A"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European Association for the Study of the Liver.</w:t>
      </w:r>
      <w:r>
        <w:rPr>
          <w:rFonts w:ascii="Book Antiqua" w:hAnsi="Book Antiqua"/>
        </w:rPr>
        <w:t xml:space="preserve">; European Association for the Study of the Liver. EASL Clinical Practice Guidelines: Management of hepatocellular carcinoma. </w:t>
      </w:r>
      <w:r>
        <w:rPr>
          <w:rFonts w:ascii="Book Antiqua" w:hAnsi="Book Antiqua"/>
          <w:i/>
          <w:iCs/>
        </w:rPr>
        <w:t>J Hepatol</w:t>
      </w:r>
      <w:r>
        <w:rPr>
          <w:rFonts w:ascii="Book Antiqua" w:hAnsi="Book Antiqua"/>
        </w:rPr>
        <w:t xml:space="preserve"> 2018; </w:t>
      </w:r>
      <w:r>
        <w:rPr>
          <w:rFonts w:ascii="Book Antiqua" w:hAnsi="Book Antiqua"/>
          <w:b/>
          <w:bCs/>
        </w:rPr>
        <w:t>69</w:t>
      </w:r>
      <w:r>
        <w:rPr>
          <w:rFonts w:ascii="Book Antiqua" w:hAnsi="Book Antiqua"/>
        </w:rPr>
        <w:t>: 182-236 [PMID: 29628281 DOI: 10.1016/j.jhep.2018.03.019]</w:t>
      </w:r>
    </w:p>
    <w:p w14:paraId="0060ABB5" w14:textId="77777777" w:rsidR="0068222A"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Wang JH</w:t>
      </w:r>
      <w:r>
        <w:rPr>
          <w:rFonts w:ascii="Book Antiqua" w:hAnsi="Book Antiqua"/>
        </w:rPr>
        <w:t>, Wang CC, Hung CH, Chen CL, Lu SN. Survival comparison between surgical resection and radiofrequency ablation for patients in BCLC very early/</w:t>
      </w:r>
      <w:proofErr w:type="gramStart"/>
      <w:r>
        <w:rPr>
          <w:rFonts w:ascii="Book Antiqua" w:hAnsi="Book Antiqua"/>
        </w:rPr>
        <w:t>early stage</w:t>
      </w:r>
      <w:proofErr w:type="gramEnd"/>
      <w:r>
        <w:rPr>
          <w:rFonts w:ascii="Book Antiqua" w:hAnsi="Book Antiqua"/>
        </w:rPr>
        <w:t xml:space="preserve"> hepatocellular carcinoma. </w:t>
      </w:r>
      <w:r>
        <w:rPr>
          <w:rFonts w:ascii="Book Antiqua" w:hAnsi="Book Antiqua"/>
          <w:i/>
          <w:iCs/>
        </w:rPr>
        <w:t>J Hepatol</w:t>
      </w:r>
      <w:r>
        <w:rPr>
          <w:rFonts w:ascii="Book Antiqua" w:hAnsi="Book Antiqua"/>
        </w:rPr>
        <w:t xml:space="preserve"> 2012; </w:t>
      </w:r>
      <w:r>
        <w:rPr>
          <w:rFonts w:ascii="Book Antiqua" w:hAnsi="Book Antiqua"/>
          <w:b/>
          <w:bCs/>
        </w:rPr>
        <w:t>56</w:t>
      </w:r>
      <w:r>
        <w:rPr>
          <w:rFonts w:ascii="Book Antiqua" w:hAnsi="Book Antiqua"/>
        </w:rPr>
        <w:t>: 412-418 [PMID: 21756858 DOI: 10.1016/j.jhep.2011.05.020]</w:t>
      </w:r>
    </w:p>
    <w:p w14:paraId="17A7FAA0" w14:textId="77777777" w:rsidR="0068222A"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Villanueva A</w:t>
      </w:r>
      <w:r>
        <w:rPr>
          <w:rFonts w:ascii="Book Antiqua" w:hAnsi="Book Antiqua"/>
        </w:rPr>
        <w:t xml:space="preserve">. Hepatocellular Carcinoma.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2019; </w:t>
      </w:r>
      <w:r>
        <w:rPr>
          <w:rFonts w:ascii="Book Antiqua" w:hAnsi="Book Antiqua"/>
          <w:b/>
          <w:bCs/>
        </w:rPr>
        <w:t>380</w:t>
      </w:r>
      <w:r>
        <w:rPr>
          <w:rFonts w:ascii="Book Antiqua" w:hAnsi="Book Antiqua"/>
        </w:rPr>
        <w:t>: 1450-1462 [PMID: 30970190 DOI: 10.1056/NEJMra1713263]</w:t>
      </w:r>
    </w:p>
    <w:p w14:paraId="224684A0" w14:textId="77777777" w:rsidR="0068222A"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Lu C</w:t>
      </w:r>
      <w:r>
        <w:rPr>
          <w:rFonts w:ascii="Book Antiqua" w:hAnsi="Book Antiqua"/>
        </w:rPr>
        <w:t xml:space="preserve">, Rong D, Zhang B, Zheng W, Wang X, Chen Z, Tang W. Current perspectives on the immunosuppressive tumor microenvironment in hepatocellular carcinoma: </w:t>
      </w:r>
      <w:r>
        <w:rPr>
          <w:rFonts w:ascii="Book Antiqua" w:hAnsi="Book Antiqua"/>
        </w:rPr>
        <w:lastRenderedPageBreak/>
        <w:t xml:space="preserve">challenges and opportunities. </w:t>
      </w:r>
      <w:r>
        <w:rPr>
          <w:rFonts w:ascii="Book Antiqua" w:hAnsi="Book Antiqua"/>
          <w:i/>
          <w:iCs/>
        </w:rPr>
        <w:t>Mol Cancer</w:t>
      </w:r>
      <w:r>
        <w:rPr>
          <w:rFonts w:ascii="Book Antiqua" w:hAnsi="Book Antiqua"/>
        </w:rPr>
        <w:t xml:space="preserve"> 2019; </w:t>
      </w:r>
      <w:r>
        <w:rPr>
          <w:rFonts w:ascii="Book Antiqua" w:hAnsi="Book Antiqua"/>
          <w:b/>
          <w:bCs/>
        </w:rPr>
        <w:t>18</w:t>
      </w:r>
      <w:r>
        <w:rPr>
          <w:rFonts w:ascii="Book Antiqua" w:hAnsi="Book Antiqua"/>
        </w:rPr>
        <w:t>: 130 [PMID: 31464625 DOI: 10.1186/s12943-019-1047-6]</w:t>
      </w:r>
    </w:p>
    <w:p w14:paraId="065AAE53" w14:textId="77777777" w:rsidR="0068222A"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Cha C</w:t>
      </w:r>
      <w:r>
        <w:rPr>
          <w:rFonts w:ascii="Book Antiqua" w:hAnsi="Book Antiqua"/>
        </w:rPr>
        <w:t xml:space="preserve">, Fong Y, </w:t>
      </w:r>
      <w:proofErr w:type="spellStart"/>
      <w:r>
        <w:rPr>
          <w:rFonts w:ascii="Book Antiqua" w:hAnsi="Book Antiqua"/>
        </w:rPr>
        <w:t>Jarnagin</w:t>
      </w:r>
      <w:proofErr w:type="spellEnd"/>
      <w:r>
        <w:rPr>
          <w:rFonts w:ascii="Book Antiqua" w:hAnsi="Book Antiqua"/>
        </w:rPr>
        <w:t xml:space="preserve"> WR, </w:t>
      </w:r>
      <w:proofErr w:type="spellStart"/>
      <w:r>
        <w:rPr>
          <w:rFonts w:ascii="Book Antiqua" w:hAnsi="Book Antiqua"/>
        </w:rPr>
        <w:t>Blumgart</w:t>
      </w:r>
      <w:proofErr w:type="spellEnd"/>
      <w:r>
        <w:rPr>
          <w:rFonts w:ascii="Book Antiqua" w:hAnsi="Book Antiqua"/>
        </w:rPr>
        <w:t xml:space="preserve"> LH, DeMatteo RP. Predictors and patterns of recurrence after resection of hepatocellular carcinoma. </w:t>
      </w:r>
      <w:r>
        <w:rPr>
          <w:rFonts w:ascii="Book Antiqua" w:hAnsi="Book Antiqua"/>
          <w:i/>
          <w:iCs/>
        </w:rPr>
        <w:t>J Am Coll Surg</w:t>
      </w:r>
      <w:r>
        <w:rPr>
          <w:rFonts w:ascii="Book Antiqua" w:hAnsi="Book Antiqua"/>
        </w:rPr>
        <w:t xml:space="preserve"> 2003; </w:t>
      </w:r>
      <w:r>
        <w:rPr>
          <w:rFonts w:ascii="Book Antiqua" w:hAnsi="Book Antiqua"/>
          <w:b/>
          <w:bCs/>
        </w:rPr>
        <w:t>197</w:t>
      </w:r>
      <w:r>
        <w:rPr>
          <w:rFonts w:ascii="Book Antiqua" w:hAnsi="Book Antiqua"/>
        </w:rPr>
        <w:t>: 753-758 [PMID: 14585409 DOI: 10.1016/j.jamcollsurg.2003.07.003]</w:t>
      </w:r>
    </w:p>
    <w:p w14:paraId="5FDE54AE" w14:textId="77777777" w:rsidR="0068222A" w:rsidRDefault="00000000">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Tabrizian</w:t>
      </w:r>
      <w:proofErr w:type="spellEnd"/>
      <w:r>
        <w:rPr>
          <w:rFonts w:ascii="Book Antiqua" w:hAnsi="Book Antiqua"/>
          <w:b/>
          <w:bCs/>
        </w:rPr>
        <w:t xml:space="preserve"> P</w:t>
      </w:r>
      <w:r>
        <w:rPr>
          <w:rFonts w:ascii="Book Antiqua" w:hAnsi="Book Antiqua"/>
        </w:rPr>
        <w:t xml:space="preserve">, </w:t>
      </w:r>
      <w:proofErr w:type="spellStart"/>
      <w:r>
        <w:rPr>
          <w:rFonts w:ascii="Book Antiqua" w:hAnsi="Book Antiqua"/>
        </w:rPr>
        <w:t>Jibara</w:t>
      </w:r>
      <w:proofErr w:type="spellEnd"/>
      <w:r>
        <w:rPr>
          <w:rFonts w:ascii="Book Antiqua" w:hAnsi="Book Antiqua"/>
        </w:rPr>
        <w:t xml:space="preserve"> G, </w:t>
      </w:r>
      <w:proofErr w:type="spellStart"/>
      <w:r>
        <w:rPr>
          <w:rFonts w:ascii="Book Antiqua" w:hAnsi="Book Antiqua"/>
        </w:rPr>
        <w:t>Shrager</w:t>
      </w:r>
      <w:proofErr w:type="spellEnd"/>
      <w:r>
        <w:rPr>
          <w:rFonts w:ascii="Book Antiqua" w:hAnsi="Book Antiqua"/>
        </w:rPr>
        <w:t xml:space="preserve"> B, Schwartz M, </w:t>
      </w:r>
      <w:proofErr w:type="spellStart"/>
      <w:r>
        <w:rPr>
          <w:rFonts w:ascii="Book Antiqua" w:hAnsi="Book Antiqua"/>
        </w:rPr>
        <w:t>Roayaie</w:t>
      </w:r>
      <w:proofErr w:type="spellEnd"/>
      <w:r>
        <w:rPr>
          <w:rFonts w:ascii="Book Antiqua" w:hAnsi="Book Antiqua"/>
        </w:rPr>
        <w:t xml:space="preserve"> S. Recurrence of hepatocellular cancer after resection: patterns, treatments, and prognosis. </w:t>
      </w:r>
      <w:r>
        <w:rPr>
          <w:rFonts w:ascii="Book Antiqua" w:hAnsi="Book Antiqua"/>
          <w:i/>
          <w:iCs/>
        </w:rPr>
        <w:t>Ann Surg</w:t>
      </w:r>
      <w:r>
        <w:rPr>
          <w:rFonts w:ascii="Book Antiqua" w:hAnsi="Book Antiqua"/>
        </w:rPr>
        <w:t xml:space="preserve"> 2015; </w:t>
      </w:r>
      <w:r>
        <w:rPr>
          <w:rFonts w:ascii="Book Antiqua" w:hAnsi="Book Antiqua"/>
          <w:b/>
          <w:bCs/>
        </w:rPr>
        <w:t>261</w:t>
      </w:r>
      <w:r>
        <w:rPr>
          <w:rFonts w:ascii="Book Antiqua" w:hAnsi="Book Antiqua"/>
        </w:rPr>
        <w:t>: 947-955 [PMID: 25010665 DOI: 10.1097/SLA.0000000000000710]</w:t>
      </w:r>
    </w:p>
    <w:p w14:paraId="6F638FB1" w14:textId="77777777" w:rsidR="0068222A"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Chen PJ</w:t>
      </w:r>
      <w:r>
        <w:rPr>
          <w:rFonts w:ascii="Book Antiqua" w:hAnsi="Book Antiqua"/>
        </w:rPr>
        <w:t xml:space="preserve">, Chen DS, Lai MY, Chang MH, Huang GT, Yang PM, </w:t>
      </w:r>
      <w:proofErr w:type="spellStart"/>
      <w:r>
        <w:rPr>
          <w:rFonts w:ascii="Book Antiqua" w:hAnsi="Book Antiqua"/>
        </w:rPr>
        <w:t>Sheu</w:t>
      </w:r>
      <w:proofErr w:type="spellEnd"/>
      <w:r>
        <w:rPr>
          <w:rFonts w:ascii="Book Antiqua" w:hAnsi="Book Antiqua"/>
        </w:rPr>
        <w:t xml:space="preserve"> JC, Lee SC, Hsu HC, Sung JL. Clonal origin of recurrent hepatocellular carcinomas. </w:t>
      </w:r>
      <w:r>
        <w:rPr>
          <w:rFonts w:ascii="Book Antiqua" w:hAnsi="Book Antiqua"/>
          <w:i/>
          <w:iCs/>
        </w:rPr>
        <w:t>Gastroenterology</w:t>
      </w:r>
      <w:r>
        <w:rPr>
          <w:rFonts w:ascii="Book Antiqua" w:hAnsi="Book Antiqua"/>
        </w:rPr>
        <w:t xml:space="preserve"> 1989; </w:t>
      </w:r>
      <w:r>
        <w:rPr>
          <w:rFonts w:ascii="Book Antiqua" w:hAnsi="Book Antiqua"/>
          <w:b/>
          <w:bCs/>
        </w:rPr>
        <w:t>96</w:t>
      </w:r>
      <w:r>
        <w:rPr>
          <w:rFonts w:ascii="Book Antiqua" w:hAnsi="Book Antiqua"/>
        </w:rPr>
        <w:t>: 527-529 [PMID: 2535996 DOI: 10.1016/0016-5085(89)91581-3]</w:t>
      </w:r>
    </w:p>
    <w:p w14:paraId="598C7C80" w14:textId="77777777" w:rsidR="0068222A"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Ng IO</w:t>
      </w:r>
      <w:r>
        <w:rPr>
          <w:rFonts w:ascii="Book Antiqua" w:hAnsi="Book Antiqua"/>
        </w:rPr>
        <w:t xml:space="preserve">, Guan XY, Poon RT, Fan ST, Lee JM. Determination of the molecular relationship between multiple </w:t>
      </w:r>
      <w:proofErr w:type="spellStart"/>
      <w:r>
        <w:rPr>
          <w:rFonts w:ascii="Book Antiqua" w:hAnsi="Book Antiqua"/>
        </w:rPr>
        <w:t>tumour</w:t>
      </w:r>
      <w:proofErr w:type="spellEnd"/>
      <w:r>
        <w:rPr>
          <w:rFonts w:ascii="Book Antiqua" w:hAnsi="Book Antiqua"/>
        </w:rPr>
        <w:t xml:space="preserve"> nodules in hepatocellular carcinoma differentiates multicentric origin from intrahepatic metastasis. </w:t>
      </w:r>
      <w:r>
        <w:rPr>
          <w:rFonts w:ascii="Book Antiqua" w:hAnsi="Book Antiqua"/>
          <w:i/>
          <w:iCs/>
        </w:rPr>
        <w:t xml:space="preserve">J </w:t>
      </w:r>
      <w:proofErr w:type="spellStart"/>
      <w:r>
        <w:rPr>
          <w:rFonts w:ascii="Book Antiqua" w:hAnsi="Book Antiqua"/>
          <w:i/>
          <w:iCs/>
        </w:rPr>
        <w:t>Pathol</w:t>
      </w:r>
      <w:proofErr w:type="spellEnd"/>
      <w:r>
        <w:rPr>
          <w:rFonts w:ascii="Book Antiqua" w:hAnsi="Book Antiqua"/>
        </w:rPr>
        <w:t xml:space="preserve"> 2003; </w:t>
      </w:r>
      <w:r>
        <w:rPr>
          <w:rFonts w:ascii="Book Antiqua" w:hAnsi="Book Antiqua"/>
          <w:b/>
          <w:bCs/>
        </w:rPr>
        <w:t>199</w:t>
      </w:r>
      <w:r>
        <w:rPr>
          <w:rFonts w:ascii="Book Antiqua" w:hAnsi="Book Antiqua"/>
        </w:rPr>
        <w:t>: 345-353 [PMID: 12579536 DOI: 10.1002/path.1287]</w:t>
      </w:r>
    </w:p>
    <w:p w14:paraId="7D91166F" w14:textId="77777777" w:rsidR="0068222A"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Johnson PJ</w:t>
      </w:r>
      <w:r>
        <w:rPr>
          <w:rFonts w:ascii="Book Antiqua" w:hAnsi="Book Antiqua"/>
        </w:rPr>
        <w:t xml:space="preserve">, Berhane S, </w:t>
      </w:r>
      <w:proofErr w:type="spellStart"/>
      <w:r>
        <w:rPr>
          <w:rFonts w:ascii="Book Antiqua" w:hAnsi="Book Antiqua"/>
        </w:rPr>
        <w:t>Kagebayashi</w:t>
      </w:r>
      <w:proofErr w:type="spellEnd"/>
      <w:r>
        <w:rPr>
          <w:rFonts w:ascii="Book Antiqua" w:hAnsi="Book Antiqua"/>
        </w:rPr>
        <w:t xml:space="preserve"> C, </w:t>
      </w:r>
      <w:proofErr w:type="spellStart"/>
      <w:r>
        <w:rPr>
          <w:rFonts w:ascii="Book Antiqua" w:hAnsi="Book Antiqua"/>
        </w:rPr>
        <w:t>Satomura</w:t>
      </w:r>
      <w:proofErr w:type="spellEnd"/>
      <w:r>
        <w:rPr>
          <w:rFonts w:ascii="Book Antiqua" w:hAnsi="Book Antiqua"/>
        </w:rPr>
        <w:t xml:space="preserve"> S, Teng M, Reeves HL, </w:t>
      </w:r>
      <w:proofErr w:type="spellStart"/>
      <w:r>
        <w:rPr>
          <w:rFonts w:ascii="Book Antiqua" w:hAnsi="Book Antiqua"/>
        </w:rPr>
        <w:t>O'Beirne</w:t>
      </w:r>
      <w:proofErr w:type="spellEnd"/>
      <w:r>
        <w:rPr>
          <w:rFonts w:ascii="Book Antiqua" w:hAnsi="Book Antiqua"/>
        </w:rPr>
        <w:t xml:space="preserve"> J, Fox R, </w:t>
      </w:r>
      <w:proofErr w:type="spellStart"/>
      <w:r>
        <w:rPr>
          <w:rFonts w:ascii="Book Antiqua" w:hAnsi="Book Antiqua"/>
        </w:rPr>
        <w:t>Skowronska</w:t>
      </w:r>
      <w:proofErr w:type="spellEnd"/>
      <w:r>
        <w:rPr>
          <w:rFonts w:ascii="Book Antiqua" w:hAnsi="Book Antiqua"/>
        </w:rPr>
        <w:t xml:space="preserve"> A, Palmer D, Yeo W, Mo F, Lai P, </w:t>
      </w:r>
      <w:proofErr w:type="spellStart"/>
      <w:r>
        <w:rPr>
          <w:rFonts w:ascii="Book Antiqua" w:hAnsi="Book Antiqua"/>
        </w:rPr>
        <w:t>Iñarrairaegui</w:t>
      </w:r>
      <w:proofErr w:type="spellEnd"/>
      <w:r>
        <w:rPr>
          <w:rFonts w:ascii="Book Antiqua" w:hAnsi="Book Antiqua"/>
        </w:rPr>
        <w:t xml:space="preserve"> M, Chan SL, Sangro B, </w:t>
      </w:r>
      <w:proofErr w:type="spellStart"/>
      <w:r>
        <w:rPr>
          <w:rFonts w:ascii="Book Antiqua" w:hAnsi="Book Antiqua"/>
        </w:rPr>
        <w:t>Miksad</w:t>
      </w:r>
      <w:proofErr w:type="spellEnd"/>
      <w:r>
        <w:rPr>
          <w:rFonts w:ascii="Book Antiqua" w:hAnsi="Book Antiqua"/>
        </w:rPr>
        <w:t xml:space="preserve"> R, Tada T, </w:t>
      </w:r>
      <w:proofErr w:type="spellStart"/>
      <w:r>
        <w:rPr>
          <w:rFonts w:ascii="Book Antiqua" w:hAnsi="Book Antiqua"/>
        </w:rPr>
        <w:t>Kumada</w:t>
      </w:r>
      <w:proofErr w:type="spellEnd"/>
      <w:r>
        <w:rPr>
          <w:rFonts w:ascii="Book Antiqua" w:hAnsi="Book Antiqua"/>
        </w:rPr>
        <w:t xml:space="preserve"> T, Toyoda H. Assessment of liver function in patients with hepatocellular carcinoma: a new evidence-based approach-the ALBI grade. </w:t>
      </w:r>
      <w:r>
        <w:rPr>
          <w:rFonts w:ascii="Book Antiqua" w:hAnsi="Book Antiqua"/>
          <w:i/>
          <w:iCs/>
        </w:rPr>
        <w:t>J Clin Oncol</w:t>
      </w:r>
      <w:r>
        <w:rPr>
          <w:rFonts w:ascii="Book Antiqua" w:hAnsi="Book Antiqua"/>
        </w:rPr>
        <w:t xml:space="preserve"> 2015; </w:t>
      </w:r>
      <w:r>
        <w:rPr>
          <w:rFonts w:ascii="Book Antiqua" w:hAnsi="Book Antiqua"/>
          <w:b/>
          <w:bCs/>
        </w:rPr>
        <w:t>33</w:t>
      </w:r>
      <w:r>
        <w:rPr>
          <w:rFonts w:ascii="Book Antiqua" w:hAnsi="Book Antiqua"/>
        </w:rPr>
        <w:t>: 550-558 [PMID: 25512453 DOI: 10.1200/JCO.2014.57.9151]</w:t>
      </w:r>
    </w:p>
    <w:p w14:paraId="42169BA8" w14:textId="77777777" w:rsidR="0068222A" w:rsidRDefault="00000000">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Lambin</w:t>
      </w:r>
      <w:proofErr w:type="spellEnd"/>
      <w:r>
        <w:rPr>
          <w:rFonts w:ascii="Book Antiqua" w:hAnsi="Book Antiqua"/>
          <w:b/>
          <w:bCs/>
        </w:rPr>
        <w:t xml:space="preserve"> P</w:t>
      </w:r>
      <w:r>
        <w:rPr>
          <w:rFonts w:ascii="Book Antiqua" w:hAnsi="Book Antiqua"/>
        </w:rPr>
        <w:t xml:space="preserve">, </w:t>
      </w:r>
      <w:proofErr w:type="spellStart"/>
      <w:r>
        <w:rPr>
          <w:rFonts w:ascii="Book Antiqua" w:hAnsi="Book Antiqua"/>
        </w:rPr>
        <w:t>Leijenaar</w:t>
      </w:r>
      <w:proofErr w:type="spellEnd"/>
      <w:r>
        <w:rPr>
          <w:rFonts w:ascii="Book Antiqua" w:hAnsi="Book Antiqua"/>
        </w:rPr>
        <w:t xml:space="preserve"> RTH, Deist TM, </w:t>
      </w:r>
      <w:proofErr w:type="spellStart"/>
      <w:r>
        <w:rPr>
          <w:rFonts w:ascii="Book Antiqua" w:hAnsi="Book Antiqua"/>
        </w:rPr>
        <w:t>Peerlings</w:t>
      </w:r>
      <w:proofErr w:type="spellEnd"/>
      <w:r>
        <w:rPr>
          <w:rFonts w:ascii="Book Antiqua" w:hAnsi="Book Antiqua"/>
        </w:rPr>
        <w:t xml:space="preserve"> J, de Jong EEC, van </w:t>
      </w:r>
      <w:proofErr w:type="spellStart"/>
      <w:r>
        <w:rPr>
          <w:rFonts w:ascii="Book Antiqua" w:hAnsi="Book Antiqua"/>
        </w:rPr>
        <w:t>Timmeren</w:t>
      </w:r>
      <w:proofErr w:type="spellEnd"/>
      <w:r>
        <w:rPr>
          <w:rFonts w:ascii="Book Antiqua" w:hAnsi="Book Antiqua"/>
        </w:rPr>
        <w:t xml:space="preserve"> J, </w:t>
      </w:r>
      <w:proofErr w:type="spellStart"/>
      <w:r>
        <w:rPr>
          <w:rFonts w:ascii="Book Antiqua" w:hAnsi="Book Antiqua"/>
        </w:rPr>
        <w:t>Sanduleanu</w:t>
      </w:r>
      <w:proofErr w:type="spellEnd"/>
      <w:r>
        <w:rPr>
          <w:rFonts w:ascii="Book Antiqua" w:hAnsi="Book Antiqua"/>
        </w:rPr>
        <w:t xml:space="preserve"> S, Larue RTHM, Even AJG, </w:t>
      </w:r>
      <w:proofErr w:type="spellStart"/>
      <w:r>
        <w:rPr>
          <w:rFonts w:ascii="Book Antiqua" w:hAnsi="Book Antiqua"/>
        </w:rPr>
        <w:t>Jochems</w:t>
      </w:r>
      <w:proofErr w:type="spellEnd"/>
      <w:r>
        <w:rPr>
          <w:rFonts w:ascii="Book Antiqua" w:hAnsi="Book Antiqua"/>
        </w:rPr>
        <w:t xml:space="preserve"> A, van </w:t>
      </w:r>
      <w:proofErr w:type="spellStart"/>
      <w:r>
        <w:rPr>
          <w:rFonts w:ascii="Book Antiqua" w:hAnsi="Book Antiqua"/>
        </w:rPr>
        <w:t>Wijk</w:t>
      </w:r>
      <w:proofErr w:type="spellEnd"/>
      <w:r>
        <w:rPr>
          <w:rFonts w:ascii="Book Antiqua" w:hAnsi="Book Antiqua"/>
        </w:rPr>
        <w:t xml:space="preserve"> Y, Woodruff H, van </w:t>
      </w:r>
      <w:proofErr w:type="spellStart"/>
      <w:r>
        <w:rPr>
          <w:rFonts w:ascii="Book Antiqua" w:hAnsi="Book Antiqua"/>
        </w:rPr>
        <w:t>Soest</w:t>
      </w:r>
      <w:proofErr w:type="spellEnd"/>
      <w:r>
        <w:rPr>
          <w:rFonts w:ascii="Book Antiqua" w:hAnsi="Book Antiqua"/>
        </w:rPr>
        <w:t xml:space="preserve"> J, </w:t>
      </w:r>
      <w:proofErr w:type="spellStart"/>
      <w:r>
        <w:rPr>
          <w:rFonts w:ascii="Book Antiqua" w:hAnsi="Book Antiqua"/>
        </w:rPr>
        <w:t>Lustberg</w:t>
      </w:r>
      <w:proofErr w:type="spellEnd"/>
      <w:r>
        <w:rPr>
          <w:rFonts w:ascii="Book Antiqua" w:hAnsi="Book Antiqua"/>
        </w:rPr>
        <w:t xml:space="preserve"> T, </w:t>
      </w:r>
      <w:proofErr w:type="spellStart"/>
      <w:r>
        <w:rPr>
          <w:rFonts w:ascii="Book Antiqua" w:hAnsi="Book Antiqua"/>
        </w:rPr>
        <w:t>Roelofs</w:t>
      </w:r>
      <w:proofErr w:type="spellEnd"/>
      <w:r>
        <w:rPr>
          <w:rFonts w:ascii="Book Antiqua" w:hAnsi="Book Antiqua"/>
        </w:rPr>
        <w:t xml:space="preserve"> E, van </w:t>
      </w:r>
      <w:proofErr w:type="spellStart"/>
      <w:r>
        <w:rPr>
          <w:rFonts w:ascii="Book Antiqua" w:hAnsi="Book Antiqua"/>
        </w:rPr>
        <w:t>Elmpt</w:t>
      </w:r>
      <w:proofErr w:type="spellEnd"/>
      <w:r>
        <w:rPr>
          <w:rFonts w:ascii="Book Antiqua" w:hAnsi="Book Antiqua"/>
        </w:rPr>
        <w:t xml:space="preserve"> W, Dekker A, </w:t>
      </w:r>
      <w:proofErr w:type="spellStart"/>
      <w:r>
        <w:rPr>
          <w:rFonts w:ascii="Book Antiqua" w:hAnsi="Book Antiqua"/>
        </w:rPr>
        <w:t>Mottaghy</w:t>
      </w:r>
      <w:proofErr w:type="spellEnd"/>
      <w:r>
        <w:rPr>
          <w:rFonts w:ascii="Book Antiqua" w:hAnsi="Book Antiqua"/>
        </w:rPr>
        <w:t xml:space="preserve"> FM, </w:t>
      </w:r>
      <w:proofErr w:type="spellStart"/>
      <w:r>
        <w:rPr>
          <w:rFonts w:ascii="Book Antiqua" w:hAnsi="Book Antiqua"/>
        </w:rPr>
        <w:t>Wildberger</w:t>
      </w:r>
      <w:proofErr w:type="spellEnd"/>
      <w:r>
        <w:rPr>
          <w:rFonts w:ascii="Book Antiqua" w:hAnsi="Book Antiqua"/>
        </w:rPr>
        <w:t xml:space="preserve"> JE, Walsh S. Radiomics: the bridge between medical imaging and personalized medicine. </w:t>
      </w:r>
      <w:r>
        <w:rPr>
          <w:rFonts w:ascii="Book Antiqua" w:hAnsi="Book Antiqua"/>
          <w:i/>
          <w:iCs/>
        </w:rPr>
        <w:t>Nat Rev Clin Oncol</w:t>
      </w:r>
      <w:r>
        <w:rPr>
          <w:rFonts w:ascii="Book Antiqua" w:hAnsi="Book Antiqua"/>
        </w:rPr>
        <w:t xml:space="preserve"> 2017; </w:t>
      </w:r>
      <w:r>
        <w:rPr>
          <w:rFonts w:ascii="Book Antiqua" w:hAnsi="Book Antiqua"/>
          <w:b/>
          <w:bCs/>
        </w:rPr>
        <w:t>14</w:t>
      </w:r>
      <w:r>
        <w:rPr>
          <w:rFonts w:ascii="Book Antiqua" w:hAnsi="Book Antiqua"/>
        </w:rPr>
        <w:t>: 749-762 [PMID: 28975929 DOI: 10.1038/nrclinonc.2017.141]</w:t>
      </w:r>
    </w:p>
    <w:p w14:paraId="785E5545" w14:textId="77777777" w:rsidR="0068222A"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Kitao A</w:t>
      </w:r>
      <w:r>
        <w:rPr>
          <w:rFonts w:ascii="Book Antiqua" w:hAnsi="Book Antiqua"/>
        </w:rPr>
        <w:t xml:space="preserve">, Matsui O, Zhang Y, </w:t>
      </w:r>
      <w:proofErr w:type="spellStart"/>
      <w:r>
        <w:rPr>
          <w:rFonts w:ascii="Book Antiqua" w:hAnsi="Book Antiqua"/>
        </w:rPr>
        <w:t>Ogi</w:t>
      </w:r>
      <w:proofErr w:type="spellEnd"/>
      <w:r>
        <w:rPr>
          <w:rFonts w:ascii="Book Antiqua" w:hAnsi="Book Antiqua"/>
        </w:rPr>
        <w:t xml:space="preserve"> T, Nakada S, Sato Y, Harada K, </w:t>
      </w:r>
      <w:proofErr w:type="spellStart"/>
      <w:r>
        <w:rPr>
          <w:rFonts w:ascii="Book Antiqua" w:hAnsi="Book Antiqua"/>
        </w:rPr>
        <w:t>Yoneda</w:t>
      </w:r>
      <w:proofErr w:type="spellEnd"/>
      <w:r>
        <w:rPr>
          <w:rFonts w:ascii="Book Antiqua" w:hAnsi="Book Antiqua"/>
        </w:rPr>
        <w:t xml:space="preserve"> N, </w:t>
      </w:r>
      <w:proofErr w:type="spellStart"/>
      <w:r>
        <w:rPr>
          <w:rFonts w:ascii="Book Antiqua" w:hAnsi="Book Antiqua"/>
        </w:rPr>
        <w:t>Kozaka</w:t>
      </w:r>
      <w:proofErr w:type="spellEnd"/>
      <w:r>
        <w:rPr>
          <w:rFonts w:ascii="Book Antiqua" w:hAnsi="Book Antiqua"/>
        </w:rPr>
        <w:t xml:space="preserve"> K, Inoue D, Yoshida K, Koda W, Yamashita T, Yamashita T, Kaneko S, Kobayashi S, </w:t>
      </w:r>
      <w:proofErr w:type="spellStart"/>
      <w:r>
        <w:rPr>
          <w:rFonts w:ascii="Book Antiqua" w:hAnsi="Book Antiqua"/>
        </w:rPr>
        <w:t>Gabata</w:t>
      </w:r>
      <w:proofErr w:type="spellEnd"/>
      <w:r>
        <w:rPr>
          <w:rFonts w:ascii="Book Antiqua" w:hAnsi="Book Antiqua"/>
        </w:rPr>
        <w:t xml:space="preserve"> T. Dynamic CT and </w:t>
      </w:r>
      <w:proofErr w:type="spellStart"/>
      <w:r>
        <w:rPr>
          <w:rFonts w:ascii="Book Antiqua" w:hAnsi="Book Antiqua"/>
        </w:rPr>
        <w:t>Gadoxetic</w:t>
      </w:r>
      <w:proofErr w:type="spellEnd"/>
      <w:r>
        <w:rPr>
          <w:rFonts w:ascii="Book Antiqua" w:hAnsi="Book Antiqua"/>
        </w:rPr>
        <w:t xml:space="preserve"> Acid-enhanced MRI Characteristics of P53-</w:t>
      </w:r>
      <w:r>
        <w:rPr>
          <w:rFonts w:ascii="Book Antiqua" w:hAnsi="Book Antiqua"/>
        </w:rPr>
        <w:lastRenderedPageBreak/>
        <w:t xml:space="preserve">mutated Hepatocellular Carcinoma. </w:t>
      </w:r>
      <w:r>
        <w:rPr>
          <w:rFonts w:ascii="Book Antiqua" w:hAnsi="Book Antiqua"/>
          <w:i/>
          <w:iCs/>
        </w:rPr>
        <w:t>Radiology</w:t>
      </w:r>
      <w:r>
        <w:rPr>
          <w:rFonts w:ascii="Book Antiqua" w:hAnsi="Book Antiqua"/>
        </w:rPr>
        <w:t xml:space="preserve"> 2023; </w:t>
      </w:r>
      <w:r>
        <w:rPr>
          <w:rFonts w:ascii="Book Antiqua" w:hAnsi="Book Antiqua"/>
          <w:b/>
          <w:bCs/>
        </w:rPr>
        <w:t>306</w:t>
      </w:r>
      <w:r>
        <w:rPr>
          <w:rFonts w:ascii="Book Antiqua" w:hAnsi="Book Antiqua"/>
        </w:rPr>
        <w:t>: e220531 [PMID: 36219111 DOI: 10.1148/radiol.220531]</w:t>
      </w:r>
    </w:p>
    <w:p w14:paraId="55FA1EB8" w14:textId="77777777" w:rsidR="0068222A"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Xu X</w:t>
      </w:r>
      <w:r>
        <w:rPr>
          <w:rFonts w:ascii="Book Antiqua" w:hAnsi="Book Antiqua"/>
        </w:rPr>
        <w:t xml:space="preserve">, Zhang HL, Liu QP, Sun SW, Zhang J, Zhu FP, Yang G, Yan X, Zhang YD, Liu XS. Radiomic analysis of contrast-enhanced CT predicts microvascular invasion and outcome in hepatocellular carcinoma. </w:t>
      </w:r>
      <w:r>
        <w:rPr>
          <w:rFonts w:ascii="Book Antiqua" w:hAnsi="Book Antiqua"/>
          <w:i/>
          <w:iCs/>
        </w:rPr>
        <w:t>J Hepatol</w:t>
      </w:r>
      <w:r>
        <w:rPr>
          <w:rFonts w:ascii="Book Antiqua" w:hAnsi="Book Antiqua"/>
        </w:rPr>
        <w:t xml:space="preserve"> 2019; </w:t>
      </w:r>
      <w:r>
        <w:rPr>
          <w:rFonts w:ascii="Book Antiqua" w:hAnsi="Book Antiqua"/>
          <w:b/>
          <w:bCs/>
        </w:rPr>
        <w:t>70</w:t>
      </w:r>
      <w:r>
        <w:rPr>
          <w:rFonts w:ascii="Book Antiqua" w:hAnsi="Book Antiqua"/>
        </w:rPr>
        <w:t>: 1133-1144 [PMID: 30876945 DOI: 10.1016/j.jhep.2019.02.023]</w:t>
      </w:r>
    </w:p>
    <w:p w14:paraId="77794CFC" w14:textId="77777777" w:rsidR="0068222A"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Liu Q</w:t>
      </w:r>
      <w:r>
        <w:rPr>
          <w:rFonts w:ascii="Book Antiqua" w:hAnsi="Book Antiqua"/>
        </w:rPr>
        <w:t xml:space="preserve">, Li J, Liu F, Yang W, Ding J, Chen W, Wei Y, Li B, Zheng L. A radiomics nomogram for the prediction of overall survival in patients with hepatocellular carcinoma after hepatectomy. </w:t>
      </w:r>
      <w:r>
        <w:rPr>
          <w:rFonts w:ascii="Book Antiqua" w:hAnsi="Book Antiqua"/>
          <w:i/>
          <w:iCs/>
        </w:rPr>
        <w:t>Cancer Imaging</w:t>
      </w:r>
      <w:r>
        <w:rPr>
          <w:rFonts w:ascii="Book Antiqua" w:hAnsi="Book Antiqua"/>
        </w:rPr>
        <w:t xml:space="preserve"> 2020; </w:t>
      </w:r>
      <w:r>
        <w:rPr>
          <w:rFonts w:ascii="Book Antiqua" w:hAnsi="Book Antiqua"/>
          <w:b/>
          <w:bCs/>
        </w:rPr>
        <w:t>20</w:t>
      </w:r>
      <w:r>
        <w:rPr>
          <w:rFonts w:ascii="Book Antiqua" w:hAnsi="Book Antiqua"/>
        </w:rPr>
        <w:t>: 82 [PMID: 33198809 DOI: 10.1186/s40644-020-00360-9]</w:t>
      </w:r>
    </w:p>
    <w:p w14:paraId="038B5F14" w14:textId="77777777" w:rsidR="0068222A"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Ji GW</w:t>
      </w:r>
      <w:r>
        <w:rPr>
          <w:rFonts w:ascii="Book Antiqua" w:hAnsi="Book Antiqua"/>
        </w:rPr>
        <w:t xml:space="preserve">, Zhu FP, Xu Q, Wang K, Wu MY, Tang WW, Li XC, Wang XH. Radiomic Features at Contrast-enhanced CT Predict Recurrence in </w:t>
      </w:r>
      <w:proofErr w:type="gramStart"/>
      <w:r>
        <w:rPr>
          <w:rFonts w:ascii="Book Antiqua" w:hAnsi="Book Antiqua"/>
        </w:rPr>
        <w:t>Early Stage</w:t>
      </w:r>
      <w:proofErr w:type="gramEnd"/>
      <w:r>
        <w:rPr>
          <w:rFonts w:ascii="Book Antiqua" w:hAnsi="Book Antiqua"/>
        </w:rPr>
        <w:t xml:space="preserve"> Hepatocellular Carcinoma: A Multi-Institutional Study. </w:t>
      </w:r>
      <w:r>
        <w:rPr>
          <w:rFonts w:ascii="Book Antiqua" w:hAnsi="Book Antiqua"/>
          <w:i/>
          <w:iCs/>
        </w:rPr>
        <w:t>Radiology</w:t>
      </w:r>
      <w:r>
        <w:rPr>
          <w:rFonts w:ascii="Book Antiqua" w:hAnsi="Book Antiqua"/>
        </w:rPr>
        <w:t xml:space="preserve"> 2020; </w:t>
      </w:r>
      <w:r>
        <w:rPr>
          <w:rFonts w:ascii="Book Antiqua" w:hAnsi="Book Antiqua"/>
          <w:b/>
          <w:bCs/>
        </w:rPr>
        <w:t>294</w:t>
      </w:r>
      <w:r>
        <w:rPr>
          <w:rFonts w:ascii="Book Antiqua" w:hAnsi="Book Antiqua"/>
        </w:rPr>
        <w:t>: 568-579 [PMID: 31934830 DOI: 10.1148/radiol.2020191470]</w:t>
      </w:r>
    </w:p>
    <w:p w14:paraId="14CB3BBD" w14:textId="77777777" w:rsidR="0068222A"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Zhang X</w:t>
      </w:r>
      <w:r>
        <w:rPr>
          <w:rFonts w:ascii="Book Antiqua" w:hAnsi="Book Antiqua"/>
        </w:rPr>
        <w:t xml:space="preserve">, Wang C, Zheng D, Liao Y, Wang X, Huang Z, Zhong Q. Radiomics nomogram based on multi-parametric magnetic resonance imaging for predicting early recurrence in small hepatocellular carcinoma after radiofrequency ablation. </w:t>
      </w:r>
      <w:r>
        <w:rPr>
          <w:rFonts w:ascii="Book Antiqua" w:hAnsi="Book Antiqua"/>
          <w:i/>
          <w:iCs/>
        </w:rPr>
        <w:t>Front Oncol</w:t>
      </w:r>
      <w:r>
        <w:rPr>
          <w:rFonts w:ascii="Book Antiqua" w:hAnsi="Book Antiqua"/>
        </w:rPr>
        <w:t xml:space="preserve"> 2022; </w:t>
      </w:r>
      <w:r>
        <w:rPr>
          <w:rFonts w:ascii="Book Antiqua" w:hAnsi="Book Antiqua"/>
          <w:b/>
          <w:bCs/>
        </w:rPr>
        <w:t>12</w:t>
      </w:r>
      <w:r>
        <w:rPr>
          <w:rFonts w:ascii="Book Antiqua" w:hAnsi="Book Antiqua"/>
        </w:rPr>
        <w:t>: 1013770 [PMID: 36439458 DOI: 10.3389/fonc.2022.1013770]</w:t>
      </w:r>
    </w:p>
    <w:p w14:paraId="53BF8159" w14:textId="77777777" w:rsidR="0068222A"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Villanueva A</w:t>
      </w:r>
      <w:r>
        <w:rPr>
          <w:rFonts w:ascii="Book Antiqua" w:hAnsi="Book Antiqua"/>
        </w:rPr>
        <w:t xml:space="preserve">, </w:t>
      </w:r>
      <w:proofErr w:type="spellStart"/>
      <w:r>
        <w:rPr>
          <w:rFonts w:ascii="Book Antiqua" w:hAnsi="Book Antiqua"/>
        </w:rPr>
        <w:t>Hoshida</w:t>
      </w:r>
      <w:proofErr w:type="spellEnd"/>
      <w:r>
        <w:rPr>
          <w:rFonts w:ascii="Book Antiqua" w:hAnsi="Book Antiqua"/>
        </w:rPr>
        <w:t xml:space="preserve"> Y, </w:t>
      </w:r>
      <w:proofErr w:type="spellStart"/>
      <w:r>
        <w:rPr>
          <w:rFonts w:ascii="Book Antiqua" w:hAnsi="Book Antiqua"/>
        </w:rPr>
        <w:t>Battiston</w:t>
      </w:r>
      <w:proofErr w:type="spellEnd"/>
      <w:r>
        <w:rPr>
          <w:rFonts w:ascii="Book Antiqua" w:hAnsi="Book Antiqua"/>
        </w:rPr>
        <w:t xml:space="preserve"> C, Tovar V, Sia D, </w:t>
      </w:r>
      <w:proofErr w:type="spellStart"/>
      <w:r>
        <w:rPr>
          <w:rFonts w:ascii="Book Antiqua" w:hAnsi="Book Antiqua"/>
        </w:rPr>
        <w:t>Alsinet</w:t>
      </w:r>
      <w:proofErr w:type="spellEnd"/>
      <w:r>
        <w:rPr>
          <w:rFonts w:ascii="Book Antiqua" w:hAnsi="Book Antiqua"/>
        </w:rPr>
        <w:t xml:space="preserve"> C, Cornella H, </w:t>
      </w:r>
      <w:proofErr w:type="spellStart"/>
      <w:r>
        <w:rPr>
          <w:rFonts w:ascii="Book Antiqua" w:hAnsi="Book Antiqua"/>
        </w:rPr>
        <w:t>Liberzon</w:t>
      </w:r>
      <w:proofErr w:type="spellEnd"/>
      <w:r>
        <w:rPr>
          <w:rFonts w:ascii="Book Antiqua" w:hAnsi="Book Antiqua"/>
        </w:rPr>
        <w:t xml:space="preserve"> A, Kobayashi M, </w:t>
      </w:r>
      <w:proofErr w:type="spellStart"/>
      <w:r>
        <w:rPr>
          <w:rFonts w:ascii="Book Antiqua" w:hAnsi="Book Antiqua"/>
        </w:rPr>
        <w:t>Kumada</w:t>
      </w:r>
      <w:proofErr w:type="spellEnd"/>
      <w:r>
        <w:rPr>
          <w:rFonts w:ascii="Book Antiqua" w:hAnsi="Book Antiqua"/>
        </w:rPr>
        <w:t xml:space="preserve"> H, </w:t>
      </w:r>
      <w:proofErr w:type="spellStart"/>
      <w:r>
        <w:rPr>
          <w:rFonts w:ascii="Book Antiqua" w:hAnsi="Book Antiqua"/>
        </w:rPr>
        <w:t>Thung</w:t>
      </w:r>
      <w:proofErr w:type="spellEnd"/>
      <w:r>
        <w:rPr>
          <w:rFonts w:ascii="Book Antiqua" w:hAnsi="Book Antiqua"/>
        </w:rPr>
        <w:t xml:space="preserve"> SN, </w:t>
      </w:r>
      <w:proofErr w:type="spellStart"/>
      <w:r>
        <w:rPr>
          <w:rFonts w:ascii="Book Antiqua" w:hAnsi="Book Antiqua"/>
        </w:rPr>
        <w:t>Bruix</w:t>
      </w:r>
      <w:proofErr w:type="spellEnd"/>
      <w:r>
        <w:rPr>
          <w:rFonts w:ascii="Book Antiqua" w:hAnsi="Book Antiqua"/>
        </w:rPr>
        <w:t xml:space="preserve"> J, Newell P, April C, Fan JB, </w:t>
      </w:r>
      <w:proofErr w:type="spellStart"/>
      <w:r>
        <w:rPr>
          <w:rFonts w:ascii="Book Antiqua" w:hAnsi="Book Antiqua"/>
        </w:rPr>
        <w:t>Roayaie</w:t>
      </w:r>
      <w:proofErr w:type="spellEnd"/>
      <w:r>
        <w:rPr>
          <w:rFonts w:ascii="Book Antiqua" w:hAnsi="Book Antiqua"/>
        </w:rPr>
        <w:t xml:space="preserve"> S, Mazzaferro V, Schwartz ME, </w:t>
      </w:r>
      <w:proofErr w:type="spellStart"/>
      <w:r>
        <w:rPr>
          <w:rFonts w:ascii="Book Antiqua" w:hAnsi="Book Antiqua"/>
        </w:rPr>
        <w:t>Llovet</w:t>
      </w:r>
      <w:proofErr w:type="spellEnd"/>
      <w:r>
        <w:rPr>
          <w:rFonts w:ascii="Book Antiqua" w:hAnsi="Book Antiqua"/>
        </w:rPr>
        <w:t xml:space="preserve"> JM. Combining clinical, pathology, and gene expression data to predict recurrence of hepatocellular carcinoma. </w:t>
      </w:r>
      <w:r>
        <w:rPr>
          <w:rFonts w:ascii="Book Antiqua" w:hAnsi="Book Antiqua"/>
          <w:i/>
          <w:iCs/>
        </w:rPr>
        <w:t>Gastroenterology</w:t>
      </w:r>
      <w:r>
        <w:rPr>
          <w:rFonts w:ascii="Book Antiqua" w:hAnsi="Book Antiqua"/>
        </w:rPr>
        <w:t xml:space="preserve"> 2011; </w:t>
      </w:r>
      <w:r>
        <w:rPr>
          <w:rFonts w:ascii="Book Antiqua" w:hAnsi="Book Antiqua"/>
          <w:b/>
          <w:bCs/>
        </w:rPr>
        <w:t>140</w:t>
      </w:r>
      <w:r>
        <w:rPr>
          <w:rFonts w:ascii="Book Antiqua" w:hAnsi="Book Antiqua"/>
        </w:rPr>
        <w:t>: 1501-</w:t>
      </w:r>
      <w:proofErr w:type="gramStart"/>
      <w:r>
        <w:rPr>
          <w:rFonts w:ascii="Book Antiqua" w:hAnsi="Book Antiqua"/>
        </w:rPr>
        <w:t>12.e</w:t>
      </w:r>
      <w:proofErr w:type="gramEnd"/>
      <w:r>
        <w:rPr>
          <w:rFonts w:ascii="Book Antiqua" w:hAnsi="Book Antiqua"/>
        </w:rPr>
        <w:t>2 [PMID: 21320499 DOI: 10.1053/j.gastro.2011.02.006]</w:t>
      </w:r>
    </w:p>
    <w:p w14:paraId="74D21C4E" w14:textId="77777777" w:rsidR="0068222A"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Yamamoto Y</w:t>
      </w:r>
      <w:r>
        <w:rPr>
          <w:rFonts w:ascii="Book Antiqua" w:hAnsi="Book Antiqua"/>
        </w:rPr>
        <w:t xml:space="preserve">, </w:t>
      </w:r>
      <w:proofErr w:type="spellStart"/>
      <w:r>
        <w:rPr>
          <w:rFonts w:ascii="Book Antiqua" w:hAnsi="Book Antiqua"/>
        </w:rPr>
        <w:t>Ikoma</w:t>
      </w:r>
      <w:proofErr w:type="spellEnd"/>
      <w:r>
        <w:rPr>
          <w:rFonts w:ascii="Book Antiqua" w:hAnsi="Book Antiqua"/>
        </w:rPr>
        <w:t xml:space="preserve"> H, </w:t>
      </w:r>
      <w:proofErr w:type="spellStart"/>
      <w:r>
        <w:rPr>
          <w:rFonts w:ascii="Book Antiqua" w:hAnsi="Book Antiqua"/>
        </w:rPr>
        <w:t>Morimura</w:t>
      </w:r>
      <w:proofErr w:type="spellEnd"/>
      <w:r>
        <w:rPr>
          <w:rFonts w:ascii="Book Antiqua" w:hAnsi="Book Antiqua"/>
        </w:rPr>
        <w:t xml:space="preserve"> R, </w:t>
      </w:r>
      <w:proofErr w:type="spellStart"/>
      <w:r>
        <w:rPr>
          <w:rFonts w:ascii="Book Antiqua" w:hAnsi="Book Antiqua"/>
        </w:rPr>
        <w:t>Konishi</w:t>
      </w:r>
      <w:proofErr w:type="spellEnd"/>
      <w:r>
        <w:rPr>
          <w:rFonts w:ascii="Book Antiqua" w:hAnsi="Book Antiqua"/>
        </w:rPr>
        <w:t xml:space="preserve"> H, Murayama Y, Komatsu S, </w:t>
      </w:r>
      <w:proofErr w:type="spellStart"/>
      <w:r>
        <w:rPr>
          <w:rFonts w:ascii="Book Antiqua" w:hAnsi="Book Antiqua"/>
        </w:rPr>
        <w:t>Shiozaki</w:t>
      </w:r>
      <w:proofErr w:type="spellEnd"/>
      <w:r>
        <w:rPr>
          <w:rFonts w:ascii="Book Antiqua" w:hAnsi="Book Antiqua"/>
        </w:rPr>
        <w:t xml:space="preserve"> A, </w:t>
      </w:r>
      <w:proofErr w:type="spellStart"/>
      <w:r>
        <w:rPr>
          <w:rFonts w:ascii="Book Antiqua" w:hAnsi="Book Antiqua"/>
        </w:rPr>
        <w:t>Kuriu</w:t>
      </w:r>
      <w:proofErr w:type="spellEnd"/>
      <w:r>
        <w:rPr>
          <w:rFonts w:ascii="Book Antiqua" w:hAnsi="Book Antiqua"/>
        </w:rPr>
        <w:t xml:space="preserve"> Y, Kubota T, Nakanishi M, Ichikawa D, Fujiwara H, Okamoto K, </w:t>
      </w:r>
      <w:proofErr w:type="spellStart"/>
      <w:r>
        <w:rPr>
          <w:rFonts w:ascii="Book Antiqua" w:hAnsi="Book Antiqua"/>
        </w:rPr>
        <w:t>Sakakura</w:t>
      </w:r>
      <w:proofErr w:type="spellEnd"/>
      <w:r>
        <w:rPr>
          <w:rFonts w:ascii="Book Antiqua" w:hAnsi="Book Antiqua"/>
        </w:rPr>
        <w:t xml:space="preserve"> C, </w:t>
      </w:r>
      <w:proofErr w:type="spellStart"/>
      <w:r>
        <w:rPr>
          <w:rFonts w:ascii="Book Antiqua" w:hAnsi="Book Antiqua"/>
        </w:rPr>
        <w:t>Ochiai</w:t>
      </w:r>
      <w:proofErr w:type="spellEnd"/>
      <w:r>
        <w:rPr>
          <w:rFonts w:ascii="Book Antiqua" w:hAnsi="Book Antiqua"/>
        </w:rPr>
        <w:t xml:space="preserve"> T, Otsuji E. Optimal duration of the early and late recurrence of hepatocellular carcinoma after hepatectomy. </w:t>
      </w:r>
      <w:r>
        <w:rPr>
          <w:rFonts w:ascii="Book Antiqua" w:hAnsi="Book Antiqua"/>
          <w:i/>
          <w:iCs/>
        </w:rPr>
        <w:t>World J Gastroenterol</w:t>
      </w:r>
      <w:r>
        <w:rPr>
          <w:rFonts w:ascii="Book Antiqua" w:hAnsi="Book Antiqua"/>
        </w:rPr>
        <w:t xml:space="preserve"> 2015; </w:t>
      </w:r>
      <w:r>
        <w:rPr>
          <w:rFonts w:ascii="Book Antiqua" w:hAnsi="Book Antiqua"/>
          <w:b/>
          <w:bCs/>
        </w:rPr>
        <w:t>21</w:t>
      </w:r>
      <w:r>
        <w:rPr>
          <w:rFonts w:ascii="Book Antiqua" w:hAnsi="Book Antiqua"/>
        </w:rPr>
        <w:t>: 1207-1215 [PMID: 25632194 DOI: 10.3748/</w:t>
      </w:r>
      <w:proofErr w:type="gramStart"/>
      <w:r>
        <w:rPr>
          <w:rFonts w:ascii="Book Antiqua" w:hAnsi="Book Antiqua"/>
        </w:rPr>
        <w:t>wjg.v21.i</w:t>
      </w:r>
      <w:proofErr w:type="gramEnd"/>
      <w:r>
        <w:rPr>
          <w:rFonts w:ascii="Book Antiqua" w:hAnsi="Book Antiqua"/>
        </w:rPr>
        <w:t>4.1207]</w:t>
      </w:r>
    </w:p>
    <w:p w14:paraId="3B94C888" w14:textId="77777777" w:rsidR="0068222A" w:rsidRDefault="00000000">
      <w:pPr>
        <w:spacing w:line="360" w:lineRule="auto"/>
        <w:jc w:val="both"/>
        <w:rPr>
          <w:rFonts w:ascii="Book Antiqua" w:hAnsi="Book Antiqua"/>
        </w:rPr>
      </w:pPr>
      <w:r>
        <w:rPr>
          <w:rFonts w:ascii="Book Antiqua" w:hAnsi="Book Antiqua"/>
        </w:rPr>
        <w:lastRenderedPageBreak/>
        <w:t xml:space="preserve">19 </w:t>
      </w:r>
      <w:r>
        <w:rPr>
          <w:rFonts w:ascii="Book Antiqua" w:hAnsi="Book Antiqua"/>
          <w:b/>
          <w:bCs/>
        </w:rPr>
        <w:t>Sun Y</w:t>
      </w:r>
      <w:r>
        <w:rPr>
          <w:rFonts w:ascii="Book Antiqua" w:hAnsi="Book Antiqua"/>
        </w:rPr>
        <w:t xml:space="preserve">, Wu L, Zhong Y, Zhou K, Hou Y, Wang Z, Zhang Z, </w:t>
      </w:r>
      <w:proofErr w:type="spellStart"/>
      <w:r>
        <w:rPr>
          <w:rFonts w:ascii="Book Antiqua" w:hAnsi="Book Antiqua"/>
        </w:rPr>
        <w:t>Xie</w:t>
      </w:r>
      <w:proofErr w:type="spellEnd"/>
      <w:r>
        <w:rPr>
          <w:rFonts w:ascii="Book Antiqua" w:hAnsi="Book Antiqua"/>
        </w:rPr>
        <w:t xml:space="preserve"> J, Wang C, Chen D, Huang Y, Wei X, Shi Y, Zhao Z, Li Y, Guo Z, Yu Q, Xu L, Volpe G, </w:t>
      </w:r>
      <w:proofErr w:type="spellStart"/>
      <w:r>
        <w:rPr>
          <w:rFonts w:ascii="Book Antiqua" w:hAnsi="Book Antiqua"/>
        </w:rPr>
        <w:t>Qiu</w:t>
      </w:r>
      <w:proofErr w:type="spellEnd"/>
      <w:r>
        <w:rPr>
          <w:rFonts w:ascii="Book Antiqua" w:hAnsi="Book Antiqua"/>
        </w:rPr>
        <w:t xml:space="preserve"> S, Zhou J, Ward C, Sun H, Yin Y, Xu X, Wang X, Esteban MA, Yang H, Wang J, Dean M, Zhang Y, Liu S, Yang X, Fan J. Single-cell landscape of the ecosystem in early-relapse hepatocellular carcinoma. </w:t>
      </w:r>
      <w:r>
        <w:rPr>
          <w:rFonts w:ascii="Book Antiqua" w:hAnsi="Book Antiqua"/>
          <w:i/>
          <w:iCs/>
        </w:rPr>
        <w:t>Cell</w:t>
      </w:r>
      <w:r>
        <w:rPr>
          <w:rFonts w:ascii="Book Antiqua" w:hAnsi="Book Antiqua"/>
        </w:rPr>
        <w:t xml:space="preserve"> 2021; </w:t>
      </w:r>
      <w:r>
        <w:rPr>
          <w:rFonts w:ascii="Book Antiqua" w:hAnsi="Book Antiqua"/>
          <w:b/>
          <w:bCs/>
        </w:rPr>
        <w:t>184</w:t>
      </w:r>
      <w:r>
        <w:rPr>
          <w:rFonts w:ascii="Book Antiqua" w:hAnsi="Book Antiqua"/>
        </w:rPr>
        <w:t>: 404-421.e16 [PMID: 33357445 DOI: 10.1016/j.cell.2020.11.041]</w:t>
      </w:r>
    </w:p>
    <w:p w14:paraId="55DDEE55" w14:textId="77777777" w:rsidR="0068222A" w:rsidRDefault="00000000">
      <w:pPr>
        <w:spacing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Zuo</w:t>
      </w:r>
      <w:proofErr w:type="spellEnd"/>
      <w:r>
        <w:rPr>
          <w:rFonts w:ascii="Book Antiqua" w:hAnsi="Book Antiqua"/>
          <w:b/>
          <w:bCs/>
        </w:rPr>
        <w:t xml:space="preserve"> X</w:t>
      </w:r>
      <w:r>
        <w:rPr>
          <w:rFonts w:ascii="Book Antiqua" w:hAnsi="Book Antiqua"/>
        </w:rPr>
        <w:t xml:space="preserve">, Chen Z, Gao W, Zhang Y, Wang J, Wang J, Cao M, Cai J, Wu J, Wang X. M6A-mediated upregulation of LINC00958 increases lipogenesis and acts as a nanotherapeutic target in hepatocellular carcinoma. </w:t>
      </w:r>
      <w:r>
        <w:rPr>
          <w:rFonts w:ascii="Book Antiqua" w:hAnsi="Book Antiqua"/>
          <w:i/>
          <w:iCs/>
        </w:rPr>
        <w:t xml:space="preserve">J </w:t>
      </w:r>
      <w:proofErr w:type="spellStart"/>
      <w:r>
        <w:rPr>
          <w:rFonts w:ascii="Book Antiqua" w:hAnsi="Book Antiqua"/>
          <w:i/>
          <w:iCs/>
        </w:rPr>
        <w:t>Hematol</w:t>
      </w:r>
      <w:proofErr w:type="spellEnd"/>
      <w:r>
        <w:rPr>
          <w:rFonts w:ascii="Book Antiqua" w:hAnsi="Book Antiqua"/>
          <w:i/>
          <w:iCs/>
        </w:rPr>
        <w:t xml:space="preserve"> Oncol</w:t>
      </w:r>
      <w:r>
        <w:rPr>
          <w:rFonts w:ascii="Book Antiqua" w:hAnsi="Book Antiqua"/>
        </w:rPr>
        <w:t xml:space="preserve"> 2020; </w:t>
      </w:r>
      <w:r>
        <w:rPr>
          <w:rFonts w:ascii="Book Antiqua" w:hAnsi="Book Antiqua"/>
          <w:b/>
          <w:bCs/>
        </w:rPr>
        <w:t>13</w:t>
      </w:r>
      <w:r>
        <w:rPr>
          <w:rFonts w:ascii="Book Antiqua" w:hAnsi="Book Antiqua"/>
        </w:rPr>
        <w:t>: 5 [PMID: 31915027 DOI: 10.1186/s13045-019-0839-x]</w:t>
      </w:r>
    </w:p>
    <w:p w14:paraId="3E0D266B" w14:textId="77777777" w:rsidR="0068222A" w:rsidRDefault="00000000">
      <w:pPr>
        <w:spacing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Calvisi</w:t>
      </w:r>
      <w:proofErr w:type="spellEnd"/>
      <w:r>
        <w:rPr>
          <w:rFonts w:ascii="Book Antiqua" w:hAnsi="Book Antiqua"/>
          <w:b/>
          <w:bCs/>
        </w:rPr>
        <w:t xml:space="preserve"> DF</w:t>
      </w:r>
      <w:r>
        <w:rPr>
          <w:rFonts w:ascii="Book Antiqua" w:hAnsi="Book Antiqua"/>
        </w:rPr>
        <w:t xml:space="preserve">, Wang C, Ho C, </w:t>
      </w:r>
      <w:proofErr w:type="spellStart"/>
      <w:r>
        <w:rPr>
          <w:rFonts w:ascii="Book Antiqua" w:hAnsi="Book Antiqua"/>
        </w:rPr>
        <w:t>Ladu</w:t>
      </w:r>
      <w:proofErr w:type="spellEnd"/>
      <w:r>
        <w:rPr>
          <w:rFonts w:ascii="Book Antiqua" w:hAnsi="Book Antiqua"/>
        </w:rPr>
        <w:t xml:space="preserve"> S, Lee SA, </w:t>
      </w:r>
      <w:proofErr w:type="spellStart"/>
      <w:r>
        <w:rPr>
          <w:rFonts w:ascii="Book Antiqua" w:hAnsi="Book Antiqua"/>
        </w:rPr>
        <w:t>Mattu</w:t>
      </w:r>
      <w:proofErr w:type="spellEnd"/>
      <w:r>
        <w:rPr>
          <w:rFonts w:ascii="Book Antiqua" w:hAnsi="Book Antiqua"/>
        </w:rPr>
        <w:t xml:space="preserve"> S, </w:t>
      </w:r>
      <w:proofErr w:type="spellStart"/>
      <w:r>
        <w:rPr>
          <w:rFonts w:ascii="Book Antiqua" w:hAnsi="Book Antiqua"/>
        </w:rPr>
        <w:t>Destefanis</w:t>
      </w:r>
      <w:proofErr w:type="spellEnd"/>
      <w:r>
        <w:rPr>
          <w:rFonts w:ascii="Book Antiqua" w:hAnsi="Book Antiqua"/>
        </w:rPr>
        <w:t xml:space="preserve"> G, </w:t>
      </w:r>
      <w:proofErr w:type="spellStart"/>
      <w:r>
        <w:rPr>
          <w:rFonts w:ascii="Book Antiqua" w:hAnsi="Book Antiqua"/>
        </w:rPr>
        <w:t>Delogu</w:t>
      </w:r>
      <w:proofErr w:type="spellEnd"/>
      <w:r>
        <w:rPr>
          <w:rFonts w:ascii="Book Antiqua" w:hAnsi="Book Antiqua"/>
        </w:rPr>
        <w:t xml:space="preserve"> S, Zimmermann A, Ericsson J, </w:t>
      </w:r>
      <w:proofErr w:type="spellStart"/>
      <w:r>
        <w:rPr>
          <w:rFonts w:ascii="Book Antiqua" w:hAnsi="Book Antiqua"/>
        </w:rPr>
        <w:t>Brozzetti</w:t>
      </w:r>
      <w:proofErr w:type="spellEnd"/>
      <w:r>
        <w:rPr>
          <w:rFonts w:ascii="Book Antiqua" w:hAnsi="Book Antiqua"/>
        </w:rPr>
        <w:t xml:space="preserve"> S, </w:t>
      </w:r>
      <w:proofErr w:type="spellStart"/>
      <w:r>
        <w:rPr>
          <w:rFonts w:ascii="Book Antiqua" w:hAnsi="Book Antiqua"/>
        </w:rPr>
        <w:t>Staniscia</w:t>
      </w:r>
      <w:proofErr w:type="spellEnd"/>
      <w:r>
        <w:rPr>
          <w:rFonts w:ascii="Book Antiqua" w:hAnsi="Book Antiqua"/>
        </w:rPr>
        <w:t xml:space="preserve"> T, Chen X, Dombrowski F, Evert M. Increased lipogenesis, induced by AKT-mTORC1-RPS6 signaling, promotes development of human hepatocellular carcinoma. </w:t>
      </w:r>
      <w:r>
        <w:rPr>
          <w:rFonts w:ascii="Book Antiqua" w:hAnsi="Book Antiqua"/>
          <w:i/>
          <w:iCs/>
        </w:rPr>
        <w:t>Gastroenterology</w:t>
      </w:r>
      <w:r>
        <w:rPr>
          <w:rFonts w:ascii="Book Antiqua" w:hAnsi="Book Antiqua"/>
        </w:rPr>
        <w:t xml:space="preserve"> 2011; </w:t>
      </w:r>
      <w:r>
        <w:rPr>
          <w:rFonts w:ascii="Book Antiqua" w:hAnsi="Book Antiqua"/>
          <w:b/>
          <w:bCs/>
        </w:rPr>
        <w:t>140</w:t>
      </w:r>
      <w:r>
        <w:rPr>
          <w:rFonts w:ascii="Book Antiqua" w:hAnsi="Book Antiqua"/>
        </w:rPr>
        <w:t>: 1071-1083 [PMID: 21147110 DOI: 10.1053/j.gastro.2010.12.006]</w:t>
      </w:r>
    </w:p>
    <w:p w14:paraId="1987B429" w14:textId="77777777" w:rsidR="0068222A"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Gao Q</w:t>
      </w:r>
      <w:r>
        <w:rPr>
          <w:rFonts w:ascii="Book Antiqua" w:hAnsi="Book Antiqua"/>
        </w:rPr>
        <w:t xml:space="preserve">, Zhu H, Dong L, Shi W, Chen R, Song Z, Huang C, Li J, Dong X, Zhou Y, Liu Q, Ma L, Wang X, Zhou J, Liu Y, </w:t>
      </w:r>
      <w:proofErr w:type="spellStart"/>
      <w:r>
        <w:rPr>
          <w:rFonts w:ascii="Book Antiqua" w:hAnsi="Book Antiqua"/>
        </w:rPr>
        <w:t>Boja</w:t>
      </w:r>
      <w:proofErr w:type="spellEnd"/>
      <w:r>
        <w:rPr>
          <w:rFonts w:ascii="Book Antiqua" w:hAnsi="Book Antiqua"/>
        </w:rPr>
        <w:t xml:space="preserve"> E, Robles AI, Ma W, Wang P, Li Y, Ding L, Wen B, Zhang B, Rodriguez H, Gao D, Zhou H, Fan J. Integrated Proteogenomic Characterization of HBV-Related Hepatocellular Carcinoma. </w:t>
      </w:r>
      <w:r>
        <w:rPr>
          <w:rFonts w:ascii="Book Antiqua" w:hAnsi="Book Antiqua"/>
          <w:i/>
          <w:iCs/>
        </w:rPr>
        <w:t>Cell</w:t>
      </w:r>
      <w:r>
        <w:rPr>
          <w:rFonts w:ascii="Book Antiqua" w:hAnsi="Book Antiqua"/>
        </w:rPr>
        <w:t xml:space="preserve"> 2019; </w:t>
      </w:r>
      <w:r>
        <w:rPr>
          <w:rFonts w:ascii="Book Antiqua" w:hAnsi="Book Antiqua"/>
          <w:b/>
          <w:bCs/>
        </w:rPr>
        <w:t>179</w:t>
      </w:r>
      <w:r>
        <w:rPr>
          <w:rFonts w:ascii="Book Antiqua" w:hAnsi="Book Antiqua"/>
        </w:rPr>
        <w:t>: 561-577.e22 [PMID: 31585088 DOI: 10.1016/j.cell.2019.08.052]</w:t>
      </w:r>
    </w:p>
    <w:p w14:paraId="061741D8" w14:textId="77777777" w:rsidR="0068222A" w:rsidRDefault="00000000">
      <w:pPr>
        <w:spacing w:line="360" w:lineRule="auto"/>
        <w:jc w:val="both"/>
        <w:rPr>
          <w:rFonts w:ascii="Book Antiqua" w:hAnsi="Book Antiqua"/>
        </w:rPr>
      </w:pPr>
      <w:r>
        <w:rPr>
          <w:rFonts w:ascii="Book Antiqua" w:hAnsi="Book Antiqua"/>
        </w:rPr>
        <w:t xml:space="preserve">23 </w:t>
      </w:r>
      <w:r>
        <w:rPr>
          <w:rFonts w:ascii="Book Antiqua" w:hAnsi="Book Antiqua"/>
          <w:b/>
          <w:bCs/>
        </w:rPr>
        <w:t>Li Q</w:t>
      </w:r>
      <w:r>
        <w:rPr>
          <w:rFonts w:ascii="Book Antiqua" w:hAnsi="Book Antiqua"/>
        </w:rPr>
        <w:t xml:space="preserve">, Pan X, Zhu D, Deng Z, Jiang R, Wang X. Circular RNA MAT2B Promotes Glycolysis and Malignancy of Hepatocellular Carcinoma Through the miR-338-3p/PKM2 Axis Under Hypoxic Stress. </w:t>
      </w:r>
      <w:r>
        <w:rPr>
          <w:rFonts w:ascii="Book Antiqua" w:hAnsi="Book Antiqua"/>
          <w:i/>
          <w:iCs/>
        </w:rPr>
        <w:t>Hepatology</w:t>
      </w:r>
      <w:r>
        <w:rPr>
          <w:rFonts w:ascii="Book Antiqua" w:hAnsi="Book Antiqua"/>
        </w:rPr>
        <w:t xml:space="preserve"> 2019; </w:t>
      </w:r>
      <w:r>
        <w:rPr>
          <w:rFonts w:ascii="Book Antiqua" w:hAnsi="Book Antiqua"/>
          <w:b/>
          <w:bCs/>
        </w:rPr>
        <w:t>70</w:t>
      </w:r>
      <w:r>
        <w:rPr>
          <w:rFonts w:ascii="Book Antiqua" w:hAnsi="Book Antiqua"/>
        </w:rPr>
        <w:t>: 1298-1316 [PMID: 31004447 DOI: 10.1002/hep.30671]</w:t>
      </w:r>
    </w:p>
    <w:p w14:paraId="4545B0BE" w14:textId="77777777" w:rsidR="0068222A" w:rsidRDefault="00000000">
      <w:pPr>
        <w:spacing w:line="360" w:lineRule="auto"/>
        <w:jc w:val="both"/>
        <w:rPr>
          <w:rFonts w:ascii="Book Antiqua" w:hAnsi="Book Antiqua"/>
        </w:rPr>
      </w:pPr>
      <w:r>
        <w:rPr>
          <w:rFonts w:ascii="Book Antiqua" w:hAnsi="Book Antiqua"/>
        </w:rPr>
        <w:t xml:space="preserve">24 </w:t>
      </w:r>
      <w:proofErr w:type="spellStart"/>
      <w:r>
        <w:rPr>
          <w:rFonts w:ascii="Book Antiqua" w:hAnsi="Book Antiqua"/>
          <w:b/>
          <w:bCs/>
        </w:rPr>
        <w:t>Ijichi</w:t>
      </w:r>
      <w:proofErr w:type="spellEnd"/>
      <w:r>
        <w:rPr>
          <w:rFonts w:ascii="Book Antiqua" w:hAnsi="Book Antiqua"/>
          <w:b/>
          <w:bCs/>
        </w:rPr>
        <w:t xml:space="preserve"> M</w:t>
      </w:r>
      <w:r>
        <w:rPr>
          <w:rFonts w:ascii="Book Antiqua" w:hAnsi="Book Antiqua"/>
        </w:rPr>
        <w:t xml:space="preserve">, Takayama T, Matsumura M, </w:t>
      </w:r>
      <w:proofErr w:type="spellStart"/>
      <w:r>
        <w:rPr>
          <w:rFonts w:ascii="Book Antiqua" w:hAnsi="Book Antiqua"/>
        </w:rPr>
        <w:t>Shiratori</w:t>
      </w:r>
      <w:proofErr w:type="spellEnd"/>
      <w:r>
        <w:rPr>
          <w:rFonts w:ascii="Book Antiqua" w:hAnsi="Book Antiqua"/>
        </w:rPr>
        <w:t xml:space="preserve"> Y, </w:t>
      </w:r>
      <w:proofErr w:type="spellStart"/>
      <w:r>
        <w:rPr>
          <w:rFonts w:ascii="Book Antiqua" w:hAnsi="Book Antiqua"/>
        </w:rPr>
        <w:t>Omata</w:t>
      </w:r>
      <w:proofErr w:type="spellEnd"/>
      <w:r>
        <w:rPr>
          <w:rFonts w:ascii="Book Antiqua" w:hAnsi="Book Antiqua"/>
        </w:rPr>
        <w:t xml:space="preserve"> M, Makuuchi M. </w:t>
      </w:r>
      <w:proofErr w:type="gramStart"/>
      <w:r>
        <w:rPr>
          <w:rFonts w:ascii="Book Antiqua" w:hAnsi="Book Antiqua"/>
        </w:rPr>
        <w:t>alpha-Fetoprotein</w:t>
      </w:r>
      <w:proofErr w:type="gramEnd"/>
      <w:r>
        <w:rPr>
          <w:rFonts w:ascii="Book Antiqua" w:hAnsi="Book Antiqua"/>
        </w:rPr>
        <w:t xml:space="preserve"> mRNA in the circulation as a predictor of postsurgical recurrence of hepatocellular carcinoma: a prospective study. </w:t>
      </w:r>
      <w:r>
        <w:rPr>
          <w:rFonts w:ascii="Book Antiqua" w:hAnsi="Book Antiqua"/>
          <w:i/>
          <w:iCs/>
        </w:rPr>
        <w:t>Hepatology</w:t>
      </w:r>
      <w:r>
        <w:rPr>
          <w:rFonts w:ascii="Book Antiqua" w:hAnsi="Book Antiqua"/>
        </w:rPr>
        <w:t xml:space="preserve"> 2002; </w:t>
      </w:r>
      <w:r>
        <w:rPr>
          <w:rFonts w:ascii="Book Antiqua" w:hAnsi="Book Antiqua"/>
          <w:b/>
          <w:bCs/>
        </w:rPr>
        <w:t>35</w:t>
      </w:r>
      <w:r>
        <w:rPr>
          <w:rFonts w:ascii="Book Antiqua" w:hAnsi="Book Antiqua"/>
        </w:rPr>
        <w:t>: 853-860 [PMID: 11915031 DOI: 10.1053/jhep.2002.32100]</w:t>
      </w:r>
    </w:p>
    <w:p w14:paraId="1D9A487C" w14:textId="77777777" w:rsidR="0068222A" w:rsidRDefault="00000000">
      <w:pPr>
        <w:spacing w:line="360" w:lineRule="auto"/>
        <w:jc w:val="both"/>
        <w:rPr>
          <w:rFonts w:ascii="Book Antiqua" w:hAnsi="Book Antiqua"/>
        </w:rPr>
      </w:pPr>
      <w:r>
        <w:rPr>
          <w:rFonts w:ascii="Book Antiqua" w:hAnsi="Book Antiqua"/>
        </w:rPr>
        <w:t xml:space="preserve">25 </w:t>
      </w:r>
      <w:proofErr w:type="spellStart"/>
      <w:r>
        <w:rPr>
          <w:rFonts w:ascii="Book Antiqua" w:hAnsi="Book Antiqua"/>
          <w:b/>
          <w:bCs/>
        </w:rPr>
        <w:t>Notarpaolo</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Layese</w:t>
      </w:r>
      <w:proofErr w:type="spellEnd"/>
      <w:r>
        <w:rPr>
          <w:rFonts w:ascii="Book Antiqua" w:hAnsi="Book Antiqua"/>
        </w:rPr>
        <w:t xml:space="preserve"> R, </w:t>
      </w:r>
      <w:proofErr w:type="spellStart"/>
      <w:r>
        <w:rPr>
          <w:rFonts w:ascii="Book Antiqua" w:hAnsi="Book Antiqua"/>
        </w:rPr>
        <w:t>Magistri</w:t>
      </w:r>
      <w:proofErr w:type="spellEnd"/>
      <w:r>
        <w:rPr>
          <w:rFonts w:ascii="Book Antiqua" w:hAnsi="Book Antiqua"/>
        </w:rPr>
        <w:t xml:space="preserve"> P, </w:t>
      </w:r>
      <w:proofErr w:type="spellStart"/>
      <w:r>
        <w:rPr>
          <w:rFonts w:ascii="Book Antiqua" w:hAnsi="Book Antiqua"/>
        </w:rPr>
        <w:t>Gambato</w:t>
      </w:r>
      <w:proofErr w:type="spellEnd"/>
      <w:r>
        <w:rPr>
          <w:rFonts w:ascii="Book Antiqua" w:hAnsi="Book Antiqua"/>
        </w:rPr>
        <w:t xml:space="preserve"> M, </w:t>
      </w:r>
      <w:proofErr w:type="spellStart"/>
      <w:r>
        <w:rPr>
          <w:rFonts w:ascii="Book Antiqua" w:hAnsi="Book Antiqua"/>
        </w:rPr>
        <w:t>Colledan</w:t>
      </w:r>
      <w:proofErr w:type="spellEnd"/>
      <w:r>
        <w:rPr>
          <w:rFonts w:ascii="Book Antiqua" w:hAnsi="Book Antiqua"/>
        </w:rPr>
        <w:t xml:space="preserve"> M, </w:t>
      </w:r>
      <w:proofErr w:type="spellStart"/>
      <w:r>
        <w:rPr>
          <w:rFonts w:ascii="Book Antiqua" w:hAnsi="Book Antiqua"/>
        </w:rPr>
        <w:t>Magini</w:t>
      </w:r>
      <w:proofErr w:type="spellEnd"/>
      <w:r>
        <w:rPr>
          <w:rFonts w:ascii="Book Antiqua" w:hAnsi="Book Antiqua"/>
        </w:rPr>
        <w:t xml:space="preserve"> G, </w:t>
      </w:r>
      <w:proofErr w:type="spellStart"/>
      <w:r>
        <w:rPr>
          <w:rFonts w:ascii="Book Antiqua" w:hAnsi="Book Antiqua"/>
        </w:rPr>
        <w:t>Miglioresi</w:t>
      </w:r>
      <w:proofErr w:type="spellEnd"/>
      <w:r>
        <w:rPr>
          <w:rFonts w:ascii="Book Antiqua" w:hAnsi="Book Antiqua"/>
        </w:rPr>
        <w:t xml:space="preserve"> L, Vitale A, </w:t>
      </w:r>
      <w:proofErr w:type="spellStart"/>
      <w:r>
        <w:rPr>
          <w:rFonts w:ascii="Book Antiqua" w:hAnsi="Book Antiqua"/>
        </w:rPr>
        <w:t>Vennarecci</w:t>
      </w:r>
      <w:proofErr w:type="spellEnd"/>
      <w:r>
        <w:rPr>
          <w:rFonts w:ascii="Book Antiqua" w:hAnsi="Book Antiqua"/>
        </w:rPr>
        <w:t xml:space="preserve"> G, Ambrosio CD, Burra P, Di Benedetto F, </w:t>
      </w:r>
      <w:proofErr w:type="spellStart"/>
      <w:r>
        <w:rPr>
          <w:rFonts w:ascii="Book Antiqua" w:hAnsi="Book Antiqua"/>
        </w:rPr>
        <w:t>Fagiuoli</w:t>
      </w:r>
      <w:proofErr w:type="spellEnd"/>
      <w:r>
        <w:rPr>
          <w:rFonts w:ascii="Book Antiqua" w:hAnsi="Book Antiqua"/>
        </w:rPr>
        <w:t xml:space="preserve"> S, </w:t>
      </w:r>
      <w:proofErr w:type="spellStart"/>
      <w:r>
        <w:rPr>
          <w:rFonts w:ascii="Book Antiqua" w:hAnsi="Book Antiqua"/>
        </w:rPr>
        <w:t>Colasanti</w:t>
      </w:r>
      <w:proofErr w:type="spellEnd"/>
      <w:r>
        <w:rPr>
          <w:rFonts w:ascii="Book Antiqua" w:hAnsi="Book Antiqua"/>
        </w:rPr>
        <w:t xml:space="preserve"> </w:t>
      </w:r>
      <w:r>
        <w:rPr>
          <w:rFonts w:ascii="Book Antiqua" w:hAnsi="Book Antiqua"/>
        </w:rPr>
        <w:lastRenderedPageBreak/>
        <w:t xml:space="preserve">M, Maria </w:t>
      </w:r>
      <w:proofErr w:type="spellStart"/>
      <w:r>
        <w:rPr>
          <w:rFonts w:ascii="Book Antiqua" w:hAnsi="Book Antiqua"/>
        </w:rPr>
        <w:t>Ettorre</w:t>
      </w:r>
      <w:proofErr w:type="spellEnd"/>
      <w:r>
        <w:rPr>
          <w:rFonts w:ascii="Book Antiqua" w:hAnsi="Book Antiqua"/>
        </w:rPr>
        <w:t xml:space="preserve"> G, </w:t>
      </w:r>
      <w:proofErr w:type="spellStart"/>
      <w:r>
        <w:rPr>
          <w:rFonts w:ascii="Book Antiqua" w:hAnsi="Book Antiqua"/>
        </w:rPr>
        <w:t>Andreoli</w:t>
      </w:r>
      <w:proofErr w:type="spellEnd"/>
      <w:r>
        <w:rPr>
          <w:rFonts w:ascii="Book Antiqua" w:hAnsi="Book Antiqua"/>
        </w:rPr>
        <w:t xml:space="preserve"> A, </w:t>
      </w:r>
      <w:proofErr w:type="spellStart"/>
      <w:r>
        <w:rPr>
          <w:rFonts w:ascii="Book Antiqua" w:hAnsi="Book Antiqua"/>
        </w:rPr>
        <w:t>Cillo</w:t>
      </w:r>
      <w:proofErr w:type="spellEnd"/>
      <w:r>
        <w:rPr>
          <w:rFonts w:ascii="Book Antiqua" w:hAnsi="Book Antiqua"/>
        </w:rPr>
        <w:t xml:space="preserve"> U, Laurent A, </w:t>
      </w:r>
      <w:proofErr w:type="spellStart"/>
      <w:r>
        <w:rPr>
          <w:rFonts w:ascii="Book Antiqua" w:hAnsi="Book Antiqua"/>
        </w:rPr>
        <w:t>Katsahian</w:t>
      </w:r>
      <w:proofErr w:type="spellEnd"/>
      <w:r>
        <w:rPr>
          <w:rFonts w:ascii="Book Antiqua" w:hAnsi="Book Antiqua"/>
        </w:rPr>
        <w:t xml:space="preserve"> S, </w:t>
      </w:r>
      <w:proofErr w:type="spellStart"/>
      <w:r>
        <w:rPr>
          <w:rFonts w:ascii="Book Antiqua" w:hAnsi="Book Antiqua"/>
        </w:rPr>
        <w:t>Audureau</w:t>
      </w:r>
      <w:proofErr w:type="spellEnd"/>
      <w:r>
        <w:rPr>
          <w:rFonts w:ascii="Book Antiqua" w:hAnsi="Book Antiqua"/>
        </w:rPr>
        <w:t xml:space="preserve"> E, </w:t>
      </w:r>
      <w:proofErr w:type="spellStart"/>
      <w:r>
        <w:rPr>
          <w:rFonts w:ascii="Book Antiqua" w:hAnsi="Book Antiqua"/>
        </w:rPr>
        <w:t>Roudot-Thoraval</w:t>
      </w:r>
      <w:proofErr w:type="spellEnd"/>
      <w:r>
        <w:rPr>
          <w:rFonts w:ascii="Book Antiqua" w:hAnsi="Book Antiqua"/>
        </w:rPr>
        <w:t xml:space="preserve"> F, </w:t>
      </w:r>
      <w:proofErr w:type="spellStart"/>
      <w:r>
        <w:rPr>
          <w:rFonts w:ascii="Book Antiqua" w:hAnsi="Book Antiqua"/>
        </w:rPr>
        <w:t>Duvoux</w:t>
      </w:r>
      <w:proofErr w:type="spellEnd"/>
      <w:r>
        <w:rPr>
          <w:rFonts w:ascii="Book Antiqua" w:hAnsi="Book Antiqua"/>
        </w:rPr>
        <w:t xml:space="preserve"> C. Validation of the AFP model as a predictor of HCC recurrence in patients with viral hepatitis-related cirrhosis who had received a liver transplant for HCC. </w:t>
      </w:r>
      <w:r>
        <w:rPr>
          <w:rFonts w:ascii="Book Antiqua" w:hAnsi="Book Antiqua"/>
          <w:i/>
          <w:iCs/>
        </w:rPr>
        <w:t>J Hepatol</w:t>
      </w:r>
      <w:r>
        <w:rPr>
          <w:rFonts w:ascii="Book Antiqua" w:hAnsi="Book Antiqua"/>
        </w:rPr>
        <w:t xml:space="preserve"> 2017; </w:t>
      </w:r>
      <w:r>
        <w:rPr>
          <w:rFonts w:ascii="Book Antiqua" w:hAnsi="Book Antiqua"/>
          <w:b/>
          <w:bCs/>
        </w:rPr>
        <w:t>66</w:t>
      </w:r>
      <w:r>
        <w:rPr>
          <w:rFonts w:ascii="Book Antiqua" w:hAnsi="Book Antiqua"/>
        </w:rPr>
        <w:t>: 552-559 [PMID: 27899297 DOI: 10.1016/j.jhep.2016.10.038]</w:t>
      </w:r>
    </w:p>
    <w:p w14:paraId="42DB8042" w14:textId="77777777" w:rsidR="0068222A"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Sun YF</w:t>
      </w:r>
      <w:r>
        <w:rPr>
          <w:rFonts w:ascii="Book Antiqua" w:hAnsi="Book Antiqua"/>
        </w:rPr>
        <w:t xml:space="preserve">, Xu Y, Yang XR, Guo W, Zhang X, </w:t>
      </w:r>
      <w:proofErr w:type="spellStart"/>
      <w:r>
        <w:rPr>
          <w:rFonts w:ascii="Book Antiqua" w:hAnsi="Book Antiqua"/>
        </w:rPr>
        <w:t>Qiu</w:t>
      </w:r>
      <w:proofErr w:type="spellEnd"/>
      <w:r>
        <w:rPr>
          <w:rFonts w:ascii="Book Antiqua" w:hAnsi="Book Antiqua"/>
        </w:rPr>
        <w:t xml:space="preserve"> SJ, Shi RY, Hu B, Zhou J, Fan J. Circulating stem cell-like epithelial cell adhesion molecule-positive tumor cells indicate poor prognosis of hepatocellular carcinoma after curative resection. </w:t>
      </w:r>
      <w:r>
        <w:rPr>
          <w:rFonts w:ascii="Book Antiqua" w:hAnsi="Book Antiqua"/>
          <w:i/>
          <w:iCs/>
        </w:rPr>
        <w:t>Hepatology</w:t>
      </w:r>
      <w:r>
        <w:rPr>
          <w:rFonts w:ascii="Book Antiqua" w:hAnsi="Book Antiqua"/>
        </w:rPr>
        <w:t xml:space="preserve"> 2013; </w:t>
      </w:r>
      <w:r>
        <w:rPr>
          <w:rFonts w:ascii="Book Antiqua" w:hAnsi="Book Antiqua"/>
          <w:b/>
          <w:bCs/>
        </w:rPr>
        <w:t>57</w:t>
      </w:r>
      <w:r>
        <w:rPr>
          <w:rFonts w:ascii="Book Antiqua" w:hAnsi="Book Antiqua"/>
        </w:rPr>
        <w:t>: 1458-1468 [PMID: 23175471 DOI: 10.1002/hep.26151]</w:t>
      </w:r>
    </w:p>
    <w:p w14:paraId="79D43B31" w14:textId="77777777" w:rsidR="0068222A" w:rsidRDefault="00000000">
      <w:pPr>
        <w:spacing w:line="360" w:lineRule="auto"/>
        <w:jc w:val="both"/>
        <w:rPr>
          <w:rFonts w:ascii="Book Antiqua" w:hAnsi="Book Antiqua"/>
        </w:rPr>
      </w:pPr>
      <w:r>
        <w:rPr>
          <w:rFonts w:ascii="Book Antiqua" w:hAnsi="Book Antiqua"/>
        </w:rPr>
        <w:t xml:space="preserve">27 </w:t>
      </w:r>
      <w:r>
        <w:rPr>
          <w:rFonts w:ascii="Book Antiqua" w:hAnsi="Book Antiqua"/>
          <w:b/>
          <w:bCs/>
        </w:rPr>
        <w:t>Xu RH</w:t>
      </w:r>
      <w:r>
        <w:rPr>
          <w:rFonts w:ascii="Book Antiqua" w:hAnsi="Book Antiqua"/>
        </w:rPr>
        <w:t xml:space="preserve">, Wei W, Krawczyk M, Wang W, Luo H, Flagg K, Yi S, Shi W, Quan Q, Li K, Zheng L, Zhang H, </w:t>
      </w:r>
      <w:proofErr w:type="spellStart"/>
      <w:r>
        <w:rPr>
          <w:rFonts w:ascii="Book Antiqua" w:hAnsi="Book Antiqua"/>
        </w:rPr>
        <w:t>Caughey</w:t>
      </w:r>
      <w:proofErr w:type="spellEnd"/>
      <w:r>
        <w:rPr>
          <w:rFonts w:ascii="Book Antiqua" w:hAnsi="Book Antiqua"/>
        </w:rPr>
        <w:t xml:space="preserve"> BA, Zhao Q, Hou J, Zhang R, Xu Y, Cai H, Li G, Hou R, Zhong Z, Lin D, Fu X, Zhu J, Duan Y, Yu M, Ying B, Zhang W, Wang J, Zhang E, Zhang C, Li O, Guo R, Carter H, Zhu JK, Hao X, Zhang K. Circulating </w:t>
      </w:r>
      <w:proofErr w:type="spellStart"/>
      <w:r>
        <w:rPr>
          <w:rFonts w:ascii="Book Antiqua" w:hAnsi="Book Antiqua"/>
        </w:rPr>
        <w:t>tumour</w:t>
      </w:r>
      <w:proofErr w:type="spellEnd"/>
      <w:r>
        <w:rPr>
          <w:rFonts w:ascii="Book Antiqua" w:hAnsi="Book Antiqua"/>
        </w:rPr>
        <w:t xml:space="preserve"> DNA methylation markers for diagnosis and prognosis of hepatocellular carcinoma. </w:t>
      </w:r>
      <w:r>
        <w:rPr>
          <w:rFonts w:ascii="Book Antiqua" w:hAnsi="Book Antiqua"/>
          <w:i/>
          <w:iCs/>
        </w:rPr>
        <w:t>Nat Mater</w:t>
      </w:r>
      <w:r>
        <w:rPr>
          <w:rFonts w:ascii="Book Antiqua" w:hAnsi="Book Antiqua"/>
        </w:rPr>
        <w:t xml:space="preserve"> 2017; </w:t>
      </w:r>
      <w:r>
        <w:rPr>
          <w:rFonts w:ascii="Book Antiqua" w:hAnsi="Book Antiqua"/>
          <w:b/>
          <w:bCs/>
        </w:rPr>
        <w:t>16</w:t>
      </w:r>
      <w:r>
        <w:rPr>
          <w:rFonts w:ascii="Book Antiqua" w:hAnsi="Book Antiqua"/>
        </w:rPr>
        <w:t>: 1155-1161 [PMID: 29035356 DOI: 10.1038/nmat4997]</w:t>
      </w:r>
    </w:p>
    <w:p w14:paraId="5DEFB11F" w14:textId="77777777" w:rsidR="0068222A" w:rsidRDefault="00000000">
      <w:pPr>
        <w:spacing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Bruix</w:t>
      </w:r>
      <w:proofErr w:type="spellEnd"/>
      <w:r>
        <w:rPr>
          <w:rFonts w:ascii="Book Antiqua" w:hAnsi="Book Antiqua"/>
          <w:b/>
          <w:bCs/>
        </w:rPr>
        <w:t xml:space="preserve"> J</w:t>
      </w:r>
      <w:r>
        <w:rPr>
          <w:rFonts w:ascii="Book Antiqua" w:hAnsi="Book Antiqua"/>
        </w:rPr>
        <w:t xml:space="preserve">, Sherman M; Practice Guidelines Committee, American Association for the Study of Liver Diseases. Management of hepatocellular carcinoma. </w:t>
      </w:r>
      <w:r>
        <w:rPr>
          <w:rFonts w:ascii="Book Antiqua" w:hAnsi="Book Antiqua"/>
          <w:i/>
          <w:iCs/>
        </w:rPr>
        <w:t>Hepatology</w:t>
      </w:r>
      <w:r>
        <w:rPr>
          <w:rFonts w:ascii="Book Antiqua" w:hAnsi="Book Antiqua"/>
        </w:rPr>
        <w:t xml:space="preserve"> 2005; </w:t>
      </w:r>
      <w:r>
        <w:rPr>
          <w:rFonts w:ascii="Book Antiqua" w:hAnsi="Book Antiqua"/>
          <w:b/>
          <w:bCs/>
        </w:rPr>
        <w:t>42</w:t>
      </w:r>
      <w:r>
        <w:rPr>
          <w:rFonts w:ascii="Book Antiqua" w:hAnsi="Book Antiqua"/>
        </w:rPr>
        <w:t>: 1208-1236 [PMID: 16250051 DOI: 10.1002/hep.20933]</w:t>
      </w:r>
    </w:p>
    <w:p w14:paraId="4F6AE8DF" w14:textId="77777777" w:rsidR="0068222A" w:rsidRDefault="00000000">
      <w:pPr>
        <w:spacing w:line="360" w:lineRule="auto"/>
        <w:jc w:val="both"/>
        <w:rPr>
          <w:rFonts w:ascii="Book Antiqua" w:hAnsi="Book Antiqua"/>
        </w:rPr>
      </w:pPr>
      <w:r>
        <w:rPr>
          <w:rFonts w:ascii="Book Antiqua" w:hAnsi="Book Antiqua"/>
        </w:rPr>
        <w:t xml:space="preserve">29 </w:t>
      </w:r>
      <w:proofErr w:type="spellStart"/>
      <w:r>
        <w:rPr>
          <w:rFonts w:ascii="Book Antiqua" w:hAnsi="Book Antiqua"/>
          <w:b/>
          <w:bCs/>
        </w:rPr>
        <w:t>Clavien</w:t>
      </w:r>
      <w:proofErr w:type="spellEnd"/>
      <w:r>
        <w:rPr>
          <w:rFonts w:ascii="Book Antiqua" w:hAnsi="Book Antiqua"/>
          <w:b/>
          <w:bCs/>
        </w:rPr>
        <w:t xml:space="preserve"> PA</w:t>
      </w:r>
      <w:r>
        <w:rPr>
          <w:rFonts w:ascii="Book Antiqua" w:hAnsi="Book Antiqua"/>
        </w:rPr>
        <w:t xml:space="preserve">, </w:t>
      </w:r>
      <w:proofErr w:type="spellStart"/>
      <w:r>
        <w:rPr>
          <w:rFonts w:ascii="Book Antiqua" w:hAnsi="Book Antiqua"/>
        </w:rPr>
        <w:t>Lesurtel</w:t>
      </w:r>
      <w:proofErr w:type="spellEnd"/>
      <w:r>
        <w:rPr>
          <w:rFonts w:ascii="Book Antiqua" w:hAnsi="Book Antiqua"/>
        </w:rPr>
        <w:t xml:space="preserve"> M, </w:t>
      </w:r>
      <w:proofErr w:type="spellStart"/>
      <w:r>
        <w:rPr>
          <w:rFonts w:ascii="Book Antiqua" w:hAnsi="Book Antiqua"/>
        </w:rPr>
        <w:t>Bossuyt</w:t>
      </w:r>
      <w:proofErr w:type="spellEnd"/>
      <w:r>
        <w:rPr>
          <w:rFonts w:ascii="Book Antiqua" w:hAnsi="Book Antiqua"/>
        </w:rPr>
        <w:t xml:space="preserve"> PM, Gores GJ, Langer B, Perrier A; OLT for HCC Consensus Group. Recommendations for liver transplantation for hepatocellular carcinoma: an international consensus conference report. </w:t>
      </w:r>
      <w:r>
        <w:rPr>
          <w:rFonts w:ascii="Book Antiqua" w:hAnsi="Book Antiqua"/>
          <w:i/>
          <w:iCs/>
        </w:rPr>
        <w:t>Lancet Oncol</w:t>
      </w:r>
      <w:r>
        <w:rPr>
          <w:rFonts w:ascii="Book Antiqua" w:hAnsi="Book Antiqua"/>
        </w:rPr>
        <w:t xml:space="preserve"> 2012; </w:t>
      </w:r>
      <w:r>
        <w:rPr>
          <w:rFonts w:ascii="Book Antiqua" w:hAnsi="Book Antiqua"/>
          <w:b/>
          <w:bCs/>
        </w:rPr>
        <w:t>13</w:t>
      </w:r>
      <w:r>
        <w:rPr>
          <w:rFonts w:ascii="Book Antiqua" w:hAnsi="Book Antiqua"/>
        </w:rPr>
        <w:t>: e11-e22 [PMID: 22047762 DOI: 10.1016/S1470-2045(11)70175-9]</w:t>
      </w:r>
    </w:p>
    <w:p w14:paraId="5374A175" w14:textId="77777777" w:rsidR="0068222A" w:rsidRDefault="00000000">
      <w:pPr>
        <w:spacing w:line="360" w:lineRule="auto"/>
        <w:jc w:val="both"/>
        <w:rPr>
          <w:rFonts w:ascii="Book Antiqua" w:hAnsi="Book Antiqua"/>
        </w:rPr>
      </w:pPr>
      <w:r>
        <w:rPr>
          <w:rFonts w:ascii="Book Antiqua" w:hAnsi="Book Antiqua"/>
        </w:rPr>
        <w:t xml:space="preserve">30 </w:t>
      </w:r>
      <w:proofErr w:type="spellStart"/>
      <w:r>
        <w:rPr>
          <w:rFonts w:ascii="Book Antiqua" w:hAnsi="Book Antiqua"/>
          <w:b/>
          <w:bCs/>
        </w:rPr>
        <w:t>Vreugdenburg</w:t>
      </w:r>
      <w:proofErr w:type="spellEnd"/>
      <w:r>
        <w:rPr>
          <w:rFonts w:ascii="Book Antiqua" w:hAnsi="Book Antiqua"/>
          <w:b/>
          <w:bCs/>
        </w:rPr>
        <w:t xml:space="preserve"> TD</w:t>
      </w:r>
      <w:r>
        <w:rPr>
          <w:rFonts w:ascii="Book Antiqua" w:hAnsi="Book Antiqua"/>
        </w:rPr>
        <w:t xml:space="preserve">, Ma N, Duncan JK, </w:t>
      </w:r>
      <w:proofErr w:type="spellStart"/>
      <w:r>
        <w:rPr>
          <w:rFonts w:ascii="Book Antiqua" w:hAnsi="Book Antiqua"/>
        </w:rPr>
        <w:t>Riitano</w:t>
      </w:r>
      <w:proofErr w:type="spellEnd"/>
      <w:r>
        <w:rPr>
          <w:rFonts w:ascii="Book Antiqua" w:hAnsi="Book Antiqua"/>
        </w:rPr>
        <w:t xml:space="preserve"> D, Cameron AL, </w:t>
      </w:r>
      <w:proofErr w:type="spellStart"/>
      <w:r>
        <w:rPr>
          <w:rFonts w:ascii="Book Antiqua" w:hAnsi="Book Antiqua"/>
        </w:rPr>
        <w:t>Maddern</w:t>
      </w:r>
      <w:proofErr w:type="spellEnd"/>
      <w:r>
        <w:rPr>
          <w:rFonts w:ascii="Book Antiqua" w:hAnsi="Book Antiqua"/>
        </w:rPr>
        <w:t xml:space="preserve"> GJ. Comparative diagnostic accuracy of hepatocyte-specific </w:t>
      </w:r>
      <w:proofErr w:type="spellStart"/>
      <w:r>
        <w:rPr>
          <w:rFonts w:ascii="Book Antiqua" w:hAnsi="Book Antiqua"/>
        </w:rPr>
        <w:t>gadoxetic</w:t>
      </w:r>
      <w:proofErr w:type="spellEnd"/>
      <w:r>
        <w:rPr>
          <w:rFonts w:ascii="Book Antiqua" w:hAnsi="Book Antiqua"/>
        </w:rPr>
        <w:t xml:space="preserve"> acid (Gd-EOB-DTPA) enhanced MR imaging and contrast enhanced CT for the detection of liver metastases: a systematic review and meta-analysis. </w:t>
      </w:r>
      <w:r>
        <w:rPr>
          <w:rFonts w:ascii="Book Antiqua" w:hAnsi="Book Antiqua"/>
          <w:i/>
          <w:iCs/>
        </w:rPr>
        <w:t>Int J Colorectal Dis</w:t>
      </w:r>
      <w:r>
        <w:rPr>
          <w:rFonts w:ascii="Book Antiqua" w:hAnsi="Book Antiqua"/>
        </w:rPr>
        <w:t xml:space="preserve"> 2016; </w:t>
      </w:r>
      <w:r>
        <w:rPr>
          <w:rFonts w:ascii="Book Antiqua" w:hAnsi="Book Antiqua"/>
          <w:b/>
          <w:bCs/>
        </w:rPr>
        <w:t>31</w:t>
      </w:r>
      <w:r>
        <w:rPr>
          <w:rFonts w:ascii="Book Antiqua" w:hAnsi="Book Antiqua"/>
        </w:rPr>
        <w:t>: 1739-1749 [PMID: 27682648 DOI: 10.1007/s00384-016-2664-9]</w:t>
      </w:r>
    </w:p>
    <w:p w14:paraId="3C62D54E" w14:textId="77777777" w:rsidR="0068222A" w:rsidRDefault="00000000">
      <w:pPr>
        <w:spacing w:line="360" w:lineRule="auto"/>
        <w:jc w:val="both"/>
        <w:rPr>
          <w:rFonts w:ascii="Book Antiqua" w:hAnsi="Book Antiqua"/>
        </w:rPr>
      </w:pPr>
      <w:r>
        <w:rPr>
          <w:rFonts w:ascii="Book Antiqua" w:hAnsi="Book Antiqua"/>
        </w:rPr>
        <w:t xml:space="preserve">31 </w:t>
      </w:r>
      <w:proofErr w:type="spellStart"/>
      <w:r>
        <w:rPr>
          <w:rFonts w:ascii="Book Antiqua" w:hAnsi="Book Antiqua"/>
          <w:b/>
          <w:bCs/>
        </w:rPr>
        <w:t>Tanimoto</w:t>
      </w:r>
      <w:proofErr w:type="spellEnd"/>
      <w:r>
        <w:rPr>
          <w:rFonts w:ascii="Book Antiqua" w:hAnsi="Book Antiqua"/>
          <w:b/>
          <w:bCs/>
        </w:rPr>
        <w:t xml:space="preserve"> A</w:t>
      </w:r>
      <w:r>
        <w:rPr>
          <w:rFonts w:ascii="Book Antiqua" w:hAnsi="Book Antiqua"/>
        </w:rPr>
        <w:t xml:space="preserve">, Lee JM, Murakami T, </w:t>
      </w:r>
      <w:proofErr w:type="spellStart"/>
      <w:r>
        <w:rPr>
          <w:rFonts w:ascii="Book Antiqua" w:hAnsi="Book Antiqua"/>
        </w:rPr>
        <w:t>Huppertz</w:t>
      </w:r>
      <w:proofErr w:type="spellEnd"/>
      <w:r>
        <w:rPr>
          <w:rFonts w:ascii="Book Antiqua" w:hAnsi="Book Antiqua"/>
        </w:rPr>
        <w:t xml:space="preserve"> A, Kudo M, </w:t>
      </w:r>
      <w:proofErr w:type="spellStart"/>
      <w:r>
        <w:rPr>
          <w:rFonts w:ascii="Book Antiqua" w:hAnsi="Book Antiqua"/>
        </w:rPr>
        <w:t>Grazioli</w:t>
      </w:r>
      <w:proofErr w:type="spellEnd"/>
      <w:r>
        <w:rPr>
          <w:rFonts w:ascii="Book Antiqua" w:hAnsi="Book Antiqua"/>
        </w:rPr>
        <w:t xml:space="preserve"> L. Consensus report of the 2nd International Forum for Liver MRI.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2009; </w:t>
      </w:r>
      <w:r>
        <w:rPr>
          <w:rFonts w:ascii="Book Antiqua" w:hAnsi="Book Antiqua"/>
          <w:b/>
          <w:bCs/>
        </w:rPr>
        <w:t>19</w:t>
      </w:r>
      <w:r>
        <w:rPr>
          <w:rFonts w:ascii="Book Antiqua" w:hAnsi="Book Antiqua"/>
        </w:rPr>
        <w:t xml:space="preserve"> Suppl 5: S975-S989 [PMID: 19851766 DOI: 10.1007/s00330-009-1624-y]</w:t>
      </w:r>
      <w:bookmarkEnd w:id="78"/>
      <w:bookmarkEnd w:id="79"/>
      <w:bookmarkEnd w:id="80"/>
    </w:p>
    <w:p w14:paraId="369DD5F9" w14:textId="77777777" w:rsidR="0068222A" w:rsidRDefault="0068222A">
      <w:pPr>
        <w:spacing w:line="360" w:lineRule="auto"/>
        <w:jc w:val="both"/>
        <w:rPr>
          <w:rFonts w:ascii="Book Antiqua" w:eastAsia="Book Antiqua" w:hAnsi="Book Antiqua" w:cs="Book Antiqua"/>
          <w:color w:val="000000" w:themeColor="text1"/>
        </w:rPr>
      </w:pPr>
    </w:p>
    <w:p w14:paraId="6026739E" w14:textId="77777777" w:rsidR="0068222A" w:rsidRDefault="0068222A">
      <w:pPr>
        <w:spacing w:line="360" w:lineRule="auto"/>
        <w:jc w:val="both"/>
        <w:rPr>
          <w:rFonts w:ascii="Book Antiqua" w:eastAsia="Book Antiqua" w:hAnsi="Book Antiqua" w:cs="Book Antiqua"/>
          <w:color w:val="000000" w:themeColor="text1"/>
        </w:rPr>
      </w:pPr>
    </w:p>
    <w:p w14:paraId="3E2E5D26" w14:textId="77777777" w:rsidR="0068222A" w:rsidRDefault="0068222A">
      <w:pPr>
        <w:spacing w:line="360" w:lineRule="auto"/>
        <w:jc w:val="both"/>
        <w:rPr>
          <w:rFonts w:ascii="Book Antiqua" w:hAnsi="Book Antiqua"/>
          <w:color w:val="000000" w:themeColor="text1"/>
        </w:rPr>
        <w:sectPr w:rsidR="0068222A">
          <w:pgSz w:w="12240" w:h="15840"/>
          <w:pgMar w:top="1440" w:right="1440" w:bottom="1440" w:left="1440" w:header="720" w:footer="720" w:gutter="0"/>
          <w:cols w:space="720"/>
          <w:docGrid w:linePitch="360"/>
        </w:sectPr>
      </w:pPr>
    </w:p>
    <w:p w14:paraId="13B85219"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21325403"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Institutional review board statement: </w:t>
      </w:r>
      <w:r>
        <w:rPr>
          <w:rFonts w:ascii="Book Antiqua" w:eastAsia="Book Antiqua" w:hAnsi="Book Antiqua" w:cs="Book Antiqua"/>
          <w:color w:val="000000" w:themeColor="text1"/>
          <w:shd w:val="clear" w:color="auto" w:fill="FFFFFF"/>
        </w:rPr>
        <w:t xml:space="preserve">The study was reviewed and approved by the Medical Ethics Committee of the Affiliated Hospital of Guilin Medical University </w:t>
      </w:r>
      <w:r>
        <w:rPr>
          <w:rFonts w:ascii="Book Antiqua" w:eastAsia="宋体" w:hAnsi="Book Antiqua" w:cs="Book Antiqua" w:hint="eastAsia"/>
          <w:color w:val="000000" w:themeColor="text1"/>
          <w:shd w:val="clear" w:color="auto" w:fill="FFFFFF"/>
          <w:lang w:eastAsia="zh-CN"/>
        </w:rPr>
        <w:t>(</w:t>
      </w:r>
      <w:r>
        <w:rPr>
          <w:rFonts w:ascii="Book Antiqua" w:eastAsia="Book Antiqua" w:hAnsi="Book Antiqua" w:cs="Book Antiqua"/>
          <w:color w:val="000000" w:themeColor="text1"/>
          <w:shd w:val="clear" w:color="auto" w:fill="FFFFFF"/>
        </w:rPr>
        <w:t>Approval No. 2021WJWZC14</w:t>
      </w:r>
      <w:r>
        <w:rPr>
          <w:rFonts w:ascii="Book Antiqua" w:eastAsia="宋体" w:hAnsi="Book Antiqua" w:cs="Book Antiqua" w:hint="eastAsia"/>
          <w:color w:val="000000" w:themeColor="text1"/>
          <w:shd w:val="clear" w:color="auto" w:fill="FFFFFF"/>
          <w:lang w:eastAsia="zh-CN"/>
        </w:rPr>
        <w:t>)</w:t>
      </w:r>
      <w:r>
        <w:rPr>
          <w:rFonts w:ascii="Book Antiqua" w:eastAsia="Book Antiqua" w:hAnsi="Book Antiqua" w:cs="Book Antiqua"/>
          <w:color w:val="000000" w:themeColor="text1"/>
          <w:shd w:val="clear" w:color="auto" w:fill="FFFFFF"/>
        </w:rPr>
        <w:t>.</w:t>
      </w:r>
    </w:p>
    <w:p w14:paraId="22CDC325" w14:textId="77777777" w:rsidR="0068222A" w:rsidRDefault="0068222A">
      <w:pPr>
        <w:spacing w:line="360" w:lineRule="auto"/>
        <w:jc w:val="both"/>
        <w:rPr>
          <w:rFonts w:ascii="Book Antiqua" w:hAnsi="Book Antiqua"/>
          <w:color w:val="000000" w:themeColor="text1"/>
        </w:rPr>
      </w:pPr>
    </w:p>
    <w:p w14:paraId="4AC423EE" w14:textId="77777777" w:rsidR="0068222A" w:rsidRDefault="00000000">
      <w:pPr>
        <w:spacing w:line="360" w:lineRule="auto"/>
        <w:jc w:val="both"/>
        <w:rPr>
          <w:rFonts w:ascii="Book Antiqua" w:hAnsi="Book Antiqua"/>
          <w:color w:val="000000" w:themeColor="text1"/>
        </w:rPr>
      </w:pPr>
      <w:bookmarkStart w:id="81" w:name="OLE_LINK6211"/>
      <w:bookmarkStart w:id="82" w:name="OLE_LINK6210"/>
      <w:r>
        <w:rPr>
          <w:rFonts w:ascii="Book Antiqua" w:hAnsi="Book Antiqua" w:cs="Tahoma"/>
          <w:b/>
          <w:bCs/>
        </w:rPr>
        <w:t>Informed consent statement</w:t>
      </w:r>
      <w:r>
        <w:rPr>
          <w:rFonts w:ascii="Book Antiqua" w:hAnsi="Book Antiqua" w:cs="Tahoma"/>
          <w:b/>
          <w:iCs/>
        </w:rPr>
        <w:t xml:space="preserve">: </w:t>
      </w:r>
      <w:r>
        <w:rPr>
          <w:rFonts w:ascii="Book Antiqua" w:hAnsi="Book Antiqua" w:cs="Tahoma"/>
          <w:bCs/>
        </w:rPr>
        <w:t>Patients were not required to give informed consent to the study because the analysis used anonymous clinical data that were obtained after each patient agreed to treatment by written consent.</w:t>
      </w:r>
      <w:bookmarkEnd w:id="81"/>
      <w:bookmarkEnd w:id="82"/>
    </w:p>
    <w:p w14:paraId="61A331DB" w14:textId="77777777" w:rsidR="0068222A" w:rsidRDefault="0068222A">
      <w:pPr>
        <w:spacing w:line="360" w:lineRule="auto"/>
        <w:jc w:val="both"/>
        <w:rPr>
          <w:rFonts w:ascii="Book Antiqua" w:hAnsi="Book Antiqua"/>
          <w:color w:val="000000" w:themeColor="text1"/>
        </w:rPr>
      </w:pPr>
    </w:p>
    <w:p w14:paraId="4CBC9AF0"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bookmarkStart w:id="83" w:name="OLE_LINK6072"/>
      <w:bookmarkStart w:id="84" w:name="OLE_LINK6073"/>
      <w:r>
        <w:rPr>
          <w:rFonts w:ascii="Book Antiqua" w:eastAsia="Book Antiqua" w:hAnsi="Book Antiqua" w:cs="Book Antiqua"/>
          <w:color w:val="000000" w:themeColor="text1"/>
        </w:rPr>
        <w:t xml:space="preserve">Liao WJ </w:t>
      </w:r>
      <w:r>
        <w:rPr>
          <w:rFonts w:ascii="Book Antiqua" w:eastAsia="Book Antiqua" w:hAnsi="Book Antiqua" w:cs="Book Antiqua"/>
          <w:color w:val="000000" w:themeColor="text1"/>
          <w:shd w:val="clear" w:color="auto" w:fill="FFFFFF"/>
        </w:rPr>
        <w:t>has received fees for serving as a speaker, a professor for the Affiliated Hospital of Guilin Medical University; Liao WJ has received research funding from the National Natural Science Foundation</w:t>
      </w:r>
      <w:r>
        <w:rPr>
          <w:rFonts w:ascii="Book Antiqua" w:eastAsia="宋体" w:hAnsi="Book Antiqua" w:cs="Book Antiqua" w:hint="eastAsia"/>
          <w:color w:val="000000" w:themeColor="text1"/>
          <w:shd w:val="clear" w:color="auto" w:fill="FFFFFF"/>
          <w:lang w:eastAsia="zh-CN"/>
        </w:rPr>
        <w:t xml:space="preserve"> of China</w:t>
      </w:r>
      <w:r>
        <w:rPr>
          <w:rFonts w:ascii="Book Antiqua" w:eastAsia="Book Antiqua" w:hAnsi="Book Antiqua" w:cs="Book Antiqua"/>
          <w:color w:val="000000" w:themeColor="text1"/>
          <w:shd w:val="clear" w:color="auto" w:fill="FFFFFF"/>
        </w:rPr>
        <w:t>.</w:t>
      </w:r>
      <w:bookmarkEnd w:id="83"/>
      <w:bookmarkEnd w:id="84"/>
    </w:p>
    <w:p w14:paraId="7A90D71B" w14:textId="77777777" w:rsidR="0068222A" w:rsidRDefault="0068222A">
      <w:pPr>
        <w:spacing w:line="360" w:lineRule="auto"/>
        <w:jc w:val="both"/>
        <w:rPr>
          <w:rFonts w:ascii="Book Antiqua" w:hAnsi="Book Antiqua"/>
          <w:color w:val="000000" w:themeColor="text1"/>
        </w:rPr>
      </w:pPr>
    </w:p>
    <w:p w14:paraId="2199128F"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Data sharing statement: </w:t>
      </w:r>
      <w:r>
        <w:rPr>
          <w:rFonts w:ascii="Book Antiqua" w:eastAsia="Book Antiqua" w:hAnsi="Book Antiqua" w:cs="Book Antiqua"/>
          <w:color w:val="000000" w:themeColor="text1"/>
          <w:shd w:val="clear" w:color="auto" w:fill="FFFFFF"/>
        </w:rPr>
        <w:t xml:space="preserve">Technical appendix, statistical code, and dataset available from the corresponding author at </w:t>
      </w:r>
      <w:r>
        <w:rPr>
          <w:rFonts w:ascii="Book Antiqua" w:eastAsia="Book Antiqua" w:hAnsi="Book Antiqua" w:cs="Book Antiqua"/>
          <w:color w:val="000000" w:themeColor="text1"/>
        </w:rPr>
        <w:t xml:space="preserve">liaoweijia288@163.com. </w:t>
      </w:r>
      <w:r>
        <w:rPr>
          <w:rFonts w:ascii="Book Antiqua" w:eastAsia="Book Antiqua" w:hAnsi="Book Antiqua" w:cs="Book Antiqua"/>
          <w:color w:val="000000" w:themeColor="text1"/>
          <w:shd w:val="clear" w:color="auto" w:fill="FFFFFF"/>
        </w:rPr>
        <w:t>Participants gave informed consent for data sharing.</w:t>
      </w:r>
    </w:p>
    <w:p w14:paraId="0869B339" w14:textId="77777777" w:rsidR="0068222A" w:rsidRDefault="0068222A">
      <w:pPr>
        <w:spacing w:line="360" w:lineRule="auto"/>
        <w:jc w:val="both"/>
        <w:rPr>
          <w:rFonts w:ascii="Book Antiqua" w:hAnsi="Book Antiqua"/>
          <w:color w:val="000000" w:themeColor="text1"/>
        </w:rPr>
      </w:pPr>
    </w:p>
    <w:p w14:paraId="5A0D38D1"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49A316" w14:textId="77777777" w:rsidR="0068222A" w:rsidRDefault="0068222A">
      <w:pPr>
        <w:spacing w:line="360" w:lineRule="auto"/>
        <w:jc w:val="both"/>
        <w:rPr>
          <w:rFonts w:ascii="Book Antiqua" w:hAnsi="Book Antiqua"/>
          <w:color w:val="000000" w:themeColor="text1"/>
        </w:rPr>
      </w:pPr>
    </w:p>
    <w:p w14:paraId="4C0251D1"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10099C11" w14:textId="77777777" w:rsidR="0068222A"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5BB4E32F" w14:textId="77777777" w:rsidR="0068222A" w:rsidRDefault="0068222A">
      <w:pPr>
        <w:spacing w:line="360" w:lineRule="auto"/>
        <w:jc w:val="both"/>
        <w:rPr>
          <w:rFonts w:ascii="Book Antiqua" w:hAnsi="Book Antiqua"/>
          <w:color w:val="000000" w:themeColor="text1"/>
        </w:rPr>
      </w:pPr>
    </w:p>
    <w:p w14:paraId="457C65F4"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February 11, 2023</w:t>
      </w:r>
    </w:p>
    <w:p w14:paraId="50602059"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 xml:space="preserve">First decision: </w:t>
      </w:r>
      <w:r>
        <w:rPr>
          <w:rFonts w:ascii="Book Antiqua" w:eastAsia="Book Antiqua" w:hAnsi="Book Antiqua" w:cs="Book Antiqua"/>
          <w:color w:val="000000" w:themeColor="text1"/>
        </w:rPr>
        <w:t>March 20, 2023</w:t>
      </w:r>
    </w:p>
    <w:p w14:paraId="12C5E6F4"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p>
    <w:p w14:paraId="4D39D257" w14:textId="77777777" w:rsidR="0068222A" w:rsidRDefault="0068222A">
      <w:pPr>
        <w:spacing w:line="360" w:lineRule="auto"/>
        <w:jc w:val="both"/>
        <w:rPr>
          <w:rFonts w:ascii="Book Antiqua" w:hAnsi="Book Antiqua"/>
          <w:color w:val="000000" w:themeColor="text1"/>
        </w:rPr>
      </w:pPr>
    </w:p>
    <w:p w14:paraId="3E473A2F"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Gastroenterology and hepatology</w:t>
      </w:r>
    </w:p>
    <w:p w14:paraId="4D8FEA1A"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bookmarkStart w:id="85" w:name="OLE_LINK6075"/>
      <w:bookmarkStart w:id="86" w:name="OLE_LINK6074"/>
      <w:r>
        <w:rPr>
          <w:rFonts w:ascii="Book Antiqua" w:eastAsia="Book Antiqua" w:hAnsi="Book Antiqua" w:cs="Book Antiqua"/>
          <w:color w:val="000000" w:themeColor="text1"/>
        </w:rPr>
        <w:t>China</w:t>
      </w:r>
      <w:bookmarkEnd w:id="85"/>
      <w:bookmarkEnd w:id="86"/>
    </w:p>
    <w:p w14:paraId="2514B6CC"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26B5714D"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A</w:t>
      </w:r>
    </w:p>
    <w:p w14:paraId="19C84B80"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0</w:t>
      </w:r>
    </w:p>
    <w:p w14:paraId="34052DA4" w14:textId="77777777" w:rsidR="0068222A" w:rsidRDefault="00000000">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Grade C (Good): C, C</w:t>
      </w:r>
    </w:p>
    <w:p w14:paraId="45B4B2A3"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14:paraId="4035EAAF"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6F7922BF" w14:textId="77777777" w:rsidR="0068222A" w:rsidRDefault="0068222A">
      <w:pPr>
        <w:spacing w:line="360" w:lineRule="auto"/>
        <w:jc w:val="both"/>
        <w:rPr>
          <w:rFonts w:ascii="Book Antiqua" w:hAnsi="Book Antiqua"/>
          <w:color w:val="000000" w:themeColor="text1"/>
        </w:rPr>
      </w:pPr>
    </w:p>
    <w:p w14:paraId="1536FE2A" w14:textId="77777777" w:rsidR="0068222A" w:rsidRDefault="00000000">
      <w:pPr>
        <w:spacing w:line="360" w:lineRule="auto"/>
        <w:jc w:val="both"/>
        <w:rPr>
          <w:rFonts w:ascii="Book Antiqua" w:hAnsi="Book Antiqua"/>
          <w:color w:val="000000" w:themeColor="text1"/>
        </w:rPr>
        <w:sectPr w:rsidR="0068222A">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 xml:space="preserve">P-Reviewer: </w:t>
      </w:r>
      <w:proofErr w:type="spellStart"/>
      <w:r>
        <w:rPr>
          <w:rFonts w:ascii="Book Antiqua" w:eastAsia="Book Antiqua" w:hAnsi="Book Antiqua" w:cs="Book Antiqua"/>
          <w:color w:val="000000" w:themeColor="text1"/>
        </w:rPr>
        <w:t>Ampollini</w:t>
      </w:r>
      <w:proofErr w:type="spellEnd"/>
      <w:r>
        <w:rPr>
          <w:rFonts w:ascii="Book Antiqua" w:eastAsia="Book Antiqua" w:hAnsi="Book Antiqua" w:cs="Book Antiqua"/>
          <w:color w:val="000000" w:themeColor="text1"/>
        </w:rPr>
        <w:t xml:space="preserve"> L, Italy; He D, China</w:t>
      </w:r>
      <w:r>
        <w:rPr>
          <w:rFonts w:ascii="Book Antiqua" w:eastAsia="Book Antiqua" w:hAnsi="Book Antiqua" w:cs="Book Antiqua"/>
          <w:b/>
          <w:color w:val="000000" w:themeColor="text1"/>
        </w:rPr>
        <w:t xml:space="preserve"> S-Editor: </w:t>
      </w:r>
      <w:r>
        <w:rPr>
          <w:rFonts w:ascii="Book Antiqua" w:eastAsia="Book Antiqua" w:hAnsi="Book Antiqua" w:cs="Book Antiqua"/>
          <w:bCs/>
          <w:color w:val="000000" w:themeColor="text1"/>
        </w:rPr>
        <w:t>Y</w:t>
      </w:r>
      <w:r>
        <w:rPr>
          <w:rFonts w:ascii="Book Antiqua" w:eastAsia="Book Antiqua" w:hAnsi="Book Antiqua" w:cs="Book Antiqua" w:hint="eastAsia"/>
          <w:bCs/>
          <w:color w:val="000000" w:themeColor="text1"/>
          <w:lang w:eastAsia="zh-CN"/>
        </w:rPr>
        <w:t>an</w:t>
      </w:r>
      <w:r>
        <w:rPr>
          <w:rFonts w:ascii="Book Antiqua" w:eastAsia="Book Antiqua" w:hAnsi="Book Antiqua" w:cs="Book Antiqua"/>
          <w:bCs/>
          <w:color w:val="000000" w:themeColor="text1"/>
          <w:lang w:eastAsia="zh-CN"/>
        </w:rPr>
        <w:t xml:space="preserve"> JP</w:t>
      </w:r>
      <w:r>
        <w:rPr>
          <w:rFonts w:ascii="Book Antiqua" w:eastAsia="Book Antiqua" w:hAnsi="Book Antiqua" w:cs="Book Antiqua"/>
          <w:b/>
          <w:color w:val="000000" w:themeColor="text1"/>
        </w:rPr>
        <w:t xml:space="preserve"> L-Editor: </w:t>
      </w:r>
      <w:r>
        <w:rPr>
          <w:rFonts w:ascii="Book Antiqua" w:eastAsia="宋体" w:hAnsi="Book Antiqua" w:cs="Book Antiqua" w:hint="eastAsia"/>
          <w:bCs/>
          <w:color w:val="000000" w:themeColor="text1"/>
          <w:lang w:eastAsia="zh-CN"/>
        </w:rPr>
        <w:t>Wang T</w:t>
      </w:r>
      <w:r w:rsidRPr="00650D94">
        <w:rPr>
          <w:rFonts w:ascii="Book Antiqua" w:eastAsia="宋体" w:hAnsi="Book Antiqua" w:cs="Book Antiqua" w:hint="eastAsia"/>
          <w:bCs/>
          <w:color w:val="000000" w:themeColor="text1"/>
          <w:lang w:eastAsia="zh-CN"/>
        </w:rPr>
        <w:t>Q</w:t>
      </w:r>
      <w:r>
        <w:rPr>
          <w:rFonts w:ascii="Book Antiqua" w:eastAsia="Book Antiqua" w:hAnsi="Book Antiqua" w:cs="Book Antiqua"/>
          <w:b/>
          <w:color w:val="000000" w:themeColor="text1"/>
        </w:rPr>
        <w:t xml:space="preserve"> P-Editor: </w:t>
      </w:r>
    </w:p>
    <w:p w14:paraId="79C13FA3" w14:textId="77777777" w:rsidR="0068222A"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14:paraId="05B33AC4" w14:textId="77777777" w:rsidR="0068222A"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noProof/>
          <w:color w:val="000000" w:themeColor="text1"/>
          <w:lang w:eastAsia="zh-CN"/>
        </w:rPr>
        <w:drawing>
          <wp:inline distT="0" distB="0" distL="0" distR="0" wp14:anchorId="0830B813" wp14:editId="50126607">
            <wp:extent cx="5943600" cy="4612640"/>
            <wp:effectExtent l="0" t="0" r="0" b="0"/>
            <wp:docPr id="2145430812"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30812" name="图片 1" descr="图形用户界面, 文本&#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612640"/>
                    </a:xfrm>
                    <a:prstGeom prst="rect">
                      <a:avLst/>
                    </a:prstGeom>
                  </pic:spPr>
                </pic:pic>
              </a:graphicData>
            </a:graphic>
          </wp:inline>
        </w:drawing>
      </w:r>
    </w:p>
    <w:p w14:paraId="47E23011" w14:textId="77777777" w:rsidR="0068222A" w:rsidRDefault="0068222A">
      <w:pPr>
        <w:spacing w:line="360" w:lineRule="auto"/>
        <w:jc w:val="both"/>
        <w:rPr>
          <w:rFonts w:ascii="Book Antiqua" w:hAnsi="Book Antiqua"/>
          <w:color w:val="000000" w:themeColor="text1"/>
        </w:rPr>
      </w:pPr>
    </w:p>
    <w:p w14:paraId="4B5AE53A" w14:textId="77777777" w:rsidR="0068222A" w:rsidRDefault="00000000">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t xml:space="preserve">Figure 1 Flowchart of the study cohorts. </w:t>
      </w:r>
      <w:r>
        <w:rPr>
          <w:rFonts w:ascii="Book Antiqua" w:eastAsia="Book Antiqua" w:hAnsi="Book Antiqua" w:cs="Book Antiqua"/>
          <w:color w:val="000000" w:themeColor="text1"/>
        </w:rPr>
        <w:t xml:space="preserve">HCC: Hepatocellular carcinoma; CT: Computed tomography; TACE: </w:t>
      </w:r>
      <w:proofErr w:type="spellStart"/>
      <w:r>
        <w:rPr>
          <w:rFonts w:ascii="Book Antiqua" w:eastAsia="Book Antiqua" w:hAnsi="Book Antiqua" w:cs="Book Antiqua"/>
          <w:color w:val="000000" w:themeColor="text1"/>
        </w:rPr>
        <w:t>Transarterial</w:t>
      </w:r>
      <w:proofErr w:type="spellEnd"/>
      <w:r>
        <w:rPr>
          <w:rFonts w:ascii="Book Antiqua" w:eastAsia="Book Antiqua" w:hAnsi="Book Antiqua" w:cs="Book Antiqua"/>
          <w:color w:val="000000" w:themeColor="text1"/>
        </w:rPr>
        <w:t xml:space="preserve"> chemoembolization; </w:t>
      </w:r>
      <w:bookmarkStart w:id="87" w:name="OLE_LINK6104"/>
      <w:bookmarkStart w:id="88" w:name="OLE_LINK6105"/>
      <w:r>
        <w:rPr>
          <w:rFonts w:ascii="Book Antiqua" w:eastAsia="Book Antiqua" w:hAnsi="Book Antiqua" w:cs="Book Antiqua"/>
          <w:color w:val="000000" w:themeColor="text1"/>
        </w:rPr>
        <w:t>ROI: Region of interest.</w:t>
      </w:r>
    </w:p>
    <w:bookmarkEnd w:id="87"/>
    <w:bookmarkEnd w:id="88"/>
    <w:p w14:paraId="7918AEDE" w14:textId="77777777" w:rsidR="0068222A" w:rsidRDefault="0068222A">
      <w:pPr>
        <w:spacing w:line="360" w:lineRule="auto"/>
        <w:jc w:val="both"/>
        <w:rPr>
          <w:rFonts w:ascii="Book Antiqua" w:eastAsia="Book Antiqua" w:hAnsi="Book Antiqua" w:cs="Book Antiqua"/>
          <w:color w:val="000000" w:themeColor="text1"/>
        </w:rPr>
      </w:pPr>
    </w:p>
    <w:p w14:paraId="42F981D2" w14:textId="77777777" w:rsidR="0068222A" w:rsidRDefault="0068222A">
      <w:pPr>
        <w:spacing w:line="360" w:lineRule="auto"/>
        <w:jc w:val="both"/>
        <w:rPr>
          <w:rFonts w:ascii="Book Antiqua" w:hAnsi="Book Antiqua"/>
          <w:color w:val="000000" w:themeColor="text1"/>
        </w:rPr>
        <w:sectPr w:rsidR="0068222A">
          <w:pgSz w:w="12240" w:h="15840"/>
          <w:pgMar w:top="1440" w:right="1440" w:bottom="1440" w:left="1440" w:header="720" w:footer="720" w:gutter="0"/>
          <w:cols w:space="720"/>
          <w:docGrid w:linePitch="360"/>
        </w:sectPr>
      </w:pPr>
    </w:p>
    <w:p w14:paraId="78F622D6" w14:textId="77777777" w:rsidR="0068222A" w:rsidRDefault="00000000">
      <w:pPr>
        <w:spacing w:line="360" w:lineRule="auto"/>
        <w:jc w:val="both"/>
        <w:rPr>
          <w:rFonts w:ascii="Book Antiqua" w:hAnsi="Book Antiqua"/>
          <w:color w:val="000000" w:themeColor="text1"/>
        </w:rPr>
      </w:pPr>
      <w:r>
        <w:rPr>
          <w:rFonts w:ascii="Book Antiqua" w:hAnsi="Book Antiqua"/>
          <w:noProof/>
          <w:color w:val="000000" w:themeColor="text1"/>
          <w:lang w:eastAsia="zh-CN"/>
        </w:rPr>
        <w:lastRenderedPageBreak/>
        <w:drawing>
          <wp:inline distT="0" distB="0" distL="0" distR="0" wp14:anchorId="6CE0EC10" wp14:editId="0BCD13A2">
            <wp:extent cx="5943600" cy="3054350"/>
            <wp:effectExtent l="0" t="0" r="0" b="6350"/>
            <wp:docPr id="19339383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38387"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54350"/>
                    </a:xfrm>
                    <a:prstGeom prst="rect">
                      <a:avLst/>
                    </a:prstGeom>
                  </pic:spPr>
                </pic:pic>
              </a:graphicData>
            </a:graphic>
          </wp:inline>
        </w:drawing>
      </w:r>
    </w:p>
    <w:p w14:paraId="15A36BDF" w14:textId="77777777" w:rsidR="0068222A" w:rsidRDefault="0068222A">
      <w:pPr>
        <w:spacing w:line="360" w:lineRule="auto"/>
        <w:jc w:val="both"/>
        <w:rPr>
          <w:rFonts w:ascii="Book Antiqua" w:hAnsi="Book Antiqua"/>
          <w:color w:val="000000" w:themeColor="text1"/>
        </w:rPr>
      </w:pPr>
    </w:p>
    <w:p w14:paraId="396E14DE" w14:textId="77777777" w:rsidR="0068222A" w:rsidRDefault="00000000">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b/>
          <w:bCs/>
          <w:color w:val="000000" w:themeColor="text1"/>
        </w:rPr>
        <w:t>Figure 2 Correlation and distribution of</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b/>
          <w:bCs/>
          <w:color w:val="000000" w:themeColor="text1"/>
        </w:rPr>
        <w:t xml:space="preserve">early recurrence-related radiomics features. </w:t>
      </w:r>
      <w:r>
        <w:rPr>
          <w:rFonts w:ascii="Book Antiqua" w:eastAsia="Book Antiqua" w:hAnsi="Book Antiqua" w:cs="Book Antiqua"/>
          <w:color w:val="000000" w:themeColor="text1"/>
        </w:rPr>
        <w:t xml:space="preserve">A: Correlation of the radiomics features. The red mark represents a positive correlation, while the blue mark represents a negative correlation; B: Heatmap and clustering analysis of the radiomics features. </w:t>
      </w:r>
      <w:bookmarkStart w:id="89" w:name="OLE_LINK6100"/>
      <w:bookmarkStart w:id="90" w:name="OLE_LINK6101"/>
      <w:r>
        <w:rPr>
          <w:rFonts w:ascii="Book Antiqua" w:eastAsia="Book Antiqua" w:hAnsi="Book Antiqua" w:cs="Book Antiqua"/>
          <w:color w:val="000000" w:themeColor="text1"/>
        </w:rPr>
        <w:t xml:space="preserve">ROC: Receiver operating characteristic; </w:t>
      </w:r>
      <w:bookmarkStart w:id="91" w:name="OLE_LINK6099"/>
      <w:bookmarkStart w:id="92" w:name="OLE_LINK6098"/>
      <w:r>
        <w:rPr>
          <w:rFonts w:ascii="Book Antiqua" w:eastAsia="Book Antiqua" w:hAnsi="Book Antiqua" w:cs="Book Antiqua"/>
          <w:color w:val="000000" w:themeColor="text1"/>
        </w:rPr>
        <w:t>RFS: Recurrence-free survival;</w:t>
      </w:r>
      <w:bookmarkEnd w:id="91"/>
      <w:bookmarkEnd w:id="92"/>
      <w:r>
        <w:rPr>
          <w:rFonts w:ascii="Book Antiqua" w:eastAsia="Book Antiqua" w:hAnsi="Book Antiqua" w:cs="Book Antiqua"/>
          <w:color w:val="000000" w:themeColor="text1"/>
        </w:rPr>
        <w:t xml:space="preserve"> AUC: A</w:t>
      </w:r>
      <w:r>
        <w:rPr>
          <w:rFonts w:ascii="Book Antiqua" w:eastAsia="Book Antiqua" w:hAnsi="Book Antiqua" w:cs="Book Antiqua" w:hint="eastAsia"/>
          <w:color w:val="000000" w:themeColor="text1"/>
          <w:lang w:eastAsia="zh-CN"/>
        </w:rPr>
        <w:t>rea</w:t>
      </w:r>
      <w:r>
        <w:rPr>
          <w:rFonts w:ascii="Book Antiqua" w:eastAsia="Book Antiqua" w:hAnsi="Book Antiqua" w:cs="Book Antiqua"/>
          <w:color w:val="000000" w:themeColor="text1"/>
          <w:lang w:eastAsia="zh-CN"/>
        </w:rPr>
        <w:t xml:space="preserve"> under curve. </w:t>
      </w:r>
      <w:bookmarkEnd w:id="89"/>
      <w:bookmarkEnd w:id="90"/>
    </w:p>
    <w:p w14:paraId="4F234DBB" w14:textId="77777777" w:rsidR="0068222A" w:rsidRDefault="0068222A">
      <w:pPr>
        <w:spacing w:line="360" w:lineRule="auto"/>
        <w:jc w:val="both"/>
        <w:rPr>
          <w:rFonts w:ascii="Book Antiqua" w:eastAsia="Book Antiqua" w:hAnsi="Book Antiqua" w:cs="Book Antiqua"/>
          <w:color w:val="000000" w:themeColor="text1"/>
        </w:rPr>
      </w:pPr>
    </w:p>
    <w:p w14:paraId="1869EAE8" w14:textId="77777777" w:rsidR="0068222A" w:rsidRDefault="0068222A">
      <w:pPr>
        <w:spacing w:line="360" w:lineRule="auto"/>
        <w:jc w:val="both"/>
        <w:rPr>
          <w:rFonts w:ascii="Book Antiqua" w:eastAsia="Book Antiqua" w:hAnsi="Book Antiqua" w:cs="Book Antiqua"/>
          <w:color w:val="000000" w:themeColor="text1"/>
        </w:rPr>
      </w:pPr>
    </w:p>
    <w:p w14:paraId="3265964E" w14:textId="77777777" w:rsidR="0068222A" w:rsidRDefault="0068222A">
      <w:pPr>
        <w:spacing w:line="360" w:lineRule="auto"/>
        <w:jc w:val="both"/>
        <w:rPr>
          <w:rFonts w:ascii="Book Antiqua" w:hAnsi="Book Antiqua"/>
          <w:color w:val="000000" w:themeColor="text1"/>
        </w:rPr>
        <w:sectPr w:rsidR="0068222A">
          <w:pgSz w:w="12240" w:h="15840"/>
          <w:pgMar w:top="1440" w:right="1440" w:bottom="1440" w:left="1440" w:header="720" w:footer="720" w:gutter="0"/>
          <w:cols w:space="720"/>
          <w:docGrid w:linePitch="360"/>
        </w:sectPr>
      </w:pPr>
    </w:p>
    <w:p w14:paraId="7E4407DF" w14:textId="77777777" w:rsidR="0068222A" w:rsidRDefault="0068222A">
      <w:pPr>
        <w:spacing w:line="360" w:lineRule="auto"/>
        <w:jc w:val="both"/>
        <w:rPr>
          <w:rFonts w:ascii="Book Antiqua" w:hAnsi="Book Antiqua"/>
          <w:color w:val="000000" w:themeColor="text1"/>
        </w:rPr>
      </w:pPr>
    </w:p>
    <w:p w14:paraId="12EEF88A" w14:textId="77777777" w:rsidR="0068222A" w:rsidRDefault="00000000">
      <w:pPr>
        <w:spacing w:line="360" w:lineRule="auto"/>
        <w:jc w:val="both"/>
        <w:rPr>
          <w:rFonts w:ascii="Book Antiqua" w:hAnsi="Book Antiqua"/>
          <w:color w:val="000000" w:themeColor="text1"/>
        </w:rPr>
      </w:pPr>
      <w:r>
        <w:rPr>
          <w:rFonts w:ascii="Book Antiqua" w:hAnsi="Book Antiqua"/>
          <w:noProof/>
          <w:color w:val="000000" w:themeColor="text1"/>
          <w:lang w:eastAsia="zh-CN"/>
        </w:rPr>
        <w:drawing>
          <wp:inline distT="0" distB="0" distL="0" distR="0" wp14:anchorId="5576DE08" wp14:editId="4C30AAE1">
            <wp:extent cx="5943600" cy="2158365"/>
            <wp:effectExtent l="0" t="0" r="0" b="635"/>
            <wp:docPr id="12551121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12165"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158365"/>
                    </a:xfrm>
                    <a:prstGeom prst="rect">
                      <a:avLst/>
                    </a:prstGeom>
                  </pic:spPr>
                </pic:pic>
              </a:graphicData>
            </a:graphic>
          </wp:inline>
        </w:drawing>
      </w:r>
    </w:p>
    <w:p w14:paraId="74C189CA" w14:textId="77777777" w:rsidR="0068222A"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Figure 3 Capacity of the radiomics score to distinguish early recurrence.</w:t>
      </w:r>
      <w:r>
        <w:rPr>
          <w:rFonts w:ascii="Book Antiqua" w:eastAsia="Book Antiqua" w:hAnsi="Book Antiqua" w:cs="Book Antiqua"/>
          <w:color w:val="000000" w:themeColor="text1"/>
        </w:rPr>
        <w:t xml:space="preserve"> A: Correlation of the rad-score between the nonearly recurrence and early recurrence groups; B: </w:t>
      </w:r>
      <w:bookmarkStart w:id="93" w:name="OLE_LINK6083"/>
      <w:bookmarkStart w:id="94" w:name="OLE_LINK6084"/>
      <w:r>
        <w:rPr>
          <w:rFonts w:ascii="Book Antiqua" w:eastAsia="Book Antiqua" w:hAnsi="Book Antiqua" w:cs="Book Antiqua"/>
          <w:color w:val="000000" w:themeColor="text1"/>
        </w:rPr>
        <w:t>Receiver operating characteristic</w:t>
      </w:r>
      <w:bookmarkEnd w:id="93"/>
      <w:bookmarkEnd w:id="94"/>
      <w:r>
        <w:rPr>
          <w:rFonts w:ascii="Book Antiqua" w:eastAsia="Book Antiqua" w:hAnsi="Book Antiqua" w:cs="Book Antiqua"/>
          <w:color w:val="000000" w:themeColor="text1"/>
        </w:rPr>
        <w:t xml:space="preserve"> curves of the radiomics score to predict </w:t>
      </w:r>
      <w:bookmarkStart w:id="95" w:name="OLE_LINK6095"/>
      <w:bookmarkStart w:id="96" w:name="OLE_LINK6082"/>
      <w:bookmarkStart w:id="97" w:name="OLE_LINK6081"/>
      <w:r>
        <w:rPr>
          <w:rFonts w:ascii="Book Antiqua" w:eastAsia="Book Antiqua" w:hAnsi="Book Antiqua" w:cs="Book Antiqua"/>
          <w:color w:val="000000" w:themeColor="text1"/>
        </w:rPr>
        <w:t>recurrence-free survival</w:t>
      </w:r>
      <w:bookmarkEnd w:id="95"/>
      <w:bookmarkEnd w:id="96"/>
      <w:bookmarkEnd w:id="97"/>
      <w:r>
        <w:rPr>
          <w:rFonts w:ascii="Book Antiqua" w:eastAsia="Book Antiqua" w:hAnsi="Book Antiqua" w:cs="Book Antiqua"/>
          <w:color w:val="000000" w:themeColor="text1"/>
        </w:rPr>
        <w:t xml:space="preserve"> in the training and validation cohorts.</w:t>
      </w:r>
    </w:p>
    <w:p w14:paraId="3FD00B69" w14:textId="77777777" w:rsidR="0068222A" w:rsidRDefault="0068222A">
      <w:pPr>
        <w:spacing w:line="360" w:lineRule="auto"/>
        <w:jc w:val="both"/>
        <w:rPr>
          <w:rFonts w:ascii="Book Antiqua" w:eastAsia="Book Antiqua" w:hAnsi="Book Antiqua" w:cs="Book Antiqua"/>
          <w:color w:val="000000" w:themeColor="text1"/>
        </w:rPr>
        <w:sectPr w:rsidR="0068222A">
          <w:pgSz w:w="12240" w:h="15840"/>
          <w:pgMar w:top="1440" w:right="1440" w:bottom="1440" w:left="1440" w:header="720" w:footer="720" w:gutter="0"/>
          <w:cols w:space="720"/>
          <w:docGrid w:linePitch="360"/>
        </w:sectPr>
      </w:pPr>
    </w:p>
    <w:p w14:paraId="2B528CE5" w14:textId="77777777" w:rsidR="0068222A"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noProof/>
          <w:color w:val="000000" w:themeColor="text1"/>
          <w:lang w:eastAsia="zh-CN"/>
        </w:rPr>
        <w:lastRenderedPageBreak/>
        <w:drawing>
          <wp:inline distT="0" distB="0" distL="0" distR="0" wp14:anchorId="021848A4" wp14:editId="78A77951">
            <wp:extent cx="5943600" cy="5137150"/>
            <wp:effectExtent l="0" t="0" r="0" b="6350"/>
            <wp:docPr id="12113455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45502"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137150"/>
                    </a:xfrm>
                    <a:prstGeom prst="rect">
                      <a:avLst/>
                    </a:prstGeom>
                  </pic:spPr>
                </pic:pic>
              </a:graphicData>
            </a:graphic>
          </wp:inline>
        </w:drawing>
      </w:r>
    </w:p>
    <w:p w14:paraId="18F3E730" w14:textId="77777777" w:rsidR="0068222A" w:rsidRDefault="0068222A">
      <w:pPr>
        <w:spacing w:line="360" w:lineRule="auto"/>
        <w:jc w:val="both"/>
        <w:rPr>
          <w:rFonts w:ascii="Book Antiqua" w:eastAsia="Book Antiqua" w:hAnsi="Book Antiqua" w:cs="Book Antiqua"/>
          <w:color w:val="000000" w:themeColor="text1"/>
        </w:rPr>
      </w:pPr>
    </w:p>
    <w:p w14:paraId="5FF8E68A" w14:textId="77777777" w:rsidR="0068222A"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4 A radiomics and clinical combined model is built based on the radiomics score and preoperative </w:t>
      </w:r>
      <w:bookmarkStart w:id="98" w:name="OLE_LINK6096"/>
      <w:bookmarkStart w:id="99" w:name="OLE_LINK6097"/>
      <w:r>
        <w:rPr>
          <w:rFonts w:ascii="Book Antiqua" w:eastAsia="Book Antiqua" w:hAnsi="Book Antiqua" w:cs="Book Antiqua"/>
          <w:b/>
          <w:bCs/>
          <w:color w:val="000000" w:themeColor="text1"/>
        </w:rPr>
        <w:t>alpha</w:t>
      </w:r>
      <w:r>
        <w:rPr>
          <w:rFonts w:ascii="Book Antiqua" w:eastAsia="宋体" w:hAnsi="Book Antiqua" w:cs="Book Antiqua" w:hint="eastAsia"/>
          <w:b/>
          <w:bCs/>
          <w:color w:val="000000" w:themeColor="text1"/>
          <w:lang w:eastAsia="zh-CN"/>
        </w:rPr>
        <w:t>-</w:t>
      </w:r>
      <w:r>
        <w:rPr>
          <w:rFonts w:ascii="Book Antiqua" w:eastAsia="Book Antiqua" w:hAnsi="Book Antiqua" w:cs="Book Antiqua"/>
          <w:b/>
          <w:bCs/>
          <w:color w:val="000000" w:themeColor="text1"/>
        </w:rPr>
        <w:t>fetoprotein</w:t>
      </w:r>
      <w:bookmarkEnd w:id="98"/>
      <w:bookmarkEnd w:id="99"/>
      <w:r>
        <w:rPr>
          <w:rFonts w:ascii="Book Antiqua" w:eastAsia="Book Antiqua" w:hAnsi="Book Antiqua" w:cs="Book Antiqua"/>
          <w:b/>
          <w:bCs/>
          <w:color w:val="000000" w:themeColor="text1"/>
        </w:rPr>
        <w:t>.</w:t>
      </w:r>
      <w:r>
        <w:rPr>
          <w:rFonts w:ascii="Book Antiqua" w:eastAsia="Book Antiqua" w:hAnsi="Book Antiqua" w:cs="Book Antiqua"/>
          <w:color w:val="000000" w:themeColor="text1"/>
        </w:rPr>
        <w:t xml:space="preserve"> According to the total score of each indicator, the recurrence rate corresponding to the total score is the nomogram-predicted rate. </w:t>
      </w:r>
      <w:bookmarkStart w:id="100" w:name="OLE_LINK6103"/>
      <w:bookmarkStart w:id="101" w:name="OLE_LINK6102"/>
      <w:r>
        <w:rPr>
          <w:rFonts w:ascii="Book Antiqua" w:eastAsia="Book Antiqua" w:hAnsi="Book Antiqua" w:cs="Book Antiqua"/>
          <w:color w:val="000000" w:themeColor="text1"/>
        </w:rPr>
        <w:t>AFP: Alpha</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fetoprotein;</w:t>
      </w:r>
      <w:bookmarkEnd w:id="100"/>
      <w:bookmarkEnd w:id="101"/>
      <w:r>
        <w:rPr>
          <w:rFonts w:ascii="Book Antiqua" w:eastAsia="Book Antiqua" w:hAnsi="Book Antiqua" w:cs="Book Antiqua"/>
          <w:color w:val="000000" w:themeColor="text1"/>
        </w:rPr>
        <w:t xml:space="preserve"> RFS: Recurrence-free survival.</w:t>
      </w:r>
    </w:p>
    <w:p w14:paraId="6AB12E9F" w14:textId="77777777" w:rsidR="0068222A" w:rsidRDefault="0068222A">
      <w:pPr>
        <w:spacing w:line="360" w:lineRule="auto"/>
        <w:jc w:val="both"/>
        <w:rPr>
          <w:rFonts w:ascii="Book Antiqua" w:eastAsia="Book Antiqua" w:hAnsi="Book Antiqua" w:cs="Book Antiqua"/>
          <w:color w:val="000000" w:themeColor="text1"/>
        </w:rPr>
      </w:pPr>
    </w:p>
    <w:p w14:paraId="2A567895" w14:textId="77777777" w:rsidR="0068222A" w:rsidRDefault="0068222A">
      <w:pPr>
        <w:spacing w:line="360" w:lineRule="auto"/>
        <w:jc w:val="both"/>
        <w:rPr>
          <w:rFonts w:ascii="Book Antiqua" w:hAnsi="Book Antiqua"/>
          <w:color w:val="000000" w:themeColor="text1"/>
        </w:rPr>
        <w:sectPr w:rsidR="0068222A">
          <w:pgSz w:w="12240" w:h="15840"/>
          <w:pgMar w:top="1440" w:right="1440" w:bottom="1440" w:left="1440" w:header="720" w:footer="720" w:gutter="0"/>
          <w:cols w:space="720"/>
          <w:docGrid w:linePitch="360"/>
        </w:sectPr>
      </w:pPr>
    </w:p>
    <w:p w14:paraId="525CB868" w14:textId="77777777" w:rsidR="0068222A" w:rsidRDefault="00000000">
      <w:pPr>
        <w:spacing w:line="360" w:lineRule="auto"/>
        <w:jc w:val="both"/>
        <w:rPr>
          <w:rFonts w:ascii="Book Antiqua" w:hAnsi="Book Antiqua"/>
          <w:color w:val="000000" w:themeColor="text1"/>
        </w:rPr>
      </w:pPr>
      <w:r>
        <w:rPr>
          <w:rFonts w:ascii="Book Antiqua" w:hAnsi="Book Antiqua"/>
          <w:noProof/>
          <w:color w:val="000000" w:themeColor="text1"/>
          <w:lang w:eastAsia="zh-CN"/>
        </w:rPr>
        <w:lastRenderedPageBreak/>
        <w:drawing>
          <wp:inline distT="0" distB="0" distL="0" distR="0" wp14:anchorId="4BE60C0B" wp14:editId="5368D6E4">
            <wp:extent cx="4457700" cy="5969000"/>
            <wp:effectExtent l="0" t="0" r="0" b="0"/>
            <wp:docPr id="880769511" name="图片 5"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69511" name="图片 5" descr="图形用户界面, 图表&#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7700" cy="5969000"/>
                    </a:xfrm>
                    <a:prstGeom prst="rect">
                      <a:avLst/>
                    </a:prstGeom>
                  </pic:spPr>
                </pic:pic>
              </a:graphicData>
            </a:graphic>
          </wp:inline>
        </w:drawing>
      </w:r>
    </w:p>
    <w:p w14:paraId="4A1B442C" w14:textId="77777777" w:rsidR="0068222A"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Figure 5 Evaluation of the radiomics model to predict early recurrence.</w:t>
      </w:r>
      <w:r>
        <w:rPr>
          <w:rFonts w:ascii="Book Antiqua" w:eastAsia="Book Antiqua" w:hAnsi="Book Antiqua" w:cs="Book Antiqua"/>
          <w:color w:val="000000" w:themeColor="text1"/>
        </w:rPr>
        <w:t xml:space="preserve"> A: </w:t>
      </w:r>
      <w:bookmarkStart w:id="102" w:name="OLE_LINK6093"/>
      <w:bookmarkStart w:id="103" w:name="OLE_LINK6094"/>
      <w:r>
        <w:rPr>
          <w:rFonts w:ascii="Book Antiqua" w:eastAsia="Book Antiqua" w:hAnsi="Book Antiqua" w:cs="Book Antiqua"/>
          <w:color w:val="000000" w:themeColor="text1"/>
        </w:rPr>
        <w:t>Receiver operating characteristic</w:t>
      </w:r>
      <w:bookmarkEnd w:id="102"/>
      <w:bookmarkEnd w:id="103"/>
      <w:r>
        <w:rPr>
          <w:rFonts w:ascii="Book Antiqua" w:eastAsia="Book Antiqua" w:hAnsi="Book Antiqua" w:cs="Book Antiqua"/>
          <w:color w:val="000000" w:themeColor="text1"/>
        </w:rPr>
        <w:t xml:space="preserve"> (ROC) curve</w:t>
      </w:r>
      <w:r>
        <w:rPr>
          <w:rFonts w:ascii="Book Antiqua" w:eastAsia="宋体" w:hAnsi="Book Antiqua" w:cs="Book Antiqua" w:hint="eastAsia"/>
          <w:color w:val="000000" w:themeColor="text1"/>
          <w:lang w:eastAsia="zh-CN"/>
        </w:rPr>
        <w:t>s</w:t>
      </w:r>
      <w:r>
        <w:rPr>
          <w:rFonts w:ascii="Book Antiqua" w:eastAsia="Book Antiqua" w:hAnsi="Book Antiqua" w:cs="Book Antiqua"/>
          <w:color w:val="000000" w:themeColor="text1"/>
        </w:rPr>
        <w:t xml:space="preserve"> to predict 1- and 2-year </w:t>
      </w:r>
      <w:bookmarkStart w:id="104" w:name="OLE_LINK6086"/>
      <w:bookmarkStart w:id="105" w:name="OLE_LINK6087"/>
      <w:r>
        <w:rPr>
          <w:rFonts w:ascii="Book Antiqua" w:eastAsia="Book Antiqua" w:hAnsi="Book Antiqua" w:cs="Book Antiqua"/>
          <w:color w:val="000000" w:themeColor="text1"/>
        </w:rPr>
        <w:t>recurrence-free survival</w:t>
      </w:r>
      <w:bookmarkEnd w:id="104"/>
      <w:bookmarkEnd w:id="105"/>
      <w:r>
        <w:rPr>
          <w:rFonts w:ascii="Book Antiqua" w:eastAsia="Book Antiqua" w:hAnsi="Book Antiqua" w:cs="Book Antiqua"/>
          <w:color w:val="000000" w:themeColor="text1"/>
        </w:rPr>
        <w:t xml:space="preserve"> (RFS) in the training cohort; B: ROC curve</w:t>
      </w:r>
      <w:r>
        <w:rPr>
          <w:rFonts w:ascii="Book Antiqua" w:eastAsia="宋体" w:hAnsi="Book Antiqua" w:cs="Book Antiqua" w:hint="eastAsia"/>
          <w:color w:val="000000" w:themeColor="text1"/>
          <w:lang w:eastAsia="zh-CN"/>
        </w:rPr>
        <w:t>s</w:t>
      </w:r>
      <w:r>
        <w:rPr>
          <w:rFonts w:ascii="Book Antiqua" w:eastAsia="Book Antiqua" w:hAnsi="Book Antiqua" w:cs="Book Antiqua"/>
          <w:color w:val="000000" w:themeColor="text1"/>
        </w:rPr>
        <w:t xml:space="preserve"> to predict 1- and 2-year RFS in the validation cohort; C: Calibration curve</w:t>
      </w:r>
      <w:r>
        <w:rPr>
          <w:rFonts w:ascii="Book Antiqua" w:eastAsia="宋体" w:hAnsi="Book Antiqua" w:cs="Book Antiqua" w:hint="eastAsia"/>
          <w:color w:val="000000" w:themeColor="text1"/>
          <w:lang w:eastAsia="zh-CN"/>
        </w:rPr>
        <w:t>s</w:t>
      </w:r>
      <w:r>
        <w:rPr>
          <w:rFonts w:ascii="Book Antiqua" w:eastAsia="Book Antiqua" w:hAnsi="Book Antiqua" w:cs="Book Antiqua"/>
          <w:color w:val="000000" w:themeColor="text1"/>
        </w:rPr>
        <w:t xml:space="preserve"> of the 1- and 2-year RFS in the training cohort; D: Calibration curve</w:t>
      </w:r>
      <w:r>
        <w:rPr>
          <w:rFonts w:ascii="Book Antiqua" w:eastAsia="宋体" w:hAnsi="Book Antiqua" w:cs="Book Antiqua" w:hint="eastAsia"/>
          <w:color w:val="000000" w:themeColor="text1"/>
          <w:lang w:eastAsia="zh-CN"/>
        </w:rPr>
        <w:t>s</w:t>
      </w:r>
      <w:r>
        <w:rPr>
          <w:rFonts w:ascii="Book Antiqua" w:eastAsia="Book Antiqua" w:hAnsi="Book Antiqua" w:cs="Book Antiqua"/>
          <w:color w:val="000000" w:themeColor="text1"/>
        </w:rPr>
        <w:t xml:space="preserve"> of the 1- and 2-year RFS in the validation cohort; E: Decision curve analysis of the combined model in the training cohort; F: Decision curve analysis </w:t>
      </w:r>
      <w:r>
        <w:rPr>
          <w:rFonts w:ascii="Book Antiqua" w:eastAsia="Book Antiqua" w:hAnsi="Book Antiqua" w:cs="Book Antiqua"/>
          <w:color w:val="000000" w:themeColor="text1"/>
        </w:rPr>
        <w:lastRenderedPageBreak/>
        <w:t>of the combined model in the validation cohort. ROC: Receiver operating characteristic; RFS: Recurrence-free survival; AUC: A</w:t>
      </w:r>
      <w:r>
        <w:rPr>
          <w:rFonts w:ascii="Book Antiqua" w:eastAsia="Book Antiqua" w:hAnsi="Book Antiqua" w:cs="Book Antiqua" w:hint="eastAsia"/>
          <w:color w:val="000000" w:themeColor="text1"/>
          <w:lang w:eastAsia="zh-CN"/>
        </w:rPr>
        <w:t>rea</w:t>
      </w:r>
      <w:r>
        <w:rPr>
          <w:rFonts w:ascii="Book Antiqua" w:eastAsia="Book Antiqua" w:hAnsi="Book Antiqua" w:cs="Book Antiqua"/>
          <w:color w:val="000000" w:themeColor="text1"/>
          <w:lang w:eastAsia="zh-CN"/>
        </w:rPr>
        <w:t xml:space="preserve"> under curve.</w:t>
      </w:r>
    </w:p>
    <w:p w14:paraId="13133663" w14:textId="77777777" w:rsidR="0068222A" w:rsidRDefault="0068222A">
      <w:pPr>
        <w:spacing w:line="360" w:lineRule="auto"/>
        <w:jc w:val="both"/>
        <w:rPr>
          <w:rFonts w:ascii="Book Antiqua" w:hAnsi="Book Antiqua"/>
          <w:color w:val="000000" w:themeColor="text1"/>
        </w:rPr>
        <w:sectPr w:rsidR="0068222A">
          <w:pgSz w:w="12240" w:h="15840"/>
          <w:pgMar w:top="1440" w:right="1440" w:bottom="1440" w:left="1440" w:header="720" w:footer="720" w:gutter="0"/>
          <w:cols w:space="720"/>
          <w:docGrid w:linePitch="360"/>
        </w:sectPr>
      </w:pPr>
    </w:p>
    <w:p w14:paraId="631A24BE" w14:textId="77777777" w:rsidR="0068222A" w:rsidRDefault="00000000">
      <w:pPr>
        <w:spacing w:line="360" w:lineRule="auto"/>
        <w:jc w:val="both"/>
        <w:rPr>
          <w:rFonts w:ascii="Book Antiqua" w:hAnsi="Book Antiqua"/>
          <w:color w:val="000000" w:themeColor="text1"/>
        </w:rPr>
      </w:pPr>
      <w:r>
        <w:rPr>
          <w:rFonts w:ascii="Book Antiqua" w:hAnsi="Book Antiqua"/>
          <w:noProof/>
          <w:color w:val="000000" w:themeColor="text1"/>
          <w:lang w:eastAsia="zh-CN"/>
        </w:rPr>
        <w:lastRenderedPageBreak/>
        <w:drawing>
          <wp:inline distT="0" distB="0" distL="0" distR="0" wp14:anchorId="7808BAF2" wp14:editId="01F8D91E">
            <wp:extent cx="3390900" cy="5829300"/>
            <wp:effectExtent l="0" t="0" r="0" b="0"/>
            <wp:docPr id="15352867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86749" name="图片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0900" cy="5829300"/>
                    </a:xfrm>
                    <a:prstGeom prst="rect">
                      <a:avLst/>
                    </a:prstGeom>
                  </pic:spPr>
                </pic:pic>
              </a:graphicData>
            </a:graphic>
          </wp:inline>
        </w:drawing>
      </w:r>
    </w:p>
    <w:p w14:paraId="7D007060" w14:textId="77777777" w:rsidR="0068222A"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6 Cumulative rates of early recurrence and survival rates of </w:t>
      </w:r>
      <w:bookmarkStart w:id="106" w:name="OLE_LINK6112"/>
      <w:bookmarkStart w:id="107" w:name="OLE_LINK6111"/>
      <w:r>
        <w:rPr>
          <w:rFonts w:ascii="Book Antiqua" w:eastAsia="Book Antiqua" w:hAnsi="Book Antiqua" w:cs="Book Antiqua"/>
          <w:b/>
          <w:bCs/>
          <w:color w:val="000000" w:themeColor="text1"/>
        </w:rPr>
        <w:t xml:space="preserve">hepatocellular carcinoma. </w:t>
      </w:r>
      <w:r>
        <w:rPr>
          <w:rFonts w:ascii="Book Antiqua" w:eastAsia="Book Antiqua" w:hAnsi="Book Antiqua" w:cs="Book Antiqua"/>
          <w:color w:val="000000" w:themeColor="text1"/>
        </w:rPr>
        <w:t>A: Risk accumulation curve of recurrence-free survival (RFS)</w:t>
      </w:r>
      <w:bookmarkEnd w:id="106"/>
      <w:bookmarkEnd w:id="107"/>
      <w:r>
        <w:rPr>
          <w:rFonts w:ascii="Book Antiqua" w:eastAsia="Book Antiqua" w:hAnsi="Book Antiqua" w:cs="Book Antiqua"/>
          <w:color w:val="000000" w:themeColor="text1"/>
        </w:rPr>
        <w:t xml:space="preserve"> in the training cohort; B: Survival curve of overall survival (OS) in the training cohort; C: Risk accumulation curve of RFS in the validation cohort; D: Survival curve of OS in the validation cohort; E and F: Risk accumulation curve of RFS in the alpha</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fetoprotein (AFP)-negative group in the training and validation cohorts; G and H: Risk accumulation curve of RFS in the AFP-positive group in the training and validation cohorts. AFP: Alpha fetoprotein.</w:t>
      </w:r>
    </w:p>
    <w:p w14:paraId="14E40D89" w14:textId="77777777" w:rsidR="0068222A" w:rsidRDefault="0068222A">
      <w:pPr>
        <w:spacing w:line="360" w:lineRule="auto"/>
        <w:jc w:val="both"/>
        <w:rPr>
          <w:rFonts w:ascii="Book Antiqua" w:hAnsi="Book Antiqua"/>
          <w:color w:val="000000" w:themeColor="text1"/>
          <w:lang w:eastAsia="zh-CN"/>
        </w:rPr>
      </w:pPr>
    </w:p>
    <w:p w14:paraId="0BE80196" w14:textId="77777777" w:rsidR="0068222A" w:rsidRDefault="00000000">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drawing>
          <wp:inline distT="0" distB="0" distL="0" distR="0" wp14:anchorId="42AE0979" wp14:editId="29AE3BEE">
            <wp:extent cx="5943600" cy="4463415"/>
            <wp:effectExtent l="0" t="0" r="0" b="0"/>
            <wp:docPr id="12842080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8081" name="图片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63415"/>
                    </a:xfrm>
                    <a:prstGeom prst="rect">
                      <a:avLst/>
                    </a:prstGeom>
                  </pic:spPr>
                </pic:pic>
              </a:graphicData>
            </a:graphic>
          </wp:inline>
        </w:drawing>
      </w:r>
    </w:p>
    <w:p w14:paraId="5E918F89" w14:textId="77777777" w:rsidR="0068222A" w:rsidRDefault="00000000">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t>Figure 7 Representative case reports.</w:t>
      </w:r>
      <w:bookmarkEnd w:id="0"/>
      <w:bookmarkEnd w:id="1"/>
      <w:bookmarkEnd w:id="2"/>
      <w:bookmarkEnd w:id="3"/>
      <w:r>
        <w:rPr>
          <w:rFonts w:ascii="Book Antiqua" w:eastAsia="Book Antiqua" w:hAnsi="Book Antiqua" w:cs="Book Antiqua"/>
          <w:color w:val="000000" w:themeColor="text1"/>
        </w:rPr>
        <w:t xml:space="preserve"> AFP: Alpha</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fetoprotein; BCLC: Barcelona Clinic Liver Cancer; CECT: Contrast-enhanced computed tomography; MVI: Microvascular invasion; ROI: Regions of interest.</w:t>
      </w:r>
    </w:p>
    <w:p w14:paraId="113C75E1" w14:textId="77777777" w:rsidR="0068222A" w:rsidRDefault="0068222A">
      <w:pPr>
        <w:spacing w:line="360" w:lineRule="auto"/>
        <w:jc w:val="both"/>
        <w:rPr>
          <w:rFonts w:ascii="Book Antiqua" w:hAnsi="Book Antiqua"/>
          <w:b/>
          <w:bCs/>
          <w:color w:val="000000" w:themeColor="text1"/>
        </w:rPr>
        <w:sectPr w:rsidR="0068222A">
          <w:pgSz w:w="12240" w:h="15840"/>
          <w:pgMar w:top="1440" w:right="1440" w:bottom="1440" w:left="1440" w:header="720" w:footer="720" w:gutter="0"/>
          <w:cols w:space="720"/>
          <w:docGrid w:linePitch="360"/>
        </w:sectPr>
      </w:pPr>
    </w:p>
    <w:p w14:paraId="5782FCEC" w14:textId="77777777" w:rsidR="0068222A" w:rsidRDefault="00000000">
      <w:pPr>
        <w:spacing w:line="360" w:lineRule="auto"/>
        <w:jc w:val="both"/>
        <w:rPr>
          <w:rFonts w:ascii="Book Antiqua" w:hAnsi="Book Antiqua"/>
          <w:b/>
        </w:rPr>
      </w:pPr>
      <w:r>
        <w:rPr>
          <w:rFonts w:ascii="Book Antiqua" w:hAnsi="Book Antiqua"/>
          <w:b/>
        </w:rPr>
        <w:lastRenderedPageBreak/>
        <w:t xml:space="preserve">Table 1 </w:t>
      </w:r>
      <w:r>
        <w:rPr>
          <w:rFonts w:ascii="Book Antiqua" w:eastAsia="宋体" w:hAnsi="Book Antiqua" w:hint="eastAsia"/>
          <w:b/>
          <w:lang w:eastAsia="zh-CN"/>
        </w:rPr>
        <w:t>C</w:t>
      </w:r>
      <w:r>
        <w:rPr>
          <w:rFonts w:ascii="Book Antiqua" w:hAnsi="Book Antiqua"/>
          <w:b/>
        </w:rPr>
        <w:t>linicopathologic characteristics of patients in the training and validation cohorts</w:t>
      </w:r>
    </w:p>
    <w:tbl>
      <w:tblPr>
        <w:tblW w:w="8553" w:type="dxa"/>
        <w:tblInd w:w="108" w:type="dxa"/>
        <w:tblLayout w:type="fixed"/>
        <w:tblLook w:val="04A0" w:firstRow="1" w:lastRow="0" w:firstColumn="1" w:lastColumn="0" w:noHBand="0" w:noVBand="1"/>
      </w:tblPr>
      <w:tblGrid>
        <w:gridCol w:w="1985"/>
        <w:gridCol w:w="1522"/>
        <w:gridCol w:w="2145"/>
        <w:gridCol w:w="2050"/>
        <w:gridCol w:w="851"/>
      </w:tblGrid>
      <w:tr w:rsidR="0068222A" w14:paraId="5B34EBCD" w14:textId="77777777">
        <w:trPr>
          <w:trHeight w:val="315"/>
        </w:trPr>
        <w:tc>
          <w:tcPr>
            <w:tcW w:w="1985" w:type="dxa"/>
            <w:vMerge w:val="restart"/>
            <w:tcBorders>
              <w:top w:val="single" w:sz="12" w:space="0" w:color="auto"/>
              <w:left w:val="nil"/>
              <w:right w:val="nil"/>
            </w:tcBorders>
            <w:shd w:val="clear" w:color="auto" w:fill="FFFFFF"/>
            <w:noWrap/>
            <w:vAlign w:val="center"/>
          </w:tcPr>
          <w:p w14:paraId="572DCED0" w14:textId="77777777" w:rsidR="0068222A" w:rsidRDefault="00000000">
            <w:pPr>
              <w:spacing w:line="360" w:lineRule="auto"/>
              <w:jc w:val="both"/>
              <w:rPr>
                <w:rFonts w:ascii="Book Antiqua" w:hAnsi="Book Antiqua"/>
                <w:b/>
              </w:rPr>
            </w:pPr>
            <w:r>
              <w:rPr>
                <w:rFonts w:ascii="Book Antiqua" w:hAnsi="Book Antiqua"/>
                <w:b/>
              </w:rPr>
              <w:t>Parameter</w:t>
            </w:r>
          </w:p>
        </w:tc>
        <w:tc>
          <w:tcPr>
            <w:tcW w:w="1522" w:type="dxa"/>
            <w:tcBorders>
              <w:top w:val="single" w:sz="12" w:space="0" w:color="auto"/>
              <w:left w:val="nil"/>
              <w:right w:val="nil"/>
            </w:tcBorders>
            <w:shd w:val="clear" w:color="auto" w:fill="FFFFFF"/>
          </w:tcPr>
          <w:p w14:paraId="1363DCAE" w14:textId="77777777" w:rsidR="0068222A" w:rsidRDefault="0068222A">
            <w:pPr>
              <w:spacing w:line="360" w:lineRule="auto"/>
              <w:jc w:val="both"/>
              <w:rPr>
                <w:rFonts w:ascii="Book Antiqua" w:hAnsi="Book Antiqua"/>
                <w:b/>
              </w:rPr>
            </w:pPr>
          </w:p>
        </w:tc>
        <w:tc>
          <w:tcPr>
            <w:tcW w:w="2145" w:type="dxa"/>
            <w:tcBorders>
              <w:top w:val="single" w:sz="12" w:space="0" w:color="auto"/>
              <w:left w:val="nil"/>
              <w:bottom w:val="single" w:sz="8" w:space="0" w:color="auto"/>
              <w:right w:val="nil"/>
            </w:tcBorders>
            <w:shd w:val="clear" w:color="auto" w:fill="FFFFFF"/>
            <w:noWrap/>
            <w:vAlign w:val="center"/>
          </w:tcPr>
          <w:p w14:paraId="7915ADE3" w14:textId="77777777" w:rsidR="0068222A" w:rsidRDefault="00000000">
            <w:pPr>
              <w:spacing w:line="360" w:lineRule="auto"/>
              <w:jc w:val="both"/>
              <w:rPr>
                <w:rFonts w:ascii="Book Antiqua" w:hAnsi="Book Antiqua"/>
              </w:rPr>
            </w:pPr>
            <w:r>
              <w:rPr>
                <w:rFonts w:ascii="Book Antiqua" w:hAnsi="Book Antiqua"/>
                <w:b/>
              </w:rPr>
              <w:t>Training cohort</w:t>
            </w:r>
          </w:p>
        </w:tc>
        <w:tc>
          <w:tcPr>
            <w:tcW w:w="2050" w:type="dxa"/>
            <w:tcBorders>
              <w:top w:val="single" w:sz="12" w:space="0" w:color="auto"/>
              <w:left w:val="nil"/>
              <w:bottom w:val="single" w:sz="8" w:space="0" w:color="auto"/>
              <w:right w:val="nil"/>
            </w:tcBorders>
            <w:shd w:val="clear" w:color="auto" w:fill="FFFFFF"/>
            <w:noWrap/>
            <w:vAlign w:val="center"/>
          </w:tcPr>
          <w:p w14:paraId="4FBCE3E3" w14:textId="77777777" w:rsidR="0068222A" w:rsidRDefault="00000000">
            <w:pPr>
              <w:spacing w:line="360" w:lineRule="auto"/>
              <w:jc w:val="both"/>
              <w:rPr>
                <w:rFonts w:ascii="Book Antiqua" w:hAnsi="Book Antiqua"/>
                <w:b/>
              </w:rPr>
            </w:pPr>
            <w:r>
              <w:rPr>
                <w:rFonts w:ascii="Book Antiqua" w:hAnsi="Book Antiqua"/>
                <w:b/>
              </w:rPr>
              <w:t>Validation cohort</w:t>
            </w:r>
          </w:p>
        </w:tc>
        <w:tc>
          <w:tcPr>
            <w:tcW w:w="851" w:type="dxa"/>
            <w:vMerge w:val="restart"/>
            <w:tcBorders>
              <w:top w:val="single" w:sz="12" w:space="0" w:color="auto"/>
              <w:left w:val="nil"/>
              <w:bottom w:val="single" w:sz="8" w:space="0" w:color="auto"/>
              <w:right w:val="nil"/>
            </w:tcBorders>
            <w:shd w:val="clear" w:color="auto" w:fill="FFFFFF"/>
            <w:noWrap/>
            <w:vAlign w:val="center"/>
          </w:tcPr>
          <w:p w14:paraId="1C7F5036" w14:textId="77777777" w:rsidR="0068222A" w:rsidRDefault="00000000">
            <w:pPr>
              <w:spacing w:line="360" w:lineRule="auto"/>
              <w:jc w:val="both"/>
              <w:rPr>
                <w:rFonts w:ascii="Book Antiqua" w:hAnsi="Book Antiqua"/>
                <w:b/>
              </w:rPr>
            </w:pPr>
            <w:r>
              <w:rPr>
                <w:rFonts w:ascii="Book Antiqua" w:hAnsi="Book Antiqua"/>
                <w:b/>
                <w:i/>
              </w:rPr>
              <w:t>P</w:t>
            </w:r>
            <w:r>
              <w:rPr>
                <w:rFonts w:ascii="Book Antiqua" w:hAnsi="Book Antiqua"/>
                <w:b/>
              </w:rPr>
              <w:t xml:space="preserve"> value</w:t>
            </w:r>
          </w:p>
        </w:tc>
      </w:tr>
      <w:tr w:rsidR="0068222A" w14:paraId="1ED499CC" w14:textId="77777777">
        <w:trPr>
          <w:trHeight w:val="315"/>
        </w:trPr>
        <w:tc>
          <w:tcPr>
            <w:tcW w:w="1985" w:type="dxa"/>
            <w:vMerge/>
            <w:tcBorders>
              <w:left w:val="nil"/>
              <w:bottom w:val="single" w:sz="8" w:space="0" w:color="auto"/>
              <w:right w:val="nil"/>
            </w:tcBorders>
            <w:shd w:val="clear" w:color="auto" w:fill="FFFFFF"/>
            <w:noWrap/>
            <w:vAlign w:val="center"/>
          </w:tcPr>
          <w:p w14:paraId="1846FC8E" w14:textId="77777777" w:rsidR="0068222A" w:rsidRDefault="0068222A">
            <w:pPr>
              <w:spacing w:line="360" w:lineRule="auto"/>
              <w:jc w:val="both"/>
              <w:rPr>
                <w:rFonts w:ascii="Book Antiqua" w:hAnsi="Book Antiqua"/>
              </w:rPr>
            </w:pPr>
          </w:p>
        </w:tc>
        <w:tc>
          <w:tcPr>
            <w:tcW w:w="1522" w:type="dxa"/>
            <w:tcBorders>
              <w:left w:val="nil"/>
              <w:bottom w:val="single" w:sz="8" w:space="0" w:color="auto"/>
              <w:right w:val="nil"/>
            </w:tcBorders>
            <w:shd w:val="clear" w:color="auto" w:fill="FFFFFF"/>
          </w:tcPr>
          <w:p w14:paraId="76538855" w14:textId="77777777" w:rsidR="0068222A" w:rsidRDefault="0068222A">
            <w:pPr>
              <w:spacing w:line="360" w:lineRule="auto"/>
              <w:jc w:val="both"/>
              <w:rPr>
                <w:rFonts w:ascii="Book Antiqua" w:hAnsi="Book Antiqua"/>
                <w:b/>
              </w:rPr>
            </w:pPr>
          </w:p>
        </w:tc>
        <w:tc>
          <w:tcPr>
            <w:tcW w:w="2145" w:type="dxa"/>
            <w:tcBorders>
              <w:top w:val="single" w:sz="8" w:space="0" w:color="auto"/>
              <w:left w:val="nil"/>
              <w:bottom w:val="single" w:sz="8" w:space="0" w:color="auto"/>
              <w:right w:val="nil"/>
            </w:tcBorders>
            <w:shd w:val="clear" w:color="auto" w:fill="FFFFFF"/>
            <w:noWrap/>
            <w:vAlign w:val="center"/>
          </w:tcPr>
          <w:p w14:paraId="7DA22048" w14:textId="77777777" w:rsidR="0068222A" w:rsidRDefault="00000000">
            <w:pPr>
              <w:spacing w:line="360" w:lineRule="auto"/>
              <w:jc w:val="both"/>
              <w:rPr>
                <w:rFonts w:ascii="Book Antiqua" w:hAnsi="Book Antiqua"/>
                <w:b/>
              </w:rPr>
            </w:pPr>
            <w:r>
              <w:rPr>
                <w:rFonts w:ascii="Book Antiqua" w:hAnsi="Book Antiqua"/>
                <w:b/>
              </w:rPr>
              <w:t>(</w:t>
            </w:r>
            <w:r>
              <w:rPr>
                <w:rFonts w:ascii="Book Antiqua" w:hAnsi="Book Antiqua"/>
                <w:b/>
                <w:i/>
                <w:iCs/>
              </w:rPr>
              <w:t>n</w:t>
            </w:r>
            <w:r>
              <w:rPr>
                <w:rFonts w:ascii="Book Antiqua" w:hAnsi="Book Antiqua"/>
                <w:b/>
              </w:rPr>
              <w:t xml:space="preserve"> = 277)</w:t>
            </w:r>
          </w:p>
        </w:tc>
        <w:tc>
          <w:tcPr>
            <w:tcW w:w="2050" w:type="dxa"/>
            <w:tcBorders>
              <w:top w:val="single" w:sz="8" w:space="0" w:color="auto"/>
              <w:left w:val="nil"/>
              <w:bottom w:val="single" w:sz="8" w:space="0" w:color="auto"/>
              <w:right w:val="nil"/>
            </w:tcBorders>
            <w:shd w:val="clear" w:color="auto" w:fill="FFFFFF"/>
            <w:noWrap/>
            <w:vAlign w:val="center"/>
          </w:tcPr>
          <w:p w14:paraId="4FBD70A7" w14:textId="77777777" w:rsidR="0068222A" w:rsidRDefault="00000000">
            <w:pPr>
              <w:spacing w:line="360" w:lineRule="auto"/>
              <w:jc w:val="both"/>
              <w:rPr>
                <w:rFonts w:ascii="Book Antiqua" w:hAnsi="Book Antiqua"/>
                <w:b/>
              </w:rPr>
            </w:pPr>
            <w:r>
              <w:rPr>
                <w:rFonts w:ascii="Book Antiqua" w:hAnsi="Book Antiqua"/>
                <w:b/>
              </w:rPr>
              <w:t>(</w:t>
            </w:r>
            <w:r>
              <w:rPr>
                <w:rFonts w:ascii="Book Antiqua" w:hAnsi="Book Antiqua"/>
                <w:b/>
                <w:i/>
                <w:iCs/>
              </w:rPr>
              <w:t>n</w:t>
            </w:r>
            <w:r>
              <w:rPr>
                <w:rFonts w:ascii="Book Antiqua" w:hAnsi="Book Antiqua"/>
                <w:b/>
              </w:rPr>
              <w:t xml:space="preserve"> = 125)</w:t>
            </w:r>
          </w:p>
        </w:tc>
        <w:tc>
          <w:tcPr>
            <w:tcW w:w="851" w:type="dxa"/>
            <w:vMerge/>
            <w:tcBorders>
              <w:top w:val="single" w:sz="8" w:space="0" w:color="auto"/>
              <w:left w:val="nil"/>
              <w:bottom w:val="single" w:sz="8" w:space="0" w:color="auto"/>
              <w:right w:val="nil"/>
            </w:tcBorders>
            <w:shd w:val="clear" w:color="auto" w:fill="FFFFFF"/>
            <w:noWrap/>
            <w:vAlign w:val="center"/>
          </w:tcPr>
          <w:p w14:paraId="3197924E" w14:textId="77777777" w:rsidR="0068222A" w:rsidRDefault="0068222A">
            <w:pPr>
              <w:spacing w:line="360" w:lineRule="auto"/>
              <w:jc w:val="both"/>
              <w:rPr>
                <w:rFonts w:ascii="Book Antiqua" w:hAnsi="Book Antiqua"/>
              </w:rPr>
            </w:pPr>
          </w:p>
        </w:tc>
      </w:tr>
      <w:tr w:rsidR="0068222A" w14:paraId="4D6F5C39" w14:textId="77777777">
        <w:trPr>
          <w:trHeight w:val="315"/>
        </w:trPr>
        <w:tc>
          <w:tcPr>
            <w:tcW w:w="1985" w:type="dxa"/>
            <w:tcBorders>
              <w:top w:val="nil"/>
              <w:left w:val="nil"/>
              <w:bottom w:val="nil"/>
              <w:right w:val="nil"/>
            </w:tcBorders>
            <w:noWrap/>
            <w:vAlign w:val="center"/>
          </w:tcPr>
          <w:p w14:paraId="5D1CEA52" w14:textId="77777777" w:rsidR="0068222A" w:rsidRDefault="00000000">
            <w:pPr>
              <w:spacing w:line="360" w:lineRule="auto"/>
              <w:jc w:val="both"/>
              <w:rPr>
                <w:rFonts w:ascii="Book Antiqua" w:hAnsi="Book Antiqua"/>
              </w:rPr>
            </w:pPr>
            <w:r>
              <w:rPr>
                <w:rFonts w:ascii="Book Antiqua" w:hAnsi="Book Antiqua"/>
              </w:rPr>
              <w:t>Gender</w:t>
            </w:r>
          </w:p>
        </w:tc>
        <w:tc>
          <w:tcPr>
            <w:tcW w:w="1522" w:type="dxa"/>
            <w:tcBorders>
              <w:top w:val="nil"/>
              <w:left w:val="nil"/>
              <w:bottom w:val="nil"/>
              <w:right w:val="nil"/>
            </w:tcBorders>
          </w:tcPr>
          <w:p w14:paraId="39562302" w14:textId="77777777" w:rsidR="0068222A" w:rsidRDefault="00000000">
            <w:pPr>
              <w:spacing w:line="360" w:lineRule="auto"/>
              <w:jc w:val="both"/>
              <w:rPr>
                <w:rFonts w:ascii="Book Antiqua" w:hAnsi="Book Antiqua"/>
              </w:rPr>
            </w:pPr>
            <w:r>
              <w:rPr>
                <w:rFonts w:ascii="Book Antiqua" w:hAnsi="Book Antiqua"/>
              </w:rPr>
              <w:t>Female</w:t>
            </w:r>
          </w:p>
        </w:tc>
        <w:tc>
          <w:tcPr>
            <w:tcW w:w="2145" w:type="dxa"/>
            <w:tcBorders>
              <w:top w:val="nil"/>
              <w:left w:val="nil"/>
              <w:bottom w:val="nil"/>
              <w:right w:val="nil"/>
            </w:tcBorders>
            <w:noWrap/>
            <w:vAlign w:val="center"/>
          </w:tcPr>
          <w:p w14:paraId="3889C7B0" w14:textId="77777777" w:rsidR="0068222A" w:rsidRDefault="00000000">
            <w:pPr>
              <w:spacing w:line="360" w:lineRule="auto"/>
              <w:jc w:val="both"/>
              <w:rPr>
                <w:rFonts w:ascii="Book Antiqua" w:hAnsi="Book Antiqua"/>
              </w:rPr>
            </w:pPr>
            <w:r>
              <w:rPr>
                <w:rFonts w:ascii="Book Antiqua" w:hAnsi="Book Antiqua"/>
              </w:rPr>
              <w:t>40 (14.44)</w:t>
            </w:r>
          </w:p>
        </w:tc>
        <w:tc>
          <w:tcPr>
            <w:tcW w:w="2050" w:type="dxa"/>
            <w:tcBorders>
              <w:top w:val="nil"/>
              <w:left w:val="nil"/>
              <w:bottom w:val="nil"/>
              <w:right w:val="nil"/>
            </w:tcBorders>
            <w:noWrap/>
            <w:vAlign w:val="center"/>
          </w:tcPr>
          <w:p w14:paraId="18BE7B1D" w14:textId="77777777" w:rsidR="0068222A" w:rsidRDefault="00000000">
            <w:pPr>
              <w:spacing w:line="360" w:lineRule="auto"/>
              <w:jc w:val="both"/>
              <w:rPr>
                <w:rFonts w:ascii="Book Antiqua" w:hAnsi="Book Antiqua"/>
              </w:rPr>
            </w:pPr>
            <w:r>
              <w:rPr>
                <w:rFonts w:ascii="Book Antiqua" w:hAnsi="Book Antiqua"/>
              </w:rPr>
              <w:t>18 (14.4</w:t>
            </w:r>
            <w:r>
              <w:rPr>
                <w:rFonts w:ascii="Book Antiqua" w:eastAsia="宋体" w:hAnsi="Book Antiqua" w:hint="eastAsia"/>
                <w:lang w:eastAsia="zh-CN"/>
              </w:rPr>
              <w:t>0</w:t>
            </w:r>
            <w:r>
              <w:rPr>
                <w:rFonts w:ascii="Book Antiqua" w:hAnsi="Book Antiqua"/>
              </w:rPr>
              <w:t>)</w:t>
            </w:r>
          </w:p>
        </w:tc>
        <w:tc>
          <w:tcPr>
            <w:tcW w:w="851" w:type="dxa"/>
            <w:tcBorders>
              <w:top w:val="nil"/>
              <w:left w:val="nil"/>
              <w:bottom w:val="nil"/>
              <w:right w:val="nil"/>
            </w:tcBorders>
            <w:noWrap/>
            <w:vAlign w:val="center"/>
          </w:tcPr>
          <w:p w14:paraId="5E85C8A5" w14:textId="77777777" w:rsidR="0068222A" w:rsidRDefault="00000000">
            <w:pPr>
              <w:spacing w:line="360" w:lineRule="auto"/>
              <w:jc w:val="both"/>
              <w:rPr>
                <w:rFonts w:ascii="Book Antiqua" w:hAnsi="Book Antiqua"/>
              </w:rPr>
            </w:pPr>
            <w:r>
              <w:rPr>
                <w:rFonts w:ascii="Book Antiqua" w:hAnsi="Book Antiqua"/>
              </w:rPr>
              <w:t>0.991</w:t>
            </w:r>
          </w:p>
        </w:tc>
      </w:tr>
      <w:tr w:rsidR="0068222A" w14:paraId="394361BB" w14:textId="77777777">
        <w:trPr>
          <w:trHeight w:val="315"/>
        </w:trPr>
        <w:tc>
          <w:tcPr>
            <w:tcW w:w="1985" w:type="dxa"/>
            <w:tcBorders>
              <w:top w:val="nil"/>
              <w:left w:val="nil"/>
              <w:bottom w:val="nil"/>
              <w:right w:val="nil"/>
            </w:tcBorders>
            <w:noWrap/>
            <w:vAlign w:val="center"/>
          </w:tcPr>
          <w:p w14:paraId="4431E154" w14:textId="77777777" w:rsidR="0068222A" w:rsidRDefault="0068222A">
            <w:pPr>
              <w:spacing w:line="360" w:lineRule="auto"/>
              <w:jc w:val="both"/>
              <w:rPr>
                <w:rFonts w:ascii="Book Antiqua" w:hAnsi="Book Antiqua"/>
              </w:rPr>
            </w:pPr>
          </w:p>
        </w:tc>
        <w:tc>
          <w:tcPr>
            <w:tcW w:w="1522" w:type="dxa"/>
            <w:tcBorders>
              <w:top w:val="nil"/>
              <w:left w:val="nil"/>
              <w:bottom w:val="nil"/>
              <w:right w:val="nil"/>
            </w:tcBorders>
          </w:tcPr>
          <w:p w14:paraId="489E3F90" w14:textId="77777777" w:rsidR="0068222A" w:rsidRDefault="00000000">
            <w:pPr>
              <w:spacing w:line="360" w:lineRule="auto"/>
              <w:jc w:val="both"/>
              <w:rPr>
                <w:rFonts w:ascii="Book Antiqua" w:hAnsi="Book Antiqua"/>
              </w:rPr>
            </w:pPr>
            <w:r>
              <w:rPr>
                <w:rFonts w:ascii="Book Antiqua" w:hAnsi="Book Antiqua"/>
              </w:rPr>
              <w:t>Male</w:t>
            </w:r>
          </w:p>
        </w:tc>
        <w:tc>
          <w:tcPr>
            <w:tcW w:w="2145" w:type="dxa"/>
            <w:tcBorders>
              <w:top w:val="nil"/>
              <w:left w:val="nil"/>
              <w:bottom w:val="nil"/>
              <w:right w:val="nil"/>
            </w:tcBorders>
            <w:noWrap/>
            <w:vAlign w:val="center"/>
          </w:tcPr>
          <w:p w14:paraId="79F94E4D" w14:textId="77777777" w:rsidR="0068222A" w:rsidRDefault="00000000">
            <w:pPr>
              <w:spacing w:line="360" w:lineRule="auto"/>
              <w:jc w:val="both"/>
              <w:rPr>
                <w:rFonts w:ascii="Book Antiqua" w:hAnsi="Book Antiqua"/>
              </w:rPr>
            </w:pPr>
            <w:r>
              <w:rPr>
                <w:rFonts w:ascii="Book Antiqua" w:hAnsi="Book Antiqua"/>
              </w:rPr>
              <w:t>237 (85.56)</w:t>
            </w:r>
          </w:p>
        </w:tc>
        <w:tc>
          <w:tcPr>
            <w:tcW w:w="2050" w:type="dxa"/>
            <w:tcBorders>
              <w:top w:val="nil"/>
              <w:left w:val="nil"/>
              <w:bottom w:val="nil"/>
              <w:right w:val="nil"/>
            </w:tcBorders>
            <w:noWrap/>
            <w:vAlign w:val="center"/>
          </w:tcPr>
          <w:p w14:paraId="6C3DDBC0" w14:textId="77777777" w:rsidR="0068222A" w:rsidRDefault="00000000">
            <w:pPr>
              <w:spacing w:line="360" w:lineRule="auto"/>
              <w:jc w:val="both"/>
              <w:rPr>
                <w:rFonts w:ascii="Book Antiqua" w:hAnsi="Book Antiqua"/>
              </w:rPr>
            </w:pPr>
            <w:r>
              <w:rPr>
                <w:rFonts w:ascii="Book Antiqua" w:hAnsi="Book Antiqua"/>
              </w:rPr>
              <w:t>107 (85.6</w:t>
            </w:r>
            <w:r>
              <w:rPr>
                <w:rFonts w:ascii="Book Antiqua" w:eastAsia="宋体" w:hAnsi="Book Antiqua" w:hint="eastAsia"/>
                <w:lang w:eastAsia="zh-CN"/>
              </w:rPr>
              <w:t>0</w:t>
            </w:r>
            <w:r>
              <w:rPr>
                <w:rFonts w:ascii="Book Antiqua" w:hAnsi="Book Antiqua"/>
              </w:rPr>
              <w:t>)</w:t>
            </w:r>
          </w:p>
        </w:tc>
        <w:tc>
          <w:tcPr>
            <w:tcW w:w="851" w:type="dxa"/>
            <w:tcBorders>
              <w:top w:val="nil"/>
              <w:left w:val="nil"/>
              <w:bottom w:val="nil"/>
              <w:right w:val="nil"/>
            </w:tcBorders>
            <w:noWrap/>
            <w:vAlign w:val="center"/>
          </w:tcPr>
          <w:p w14:paraId="1C2457A7" w14:textId="77777777" w:rsidR="0068222A" w:rsidRDefault="0068222A">
            <w:pPr>
              <w:spacing w:line="360" w:lineRule="auto"/>
              <w:jc w:val="both"/>
              <w:rPr>
                <w:rFonts w:ascii="Book Antiqua" w:hAnsi="Book Antiqua"/>
                <w:bCs/>
              </w:rPr>
            </w:pPr>
          </w:p>
        </w:tc>
      </w:tr>
      <w:tr w:rsidR="0068222A" w14:paraId="766B82CE" w14:textId="77777777">
        <w:trPr>
          <w:trHeight w:val="315"/>
        </w:trPr>
        <w:tc>
          <w:tcPr>
            <w:tcW w:w="1985" w:type="dxa"/>
            <w:tcBorders>
              <w:top w:val="nil"/>
              <w:left w:val="nil"/>
              <w:bottom w:val="nil"/>
              <w:right w:val="nil"/>
            </w:tcBorders>
            <w:noWrap/>
            <w:vAlign w:val="center"/>
          </w:tcPr>
          <w:p w14:paraId="69092862" w14:textId="77777777" w:rsidR="0068222A" w:rsidRDefault="00000000">
            <w:pPr>
              <w:spacing w:line="360" w:lineRule="auto"/>
              <w:jc w:val="both"/>
              <w:rPr>
                <w:rFonts w:ascii="Book Antiqua" w:hAnsi="Book Antiqua"/>
              </w:rPr>
            </w:pPr>
            <w:r>
              <w:rPr>
                <w:rFonts w:ascii="Book Antiqua" w:hAnsi="Book Antiqua"/>
              </w:rPr>
              <w:t>Age (</w:t>
            </w:r>
            <w:proofErr w:type="spellStart"/>
            <w:r>
              <w:rPr>
                <w:rFonts w:ascii="Book Antiqua" w:hAnsi="Book Antiqua"/>
              </w:rPr>
              <w:t>yr</w:t>
            </w:r>
            <w:proofErr w:type="spellEnd"/>
            <w:r>
              <w:rPr>
                <w:rFonts w:ascii="Book Antiqua" w:hAnsi="Book Antiqua"/>
              </w:rPr>
              <w:t>)</w:t>
            </w:r>
          </w:p>
        </w:tc>
        <w:tc>
          <w:tcPr>
            <w:tcW w:w="1522" w:type="dxa"/>
            <w:tcBorders>
              <w:top w:val="nil"/>
              <w:left w:val="nil"/>
              <w:bottom w:val="nil"/>
              <w:right w:val="nil"/>
            </w:tcBorders>
          </w:tcPr>
          <w:p w14:paraId="1F5F358F" w14:textId="77777777" w:rsidR="0068222A" w:rsidRDefault="0068222A">
            <w:pPr>
              <w:spacing w:line="360" w:lineRule="auto"/>
              <w:jc w:val="both"/>
              <w:rPr>
                <w:rFonts w:ascii="Book Antiqua" w:hAnsi="Book Antiqua"/>
              </w:rPr>
            </w:pPr>
          </w:p>
        </w:tc>
        <w:tc>
          <w:tcPr>
            <w:tcW w:w="2145" w:type="dxa"/>
            <w:tcBorders>
              <w:top w:val="nil"/>
              <w:left w:val="nil"/>
              <w:bottom w:val="nil"/>
              <w:right w:val="nil"/>
            </w:tcBorders>
            <w:noWrap/>
            <w:vAlign w:val="center"/>
          </w:tcPr>
          <w:p w14:paraId="22966F64" w14:textId="77777777" w:rsidR="0068222A" w:rsidRDefault="00000000">
            <w:pPr>
              <w:spacing w:line="360" w:lineRule="auto"/>
              <w:jc w:val="both"/>
              <w:rPr>
                <w:rFonts w:ascii="Book Antiqua" w:hAnsi="Book Antiqua"/>
              </w:rPr>
            </w:pPr>
            <w:r>
              <w:rPr>
                <w:rFonts w:ascii="Book Antiqua" w:hAnsi="Book Antiqua"/>
              </w:rPr>
              <w:t>50.6</w:t>
            </w:r>
            <w:r>
              <w:rPr>
                <w:rFonts w:ascii="Book Antiqua" w:eastAsia="宋体" w:hAnsi="Book Antiqua" w:hint="eastAsia"/>
                <w:lang w:eastAsia="zh-CN"/>
              </w:rPr>
              <w:t>0</w:t>
            </w:r>
            <w:r>
              <w:rPr>
                <w:rFonts w:ascii="Book Antiqua" w:hAnsi="Book Antiqua"/>
              </w:rPr>
              <w:t xml:space="preserve"> ± 11.27</w:t>
            </w:r>
          </w:p>
        </w:tc>
        <w:tc>
          <w:tcPr>
            <w:tcW w:w="2050" w:type="dxa"/>
            <w:tcBorders>
              <w:top w:val="nil"/>
              <w:left w:val="nil"/>
              <w:bottom w:val="nil"/>
              <w:right w:val="nil"/>
            </w:tcBorders>
            <w:noWrap/>
            <w:vAlign w:val="center"/>
          </w:tcPr>
          <w:p w14:paraId="003C0AE6" w14:textId="77777777" w:rsidR="0068222A" w:rsidRDefault="00000000">
            <w:pPr>
              <w:spacing w:line="360" w:lineRule="auto"/>
              <w:jc w:val="both"/>
              <w:rPr>
                <w:rFonts w:ascii="Book Antiqua" w:eastAsia="宋体" w:hAnsi="Book Antiqua"/>
                <w:lang w:eastAsia="zh-CN"/>
              </w:rPr>
            </w:pPr>
            <w:r>
              <w:rPr>
                <w:rFonts w:ascii="Book Antiqua" w:hAnsi="Book Antiqua"/>
              </w:rPr>
              <w:t>51.92 ± 10.5</w:t>
            </w:r>
            <w:r>
              <w:rPr>
                <w:rFonts w:ascii="Book Antiqua" w:eastAsia="宋体" w:hAnsi="Book Antiqua" w:hint="eastAsia"/>
                <w:lang w:eastAsia="zh-CN"/>
              </w:rPr>
              <w:t>0</w:t>
            </w:r>
          </w:p>
        </w:tc>
        <w:tc>
          <w:tcPr>
            <w:tcW w:w="851" w:type="dxa"/>
            <w:tcBorders>
              <w:top w:val="nil"/>
              <w:left w:val="nil"/>
              <w:bottom w:val="nil"/>
              <w:right w:val="nil"/>
            </w:tcBorders>
            <w:noWrap/>
            <w:vAlign w:val="center"/>
          </w:tcPr>
          <w:p w14:paraId="1A7ADC8B" w14:textId="77777777" w:rsidR="0068222A" w:rsidRDefault="00000000">
            <w:pPr>
              <w:spacing w:line="360" w:lineRule="auto"/>
              <w:jc w:val="both"/>
              <w:rPr>
                <w:rFonts w:ascii="Book Antiqua" w:hAnsi="Book Antiqua"/>
                <w:bCs/>
              </w:rPr>
            </w:pPr>
            <w:r>
              <w:rPr>
                <w:rFonts w:ascii="Book Antiqua" w:hAnsi="Book Antiqua"/>
                <w:bCs/>
              </w:rPr>
              <w:t>0.265</w:t>
            </w:r>
          </w:p>
        </w:tc>
      </w:tr>
      <w:tr w:rsidR="0068222A" w14:paraId="2BD70022" w14:textId="77777777">
        <w:trPr>
          <w:trHeight w:val="315"/>
        </w:trPr>
        <w:tc>
          <w:tcPr>
            <w:tcW w:w="1985" w:type="dxa"/>
            <w:tcBorders>
              <w:top w:val="nil"/>
              <w:left w:val="nil"/>
              <w:bottom w:val="nil"/>
              <w:right w:val="nil"/>
            </w:tcBorders>
            <w:noWrap/>
            <w:vAlign w:val="center"/>
          </w:tcPr>
          <w:p w14:paraId="15861DE5" w14:textId="77777777" w:rsidR="0068222A" w:rsidRDefault="00000000">
            <w:pPr>
              <w:spacing w:line="360" w:lineRule="auto"/>
              <w:jc w:val="both"/>
              <w:rPr>
                <w:rFonts w:ascii="Book Antiqua" w:hAnsi="Book Antiqua"/>
              </w:rPr>
            </w:pPr>
            <w:r>
              <w:rPr>
                <w:rFonts w:ascii="Book Antiqua" w:hAnsi="Book Antiqua"/>
              </w:rPr>
              <w:t>HBsAg</w:t>
            </w:r>
          </w:p>
        </w:tc>
        <w:tc>
          <w:tcPr>
            <w:tcW w:w="1522" w:type="dxa"/>
            <w:tcBorders>
              <w:top w:val="nil"/>
              <w:left w:val="nil"/>
              <w:bottom w:val="nil"/>
              <w:right w:val="nil"/>
            </w:tcBorders>
          </w:tcPr>
          <w:p w14:paraId="55358606" w14:textId="77777777" w:rsidR="0068222A" w:rsidRDefault="00000000">
            <w:pPr>
              <w:spacing w:line="360" w:lineRule="auto"/>
              <w:jc w:val="both"/>
              <w:rPr>
                <w:rFonts w:ascii="Book Antiqua" w:hAnsi="Book Antiqua"/>
              </w:rPr>
            </w:pPr>
            <w:r>
              <w:rPr>
                <w:rFonts w:ascii="Book Antiqua" w:hAnsi="Book Antiqua"/>
              </w:rPr>
              <w:t>Negative</w:t>
            </w:r>
          </w:p>
        </w:tc>
        <w:tc>
          <w:tcPr>
            <w:tcW w:w="2145" w:type="dxa"/>
            <w:tcBorders>
              <w:top w:val="nil"/>
              <w:left w:val="nil"/>
              <w:bottom w:val="nil"/>
              <w:right w:val="nil"/>
            </w:tcBorders>
            <w:noWrap/>
            <w:vAlign w:val="center"/>
          </w:tcPr>
          <w:p w14:paraId="016377FD" w14:textId="77777777" w:rsidR="0068222A" w:rsidRDefault="00000000">
            <w:pPr>
              <w:spacing w:line="360" w:lineRule="auto"/>
              <w:jc w:val="both"/>
              <w:rPr>
                <w:rFonts w:ascii="Book Antiqua" w:hAnsi="Book Antiqua"/>
              </w:rPr>
            </w:pPr>
            <w:r>
              <w:rPr>
                <w:rFonts w:ascii="Book Antiqua" w:hAnsi="Book Antiqua"/>
              </w:rPr>
              <w:t>45 (16.25)</w:t>
            </w:r>
          </w:p>
        </w:tc>
        <w:tc>
          <w:tcPr>
            <w:tcW w:w="2050" w:type="dxa"/>
            <w:tcBorders>
              <w:top w:val="nil"/>
              <w:left w:val="nil"/>
              <w:bottom w:val="nil"/>
              <w:right w:val="nil"/>
            </w:tcBorders>
            <w:noWrap/>
            <w:vAlign w:val="center"/>
          </w:tcPr>
          <w:p w14:paraId="5FFED649" w14:textId="77777777" w:rsidR="0068222A" w:rsidRDefault="00000000">
            <w:pPr>
              <w:spacing w:line="360" w:lineRule="auto"/>
              <w:jc w:val="both"/>
              <w:rPr>
                <w:rFonts w:ascii="Book Antiqua" w:hAnsi="Book Antiqua"/>
              </w:rPr>
            </w:pPr>
            <w:r>
              <w:rPr>
                <w:rFonts w:ascii="Book Antiqua" w:hAnsi="Book Antiqua"/>
              </w:rPr>
              <w:t>22 (17.6</w:t>
            </w:r>
            <w:r>
              <w:rPr>
                <w:rFonts w:ascii="Book Antiqua" w:eastAsia="宋体" w:hAnsi="Book Antiqua" w:hint="eastAsia"/>
                <w:lang w:eastAsia="zh-CN"/>
              </w:rPr>
              <w:t>0</w:t>
            </w:r>
            <w:r>
              <w:rPr>
                <w:rFonts w:ascii="Book Antiqua" w:hAnsi="Book Antiqua"/>
              </w:rPr>
              <w:t>)</w:t>
            </w:r>
          </w:p>
        </w:tc>
        <w:tc>
          <w:tcPr>
            <w:tcW w:w="851" w:type="dxa"/>
            <w:tcBorders>
              <w:top w:val="nil"/>
              <w:left w:val="nil"/>
              <w:bottom w:val="nil"/>
              <w:right w:val="nil"/>
            </w:tcBorders>
            <w:noWrap/>
            <w:vAlign w:val="center"/>
          </w:tcPr>
          <w:p w14:paraId="4E6FA342" w14:textId="77777777" w:rsidR="0068222A" w:rsidRDefault="00000000">
            <w:pPr>
              <w:spacing w:line="360" w:lineRule="auto"/>
              <w:jc w:val="both"/>
              <w:rPr>
                <w:rFonts w:ascii="Book Antiqua" w:hAnsi="Book Antiqua"/>
                <w:bCs/>
              </w:rPr>
            </w:pPr>
            <w:r>
              <w:rPr>
                <w:rFonts w:ascii="Book Antiqua" w:hAnsi="Book Antiqua"/>
                <w:bCs/>
              </w:rPr>
              <w:t>0.736</w:t>
            </w:r>
          </w:p>
        </w:tc>
      </w:tr>
      <w:tr w:rsidR="0068222A" w14:paraId="708D180D" w14:textId="77777777">
        <w:trPr>
          <w:trHeight w:val="315"/>
        </w:trPr>
        <w:tc>
          <w:tcPr>
            <w:tcW w:w="1985" w:type="dxa"/>
            <w:tcBorders>
              <w:top w:val="nil"/>
              <w:left w:val="nil"/>
              <w:bottom w:val="nil"/>
              <w:right w:val="nil"/>
            </w:tcBorders>
            <w:noWrap/>
            <w:vAlign w:val="center"/>
          </w:tcPr>
          <w:p w14:paraId="722CD411" w14:textId="77777777" w:rsidR="0068222A" w:rsidRDefault="0068222A">
            <w:pPr>
              <w:spacing w:line="360" w:lineRule="auto"/>
              <w:jc w:val="both"/>
              <w:rPr>
                <w:rFonts w:ascii="Book Antiqua" w:hAnsi="Book Antiqua"/>
              </w:rPr>
            </w:pPr>
          </w:p>
        </w:tc>
        <w:tc>
          <w:tcPr>
            <w:tcW w:w="1522" w:type="dxa"/>
            <w:tcBorders>
              <w:top w:val="nil"/>
              <w:left w:val="nil"/>
              <w:bottom w:val="nil"/>
              <w:right w:val="nil"/>
            </w:tcBorders>
          </w:tcPr>
          <w:p w14:paraId="3CD08776" w14:textId="77777777" w:rsidR="0068222A" w:rsidRDefault="00000000">
            <w:pPr>
              <w:spacing w:line="360" w:lineRule="auto"/>
              <w:jc w:val="both"/>
              <w:rPr>
                <w:rFonts w:ascii="Book Antiqua" w:hAnsi="Book Antiqua"/>
              </w:rPr>
            </w:pPr>
            <w:r>
              <w:rPr>
                <w:rFonts w:ascii="Book Antiqua" w:hAnsi="Book Antiqua"/>
              </w:rPr>
              <w:t>Positive</w:t>
            </w:r>
          </w:p>
        </w:tc>
        <w:tc>
          <w:tcPr>
            <w:tcW w:w="2145" w:type="dxa"/>
            <w:tcBorders>
              <w:top w:val="nil"/>
              <w:left w:val="nil"/>
              <w:bottom w:val="nil"/>
              <w:right w:val="nil"/>
            </w:tcBorders>
            <w:noWrap/>
            <w:vAlign w:val="center"/>
          </w:tcPr>
          <w:p w14:paraId="26E99A4D" w14:textId="77777777" w:rsidR="0068222A" w:rsidRDefault="00000000">
            <w:pPr>
              <w:spacing w:line="360" w:lineRule="auto"/>
              <w:jc w:val="both"/>
              <w:rPr>
                <w:rFonts w:ascii="Book Antiqua" w:hAnsi="Book Antiqua"/>
              </w:rPr>
            </w:pPr>
            <w:r>
              <w:rPr>
                <w:rFonts w:ascii="Book Antiqua" w:hAnsi="Book Antiqua"/>
              </w:rPr>
              <w:t>232 (83.75)</w:t>
            </w:r>
          </w:p>
        </w:tc>
        <w:tc>
          <w:tcPr>
            <w:tcW w:w="2050" w:type="dxa"/>
            <w:tcBorders>
              <w:top w:val="nil"/>
              <w:left w:val="nil"/>
              <w:bottom w:val="nil"/>
              <w:right w:val="nil"/>
            </w:tcBorders>
            <w:noWrap/>
            <w:vAlign w:val="center"/>
          </w:tcPr>
          <w:p w14:paraId="6AD14D0B" w14:textId="77777777" w:rsidR="0068222A" w:rsidRDefault="00000000">
            <w:pPr>
              <w:spacing w:line="360" w:lineRule="auto"/>
              <w:jc w:val="both"/>
              <w:rPr>
                <w:rFonts w:ascii="Book Antiqua" w:hAnsi="Book Antiqua"/>
              </w:rPr>
            </w:pPr>
            <w:r>
              <w:rPr>
                <w:rFonts w:ascii="Book Antiqua" w:hAnsi="Book Antiqua"/>
              </w:rPr>
              <w:t>103 (82.4</w:t>
            </w:r>
            <w:r>
              <w:rPr>
                <w:rFonts w:ascii="Book Antiqua" w:eastAsia="宋体" w:hAnsi="Book Antiqua" w:hint="eastAsia"/>
                <w:lang w:eastAsia="zh-CN"/>
              </w:rPr>
              <w:t>0</w:t>
            </w:r>
            <w:r>
              <w:rPr>
                <w:rFonts w:ascii="Book Antiqua" w:hAnsi="Book Antiqua"/>
              </w:rPr>
              <w:t>)</w:t>
            </w:r>
          </w:p>
        </w:tc>
        <w:tc>
          <w:tcPr>
            <w:tcW w:w="851" w:type="dxa"/>
            <w:tcBorders>
              <w:top w:val="nil"/>
              <w:left w:val="nil"/>
              <w:bottom w:val="nil"/>
              <w:right w:val="nil"/>
            </w:tcBorders>
            <w:noWrap/>
            <w:vAlign w:val="center"/>
          </w:tcPr>
          <w:p w14:paraId="7A858D5D" w14:textId="77777777" w:rsidR="0068222A" w:rsidRDefault="0068222A">
            <w:pPr>
              <w:spacing w:line="360" w:lineRule="auto"/>
              <w:jc w:val="both"/>
              <w:rPr>
                <w:rFonts w:ascii="Book Antiqua" w:hAnsi="Book Antiqua"/>
              </w:rPr>
            </w:pPr>
          </w:p>
        </w:tc>
      </w:tr>
      <w:tr w:rsidR="0068222A" w14:paraId="6C5C6085" w14:textId="77777777">
        <w:trPr>
          <w:trHeight w:val="315"/>
        </w:trPr>
        <w:tc>
          <w:tcPr>
            <w:tcW w:w="1985" w:type="dxa"/>
            <w:tcBorders>
              <w:top w:val="nil"/>
              <w:left w:val="nil"/>
              <w:bottom w:val="nil"/>
              <w:right w:val="nil"/>
            </w:tcBorders>
            <w:noWrap/>
            <w:vAlign w:val="center"/>
          </w:tcPr>
          <w:p w14:paraId="6FE0A0E2" w14:textId="77777777" w:rsidR="0068222A" w:rsidRDefault="00000000">
            <w:pPr>
              <w:spacing w:line="360" w:lineRule="auto"/>
              <w:jc w:val="both"/>
              <w:rPr>
                <w:rFonts w:ascii="Book Antiqua" w:hAnsi="Book Antiqua"/>
              </w:rPr>
            </w:pPr>
            <w:r>
              <w:rPr>
                <w:rFonts w:ascii="Book Antiqua" w:hAnsi="Book Antiqua"/>
              </w:rPr>
              <w:t>Child-Pugh stage</w:t>
            </w:r>
          </w:p>
        </w:tc>
        <w:tc>
          <w:tcPr>
            <w:tcW w:w="1522" w:type="dxa"/>
            <w:tcBorders>
              <w:top w:val="nil"/>
              <w:left w:val="nil"/>
              <w:bottom w:val="nil"/>
              <w:right w:val="nil"/>
            </w:tcBorders>
          </w:tcPr>
          <w:p w14:paraId="1788E92D" w14:textId="77777777" w:rsidR="0068222A" w:rsidRDefault="00000000">
            <w:pPr>
              <w:spacing w:line="360" w:lineRule="auto"/>
              <w:jc w:val="both"/>
              <w:rPr>
                <w:rFonts w:ascii="Book Antiqua" w:hAnsi="Book Antiqua"/>
              </w:rPr>
            </w:pPr>
            <w:r>
              <w:rPr>
                <w:rFonts w:ascii="Book Antiqua" w:hAnsi="Book Antiqua"/>
              </w:rPr>
              <w:t>A</w:t>
            </w:r>
          </w:p>
        </w:tc>
        <w:tc>
          <w:tcPr>
            <w:tcW w:w="2145" w:type="dxa"/>
            <w:tcBorders>
              <w:top w:val="nil"/>
              <w:left w:val="nil"/>
              <w:bottom w:val="nil"/>
              <w:right w:val="nil"/>
            </w:tcBorders>
            <w:noWrap/>
            <w:vAlign w:val="center"/>
          </w:tcPr>
          <w:p w14:paraId="7A662C8D" w14:textId="77777777" w:rsidR="0068222A" w:rsidRDefault="00000000">
            <w:pPr>
              <w:spacing w:line="360" w:lineRule="auto"/>
              <w:jc w:val="both"/>
              <w:rPr>
                <w:rFonts w:ascii="Book Antiqua" w:hAnsi="Book Antiqua"/>
              </w:rPr>
            </w:pPr>
            <w:r>
              <w:rPr>
                <w:rFonts w:ascii="Book Antiqua" w:hAnsi="Book Antiqua"/>
              </w:rPr>
              <w:t>252 (90.97)</w:t>
            </w:r>
          </w:p>
        </w:tc>
        <w:tc>
          <w:tcPr>
            <w:tcW w:w="2050" w:type="dxa"/>
            <w:tcBorders>
              <w:top w:val="nil"/>
              <w:left w:val="nil"/>
              <w:bottom w:val="nil"/>
              <w:right w:val="nil"/>
            </w:tcBorders>
            <w:noWrap/>
            <w:vAlign w:val="center"/>
          </w:tcPr>
          <w:p w14:paraId="3CC808D2" w14:textId="77777777" w:rsidR="0068222A" w:rsidRDefault="00000000">
            <w:pPr>
              <w:spacing w:line="360" w:lineRule="auto"/>
              <w:jc w:val="both"/>
              <w:rPr>
                <w:rFonts w:ascii="Book Antiqua" w:hAnsi="Book Antiqua"/>
              </w:rPr>
            </w:pPr>
            <w:r>
              <w:rPr>
                <w:rFonts w:ascii="Book Antiqua" w:hAnsi="Book Antiqua"/>
              </w:rPr>
              <w:t>116 (92.8</w:t>
            </w:r>
            <w:r>
              <w:rPr>
                <w:rFonts w:ascii="Book Antiqua" w:eastAsia="宋体" w:hAnsi="Book Antiqua" w:hint="eastAsia"/>
                <w:lang w:eastAsia="zh-CN"/>
              </w:rPr>
              <w:t>0</w:t>
            </w:r>
            <w:r>
              <w:rPr>
                <w:rFonts w:ascii="Book Antiqua" w:hAnsi="Book Antiqua"/>
              </w:rPr>
              <w:t>)</w:t>
            </w:r>
          </w:p>
        </w:tc>
        <w:tc>
          <w:tcPr>
            <w:tcW w:w="851" w:type="dxa"/>
            <w:tcBorders>
              <w:top w:val="nil"/>
              <w:left w:val="nil"/>
              <w:bottom w:val="nil"/>
              <w:right w:val="nil"/>
            </w:tcBorders>
            <w:noWrap/>
            <w:vAlign w:val="center"/>
          </w:tcPr>
          <w:p w14:paraId="610733D5" w14:textId="77777777" w:rsidR="0068222A" w:rsidRDefault="00000000">
            <w:pPr>
              <w:spacing w:line="360" w:lineRule="auto"/>
              <w:jc w:val="both"/>
              <w:rPr>
                <w:rFonts w:ascii="Book Antiqua" w:hAnsi="Book Antiqua"/>
              </w:rPr>
            </w:pPr>
            <w:r>
              <w:rPr>
                <w:rFonts w:ascii="Book Antiqua" w:hAnsi="Book Antiqua"/>
              </w:rPr>
              <w:t>0.543</w:t>
            </w:r>
          </w:p>
        </w:tc>
      </w:tr>
      <w:tr w:rsidR="0068222A" w14:paraId="49771AD0" w14:textId="77777777">
        <w:trPr>
          <w:trHeight w:val="315"/>
        </w:trPr>
        <w:tc>
          <w:tcPr>
            <w:tcW w:w="1985" w:type="dxa"/>
            <w:tcBorders>
              <w:top w:val="nil"/>
              <w:left w:val="nil"/>
              <w:bottom w:val="nil"/>
              <w:right w:val="nil"/>
            </w:tcBorders>
            <w:noWrap/>
            <w:vAlign w:val="center"/>
          </w:tcPr>
          <w:p w14:paraId="2EEFCEF8" w14:textId="77777777" w:rsidR="0068222A" w:rsidRDefault="0068222A">
            <w:pPr>
              <w:spacing w:line="360" w:lineRule="auto"/>
              <w:jc w:val="both"/>
              <w:rPr>
                <w:rFonts w:ascii="Book Antiqua" w:hAnsi="Book Antiqua"/>
              </w:rPr>
            </w:pPr>
          </w:p>
        </w:tc>
        <w:tc>
          <w:tcPr>
            <w:tcW w:w="1522" w:type="dxa"/>
            <w:tcBorders>
              <w:top w:val="nil"/>
              <w:left w:val="nil"/>
              <w:bottom w:val="nil"/>
              <w:right w:val="nil"/>
            </w:tcBorders>
          </w:tcPr>
          <w:p w14:paraId="40E3D54A" w14:textId="77777777" w:rsidR="0068222A" w:rsidRDefault="00000000">
            <w:pPr>
              <w:spacing w:line="360" w:lineRule="auto"/>
              <w:jc w:val="both"/>
              <w:rPr>
                <w:rFonts w:ascii="Book Antiqua" w:hAnsi="Book Antiqua"/>
              </w:rPr>
            </w:pPr>
            <w:r>
              <w:rPr>
                <w:rFonts w:ascii="Book Antiqua" w:hAnsi="Book Antiqua"/>
              </w:rPr>
              <w:t>B</w:t>
            </w:r>
          </w:p>
        </w:tc>
        <w:tc>
          <w:tcPr>
            <w:tcW w:w="2145" w:type="dxa"/>
            <w:tcBorders>
              <w:top w:val="nil"/>
              <w:left w:val="nil"/>
              <w:bottom w:val="nil"/>
              <w:right w:val="nil"/>
            </w:tcBorders>
            <w:noWrap/>
            <w:vAlign w:val="center"/>
          </w:tcPr>
          <w:p w14:paraId="7F7A3F83" w14:textId="77777777" w:rsidR="0068222A" w:rsidRDefault="00000000">
            <w:pPr>
              <w:spacing w:line="360" w:lineRule="auto"/>
              <w:jc w:val="both"/>
              <w:rPr>
                <w:rFonts w:ascii="Book Antiqua" w:hAnsi="Book Antiqua"/>
              </w:rPr>
            </w:pPr>
            <w:r>
              <w:rPr>
                <w:rFonts w:ascii="Book Antiqua" w:hAnsi="Book Antiqua"/>
              </w:rPr>
              <w:t>25 (9.03)</w:t>
            </w:r>
          </w:p>
        </w:tc>
        <w:tc>
          <w:tcPr>
            <w:tcW w:w="2050" w:type="dxa"/>
            <w:tcBorders>
              <w:top w:val="nil"/>
              <w:left w:val="nil"/>
              <w:bottom w:val="nil"/>
              <w:right w:val="nil"/>
            </w:tcBorders>
            <w:noWrap/>
            <w:vAlign w:val="center"/>
          </w:tcPr>
          <w:p w14:paraId="0FE3774F" w14:textId="77777777" w:rsidR="0068222A" w:rsidRDefault="00000000">
            <w:pPr>
              <w:spacing w:line="360" w:lineRule="auto"/>
              <w:jc w:val="both"/>
              <w:rPr>
                <w:rFonts w:ascii="Book Antiqua" w:hAnsi="Book Antiqua"/>
              </w:rPr>
            </w:pPr>
            <w:r>
              <w:rPr>
                <w:rFonts w:ascii="Book Antiqua" w:hAnsi="Book Antiqua"/>
              </w:rPr>
              <w:t>9 (7.2</w:t>
            </w:r>
            <w:r>
              <w:rPr>
                <w:rFonts w:ascii="Book Antiqua" w:eastAsia="宋体" w:hAnsi="Book Antiqua" w:hint="eastAsia"/>
                <w:lang w:eastAsia="zh-CN"/>
              </w:rPr>
              <w:t>0</w:t>
            </w:r>
            <w:r>
              <w:rPr>
                <w:rFonts w:ascii="Book Antiqua" w:hAnsi="Book Antiqua"/>
              </w:rPr>
              <w:t>)</w:t>
            </w:r>
          </w:p>
        </w:tc>
        <w:tc>
          <w:tcPr>
            <w:tcW w:w="851" w:type="dxa"/>
            <w:tcBorders>
              <w:top w:val="nil"/>
              <w:left w:val="nil"/>
              <w:bottom w:val="nil"/>
              <w:right w:val="nil"/>
            </w:tcBorders>
            <w:noWrap/>
            <w:vAlign w:val="center"/>
          </w:tcPr>
          <w:p w14:paraId="2464C8C6" w14:textId="77777777" w:rsidR="0068222A" w:rsidRDefault="0068222A">
            <w:pPr>
              <w:spacing w:line="360" w:lineRule="auto"/>
              <w:jc w:val="both"/>
              <w:rPr>
                <w:rFonts w:ascii="Book Antiqua" w:hAnsi="Book Antiqua"/>
              </w:rPr>
            </w:pPr>
          </w:p>
        </w:tc>
      </w:tr>
      <w:tr w:rsidR="0068222A" w14:paraId="4D7DA968" w14:textId="77777777">
        <w:trPr>
          <w:trHeight w:val="315"/>
        </w:trPr>
        <w:tc>
          <w:tcPr>
            <w:tcW w:w="1985" w:type="dxa"/>
            <w:tcBorders>
              <w:top w:val="nil"/>
              <w:left w:val="nil"/>
              <w:bottom w:val="nil"/>
              <w:right w:val="nil"/>
            </w:tcBorders>
            <w:noWrap/>
            <w:vAlign w:val="center"/>
          </w:tcPr>
          <w:p w14:paraId="794C70F4" w14:textId="77777777" w:rsidR="0068222A" w:rsidRDefault="00000000">
            <w:pPr>
              <w:spacing w:line="360" w:lineRule="auto"/>
              <w:jc w:val="both"/>
              <w:rPr>
                <w:rFonts w:ascii="Book Antiqua" w:hAnsi="Book Antiqua"/>
              </w:rPr>
            </w:pPr>
            <w:r>
              <w:rPr>
                <w:rFonts w:ascii="Book Antiqua" w:hAnsi="Book Antiqua"/>
              </w:rPr>
              <w:t>BCLC stage</w:t>
            </w:r>
          </w:p>
        </w:tc>
        <w:tc>
          <w:tcPr>
            <w:tcW w:w="1522" w:type="dxa"/>
            <w:tcBorders>
              <w:top w:val="nil"/>
              <w:left w:val="nil"/>
              <w:bottom w:val="nil"/>
              <w:right w:val="nil"/>
            </w:tcBorders>
          </w:tcPr>
          <w:p w14:paraId="04964737" w14:textId="77777777" w:rsidR="0068222A" w:rsidRDefault="00000000">
            <w:pPr>
              <w:spacing w:line="360" w:lineRule="auto"/>
              <w:jc w:val="both"/>
              <w:rPr>
                <w:rFonts w:ascii="Book Antiqua" w:hAnsi="Book Antiqua"/>
              </w:rPr>
            </w:pPr>
            <w:r>
              <w:rPr>
                <w:rFonts w:ascii="Book Antiqua" w:hAnsi="Book Antiqua"/>
              </w:rPr>
              <w:t>0</w:t>
            </w:r>
            <w:r>
              <w:rPr>
                <w:rFonts w:ascii="Book Antiqua" w:eastAsia="宋体" w:hAnsi="Book Antiqua" w:hint="eastAsia"/>
                <w:lang w:eastAsia="zh-CN"/>
              </w:rPr>
              <w:t xml:space="preserve"> </w:t>
            </w:r>
            <w:r>
              <w:rPr>
                <w:rFonts w:ascii="Book Antiqua" w:hAnsi="Book Antiqua"/>
              </w:rPr>
              <w:t>+</w:t>
            </w:r>
            <w:r>
              <w:rPr>
                <w:rFonts w:ascii="Book Antiqua" w:eastAsia="宋体" w:hAnsi="Book Antiqua" w:hint="eastAsia"/>
                <w:lang w:eastAsia="zh-CN"/>
              </w:rPr>
              <w:t xml:space="preserve"> </w:t>
            </w:r>
            <w:r>
              <w:rPr>
                <w:rFonts w:ascii="Book Antiqua" w:hAnsi="Book Antiqua"/>
              </w:rPr>
              <w:t>A</w:t>
            </w:r>
          </w:p>
        </w:tc>
        <w:tc>
          <w:tcPr>
            <w:tcW w:w="2145" w:type="dxa"/>
            <w:tcBorders>
              <w:top w:val="nil"/>
              <w:left w:val="nil"/>
              <w:bottom w:val="nil"/>
              <w:right w:val="nil"/>
            </w:tcBorders>
            <w:noWrap/>
            <w:vAlign w:val="center"/>
          </w:tcPr>
          <w:p w14:paraId="1436C527" w14:textId="77777777" w:rsidR="0068222A" w:rsidRDefault="00000000">
            <w:pPr>
              <w:spacing w:line="360" w:lineRule="auto"/>
              <w:jc w:val="both"/>
              <w:rPr>
                <w:rFonts w:ascii="Book Antiqua" w:hAnsi="Book Antiqua"/>
              </w:rPr>
            </w:pPr>
            <w:r>
              <w:rPr>
                <w:rFonts w:ascii="Book Antiqua" w:hAnsi="Book Antiqua"/>
              </w:rPr>
              <w:t>173 (62.45)</w:t>
            </w:r>
          </w:p>
        </w:tc>
        <w:tc>
          <w:tcPr>
            <w:tcW w:w="2050" w:type="dxa"/>
            <w:tcBorders>
              <w:top w:val="nil"/>
              <w:left w:val="nil"/>
              <w:bottom w:val="nil"/>
              <w:right w:val="nil"/>
            </w:tcBorders>
            <w:noWrap/>
            <w:vAlign w:val="center"/>
          </w:tcPr>
          <w:p w14:paraId="1436172D" w14:textId="77777777" w:rsidR="0068222A" w:rsidRDefault="00000000">
            <w:pPr>
              <w:spacing w:line="360" w:lineRule="auto"/>
              <w:jc w:val="both"/>
              <w:rPr>
                <w:rFonts w:ascii="Book Antiqua" w:hAnsi="Book Antiqua"/>
              </w:rPr>
            </w:pPr>
            <w:r>
              <w:rPr>
                <w:rFonts w:ascii="Book Antiqua" w:hAnsi="Book Antiqua"/>
              </w:rPr>
              <w:t>83 (66.4</w:t>
            </w:r>
            <w:r>
              <w:rPr>
                <w:rFonts w:ascii="Book Antiqua" w:eastAsia="宋体" w:hAnsi="Book Antiqua" w:hint="eastAsia"/>
                <w:lang w:eastAsia="zh-CN"/>
              </w:rPr>
              <w:t>0</w:t>
            </w:r>
            <w:r>
              <w:rPr>
                <w:rFonts w:ascii="Book Antiqua" w:hAnsi="Book Antiqua"/>
              </w:rPr>
              <w:t>)</w:t>
            </w:r>
          </w:p>
        </w:tc>
        <w:tc>
          <w:tcPr>
            <w:tcW w:w="851" w:type="dxa"/>
            <w:tcBorders>
              <w:top w:val="nil"/>
              <w:left w:val="nil"/>
              <w:bottom w:val="nil"/>
              <w:right w:val="nil"/>
            </w:tcBorders>
            <w:noWrap/>
            <w:vAlign w:val="center"/>
          </w:tcPr>
          <w:p w14:paraId="7A23E10D" w14:textId="77777777" w:rsidR="0068222A" w:rsidRDefault="00000000">
            <w:pPr>
              <w:spacing w:line="360" w:lineRule="auto"/>
              <w:jc w:val="both"/>
              <w:rPr>
                <w:rFonts w:ascii="Book Antiqua" w:hAnsi="Book Antiqua"/>
              </w:rPr>
            </w:pPr>
            <w:r>
              <w:rPr>
                <w:rFonts w:ascii="Book Antiqua" w:hAnsi="Book Antiqua"/>
              </w:rPr>
              <w:t>0.447</w:t>
            </w:r>
          </w:p>
        </w:tc>
      </w:tr>
      <w:tr w:rsidR="0068222A" w14:paraId="4A1D78F4" w14:textId="77777777">
        <w:trPr>
          <w:trHeight w:val="315"/>
        </w:trPr>
        <w:tc>
          <w:tcPr>
            <w:tcW w:w="1985" w:type="dxa"/>
            <w:tcBorders>
              <w:top w:val="nil"/>
              <w:left w:val="nil"/>
              <w:bottom w:val="nil"/>
              <w:right w:val="nil"/>
            </w:tcBorders>
            <w:noWrap/>
            <w:vAlign w:val="center"/>
          </w:tcPr>
          <w:p w14:paraId="68D8D405" w14:textId="77777777" w:rsidR="0068222A" w:rsidRDefault="0068222A">
            <w:pPr>
              <w:spacing w:line="360" w:lineRule="auto"/>
              <w:jc w:val="both"/>
              <w:rPr>
                <w:rFonts w:ascii="Book Antiqua" w:hAnsi="Book Antiqua"/>
              </w:rPr>
            </w:pPr>
          </w:p>
        </w:tc>
        <w:tc>
          <w:tcPr>
            <w:tcW w:w="1522" w:type="dxa"/>
            <w:tcBorders>
              <w:top w:val="nil"/>
              <w:left w:val="nil"/>
              <w:bottom w:val="nil"/>
              <w:right w:val="nil"/>
            </w:tcBorders>
          </w:tcPr>
          <w:p w14:paraId="614AAA77" w14:textId="77777777" w:rsidR="0068222A" w:rsidRDefault="00000000">
            <w:pPr>
              <w:spacing w:line="360" w:lineRule="auto"/>
              <w:jc w:val="both"/>
              <w:rPr>
                <w:rFonts w:ascii="Book Antiqua" w:hAnsi="Book Antiqua"/>
              </w:rPr>
            </w:pPr>
            <w:r>
              <w:rPr>
                <w:rFonts w:ascii="Book Antiqua" w:hAnsi="Book Antiqua"/>
              </w:rPr>
              <w:t>B</w:t>
            </w:r>
            <w:r>
              <w:rPr>
                <w:rFonts w:ascii="Book Antiqua" w:eastAsia="宋体" w:hAnsi="Book Antiqua" w:hint="eastAsia"/>
                <w:lang w:eastAsia="zh-CN"/>
              </w:rPr>
              <w:t xml:space="preserve"> </w:t>
            </w:r>
            <w:r>
              <w:rPr>
                <w:rFonts w:ascii="Book Antiqua" w:hAnsi="Book Antiqua"/>
              </w:rPr>
              <w:t>+</w:t>
            </w:r>
            <w:r>
              <w:rPr>
                <w:rFonts w:ascii="Book Antiqua" w:eastAsia="宋体" w:hAnsi="Book Antiqua" w:hint="eastAsia"/>
                <w:lang w:eastAsia="zh-CN"/>
              </w:rPr>
              <w:t xml:space="preserve"> </w:t>
            </w:r>
            <w:r>
              <w:rPr>
                <w:rFonts w:ascii="Book Antiqua" w:hAnsi="Book Antiqua"/>
              </w:rPr>
              <w:t>C</w:t>
            </w:r>
          </w:p>
        </w:tc>
        <w:tc>
          <w:tcPr>
            <w:tcW w:w="2145" w:type="dxa"/>
            <w:tcBorders>
              <w:top w:val="nil"/>
              <w:left w:val="nil"/>
              <w:bottom w:val="nil"/>
              <w:right w:val="nil"/>
            </w:tcBorders>
            <w:noWrap/>
            <w:vAlign w:val="center"/>
          </w:tcPr>
          <w:p w14:paraId="087A9198" w14:textId="77777777" w:rsidR="0068222A" w:rsidRDefault="00000000">
            <w:pPr>
              <w:spacing w:line="360" w:lineRule="auto"/>
              <w:jc w:val="both"/>
              <w:rPr>
                <w:rFonts w:ascii="Book Antiqua" w:hAnsi="Book Antiqua"/>
              </w:rPr>
            </w:pPr>
            <w:r>
              <w:rPr>
                <w:rFonts w:ascii="Book Antiqua" w:hAnsi="Book Antiqua"/>
              </w:rPr>
              <w:t>104 (37.55)</w:t>
            </w:r>
          </w:p>
        </w:tc>
        <w:tc>
          <w:tcPr>
            <w:tcW w:w="2050" w:type="dxa"/>
            <w:tcBorders>
              <w:top w:val="nil"/>
              <w:left w:val="nil"/>
              <w:bottom w:val="nil"/>
              <w:right w:val="nil"/>
            </w:tcBorders>
            <w:noWrap/>
            <w:vAlign w:val="center"/>
          </w:tcPr>
          <w:p w14:paraId="61301915" w14:textId="77777777" w:rsidR="0068222A" w:rsidRDefault="00000000">
            <w:pPr>
              <w:spacing w:line="360" w:lineRule="auto"/>
              <w:jc w:val="both"/>
              <w:rPr>
                <w:rFonts w:ascii="Book Antiqua" w:hAnsi="Book Antiqua"/>
              </w:rPr>
            </w:pPr>
            <w:r>
              <w:rPr>
                <w:rFonts w:ascii="Book Antiqua" w:hAnsi="Book Antiqua"/>
              </w:rPr>
              <w:t>42 (33.6</w:t>
            </w:r>
            <w:r>
              <w:rPr>
                <w:rFonts w:ascii="Book Antiqua" w:eastAsia="宋体" w:hAnsi="Book Antiqua" w:hint="eastAsia"/>
                <w:lang w:eastAsia="zh-CN"/>
              </w:rPr>
              <w:t>0</w:t>
            </w:r>
            <w:r>
              <w:rPr>
                <w:rFonts w:ascii="Book Antiqua" w:hAnsi="Book Antiqua"/>
              </w:rPr>
              <w:t>)</w:t>
            </w:r>
          </w:p>
        </w:tc>
        <w:tc>
          <w:tcPr>
            <w:tcW w:w="851" w:type="dxa"/>
            <w:tcBorders>
              <w:top w:val="nil"/>
              <w:left w:val="nil"/>
              <w:bottom w:val="nil"/>
              <w:right w:val="nil"/>
            </w:tcBorders>
            <w:noWrap/>
            <w:vAlign w:val="center"/>
          </w:tcPr>
          <w:p w14:paraId="0D3F228F" w14:textId="77777777" w:rsidR="0068222A" w:rsidRDefault="0068222A">
            <w:pPr>
              <w:spacing w:line="360" w:lineRule="auto"/>
              <w:jc w:val="both"/>
              <w:rPr>
                <w:rFonts w:ascii="Book Antiqua" w:hAnsi="Book Antiqua"/>
              </w:rPr>
            </w:pPr>
          </w:p>
        </w:tc>
      </w:tr>
      <w:tr w:rsidR="0068222A" w14:paraId="7AF0E0CA" w14:textId="77777777">
        <w:trPr>
          <w:trHeight w:val="315"/>
        </w:trPr>
        <w:tc>
          <w:tcPr>
            <w:tcW w:w="1985" w:type="dxa"/>
            <w:tcBorders>
              <w:top w:val="nil"/>
              <w:left w:val="nil"/>
              <w:bottom w:val="nil"/>
              <w:right w:val="nil"/>
            </w:tcBorders>
            <w:noWrap/>
            <w:vAlign w:val="center"/>
          </w:tcPr>
          <w:p w14:paraId="67B5FA89" w14:textId="77777777" w:rsidR="0068222A" w:rsidRDefault="00000000">
            <w:pPr>
              <w:spacing w:line="360" w:lineRule="auto"/>
              <w:jc w:val="both"/>
              <w:rPr>
                <w:rFonts w:ascii="Book Antiqua" w:hAnsi="Book Antiqua"/>
              </w:rPr>
            </w:pPr>
            <w:r>
              <w:rPr>
                <w:rFonts w:ascii="Book Antiqua" w:hAnsi="Book Antiqua"/>
              </w:rPr>
              <w:t>Cirrhosis</w:t>
            </w:r>
          </w:p>
        </w:tc>
        <w:tc>
          <w:tcPr>
            <w:tcW w:w="1522" w:type="dxa"/>
            <w:tcBorders>
              <w:top w:val="nil"/>
              <w:left w:val="nil"/>
              <w:bottom w:val="nil"/>
              <w:right w:val="nil"/>
            </w:tcBorders>
          </w:tcPr>
          <w:p w14:paraId="4B594810" w14:textId="77777777" w:rsidR="0068222A" w:rsidRDefault="00000000">
            <w:pPr>
              <w:spacing w:line="360" w:lineRule="auto"/>
              <w:jc w:val="both"/>
              <w:rPr>
                <w:rFonts w:ascii="Book Antiqua" w:hAnsi="Book Antiqua"/>
              </w:rPr>
            </w:pPr>
            <w:r>
              <w:rPr>
                <w:rFonts w:ascii="Book Antiqua" w:hAnsi="Book Antiqua"/>
              </w:rPr>
              <w:t>Absent</w:t>
            </w:r>
          </w:p>
        </w:tc>
        <w:tc>
          <w:tcPr>
            <w:tcW w:w="2145" w:type="dxa"/>
            <w:tcBorders>
              <w:top w:val="nil"/>
              <w:left w:val="nil"/>
              <w:bottom w:val="nil"/>
              <w:right w:val="nil"/>
            </w:tcBorders>
            <w:noWrap/>
            <w:vAlign w:val="center"/>
          </w:tcPr>
          <w:p w14:paraId="3B2E760A" w14:textId="77777777" w:rsidR="0068222A" w:rsidRDefault="00000000">
            <w:pPr>
              <w:spacing w:line="360" w:lineRule="auto"/>
              <w:jc w:val="both"/>
              <w:rPr>
                <w:rFonts w:ascii="Book Antiqua" w:hAnsi="Book Antiqua"/>
              </w:rPr>
            </w:pPr>
            <w:r>
              <w:rPr>
                <w:rFonts w:ascii="Book Antiqua" w:hAnsi="Book Antiqua"/>
              </w:rPr>
              <w:t>22 (7.94)</w:t>
            </w:r>
          </w:p>
        </w:tc>
        <w:tc>
          <w:tcPr>
            <w:tcW w:w="2050" w:type="dxa"/>
            <w:tcBorders>
              <w:top w:val="nil"/>
              <w:left w:val="nil"/>
              <w:bottom w:val="nil"/>
              <w:right w:val="nil"/>
            </w:tcBorders>
            <w:noWrap/>
            <w:vAlign w:val="center"/>
          </w:tcPr>
          <w:p w14:paraId="00732A83" w14:textId="77777777" w:rsidR="0068222A" w:rsidRDefault="00000000">
            <w:pPr>
              <w:spacing w:line="360" w:lineRule="auto"/>
              <w:jc w:val="both"/>
              <w:rPr>
                <w:rFonts w:ascii="Book Antiqua" w:hAnsi="Book Antiqua"/>
              </w:rPr>
            </w:pPr>
            <w:r>
              <w:rPr>
                <w:rFonts w:ascii="Book Antiqua" w:hAnsi="Book Antiqua"/>
              </w:rPr>
              <w:t>8 (6.4</w:t>
            </w:r>
            <w:r>
              <w:rPr>
                <w:rFonts w:ascii="Book Antiqua" w:eastAsia="宋体" w:hAnsi="Book Antiqua" w:hint="eastAsia"/>
                <w:lang w:eastAsia="zh-CN"/>
              </w:rPr>
              <w:t>0</w:t>
            </w:r>
            <w:r>
              <w:rPr>
                <w:rFonts w:ascii="Book Antiqua" w:hAnsi="Book Antiqua"/>
              </w:rPr>
              <w:t>)</w:t>
            </w:r>
          </w:p>
        </w:tc>
        <w:tc>
          <w:tcPr>
            <w:tcW w:w="851" w:type="dxa"/>
            <w:tcBorders>
              <w:top w:val="nil"/>
              <w:left w:val="nil"/>
              <w:bottom w:val="nil"/>
              <w:right w:val="nil"/>
            </w:tcBorders>
            <w:noWrap/>
            <w:vAlign w:val="center"/>
          </w:tcPr>
          <w:p w14:paraId="5D32A500" w14:textId="77777777" w:rsidR="0068222A" w:rsidRDefault="00000000">
            <w:pPr>
              <w:spacing w:line="360" w:lineRule="auto"/>
              <w:jc w:val="both"/>
              <w:rPr>
                <w:rFonts w:ascii="Book Antiqua" w:hAnsi="Book Antiqua"/>
              </w:rPr>
            </w:pPr>
            <w:r>
              <w:rPr>
                <w:rFonts w:ascii="Book Antiqua" w:hAnsi="Book Antiqua"/>
              </w:rPr>
              <w:t>0.586</w:t>
            </w:r>
          </w:p>
        </w:tc>
      </w:tr>
      <w:tr w:rsidR="0068222A" w14:paraId="2BB6712F" w14:textId="77777777">
        <w:trPr>
          <w:trHeight w:val="315"/>
        </w:trPr>
        <w:tc>
          <w:tcPr>
            <w:tcW w:w="1985" w:type="dxa"/>
            <w:tcBorders>
              <w:top w:val="nil"/>
              <w:left w:val="nil"/>
              <w:bottom w:val="nil"/>
              <w:right w:val="nil"/>
            </w:tcBorders>
            <w:noWrap/>
            <w:vAlign w:val="center"/>
          </w:tcPr>
          <w:p w14:paraId="05ECB15A" w14:textId="77777777" w:rsidR="0068222A" w:rsidRDefault="0068222A">
            <w:pPr>
              <w:spacing w:line="360" w:lineRule="auto"/>
              <w:jc w:val="both"/>
              <w:rPr>
                <w:rFonts w:ascii="Book Antiqua" w:hAnsi="Book Antiqua"/>
              </w:rPr>
            </w:pPr>
          </w:p>
        </w:tc>
        <w:tc>
          <w:tcPr>
            <w:tcW w:w="1522" w:type="dxa"/>
            <w:tcBorders>
              <w:top w:val="nil"/>
              <w:left w:val="nil"/>
              <w:bottom w:val="nil"/>
              <w:right w:val="nil"/>
            </w:tcBorders>
          </w:tcPr>
          <w:p w14:paraId="645C88DC" w14:textId="77777777" w:rsidR="0068222A" w:rsidRDefault="00000000">
            <w:pPr>
              <w:spacing w:line="360" w:lineRule="auto"/>
              <w:jc w:val="both"/>
              <w:rPr>
                <w:rFonts w:ascii="Book Antiqua" w:hAnsi="Book Antiqua"/>
              </w:rPr>
            </w:pPr>
            <w:r>
              <w:rPr>
                <w:rFonts w:ascii="Book Antiqua" w:hAnsi="Book Antiqua"/>
              </w:rPr>
              <w:t>Present</w:t>
            </w:r>
          </w:p>
        </w:tc>
        <w:tc>
          <w:tcPr>
            <w:tcW w:w="2145" w:type="dxa"/>
            <w:tcBorders>
              <w:top w:val="nil"/>
              <w:left w:val="nil"/>
              <w:bottom w:val="nil"/>
              <w:right w:val="nil"/>
            </w:tcBorders>
            <w:noWrap/>
            <w:vAlign w:val="center"/>
          </w:tcPr>
          <w:p w14:paraId="4CFB3E7B" w14:textId="77777777" w:rsidR="0068222A" w:rsidRDefault="00000000">
            <w:pPr>
              <w:spacing w:line="360" w:lineRule="auto"/>
              <w:jc w:val="both"/>
              <w:rPr>
                <w:rFonts w:ascii="Book Antiqua" w:hAnsi="Book Antiqua"/>
              </w:rPr>
            </w:pPr>
            <w:r>
              <w:rPr>
                <w:rFonts w:ascii="Book Antiqua" w:hAnsi="Book Antiqua"/>
              </w:rPr>
              <w:t>255 (92.06)</w:t>
            </w:r>
          </w:p>
        </w:tc>
        <w:tc>
          <w:tcPr>
            <w:tcW w:w="2050" w:type="dxa"/>
            <w:tcBorders>
              <w:top w:val="nil"/>
              <w:left w:val="nil"/>
              <w:bottom w:val="nil"/>
              <w:right w:val="nil"/>
            </w:tcBorders>
            <w:noWrap/>
            <w:vAlign w:val="center"/>
          </w:tcPr>
          <w:p w14:paraId="5D98D75D" w14:textId="77777777" w:rsidR="0068222A" w:rsidRDefault="00000000">
            <w:pPr>
              <w:spacing w:line="360" w:lineRule="auto"/>
              <w:jc w:val="both"/>
              <w:rPr>
                <w:rFonts w:ascii="Book Antiqua" w:hAnsi="Book Antiqua"/>
              </w:rPr>
            </w:pPr>
            <w:r>
              <w:rPr>
                <w:rFonts w:ascii="Book Antiqua" w:hAnsi="Book Antiqua"/>
              </w:rPr>
              <w:t>117 (93.6</w:t>
            </w:r>
            <w:r>
              <w:rPr>
                <w:rFonts w:ascii="Book Antiqua" w:eastAsia="宋体" w:hAnsi="Book Antiqua" w:hint="eastAsia"/>
                <w:lang w:eastAsia="zh-CN"/>
              </w:rPr>
              <w:t>0</w:t>
            </w:r>
            <w:r>
              <w:rPr>
                <w:rFonts w:ascii="Book Antiqua" w:hAnsi="Book Antiqua"/>
              </w:rPr>
              <w:t>)</w:t>
            </w:r>
          </w:p>
        </w:tc>
        <w:tc>
          <w:tcPr>
            <w:tcW w:w="851" w:type="dxa"/>
            <w:tcBorders>
              <w:top w:val="nil"/>
              <w:left w:val="nil"/>
              <w:bottom w:val="nil"/>
              <w:right w:val="nil"/>
            </w:tcBorders>
            <w:noWrap/>
            <w:vAlign w:val="center"/>
          </w:tcPr>
          <w:p w14:paraId="4B8AED17" w14:textId="77777777" w:rsidR="0068222A" w:rsidRDefault="0068222A">
            <w:pPr>
              <w:spacing w:line="360" w:lineRule="auto"/>
              <w:jc w:val="both"/>
              <w:rPr>
                <w:rFonts w:ascii="Book Antiqua" w:hAnsi="Book Antiqua"/>
              </w:rPr>
            </w:pPr>
          </w:p>
        </w:tc>
      </w:tr>
      <w:tr w:rsidR="0068222A" w14:paraId="7AD082B5" w14:textId="77777777">
        <w:trPr>
          <w:trHeight w:val="315"/>
        </w:trPr>
        <w:tc>
          <w:tcPr>
            <w:tcW w:w="1985" w:type="dxa"/>
            <w:tcBorders>
              <w:top w:val="nil"/>
              <w:left w:val="nil"/>
              <w:bottom w:val="nil"/>
              <w:right w:val="nil"/>
            </w:tcBorders>
            <w:noWrap/>
            <w:vAlign w:val="center"/>
          </w:tcPr>
          <w:p w14:paraId="1120EC26" w14:textId="77777777" w:rsidR="0068222A" w:rsidRDefault="00000000">
            <w:pPr>
              <w:spacing w:line="360" w:lineRule="auto"/>
              <w:jc w:val="both"/>
              <w:rPr>
                <w:rFonts w:ascii="Book Antiqua" w:hAnsi="Book Antiqua"/>
              </w:rPr>
            </w:pPr>
            <w:r>
              <w:rPr>
                <w:rFonts w:ascii="Book Antiqua" w:hAnsi="Book Antiqua"/>
              </w:rPr>
              <w:t>MVI</w:t>
            </w:r>
          </w:p>
        </w:tc>
        <w:tc>
          <w:tcPr>
            <w:tcW w:w="1522" w:type="dxa"/>
            <w:tcBorders>
              <w:top w:val="nil"/>
              <w:left w:val="nil"/>
              <w:bottom w:val="nil"/>
              <w:right w:val="nil"/>
            </w:tcBorders>
          </w:tcPr>
          <w:p w14:paraId="371019A3" w14:textId="77777777" w:rsidR="0068222A" w:rsidRDefault="00000000">
            <w:pPr>
              <w:spacing w:line="360" w:lineRule="auto"/>
              <w:jc w:val="both"/>
              <w:rPr>
                <w:rFonts w:ascii="Book Antiqua" w:hAnsi="Book Antiqua"/>
              </w:rPr>
            </w:pPr>
            <w:r>
              <w:rPr>
                <w:rFonts w:ascii="Book Antiqua" w:hAnsi="Book Antiqua"/>
              </w:rPr>
              <w:t>Absent</w:t>
            </w:r>
          </w:p>
        </w:tc>
        <w:tc>
          <w:tcPr>
            <w:tcW w:w="2145" w:type="dxa"/>
            <w:tcBorders>
              <w:top w:val="nil"/>
              <w:left w:val="nil"/>
              <w:bottom w:val="nil"/>
              <w:right w:val="nil"/>
            </w:tcBorders>
            <w:noWrap/>
            <w:vAlign w:val="center"/>
          </w:tcPr>
          <w:p w14:paraId="7FB46604" w14:textId="77777777" w:rsidR="0068222A" w:rsidRDefault="00000000">
            <w:pPr>
              <w:spacing w:line="360" w:lineRule="auto"/>
              <w:jc w:val="both"/>
              <w:rPr>
                <w:rFonts w:ascii="Book Antiqua" w:hAnsi="Book Antiqua"/>
              </w:rPr>
            </w:pPr>
            <w:r>
              <w:rPr>
                <w:rFonts w:ascii="Book Antiqua" w:hAnsi="Book Antiqua"/>
              </w:rPr>
              <w:t>162 (58.48)</w:t>
            </w:r>
          </w:p>
        </w:tc>
        <w:tc>
          <w:tcPr>
            <w:tcW w:w="2050" w:type="dxa"/>
            <w:tcBorders>
              <w:top w:val="nil"/>
              <w:left w:val="nil"/>
              <w:bottom w:val="nil"/>
              <w:right w:val="nil"/>
            </w:tcBorders>
            <w:noWrap/>
            <w:vAlign w:val="center"/>
          </w:tcPr>
          <w:p w14:paraId="46BAA58F" w14:textId="77777777" w:rsidR="0068222A" w:rsidRDefault="00000000">
            <w:pPr>
              <w:spacing w:line="360" w:lineRule="auto"/>
              <w:jc w:val="both"/>
              <w:rPr>
                <w:rFonts w:ascii="Book Antiqua" w:hAnsi="Book Antiqua"/>
              </w:rPr>
            </w:pPr>
            <w:r>
              <w:rPr>
                <w:rFonts w:ascii="Book Antiqua" w:hAnsi="Book Antiqua"/>
              </w:rPr>
              <w:t>75 (60.0</w:t>
            </w:r>
            <w:r>
              <w:rPr>
                <w:rFonts w:ascii="Book Antiqua" w:eastAsia="宋体" w:hAnsi="Book Antiqua" w:hint="eastAsia"/>
                <w:lang w:eastAsia="zh-CN"/>
              </w:rPr>
              <w:t>0</w:t>
            </w:r>
            <w:r>
              <w:rPr>
                <w:rFonts w:ascii="Book Antiqua" w:hAnsi="Book Antiqua"/>
              </w:rPr>
              <w:t>)</w:t>
            </w:r>
          </w:p>
        </w:tc>
        <w:tc>
          <w:tcPr>
            <w:tcW w:w="851" w:type="dxa"/>
            <w:tcBorders>
              <w:top w:val="nil"/>
              <w:left w:val="nil"/>
              <w:bottom w:val="nil"/>
              <w:right w:val="nil"/>
            </w:tcBorders>
            <w:noWrap/>
            <w:vAlign w:val="center"/>
          </w:tcPr>
          <w:p w14:paraId="016E2D67" w14:textId="77777777" w:rsidR="0068222A" w:rsidRDefault="00000000">
            <w:pPr>
              <w:spacing w:line="360" w:lineRule="auto"/>
              <w:jc w:val="both"/>
              <w:rPr>
                <w:rFonts w:ascii="Book Antiqua" w:hAnsi="Book Antiqua"/>
              </w:rPr>
            </w:pPr>
            <w:r>
              <w:rPr>
                <w:rFonts w:ascii="Book Antiqua" w:hAnsi="Book Antiqua"/>
              </w:rPr>
              <w:t>0.775</w:t>
            </w:r>
          </w:p>
        </w:tc>
      </w:tr>
      <w:tr w:rsidR="0068222A" w14:paraId="2C94E5DC" w14:textId="77777777">
        <w:trPr>
          <w:trHeight w:val="315"/>
        </w:trPr>
        <w:tc>
          <w:tcPr>
            <w:tcW w:w="1985" w:type="dxa"/>
            <w:tcBorders>
              <w:top w:val="nil"/>
              <w:left w:val="nil"/>
              <w:bottom w:val="nil"/>
              <w:right w:val="nil"/>
            </w:tcBorders>
            <w:noWrap/>
            <w:vAlign w:val="center"/>
          </w:tcPr>
          <w:p w14:paraId="2C336619" w14:textId="77777777" w:rsidR="0068222A" w:rsidRDefault="0068222A">
            <w:pPr>
              <w:spacing w:line="360" w:lineRule="auto"/>
              <w:jc w:val="both"/>
              <w:rPr>
                <w:rFonts w:ascii="Book Antiqua" w:hAnsi="Book Antiqua"/>
              </w:rPr>
            </w:pPr>
          </w:p>
        </w:tc>
        <w:tc>
          <w:tcPr>
            <w:tcW w:w="1522" w:type="dxa"/>
            <w:tcBorders>
              <w:top w:val="nil"/>
              <w:left w:val="nil"/>
              <w:bottom w:val="nil"/>
              <w:right w:val="nil"/>
            </w:tcBorders>
          </w:tcPr>
          <w:p w14:paraId="4AE09457" w14:textId="77777777" w:rsidR="0068222A" w:rsidRDefault="00000000">
            <w:pPr>
              <w:spacing w:line="360" w:lineRule="auto"/>
              <w:jc w:val="both"/>
              <w:rPr>
                <w:rFonts w:ascii="Book Antiqua" w:hAnsi="Book Antiqua"/>
              </w:rPr>
            </w:pPr>
            <w:r>
              <w:rPr>
                <w:rFonts w:ascii="Book Antiqua" w:hAnsi="Book Antiqua"/>
              </w:rPr>
              <w:t>Present</w:t>
            </w:r>
          </w:p>
        </w:tc>
        <w:tc>
          <w:tcPr>
            <w:tcW w:w="2145" w:type="dxa"/>
            <w:tcBorders>
              <w:top w:val="nil"/>
              <w:left w:val="nil"/>
              <w:bottom w:val="nil"/>
              <w:right w:val="nil"/>
            </w:tcBorders>
            <w:noWrap/>
            <w:vAlign w:val="center"/>
          </w:tcPr>
          <w:p w14:paraId="24A79D7B" w14:textId="77777777" w:rsidR="0068222A" w:rsidRDefault="00000000">
            <w:pPr>
              <w:spacing w:line="360" w:lineRule="auto"/>
              <w:jc w:val="both"/>
              <w:rPr>
                <w:rFonts w:ascii="Book Antiqua" w:hAnsi="Book Antiqua"/>
              </w:rPr>
            </w:pPr>
            <w:r>
              <w:rPr>
                <w:rFonts w:ascii="Book Antiqua" w:hAnsi="Book Antiqua"/>
              </w:rPr>
              <w:t>115 (41.52)</w:t>
            </w:r>
          </w:p>
        </w:tc>
        <w:tc>
          <w:tcPr>
            <w:tcW w:w="2050" w:type="dxa"/>
            <w:tcBorders>
              <w:top w:val="nil"/>
              <w:left w:val="nil"/>
              <w:bottom w:val="nil"/>
              <w:right w:val="nil"/>
            </w:tcBorders>
            <w:noWrap/>
            <w:vAlign w:val="center"/>
          </w:tcPr>
          <w:p w14:paraId="4D514349" w14:textId="77777777" w:rsidR="0068222A" w:rsidRDefault="00000000">
            <w:pPr>
              <w:spacing w:line="360" w:lineRule="auto"/>
              <w:jc w:val="both"/>
              <w:rPr>
                <w:rFonts w:ascii="Book Antiqua" w:hAnsi="Book Antiqua"/>
              </w:rPr>
            </w:pPr>
            <w:r>
              <w:rPr>
                <w:rFonts w:ascii="Book Antiqua" w:hAnsi="Book Antiqua"/>
              </w:rPr>
              <w:t>50 (40.0</w:t>
            </w:r>
            <w:r>
              <w:rPr>
                <w:rFonts w:ascii="Book Antiqua" w:eastAsia="宋体" w:hAnsi="Book Antiqua" w:hint="eastAsia"/>
                <w:lang w:eastAsia="zh-CN"/>
              </w:rPr>
              <w:t>0</w:t>
            </w:r>
            <w:r>
              <w:rPr>
                <w:rFonts w:ascii="Book Antiqua" w:hAnsi="Book Antiqua"/>
              </w:rPr>
              <w:t>)</w:t>
            </w:r>
          </w:p>
        </w:tc>
        <w:tc>
          <w:tcPr>
            <w:tcW w:w="851" w:type="dxa"/>
            <w:tcBorders>
              <w:top w:val="nil"/>
              <w:left w:val="nil"/>
              <w:bottom w:val="nil"/>
              <w:right w:val="nil"/>
            </w:tcBorders>
            <w:noWrap/>
            <w:vAlign w:val="center"/>
          </w:tcPr>
          <w:p w14:paraId="418F2BEC" w14:textId="77777777" w:rsidR="0068222A" w:rsidRDefault="0068222A">
            <w:pPr>
              <w:spacing w:line="360" w:lineRule="auto"/>
              <w:jc w:val="both"/>
              <w:rPr>
                <w:rFonts w:ascii="Book Antiqua" w:hAnsi="Book Antiqua"/>
              </w:rPr>
            </w:pPr>
          </w:p>
        </w:tc>
      </w:tr>
      <w:tr w:rsidR="0068222A" w14:paraId="279B8C1D" w14:textId="77777777">
        <w:trPr>
          <w:trHeight w:val="315"/>
        </w:trPr>
        <w:tc>
          <w:tcPr>
            <w:tcW w:w="1985" w:type="dxa"/>
            <w:tcBorders>
              <w:top w:val="nil"/>
              <w:left w:val="nil"/>
              <w:bottom w:val="nil"/>
              <w:right w:val="nil"/>
            </w:tcBorders>
            <w:noWrap/>
            <w:vAlign w:val="center"/>
          </w:tcPr>
          <w:p w14:paraId="6742FCB1" w14:textId="77777777" w:rsidR="0068222A" w:rsidRDefault="00000000">
            <w:pPr>
              <w:spacing w:line="360" w:lineRule="auto"/>
              <w:jc w:val="both"/>
              <w:rPr>
                <w:rFonts w:ascii="Book Antiqua" w:hAnsi="Book Antiqua"/>
              </w:rPr>
            </w:pPr>
            <w:r>
              <w:rPr>
                <w:rFonts w:ascii="Book Antiqua" w:hAnsi="Book Antiqua"/>
              </w:rPr>
              <w:t>AFP (ng/mL)</w:t>
            </w:r>
          </w:p>
        </w:tc>
        <w:tc>
          <w:tcPr>
            <w:tcW w:w="1522" w:type="dxa"/>
            <w:tcBorders>
              <w:top w:val="nil"/>
              <w:left w:val="nil"/>
              <w:bottom w:val="nil"/>
              <w:right w:val="nil"/>
            </w:tcBorders>
          </w:tcPr>
          <w:p w14:paraId="0FE4EEFE" w14:textId="77777777" w:rsidR="0068222A" w:rsidRDefault="00000000">
            <w:pPr>
              <w:spacing w:line="360" w:lineRule="auto"/>
              <w:jc w:val="both"/>
              <w:rPr>
                <w:rFonts w:ascii="Book Antiqua" w:hAnsi="Book Antiqua"/>
              </w:rPr>
            </w:pPr>
            <w:r>
              <w:rPr>
                <w:rFonts w:ascii="Book Antiqua" w:hAnsi="Book Antiqua"/>
              </w:rPr>
              <w:t>≤ 200</w:t>
            </w:r>
          </w:p>
        </w:tc>
        <w:tc>
          <w:tcPr>
            <w:tcW w:w="2145" w:type="dxa"/>
            <w:tcBorders>
              <w:top w:val="nil"/>
              <w:left w:val="nil"/>
              <w:bottom w:val="nil"/>
              <w:right w:val="nil"/>
            </w:tcBorders>
            <w:noWrap/>
            <w:vAlign w:val="center"/>
          </w:tcPr>
          <w:p w14:paraId="5CB12DD6" w14:textId="77777777" w:rsidR="0068222A" w:rsidRDefault="00000000">
            <w:pPr>
              <w:spacing w:line="360" w:lineRule="auto"/>
              <w:jc w:val="both"/>
              <w:rPr>
                <w:rFonts w:ascii="Book Antiqua" w:hAnsi="Book Antiqua"/>
              </w:rPr>
            </w:pPr>
            <w:r>
              <w:rPr>
                <w:rFonts w:ascii="Book Antiqua" w:hAnsi="Book Antiqua"/>
              </w:rPr>
              <w:t>130 (46.93)</w:t>
            </w:r>
          </w:p>
        </w:tc>
        <w:tc>
          <w:tcPr>
            <w:tcW w:w="2050" w:type="dxa"/>
            <w:tcBorders>
              <w:top w:val="nil"/>
              <w:left w:val="nil"/>
              <w:bottom w:val="nil"/>
              <w:right w:val="nil"/>
            </w:tcBorders>
            <w:noWrap/>
            <w:vAlign w:val="center"/>
          </w:tcPr>
          <w:p w14:paraId="143840FD" w14:textId="77777777" w:rsidR="0068222A" w:rsidRDefault="00000000">
            <w:pPr>
              <w:spacing w:line="360" w:lineRule="auto"/>
              <w:jc w:val="both"/>
              <w:rPr>
                <w:rFonts w:ascii="Book Antiqua" w:hAnsi="Book Antiqua"/>
              </w:rPr>
            </w:pPr>
            <w:r>
              <w:rPr>
                <w:rFonts w:ascii="Book Antiqua" w:hAnsi="Book Antiqua"/>
              </w:rPr>
              <w:t>67 (53.6</w:t>
            </w:r>
            <w:r>
              <w:rPr>
                <w:rFonts w:ascii="Book Antiqua" w:eastAsia="宋体" w:hAnsi="Book Antiqua" w:hint="eastAsia"/>
                <w:lang w:eastAsia="zh-CN"/>
              </w:rPr>
              <w:t>0</w:t>
            </w:r>
            <w:r>
              <w:rPr>
                <w:rFonts w:ascii="Book Antiqua" w:hAnsi="Book Antiqua"/>
              </w:rPr>
              <w:t>)</w:t>
            </w:r>
          </w:p>
        </w:tc>
        <w:tc>
          <w:tcPr>
            <w:tcW w:w="851" w:type="dxa"/>
            <w:tcBorders>
              <w:top w:val="nil"/>
              <w:left w:val="nil"/>
              <w:bottom w:val="nil"/>
              <w:right w:val="nil"/>
            </w:tcBorders>
            <w:noWrap/>
            <w:vAlign w:val="center"/>
          </w:tcPr>
          <w:p w14:paraId="4D21E002" w14:textId="77777777" w:rsidR="0068222A" w:rsidRDefault="00000000">
            <w:pPr>
              <w:spacing w:line="360" w:lineRule="auto"/>
              <w:jc w:val="both"/>
              <w:rPr>
                <w:rFonts w:ascii="Book Antiqua" w:hAnsi="Book Antiqua"/>
              </w:rPr>
            </w:pPr>
            <w:r>
              <w:rPr>
                <w:rFonts w:ascii="Book Antiqua" w:hAnsi="Book Antiqua"/>
              </w:rPr>
              <w:t>0.204</w:t>
            </w:r>
          </w:p>
        </w:tc>
      </w:tr>
      <w:tr w:rsidR="0068222A" w14:paraId="70AD87D5" w14:textId="77777777">
        <w:trPr>
          <w:trHeight w:val="315"/>
        </w:trPr>
        <w:tc>
          <w:tcPr>
            <w:tcW w:w="1985" w:type="dxa"/>
            <w:tcBorders>
              <w:top w:val="nil"/>
              <w:left w:val="nil"/>
              <w:bottom w:val="nil"/>
              <w:right w:val="nil"/>
            </w:tcBorders>
            <w:noWrap/>
            <w:vAlign w:val="center"/>
          </w:tcPr>
          <w:p w14:paraId="155AF0C8" w14:textId="77777777" w:rsidR="0068222A" w:rsidRDefault="0068222A">
            <w:pPr>
              <w:spacing w:line="360" w:lineRule="auto"/>
              <w:jc w:val="both"/>
              <w:rPr>
                <w:rFonts w:ascii="Book Antiqua" w:hAnsi="Book Antiqua"/>
              </w:rPr>
            </w:pPr>
          </w:p>
        </w:tc>
        <w:tc>
          <w:tcPr>
            <w:tcW w:w="1522" w:type="dxa"/>
            <w:tcBorders>
              <w:top w:val="nil"/>
              <w:left w:val="nil"/>
              <w:bottom w:val="nil"/>
              <w:right w:val="nil"/>
            </w:tcBorders>
          </w:tcPr>
          <w:p w14:paraId="5CD3DDA1" w14:textId="77777777" w:rsidR="0068222A" w:rsidRDefault="00000000">
            <w:pPr>
              <w:spacing w:line="360" w:lineRule="auto"/>
              <w:jc w:val="both"/>
              <w:rPr>
                <w:rFonts w:ascii="Book Antiqua" w:hAnsi="Book Antiqua"/>
              </w:rPr>
            </w:pPr>
            <w:r>
              <w:rPr>
                <w:rFonts w:ascii="Book Antiqua" w:hAnsi="Book Antiqua"/>
              </w:rPr>
              <w:t>&gt; 200</w:t>
            </w:r>
          </w:p>
        </w:tc>
        <w:tc>
          <w:tcPr>
            <w:tcW w:w="2145" w:type="dxa"/>
            <w:tcBorders>
              <w:top w:val="nil"/>
              <w:left w:val="nil"/>
              <w:bottom w:val="nil"/>
              <w:right w:val="nil"/>
            </w:tcBorders>
            <w:noWrap/>
            <w:vAlign w:val="center"/>
          </w:tcPr>
          <w:p w14:paraId="46EA5370" w14:textId="77777777" w:rsidR="0068222A" w:rsidRDefault="00000000">
            <w:pPr>
              <w:spacing w:line="360" w:lineRule="auto"/>
              <w:jc w:val="both"/>
              <w:rPr>
                <w:rFonts w:ascii="Book Antiqua" w:hAnsi="Book Antiqua"/>
              </w:rPr>
            </w:pPr>
            <w:r>
              <w:rPr>
                <w:rFonts w:ascii="Book Antiqua" w:hAnsi="Book Antiqua"/>
              </w:rPr>
              <w:t>147 (53.07)</w:t>
            </w:r>
          </w:p>
        </w:tc>
        <w:tc>
          <w:tcPr>
            <w:tcW w:w="2050" w:type="dxa"/>
            <w:tcBorders>
              <w:top w:val="nil"/>
              <w:left w:val="nil"/>
              <w:bottom w:val="nil"/>
              <w:right w:val="nil"/>
            </w:tcBorders>
            <w:noWrap/>
            <w:vAlign w:val="center"/>
          </w:tcPr>
          <w:p w14:paraId="268FC362" w14:textId="77777777" w:rsidR="0068222A" w:rsidRDefault="00000000">
            <w:pPr>
              <w:spacing w:line="360" w:lineRule="auto"/>
              <w:jc w:val="both"/>
              <w:rPr>
                <w:rFonts w:ascii="Book Antiqua" w:hAnsi="Book Antiqua"/>
              </w:rPr>
            </w:pPr>
            <w:r>
              <w:rPr>
                <w:rFonts w:ascii="Book Antiqua" w:hAnsi="Book Antiqua"/>
              </w:rPr>
              <w:t>58 (46.4</w:t>
            </w:r>
            <w:r>
              <w:rPr>
                <w:rFonts w:ascii="Book Antiqua" w:eastAsia="宋体" w:hAnsi="Book Antiqua" w:hint="eastAsia"/>
                <w:lang w:eastAsia="zh-CN"/>
              </w:rPr>
              <w:t>0</w:t>
            </w:r>
            <w:r>
              <w:rPr>
                <w:rFonts w:ascii="Book Antiqua" w:hAnsi="Book Antiqua"/>
              </w:rPr>
              <w:t>)</w:t>
            </w:r>
          </w:p>
        </w:tc>
        <w:tc>
          <w:tcPr>
            <w:tcW w:w="851" w:type="dxa"/>
            <w:tcBorders>
              <w:top w:val="nil"/>
              <w:left w:val="nil"/>
              <w:bottom w:val="nil"/>
              <w:right w:val="nil"/>
            </w:tcBorders>
            <w:noWrap/>
            <w:vAlign w:val="center"/>
          </w:tcPr>
          <w:p w14:paraId="74475C51" w14:textId="77777777" w:rsidR="0068222A" w:rsidRDefault="0068222A">
            <w:pPr>
              <w:spacing w:line="360" w:lineRule="auto"/>
              <w:jc w:val="both"/>
              <w:rPr>
                <w:rFonts w:ascii="Book Antiqua" w:hAnsi="Book Antiqua"/>
              </w:rPr>
            </w:pPr>
          </w:p>
        </w:tc>
      </w:tr>
      <w:tr w:rsidR="0068222A" w14:paraId="4743BCF6" w14:textId="77777777">
        <w:trPr>
          <w:trHeight w:val="315"/>
        </w:trPr>
        <w:tc>
          <w:tcPr>
            <w:tcW w:w="1985" w:type="dxa"/>
            <w:tcBorders>
              <w:top w:val="nil"/>
              <w:left w:val="nil"/>
              <w:bottom w:val="nil"/>
              <w:right w:val="nil"/>
            </w:tcBorders>
            <w:noWrap/>
            <w:vAlign w:val="center"/>
          </w:tcPr>
          <w:p w14:paraId="4C40F2AF" w14:textId="77777777" w:rsidR="0068222A" w:rsidRDefault="00000000">
            <w:pPr>
              <w:spacing w:line="360" w:lineRule="auto"/>
              <w:jc w:val="both"/>
              <w:rPr>
                <w:rFonts w:ascii="Book Antiqua" w:hAnsi="Book Antiqua"/>
              </w:rPr>
            </w:pPr>
            <w:r>
              <w:rPr>
                <w:rFonts w:ascii="Book Antiqua" w:hAnsi="Book Antiqua"/>
              </w:rPr>
              <w:t>Tumor size (cm)</w:t>
            </w:r>
          </w:p>
        </w:tc>
        <w:tc>
          <w:tcPr>
            <w:tcW w:w="1522" w:type="dxa"/>
            <w:tcBorders>
              <w:top w:val="nil"/>
              <w:left w:val="nil"/>
              <w:bottom w:val="nil"/>
              <w:right w:val="nil"/>
            </w:tcBorders>
          </w:tcPr>
          <w:p w14:paraId="72AB0A99" w14:textId="77777777" w:rsidR="0068222A" w:rsidRDefault="0068222A">
            <w:pPr>
              <w:spacing w:line="360" w:lineRule="auto"/>
              <w:jc w:val="both"/>
              <w:rPr>
                <w:rFonts w:ascii="Book Antiqua" w:hAnsi="Book Antiqua"/>
              </w:rPr>
            </w:pPr>
          </w:p>
        </w:tc>
        <w:tc>
          <w:tcPr>
            <w:tcW w:w="2145" w:type="dxa"/>
            <w:tcBorders>
              <w:top w:val="nil"/>
              <w:left w:val="nil"/>
              <w:bottom w:val="nil"/>
              <w:right w:val="nil"/>
            </w:tcBorders>
            <w:noWrap/>
            <w:vAlign w:val="center"/>
          </w:tcPr>
          <w:p w14:paraId="26C2866C" w14:textId="77777777" w:rsidR="0068222A" w:rsidRDefault="00000000">
            <w:pPr>
              <w:spacing w:line="360" w:lineRule="auto"/>
              <w:jc w:val="both"/>
              <w:rPr>
                <w:rFonts w:ascii="Book Antiqua" w:hAnsi="Book Antiqua"/>
              </w:rPr>
            </w:pPr>
            <w:r>
              <w:rPr>
                <w:rFonts w:ascii="Book Antiqua" w:hAnsi="Book Antiqua"/>
              </w:rPr>
              <w:t>7.42 ± 4.51</w:t>
            </w:r>
          </w:p>
        </w:tc>
        <w:tc>
          <w:tcPr>
            <w:tcW w:w="2050" w:type="dxa"/>
            <w:tcBorders>
              <w:top w:val="nil"/>
              <w:left w:val="nil"/>
              <w:bottom w:val="nil"/>
              <w:right w:val="nil"/>
            </w:tcBorders>
            <w:noWrap/>
            <w:vAlign w:val="center"/>
          </w:tcPr>
          <w:p w14:paraId="0FAB9403" w14:textId="77777777" w:rsidR="0068222A" w:rsidRDefault="00000000">
            <w:pPr>
              <w:spacing w:line="360" w:lineRule="auto"/>
              <w:jc w:val="both"/>
              <w:rPr>
                <w:rFonts w:ascii="Book Antiqua" w:hAnsi="Book Antiqua"/>
              </w:rPr>
            </w:pPr>
            <w:r>
              <w:rPr>
                <w:rFonts w:ascii="Book Antiqua" w:hAnsi="Book Antiqua"/>
              </w:rPr>
              <w:t>7.07 ± 4.03</w:t>
            </w:r>
          </w:p>
        </w:tc>
        <w:tc>
          <w:tcPr>
            <w:tcW w:w="851" w:type="dxa"/>
            <w:tcBorders>
              <w:top w:val="nil"/>
              <w:left w:val="nil"/>
              <w:bottom w:val="nil"/>
              <w:right w:val="nil"/>
            </w:tcBorders>
            <w:noWrap/>
            <w:vAlign w:val="center"/>
          </w:tcPr>
          <w:p w14:paraId="4459E219" w14:textId="77777777" w:rsidR="0068222A" w:rsidRDefault="00000000">
            <w:pPr>
              <w:spacing w:line="360" w:lineRule="auto"/>
              <w:jc w:val="both"/>
              <w:rPr>
                <w:rFonts w:ascii="Book Antiqua" w:hAnsi="Book Antiqua"/>
              </w:rPr>
            </w:pPr>
            <w:r>
              <w:rPr>
                <w:rFonts w:ascii="Book Antiqua" w:hAnsi="Book Antiqua"/>
              </w:rPr>
              <w:t>0.464</w:t>
            </w:r>
          </w:p>
        </w:tc>
      </w:tr>
      <w:tr w:rsidR="0068222A" w14:paraId="1447D5FE" w14:textId="77777777">
        <w:trPr>
          <w:trHeight w:val="315"/>
        </w:trPr>
        <w:tc>
          <w:tcPr>
            <w:tcW w:w="1985" w:type="dxa"/>
            <w:tcBorders>
              <w:top w:val="nil"/>
              <w:left w:val="nil"/>
              <w:bottom w:val="nil"/>
              <w:right w:val="nil"/>
            </w:tcBorders>
            <w:noWrap/>
            <w:vAlign w:val="center"/>
          </w:tcPr>
          <w:p w14:paraId="0CB50814" w14:textId="77777777" w:rsidR="0068222A" w:rsidRDefault="00000000">
            <w:pPr>
              <w:spacing w:line="360" w:lineRule="auto"/>
              <w:jc w:val="both"/>
              <w:rPr>
                <w:rFonts w:ascii="Book Antiqua" w:hAnsi="Book Antiqua"/>
              </w:rPr>
            </w:pPr>
            <w:r>
              <w:rPr>
                <w:rFonts w:ascii="Book Antiqua" w:hAnsi="Book Antiqua"/>
              </w:rPr>
              <w:t>Platelets (× 10</w:t>
            </w:r>
            <w:r>
              <w:rPr>
                <w:rFonts w:ascii="Book Antiqua" w:hAnsi="Book Antiqua"/>
                <w:vertAlign w:val="superscript"/>
              </w:rPr>
              <w:t>9</w:t>
            </w:r>
            <w:r>
              <w:rPr>
                <w:rFonts w:ascii="Book Antiqua" w:hAnsi="Book Antiqua"/>
              </w:rPr>
              <w:t>/L)</w:t>
            </w:r>
          </w:p>
        </w:tc>
        <w:tc>
          <w:tcPr>
            <w:tcW w:w="1522" w:type="dxa"/>
            <w:tcBorders>
              <w:top w:val="nil"/>
              <w:left w:val="nil"/>
              <w:bottom w:val="nil"/>
              <w:right w:val="nil"/>
            </w:tcBorders>
          </w:tcPr>
          <w:p w14:paraId="1803B186" w14:textId="77777777" w:rsidR="0068222A" w:rsidRDefault="0068222A">
            <w:pPr>
              <w:spacing w:line="360" w:lineRule="auto"/>
              <w:jc w:val="both"/>
              <w:rPr>
                <w:rFonts w:ascii="Book Antiqua" w:hAnsi="Book Antiqua"/>
              </w:rPr>
            </w:pPr>
          </w:p>
        </w:tc>
        <w:tc>
          <w:tcPr>
            <w:tcW w:w="2145" w:type="dxa"/>
            <w:tcBorders>
              <w:top w:val="nil"/>
              <w:left w:val="nil"/>
              <w:bottom w:val="nil"/>
              <w:right w:val="nil"/>
            </w:tcBorders>
            <w:noWrap/>
            <w:vAlign w:val="center"/>
          </w:tcPr>
          <w:p w14:paraId="60BE1561" w14:textId="77777777" w:rsidR="0068222A" w:rsidRDefault="00000000">
            <w:pPr>
              <w:spacing w:line="360" w:lineRule="auto"/>
              <w:jc w:val="both"/>
              <w:rPr>
                <w:rFonts w:ascii="Book Antiqua" w:hAnsi="Book Antiqua"/>
              </w:rPr>
            </w:pPr>
            <w:r>
              <w:rPr>
                <w:rFonts w:ascii="Book Antiqua" w:hAnsi="Book Antiqua"/>
              </w:rPr>
              <w:t>198.26 ± 94.67</w:t>
            </w:r>
          </w:p>
        </w:tc>
        <w:tc>
          <w:tcPr>
            <w:tcW w:w="2050" w:type="dxa"/>
            <w:tcBorders>
              <w:top w:val="nil"/>
              <w:left w:val="nil"/>
              <w:bottom w:val="nil"/>
              <w:right w:val="nil"/>
            </w:tcBorders>
            <w:noWrap/>
            <w:vAlign w:val="center"/>
          </w:tcPr>
          <w:p w14:paraId="774710D0" w14:textId="77777777" w:rsidR="0068222A" w:rsidRDefault="00000000">
            <w:pPr>
              <w:spacing w:line="360" w:lineRule="auto"/>
              <w:jc w:val="both"/>
              <w:rPr>
                <w:rFonts w:ascii="Book Antiqua" w:hAnsi="Book Antiqua"/>
              </w:rPr>
            </w:pPr>
            <w:r>
              <w:rPr>
                <w:rFonts w:ascii="Book Antiqua" w:hAnsi="Book Antiqua"/>
              </w:rPr>
              <w:t>201.52 ± 86.77</w:t>
            </w:r>
          </w:p>
        </w:tc>
        <w:tc>
          <w:tcPr>
            <w:tcW w:w="851" w:type="dxa"/>
            <w:tcBorders>
              <w:top w:val="nil"/>
              <w:left w:val="nil"/>
              <w:bottom w:val="nil"/>
              <w:right w:val="nil"/>
            </w:tcBorders>
            <w:noWrap/>
            <w:vAlign w:val="center"/>
          </w:tcPr>
          <w:p w14:paraId="7C5CEEF3" w14:textId="77777777" w:rsidR="0068222A" w:rsidRDefault="00000000">
            <w:pPr>
              <w:spacing w:line="360" w:lineRule="auto"/>
              <w:jc w:val="both"/>
              <w:rPr>
                <w:rFonts w:ascii="Book Antiqua" w:hAnsi="Book Antiqua"/>
              </w:rPr>
            </w:pPr>
            <w:r>
              <w:rPr>
                <w:rFonts w:ascii="Book Antiqua" w:hAnsi="Book Antiqua"/>
              </w:rPr>
              <w:t>0.743</w:t>
            </w:r>
          </w:p>
        </w:tc>
      </w:tr>
      <w:tr w:rsidR="0068222A" w14:paraId="2A30118B" w14:textId="77777777">
        <w:trPr>
          <w:trHeight w:val="315"/>
        </w:trPr>
        <w:tc>
          <w:tcPr>
            <w:tcW w:w="1985" w:type="dxa"/>
            <w:tcBorders>
              <w:top w:val="nil"/>
              <w:left w:val="nil"/>
              <w:bottom w:val="nil"/>
              <w:right w:val="nil"/>
            </w:tcBorders>
            <w:noWrap/>
            <w:vAlign w:val="center"/>
          </w:tcPr>
          <w:p w14:paraId="22E9328A" w14:textId="77777777" w:rsidR="0068222A" w:rsidRDefault="00000000">
            <w:pPr>
              <w:spacing w:line="360" w:lineRule="auto"/>
              <w:jc w:val="both"/>
              <w:rPr>
                <w:rFonts w:ascii="Book Antiqua" w:hAnsi="Book Antiqua"/>
              </w:rPr>
            </w:pPr>
            <w:r>
              <w:rPr>
                <w:rFonts w:ascii="Book Antiqua" w:hAnsi="Book Antiqua"/>
              </w:rPr>
              <w:t>GGT (U/L, median, IQR)</w:t>
            </w:r>
          </w:p>
        </w:tc>
        <w:tc>
          <w:tcPr>
            <w:tcW w:w="1522" w:type="dxa"/>
            <w:tcBorders>
              <w:top w:val="nil"/>
              <w:left w:val="nil"/>
              <w:bottom w:val="nil"/>
              <w:right w:val="nil"/>
            </w:tcBorders>
          </w:tcPr>
          <w:p w14:paraId="674493A0" w14:textId="77777777" w:rsidR="0068222A" w:rsidRDefault="0068222A">
            <w:pPr>
              <w:spacing w:line="360" w:lineRule="auto"/>
              <w:jc w:val="both"/>
              <w:rPr>
                <w:rFonts w:ascii="Book Antiqua" w:hAnsi="Book Antiqua"/>
              </w:rPr>
            </w:pPr>
          </w:p>
        </w:tc>
        <w:tc>
          <w:tcPr>
            <w:tcW w:w="2145" w:type="dxa"/>
            <w:tcBorders>
              <w:top w:val="nil"/>
              <w:left w:val="nil"/>
              <w:bottom w:val="nil"/>
              <w:right w:val="nil"/>
            </w:tcBorders>
            <w:noWrap/>
            <w:vAlign w:val="center"/>
          </w:tcPr>
          <w:p w14:paraId="4CE04381" w14:textId="77777777" w:rsidR="0068222A" w:rsidRDefault="00000000">
            <w:pPr>
              <w:spacing w:line="360" w:lineRule="auto"/>
              <w:jc w:val="both"/>
              <w:rPr>
                <w:rFonts w:ascii="Book Antiqua" w:hAnsi="Book Antiqua"/>
              </w:rPr>
            </w:pPr>
            <w:r>
              <w:rPr>
                <w:rFonts w:ascii="Book Antiqua" w:hAnsi="Book Antiqua"/>
              </w:rPr>
              <w:t>73.9</w:t>
            </w:r>
            <w:r>
              <w:rPr>
                <w:rFonts w:ascii="Book Antiqua" w:eastAsia="宋体" w:hAnsi="Book Antiqua" w:hint="eastAsia"/>
                <w:lang w:eastAsia="zh-CN"/>
              </w:rPr>
              <w:t>0</w:t>
            </w:r>
            <w:r>
              <w:rPr>
                <w:rFonts w:ascii="Book Antiqua" w:hAnsi="Book Antiqua"/>
              </w:rPr>
              <w:t xml:space="preserve"> (41.74, 130.23)</w:t>
            </w:r>
          </w:p>
        </w:tc>
        <w:tc>
          <w:tcPr>
            <w:tcW w:w="2050" w:type="dxa"/>
            <w:tcBorders>
              <w:top w:val="nil"/>
              <w:left w:val="nil"/>
              <w:bottom w:val="nil"/>
              <w:right w:val="nil"/>
            </w:tcBorders>
            <w:noWrap/>
            <w:vAlign w:val="center"/>
          </w:tcPr>
          <w:p w14:paraId="528A98A9" w14:textId="77777777" w:rsidR="0068222A" w:rsidRDefault="00000000">
            <w:pPr>
              <w:spacing w:line="360" w:lineRule="auto"/>
              <w:jc w:val="both"/>
              <w:rPr>
                <w:rFonts w:ascii="Book Antiqua" w:hAnsi="Book Antiqua"/>
              </w:rPr>
            </w:pPr>
            <w:r>
              <w:rPr>
                <w:rFonts w:ascii="Book Antiqua" w:hAnsi="Book Antiqua"/>
              </w:rPr>
              <w:t>80.35 (46.92, 151.0</w:t>
            </w:r>
            <w:r>
              <w:rPr>
                <w:rFonts w:ascii="Book Antiqua" w:eastAsia="宋体" w:hAnsi="Book Antiqua" w:hint="eastAsia"/>
                <w:lang w:eastAsia="zh-CN"/>
              </w:rPr>
              <w:t>0</w:t>
            </w:r>
            <w:r>
              <w:rPr>
                <w:rFonts w:ascii="Book Antiqua" w:hAnsi="Book Antiqua"/>
              </w:rPr>
              <w:t>)</w:t>
            </w:r>
          </w:p>
        </w:tc>
        <w:tc>
          <w:tcPr>
            <w:tcW w:w="851" w:type="dxa"/>
            <w:tcBorders>
              <w:top w:val="nil"/>
              <w:left w:val="nil"/>
              <w:bottom w:val="nil"/>
              <w:right w:val="nil"/>
            </w:tcBorders>
            <w:noWrap/>
            <w:vAlign w:val="center"/>
          </w:tcPr>
          <w:p w14:paraId="2A0F5B58" w14:textId="77777777" w:rsidR="0068222A" w:rsidRDefault="00000000">
            <w:pPr>
              <w:spacing w:line="360" w:lineRule="auto"/>
              <w:jc w:val="both"/>
              <w:rPr>
                <w:rFonts w:ascii="Book Antiqua" w:hAnsi="Book Antiqua"/>
              </w:rPr>
            </w:pPr>
            <w:r>
              <w:rPr>
                <w:rFonts w:ascii="Book Antiqua" w:hAnsi="Book Antiqua"/>
              </w:rPr>
              <w:t>0.198</w:t>
            </w:r>
          </w:p>
        </w:tc>
      </w:tr>
      <w:tr w:rsidR="0068222A" w14:paraId="135BD57B" w14:textId="77777777">
        <w:trPr>
          <w:trHeight w:val="315"/>
        </w:trPr>
        <w:tc>
          <w:tcPr>
            <w:tcW w:w="1985" w:type="dxa"/>
            <w:tcBorders>
              <w:top w:val="nil"/>
              <w:left w:val="nil"/>
              <w:bottom w:val="nil"/>
              <w:right w:val="nil"/>
            </w:tcBorders>
            <w:noWrap/>
            <w:vAlign w:val="center"/>
          </w:tcPr>
          <w:p w14:paraId="111DBB6B" w14:textId="77777777" w:rsidR="0068222A" w:rsidRDefault="00000000">
            <w:pPr>
              <w:spacing w:line="360" w:lineRule="auto"/>
              <w:jc w:val="both"/>
              <w:rPr>
                <w:rFonts w:ascii="Book Antiqua" w:hAnsi="Book Antiqua"/>
              </w:rPr>
            </w:pPr>
            <w:r>
              <w:rPr>
                <w:rFonts w:ascii="Book Antiqua" w:hAnsi="Book Antiqua"/>
              </w:rPr>
              <w:t>ALT (U/L, median, IQR)</w:t>
            </w:r>
          </w:p>
        </w:tc>
        <w:tc>
          <w:tcPr>
            <w:tcW w:w="1522" w:type="dxa"/>
            <w:tcBorders>
              <w:top w:val="nil"/>
              <w:left w:val="nil"/>
              <w:bottom w:val="nil"/>
              <w:right w:val="nil"/>
            </w:tcBorders>
          </w:tcPr>
          <w:p w14:paraId="3CABBB02" w14:textId="77777777" w:rsidR="0068222A" w:rsidRDefault="0068222A">
            <w:pPr>
              <w:spacing w:line="360" w:lineRule="auto"/>
              <w:jc w:val="both"/>
              <w:rPr>
                <w:rFonts w:ascii="Book Antiqua" w:hAnsi="Book Antiqua"/>
              </w:rPr>
            </w:pPr>
          </w:p>
        </w:tc>
        <w:tc>
          <w:tcPr>
            <w:tcW w:w="2145" w:type="dxa"/>
            <w:tcBorders>
              <w:top w:val="nil"/>
              <w:left w:val="nil"/>
              <w:bottom w:val="nil"/>
              <w:right w:val="nil"/>
            </w:tcBorders>
            <w:noWrap/>
            <w:vAlign w:val="center"/>
          </w:tcPr>
          <w:p w14:paraId="23320BFA" w14:textId="77777777" w:rsidR="0068222A" w:rsidRDefault="00000000">
            <w:pPr>
              <w:spacing w:line="360" w:lineRule="auto"/>
              <w:jc w:val="both"/>
              <w:rPr>
                <w:rFonts w:ascii="Book Antiqua" w:hAnsi="Book Antiqua"/>
              </w:rPr>
            </w:pPr>
            <w:r>
              <w:rPr>
                <w:rFonts w:ascii="Book Antiqua" w:hAnsi="Book Antiqua"/>
              </w:rPr>
              <w:t>32.8</w:t>
            </w:r>
            <w:r>
              <w:rPr>
                <w:rFonts w:ascii="Book Antiqua" w:eastAsia="宋体" w:hAnsi="Book Antiqua" w:hint="eastAsia"/>
                <w:lang w:eastAsia="zh-CN"/>
              </w:rPr>
              <w:t>0</w:t>
            </w:r>
            <w:r>
              <w:rPr>
                <w:rFonts w:ascii="Book Antiqua" w:hAnsi="Book Antiqua"/>
              </w:rPr>
              <w:t xml:space="preserve"> (21.11, 51.7</w:t>
            </w:r>
            <w:r>
              <w:rPr>
                <w:rFonts w:ascii="Book Antiqua" w:eastAsia="宋体" w:hAnsi="Book Antiqua" w:hint="eastAsia"/>
                <w:lang w:eastAsia="zh-CN"/>
              </w:rPr>
              <w:t>0</w:t>
            </w:r>
            <w:r>
              <w:rPr>
                <w:rFonts w:ascii="Book Antiqua" w:hAnsi="Book Antiqua"/>
              </w:rPr>
              <w:t>)</w:t>
            </w:r>
          </w:p>
        </w:tc>
        <w:tc>
          <w:tcPr>
            <w:tcW w:w="2050" w:type="dxa"/>
            <w:tcBorders>
              <w:top w:val="nil"/>
              <w:left w:val="nil"/>
              <w:bottom w:val="nil"/>
              <w:right w:val="nil"/>
            </w:tcBorders>
            <w:noWrap/>
            <w:vAlign w:val="center"/>
          </w:tcPr>
          <w:p w14:paraId="52023DE7" w14:textId="77777777" w:rsidR="0068222A" w:rsidRDefault="00000000">
            <w:pPr>
              <w:spacing w:line="360" w:lineRule="auto"/>
              <w:jc w:val="both"/>
              <w:rPr>
                <w:rFonts w:ascii="Book Antiqua" w:hAnsi="Book Antiqua"/>
              </w:rPr>
            </w:pPr>
            <w:r>
              <w:rPr>
                <w:rFonts w:ascii="Book Antiqua" w:hAnsi="Book Antiqua"/>
              </w:rPr>
              <w:t>29.51 (20.50, 48.82)</w:t>
            </w:r>
          </w:p>
        </w:tc>
        <w:tc>
          <w:tcPr>
            <w:tcW w:w="851" w:type="dxa"/>
            <w:tcBorders>
              <w:top w:val="nil"/>
              <w:left w:val="nil"/>
              <w:bottom w:val="nil"/>
              <w:right w:val="nil"/>
            </w:tcBorders>
            <w:noWrap/>
            <w:vAlign w:val="center"/>
          </w:tcPr>
          <w:p w14:paraId="3B0D96B8" w14:textId="77777777" w:rsidR="0068222A" w:rsidRDefault="00000000">
            <w:pPr>
              <w:spacing w:line="360" w:lineRule="auto"/>
              <w:jc w:val="both"/>
              <w:rPr>
                <w:rFonts w:ascii="Book Antiqua" w:hAnsi="Book Antiqua"/>
              </w:rPr>
            </w:pPr>
            <w:r>
              <w:rPr>
                <w:rFonts w:ascii="Book Antiqua" w:hAnsi="Book Antiqua"/>
                <w:bCs/>
              </w:rPr>
              <w:t>0.176</w:t>
            </w:r>
          </w:p>
        </w:tc>
      </w:tr>
      <w:tr w:rsidR="0068222A" w14:paraId="112EDCC6" w14:textId="77777777">
        <w:trPr>
          <w:trHeight w:val="315"/>
        </w:trPr>
        <w:tc>
          <w:tcPr>
            <w:tcW w:w="1985" w:type="dxa"/>
            <w:tcBorders>
              <w:top w:val="nil"/>
              <w:left w:val="nil"/>
              <w:bottom w:val="nil"/>
              <w:right w:val="nil"/>
            </w:tcBorders>
            <w:noWrap/>
            <w:vAlign w:val="center"/>
          </w:tcPr>
          <w:p w14:paraId="451991D8" w14:textId="77777777" w:rsidR="0068222A" w:rsidRDefault="00000000">
            <w:pPr>
              <w:spacing w:line="360" w:lineRule="auto"/>
              <w:jc w:val="both"/>
              <w:rPr>
                <w:rFonts w:ascii="Book Antiqua" w:hAnsi="Book Antiqua"/>
              </w:rPr>
            </w:pPr>
            <w:r>
              <w:rPr>
                <w:rFonts w:ascii="Book Antiqua" w:hAnsi="Book Antiqua"/>
              </w:rPr>
              <w:t>AST (U/L, median, IQR)</w:t>
            </w:r>
          </w:p>
        </w:tc>
        <w:tc>
          <w:tcPr>
            <w:tcW w:w="1522" w:type="dxa"/>
            <w:tcBorders>
              <w:top w:val="nil"/>
              <w:left w:val="nil"/>
              <w:bottom w:val="nil"/>
              <w:right w:val="nil"/>
            </w:tcBorders>
          </w:tcPr>
          <w:p w14:paraId="00FCF439" w14:textId="77777777" w:rsidR="0068222A" w:rsidRDefault="0068222A">
            <w:pPr>
              <w:spacing w:line="360" w:lineRule="auto"/>
              <w:jc w:val="both"/>
              <w:rPr>
                <w:rFonts w:ascii="Book Antiqua" w:hAnsi="Book Antiqua"/>
              </w:rPr>
            </w:pPr>
          </w:p>
        </w:tc>
        <w:tc>
          <w:tcPr>
            <w:tcW w:w="2145" w:type="dxa"/>
            <w:tcBorders>
              <w:top w:val="nil"/>
              <w:left w:val="nil"/>
              <w:bottom w:val="nil"/>
              <w:right w:val="nil"/>
            </w:tcBorders>
            <w:noWrap/>
            <w:vAlign w:val="center"/>
          </w:tcPr>
          <w:p w14:paraId="0331DFA4" w14:textId="77777777" w:rsidR="0068222A" w:rsidRDefault="00000000">
            <w:pPr>
              <w:spacing w:line="360" w:lineRule="auto"/>
              <w:jc w:val="both"/>
              <w:rPr>
                <w:rFonts w:ascii="Book Antiqua" w:hAnsi="Book Antiqua"/>
              </w:rPr>
            </w:pPr>
            <w:r>
              <w:rPr>
                <w:rFonts w:ascii="Book Antiqua" w:hAnsi="Book Antiqua"/>
              </w:rPr>
              <w:t>36.47 (26.75, 53.8</w:t>
            </w:r>
            <w:r>
              <w:rPr>
                <w:rFonts w:ascii="Book Antiqua" w:eastAsia="宋体" w:hAnsi="Book Antiqua" w:hint="eastAsia"/>
                <w:lang w:eastAsia="zh-CN"/>
              </w:rPr>
              <w:t>0</w:t>
            </w:r>
            <w:r>
              <w:rPr>
                <w:rFonts w:ascii="Book Antiqua" w:hAnsi="Book Antiqua"/>
              </w:rPr>
              <w:t>)</w:t>
            </w:r>
          </w:p>
        </w:tc>
        <w:tc>
          <w:tcPr>
            <w:tcW w:w="2050" w:type="dxa"/>
            <w:tcBorders>
              <w:top w:val="nil"/>
              <w:left w:val="nil"/>
              <w:bottom w:val="nil"/>
              <w:right w:val="nil"/>
            </w:tcBorders>
            <w:noWrap/>
            <w:vAlign w:val="center"/>
          </w:tcPr>
          <w:p w14:paraId="2B5D3B25" w14:textId="77777777" w:rsidR="0068222A" w:rsidRDefault="00000000">
            <w:pPr>
              <w:spacing w:line="360" w:lineRule="auto"/>
              <w:jc w:val="both"/>
              <w:rPr>
                <w:rFonts w:ascii="Book Antiqua" w:hAnsi="Book Antiqua"/>
              </w:rPr>
            </w:pPr>
            <w:r>
              <w:rPr>
                <w:rFonts w:ascii="Book Antiqua" w:hAnsi="Book Antiqua"/>
              </w:rPr>
              <w:t>35.04 (25.90, 51.6</w:t>
            </w:r>
            <w:r>
              <w:rPr>
                <w:rFonts w:ascii="Book Antiqua" w:eastAsia="宋体" w:hAnsi="Book Antiqua" w:hint="eastAsia"/>
                <w:lang w:eastAsia="zh-CN"/>
              </w:rPr>
              <w:t>0</w:t>
            </w:r>
            <w:r>
              <w:rPr>
                <w:rFonts w:ascii="Book Antiqua" w:hAnsi="Book Antiqua"/>
              </w:rPr>
              <w:t>)</w:t>
            </w:r>
          </w:p>
        </w:tc>
        <w:tc>
          <w:tcPr>
            <w:tcW w:w="851" w:type="dxa"/>
            <w:tcBorders>
              <w:top w:val="nil"/>
              <w:left w:val="nil"/>
              <w:bottom w:val="nil"/>
              <w:right w:val="nil"/>
            </w:tcBorders>
            <w:noWrap/>
            <w:vAlign w:val="center"/>
          </w:tcPr>
          <w:p w14:paraId="32B2D1FE" w14:textId="77777777" w:rsidR="0068222A" w:rsidRDefault="00000000">
            <w:pPr>
              <w:spacing w:line="360" w:lineRule="auto"/>
              <w:jc w:val="both"/>
              <w:rPr>
                <w:rFonts w:ascii="Book Antiqua" w:hAnsi="Book Antiqua"/>
              </w:rPr>
            </w:pPr>
            <w:r>
              <w:rPr>
                <w:rFonts w:ascii="Book Antiqua" w:hAnsi="Book Antiqua"/>
                <w:bCs/>
              </w:rPr>
              <w:t>0.449</w:t>
            </w:r>
          </w:p>
        </w:tc>
      </w:tr>
      <w:tr w:rsidR="0068222A" w14:paraId="311041A0" w14:textId="77777777">
        <w:trPr>
          <w:trHeight w:val="315"/>
        </w:trPr>
        <w:tc>
          <w:tcPr>
            <w:tcW w:w="1985" w:type="dxa"/>
            <w:tcBorders>
              <w:top w:val="nil"/>
              <w:left w:val="nil"/>
              <w:bottom w:val="nil"/>
              <w:right w:val="nil"/>
            </w:tcBorders>
            <w:noWrap/>
            <w:vAlign w:val="center"/>
          </w:tcPr>
          <w:p w14:paraId="4DD84B71" w14:textId="77777777" w:rsidR="0068222A" w:rsidRDefault="00000000">
            <w:pPr>
              <w:spacing w:line="360" w:lineRule="auto"/>
              <w:jc w:val="both"/>
              <w:rPr>
                <w:rFonts w:ascii="Book Antiqua" w:hAnsi="Book Antiqua"/>
              </w:rPr>
            </w:pPr>
            <w:r>
              <w:rPr>
                <w:rFonts w:ascii="Book Antiqua" w:hAnsi="Book Antiqua"/>
              </w:rPr>
              <w:lastRenderedPageBreak/>
              <w:t>TB (mg/dL)</w:t>
            </w:r>
          </w:p>
        </w:tc>
        <w:tc>
          <w:tcPr>
            <w:tcW w:w="1522" w:type="dxa"/>
            <w:tcBorders>
              <w:top w:val="nil"/>
              <w:left w:val="nil"/>
              <w:bottom w:val="nil"/>
              <w:right w:val="nil"/>
            </w:tcBorders>
          </w:tcPr>
          <w:p w14:paraId="7DD31663" w14:textId="77777777" w:rsidR="0068222A" w:rsidRDefault="0068222A">
            <w:pPr>
              <w:spacing w:line="360" w:lineRule="auto"/>
              <w:jc w:val="both"/>
              <w:rPr>
                <w:rFonts w:ascii="Book Antiqua" w:hAnsi="Book Antiqua"/>
              </w:rPr>
            </w:pPr>
          </w:p>
        </w:tc>
        <w:tc>
          <w:tcPr>
            <w:tcW w:w="2145" w:type="dxa"/>
            <w:tcBorders>
              <w:top w:val="nil"/>
              <w:left w:val="nil"/>
              <w:bottom w:val="nil"/>
              <w:right w:val="nil"/>
            </w:tcBorders>
            <w:noWrap/>
            <w:vAlign w:val="center"/>
          </w:tcPr>
          <w:p w14:paraId="260EBE84" w14:textId="4EAD6227" w:rsidR="0068222A" w:rsidRDefault="00000000">
            <w:pPr>
              <w:spacing w:line="360" w:lineRule="auto"/>
              <w:jc w:val="both"/>
              <w:rPr>
                <w:rFonts w:ascii="Book Antiqua" w:hAnsi="Book Antiqua"/>
              </w:rPr>
            </w:pPr>
            <w:r>
              <w:rPr>
                <w:rFonts w:ascii="Book Antiqua" w:hAnsi="Book Antiqua"/>
              </w:rPr>
              <w:t>17.41</w:t>
            </w:r>
            <w:r w:rsidR="00650D94">
              <w:rPr>
                <w:rFonts w:ascii="Book Antiqua" w:hAnsi="Book Antiqua"/>
              </w:rPr>
              <w:t xml:space="preserve"> </w:t>
            </w:r>
            <w:r>
              <w:rPr>
                <w:rFonts w:ascii="Book Antiqua" w:hAnsi="Book Antiqua"/>
              </w:rPr>
              <w:t>±</w:t>
            </w:r>
            <w:r w:rsidR="00650D94">
              <w:rPr>
                <w:rFonts w:ascii="Book Antiqua" w:hAnsi="Book Antiqua"/>
              </w:rPr>
              <w:t xml:space="preserve"> </w:t>
            </w:r>
            <w:r>
              <w:rPr>
                <w:rFonts w:ascii="Book Antiqua" w:hAnsi="Book Antiqua"/>
              </w:rPr>
              <w:t>26.52</w:t>
            </w:r>
          </w:p>
        </w:tc>
        <w:tc>
          <w:tcPr>
            <w:tcW w:w="2050" w:type="dxa"/>
            <w:tcBorders>
              <w:top w:val="nil"/>
              <w:left w:val="nil"/>
              <w:bottom w:val="nil"/>
              <w:right w:val="nil"/>
            </w:tcBorders>
            <w:noWrap/>
            <w:vAlign w:val="center"/>
          </w:tcPr>
          <w:p w14:paraId="1EAF8CD2" w14:textId="087614CC" w:rsidR="0068222A" w:rsidRDefault="00000000">
            <w:pPr>
              <w:spacing w:line="360" w:lineRule="auto"/>
              <w:jc w:val="both"/>
              <w:rPr>
                <w:rFonts w:ascii="Book Antiqua" w:hAnsi="Book Antiqua"/>
              </w:rPr>
            </w:pPr>
            <w:r>
              <w:rPr>
                <w:rFonts w:ascii="Book Antiqua" w:hAnsi="Book Antiqua"/>
              </w:rPr>
              <w:t>17.40</w:t>
            </w:r>
            <w:r w:rsidR="00650D94">
              <w:rPr>
                <w:rFonts w:ascii="Book Antiqua" w:hAnsi="Book Antiqua"/>
              </w:rPr>
              <w:t xml:space="preserve"> </w:t>
            </w:r>
            <w:r>
              <w:rPr>
                <w:rFonts w:ascii="Book Antiqua" w:hAnsi="Book Antiqua"/>
              </w:rPr>
              <w:t>±</w:t>
            </w:r>
            <w:r w:rsidR="00650D94">
              <w:rPr>
                <w:rFonts w:ascii="Book Antiqua" w:hAnsi="Book Antiqua"/>
              </w:rPr>
              <w:t xml:space="preserve"> </w:t>
            </w:r>
            <w:r>
              <w:rPr>
                <w:rFonts w:ascii="Book Antiqua" w:hAnsi="Book Antiqua"/>
              </w:rPr>
              <w:t>23.84</w:t>
            </w:r>
          </w:p>
        </w:tc>
        <w:tc>
          <w:tcPr>
            <w:tcW w:w="851" w:type="dxa"/>
            <w:tcBorders>
              <w:top w:val="nil"/>
              <w:left w:val="nil"/>
              <w:bottom w:val="nil"/>
              <w:right w:val="nil"/>
            </w:tcBorders>
            <w:noWrap/>
            <w:vAlign w:val="center"/>
          </w:tcPr>
          <w:p w14:paraId="4FBA16FA" w14:textId="77777777" w:rsidR="0068222A" w:rsidRDefault="00000000">
            <w:pPr>
              <w:spacing w:line="360" w:lineRule="auto"/>
              <w:jc w:val="both"/>
              <w:rPr>
                <w:rFonts w:ascii="Book Antiqua" w:hAnsi="Book Antiqua"/>
              </w:rPr>
            </w:pPr>
            <w:r>
              <w:rPr>
                <w:rFonts w:ascii="Book Antiqua" w:hAnsi="Book Antiqua"/>
              </w:rPr>
              <w:t>0.995</w:t>
            </w:r>
          </w:p>
        </w:tc>
      </w:tr>
      <w:tr w:rsidR="0068222A" w14:paraId="74933FA7" w14:textId="77777777">
        <w:trPr>
          <w:trHeight w:val="315"/>
        </w:trPr>
        <w:tc>
          <w:tcPr>
            <w:tcW w:w="1985" w:type="dxa"/>
            <w:tcBorders>
              <w:top w:val="nil"/>
              <w:left w:val="nil"/>
              <w:right w:val="nil"/>
            </w:tcBorders>
            <w:noWrap/>
            <w:vAlign w:val="center"/>
          </w:tcPr>
          <w:p w14:paraId="57B25191" w14:textId="77777777" w:rsidR="0068222A" w:rsidRDefault="00000000">
            <w:pPr>
              <w:spacing w:line="360" w:lineRule="auto"/>
              <w:jc w:val="both"/>
              <w:rPr>
                <w:rFonts w:ascii="Book Antiqua" w:hAnsi="Book Antiqua"/>
              </w:rPr>
            </w:pPr>
            <w:r>
              <w:rPr>
                <w:rFonts w:ascii="Book Antiqua" w:hAnsi="Book Antiqua"/>
              </w:rPr>
              <w:t>DB (mg/dL)</w:t>
            </w:r>
          </w:p>
        </w:tc>
        <w:tc>
          <w:tcPr>
            <w:tcW w:w="1522" w:type="dxa"/>
            <w:tcBorders>
              <w:top w:val="nil"/>
              <w:left w:val="nil"/>
              <w:right w:val="nil"/>
            </w:tcBorders>
          </w:tcPr>
          <w:p w14:paraId="6EF01B96" w14:textId="77777777" w:rsidR="0068222A" w:rsidRDefault="0068222A">
            <w:pPr>
              <w:spacing w:line="360" w:lineRule="auto"/>
              <w:jc w:val="both"/>
              <w:rPr>
                <w:rFonts w:ascii="Book Antiqua" w:hAnsi="Book Antiqua"/>
              </w:rPr>
            </w:pPr>
          </w:p>
        </w:tc>
        <w:tc>
          <w:tcPr>
            <w:tcW w:w="2145" w:type="dxa"/>
            <w:tcBorders>
              <w:top w:val="nil"/>
              <w:left w:val="nil"/>
              <w:right w:val="nil"/>
            </w:tcBorders>
            <w:noWrap/>
            <w:vAlign w:val="center"/>
          </w:tcPr>
          <w:p w14:paraId="0C5F49A0" w14:textId="77777777" w:rsidR="0068222A" w:rsidRDefault="00000000">
            <w:pPr>
              <w:spacing w:line="360" w:lineRule="auto"/>
              <w:jc w:val="both"/>
              <w:rPr>
                <w:rFonts w:ascii="Book Antiqua" w:hAnsi="Book Antiqua"/>
              </w:rPr>
            </w:pPr>
            <w:r>
              <w:rPr>
                <w:rFonts w:ascii="Book Antiqua" w:hAnsi="Book Antiqua"/>
              </w:rPr>
              <w:t>7.99 ± 17.54</w:t>
            </w:r>
          </w:p>
        </w:tc>
        <w:tc>
          <w:tcPr>
            <w:tcW w:w="2050" w:type="dxa"/>
            <w:tcBorders>
              <w:top w:val="nil"/>
              <w:left w:val="nil"/>
              <w:right w:val="nil"/>
            </w:tcBorders>
            <w:noWrap/>
            <w:vAlign w:val="center"/>
          </w:tcPr>
          <w:p w14:paraId="3E98239E" w14:textId="77777777" w:rsidR="0068222A" w:rsidRDefault="00000000">
            <w:pPr>
              <w:spacing w:line="360" w:lineRule="auto"/>
              <w:jc w:val="both"/>
              <w:rPr>
                <w:rFonts w:ascii="Book Antiqua" w:hAnsi="Book Antiqua"/>
              </w:rPr>
            </w:pPr>
            <w:r>
              <w:rPr>
                <w:rFonts w:ascii="Book Antiqua" w:hAnsi="Book Antiqua"/>
              </w:rPr>
              <w:t>8.92 ± 23.26</w:t>
            </w:r>
          </w:p>
        </w:tc>
        <w:tc>
          <w:tcPr>
            <w:tcW w:w="851" w:type="dxa"/>
            <w:tcBorders>
              <w:top w:val="nil"/>
              <w:left w:val="nil"/>
              <w:right w:val="nil"/>
            </w:tcBorders>
            <w:noWrap/>
            <w:vAlign w:val="center"/>
          </w:tcPr>
          <w:p w14:paraId="6D9B297B" w14:textId="77777777" w:rsidR="0068222A" w:rsidRDefault="00000000">
            <w:pPr>
              <w:spacing w:line="360" w:lineRule="auto"/>
              <w:jc w:val="both"/>
              <w:rPr>
                <w:rFonts w:ascii="Book Antiqua" w:hAnsi="Book Antiqua"/>
              </w:rPr>
            </w:pPr>
            <w:r>
              <w:rPr>
                <w:rFonts w:ascii="Book Antiqua" w:hAnsi="Book Antiqua"/>
              </w:rPr>
              <w:t>0.658</w:t>
            </w:r>
          </w:p>
        </w:tc>
      </w:tr>
      <w:tr w:rsidR="0068222A" w14:paraId="3A74F9DB" w14:textId="77777777">
        <w:trPr>
          <w:trHeight w:val="315"/>
        </w:trPr>
        <w:tc>
          <w:tcPr>
            <w:tcW w:w="1985" w:type="dxa"/>
            <w:tcBorders>
              <w:top w:val="nil"/>
              <w:left w:val="nil"/>
              <w:bottom w:val="single" w:sz="12" w:space="0" w:color="auto"/>
              <w:right w:val="nil"/>
            </w:tcBorders>
            <w:noWrap/>
            <w:vAlign w:val="center"/>
          </w:tcPr>
          <w:p w14:paraId="4FFDE021" w14:textId="77777777" w:rsidR="0068222A" w:rsidRDefault="00000000">
            <w:pPr>
              <w:spacing w:line="360" w:lineRule="auto"/>
              <w:jc w:val="both"/>
              <w:rPr>
                <w:rFonts w:ascii="Book Antiqua" w:hAnsi="Book Antiqua"/>
                <w:highlight w:val="yellow"/>
              </w:rPr>
            </w:pPr>
            <w:r>
              <w:rPr>
                <w:rFonts w:ascii="Book Antiqua" w:hAnsi="Book Antiqua"/>
              </w:rPr>
              <w:t>ALBI</w:t>
            </w:r>
          </w:p>
        </w:tc>
        <w:tc>
          <w:tcPr>
            <w:tcW w:w="1522" w:type="dxa"/>
            <w:tcBorders>
              <w:top w:val="nil"/>
              <w:left w:val="nil"/>
              <w:bottom w:val="single" w:sz="12" w:space="0" w:color="auto"/>
              <w:right w:val="nil"/>
            </w:tcBorders>
          </w:tcPr>
          <w:p w14:paraId="598C3292" w14:textId="77777777" w:rsidR="0068222A" w:rsidRDefault="0068222A">
            <w:pPr>
              <w:spacing w:line="360" w:lineRule="auto"/>
              <w:jc w:val="both"/>
              <w:rPr>
                <w:rFonts w:ascii="Book Antiqua" w:hAnsi="Book Antiqua"/>
                <w:highlight w:val="yellow"/>
              </w:rPr>
            </w:pPr>
          </w:p>
        </w:tc>
        <w:tc>
          <w:tcPr>
            <w:tcW w:w="2145" w:type="dxa"/>
            <w:tcBorders>
              <w:top w:val="nil"/>
              <w:left w:val="nil"/>
              <w:bottom w:val="single" w:sz="12" w:space="0" w:color="auto"/>
              <w:right w:val="nil"/>
            </w:tcBorders>
            <w:noWrap/>
            <w:vAlign w:val="center"/>
          </w:tcPr>
          <w:p w14:paraId="727CEA0C" w14:textId="77777777" w:rsidR="0068222A" w:rsidRDefault="00000000">
            <w:pPr>
              <w:spacing w:line="360" w:lineRule="auto"/>
              <w:jc w:val="both"/>
              <w:rPr>
                <w:rFonts w:ascii="Book Antiqua" w:hAnsi="Book Antiqua"/>
                <w:highlight w:val="yellow"/>
              </w:rPr>
            </w:pPr>
            <w:r>
              <w:rPr>
                <w:rFonts w:ascii="Book Antiqua" w:hAnsi="Book Antiqua"/>
              </w:rPr>
              <w:t>-2.50 ± 0.47</w:t>
            </w:r>
          </w:p>
        </w:tc>
        <w:tc>
          <w:tcPr>
            <w:tcW w:w="2050" w:type="dxa"/>
            <w:tcBorders>
              <w:top w:val="nil"/>
              <w:left w:val="nil"/>
              <w:bottom w:val="single" w:sz="12" w:space="0" w:color="auto"/>
              <w:right w:val="nil"/>
            </w:tcBorders>
            <w:noWrap/>
            <w:vAlign w:val="center"/>
          </w:tcPr>
          <w:p w14:paraId="3D2BB47D" w14:textId="77777777" w:rsidR="0068222A" w:rsidRDefault="00000000">
            <w:pPr>
              <w:spacing w:line="360" w:lineRule="auto"/>
              <w:jc w:val="both"/>
              <w:rPr>
                <w:rFonts w:ascii="Book Antiqua" w:hAnsi="Book Antiqua"/>
                <w:highlight w:val="yellow"/>
              </w:rPr>
            </w:pPr>
            <w:r>
              <w:rPr>
                <w:rFonts w:ascii="Book Antiqua" w:hAnsi="Book Antiqua"/>
              </w:rPr>
              <w:t>-2.53 ± 0.42</w:t>
            </w:r>
          </w:p>
        </w:tc>
        <w:tc>
          <w:tcPr>
            <w:tcW w:w="851" w:type="dxa"/>
            <w:tcBorders>
              <w:top w:val="nil"/>
              <w:left w:val="nil"/>
              <w:bottom w:val="single" w:sz="12" w:space="0" w:color="auto"/>
              <w:right w:val="nil"/>
            </w:tcBorders>
            <w:noWrap/>
            <w:vAlign w:val="center"/>
          </w:tcPr>
          <w:p w14:paraId="50B7E910" w14:textId="77777777" w:rsidR="0068222A" w:rsidRDefault="00000000">
            <w:pPr>
              <w:spacing w:line="360" w:lineRule="auto"/>
              <w:jc w:val="both"/>
              <w:rPr>
                <w:rFonts w:ascii="Book Antiqua" w:hAnsi="Book Antiqua"/>
                <w:highlight w:val="yellow"/>
              </w:rPr>
            </w:pPr>
            <w:r>
              <w:rPr>
                <w:rFonts w:ascii="Book Antiqua" w:hAnsi="Book Antiqua"/>
              </w:rPr>
              <w:t>0.493</w:t>
            </w:r>
          </w:p>
        </w:tc>
      </w:tr>
    </w:tbl>
    <w:p w14:paraId="34A227BE" w14:textId="77777777" w:rsidR="0068222A" w:rsidRDefault="00000000">
      <w:pPr>
        <w:spacing w:line="360" w:lineRule="auto"/>
        <w:jc w:val="both"/>
        <w:rPr>
          <w:rFonts w:ascii="Book Antiqua" w:hAnsi="Book Antiqua"/>
        </w:rPr>
      </w:pPr>
      <w:bookmarkStart w:id="108" w:name="OLE_LINK6120"/>
      <w:bookmarkStart w:id="109" w:name="OLE_LINK6119"/>
      <w:r>
        <w:rPr>
          <w:rFonts w:ascii="Book Antiqua" w:hAnsi="Book Antiqua"/>
        </w:rPr>
        <w:t>HBsAg: Hepatitis B surface antigen; BCLC: Barcelona Clinic Liver Cancer stage; MVI: Microvascular invasion; AFP: Alpha</w:t>
      </w:r>
      <w:r>
        <w:rPr>
          <w:rFonts w:ascii="Book Antiqua" w:eastAsia="宋体" w:hAnsi="Book Antiqua" w:hint="eastAsia"/>
          <w:lang w:eastAsia="zh-CN"/>
        </w:rPr>
        <w:t>-</w:t>
      </w:r>
      <w:r>
        <w:rPr>
          <w:rFonts w:ascii="Book Antiqua" w:hAnsi="Book Antiqua"/>
        </w:rPr>
        <w:t xml:space="preserve">fetoprotein; GGT: Gamma-glutamyl transpeptidase; </w:t>
      </w:r>
      <w:bookmarkStart w:id="110" w:name="_Hlk108446050"/>
      <w:r>
        <w:rPr>
          <w:rFonts w:ascii="Book Antiqua" w:hAnsi="Book Antiqua"/>
        </w:rPr>
        <w:t>IQR: Interquartile range;</w:t>
      </w:r>
      <w:bookmarkEnd w:id="110"/>
      <w:r>
        <w:rPr>
          <w:rFonts w:ascii="Book Antiqua" w:hAnsi="Book Antiqua"/>
        </w:rPr>
        <w:t xml:space="preserve"> ALT: Alanine transaminase; AST:</w:t>
      </w:r>
      <w:r>
        <w:rPr>
          <w:rFonts w:ascii="Book Antiqua" w:hAnsi="Book Antiqua" w:cs="Segoe UI"/>
          <w:color w:val="212121"/>
          <w:shd w:val="clear" w:color="auto" w:fill="FFFFFF"/>
        </w:rPr>
        <w:t xml:space="preserve"> </w:t>
      </w:r>
      <w:r>
        <w:rPr>
          <w:rFonts w:ascii="Book Antiqua" w:hAnsi="Book Antiqua"/>
        </w:rPr>
        <w:t>Aspartate transaminase; TB: Total bilirubin; DB: Direct bilirubin; ALBI: Albumin-bilirubin.</w:t>
      </w:r>
    </w:p>
    <w:bookmarkEnd w:id="108"/>
    <w:bookmarkEnd w:id="109"/>
    <w:p w14:paraId="4BDB6E0D" w14:textId="77777777" w:rsidR="0068222A" w:rsidRDefault="0068222A">
      <w:pPr>
        <w:spacing w:line="360" w:lineRule="auto"/>
        <w:jc w:val="both"/>
        <w:rPr>
          <w:rFonts w:ascii="Book Antiqua" w:hAnsi="Book Antiqua"/>
          <w:b/>
          <w:bCs/>
          <w:color w:val="000000"/>
        </w:rPr>
      </w:pPr>
    </w:p>
    <w:p w14:paraId="3C19D43F" w14:textId="77777777" w:rsidR="0068222A" w:rsidRDefault="0068222A">
      <w:pPr>
        <w:spacing w:line="360" w:lineRule="auto"/>
        <w:jc w:val="both"/>
        <w:rPr>
          <w:rFonts w:ascii="Book Antiqua" w:hAnsi="Book Antiqua"/>
          <w:b/>
          <w:bCs/>
          <w:color w:val="000000"/>
        </w:rPr>
        <w:sectPr w:rsidR="0068222A">
          <w:pgSz w:w="11906" w:h="16838"/>
          <w:pgMar w:top="1440" w:right="1800" w:bottom="1440" w:left="1800" w:header="851" w:footer="992" w:gutter="0"/>
          <w:cols w:space="425"/>
          <w:docGrid w:type="lines" w:linePitch="312"/>
        </w:sectPr>
      </w:pPr>
    </w:p>
    <w:p w14:paraId="45F04177" w14:textId="77777777" w:rsidR="0068222A" w:rsidRDefault="00000000">
      <w:pPr>
        <w:spacing w:line="360" w:lineRule="auto"/>
        <w:jc w:val="both"/>
        <w:rPr>
          <w:rFonts w:ascii="Book Antiqua" w:hAnsi="Book Antiqua" w:cs="Arial"/>
          <w:b/>
          <w:bCs/>
          <w:color w:val="000000"/>
          <w:shd w:val="clear" w:color="auto" w:fill="FFFFFF"/>
        </w:rPr>
      </w:pPr>
      <w:bookmarkStart w:id="111" w:name="OLE_LINK6118"/>
      <w:bookmarkStart w:id="112" w:name="OLE_LINK6117"/>
      <w:r>
        <w:rPr>
          <w:rFonts w:ascii="Book Antiqua" w:hAnsi="Book Antiqua"/>
          <w:b/>
          <w:bCs/>
          <w:color w:val="000000"/>
        </w:rPr>
        <w:lastRenderedPageBreak/>
        <w:t xml:space="preserve">Table 2 </w:t>
      </w:r>
      <w:r>
        <w:rPr>
          <w:rFonts w:ascii="Book Antiqua" w:hAnsi="Book Antiqua" w:cs="Arial"/>
          <w:b/>
          <w:bCs/>
          <w:color w:val="000000"/>
          <w:shd w:val="clear" w:color="auto" w:fill="FFFFFF"/>
        </w:rPr>
        <w:t xml:space="preserve">Univariate and multivariate Cox regression analyses of </w:t>
      </w:r>
      <w:hyperlink r:id="rId15" w:history="1">
        <w:r>
          <w:rPr>
            <w:rFonts w:ascii="Book Antiqua" w:hAnsi="Book Antiqua" w:cs="Arial"/>
            <w:b/>
            <w:bCs/>
            <w:color w:val="000000"/>
            <w:shd w:val="clear" w:color="auto" w:fill="FFFFFF"/>
          </w:rPr>
          <w:t>clinicopathologic</w:t>
        </w:r>
      </w:hyperlink>
      <w:r>
        <w:rPr>
          <w:rFonts w:ascii="Book Antiqua" w:hAnsi="Book Antiqua" w:cs="Arial"/>
          <w:b/>
          <w:bCs/>
          <w:color w:val="000000"/>
          <w:shd w:val="clear" w:color="auto" w:fill="FFFFFF"/>
        </w:rPr>
        <w:t xml:space="preserve"> </w:t>
      </w:r>
      <w:r>
        <w:rPr>
          <w:rFonts w:ascii="Book Antiqua" w:hAnsi="Book Antiqua" w:cs="Arial"/>
          <w:b/>
          <w:bCs/>
          <w:shd w:val="clear" w:color="auto" w:fill="FFFFFF"/>
        </w:rPr>
        <w:t xml:space="preserve">characteristics </w:t>
      </w:r>
      <w:r>
        <w:rPr>
          <w:rFonts w:ascii="Book Antiqua" w:hAnsi="Book Antiqua" w:cs="Arial"/>
          <w:b/>
          <w:bCs/>
          <w:kern w:val="2"/>
          <w:shd w:val="clear" w:color="auto" w:fill="FFFFFF"/>
        </w:rPr>
        <w:t xml:space="preserve">for </w:t>
      </w:r>
      <w:r>
        <w:rPr>
          <w:rFonts w:ascii="Book Antiqua" w:eastAsia="Book Antiqua" w:hAnsi="Book Antiqua" w:cs="Book Antiqua"/>
          <w:b/>
          <w:bCs/>
          <w:color w:val="000000" w:themeColor="text1"/>
        </w:rPr>
        <w:t>recurrence-free survival</w:t>
      </w:r>
      <w:r>
        <w:rPr>
          <w:rFonts w:ascii="Book Antiqua" w:hAnsi="Book Antiqua" w:cs="Arial"/>
          <w:b/>
          <w:bCs/>
          <w:kern w:val="2"/>
          <w:shd w:val="clear" w:color="auto" w:fill="FFFFFF"/>
        </w:rPr>
        <w:t xml:space="preserve"> in training cohort with </w:t>
      </w:r>
      <w:r>
        <w:rPr>
          <w:rFonts w:ascii="Book Antiqua" w:eastAsia="Book Antiqua" w:hAnsi="Book Antiqua" w:cs="Book Antiqua"/>
          <w:b/>
          <w:bCs/>
          <w:color w:val="000000" w:themeColor="text1"/>
        </w:rPr>
        <w:t>hepatocellular carcinoma</w:t>
      </w:r>
    </w:p>
    <w:tbl>
      <w:tblPr>
        <w:tblW w:w="9231" w:type="dxa"/>
        <w:tblInd w:w="91" w:type="dxa"/>
        <w:tblLayout w:type="fixed"/>
        <w:tblLook w:val="04A0" w:firstRow="1" w:lastRow="0" w:firstColumn="1" w:lastColumn="0" w:noHBand="0" w:noVBand="1"/>
      </w:tblPr>
      <w:tblGrid>
        <w:gridCol w:w="3345"/>
        <w:gridCol w:w="790"/>
        <w:gridCol w:w="1220"/>
        <w:gridCol w:w="962"/>
        <w:gridCol w:w="646"/>
        <w:gridCol w:w="1276"/>
        <w:gridCol w:w="992"/>
      </w:tblGrid>
      <w:tr w:rsidR="0068222A" w14:paraId="783C823C" w14:textId="77777777">
        <w:trPr>
          <w:trHeight w:val="363"/>
        </w:trPr>
        <w:tc>
          <w:tcPr>
            <w:tcW w:w="3345" w:type="dxa"/>
            <w:vMerge w:val="restart"/>
            <w:tcBorders>
              <w:top w:val="single" w:sz="12" w:space="0" w:color="000000"/>
              <w:left w:val="nil"/>
              <w:bottom w:val="single" w:sz="8" w:space="0" w:color="000000"/>
              <w:right w:val="nil"/>
            </w:tcBorders>
            <w:noWrap/>
            <w:vAlign w:val="center"/>
          </w:tcPr>
          <w:bookmarkEnd w:id="111"/>
          <w:bookmarkEnd w:id="112"/>
          <w:p w14:paraId="2D0C3E22" w14:textId="77777777" w:rsidR="0068222A" w:rsidRDefault="00000000">
            <w:pPr>
              <w:spacing w:line="360" w:lineRule="auto"/>
              <w:jc w:val="both"/>
              <w:rPr>
                <w:rFonts w:ascii="Book Antiqua" w:hAnsi="Book Antiqua"/>
                <w:b/>
                <w:bCs/>
                <w:color w:val="000000"/>
              </w:rPr>
            </w:pPr>
            <w:r>
              <w:rPr>
                <w:rFonts w:ascii="Book Antiqua" w:hAnsi="Book Antiqua"/>
                <w:b/>
                <w:bCs/>
                <w:color w:val="000000"/>
              </w:rPr>
              <w:t>Variable</w:t>
            </w:r>
          </w:p>
        </w:tc>
        <w:tc>
          <w:tcPr>
            <w:tcW w:w="2972" w:type="dxa"/>
            <w:gridSpan w:val="3"/>
            <w:tcBorders>
              <w:top w:val="single" w:sz="12" w:space="0" w:color="000000"/>
              <w:left w:val="nil"/>
              <w:bottom w:val="single" w:sz="8" w:space="0" w:color="000000"/>
              <w:right w:val="nil"/>
            </w:tcBorders>
            <w:vAlign w:val="center"/>
          </w:tcPr>
          <w:p w14:paraId="49B87844" w14:textId="77777777" w:rsidR="0068222A" w:rsidRDefault="00000000">
            <w:pPr>
              <w:spacing w:line="360" w:lineRule="auto"/>
              <w:jc w:val="both"/>
              <w:rPr>
                <w:rFonts w:ascii="Book Antiqua" w:hAnsi="Book Antiqua"/>
                <w:b/>
                <w:bCs/>
                <w:color w:val="000000"/>
              </w:rPr>
            </w:pPr>
            <w:r>
              <w:rPr>
                <w:rFonts w:ascii="Book Antiqua" w:hAnsi="Book Antiqua"/>
                <w:b/>
                <w:bCs/>
                <w:color w:val="000000"/>
              </w:rPr>
              <w:t>Univariate analysis</w:t>
            </w:r>
          </w:p>
        </w:tc>
        <w:tc>
          <w:tcPr>
            <w:tcW w:w="2914" w:type="dxa"/>
            <w:gridSpan w:val="3"/>
            <w:tcBorders>
              <w:top w:val="single" w:sz="12" w:space="0" w:color="000000"/>
              <w:left w:val="nil"/>
              <w:bottom w:val="single" w:sz="8" w:space="0" w:color="000000"/>
              <w:right w:val="nil"/>
            </w:tcBorders>
            <w:noWrap/>
            <w:vAlign w:val="center"/>
          </w:tcPr>
          <w:p w14:paraId="44EAA158" w14:textId="77777777" w:rsidR="0068222A" w:rsidRDefault="00000000">
            <w:pPr>
              <w:spacing w:line="360" w:lineRule="auto"/>
              <w:jc w:val="both"/>
              <w:rPr>
                <w:rFonts w:ascii="Book Antiqua" w:hAnsi="Book Antiqua"/>
                <w:b/>
                <w:bCs/>
                <w:color w:val="000000"/>
              </w:rPr>
            </w:pPr>
            <w:r>
              <w:rPr>
                <w:rFonts w:ascii="Book Antiqua" w:hAnsi="Book Antiqua"/>
                <w:b/>
                <w:bCs/>
                <w:color w:val="000000"/>
              </w:rPr>
              <w:t>Multivariate analysis</w:t>
            </w:r>
          </w:p>
        </w:tc>
      </w:tr>
      <w:tr w:rsidR="0068222A" w14:paraId="6E929E19" w14:textId="77777777">
        <w:trPr>
          <w:trHeight w:val="363"/>
        </w:trPr>
        <w:tc>
          <w:tcPr>
            <w:tcW w:w="3345" w:type="dxa"/>
            <w:vMerge/>
            <w:tcBorders>
              <w:top w:val="single" w:sz="12" w:space="0" w:color="000000"/>
              <w:left w:val="nil"/>
              <w:bottom w:val="single" w:sz="8" w:space="0" w:color="000000"/>
              <w:right w:val="nil"/>
            </w:tcBorders>
            <w:vAlign w:val="center"/>
          </w:tcPr>
          <w:p w14:paraId="445D2CC3" w14:textId="77777777" w:rsidR="0068222A" w:rsidRDefault="0068222A">
            <w:pPr>
              <w:spacing w:line="360" w:lineRule="auto"/>
              <w:jc w:val="both"/>
              <w:rPr>
                <w:rFonts w:ascii="Book Antiqua" w:hAnsi="Book Antiqua"/>
                <w:b/>
                <w:bCs/>
                <w:color w:val="000000"/>
              </w:rPr>
            </w:pPr>
          </w:p>
        </w:tc>
        <w:tc>
          <w:tcPr>
            <w:tcW w:w="790" w:type="dxa"/>
            <w:tcBorders>
              <w:top w:val="nil"/>
              <w:left w:val="nil"/>
              <w:bottom w:val="single" w:sz="8" w:space="0" w:color="000000"/>
              <w:right w:val="nil"/>
            </w:tcBorders>
            <w:noWrap/>
            <w:vAlign w:val="center"/>
          </w:tcPr>
          <w:p w14:paraId="458AFD25" w14:textId="77777777" w:rsidR="0068222A" w:rsidRDefault="00000000">
            <w:pPr>
              <w:spacing w:line="360" w:lineRule="auto"/>
              <w:jc w:val="both"/>
              <w:rPr>
                <w:rFonts w:ascii="Book Antiqua" w:hAnsi="Book Antiqua"/>
                <w:b/>
                <w:bCs/>
                <w:color w:val="000000"/>
              </w:rPr>
            </w:pPr>
            <w:r>
              <w:rPr>
                <w:rFonts w:ascii="Book Antiqua" w:hAnsi="Book Antiqua"/>
                <w:b/>
                <w:bCs/>
                <w:color w:val="000000"/>
              </w:rPr>
              <w:t>HR</w:t>
            </w:r>
          </w:p>
        </w:tc>
        <w:tc>
          <w:tcPr>
            <w:tcW w:w="1220" w:type="dxa"/>
            <w:tcBorders>
              <w:top w:val="nil"/>
              <w:left w:val="nil"/>
              <w:bottom w:val="single" w:sz="8" w:space="0" w:color="000000"/>
              <w:right w:val="nil"/>
            </w:tcBorders>
            <w:noWrap/>
            <w:vAlign w:val="center"/>
          </w:tcPr>
          <w:p w14:paraId="001E5926" w14:textId="77777777" w:rsidR="0068222A" w:rsidRDefault="00000000">
            <w:pPr>
              <w:spacing w:line="360" w:lineRule="auto"/>
              <w:jc w:val="both"/>
              <w:rPr>
                <w:rFonts w:ascii="Book Antiqua" w:hAnsi="Book Antiqua"/>
                <w:b/>
                <w:bCs/>
                <w:color w:val="000000"/>
              </w:rPr>
            </w:pPr>
            <w:r>
              <w:rPr>
                <w:rFonts w:ascii="Book Antiqua" w:hAnsi="Book Antiqua"/>
                <w:b/>
                <w:bCs/>
                <w:color w:val="000000"/>
              </w:rPr>
              <w:t>95%CI</w:t>
            </w:r>
          </w:p>
        </w:tc>
        <w:tc>
          <w:tcPr>
            <w:tcW w:w="962" w:type="dxa"/>
            <w:tcBorders>
              <w:top w:val="nil"/>
              <w:left w:val="nil"/>
              <w:bottom w:val="single" w:sz="8" w:space="0" w:color="000000"/>
              <w:right w:val="nil"/>
            </w:tcBorders>
            <w:noWrap/>
            <w:vAlign w:val="center"/>
          </w:tcPr>
          <w:p w14:paraId="274EBF14" w14:textId="77777777" w:rsidR="0068222A" w:rsidRDefault="00000000">
            <w:pPr>
              <w:spacing w:line="360" w:lineRule="auto"/>
              <w:jc w:val="both"/>
              <w:rPr>
                <w:rFonts w:ascii="Book Antiqua" w:hAnsi="Book Antiqua"/>
                <w:b/>
                <w:bCs/>
                <w:color w:val="000000"/>
              </w:rPr>
            </w:pPr>
            <w:r>
              <w:rPr>
                <w:rFonts w:ascii="Book Antiqua" w:hAnsi="Book Antiqua"/>
                <w:b/>
                <w:bCs/>
                <w:i/>
                <w:color w:val="000000"/>
              </w:rPr>
              <w:t>P</w:t>
            </w:r>
            <w:r>
              <w:rPr>
                <w:rFonts w:ascii="Book Antiqua" w:hAnsi="Book Antiqua"/>
                <w:b/>
                <w:bCs/>
                <w:color w:val="000000"/>
              </w:rPr>
              <w:t xml:space="preserve"> value</w:t>
            </w:r>
          </w:p>
        </w:tc>
        <w:tc>
          <w:tcPr>
            <w:tcW w:w="646" w:type="dxa"/>
            <w:tcBorders>
              <w:top w:val="nil"/>
              <w:left w:val="nil"/>
              <w:bottom w:val="single" w:sz="8" w:space="0" w:color="000000"/>
              <w:right w:val="nil"/>
            </w:tcBorders>
            <w:noWrap/>
            <w:vAlign w:val="center"/>
          </w:tcPr>
          <w:p w14:paraId="1305258E" w14:textId="77777777" w:rsidR="0068222A" w:rsidRDefault="00000000">
            <w:pPr>
              <w:spacing w:line="360" w:lineRule="auto"/>
              <w:jc w:val="both"/>
              <w:rPr>
                <w:rFonts w:ascii="Book Antiqua" w:hAnsi="Book Antiqua"/>
                <w:b/>
                <w:bCs/>
                <w:color w:val="000000"/>
              </w:rPr>
            </w:pPr>
            <w:r>
              <w:rPr>
                <w:rFonts w:ascii="Book Antiqua" w:hAnsi="Book Antiqua"/>
                <w:b/>
                <w:bCs/>
                <w:color w:val="000000"/>
              </w:rPr>
              <w:t>HR</w:t>
            </w:r>
          </w:p>
        </w:tc>
        <w:tc>
          <w:tcPr>
            <w:tcW w:w="1276" w:type="dxa"/>
            <w:tcBorders>
              <w:top w:val="nil"/>
              <w:left w:val="nil"/>
              <w:bottom w:val="single" w:sz="8" w:space="0" w:color="000000"/>
              <w:right w:val="nil"/>
            </w:tcBorders>
            <w:noWrap/>
            <w:vAlign w:val="center"/>
          </w:tcPr>
          <w:p w14:paraId="477E7ECB" w14:textId="77777777" w:rsidR="0068222A" w:rsidRDefault="00000000">
            <w:pPr>
              <w:spacing w:line="360" w:lineRule="auto"/>
              <w:jc w:val="both"/>
              <w:rPr>
                <w:rFonts w:ascii="Book Antiqua" w:hAnsi="Book Antiqua"/>
                <w:b/>
                <w:bCs/>
                <w:color w:val="000000"/>
              </w:rPr>
            </w:pPr>
            <w:r>
              <w:rPr>
                <w:rFonts w:ascii="Book Antiqua" w:hAnsi="Book Antiqua"/>
                <w:b/>
                <w:bCs/>
                <w:color w:val="000000"/>
              </w:rPr>
              <w:t>95%CI</w:t>
            </w:r>
          </w:p>
        </w:tc>
        <w:tc>
          <w:tcPr>
            <w:tcW w:w="992" w:type="dxa"/>
            <w:tcBorders>
              <w:top w:val="nil"/>
              <w:left w:val="nil"/>
              <w:bottom w:val="single" w:sz="8" w:space="0" w:color="000000"/>
              <w:right w:val="nil"/>
            </w:tcBorders>
            <w:noWrap/>
            <w:vAlign w:val="center"/>
          </w:tcPr>
          <w:p w14:paraId="5AD31327" w14:textId="77777777" w:rsidR="0068222A" w:rsidRDefault="00000000">
            <w:pPr>
              <w:spacing w:line="360" w:lineRule="auto"/>
              <w:jc w:val="both"/>
              <w:rPr>
                <w:rFonts w:ascii="Book Antiqua" w:hAnsi="Book Antiqua"/>
                <w:b/>
                <w:bCs/>
                <w:color w:val="000000"/>
              </w:rPr>
            </w:pPr>
            <w:r>
              <w:rPr>
                <w:rFonts w:ascii="Book Antiqua" w:hAnsi="Book Antiqua"/>
                <w:b/>
                <w:bCs/>
                <w:i/>
                <w:color w:val="000000"/>
              </w:rPr>
              <w:t>P</w:t>
            </w:r>
            <w:r>
              <w:rPr>
                <w:rFonts w:ascii="Book Antiqua" w:hAnsi="Book Antiqua"/>
                <w:b/>
                <w:bCs/>
                <w:color w:val="000000"/>
              </w:rPr>
              <w:t xml:space="preserve"> value</w:t>
            </w:r>
          </w:p>
        </w:tc>
      </w:tr>
      <w:tr w:rsidR="0068222A" w14:paraId="07DF393F" w14:textId="77777777">
        <w:trPr>
          <w:trHeight w:val="363"/>
        </w:trPr>
        <w:tc>
          <w:tcPr>
            <w:tcW w:w="3345" w:type="dxa"/>
            <w:tcBorders>
              <w:top w:val="nil"/>
              <w:left w:val="nil"/>
              <w:bottom w:val="nil"/>
              <w:right w:val="nil"/>
            </w:tcBorders>
            <w:noWrap/>
            <w:vAlign w:val="center"/>
          </w:tcPr>
          <w:p w14:paraId="09C82A9C" w14:textId="77777777" w:rsidR="0068222A" w:rsidRDefault="00000000">
            <w:pPr>
              <w:spacing w:line="360" w:lineRule="auto"/>
              <w:jc w:val="both"/>
              <w:rPr>
                <w:rFonts w:ascii="Book Antiqua" w:hAnsi="Book Antiqua"/>
                <w:color w:val="000000"/>
              </w:rPr>
            </w:pPr>
            <w:r>
              <w:rPr>
                <w:rFonts w:ascii="Book Antiqua" w:hAnsi="Book Antiqua"/>
                <w:color w:val="000000"/>
              </w:rPr>
              <w:t xml:space="preserve">Rad-score (high </w:t>
            </w:r>
            <w:r>
              <w:rPr>
                <w:rFonts w:ascii="Book Antiqua" w:hAnsi="Book Antiqua"/>
                <w:i/>
                <w:color w:val="000000"/>
              </w:rPr>
              <w:t>vs</w:t>
            </w:r>
            <w:r>
              <w:rPr>
                <w:rFonts w:ascii="Book Antiqua" w:hAnsi="Book Antiqua"/>
                <w:color w:val="000000"/>
              </w:rPr>
              <w:t xml:space="preserve"> low) (</w:t>
            </w:r>
            <w:r>
              <w:rPr>
                <w:rFonts w:ascii="Book Antiqua" w:hAnsi="Book Antiqua"/>
                <w:i/>
                <w:iCs/>
                <w:color w:val="000000"/>
              </w:rPr>
              <w:t>n</w:t>
            </w:r>
            <w:r>
              <w:rPr>
                <w:rFonts w:ascii="Book Antiqua" w:hAnsi="Book Antiqua"/>
                <w:color w:val="000000"/>
              </w:rPr>
              <w:t>)</w:t>
            </w:r>
          </w:p>
        </w:tc>
        <w:tc>
          <w:tcPr>
            <w:tcW w:w="790" w:type="dxa"/>
            <w:tcBorders>
              <w:top w:val="nil"/>
              <w:left w:val="nil"/>
              <w:bottom w:val="nil"/>
              <w:right w:val="nil"/>
            </w:tcBorders>
            <w:noWrap/>
            <w:vAlign w:val="center"/>
          </w:tcPr>
          <w:p w14:paraId="5F174A28" w14:textId="77777777" w:rsidR="0068222A" w:rsidRDefault="00000000">
            <w:pPr>
              <w:spacing w:line="360" w:lineRule="auto"/>
              <w:jc w:val="both"/>
              <w:rPr>
                <w:rFonts w:ascii="Book Antiqua" w:hAnsi="Book Antiqua"/>
                <w:color w:val="000000"/>
              </w:rPr>
            </w:pPr>
            <w:r>
              <w:rPr>
                <w:rFonts w:ascii="Book Antiqua" w:hAnsi="Book Antiqua"/>
                <w:color w:val="000000"/>
              </w:rPr>
              <w:t>4.08</w:t>
            </w:r>
          </w:p>
        </w:tc>
        <w:tc>
          <w:tcPr>
            <w:tcW w:w="1220" w:type="dxa"/>
            <w:tcBorders>
              <w:top w:val="nil"/>
              <w:left w:val="nil"/>
              <w:bottom w:val="nil"/>
              <w:right w:val="nil"/>
            </w:tcBorders>
            <w:noWrap/>
            <w:vAlign w:val="center"/>
          </w:tcPr>
          <w:p w14:paraId="1B84D62C" w14:textId="77777777" w:rsidR="0068222A" w:rsidRDefault="00000000">
            <w:pPr>
              <w:spacing w:line="360" w:lineRule="auto"/>
              <w:jc w:val="both"/>
              <w:rPr>
                <w:rFonts w:ascii="Book Antiqua" w:hAnsi="Book Antiqua"/>
                <w:color w:val="000000"/>
              </w:rPr>
            </w:pPr>
            <w:r>
              <w:rPr>
                <w:rFonts w:ascii="Book Antiqua" w:hAnsi="Book Antiqua"/>
                <w:color w:val="000000"/>
              </w:rPr>
              <w:t>2.64-6.24</w:t>
            </w:r>
          </w:p>
        </w:tc>
        <w:tc>
          <w:tcPr>
            <w:tcW w:w="962" w:type="dxa"/>
            <w:tcBorders>
              <w:top w:val="nil"/>
              <w:left w:val="nil"/>
              <w:bottom w:val="nil"/>
              <w:right w:val="nil"/>
            </w:tcBorders>
            <w:noWrap/>
            <w:vAlign w:val="center"/>
          </w:tcPr>
          <w:p w14:paraId="52191034" w14:textId="77777777" w:rsidR="0068222A" w:rsidRDefault="00000000">
            <w:pPr>
              <w:spacing w:line="360" w:lineRule="auto"/>
              <w:jc w:val="both"/>
              <w:rPr>
                <w:rFonts w:ascii="Book Antiqua" w:hAnsi="Book Antiqua"/>
                <w:bCs/>
                <w:color w:val="000000"/>
              </w:rPr>
            </w:pPr>
            <w:r>
              <w:rPr>
                <w:rFonts w:ascii="Book Antiqua" w:hAnsi="Book Antiqua"/>
                <w:bCs/>
                <w:iCs/>
                <w:color w:val="000000"/>
              </w:rPr>
              <w:t>&lt; 0.001</w:t>
            </w:r>
          </w:p>
        </w:tc>
        <w:tc>
          <w:tcPr>
            <w:tcW w:w="646" w:type="dxa"/>
            <w:tcBorders>
              <w:top w:val="nil"/>
              <w:left w:val="nil"/>
              <w:bottom w:val="nil"/>
              <w:right w:val="nil"/>
            </w:tcBorders>
            <w:noWrap/>
            <w:vAlign w:val="center"/>
          </w:tcPr>
          <w:p w14:paraId="268F79E7" w14:textId="77777777" w:rsidR="0068222A" w:rsidRDefault="00000000">
            <w:pPr>
              <w:spacing w:line="360" w:lineRule="auto"/>
              <w:jc w:val="both"/>
              <w:rPr>
                <w:rFonts w:ascii="Book Antiqua" w:hAnsi="Book Antiqua"/>
                <w:color w:val="000000"/>
              </w:rPr>
            </w:pPr>
            <w:r>
              <w:rPr>
                <w:rFonts w:ascii="Book Antiqua" w:hAnsi="Book Antiqua"/>
                <w:color w:val="000000"/>
              </w:rPr>
              <w:t>3.86</w:t>
            </w:r>
          </w:p>
        </w:tc>
        <w:tc>
          <w:tcPr>
            <w:tcW w:w="1276" w:type="dxa"/>
            <w:tcBorders>
              <w:top w:val="nil"/>
              <w:left w:val="nil"/>
              <w:bottom w:val="nil"/>
              <w:right w:val="nil"/>
            </w:tcBorders>
            <w:noWrap/>
            <w:vAlign w:val="center"/>
          </w:tcPr>
          <w:p w14:paraId="694452AE" w14:textId="77777777" w:rsidR="0068222A" w:rsidRDefault="00000000">
            <w:pPr>
              <w:spacing w:line="360" w:lineRule="auto"/>
              <w:jc w:val="both"/>
              <w:rPr>
                <w:rFonts w:ascii="Book Antiqua" w:hAnsi="Book Antiqua"/>
                <w:color w:val="000000"/>
              </w:rPr>
            </w:pPr>
            <w:r>
              <w:rPr>
                <w:rFonts w:ascii="Book Antiqua" w:hAnsi="Book Antiqua"/>
                <w:color w:val="000000"/>
              </w:rPr>
              <w:t>2.41-6.16</w:t>
            </w:r>
          </w:p>
        </w:tc>
        <w:tc>
          <w:tcPr>
            <w:tcW w:w="992" w:type="dxa"/>
            <w:tcBorders>
              <w:top w:val="nil"/>
              <w:left w:val="nil"/>
              <w:bottom w:val="nil"/>
              <w:right w:val="nil"/>
            </w:tcBorders>
            <w:noWrap/>
            <w:vAlign w:val="center"/>
          </w:tcPr>
          <w:p w14:paraId="7D24CD27" w14:textId="77777777" w:rsidR="0068222A" w:rsidRDefault="00000000">
            <w:pPr>
              <w:spacing w:line="360" w:lineRule="auto"/>
              <w:jc w:val="both"/>
              <w:rPr>
                <w:rFonts w:ascii="Book Antiqua" w:hAnsi="Book Antiqua"/>
                <w:bCs/>
                <w:color w:val="000000"/>
              </w:rPr>
            </w:pPr>
            <w:r>
              <w:rPr>
                <w:rFonts w:ascii="Book Antiqua" w:hAnsi="Book Antiqua"/>
                <w:bCs/>
                <w:color w:val="000000"/>
              </w:rPr>
              <w:t>&lt; 0.001</w:t>
            </w:r>
          </w:p>
        </w:tc>
      </w:tr>
      <w:tr w:rsidR="0068222A" w14:paraId="3F62BB31" w14:textId="77777777">
        <w:trPr>
          <w:trHeight w:val="363"/>
        </w:trPr>
        <w:tc>
          <w:tcPr>
            <w:tcW w:w="3345" w:type="dxa"/>
            <w:tcBorders>
              <w:top w:val="nil"/>
              <w:left w:val="nil"/>
              <w:bottom w:val="nil"/>
              <w:right w:val="nil"/>
            </w:tcBorders>
            <w:noWrap/>
            <w:vAlign w:val="center"/>
          </w:tcPr>
          <w:p w14:paraId="19A3E4E7" w14:textId="77777777" w:rsidR="0068222A" w:rsidRDefault="00000000">
            <w:pPr>
              <w:spacing w:line="360" w:lineRule="auto"/>
              <w:jc w:val="both"/>
              <w:rPr>
                <w:rFonts w:ascii="Book Antiqua" w:hAnsi="Book Antiqua"/>
                <w:color w:val="000000"/>
              </w:rPr>
            </w:pPr>
            <w:r>
              <w:rPr>
                <w:rFonts w:ascii="Book Antiqua" w:hAnsi="Book Antiqua"/>
                <w:color w:val="000000"/>
              </w:rPr>
              <w:t xml:space="preserve">HBsAg (present </w:t>
            </w:r>
            <w:r>
              <w:rPr>
                <w:rFonts w:ascii="Book Antiqua" w:hAnsi="Book Antiqua"/>
                <w:i/>
                <w:color w:val="000000"/>
              </w:rPr>
              <w:t>vs</w:t>
            </w:r>
            <w:r>
              <w:rPr>
                <w:rFonts w:ascii="Book Antiqua" w:hAnsi="Book Antiqua"/>
                <w:color w:val="000000"/>
              </w:rPr>
              <w:t xml:space="preserve"> absent) (</w:t>
            </w:r>
            <w:r>
              <w:rPr>
                <w:rFonts w:ascii="Book Antiqua" w:hAnsi="Book Antiqua"/>
                <w:i/>
                <w:iCs/>
                <w:color w:val="000000"/>
              </w:rPr>
              <w:t>n</w:t>
            </w:r>
            <w:r>
              <w:rPr>
                <w:rFonts w:ascii="Book Antiqua" w:hAnsi="Book Antiqua"/>
                <w:color w:val="000000"/>
              </w:rPr>
              <w:t>)</w:t>
            </w:r>
          </w:p>
        </w:tc>
        <w:tc>
          <w:tcPr>
            <w:tcW w:w="790" w:type="dxa"/>
            <w:tcBorders>
              <w:top w:val="nil"/>
              <w:left w:val="nil"/>
              <w:bottom w:val="nil"/>
              <w:right w:val="nil"/>
            </w:tcBorders>
            <w:noWrap/>
            <w:vAlign w:val="center"/>
          </w:tcPr>
          <w:p w14:paraId="3F91428B" w14:textId="77777777" w:rsidR="0068222A" w:rsidRDefault="00000000">
            <w:pPr>
              <w:spacing w:line="360" w:lineRule="auto"/>
              <w:jc w:val="both"/>
              <w:rPr>
                <w:rFonts w:ascii="Book Antiqua" w:hAnsi="Book Antiqua"/>
                <w:color w:val="000000"/>
              </w:rPr>
            </w:pPr>
            <w:r>
              <w:rPr>
                <w:rFonts w:ascii="Book Antiqua" w:hAnsi="Book Antiqua"/>
                <w:color w:val="000000"/>
              </w:rPr>
              <w:t>1.81</w:t>
            </w:r>
          </w:p>
        </w:tc>
        <w:tc>
          <w:tcPr>
            <w:tcW w:w="1220" w:type="dxa"/>
            <w:tcBorders>
              <w:top w:val="nil"/>
              <w:left w:val="nil"/>
              <w:bottom w:val="nil"/>
              <w:right w:val="nil"/>
            </w:tcBorders>
            <w:noWrap/>
            <w:vAlign w:val="center"/>
          </w:tcPr>
          <w:p w14:paraId="42B2930E" w14:textId="77777777" w:rsidR="0068222A" w:rsidRDefault="00000000">
            <w:pPr>
              <w:spacing w:line="360" w:lineRule="auto"/>
              <w:jc w:val="both"/>
              <w:rPr>
                <w:rFonts w:ascii="Book Antiqua" w:hAnsi="Book Antiqua"/>
                <w:color w:val="000000"/>
              </w:rPr>
            </w:pPr>
            <w:r>
              <w:rPr>
                <w:rFonts w:ascii="Book Antiqua" w:hAnsi="Book Antiqua"/>
                <w:color w:val="000000"/>
              </w:rPr>
              <w:t>0.97-3.39</w:t>
            </w:r>
          </w:p>
        </w:tc>
        <w:tc>
          <w:tcPr>
            <w:tcW w:w="962" w:type="dxa"/>
            <w:tcBorders>
              <w:top w:val="nil"/>
              <w:left w:val="nil"/>
              <w:bottom w:val="nil"/>
              <w:right w:val="nil"/>
            </w:tcBorders>
            <w:noWrap/>
            <w:vAlign w:val="center"/>
          </w:tcPr>
          <w:p w14:paraId="57C061A4" w14:textId="77777777" w:rsidR="0068222A" w:rsidRDefault="00000000">
            <w:pPr>
              <w:spacing w:line="360" w:lineRule="auto"/>
              <w:jc w:val="both"/>
              <w:rPr>
                <w:rFonts w:ascii="Book Antiqua" w:hAnsi="Book Antiqua"/>
                <w:bCs/>
                <w:color w:val="000000"/>
              </w:rPr>
            </w:pPr>
            <w:r>
              <w:rPr>
                <w:rFonts w:ascii="Book Antiqua" w:hAnsi="Book Antiqua"/>
                <w:bCs/>
                <w:color w:val="000000"/>
              </w:rPr>
              <w:t>0.063</w:t>
            </w:r>
          </w:p>
        </w:tc>
        <w:tc>
          <w:tcPr>
            <w:tcW w:w="646" w:type="dxa"/>
            <w:tcBorders>
              <w:top w:val="nil"/>
              <w:left w:val="nil"/>
              <w:bottom w:val="nil"/>
              <w:right w:val="nil"/>
            </w:tcBorders>
            <w:noWrap/>
            <w:vAlign w:val="center"/>
          </w:tcPr>
          <w:p w14:paraId="0A6EBD74" w14:textId="77777777" w:rsidR="0068222A" w:rsidRDefault="0068222A">
            <w:pPr>
              <w:spacing w:line="360" w:lineRule="auto"/>
              <w:jc w:val="both"/>
              <w:rPr>
                <w:rFonts w:ascii="Book Antiqua" w:hAnsi="Book Antiqua"/>
                <w:color w:val="000000"/>
              </w:rPr>
            </w:pPr>
          </w:p>
        </w:tc>
        <w:tc>
          <w:tcPr>
            <w:tcW w:w="1276" w:type="dxa"/>
            <w:tcBorders>
              <w:top w:val="nil"/>
              <w:left w:val="nil"/>
              <w:bottom w:val="nil"/>
              <w:right w:val="nil"/>
            </w:tcBorders>
            <w:noWrap/>
            <w:vAlign w:val="center"/>
          </w:tcPr>
          <w:p w14:paraId="5566BBB1" w14:textId="77777777" w:rsidR="0068222A" w:rsidRDefault="0068222A">
            <w:pPr>
              <w:spacing w:line="360" w:lineRule="auto"/>
              <w:jc w:val="both"/>
              <w:rPr>
                <w:rFonts w:ascii="Book Antiqua" w:hAnsi="Book Antiqua"/>
                <w:color w:val="000000"/>
              </w:rPr>
            </w:pPr>
          </w:p>
        </w:tc>
        <w:tc>
          <w:tcPr>
            <w:tcW w:w="992" w:type="dxa"/>
            <w:tcBorders>
              <w:top w:val="nil"/>
              <w:left w:val="nil"/>
              <w:bottom w:val="nil"/>
              <w:right w:val="nil"/>
            </w:tcBorders>
            <w:noWrap/>
            <w:vAlign w:val="center"/>
          </w:tcPr>
          <w:p w14:paraId="613B6A1D" w14:textId="77777777" w:rsidR="0068222A" w:rsidRDefault="0068222A">
            <w:pPr>
              <w:spacing w:line="360" w:lineRule="auto"/>
              <w:jc w:val="both"/>
              <w:rPr>
                <w:rFonts w:ascii="Book Antiqua" w:hAnsi="Book Antiqua"/>
                <w:bCs/>
                <w:color w:val="000000"/>
              </w:rPr>
            </w:pPr>
          </w:p>
        </w:tc>
      </w:tr>
      <w:tr w:rsidR="0068222A" w14:paraId="11B4E468" w14:textId="77777777">
        <w:trPr>
          <w:trHeight w:val="363"/>
        </w:trPr>
        <w:tc>
          <w:tcPr>
            <w:tcW w:w="3345" w:type="dxa"/>
            <w:tcBorders>
              <w:top w:val="nil"/>
              <w:left w:val="nil"/>
              <w:bottom w:val="nil"/>
              <w:right w:val="nil"/>
            </w:tcBorders>
            <w:noWrap/>
            <w:vAlign w:val="center"/>
          </w:tcPr>
          <w:p w14:paraId="49B42CC7" w14:textId="77777777" w:rsidR="0068222A" w:rsidRDefault="00000000">
            <w:pPr>
              <w:spacing w:line="360" w:lineRule="auto"/>
              <w:jc w:val="both"/>
              <w:rPr>
                <w:rFonts w:ascii="Book Antiqua" w:hAnsi="Book Antiqua"/>
                <w:color w:val="000000"/>
              </w:rPr>
            </w:pPr>
            <w:r>
              <w:rPr>
                <w:rFonts w:ascii="Book Antiqua" w:hAnsi="Book Antiqua"/>
                <w:color w:val="000000"/>
              </w:rPr>
              <w:t>Cirrhosis (present</w:t>
            </w:r>
            <w:r>
              <w:rPr>
                <w:rFonts w:ascii="Book Antiqua" w:hAnsi="Book Antiqua"/>
                <w:i/>
                <w:color w:val="000000"/>
              </w:rPr>
              <w:t xml:space="preserve"> vs </w:t>
            </w:r>
            <w:r>
              <w:rPr>
                <w:rFonts w:ascii="Book Antiqua" w:hAnsi="Book Antiqua"/>
                <w:color w:val="000000"/>
              </w:rPr>
              <w:t>absent) (</w:t>
            </w:r>
            <w:r>
              <w:rPr>
                <w:rFonts w:ascii="Book Antiqua" w:hAnsi="Book Antiqua"/>
                <w:i/>
                <w:iCs/>
                <w:color w:val="000000"/>
              </w:rPr>
              <w:t>n</w:t>
            </w:r>
            <w:r>
              <w:rPr>
                <w:rFonts w:ascii="Book Antiqua" w:hAnsi="Book Antiqua"/>
                <w:color w:val="000000"/>
              </w:rPr>
              <w:t>)</w:t>
            </w:r>
          </w:p>
        </w:tc>
        <w:tc>
          <w:tcPr>
            <w:tcW w:w="790" w:type="dxa"/>
            <w:tcBorders>
              <w:top w:val="nil"/>
              <w:left w:val="nil"/>
              <w:bottom w:val="nil"/>
              <w:right w:val="nil"/>
            </w:tcBorders>
            <w:noWrap/>
            <w:vAlign w:val="center"/>
          </w:tcPr>
          <w:p w14:paraId="2026B04D" w14:textId="77777777" w:rsidR="0068222A" w:rsidRDefault="00000000">
            <w:pPr>
              <w:spacing w:line="360" w:lineRule="auto"/>
              <w:jc w:val="both"/>
              <w:rPr>
                <w:rFonts w:ascii="Book Antiqua" w:hAnsi="Book Antiqua"/>
                <w:color w:val="000000"/>
              </w:rPr>
            </w:pPr>
            <w:r>
              <w:rPr>
                <w:rFonts w:ascii="Book Antiqua" w:hAnsi="Book Antiqua"/>
                <w:color w:val="000000"/>
              </w:rPr>
              <w:t>1.84</w:t>
            </w:r>
          </w:p>
        </w:tc>
        <w:tc>
          <w:tcPr>
            <w:tcW w:w="1220" w:type="dxa"/>
            <w:tcBorders>
              <w:top w:val="nil"/>
              <w:left w:val="nil"/>
              <w:bottom w:val="nil"/>
              <w:right w:val="nil"/>
            </w:tcBorders>
            <w:noWrap/>
            <w:vAlign w:val="center"/>
          </w:tcPr>
          <w:p w14:paraId="074643EE" w14:textId="77777777" w:rsidR="0068222A" w:rsidRDefault="00000000">
            <w:pPr>
              <w:spacing w:line="360" w:lineRule="auto"/>
              <w:jc w:val="both"/>
              <w:rPr>
                <w:rFonts w:ascii="Book Antiqua" w:hAnsi="Book Antiqua"/>
                <w:color w:val="000000"/>
              </w:rPr>
            </w:pPr>
            <w:r>
              <w:rPr>
                <w:rFonts w:ascii="Book Antiqua" w:hAnsi="Book Antiqua"/>
                <w:color w:val="000000"/>
              </w:rPr>
              <w:t>0.75-4.52</w:t>
            </w:r>
          </w:p>
        </w:tc>
        <w:tc>
          <w:tcPr>
            <w:tcW w:w="962" w:type="dxa"/>
            <w:tcBorders>
              <w:top w:val="nil"/>
              <w:left w:val="nil"/>
              <w:bottom w:val="nil"/>
              <w:right w:val="nil"/>
            </w:tcBorders>
            <w:noWrap/>
            <w:vAlign w:val="center"/>
          </w:tcPr>
          <w:p w14:paraId="2DA8BFA7" w14:textId="77777777" w:rsidR="0068222A" w:rsidRDefault="00000000">
            <w:pPr>
              <w:spacing w:line="360" w:lineRule="auto"/>
              <w:jc w:val="both"/>
              <w:rPr>
                <w:rFonts w:ascii="Book Antiqua" w:hAnsi="Book Antiqua"/>
                <w:bCs/>
                <w:color w:val="000000"/>
              </w:rPr>
            </w:pPr>
            <w:r>
              <w:rPr>
                <w:rFonts w:ascii="Book Antiqua" w:hAnsi="Book Antiqua"/>
                <w:bCs/>
                <w:color w:val="000000"/>
              </w:rPr>
              <w:t>0.183</w:t>
            </w:r>
          </w:p>
        </w:tc>
        <w:tc>
          <w:tcPr>
            <w:tcW w:w="646" w:type="dxa"/>
            <w:tcBorders>
              <w:top w:val="nil"/>
              <w:left w:val="nil"/>
              <w:bottom w:val="nil"/>
              <w:right w:val="nil"/>
            </w:tcBorders>
            <w:noWrap/>
            <w:vAlign w:val="center"/>
          </w:tcPr>
          <w:p w14:paraId="3DCD3A5E" w14:textId="77777777" w:rsidR="0068222A" w:rsidRDefault="0068222A">
            <w:pPr>
              <w:spacing w:line="360" w:lineRule="auto"/>
              <w:jc w:val="both"/>
              <w:rPr>
                <w:rFonts w:ascii="Book Antiqua" w:hAnsi="Book Antiqua"/>
                <w:color w:val="000000"/>
              </w:rPr>
            </w:pPr>
          </w:p>
        </w:tc>
        <w:tc>
          <w:tcPr>
            <w:tcW w:w="1276" w:type="dxa"/>
            <w:tcBorders>
              <w:top w:val="nil"/>
              <w:left w:val="nil"/>
              <w:bottom w:val="nil"/>
              <w:right w:val="nil"/>
            </w:tcBorders>
            <w:noWrap/>
            <w:vAlign w:val="center"/>
          </w:tcPr>
          <w:p w14:paraId="0544F3AE" w14:textId="77777777" w:rsidR="0068222A" w:rsidRDefault="0068222A">
            <w:pPr>
              <w:spacing w:line="360" w:lineRule="auto"/>
              <w:jc w:val="both"/>
              <w:rPr>
                <w:rFonts w:ascii="Book Antiqua" w:hAnsi="Book Antiqua"/>
                <w:color w:val="000000"/>
              </w:rPr>
            </w:pPr>
          </w:p>
        </w:tc>
        <w:tc>
          <w:tcPr>
            <w:tcW w:w="992" w:type="dxa"/>
            <w:tcBorders>
              <w:top w:val="nil"/>
              <w:left w:val="nil"/>
              <w:bottom w:val="nil"/>
              <w:right w:val="nil"/>
            </w:tcBorders>
            <w:noWrap/>
            <w:vAlign w:val="center"/>
          </w:tcPr>
          <w:p w14:paraId="41451149" w14:textId="77777777" w:rsidR="0068222A" w:rsidRDefault="0068222A">
            <w:pPr>
              <w:spacing w:line="360" w:lineRule="auto"/>
              <w:jc w:val="both"/>
              <w:rPr>
                <w:rFonts w:ascii="Book Antiqua" w:hAnsi="Book Antiqua"/>
                <w:bCs/>
                <w:color w:val="000000"/>
              </w:rPr>
            </w:pPr>
          </w:p>
        </w:tc>
      </w:tr>
      <w:tr w:rsidR="0068222A" w14:paraId="57557AD6" w14:textId="77777777">
        <w:trPr>
          <w:trHeight w:val="363"/>
        </w:trPr>
        <w:tc>
          <w:tcPr>
            <w:tcW w:w="3345" w:type="dxa"/>
            <w:tcBorders>
              <w:top w:val="nil"/>
              <w:left w:val="nil"/>
              <w:bottom w:val="nil"/>
              <w:right w:val="nil"/>
            </w:tcBorders>
            <w:noWrap/>
            <w:vAlign w:val="center"/>
          </w:tcPr>
          <w:p w14:paraId="63AB16D0" w14:textId="77777777" w:rsidR="0068222A" w:rsidRDefault="00000000">
            <w:pPr>
              <w:spacing w:line="360" w:lineRule="auto"/>
              <w:jc w:val="both"/>
              <w:rPr>
                <w:rFonts w:ascii="Book Antiqua" w:hAnsi="Book Antiqua"/>
                <w:color w:val="000000"/>
              </w:rPr>
            </w:pPr>
            <w:r>
              <w:rPr>
                <w:rFonts w:ascii="Book Antiqua" w:hAnsi="Book Antiqua"/>
                <w:color w:val="000000"/>
              </w:rPr>
              <w:t>MVI (present</w:t>
            </w:r>
            <w:r>
              <w:rPr>
                <w:rFonts w:ascii="Book Antiqua" w:hAnsi="Book Antiqua"/>
                <w:i/>
                <w:color w:val="000000"/>
              </w:rPr>
              <w:t xml:space="preserve"> vs </w:t>
            </w:r>
            <w:r>
              <w:rPr>
                <w:rFonts w:ascii="Book Antiqua" w:hAnsi="Book Antiqua"/>
                <w:color w:val="000000"/>
              </w:rPr>
              <w:t>absent) (</w:t>
            </w:r>
            <w:r>
              <w:rPr>
                <w:rFonts w:ascii="Book Antiqua" w:hAnsi="Book Antiqua"/>
                <w:i/>
                <w:iCs/>
                <w:color w:val="000000"/>
              </w:rPr>
              <w:t>n</w:t>
            </w:r>
            <w:r>
              <w:rPr>
                <w:rFonts w:ascii="Book Antiqua" w:hAnsi="Book Antiqua"/>
                <w:color w:val="000000"/>
              </w:rPr>
              <w:t>)</w:t>
            </w:r>
          </w:p>
        </w:tc>
        <w:tc>
          <w:tcPr>
            <w:tcW w:w="790" w:type="dxa"/>
            <w:tcBorders>
              <w:top w:val="nil"/>
              <w:left w:val="nil"/>
              <w:bottom w:val="nil"/>
              <w:right w:val="nil"/>
            </w:tcBorders>
            <w:noWrap/>
            <w:vAlign w:val="center"/>
          </w:tcPr>
          <w:p w14:paraId="359709C5" w14:textId="77777777" w:rsidR="0068222A" w:rsidRDefault="00000000">
            <w:pPr>
              <w:spacing w:line="360" w:lineRule="auto"/>
              <w:jc w:val="both"/>
              <w:rPr>
                <w:rFonts w:ascii="Book Antiqua" w:hAnsi="Book Antiqua"/>
                <w:color w:val="000000"/>
              </w:rPr>
            </w:pPr>
            <w:r>
              <w:rPr>
                <w:rFonts w:ascii="Book Antiqua" w:hAnsi="Book Antiqua"/>
                <w:color w:val="000000"/>
              </w:rPr>
              <w:t>1.83</w:t>
            </w:r>
          </w:p>
        </w:tc>
        <w:tc>
          <w:tcPr>
            <w:tcW w:w="1220" w:type="dxa"/>
            <w:tcBorders>
              <w:top w:val="nil"/>
              <w:left w:val="nil"/>
              <w:bottom w:val="nil"/>
              <w:right w:val="nil"/>
            </w:tcBorders>
            <w:noWrap/>
            <w:vAlign w:val="center"/>
          </w:tcPr>
          <w:p w14:paraId="7E5EAD18" w14:textId="77777777" w:rsidR="0068222A" w:rsidRDefault="00000000">
            <w:pPr>
              <w:spacing w:line="360" w:lineRule="auto"/>
              <w:jc w:val="both"/>
              <w:rPr>
                <w:rFonts w:ascii="Book Antiqua" w:hAnsi="Book Antiqua"/>
                <w:color w:val="000000"/>
              </w:rPr>
            </w:pPr>
            <w:r>
              <w:rPr>
                <w:rFonts w:ascii="Book Antiqua" w:hAnsi="Book Antiqua"/>
                <w:color w:val="000000"/>
              </w:rPr>
              <w:t>1.24-2.71</w:t>
            </w:r>
          </w:p>
        </w:tc>
        <w:tc>
          <w:tcPr>
            <w:tcW w:w="962" w:type="dxa"/>
            <w:tcBorders>
              <w:top w:val="nil"/>
              <w:left w:val="nil"/>
              <w:bottom w:val="nil"/>
              <w:right w:val="nil"/>
            </w:tcBorders>
            <w:noWrap/>
            <w:vAlign w:val="center"/>
          </w:tcPr>
          <w:p w14:paraId="11236C74" w14:textId="77777777" w:rsidR="0068222A" w:rsidRDefault="00000000">
            <w:pPr>
              <w:spacing w:line="360" w:lineRule="auto"/>
              <w:jc w:val="both"/>
              <w:rPr>
                <w:rFonts w:ascii="Book Antiqua" w:hAnsi="Book Antiqua"/>
                <w:bCs/>
                <w:color w:val="000000"/>
              </w:rPr>
            </w:pPr>
            <w:r>
              <w:rPr>
                <w:rFonts w:ascii="Book Antiqua" w:hAnsi="Book Antiqua"/>
                <w:bCs/>
                <w:color w:val="000000"/>
              </w:rPr>
              <w:t>0.002</w:t>
            </w:r>
          </w:p>
        </w:tc>
        <w:tc>
          <w:tcPr>
            <w:tcW w:w="646" w:type="dxa"/>
            <w:tcBorders>
              <w:top w:val="nil"/>
              <w:left w:val="nil"/>
              <w:bottom w:val="nil"/>
              <w:right w:val="nil"/>
            </w:tcBorders>
            <w:noWrap/>
            <w:vAlign w:val="center"/>
          </w:tcPr>
          <w:p w14:paraId="17046600" w14:textId="77777777" w:rsidR="0068222A" w:rsidRDefault="00000000">
            <w:pPr>
              <w:spacing w:line="360" w:lineRule="auto"/>
              <w:jc w:val="both"/>
              <w:rPr>
                <w:rFonts w:ascii="Book Antiqua" w:hAnsi="Book Antiqua"/>
                <w:color w:val="000000"/>
              </w:rPr>
            </w:pPr>
            <w:r>
              <w:rPr>
                <w:rFonts w:ascii="Book Antiqua" w:hAnsi="Book Antiqua"/>
                <w:color w:val="000000"/>
              </w:rPr>
              <w:t>1.20</w:t>
            </w:r>
          </w:p>
        </w:tc>
        <w:tc>
          <w:tcPr>
            <w:tcW w:w="1276" w:type="dxa"/>
            <w:tcBorders>
              <w:top w:val="nil"/>
              <w:left w:val="nil"/>
              <w:bottom w:val="nil"/>
              <w:right w:val="nil"/>
            </w:tcBorders>
            <w:noWrap/>
            <w:vAlign w:val="center"/>
          </w:tcPr>
          <w:p w14:paraId="1EC9C8E5" w14:textId="77777777" w:rsidR="0068222A" w:rsidRDefault="00000000">
            <w:pPr>
              <w:spacing w:line="360" w:lineRule="auto"/>
              <w:jc w:val="both"/>
              <w:rPr>
                <w:rFonts w:ascii="Book Antiqua" w:hAnsi="Book Antiqua"/>
                <w:color w:val="000000"/>
              </w:rPr>
            </w:pPr>
            <w:r>
              <w:rPr>
                <w:rFonts w:ascii="Book Antiqua" w:hAnsi="Book Antiqua"/>
                <w:color w:val="000000"/>
              </w:rPr>
              <w:t>0.77-1.85</w:t>
            </w:r>
          </w:p>
        </w:tc>
        <w:tc>
          <w:tcPr>
            <w:tcW w:w="992" w:type="dxa"/>
            <w:tcBorders>
              <w:top w:val="nil"/>
              <w:left w:val="nil"/>
              <w:bottom w:val="nil"/>
              <w:right w:val="nil"/>
            </w:tcBorders>
            <w:noWrap/>
            <w:vAlign w:val="center"/>
          </w:tcPr>
          <w:p w14:paraId="3E2CCA30" w14:textId="77777777" w:rsidR="0068222A" w:rsidRDefault="00000000">
            <w:pPr>
              <w:spacing w:line="360" w:lineRule="auto"/>
              <w:jc w:val="both"/>
              <w:rPr>
                <w:rFonts w:ascii="Book Antiqua" w:hAnsi="Book Antiqua"/>
                <w:bCs/>
                <w:color w:val="000000"/>
              </w:rPr>
            </w:pPr>
            <w:r>
              <w:rPr>
                <w:rFonts w:ascii="Book Antiqua" w:hAnsi="Book Antiqua"/>
                <w:bCs/>
                <w:color w:val="000000"/>
              </w:rPr>
              <w:t>0.418</w:t>
            </w:r>
          </w:p>
        </w:tc>
      </w:tr>
      <w:tr w:rsidR="0068222A" w14:paraId="7DC9BBDC" w14:textId="77777777">
        <w:trPr>
          <w:trHeight w:val="363"/>
        </w:trPr>
        <w:tc>
          <w:tcPr>
            <w:tcW w:w="3345" w:type="dxa"/>
            <w:tcBorders>
              <w:top w:val="nil"/>
              <w:left w:val="nil"/>
              <w:bottom w:val="nil"/>
              <w:right w:val="nil"/>
            </w:tcBorders>
            <w:noWrap/>
            <w:vAlign w:val="center"/>
          </w:tcPr>
          <w:p w14:paraId="05565710" w14:textId="77777777" w:rsidR="0068222A" w:rsidRDefault="00000000">
            <w:pPr>
              <w:spacing w:line="360" w:lineRule="auto"/>
              <w:jc w:val="both"/>
              <w:rPr>
                <w:rFonts w:ascii="Book Antiqua" w:hAnsi="Book Antiqua"/>
                <w:color w:val="000000"/>
              </w:rPr>
            </w:pPr>
            <w:r>
              <w:rPr>
                <w:rFonts w:ascii="Book Antiqua" w:hAnsi="Book Antiqua"/>
                <w:color w:val="000000"/>
              </w:rPr>
              <w:t>AFP (</w:t>
            </w:r>
            <w:r>
              <w:rPr>
                <w:rFonts w:ascii="Book Antiqua" w:hAnsi="Book Antiqua"/>
              </w:rPr>
              <w:t xml:space="preserve">&gt; 200 </w:t>
            </w:r>
            <w:r>
              <w:rPr>
                <w:rFonts w:ascii="Book Antiqua" w:hAnsi="Book Antiqua"/>
                <w:i/>
                <w:color w:val="000000"/>
              </w:rPr>
              <w:t xml:space="preserve">vs </w:t>
            </w:r>
            <w:r>
              <w:rPr>
                <w:rFonts w:ascii="Book Antiqua" w:hAnsi="Book Antiqua"/>
                <w:color w:val="000000"/>
              </w:rPr>
              <w:t>≤ 200) (ng/mL</w:t>
            </w:r>
            <w:r>
              <w:rPr>
                <w:rFonts w:ascii="Book Antiqua" w:hAnsi="Book Antiqua"/>
              </w:rPr>
              <w:t>)</w:t>
            </w:r>
          </w:p>
        </w:tc>
        <w:tc>
          <w:tcPr>
            <w:tcW w:w="790" w:type="dxa"/>
            <w:tcBorders>
              <w:top w:val="nil"/>
              <w:left w:val="nil"/>
              <w:bottom w:val="nil"/>
              <w:right w:val="nil"/>
            </w:tcBorders>
            <w:noWrap/>
            <w:vAlign w:val="center"/>
          </w:tcPr>
          <w:p w14:paraId="5C56A2D4" w14:textId="77777777" w:rsidR="0068222A" w:rsidRDefault="00000000">
            <w:pPr>
              <w:spacing w:line="360" w:lineRule="auto"/>
              <w:jc w:val="both"/>
              <w:rPr>
                <w:rFonts w:ascii="Book Antiqua" w:hAnsi="Book Antiqua"/>
                <w:color w:val="000000"/>
              </w:rPr>
            </w:pPr>
            <w:r>
              <w:rPr>
                <w:rFonts w:ascii="Book Antiqua" w:hAnsi="Book Antiqua"/>
                <w:color w:val="000000"/>
              </w:rPr>
              <w:t>1.73</w:t>
            </w:r>
          </w:p>
        </w:tc>
        <w:tc>
          <w:tcPr>
            <w:tcW w:w="1220" w:type="dxa"/>
            <w:tcBorders>
              <w:top w:val="nil"/>
              <w:left w:val="nil"/>
              <w:bottom w:val="nil"/>
              <w:right w:val="nil"/>
            </w:tcBorders>
            <w:noWrap/>
            <w:vAlign w:val="center"/>
          </w:tcPr>
          <w:p w14:paraId="02B18AB1" w14:textId="77777777" w:rsidR="0068222A" w:rsidRDefault="00000000">
            <w:pPr>
              <w:spacing w:line="360" w:lineRule="auto"/>
              <w:jc w:val="both"/>
              <w:rPr>
                <w:rFonts w:ascii="Book Antiqua" w:hAnsi="Book Antiqua"/>
                <w:color w:val="000000"/>
              </w:rPr>
            </w:pPr>
            <w:r>
              <w:rPr>
                <w:rFonts w:ascii="Book Antiqua" w:hAnsi="Book Antiqua"/>
                <w:color w:val="000000"/>
              </w:rPr>
              <w:t>1.16-2.58</w:t>
            </w:r>
          </w:p>
        </w:tc>
        <w:tc>
          <w:tcPr>
            <w:tcW w:w="962" w:type="dxa"/>
            <w:tcBorders>
              <w:top w:val="nil"/>
              <w:left w:val="nil"/>
              <w:bottom w:val="nil"/>
              <w:right w:val="nil"/>
            </w:tcBorders>
            <w:noWrap/>
            <w:vAlign w:val="center"/>
          </w:tcPr>
          <w:p w14:paraId="70225C73" w14:textId="77777777" w:rsidR="0068222A" w:rsidRDefault="00000000">
            <w:pPr>
              <w:spacing w:line="360" w:lineRule="auto"/>
              <w:jc w:val="both"/>
              <w:rPr>
                <w:rFonts w:ascii="Book Antiqua" w:hAnsi="Book Antiqua"/>
                <w:bCs/>
                <w:color w:val="000000"/>
              </w:rPr>
            </w:pPr>
            <w:r>
              <w:rPr>
                <w:rFonts w:ascii="Book Antiqua" w:hAnsi="Book Antiqua"/>
                <w:bCs/>
                <w:color w:val="000000"/>
              </w:rPr>
              <w:t>0.007</w:t>
            </w:r>
          </w:p>
        </w:tc>
        <w:tc>
          <w:tcPr>
            <w:tcW w:w="646" w:type="dxa"/>
            <w:tcBorders>
              <w:top w:val="nil"/>
              <w:left w:val="nil"/>
              <w:bottom w:val="nil"/>
              <w:right w:val="nil"/>
            </w:tcBorders>
            <w:noWrap/>
            <w:vAlign w:val="center"/>
          </w:tcPr>
          <w:p w14:paraId="714191CD" w14:textId="77777777" w:rsidR="0068222A" w:rsidRDefault="00000000">
            <w:pPr>
              <w:spacing w:line="360" w:lineRule="auto"/>
              <w:jc w:val="both"/>
              <w:rPr>
                <w:rFonts w:ascii="Book Antiqua" w:hAnsi="Book Antiqua"/>
                <w:color w:val="000000"/>
              </w:rPr>
            </w:pPr>
            <w:r>
              <w:rPr>
                <w:rFonts w:ascii="Book Antiqua" w:hAnsi="Book Antiqua"/>
                <w:color w:val="000000"/>
              </w:rPr>
              <w:t>1.52</w:t>
            </w:r>
          </w:p>
        </w:tc>
        <w:tc>
          <w:tcPr>
            <w:tcW w:w="1276" w:type="dxa"/>
            <w:tcBorders>
              <w:top w:val="nil"/>
              <w:left w:val="nil"/>
              <w:bottom w:val="nil"/>
              <w:right w:val="nil"/>
            </w:tcBorders>
            <w:noWrap/>
            <w:vAlign w:val="center"/>
          </w:tcPr>
          <w:p w14:paraId="7B835723" w14:textId="77777777" w:rsidR="0068222A" w:rsidRDefault="00000000">
            <w:pPr>
              <w:spacing w:line="360" w:lineRule="auto"/>
              <w:jc w:val="both"/>
              <w:rPr>
                <w:rFonts w:ascii="Book Antiqua" w:hAnsi="Book Antiqua"/>
                <w:color w:val="000000"/>
              </w:rPr>
            </w:pPr>
            <w:r>
              <w:rPr>
                <w:rFonts w:ascii="Book Antiqua" w:hAnsi="Book Antiqua"/>
                <w:color w:val="000000"/>
              </w:rPr>
              <w:t>1.00-2.30</w:t>
            </w:r>
          </w:p>
        </w:tc>
        <w:tc>
          <w:tcPr>
            <w:tcW w:w="992" w:type="dxa"/>
            <w:tcBorders>
              <w:top w:val="nil"/>
              <w:left w:val="nil"/>
              <w:bottom w:val="nil"/>
              <w:right w:val="nil"/>
            </w:tcBorders>
            <w:noWrap/>
            <w:vAlign w:val="center"/>
          </w:tcPr>
          <w:p w14:paraId="78B2C8AE" w14:textId="77777777" w:rsidR="0068222A" w:rsidRDefault="00000000">
            <w:pPr>
              <w:spacing w:line="360" w:lineRule="auto"/>
              <w:jc w:val="both"/>
              <w:rPr>
                <w:rFonts w:ascii="Book Antiqua" w:hAnsi="Book Antiqua"/>
                <w:bCs/>
                <w:color w:val="000000"/>
              </w:rPr>
            </w:pPr>
            <w:r>
              <w:rPr>
                <w:rFonts w:ascii="Book Antiqua" w:hAnsi="Book Antiqua"/>
                <w:bCs/>
                <w:color w:val="000000"/>
              </w:rPr>
              <w:t>0.048</w:t>
            </w:r>
          </w:p>
        </w:tc>
      </w:tr>
      <w:tr w:rsidR="0068222A" w14:paraId="1639C1D4" w14:textId="77777777">
        <w:trPr>
          <w:trHeight w:val="363"/>
        </w:trPr>
        <w:tc>
          <w:tcPr>
            <w:tcW w:w="3345" w:type="dxa"/>
            <w:tcBorders>
              <w:top w:val="nil"/>
              <w:left w:val="nil"/>
              <w:bottom w:val="nil"/>
              <w:right w:val="nil"/>
            </w:tcBorders>
            <w:noWrap/>
            <w:vAlign w:val="center"/>
          </w:tcPr>
          <w:p w14:paraId="3F38E27B" w14:textId="77777777" w:rsidR="0068222A" w:rsidRDefault="00000000">
            <w:pPr>
              <w:spacing w:line="360" w:lineRule="auto"/>
              <w:jc w:val="both"/>
              <w:rPr>
                <w:rFonts w:ascii="Book Antiqua" w:hAnsi="Book Antiqua"/>
                <w:color w:val="000000"/>
              </w:rPr>
            </w:pPr>
            <w:r>
              <w:rPr>
                <w:rFonts w:ascii="Book Antiqua" w:hAnsi="Book Antiqua"/>
                <w:color w:val="000000"/>
              </w:rPr>
              <w:t>Tumor size (cm)</w:t>
            </w:r>
          </w:p>
        </w:tc>
        <w:tc>
          <w:tcPr>
            <w:tcW w:w="790" w:type="dxa"/>
            <w:tcBorders>
              <w:top w:val="nil"/>
              <w:left w:val="nil"/>
              <w:bottom w:val="nil"/>
              <w:right w:val="nil"/>
            </w:tcBorders>
            <w:noWrap/>
            <w:vAlign w:val="center"/>
          </w:tcPr>
          <w:p w14:paraId="04555065" w14:textId="77777777" w:rsidR="0068222A" w:rsidRDefault="00000000">
            <w:pPr>
              <w:spacing w:line="360" w:lineRule="auto"/>
              <w:jc w:val="both"/>
              <w:rPr>
                <w:rFonts w:ascii="Book Antiqua" w:hAnsi="Book Antiqua"/>
                <w:color w:val="000000"/>
              </w:rPr>
            </w:pPr>
            <w:r>
              <w:rPr>
                <w:rFonts w:ascii="Book Antiqua" w:hAnsi="Book Antiqua"/>
                <w:color w:val="000000"/>
              </w:rPr>
              <w:t>1.05</w:t>
            </w:r>
          </w:p>
        </w:tc>
        <w:tc>
          <w:tcPr>
            <w:tcW w:w="1220" w:type="dxa"/>
            <w:tcBorders>
              <w:top w:val="nil"/>
              <w:left w:val="nil"/>
              <w:bottom w:val="nil"/>
              <w:right w:val="nil"/>
            </w:tcBorders>
            <w:noWrap/>
            <w:vAlign w:val="center"/>
          </w:tcPr>
          <w:p w14:paraId="57F9DFA6" w14:textId="77777777" w:rsidR="0068222A" w:rsidRDefault="00000000">
            <w:pPr>
              <w:spacing w:line="360" w:lineRule="auto"/>
              <w:jc w:val="both"/>
              <w:rPr>
                <w:rFonts w:ascii="Book Antiqua" w:hAnsi="Book Antiqua"/>
                <w:color w:val="000000"/>
              </w:rPr>
            </w:pPr>
            <w:r>
              <w:rPr>
                <w:rFonts w:ascii="Book Antiqua" w:hAnsi="Book Antiqua"/>
                <w:color w:val="000000"/>
              </w:rPr>
              <w:t>1.01-1.09</w:t>
            </w:r>
          </w:p>
        </w:tc>
        <w:tc>
          <w:tcPr>
            <w:tcW w:w="962" w:type="dxa"/>
            <w:tcBorders>
              <w:top w:val="nil"/>
              <w:left w:val="nil"/>
              <w:bottom w:val="nil"/>
              <w:right w:val="nil"/>
            </w:tcBorders>
            <w:noWrap/>
            <w:vAlign w:val="center"/>
          </w:tcPr>
          <w:p w14:paraId="2805BC8C" w14:textId="77777777" w:rsidR="0068222A" w:rsidRDefault="00000000">
            <w:pPr>
              <w:spacing w:line="360" w:lineRule="auto"/>
              <w:jc w:val="both"/>
              <w:rPr>
                <w:rFonts w:ascii="Book Antiqua" w:hAnsi="Book Antiqua"/>
                <w:bCs/>
                <w:color w:val="000000"/>
              </w:rPr>
            </w:pPr>
            <w:r>
              <w:rPr>
                <w:rFonts w:ascii="Book Antiqua" w:hAnsi="Book Antiqua"/>
                <w:bCs/>
                <w:color w:val="000000"/>
              </w:rPr>
              <w:t>0.005</w:t>
            </w:r>
          </w:p>
        </w:tc>
        <w:tc>
          <w:tcPr>
            <w:tcW w:w="646" w:type="dxa"/>
            <w:tcBorders>
              <w:top w:val="nil"/>
              <w:left w:val="nil"/>
              <w:bottom w:val="nil"/>
              <w:right w:val="nil"/>
            </w:tcBorders>
            <w:noWrap/>
            <w:vAlign w:val="center"/>
          </w:tcPr>
          <w:p w14:paraId="7F1F0725" w14:textId="77777777" w:rsidR="0068222A" w:rsidRDefault="00000000">
            <w:pPr>
              <w:spacing w:line="360" w:lineRule="auto"/>
              <w:jc w:val="both"/>
              <w:rPr>
                <w:rFonts w:ascii="Book Antiqua" w:hAnsi="Book Antiqua"/>
                <w:color w:val="000000"/>
              </w:rPr>
            </w:pPr>
            <w:r>
              <w:rPr>
                <w:rFonts w:ascii="Book Antiqua" w:hAnsi="Book Antiqua"/>
                <w:color w:val="000000"/>
              </w:rPr>
              <w:t>1.00</w:t>
            </w:r>
          </w:p>
        </w:tc>
        <w:tc>
          <w:tcPr>
            <w:tcW w:w="1276" w:type="dxa"/>
            <w:tcBorders>
              <w:top w:val="nil"/>
              <w:left w:val="nil"/>
              <w:bottom w:val="nil"/>
              <w:right w:val="nil"/>
            </w:tcBorders>
            <w:noWrap/>
            <w:vAlign w:val="center"/>
          </w:tcPr>
          <w:p w14:paraId="646210CC" w14:textId="77777777" w:rsidR="0068222A" w:rsidRDefault="00000000">
            <w:pPr>
              <w:spacing w:line="360" w:lineRule="auto"/>
              <w:jc w:val="both"/>
              <w:rPr>
                <w:rFonts w:ascii="Book Antiqua" w:hAnsi="Book Antiqua"/>
                <w:color w:val="000000"/>
              </w:rPr>
            </w:pPr>
            <w:r>
              <w:rPr>
                <w:rFonts w:ascii="Book Antiqua" w:hAnsi="Book Antiqua"/>
                <w:color w:val="000000"/>
              </w:rPr>
              <w:t>0.94-1.04</w:t>
            </w:r>
          </w:p>
        </w:tc>
        <w:tc>
          <w:tcPr>
            <w:tcW w:w="992" w:type="dxa"/>
            <w:tcBorders>
              <w:top w:val="nil"/>
              <w:left w:val="nil"/>
              <w:bottom w:val="nil"/>
              <w:right w:val="nil"/>
            </w:tcBorders>
            <w:noWrap/>
            <w:vAlign w:val="center"/>
          </w:tcPr>
          <w:p w14:paraId="212B53C7" w14:textId="77777777" w:rsidR="0068222A" w:rsidRDefault="00000000">
            <w:pPr>
              <w:spacing w:line="360" w:lineRule="auto"/>
              <w:jc w:val="both"/>
              <w:rPr>
                <w:rFonts w:ascii="Book Antiqua" w:hAnsi="Book Antiqua"/>
                <w:bCs/>
                <w:color w:val="000000"/>
              </w:rPr>
            </w:pPr>
            <w:r>
              <w:rPr>
                <w:rFonts w:ascii="Book Antiqua" w:hAnsi="Book Antiqua"/>
                <w:bCs/>
                <w:color w:val="000000"/>
              </w:rPr>
              <w:t>0.621</w:t>
            </w:r>
          </w:p>
        </w:tc>
      </w:tr>
      <w:tr w:rsidR="0068222A" w14:paraId="3B8BE182" w14:textId="77777777">
        <w:trPr>
          <w:trHeight w:val="363"/>
        </w:trPr>
        <w:tc>
          <w:tcPr>
            <w:tcW w:w="3345" w:type="dxa"/>
            <w:tcBorders>
              <w:top w:val="nil"/>
              <w:left w:val="nil"/>
              <w:bottom w:val="nil"/>
              <w:right w:val="nil"/>
            </w:tcBorders>
            <w:noWrap/>
            <w:vAlign w:val="center"/>
          </w:tcPr>
          <w:p w14:paraId="40CD8EE6" w14:textId="77777777" w:rsidR="0068222A" w:rsidRDefault="00000000">
            <w:pPr>
              <w:spacing w:line="360" w:lineRule="auto"/>
              <w:jc w:val="both"/>
              <w:rPr>
                <w:rFonts w:ascii="Book Antiqua" w:hAnsi="Book Antiqua"/>
                <w:color w:val="000000"/>
              </w:rPr>
            </w:pPr>
            <w:r>
              <w:rPr>
                <w:rFonts w:ascii="Book Antiqua" w:hAnsi="Book Antiqua"/>
                <w:color w:val="000000"/>
              </w:rPr>
              <w:t>Platelets (× 10</w:t>
            </w:r>
            <w:r>
              <w:rPr>
                <w:rFonts w:ascii="Book Antiqua" w:hAnsi="Book Antiqua"/>
                <w:vertAlign w:val="superscript"/>
              </w:rPr>
              <w:t>9</w:t>
            </w:r>
            <w:r>
              <w:rPr>
                <w:rFonts w:ascii="Book Antiqua" w:hAnsi="Book Antiqua"/>
                <w:color w:val="000000"/>
              </w:rPr>
              <w:t>/L)</w:t>
            </w:r>
          </w:p>
        </w:tc>
        <w:tc>
          <w:tcPr>
            <w:tcW w:w="790" w:type="dxa"/>
            <w:tcBorders>
              <w:top w:val="nil"/>
              <w:left w:val="nil"/>
              <w:bottom w:val="nil"/>
              <w:right w:val="nil"/>
            </w:tcBorders>
            <w:noWrap/>
            <w:vAlign w:val="center"/>
          </w:tcPr>
          <w:p w14:paraId="28EFDFD4" w14:textId="77777777" w:rsidR="0068222A" w:rsidRDefault="00000000">
            <w:pPr>
              <w:spacing w:line="360" w:lineRule="auto"/>
              <w:jc w:val="both"/>
              <w:rPr>
                <w:rFonts w:ascii="Book Antiqua" w:hAnsi="Book Antiqua"/>
                <w:color w:val="000000"/>
              </w:rPr>
            </w:pPr>
            <w:r>
              <w:rPr>
                <w:rFonts w:ascii="Book Antiqua" w:hAnsi="Book Antiqua"/>
                <w:color w:val="000000"/>
              </w:rPr>
              <w:t>1.00</w:t>
            </w:r>
          </w:p>
        </w:tc>
        <w:tc>
          <w:tcPr>
            <w:tcW w:w="1220" w:type="dxa"/>
            <w:tcBorders>
              <w:top w:val="nil"/>
              <w:left w:val="nil"/>
              <w:bottom w:val="nil"/>
              <w:right w:val="nil"/>
            </w:tcBorders>
            <w:noWrap/>
            <w:vAlign w:val="center"/>
          </w:tcPr>
          <w:p w14:paraId="156A8C6E" w14:textId="77777777" w:rsidR="0068222A" w:rsidRDefault="00000000">
            <w:pPr>
              <w:spacing w:line="360" w:lineRule="auto"/>
              <w:jc w:val="both"/>
              <w:rPr>
                <w:rFonts w:ascii="Book Antiqua" w:hAnsi="Book Antiqua"/>
                <w:color w:val="000000"/>
              </w:rPr>
            </w:pPr>
            <w:r>
              <w:rPr>
                <w:rFonts w:ascii="Book Antiqua" w:hAnsi="Book Antiqua"/>
                <w:color w:val="000000"/>
              </w:rPr>
              <w:t>1.00-1.00</w:t>
            </w:r>
          </w:p>
        </w:tc>
        <w:tc>
          <w:tcPr>
            <w:tcW w:w="962" w:type="dxa"/>
            <w:tcBorders>
              <w:top w:val="nil"/>
              <w:left w:val="nil"/>
              <w:bottom w:val="nil"/>
              <w:right w:val="nil"/>
            </w:tcBorders>
            <w:noWrap/>
            <w:vAlign w:val="center"/>
          </w:tcPr>
          <w:p w14:paraId="339A0538" w14:textId="77777777" w:rsidR="0068222A" w:rsidRDefault="00000000">
            <w:pPr>
              <w:spacing w:line="360" w:lineRule="auto"/>
              <w:jc w:val="both"/>
              <w:rPr>
                <w:rFonts w:ascii="Book Antiqua" w:hAnsi="Book Antiqua"/>
                <w:bCs/>
                <w:color w:val="000000"/>
              </w:rPr>
            </w:pPr>
            <w:r>
              <w:rPr>
                <w:rFonts w:ascii="Book Antiqua" w:hAnsi="Book Antiqua"/>
                <w:bCs/>
                <w:color w:val="000000"/>
              </w:rPr>
              <w:t>0.160</w:t>
            </w:r>
          </w:p>
        </w:tc>
        <w:tc>
          <w:tcPr>
            <w:tcW w:w="646" w:type="dxa"/>
            <w:tcBorders>
              <w:top w:val="nil"/>
              <w:left w:val="nil"/>
              <w:bottom w:val="nil"/>
              <w:right w:val="nil"/>
            </w:tcBorders>
            <w:noWrap/>
            <w:vAlign w:val="center"/>
          </w:tcPr>
          <w:p w14:paraId="36C70418" w14:textId="77777777" w:rsidR="0068222A" w:rsidRDefault="0068222A">
            <w:pPr>
              <w:spacing w:line="360" w:lineRule="auto"/>
              <w:jc w:val="both"/>
              <w:rPr>
                <w:rFonts w:ascii="Book Antiqua" w:hAnsi="Book Antiqua"/>
                <w:color w:val="000000"/>
              </w:rPr>
            </w:pPr>
          </w:p>
        </w:tc>
        <w:tc>
          <w:tcPr>
            <w:tcW w:w="1276" w:type="dxa"/>
            <w:tcBorders>
              <w:top w:val="nil"/>
              <w:left w:val="nil"/>
              <w:bottom w:val="nil"/>
              <w:right w:val="nil"/>
            </w:tcBorders>
            <w:noWrap/>
            <w:vAlign w:val="center"/>
          </w:tcPr>
          <w:p w14:paraId="0BF4E2E4" w14:textId="77777777" w:rsidR="0068222A" w:rsidRDefault="0068222A">
            <w:pPr>
              <w:spacing w:line="360" w:lineRule="auto"/>
              <w:jc w:val="both"/>
              <w:rPr>
                <w:rFonts w:ascii="Book Antiqua" w:hAnsi="Book Antiqua"/>
                <w:color w:val="000000"/>
              </w:rPr>
            </w:pPr>
          </w:p>
        </w:tc>
        <w:tc>
          <w:tcPr>
            <w:tcW w:w="992" w:type="dxa"/>
            <w:tcBorders>
              <w:top w:val="nil"/>
              <w:left w:val="nil"/>
              <w:bottom w:val="nil"/>
              <w:right w:val="nil"/>
            </w:tcBorders>
            <w:noWrap/>
            <w:vAlign w:val="center"/>
          </w:tcPr>
          <w:p w14:paraId="4CB0F3F5" w14:textId="77777777" w:rsidR="0068222A" w:rsidRDefault="0068222A">
            <w:pPr>
              <w:spacing w:line="360" w:lineRule="auto"/>
              <w:jc w:val="both"/>
              <w:rPr>
                <w:rFonts w:ascii="Book Antiqua" w:hAnsi="Book Antiqua"/>
                <w:bCs/>
                <w:color w:val="000000"/>
              </w:rPr>
            </w:pPr>
          </w:p>
        </w:tc>
      </w:tr>
      <w:tr w:rsidR="0068222A" w14:paraId="3EEB7FED" w14:textId="77777777">
        <w:trPr>
          <w:trHeight w:val="363"/>
        </w:trPr>
        <w:tc>
          <w:tcPr>
            <w:tcW w:w="3345" w:type="dxa"/>
            <w:tcBorders>
              <w:top w:val="nil"/>
              <w:left w:val="nil"/>
              <w:bottom w:val="nil"/>
              <w:right w:val="nil"/>
            </w:tcBorders>
            <w:noWrap/>
            <w:vAlign w:val="center"/>
          </w:tcPr>
          <w:p w14:paraId="00571A76" w14:textId="77777777" w:rsidR="0068222A" w:rsidRDefault="00000000">
            <w:pPr>
              <w:spacing w:line="360" w:lineRule="auto"/>
              <w:jc w:val="both"/>
              <w:rPr>
                <w:rFonts w:ascii="Book Antiqua" w:hAnsi="Book Antiqua"/>
                <w:color w:val="000000"/>
              </w:rPr>
            </w:pPr>
            <w:r>
              <w:rPr>
                <w:rFonts w:ascii="Book Antiqua" w:hAnsi="Book Antiqua"/>
                <w:color w:val="000000"/>
              </w:rPr>
              <w:t>GGT (U/L)</w:t>
            </w:r>
          </w:p>
        </w:tc>
        <w:tc>
          <w:tcPr>
            <w:tcW w:w="790" w:type="dxa"/>
            <w:tcBorders>
              <w:top w:val="nil"/>
              <w:left w:val="nil"/>
              <w:bottom w:val="nil"/>
              <w:right w:val="nil"/>
            </w:tcBorders>
            <w:noWrap/>
            <w:vAlign w:val="center"/>
          </w:tcPr>
          <w:p w14:paraId="289ED95D" w14:textId="77777777" w:rsidR="0068222A" w:rsidRDefault="00000000">
            <w:pPr>
              <w:spacing w:line="360" w:lineRule="auto"/>
              <w:jc w:val="both"/>
              <w:rPr>
                <w:rFonts w:ascii="Book Antiqua" w:hAnsi="Book Antiqua"/>
                <w:color w:val="000000"/>
              </w:rPr>
            </w:pPr>
            <w:r>
              <w:rPr>
                <w:rFonts w:ascii="Book Antiqua" w:hAnsi="Book Antiqua"/>
                <w:color w:val="000000"/>
              </w:rPr>
              <w:t>1.02</w:t>
            </w:r>
          </w:p>
        </w:tc>
        <w:tc>
          <w:tcPr>
            <w:tcW w:w="1220" w:type="dxa"/>
            <w:tcBorders>
              <w:top w:val="nil"/>
              <w:left w:val="nil"/>
              <w:bottom w:val="nil"/>
              <w:right w:val="nil"/>
            </w:tcBorders>
            <w:noWrap/>
            <w:vAlign w:val="center"/>
          </w:tcPr>
          <w:p w14:paraId="71059CF9" w14:textId="77777777" w:rsidR="0068222A" w:rsidRDefault="00000000">
            <w:pPr>
              <w:spacing w:line="360" w:lineRule="auto"/>
              <w:jc w:val="both"/>
              <w:rPr>
                <w:rFonts w:ascii="Book Antiqua" w:hAnsi="Book Antiqua"/>
                <w:color w:val="000000"/>
              </w:rPr>
            </w:pPr>
            <w:r>
              <w:rPr>
                <w:rFonts w:ascii="Book Antiqua" w:hAnsi="Book Antiqua"/>
                <w:color w:val="000000"/>
              </w:rPr>
              <w:t>1.04-1.02</w:t>
            </w:r>
          </w:p>
        </w:tc>
        <w:tc>
          <w:tcPr>
            <w:tcW w:w="962" w:type="dxa"/>
            <w:tcBorders>
              <w:top w:val="nil"/>
              <w:left w:val="nil"/>
              <w:bottom w:val="nil"/>
              <w:right w:val="nil"/>
            </w:tcBorders>
            <w:noWrap/>
            <w:vAlign w:val="center"/>
          </w:tcPr>
          <w:p w14:paraId="7F640306" w14:textId="77777777" w:rsidR="0068222A" w:rsidRDefault="00000000">
            <w:pPr>
              <w:spacing w:line="360" w:lineRule="auto"/>
              <w:jc w:val="both"/>
              <w:rPr>
                <w:rFonts w:ascii="Book Antiqua" w:hAnsi="Book Antiqua"/>
                <w:bCs/>
                <w:color w:val="000000"/>
              </w:rPr>
            </w:pPr>
            <w:r>
              <w:rPr>
                <w:rFonts w:ascii="Book Antiqua" w:hAnsi="Book Antiqua"/>
                <w:bCs/>
                <w:color w:val="000000"/>
              </w:rPr>
              <w:t>0.034</w:t>
            </w:r>
          </w:p>
        </w:tc>
        <w:tc>
          <w:tcPr>
            <w:tcW w:w="646" w:type="dxa"/>
            <w:tcBorders>
              <w:top w:val="nil"/>
              <w:left w:val="nil"/>
              <w:bottom w:val="nil"/>
              <w:right w:val="nil"/>
            </w:tcBorders>
            <w:noWrap/>
            <w:vAlign w:val="center"/>
          </w:tcPr>
          <w:p w14:paraId="3AD50613" w14:textId="77777777" w:rsidR="0068222A" w:rsidRDefault="00000000">
            <w:pPr>
              <w:spacing w:line="360" w:lineRule="auto"/>
              <w:jc w:val="both"/>
              <w:rPr>
                <w:rFonts w:ascii="Book Antiqua" w:hAnsi="Book Antiqua"/>
                <w:color w:val="000000"/>
              </w:rPr>
            </w:pPr>
            <w:r>
              <w:rPr>
                <w:rFonts w:ascii="Book Antiqua" w:hAnsi="Book Antiqua"/>
                <w:color w:val="000000"/>
              </w:rPr>
              <w:t>1.01</w:t>
            </w:r>
          </w:p>
        </w:tc>
        <w:tc>
          <w:tcPr>
            <w:tcW w:w="1276" w:type="dxa"/>
            <w:tcBorders>
              <w:top w:val="nil"/>
              <w:left w:val="nil"/>
              <w:bottom w:val="nil"/>
              <w:right w:val="nil"/>
            </w:tcBorders>
            <w:noWrap/>
            <w:vAlign w:val="center"/>
          </w:tcPr>
          <w:p w14:paraId="1956DB59" w14:textId="77777777" w:rsidR="0068222A" w:rsidRDefault="00000000">
            <w:pPr>
              <w:spacing w:line="360" w:lineRule="auto"/>
              <w:jc w:val="both"/>
              <w:rPr>
                <w:rFonts w:ascii="Book Antiqua" w:hAnsi="Book Antiqua"/>
                <w:color w:val="000000"/>
              </w:rPr>
            </w:pPr>
            <w:r>
              <w:rPr>
                <w:rFonts w:ascii="Book Antiqua" w:hAnsi="Book Antiqua"/>
                <w:color w:val="000000"/>
              </w:rPr>
              <w:t>1.01-1.00</w:t>
            </w:r>
          </w:p>
        </w:tc>
        <w:tc>
          <w:tcPr>
            <w:tcW w:w="992" w:type="dxa"/>
            <w:tcBorders>
              <w:top w:val="nil"/>
              <w:left w:val="nil"/>
              <w:bottom w:val="nil"/>
              <w:right w:val="nil"/>
            </w:tcBorders>
            <w:noWrap/>
            <w:vAlign w:val="center"/>
          </w:tcPr>
          <w:p w14:paraId="3429B402" w14:textId="77777777" w:rsidR="0068222A" w:rsidRDefault="00000000">
            <w:pPr>
              <w:spacing w:line="360" w:lineRule="auto"/>
              <w:jc w:val="both"/>
              <w:rPr>
                <w:rFonts w:ascii="Book Antiqua" w:hAnsi="Book Antiqua"/>
                <w:bCs/>
                <w:color w:val="000000"/>
              </w:rPr>
            </w:pPr>
            <w:r>
              <w:rPr>
                <w:rFonts w:ascii="Book Antiqua" w:hAnsi="Book Antiqua"/>
                <w:bCs/>
                <w:color w:val="000000"/>
              </w:rPr>
              <w:t>0.333</w:t>
            </w:r>
          </w:p>
        </w:tc>
      </w:tr>
      <w:tr w:rsidR="0068222A" w14:paraId="3D5F0D4E" w14:textId="77777777">
        <w:trPr>
          <w:trHeight w:val="363"/>
        </w:trPr>
        <w:tc>
          <w:tcPr>
            <w:tcW w:w="3345" w:type="dxa"/>
            <w:tcBorders>
              <w:top w:val="nil"/>
              <w:left w:val="nil"/>
              <w:bottom w:val="nil"/>
              <w:right w:val="nil"/>
            </w:tcBorders>
            <w:noWrap/>
            <w:vAlign w:val="center"/>
          </w:tcPr>
          <w:p w14:paraId="6B9780B6" w14:textId="77777777" w:rsidR="0068222A" w:rsidRDefault="00000000">
            <w:pPr>
              <w:spacing w:line="360" w:lineRule="auto"/>
              <w:jc w:val="both"/>
              <w:rPr>
                <w:rFonts w:ascii="Book Antiqua" w:hAnsi="Book Antiqua"/>
                <w:color w:val="000000"/>
              </w:rPr>
            </w:pPr>
            <w:r>
              <w:rPr>
                <w:rFonts w:ascii="Book Antiqua" w:hAnsi="Book Antiqua"/>
                <w:color w:val="000000"/>
              </w:rPr>
              <w:t>DB (mg/dL)</w:t>
            </w:r>
          </w:p>
        </w:tc>
        <w:tc>
          <w:tcPr>
            <w:tcW w:w="790" w:type="dxa"/>
            <w:tcBorders>
              <w:top w:val="nil"/>
              <w:left w:val="nil"/>
              <w:bottom w:val="nil"/>
              <w:right w:val="nil"/>
            </w:tcBorders>
            <w:noWrap/>
            <w:vAlign w:val="center"/>
          </w:tcPr>
          <w:p w14:paraId="2E31A940" w14:textId="77777777" w:rsidR="0068222A" w:rsidRDefault="00000000">
            <w:pPr>
              <w:spacing w:line="360" w:lineRule="auto"/>
              <w:jc w:val="both"/>
              <w:rPr>
                <w:rFonts w:ascii="Book Antiqua" w:hAnsi="Book Antiqua"/>
                <w:color w:val="000000"/>
              </w:rPr>
            </w:pPr>
            <w:r>
              <w:rPr>
                <w:rFonts w:ascii="Book Antiqua" w:hAnsi="Book Antiqua"/>
                <w:color w:val="000000"/>
              </w:rPr>
              <w:t>1.00</w:t>
            </w:r>
          </w:p>
        </w:tc>
        <w:tc>
          <w:tcPr>
            <w:tcW w:w="1220" w:type="dxa"/>
            <w:tcBorders>
              <w:top w:val="nil"/>
              <w:left w:val="nil"/>
              <w:bottom w:val="nil"/>
              <w:right w:val="nil"/>
            </w:tcBorders>
            <w:noWrap/>
            <w:vAlign w:val="center"/>
          </w:tcPr>
          <w:p w14:paraId="4236BBB7" w14:textId="77777777" w:rsidR="0068222A" w:rsidRDefault="00000000">
            <w:pPr>
              <w:spacing w:line="360" w:lineRule="auto"/>
              <w:jc w:val="both"/>
              <w:rPr>
                <w:rFonts w:ascii="Book Antiqua" w:hAnsi="Book Antiqua"/>
                <w:color w:val="000000"/>
              </w:rPr>
            </w:pPr>
            <w:r>
              <w:rPr>
                <w:rFonts w:ascii="Book Antiqua" w:hAnsi="Book Antiqua"/>
                <w:color w:val="000000"/>
              </w:rPr>
              <w:t>1.00-1.01</w:t>
            </w:r>
          </w:p>
        </w:tc>
        <w:tc>
          <w:tcPr>
            <w:tcW w:w="962" w:type="dxa"/>
            <w:tcBorders>
              <w:top w:val="nil"/>
              <w:left w:val="nil"/>
              <w:bottom w:val="nil"/>
              <w:right w:val="nil"/>
            </w:tcBorders>
            <w:noWrap/>
            <w:vAlign w:val="center"/>
          </w:tcPr>
          <w:p w14:paraId="48CC2F8D" w14:textId="77777777" w:rsidR="0068222A" w:rsidRDefault="00000000">
            <w:pPr>
              <w:spacing w:line="360" w:lineRule="auto"/>
              <w:jc w:val="both"/>
              <w:rPr>
                <w:rFonts w:ascii="Book Antiqua" w:hAnsi="Book Antiqua"/>
                <w:bCs/>
                <w:color w:val="000000"/>
              </w:rPr>
            </w:pPr>
            <w:r>
              <w:rPr>
                <w:rFonts w:ascii="Book Antiqua" w:hAnsi="Book Antiqua"/>
                <w:bCs/>
                <w:color w:val="000000"/>
              </w:rPr>
              <w:t>0.928</w:t>
            </w:r>
          </w:p>
        </w:tc>
        <w:tc>
          <w:tcPr>
            <w:tcW w:w="646" w:type="dxa"/>
            <w:tcBorders>
              <w:top w:val="nil"/>
              <w:left w:val="nil"/>
              <w:bottom w:val="nil"/>
              <w:right w:val="nil"/>
            </w:tcBorders>
            <w:noWrap/>
            <w:vAlign w:val="center"/>
          </w:tcPr>
          <w:p w14:paraId="5C49066B" w14:textId="77777777" w:rsidR="0068222A" w:rsidRDefault="0068222A">
            <w:pPr>
              <w:spacing w:line="360" w:lineRule="auto"/>
              <w:jc w:val="both"/>
              <w:rPr>
                <w:rFonts w:ascii="Book Antiqua" w:hAnsi="Book Antiqua"/>
                <w:color w:val="000000"/>
              </w:rPr>
            </w:pPr>
          </w:p>
        </w:tc>
        <w:tc>
          <w:tcPr>
            <w:tcW w:w="1276" w:type="dxa"/>
            <w:tcBorders>
              <w:top w:val="nil"/>
              <w:left w:val="nil"/>
              <w:bottom w:val="nil"/>
              <w:right w:val="nil"/>
            </w:tcBorders>
            <w:noWrap/>
            <w:vAlign w:val="center"/>
          </w:tcPr>
          <w:p w14:paraId="78881AAC" w14:textId="77777777" w:rsidR="0068222A" w:rsidRDefault="0068222A">
            <w:pPr>
              <w:spacing w:line="360" w:lineRule="auto"/>
              <w:jc w:val="both"/>
              <w:rPr>
                <w:rFonts w:ascii="Book Antiqua" w:hAnsi="Book Antiqua"/>
                <w:color w:val="000000"/>
              </w:rPr>
            </w:pPr>
          </w:p>
        </w:tc>
        <w:tc>
          <w:tcPr>
            <w:tcW w:w="992" w:type="dxa"/>
            <w:tcBorders>
              <w:top w:val="nil"/>
              <w:left w:val="nil"/>
              <w:bottom w:val="nil"/>
              <w:right w:val="nil"/>
            </w:tcBorders>
            <w:noWrap/>
            <w:vAlign w:val="center"/>
          </w:tcPr>
          <w:p w14:paraId="18743697" w14:textId="77777777" w:rsidR="0068222A" w:rsidRDefault="0068222A">
            <w:pPr>
              <w:spacing w:line="360" w:lineRule="auto"/>
              <w:jc w:val="both"/>
              <w:rPr>
                <w:rFonts w:ascii="Book Antiqua" w:hAnsi="Book Antiqua"/>
                <w:bCs/>
                <w:color w:val="000000"/>
              </w:rPr>
            </w:pPr>
          </w:p>
        </w:tc>
      </w:tr>
      <w:tr w:rsidR="0068222A" w14:paraId="634B5161" w14:textId="77777777">
        <w:trPr>
          <w:trHeight w:val="363"/>
        </w:trPr>
        <w:tc>
          <w:tcPr>
            <w:tcW w:w="3345" w:type="dxa"/>
            <w:tcBorders>
              <w:top w:val="nil"/>
              <w:left w:val="nil"/>
              <w:bottom w:val="single" w:sz="12" w:space="0" w:color="auto"/>
              <w:right w:val="nil"/>
            </w:tcBorders>
            <w:noWrap/>
            <w:vAlign w:val="center"/>
          </w:tcPr>
          <w:p w14:paraId="028E49FF" w14:textId="77777777" w:rsidR="0068222A" w:rsidRDefault="00000000">
            <w:pPr>
              <w:spacing w:line="360" w:lineRule="auto"/>
              <w:jc w:val="both"/>
              <w:rPr>
                <w:rFonts w:ascii="Book Antiqua" w:hAnsi="Book Antiqua"/>
                <w:color w:val="000000"/>
              </w:rPr>
            </w:pPr>
            <w:r>
              <w:rPr>
                <w:rFonts w:ascii="Book Antiqua" w:hAnsi="Book Antiqua"/>
                <w:color w:val="000000"/>
              </w:rPr>
              <w:t>ALBI</w:t>
            </w:r>
          </w:p>
        </w:tc>
        <w:tc>
          <w:tcPr>
            <w:tcW w:w="790" w:type="dxa"/>
            <w:tcBorders>
              <w:top w:val="nil"/>
              <w:left w:val="nil"/>
              <w:bottom w:val="single" w:sz="12" w:space="0" w:color="auto"/>
              <w:right w:val="nil"/>
            </w:tcBorders>
            <w:noWrap/>
            <w:vAlign w:val="center"/>
          </w:tcPr>
          <w:p w14:paraId="27B97B41" w14:textId="77777777" w:rsidR="0068222A" w:rsidRDefault="00000000">
            <w:pPr>
              <w:spacing w:line="360" w:lineRule="auto"/>
              <w:jc w:val="both"/>
              <w:rPr>
                <w:rFonts w:ascii="Book Antiqua" w:hAnsi="Book Antiqua"/>
                <w:color w:val="000000"/>
              </w:rPr>
            </w:pPr>
            <w:r>
              <w:rPr>
                <w:rFonts w:ascii="Book Antiqua" w:hAnsi="Book Antiqua"/>
                <w:color w:val="000000"/>
              </w:rPr>
              <w:t>0.96</w:t>
            </w:r>
          </w:p>
        </w:tc>
        <w:tc>
          <w:tcPr>
            <w:tcW w:w="1220" w:type="dxa"/>
            <w:tcBorders>
              <w:top w:val="nil"/>
              <w:left w:val="nil"/>
              <w:bottom w:val="single" w:sz="12" w:space="0" w:color="auto"/>
              <w:right w:val="nil"/>
            </w:tcBorders>
            <w:noWrap/>
            <w:vAlign w:val="center"/>
          </w:tcPr>
          <w:p w14:paraId="11BA2843" w14:textId="77777777" w:rsidR="0068222A" w:rsidRDefault="00000000">
            <w:pPr>
              <w:spacing w:line="360" w:lineRule="auto"/>
              <w:jc w:val="both"/>
              <w:rPr>
                <w:rFonts w:ascii="Book Antiqua" w:hAnsi="Book Antiqua"/>
                <w:color w:val="000000"/>
              </w:rPr>
            </w:pPr>
            <w:r>
              <w:rPr>
                <w:rFonts w:ascii="Book Antiqua" w:hAnsi="Book Antiqua"/>
                <w:color w:val="000000"/>
              </w:rPr>
              <w:t>0.64-1.44</w:t>
            </w:r>
          </w:p>
        </w:tc>
        <w:tc>
          <w:tcPr>
            <w:tcW w:w="962" w:type="dxa"/>
            <w:tcBorders>
              <w:top w:val="nil"/>
              <w:left w:val="nil"/>
              <w:bottom w:val="single" w:sz="12" w:space="0" w:color="auto"/>
              <w:right w:val="nil"/>
            </w:tcBorders>
            <w:noWrap/>
            <w:vAlign w:val="center"/>
          </w:tcPr>
          <w:p w14:paraId="2DA74CEF" w14:textId="77777777" w:rsidR="0068222A" w:rsidRDefault="00000000">
            <w:pPr>
              <w:spacing w:line="360" w:lineRule="auto"/>
              <w:jc w:val="both"/>
              <w:rPr>
                <w:rFonts w:ascii="Book Antiqua" w:hAnsi="Book Antiqua"/>
                <w:bCs/>
                <w:color w:val="000000"/>
              </w:rPr>
            </w:pPr>
            <w:r>
              <w:rPr>
                <w:rFonts w:ascii="Book Antiqua" w:hAnsi="Book Antiqua"/>
                <w:bCs/>
                <w:color w:val="000000"/>
              </w:rPr>
              <w:t>0.838</w:t>
            </w:r>
          </w:p>
        </w:tc>
        <w:tc>
          <w:tcPr>
            <w:tcW w:w="646" w:type="dxa"/>
            <w:tcBorders>
              <w:top w:val="nil"/>
              <w:left w:val="nil"/>
              <w:bottom w:val="single" w:sz="12" w:space="0" w:color="auto"/>
              <w:right w:val="nil"/>
            </w:tcBorders>
            <w:noWrap/>
            <w:vAlign w:val="center"/>
          </w:tcPr>
          <w:p w14:paraId="063F4851" w14:textId="77777777" w:rsidR="0068222A" w:rsidRDefault="0068222A">
            <w:pPr>
              <w:spacing w:line="360" w:lineRule="auto"/>
              <w:jc w:val="both"/>
              <w:rPr>
                <w:rFonts w:ascii="Book Antiqua" w:hAnsi="Book Antiqua"/>
                <w:color w:val="000000"/>
              </w:rPr>
            </w:pPr>
          </w:p>
        </w:tc>
        <w:tc>
          <w:tcPr>
            <w:tcW w:w="1276" w:type="dxa"/>
            <w:tcBorders>
              <w:top w:val="nil"/>
              <w:left w:val="nil"/>
              <w:bottom w:val="single" w:sz="12" w:space="0" w:color="auto"/>
              <w:right w:val="nil"/>
            </w:tcBorders>
            <w:noWrap/>
            <w:vAlign w:val="center"/>
          </w:tcPr>
          <w:p w14:paraId="44C5F696" w14:textId="77777777" w:rsidR="0068222A" w:rsidRDefault="0068222A">
            <w:pPr>
              <w:spacing w:line="360" w:lineRule="auto"/>
              <w:jc w:val="both"/>
              <w:rPr>
                <w:rFonts w:ascii="Book Antiqua" w:hAnsi="Book Antiqua"/>
                <w:color w:val="000000"/>
              </w:rPr>
            </w:pPr>
          </w:p>
        </w:tc>
        <w:tc>
          <w:tcPr>
            <w:tcW w:w="992" w:type="dxa"/>
            <w:tcBorders>
              <w:top w:val="nil"/>
              <w:left w:val="nil"/>
              <w:bottom w:val="single" w:sz="12" w:space="0" w:color="auto"/>
              <w:right w:val="nil"/>
            </w:tcBorders>
            <w:noWrap/>
            <w:vAlign w:val="center"/>
          </w:tcPr>
          <w:p w14:paraId="7991A3F1" w14:textId="77777777" w:rsidR="0068222A" w:rsidRDefault="0068222A">
            <w:pPr>
              <w:spacing w:line="360" w:lineRule="auto"/>
              <w:jc w:val="both"/>
              <w:rPr>
                <w:rFonts w:ascii="Book Antiqua" w:hAnsi="Book Antiqua"/>
                <w:bCs/>
                <w:color w:val="000000"/>
              </w:rPr>
            </w:pPr>
          </w:p>
        </w:tc>
      </w:tr>
    </w:tbl>
    <w:p w14:paraId="5B7DE7C1" w14:textId="77777777" w:rsidR="0068222A" w:rsidRDefault="00000000">
      <w:pPr>
        <w:spacing w:line="360" w:lineRule="auto"/>
        <w:jc w:val="both"/>
        <w:rPr>
          <w:rFonts w:ascii="Book Antiqua" w:hAnsi="Book Antiqua"/>
        </w:rPr>
      </w:pPr>
      <w:r>
        <w:rPr>
          <w:rFonts w:ascii="Book Antiqua" w:hAnsi="Book Antiqua"/>
          <w:bCs/>
          <w:color w:val="000000"/>
          <w:lang w:val="en-GB"/>
        </w:rPr>
        <w:t xml:space="preserve">HR: Hazard ratio; CI: Confidence interval; </w:t>
      </w:r>
      <w:r>
        <w:rPr>
          <w:rFonts w:ascii="Book Antiqua" w:hAnsi="Book Antiqua"/>
        </w:rPr>
        <w:t>HBsAg: Hepatitis B surface antigen; MVI: Microvascular invasion; AFP: Alpha fetoprotein; GGT: Gamma-glutamyl transpeptidase; DB: Direct bilirubin; ALBI: Albumin-bilirubin.</w:t>
      </w:r>
    </w:p>
    <w:sectPr w:rsidR="0068222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1DC05" w14:textId="77777777" w:rsidR="00DA3779" w:rsidRDefault="00DA3779">
      <w:r>
        <w:separator/>
      </w:r>
    </w:p>
  </w:endnote>
  <w:endnote w:type="continuationSeparator" w:id="0">
    <w:p w14:paraId="23D90C58" w14:textId="77777777" w:rsidR="00DA3779" w:rsidRDefault="00DA3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9C151" w14:textId="77777777" w:rsidR="0068222A" w:rsidRDefault="00000000">
    <w:pPr>
      <w:pStyle w:val="a5"/>
      <w:jc w:val="right"/>
      <w:rPr>
        <w:rFonts w:ascii="Book Antiqua" w:hAnsi="Book Antiqua"/>
        <w:color w:val="000000" w:themeColor="text1"/>
        <w:sz w:val="24"/>
        <w:szCs w:val="24"/>
      </w:rPr>
    </w:pPr>
    <w:bookmarkStart w:id="24" w:name="OLE_LINK5941"/>
    <w:bookmarkStart w:id="25" w:name="OLE_LINK5942"/>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35</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fldSimple w:instr="NUMPAGES  \* Arabic  \* MERGEFORMAT">
      <w:r>
        <w:rPr>
          <w:rFonts w:ascii="Book Antiqua" w:hAnsi="Book Antiqua"/>
          <w:color w:val="000000" w:themeColor="text1"/>
          <w:sz w:val="24"/>
          <w:szCs w:val="24"/>
          <w:lang w:val="zh-CN"/>
        </w:rPr>
        <w:t>37</w:t>
      </w:r>
    </w:fldSimple>
  </w:p>
  <w:bookmarkEnd w:id="24"/>
  <w:bookmarkEnd w:id="25"/>
  <w:p w14:paraId="364A1F10" w14:textId="77777777" w:rsidR="0068222A" w:rsidRDefault="0068222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C4F31" w14:textId="77777777" w:rsidR="00DA3779" w:rsidRDefault="00DA3779">
      <w:r>
        <w:separator/>
      </w:r>
    </w:p>
  </w:footnote>
  <w:footnote w:type="continuationSeparator" w:id="0">
    <w:p w14:paraId="54658915" w14:textId="77777777" w:rsidR="00DA3779" w:rsidRDefault="00DA377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F5CFF"/>
    <w:rsid w:val="00100CA2"/>
    <w:rsid w:val="00130621"/>
    <w:rsid w:val="00134D5C"/>
    <w:rsid w:val="001A5D90"/>
    <w:rsid w:val="0027535D"/>
    <w:rsid w:val="002F6CE9"/>
    <w:rsid w:val="003E6E1B"/>
    <w:rsid w:val="004028C7"/>
    <w:rsid w:val="005F443B"/>
    <w:rsid w:val="00650D94"/>
    <w:rsid w:val="0068222A"/>
    <w:rsid w:val="006B4663"/>
    <w:rsid w:val="00744CE7"/>
    <w:rsid w:val="00792EDD"/>
    <w:rsid w:val="00805EC0"/>
    <w:rsid w:val="008364C0"/>
    <w:rsid w:val="00917C0E"/>
    <w:rsid w:val="009A5770"/>
    <w:rsid w:val="009A5915"/>
    <w:rsid w:val="009B4839"/>
    <w:rsid w:val="00A54C2D"/>
    <w:rsid w:val="00A642BB"/>
    <w:rsid w:val="00A77B3E"/>
    <w:rsid w:val="00A95A79"/>
    <w:rsid w:val="00AC4257"/>
    <w:rsid w:val="00AF6A00"/>
    <w:rsid w:val="00B20091"/>
    <w:rsid w:val="00B20BFD"/>
    <w:rsid w:val="00B72008"/>
    <w:rsid w:val="00BF2E5E"/>
    <w:rsid w:val="00CA2A55"/>
    <w:rsid w:val="00D26EEF"/>
    <w:rsid w:val="00DA3779"/>
    <w:rsid w:val="00DE7D1B"/>
    <w:rsid w:val="00E11142"/>
    <w:rsid w:val="01203F2E"/>
    <w:rsid w:val="081202E0"/>
    <w:rsid w:val="0A1870DA"/>
    <w:rsid w:val="0A6059C7"/>
    <w:rsid w:val="113849FC"/>
    <w:rsid w:val="11E96682"/>
    <w:rsid w:val="15F63C83"/>
    <w:rsid w:val="167A4E9A"/>
    <w:rsid w:val="16F33B62"/>
    <w:rsid w:val="1E5D30E3"/>
    <w:rsid w:val="1FB7272B"/>
    <w:rsid w:val="21E32762"/>
    <w:rsid w:val="23EB6515"/>
    <w:rsid w:val="29087757"/>
    <w:rsid w:val="29F57DBF"/>
    <w:rsid w:val="2A0B7379"/>
    <w:rsid w:val="2D9D0545"/>
    <w:rsid w:val="2EFB7111"/>
    <w:rsid w:val="3317670F"/>
    <w:rsid w:val="35487054"/>
    <w:rsid w:val="38124A52"/>
    <w:rsid w:val="3A113CA9"/>
    <w:rsid w:val="3DD62BA9"/>
    <w:rsid w:val="40DC2559"/>
    <w:rsid w:val="43151D12"/>
    <w:rsid w:val="488B4CD1"/>
    <w:rsid w:val="4AF22FBA"/>
    <w:rsid w:val="4FB566B8"/>
    <w:rsid w:val="51EF7A8D"/>
    <w:rsid w:val="53FF492A"/>
    <w:rsid w:val="595E7823"/>
    <w:rsid w:val="59BA5D54"/>
    <w:rsid w:val="5AFE7B1E"/>
    <w:rsid w:val="5C4D628B"/>
    <w:rsid w:val="62C57F30"/>
    <w:rsid w:val="65B25CA0"/>
    <w:rsid w:val="689057D3"/>
    <w:rsid w:val="6F501F44"/>
    <w:rsid w:val="71B21252"/>
    <w:rsid w:val="73B44FF2"/>
    <w:rsid w:val="74BA58B0"/>
    <w:rsid w:val="75285E3A"/>
    <w:rsid w:val="76364CFF"/>
    <w:rsid w:val="763C6F0D"/>
    <w:rsid w:val="7BAA27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1AF3D5"/>
  <w15:docId w15:val="{B7A9A9C5-EE69-9D4C-9877-D3C0BD189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customStyle="1" w:styleId="Default">
    <w:name w:val="Default"/>
    <w:qFormat/>
    <w:pPr>
      <w:widowControl w:val="0"/>
      <w:autoSpaceDE w:val="0"/>
      <w:autoSpaceDN w:val="0"/>
      <w:adjustRightInd w:val="0"/>
    </w:pPr>
    <w:rPr>
      <w:rFonts w:ascii="Verdana" w:eastAsia="宋体" w:hAnsi="Verdana" w:cs="Verdana"/>
      <w:color w:val="000000"/>
      <w:sz w:val="24"/>
      <w:szCs w:val="24"/>
    </w:rPr>
  </w:style>
  <w:style w:type="paragraph" w:customStyle="1" w:styleId="1">
    <w:name w:val="修订1"/>
    <w:hidden/>
    <w:uiPriority w:val="99"/>
    <w:semiHidden/>
    <w:qFormat/>
    <w:rPr>
      <w:rFonts w:eastAsia="Times New Roman"/>
      <w:sz w:val="24"/>
      <w:szCs w:val="24"/>
      <w:lang w:eastAsia="en-US"/>
    </w:rPr>
  </w:style>
  <w:style w:type="character" w:customStyle="1" w:styleId="a4">
    <w:name w:val="批注框文本 字符"/>
    <w:basedOn w:val="a0"/>
    <w:link w:val="a3"/>
    <w:rPr>
      <w:rFonts w:eastAsia="Times New Roman"/>
      <w:sz w:val="18"/>
      <w:szCs w:val="18"/>
      <w:lang w:eastAsia="en-US"/>
    </w:rPr>
  </w:style>
  <w:style w:type="paragraph" w:customStyle="1" w:styleId="2">
    <w:name w:val="修订2"/>
    <w:hidden/>
    <w:uiPriority w:val="99"/>
    <w:unhideWhenUsed/>
    <w:rPr>
      <w:rFonts w:eastAsia="Times New Roman"/>
      <w:sz w:val="24"/>
      <w:szCs w:val="24"/>
      <w:lang w:eastAsia="en-US"/>
    </w:rPr>
  </w:style>
  <w:style w:type="paragraph" w:styleId="a9">
    <w:name w:val="Revision"/>
    <w:hidden/>
    <w:uiPriority w:val="99"/>
    <w:unhideWhenUsed/>
    <w:rsid w:val="001A5D90"/>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file:///C:/Program%2520Files%2520(x86)/Youdao/Dict/6.3.69.8341/resultui/frame/javascript:void(0);"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042BC7-BE1F-4481-8210-FF20D2C8B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6480</Words>
  <Characters>36937</Characters>
  <Application>Microsoft Office Word</Application>
  <DocSecurity>0</DocSecurity>
  <Lines>307</Lines>
  <Paragraphs>86</Paragraphs>
  <ScaleCrop>false</ScaleCrop>
  <Company/>
  <LinksUpToDate>false</LinksUpToDate>
  <CharactersWithSpaces>43331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18105</dc:creator>
  <cp:lastModifiedBy>Jin-Lei Wang</cp:lastModifiedBy>
  <cp:revision>18</cp:revision>
  <dcterms:created xsi:type="dcterms:W3CDTF">2023-04-16T10:46:00Z</dcterms:created>
  <dcterms:modified xsi:type="dcterms:W3CDTF">2023-06-06T10:00:00Z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069C1DFF6D45414694E69E17B3BBC06A_13</vt:lpwstr>
  </property>
</Properties>
</file>