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6BEC8"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rPr>
        <w:t xml:space="preserve">Name of Journal: </w:t>
      </w:r>
      <w:r w:rsidRPr="00B52F73">
        <w:rPr>
          <w:rFonts w:ascii="Book Antiqua" w:eastAsia="Book Antiqua" w:hAnsi="Book Antiqua" w:cs="Book Antiqua"/>
          <w:i/>
        </w:rPr>
        <w:t>World Journal of Gastrointestinal Surgery</w:t>
      </w:r>
    </w:p>
    <w:p w14:paraId="7211FA83"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rPr>
        <w:t xml:space="preserve">Manuscript NO: </w:t>
      </w:r>
      <w:r w:rsidRPr="00B52F73">
        <w:rPr>
          <w:rFonts w:ascii="Book Antiqua" w:eastAsia="Book Antiqua" w:hAnsi="Book Antiqua" w:cs="Book Antiqua"/>
        </w:rPr>
        <w:t>83871</w:t>
      </w:r>
    </w:p>
    <w:p w14:paraId="36C45718"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rPr>
        <w:t xml:space="preserve">Manuscript Type: </w:t>
      </w:r>
      <w:r w:rsidRPr="00B52F73">
        <w:rPr>
          <w:rFonts w:ascii="Book Antiqua" w:eastAsia="Book Antiqua" w:hAnsi="Book Antiqua" w:cs="Book Antiqua"/>
        </w:rPr>
        <w:t>ORIGINAL ARTICLE</w:t>
      </w:r>
    </w:p>
    <w:p w14:paraId="254E15F4" w14:textId="77777777" w:rsidR="00A77B3E" w:rsidRPr="00B52F73" w:rsidRDefault="00A77B3E" w:rsidP="00566FBC">
      <w:pPr>
        <w:spacing w:line="360" w:lineRule="auto"/>
        <w:jc w:val="both"/>
        <w:rPr>
          <w:rFonts w:ascii="Book Antiqua" w:hAnsi="Book Antiqua"/>
        </w:rPr>
      </w:pPr>
    </w:p>
    <w:p w14:paraId="3FACEA23"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i/>
        </w:rPr>
        <w:t>Clinical Trials Study</w:t>
      </w:r>
    </w:p>
    <w:p w14:paraId="679F18E7"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color w:val="000000"/>
        </w:rPr>
        <w:t>Laboratory scoring system to predict hepatic indocyanine green clearance ability during fluorescence imaging-guided laparoscopic hepatectomy</w:t>
      </w:r>
    </w:p>
    <w:p w14:paraId="5D8B4E1A" w14:textId="77777777" w:rsidR="00A77B3E" w:rsidRPr="00B52F73" w:rsidRDefault="00A77B3E" w:rsidP="00566FBC">
      <w:pPr>
        <w:spacing w:line="360" w:lineRule="auto"/>
        <w:jc w:val="both"/>
        <w:rPr>
          <w:rFonts w:ascii="Book Antiqua" w:hAnsi="Book Antiqua"/>
        </w:rPr>
      </w:pPr>
    </w:p>
    <w:p w14:paraId="444022C6" w14:textId="4B74088C" w:rsidR="00A77B3E" w:rsidRPr="00B52F73" w:rsidRDefault="00023F6C" w:rsidP="00566FBC">
      <w:pPr>
        <w:spacing w:line="360" w:lineRule="auto"/>
        <w:jc w:val="both"/>
        <w:rPr>
          <w:rFonts w:ascii="Book Antiqua" w:hAnsi="Book Antiqua"/>
        </w:rPr>
      </w:pPr>
      <w:r w:rsidRPr="00B52F73">
        <w:rPr>
          <w:rFonts w:ascii="Book Antiqua" w:eastAsia="Book Antiqua" w:hAnsi="Book Antiqua" w:cs="Book Antiqua"/>
          <w:color w:val="000000"/>
        </w:rPr>
        <w:t xml:space="preserve">Chen ZR </w:t>
      </w:r>
      <w:r w:rsidRPr="00B52F73">
        <w:rPr>
          <w:rFonts w:ascii="Book Antiqua" w:eastAsia="Book Antiqua" w:hAnsi="Book Antiqua" w:cs="Book Antiqua"/>
          <w:i/>
          <w:iCs/>
          <w:color w:val="000000"/>
        </w:rPr>
        <w:t>et al</w:t>
      </w:r>
      <w:r w:rsidRPr="00B52F73">
        <w:rPr>
          <w:rFonts w:ascii="Book Antiqua" w:eastAsia="Book Antiqua" w:hAnsi="Book Antiqua" w:cs="Book Antiqua"/>
          <w:color w:val="000000"/>
        </w:rPr>
        <w:t>. Hepatic ICG clearance ability scoring system</w:t>
      </w:r>
    </w:p>
    <w:p w14:paraId="6B82CBE9" w14:textId="77777777" w:rsidR="00A77B3E" w:rsidRPr="00B52F73" w:rsidRDefault="00A77B3E" w:rsidP="00566FBC">
      <w:pPr>
        <w:spacing w:line="360" w:lineRule="auto"/>
        <w:jc w:val="both"/>
        <w:rPr>
          <w:rFonts w:ascii="Book Antiqua" w:hAnsi="Book Antiqua"/>
        </w:rPr>
      </w:pPr>
    </w:p>
    <w:p w14:paraId="13D59C83"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Zhen-Rong Chen, Qing-Teng Zeng, Ning Shi, Hong-Wei Han, Zhi-Hong Chen, Yi-Ping Zou, Yuan-Peng Zhang, Fan Wu, Lian-Qun Xu, Hao-Sheng Jin</w:t>
      </w:r>
    </w:p>
    <w:p w14:paraId="04E2129A" w14:textId="77777777" w:rsidR="00A77B3E" w:rsidRPr="00B52F73" w:rsidRDefault="00A77B3E" w:rsidP="00566FBC">
      <w:pPr>
        <w:spacing w:line="360" w:lineRule="auto"/>
        <w:jc w:val="both"/>
        <w:rPr>
          <w:rFonts w:ascii="Book Antiqua" w:hAnsi="Book Antiqua"/>
        </w:rPr>
      </w:pPr>
    </w:p>
    <w:p w14:paraId="6FF05C95" w14:textId="1705100F"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color w:val="000000"/>
        </w:rPr>
        <w:t xml:space="preserve">Zhen-Rong Chen, Ning Shi, Yuan-Peng Zhang, Fan Wu, Hao-Sheng Jin, </w:t>
      </w:r>
      <w:r w:rsidRPr="00B52F73">
        <w:rPr>
          <w:rFonts w:ascii="Book Antiqua" w:eastAsia="Book Antiqua" w:hAnsi="Book Antiqua" w:cs="Book Antiqua"/>
          <w:color w:val="000000"/>
        </w:rPr>
        <w:t>Guangdong Cardiovascular Institute, Guangdong Provincial People</w:t>
      </w:r>
      <w:r w:rsidR="00023F6C" w:rsidRPr="00B52F73">
        <w:rPr>
          <w:rFonts w:ascii="Book Antiqua" w:eastAsia="Book Antiqua" w:hAnsi="Book Antiqua" w:cs="Book Antiqua"/>
          <w:color w:val="000000"/>
        </w:rPr>
        <w:t>’</w:t>
      </w:r>
      <w:r w:rsidRPr="00B52F73">
        <w:rPr>
          <w:rFonts w:ascii="Book Antiqua" w:eastAsia="Book Antiqua" w:hAnsi="Book Antiqua" w:cs="Book Antiqua"/>
          <w:color w:val="000000"/>
        </w:rPr>
        <w:t>s Hospital, Guangdong Academy of Medical Sciences, Guangzhou 510000, Guangdong Province, China</w:t>
      </w:r>
    </w:p>
    <w:p w14:paraId="731CBAA2" w14:textId="77777777" w:rsidR="00A77B3E" w:rsidRPr="00B52F73" w:rsidRDefault="00A77B3E" w:rsidP="00566FBC">
      <w:pPr>
        <w:spacing w:line="360" w:lineRule="auto"/>
        <w:jc w:val="both"/>
        <w:rPr>
          <w:rFonts w:ascii="Book Antiqua" w:hAnsi="Book Antiqua"/>
        </w:rPr>
      </w:pPr>
    </w:p>
    <w:p w14:paraId="3030D875" w14:textId="45A7C33E"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color w:val="000000"/>
        </w:rPr>
        <w:t xml:space="preserve">Zhen-Rong Chen, Ning Shi, Hong-Wei Han, Zhi-Hong Chen, Yi-Ping Zou, Yuan-Peng Zhang, Fan Wu, Lian-Qun Xu, Hao-Sheng Jin, </w:t>
      </w:r>
      <w:r w:rsidRPr="00B52F73">
        <w:rPr>
          <w:rFonts w:ascii="Book Antiqua" w:eastAsia="Book Antiqua" w:hAnsi="Book Antiqua" w:cs="Book Antiqua"/>
          <w:color w:val="000000"/>
        </w:rPr>
        <w:t>Department of General Surgery, Guangdong Provincial People</w:t>
      </w:r>
      <w:r w:rsidR="00023F6C" w:rsidRPr="00B52F73">
        <w:rPr>
          <w:rFonts w:ascii="Book Antiqua" w:eastAsia="Book Antiqua" w:hAnsi="Book Antiqua" w:cs="Book Antiqua"/>
          <w:color w:val="000000"/>
        </w:rPr>
        <w:t>’</w:t>
      </w:r>
      <w:r w:rsidRPr="00B52F73">
        <w:rPr>
          <w:rFonts w:ascii="Book Antiqua" w:eastAsia="Book Antiqua" w:hAnsi="Book Antiqua" w:cs="Book Antiqua"/>
          <w:color w:val="000000"/>
        </w:rPr>
        <w:t>s Hospital (Guangdong Academy of Medical Sciences), Southern Medical University, Guangzhou 510000, Guangdong Province, China</w:t>
      </w:r>
    </w:p>
    <w:p w14:paraId="5CECC0DE" w14:textId="77777777" w:rsidR="00A77B3E" w:rsidRPr="00B52F73" w:rsidRDefault="00A77B3E" w:rsidP="00566FBC">
      <w:pPr>
        <w:spacing w:line="360" w:lineRule="auto"/>
        <w:jc w:val="both"/>
        <w:rPr>
          <w:rFonts w:ascii="Book Antiqua" w:hAnsi="Book Antiqua"/>
        </w:rPr>
      </w:pPr>
    </w:p>
    <w:p w14:paraId="01AFDF9E"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color w:val="000000"/>
        </w:rPr>
        <w:t xml:space="preserve">Qing-Teng Zeng, </w:t>
      </w:r>
      <w:r w:rsidRPr="00B52F73">
        <w:rPr>
          <w:rFonts w:ascii="Book Antiqua" w:eastAsia="Book Antiqua" w:hAnsi="Book Antiqua" w:cs="Book Antiqua"/>
          <w:color w:val="000000"/>
        </w:rPr>
        <w:t>Department of Hepatobiliary Surgery, Shenzhen Hospital of Traditional Chinese Medicine, Shenzhen 518000, Guangdong Province, China</w:t>
      </w:r>
    </w:p>
    <w:p w14:paraId="53225124" w14:textId="77777777" w:rsidR="00A77B3E" w:rsidRPr="00B52F73" w:rsidRDefault="00A77B3E" w:rsidP="00566FBC">
      <w:pPr>
        <w:spacing w:line="360" w:lineRule="auto"/>
        <w:jc w:val="both"/>
        <w:rPr>
          <w:rFonts w:ascii="Book Antiqua" w:hAnsi="Book Antiqua"/>
        </w:rPr>
      </w:pPr>
    </w:p>
    <w:p w14:paraId="668FBA61"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color w:val="000000"/>
        </w:rPr>
        <w:t xml:space="preserve">Zhi-Hong Chen, Yi-Ping Zou, </w:t>
      </w:r>
      <w:r w:rsidRPr="00B52F73">
        <w:rPr>
          <w:rFonts w:ascii="Book Antiqua" w:eastAsia="Book Antiqua" w:hAnsi="Book Antiqua" w:cs="Book Antiqua"/>
          <w:color w:val="000000"/>
        </w:rPr>
        <w:t>Medical College, Shantou University, Shantou 515000, Guangdong Province, China</w:t>
      </w:r>
    </w:p>
    <w:p w14:paraId="32EE0616" w14:textId="77777777" w:rsidR="00A77B3E" w:rsidRPr="00B52F73" w:rsidRDefault="00A77B3E" w:rsidP="00566FBC">
      <w:pPr>
        <w:spacing w:line="360" w:lineRule="auto"/>
        <w:jc w:val="both"/>
        <w:rPr>
          <w:rFonts w:ascii="Book Antiqua" w:hAnsi="Book Antiqua"/>
        </w:rPr>
      </w:pPr>
    </w:p>
    <w:p w14:paraId="706C549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color w:val="000000"/>
        </w:rPr>
        <w:t xml:space="preserve">Author contributions: </w:t>
      </w:r>
      <w:r w:rsidRPr="00B52F73">
        <w:rPr>
          <w:rFonts w:ascii="Book Antiqua" w:eastAsia="Book Antiqua" w:hAnsi="Book Antiqua" w:cs="Book Antiqua"/>
          <w:color w:val="000000"/>
        </w:rPr>
        <w:t xml:space="preserve">Chen ZR, Zeng QT, and Shi N contributed equally to this study. Chen ZR, Zeng QT, and Han HW designed the study; Chen ZR and Han HW collected </w:t>
      </w:r>
      <w:r w:rsidRPr="00B52F73">
        <w:rPr>
          <w:rFonts w:ascii="Book Antiqua" w:eastAsia="Book Antiqua" w:hAnsi="Book Antiqua" w:cs="Book Antiqua"/>
          <w:color w:val="000000"/>
        </w:rPr>
        <w:lastRenderedPageBreak/>
        <w:t>the clinically relevant data, obtained, outlined, and measured the fluorescence intensity values of the intraoperative images; Chen ZH and Zou YP were responsible for the statistical analysis; Chen ZH, Zou YP, and Shi N drafted the manuscript; and all authors revised the manuscript; Shi N and Jin HS were responsible for critical review of the research and articles.</w:t>
      </w:r>
    </w:p>
    <w:p w14:paraId="06F5A2C3" w14:textId="77777777" w:rsidR="00A77B3E" w:rsidRPr="00B52F73" w:rsidRDefault="00A77B3E" w:rsidP="00566FBC">
      <w:pPr>
        <w:spacing w:line="360" w:lineRule="auto"/>
        <w:jc w:val="both"/>
        <w:rPr>
          <w:rFonts w:ascii="Book Antiqua" w:hAnsi="Book Antiqua"/>
        </w:rPr>
      </w:pPr>
    </w:p>
    <w:p w14:paraId="1871C305" w14:textId="054BB432"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color w:val="000000"/>
        </w:rPr>
        <w:t xml:space="preserve">Supported by </w:t>
      </w:r>
      <w:r w:rsidRPr="00B52F73">
        <w:rPr>
          <w:rFonts w:ascii="Book Antiqua" w:eastAsia="Book Antiqua" w:hAnsi="Book Antiqua" w:cs="Book Antiqua"/>
          <w:color w:val="000000"/>
        </w:rPr>
        <w:t>the National Key Clinical Specialty Construction Project of China, No. 2022YW030009</w:t>
      </w:r>
      <w:r w:rsidR="00CF77FC" w:rsidRPr="00B52F73">
        <w:rPr>
          <w:rFonts w:ascii="Book Antiqua" w:eastAsia="Book Antiqua" w:hAnsi="Book Antiqua" w:cs="Book Antiqua"/>
          <w:color w:val="000000"/>
        </w:rPr>
        <w:t>.</w:t>
      </w:r>
    </w:p>
    <w:p w14:paraId="5F5368C9" w14:textId="77777777" w:rsidR="00A77B3E" w:rsidRPr="00B52F73" w:rsidRDefault="00A77B3E" w:rsidP="00566FBC">
      <w:pPr>
        <w:spacing w:line="360" w:lineRule="auto"/>
        <w:jc w:val="both"/>
        <w:rPr>
          <w:rFonts w:ascii="Book Antiqua" w:hAnsi="Book Antiqua"/>
        </w:rPr>
      </w:pPr>
    </w:p>
    <w:p w14:paraId="1DE7DC49" w14:textId="036E82D3"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color w:val="000000"/>
        </w:rPr>
        <w:t xml:space="preserve">Corresponding author: Hao-Sheng Jin, PhD, Professor, </w:t>
      </w:r>
      <w:r w:rsidRPr="00B52F73">
        <w:rPr>
          <w:rFonts w:ascii="Book Antiqua" w:eastAsia="Book Antiqua" w:hAnsi="Book Antiqua" w:cs="Book Antiqua"/>
          <w:color w:val="000000"/>
        </w:rPr>
        <w:t xml:space="preserve">Guangdong Cardiovascular Institute, Guangdong Provincial </w:t>
      </w:r>
      <w:r w:rsidR="00CF77FC" w:rsidRPr="00B52F73">
        <w:rPr>
          <w:rFonts w:ascii="Book Antiqua" w:eastAsia="Book Antiqua" w:hAnsi="Book Antiqua" w:cs="Book Antiqua"/>
          <w:color w:val="000000"/>
        </w:rPr>
        <w:t xml:space="preserve">People’s </w:t>
      </w:r>
      <w:r w:rsidRPr="00B52F73">
        <w:rPr>
          <w:rFonts w:ascii="Book Antiqua" w:eastAsia="Book Antiqua" w:hAnsi="Book Antiqua" w:cs="Book Antiqua"/>
          <w:color w:val="000000"/>
        </w:rPr>
        <w:t>Hospital, Guangdong Academy of Medical Sciences, No. 106 Zhongshan 2</w:t>
      </w:r>
      <w:r w:rsidRPr="00B52F73">
        <w:rPr>
          <w:rFonts w:ascii="Book Antiqua" w:eastAsia="Book Antiqua" w:hAnsi="Book Antiqua" w:cs="Book Antiqua"/>
          <w:color w:val="000000"/>
          <w:vertAlign w:val="superscript"/>
        </w:rPr>
        <w:t>nd</w:t>
      </w:r>
      <w:r w:rsidRPr="00B52F73">
        <w:rPr>
          <w:rFonts w:ascii="Book Antiqua" w:eastAsia="Book Antiqua" w:hAnsi="Book Antiqua" w:cs="Book Antiqua"/>
          <w:color w:val="000000"/>
        </w:rPr>
        <w:t xml:space="preserve"> Road, Yuexiu District, Guangzhou 510000, Guangdong Province, China. kinghaos@126.com</w:t>
      </w:r>
    </w:p>
    <w:p w14:paraId="62FA9A42" w14:textId="77777777" w:rsidR="00A77B3E" w:rsidRPr="00B52F73" w:rsidRDefault="00A77B3E" w:rsidP="00566FBC">
      <w:pPr>
        <w:spacing w:line="360" w:lineRule="auto"/>
        <w:jc w:val="both"/>
        <w:rPr>
          <w:rFonts w:ascii="Book Antiqua" w:hAnsi="Book Antiqua"/>
        </w:rPr>
      </w:pPr>
    </w:p>
    <w:p w14:paraId="42FCC997"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Received: </w:t>
      </w:r>
      <w:r w:rsidRPr="00B52F73">
        <w:rPr>
          <w:rFonts w:ascii="Book Antiqua" w:eastAsia="Book Antiqua" w:hAnsi="Book Antiqua" w:cs="Book Antiqua"/>
        </w:rPr>
        <w:t>February 13, 2023</w:t>
      </w:r>
    </w:p>
    <w:p w14:paraId="76CE8A1B"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Revised: </w:t>
      </w:r>
      <w:r w:rsidRPr="00B52F73">
        <w:rPr>
          <w:rFonts w:ascii="Book Antiqua" w:eastAsia="Book Antiqua" w:hAnsi="Book Antiqua" w:cs="Book Antiqua"/>
        </w:rPr>
        <w:t>April 11, 2023</w:t>
      </w:r>
    </w:p>
    <w:p w14:paraId="6C952F5B" w14:textId="31C36D59"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Accepted: </w:t>
      </w:r>
      <w:r w:rsidR="003B5319" w:rsidRPr="00B52F73">
        <w:rPr>
          <w:rFonts w:ascii="Book Antiqua" w:eastAsia="Book Antiqua" w:hAnsi="Book Antiqua" w:cs="Book Antiqua"/>
        </w:rPr>
        <w:t>May 6, 2023</w:t>
      </w:r>
    </w:p>
    <w:p w14:paraId="3246B883"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Published online: </w:t>
      </w:r>
    </w:p>
    <w:p w14:paraId="5E213635" w14:textId="77777777" w:rsidR="00A77B3E" w:rsidRPr="00B52F73" w:rsidRDefault="00A77B3E" w:rsidP="00566FBC">
      <w:pPr>
        <w:spacing w:line="360" w:lineRule="auto"/>
        <w:jc w:val="both"/>
        <w:rPr>
          <w:rFonts w:ascii="Book Antiqua" w:hAnsi="Book Antiqua"/>
        </w:rPr>
        <w:sectPr w:rsidR="00A77B3E" w:rsidRPr="00B52F73">
          <w:footerReference w:type="default" r:id="rId6"/>
          <w:pgSz w:w="12240" w:h="15840"/>
          <w:pgMar w:top="1440" w:right="1440" w:bottom="1440" w:left="1440" w:header="720" w:footer="720" w:gutter="0"/>
          <w:cols w:space="720"/>
          <w:docGrid w:linePitch="360"/>
        </w:sectPr>
      </w:pPr>
    </w:p>
    <w:p w14:paraId="3B296712"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lastRenderedPageBreak/>
        <w:t>Abstract</w:t>
      </w:r>
    </w:p>
    <w:p w14:paraId="3E63F2E2"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BACKGROUND</w:t>
      </w:r>
    </w:p>
    <w:p w14:paraId="1B699DAC" w14:textId="77777777" w:rsidR="00A77B3E" w:rsidRPr="00B52F73" w:rsidRDefault="00423C16" w:rsidP="00566FBC">
      <w:pPr>
        <w:spacing w:line="360" w:lineRule="auto"/>
        <w:jc w:val="both"/>
        <w:rPr>
          <w:rFonts w:ascii="Book Antiqua" w:hAnsi="Book Antiqua"/>
        </w:rPr>
      </w:pPr>
      <w:bookmarkStart w:id="0" w:name="_Hlk133584222"/>
      <w:r w:rsidRPr="00B52F73">
        <w:rPr>
          <w:rFonts w:ascii="Book Antiqua" w:eastAsia="Book Antiqua" w:hAnsi="Book Antiqua" w:cs="Book Antiqua"/>
          <w:color w:val="000000"/>
        </w:rPr>
        <w:t>Indocyanine green</w:t>
      </w:r>
      <w:bookmarkEnd w:id="0"/>
      <w:r w:rsidRPr="00B52F73">
        <w:rPr>
          <w:rFonts w:ascii="Book Antiqua" w:eastAsia="Book Antiqua" w:hAnsi="Book Antiqua" w:cs="Book Antiqua"/>
          <w:color w:val="000000"/>
        </w:rPr>
        <w:t xml:space="preserve"> (ICG) fluorescence played an important role in tumor localization and margin delineation in hepatobiliary surgery. However, the preoperative regimen of ICG administration was still controversial. Factors associated with tumor fluorescence staining effect were unclear.</w:t>
      </w:r>
    </w:p>
    <w:p w14:paraId="3DD29398" w14:textId="77777777" w:rsidR="00A77B3E" w:rsidRPr="00B52F73" w:rsidRDefault="00A77B3E" w:rsidP="00566FBC">
      <w:pPr>
        <w:spacing w:line="360" w:lineRule="auto"/>
        <w:jc w:val="both"/>
        <w:rPr>
          <w:rFonts w:ascii="Book Antiqua" w:hAnsi="Book Antiqua"/>
        </w:rPr>
      </w:pPr>
    </w:p>
    <w:p w14:paraId="52750C5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AIM</w:t>
      </w:r>
    </w:p>
    <w:p w14:paraId="6F66D1BF"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To investigate the preoperative laboratory indexes corelated with ICG fluorescence staining effect and establish a novel laboratory scoring system to screen specifical patients who need ICG dose adjustment.</w:t>
      </w:r>
    </w:p>
    <w:p w14:paraId="5689876B" w14:textId="77777777" w:rsidR="00A77B3E" w:rsidRPr="00B52F73" w:rsidRDefault="00A77B3E" w:rsidP="00566FBC">
      <w:pPr>
        <w:spacing w:line="360" w:lineRule="auto"/>
        <w:jc w:val="both"/>
        <w:rPr>
          <w:rFonts w:ascii="Book Antiqua" w:hAnsi="Book Antiqua"/>
        </w:rPr>
      </w:pPr>
    </w:p>
    <w:p w14:paraId="751CF799"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METHODS</w:t>
      </w:r>
    </w:p>
    <w:p w14:paraId="73539FB7" w14:textId="59CA20C6"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To investigate the predictive indicators of ICG fluorescence characteristics</w:t>
      </w:r>
      <w:r w:rsidR="00475BFF" w:rsidRPr="00B52F73">
        <w:rPr>
          <w:rFonts w:ascii="Book Antiqua" w:eastAsia="Book Antiqua" w:hAnsi="Book Antiqua" w:cs="Book Antiqua"/>
          <w:color w:val="000000"/>
        </w:rPr>
        <w:t xml:space="preserve"> in</w:t>
      </w:r>
      <w:r w:rsidRPr="00B52F73">
        <w:rPr>
          <w:rFonts w:ascii="Book Antiqua" w:eastAsia="Book Antiqua" w:hAnsi="Book Antiqua" w:cs="Book Antiqua"/>
          <w:color w:val="000000"/>
        </w:rPr>
        <w:t xml:space="preserve"> patients undergoing laparoscopic hepatectomy from January 2018 to January 2021 were included. Blood laboratory tests were completed within 1 wk before surgery. All patients received 5 mg ICG injection 24 h before surgery for preliminary tumor imaging. ImageJ</w:t>
      </w:r>
      <w:r w:rsidR="00271936" w:rsidRPr="00B52F73">
        <w:rPr>
          <w:rFonts w:ascii="Book Antiqua" w:eastAsia="Book Antiqua" w:hAnsi="Book Antiqua" w:cs="Book Antiqua"/>
          <w:color w:val="000000"/>
        </w:rPr>
        <w:t xml:space="preserve"> </w:t>
      </w:r>
      <w:r w:rsidR="0018261B" w:rsidRPr="00B52F73">
        <w:rPr>
          <w:rFonts w:ascii="Book Antiqua" w:eastAsia="Book Antiqua" w:hAnsi="Book Antiqua" w:cs="Book Antiqua"/>
          <w:color w:val="000000"/>
        </w:rPr>
        <w:t xml:space="preserve">software </w:t>
      </w:r>
      <w:r w:rsidR="00271936" w:rsidRPr="00B52F73">
        <w:rPr>
          <w:rFonts w:ascii="Book Antiqua" w:eastAsia="Book Antiqua" w:hAnsi="Book Antiqua" w:cs="Book Antiqua"/>
          <w:color w:val="000000"/>
        </w:rPr>
        <w:t>was used</w:t>
      </w:r>
      <w:r w:rsidRPr="00B52F73">
        <w:rPr>
          <w:rFonts w:ascii="Book Antiqua" w:eastAsia="Book Antiqua" w:hAnsi="Book Antiqua" w:cs="Book Antiqua"/>
          <w:color w:val="000000"/>
        </w:rPr>
        <w:t xml:space="preserve"> to measure the fluorescence intensity</w:t>
      </w:r>
      <w:r w:rsidR="00121802" w:rsidRPr="00B52F73">
        <w:rPr>
          <w:rFonts w:ascii="Book Antiqua" w:eastAsia="Book Antiqua" w:hAnsi="Book Antiqua" w:cs="Book Antiqua"/>
          <w:color w:val="000000"/>
        </w:rPr>
        <w:t xml:space="preserve"> values</w:t>
      </w:r>
      <w:r w:rsidRPr="00B52F73">
        <w:rPr>
          <w:rFonts w:ascii="Book Antiqua" w:eastAsia="Book Antiqua" w:hAnsi="Book Antiqua" w:cs="Book Antiqua"/>
          <w:color w:val="000000"/>
        </w:rPr>
        <w:t xml:space="preserve"> of region</w:t>
      </w:r>
      <w:r w:rsidR="00121802" w:rsidRPr="00B52F73">
        <w:rPr>
          <w:rFonts w:ascii="Book Antiqua" w:eastAsia="Book Antiqua" w:hAnsi="Book Antiqua" w:cs="Book Antiqua"/>
          <w:color w:val="000000"/>
        </w:rPr>
        <w:t>s</w:t>
      </w:r>
      <w:r w:rsidRPr="00B52F73">
        <w:rPr>
          <w:rFonts w:ascii="Book Antiqua" w:eastAsia="Book Antiqua" w:hAnsi="Book Antiqua" w:cs="Book Antiqua"/>
          <w:color w:val="000000"/>
        </w:rPr>
        <w:t xml:space="preserve"> of interest. Correlation analysis was used to identify risk factors. A laboratory risk model was established to identify individuals at high risk for high liver background fluorescence.</w:t>
      </w:r>
    </w:p>
    <w:p w14:paraId="6A23287D" w14:textId="77777777" w:rsidR="00A77B3E" w:rsidRPr="00B52F73" w:rsidRDefault="00A77B3E" w:rsidP="00566FBC">
      <w:pPr>
        <w:spacing w:line="360" w:lineRule="auto"/>
        <w:jc w:val="both"/>
        <w:rPr>
          <w:rFonts w:ascii="Book Antiqua" w:hAnsi="Book Antiqua"/>
        </w:rPr>
      </w:pPr>
    </w:p>
    <w:p w14:paraId="61D52ABC"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RESULTS</w:t>
      </w:r>
    </w:p>
    <w:p w14:paraId="49D55AA5" w14:textId="67007672" w:rsidR="00A77B3E" w:rsidRPr="00B52F73" w:rsidRDefault="00AC5910" w:rsidP="00566FBC">
      <w:pPr>
        <w:spacing w:line="360" w:lineRule="auto"/>
        <w:jc w:val="both"/>
        <w:rPr>
          <w:rFonts w:ascii="Book Antiqua" w:hAnsi="Book Antiqua"/>
        </w:rPr>
      </w:pPr>
      <w:r w:rsidRPr="00B52F73">
        <w:rPr>
          <w:rFonts w:ascii="Book Antiqua" w:eastAsia="Book Antiqua" w:hAnsi="Book Antiqua" w:cs="Book Antiqua"/>
        </w:rPr>
        <w:t>There were</w:t>
      </w:r>
      <w:r w:rsidR="00023F6C" w:rsidRPr="00B52F73">
        <w:rPr>
          <w:rFonts w:ascii="Book Antiqua" w:eastAsia="Book Antiqua" w:hAnsi="Book Antiqua" w:cs="Book Antiqua"/>
        </w:rPr>
        <w:t xml:space="preserve"> 110 patients</w:t>
      </w:r>
      <w:r w:rsidR="004D7FAC" w:rsidRPr="00B52F73">
        <w:rPr>
          <w:rFonts w:ascii="Book Antiqua" w:eastAsia="Book Antiqua" w:hAnsi="Book Antiqua" w:cs="Book Antiqua"/>
        </w:rPr>
        <w:t xml:space="preserve"> who</w:t>
      </w:r>
      <w:r w:rsidR="00023F6C" w:rsidRPr="00B52F73">
        <w:rPr>
          <w:rFonts w:ascii="Book Antiqua" w:eastAsia="Book Antiqua" w:hAnsi="Book Antiqua" w:cs="Book Antiqua"/>
        </w:rPr>
        <w:t xml:space="preserve"> were enrolled in this study from January 2019 to January 2021. The mean values of </w:t>
      </w:r>
      <w:bookmarkStart w:id="1" w:name="_Hlk133584871"/>
      <w:r w:rsidR="00023F6C" w:rsidRPr="00B52F73">
        <w:rPr>
          <w:rFonts w:ascii="Book Antiqua" w:eastAsia="Book Antiqua" w:hAnsi="Book Antiqua" w:cs="Book Antiqua"/>
        </w:rPr>
        <w:t>fluorescence intensity of liver background</w:t>
      </w:r>
      <w:bookmarkEnd w:id="1"/>
      <w:r w:rsidR="00023F6C" w:rsidRPr="00B52F73">
        <w:rPr>
          <w:rFonts w:ascii="Book Antiqua" w:eastAsia="Book Antiqua" w:hAnsi="Book Antiqua" w:cs="Book Antiqua"/>
        </w:rPr>
        <w:t xml:space="preserve"> (FI-LB), fluorescence intensity of gallbladder, and fluorescence intensity of target area were 18.87 ± 17.06, 54.84 ± 33.29, and 68.56 ± 36.11, respectively.</w:t>
      </w:r>
      <w:r w:rsidR="006607C4" w:rsidRPr="00B52F73">
        <w:rPr>
          <w:rFonts w:ascii="Book Antiqua" w:eastAsia="Book Antiqua" w:hAnsi="Book Antiqua" w:cs="Book Antiqua"/>
        </w:rPr>
        <w:t xml:space="preserve"> The</w:t>
      </w:r>
      <w:r w:rsidR="00023F6C" w:rsidRPr="00B52F73">
        <w:rPr>
          <w:rFonts w:ascii="Book Antiqua" w:eastAsia="Book Antiqua" w:hAnsi="Book Antiqua" w:cs="Book Antiqua"/>
        </w:rPr>
        <w:t xml:space="preserve"> </w:t>
      </w:r>
      <w:r w:rsidR="006607C4" w:rsidRPr="00B52F73">
        <w:rPr>
          <w:rFonts w:ascii="Book Antiqua" w:eastAsia="Book Antiqua" w:hAnsi="Book Antiqua" w:cs="Book Antiqua"/>
          <w:color w:val="000000"/>
        </w:rPr>
        <w:t>r</w:t>
      </w:r>
      <w:r w:rsidR="00023F6C" w:rsidRPr="00B52F73">
        <w:rPr>
          <w:rFonts w:ascii="Book Antiqua" w:eastAsia="Book Antiqua" w:hAnsi="Book Antiqua" w:cs="Book Antiqua"/>
          <w:color w:val="000000"/>
        </w:rPr>
        <w:t>eceiver operating characteristic (ROC)</w:t>
      </w:r>
      <w:r w:rsidR="00023F6C" w:rsidRPr="00B52F73">
        <w:rPr>
          <w:rFonts w:ascii="Book Antiqua" w:eastAsia="Book Antiqua" w:hAnsi="Book Antiqua" w:cs="Book Antiqua"/>
        </w:rPr>
        <w:t xml:space="preserve"> curve showed that FI-LB was a good indicator for liver clearance ability [</w:t>
      </w:r>
      <w:r w:rsidR="00023F6C" w:rsidRPr="00B52F73">
        <w:rPr>
          <w:rFonts w:ascii="Book Antiqua" w:eastAsia="Book Antiqua" w:hAnsi="Book Antiqua" w:cs="Book Antiqua"/>
          <w:color w:val="000000"/>
        </w:rPr>
        <w:t>area under the ROC curve (AUC)</w:t>
      </w:r>
      <w:r w:rsidR="00023F6C" w:rsidRPr="00B52F73">
        <w:rPr>
          <w:rFonts w:ascii="Book Antiqua" w:eastAsia="Book Antiqua" w:hAnsi="Book Antiqua" w:cs="Book Antiqua"/>
        </w:rPr>
        <w:t xml:space="preserve"> = 0.984]. Correlation analysis found pre-operative aspartate aminotransferase, alanine aminotransferase, gamma-glutamyl transpeptidase, adenosine deaminase, and lactate dehydrogenase were positively associated with FI-LB and </w:t>
      </w:r>
      <w:r w:rsidR="00121802" w:rsidRPr="00B52F73">
        <w:rPr>
          <w:rFonts w:ascii="Book Antiqua" w:eastAsia="Book Antiqua" w:hAnsi="Book Antiqua" w:cs="Book Antiqua"/>
        </w:rPr>
        <w:t xml:space="preserve">red </w:t>
      </w:r>
      <w:r w:rsidR="00121802" w:rsidRPr="00B52F73">
        <w:rPr>
          <w:rFonts w:ascii="Book Antiqua" w:eastAsia="Book Antiqua" w:hAnsi="Book Antiqua" w:cs="Book Antiqua"/>
        </w:rPr>
        <w:lastRenderedPageBreak/>
        <w:t>blood cell</w:t>
      </w:r>
      <w:r w:rsidR="00023F6C" w:rsidRPr="00B52F73">
        <w:rPr>
          <w:rFonts w:ascii="Book Antiqua" w:eastAsia="Book Antiqua" w:hAnsi="Book Antiqua" w:cs="Book Antiqua"/>
        </w:rPr>
        <w:t>, cholinesterase, and were negatively associated with FI-LB. Total laboratory risk score (TLRS) was calculated according to ROC curve (AUC</w:t>
      </w:r>
      <w:r w:rsidR="00354A63" w:rsidRPr="00B52F73">
        <w:rPr>
          <w:rFonts w:ascii="Book Antiqua" w:eastAsia="Book Antiqua" w:hAnsi="Book Antiqua" w:cs="Book Antiqua"/>
        </w:rPr>
        <w:t xml:space="preserve"> </w:t>
      </w:r>
      <w:r w:rsidR="00023F6C" w:rsidRPr="00B52F73">
        <w:rPr>
          <w:rFonts w:ascii="Book Antiqua" w:eastAsia="Book Antiqua" w:hAnsi="Book Antiqua" w:cs="Book Antiqua"/>
        </w:rPr>
        <w:t>=</w:t>
      </w:r>
      <w:r w:rsidR="00354A63" w:rsidRPr="00B52F73">
        <w:rPr>
          <w:rFonts w:ascii="Book Antiqua" w:eastAsia="Book Antiqua" w:hAnsi="Book Antiqua" w:cs="Book Antiqua"/>
        </w:rPr>
        <w:t xml:space="preserve"> </w:t>
      </w:r>
      <w:r w:rsidR="00023F6C" w:rsidRPr="00B52F73">
        <w:rPr>
          <w:rFonts w:ascii="Book Antiqua" w:eastAsia="Book Antiqua" w:hAnsi="Book Antiqua" w:cs="Book Antiqua"/>
        </w:rPr>
        <w:t xml:space="preserve">0.848, </w:t>
      </w:r>
      <w:r w:rsidR="00354A63" w:rsidRPr="00B52F73">
        <w:rPr>
          <w:rFonts w:ascii="Book Antiqua" w:eastAsia="Book Antiqua" w:hAnsi="Book Antiqua" w:cs="Book Antiqua"/>
        </w:rPr>
        <w:t>s</w:t>
      </w:r>
      <w:r w:rsidR="00023F6C" w:rsidRPr="00B52F73">
        <w:rPr>
          <w:rFonts w:ascii="Book Antiqua" w:eastAsia="Book Antiqua" w:hAnsi="Book Antiqua" w:cs="Book Antiqua"/>
        </w:rPr>
        <w:t>ensitivity</w:t>
      </w:r>
      <w:r w:rsidR="00354A63" w:rsidRPr="00B52F73">
        <w:rPr>
          <w:rFonts w:ascii="Book Antiqua" w:eastAsia="Book Antiqua" w:hAnsi="Book Antiqua" w:cs="Book Antiqua"/>
        </w:rPr>
        <w:t xml:space="preserve"> </w:t>
      </w:r>
      <w:r w:rsidR="00023F6C" w:rsidRPr="00B52F73">
        <w:rPr>
          <w:rFonts w:ascii="Book Antiqua" w:eastAsia="Book Antiqua" w:hAnsi="Book Antiqua" w:cs="Book Antiqua"/>
        </w:rPr>
        <w:t>=</w:t>
      </w:r>
      <w:r w:rsidR="00354A63" w:rsidRPr="00B52F73">
        <w:rPr>
          <w:rFonts w:ascii="Book Antiqua" w:eastAsia="Book Antiqua" w:hAnsi="Book Antiqua" w:cs="Book Antiqua"/>
        </w:rPr>
        <w:t xml:space="preserve"> </w:t>
      </w:r>
      <w:r w:rsidR="00023F6C" w:rsidRPr="00B52F73">
        <w:rPr>
          <w:rFonts w:ascii="Book Antiqua" w:eastAsia="Book Antiqua" w:hAnsi="Book Antiqua" w:cs="Book Antiqua"/>
        </w:rPr>
        <w:t>0.773, specificity</w:t>
      </w:r>
      <w:r w:rsidR="00354A63" w:rsidRPr="00B52F73">
        <w:rPr>
          <w:rFonts w:ascii="Book Antiqua" w:eastAsia="Book Antiqua" w:hAnsi="Book Antiqua" w:cs="Book Antiqua"/>
        </w:rPr>
        <w:t xml:space="preserve"> </w:t>
      </w:r>
      <w:r w:rsidR="00023F6C" w:rsidRPr="00B52F73">
        <w:rPr>
          <w:rFonts w:ascii="Book Antiqua" w:eastAsia="Book Antiqua" w:hAnsi="Book Antiqua" w:cs="Book Antiqua"/>
        </w:rPr>
        <w:t>=</w:t>
      </w:r>
      <w:r w:rsidR="00354A63" w:rsidRPr="00B52F73">
        <w:rPr>
          <w:rFonts w:ascii="Book Antiqua" w:eastAsia="Book Antiqua" w:hAnsi="Book Antiqua" w:cs="Book Antiqua"/>
        </w:rPr>
        <w:t xml:space="preserve"> </w:t>
      </w:r>
      <w:r w:rsidR="00023F6C" w:rsidRPr="00B52F73">
        <w:rPr>
          <w:rFonts w:ascii="Book Antiqua" w:eastAsia="Book Antiqua" w:hAnsi="Book Antiqua" w:cs="Book Antiqua"/>
        </w:rPr>
        <w:t>0.885). When TLRS was greater than 6.5, the liver clearance ability of ICG was considered as poor.</w:t>
      </w:r>
    </w:p>
    <w:p w14:paraId="19033872" w14:textId="77777777" w:rsidR="00A77B3E" w:rsidRPr="00B52F73" w:rsidRDefault="00A77B3E" w:rsidP="00566FBC">
      <w:pPr>
        <w:spacing w:line="360" w:lineRule="auto"/>
        <w:jc w:val="both"/>
        <w:rPr>
          <w:rFonts w:ascii="Book Antiqua" w:hAnsi="Book Antiqua"/>
        </w:rPr>
      </w:pPr>
    </w:p>
    <w:p w14:paraId="2B99325A"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CONCLUSION</w:t>
      </w:r>
    </w:p>
    <w:p w14:paraId="2F2D5E5E" w14:textId="1F97D0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 xml:space="preserve">Preoperative laboratory blood indicators can predict hepatic </w:t>
      </w:r>
      <w:r w:rsidR="00023F6C" w:rsidRPr="00B52F73">
        <w:rPr>
          <w:rFonts w:ascii="Book Antiqua" w:eastAsia="Book Antiqua" w:hAnsi="Book Antiqua" w:cs="Book Antiqua"/>
          <w:color w:val="000000"/>
        </w:rPr>
        <w:t>ICG</w:t>
      </w:r>
      <w:r w:rsidRPr="00B52F73">
        <w:rPr>
          <w:rFonts w:ascii="Book Antiqua" w:eastAsia="Book Antiqua" w:hAnsi="Book Antiqua" w:cs="Book Antiqua"/>
          <w:color w:val="000000"/>
        </w:rPr>
        <w:t xml:space="preserve"> clearance ability. Surgeons can adjust the dose and timing of ICG preoperatively to achieve better liver fluorescent staining.</w:t>
      </w:r>
    </w:p>
    <w:p w14:paraId="7A8A1469" w14:textId="77777777" w:rsidR="00A77B3E" w:rsidRPr="00B52F73" w:rsidRDefault="00A77B3E" w:rsidP="00566FBC">
      <w:pPr>
        <w:spacing w:line="360" w:lineRule="auto"/>
        <w:jc w:val="both"/>
        <w:rPr>
          <w:rFonts w:ascii="Book Antiqua" w:hAnsi="Book Antiqua"/>
        </w:rPr>
      </w:pPr>
    </w:p>
    <w:p w14:paraId="1E3DFF4D" w14:textId="0F6C4EF9"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Key Words: </w:t>
      </w:r>
      <w:r w:rsidRPr="00B52F73">
        <w:rPr>
          <w:rFonts w:ascii="Book Antiqua" w:eastAsia="Book Antiqua" w:hAnsi="Book Antiqua" w:cs="Book Antiqua"/>
        </w:rPr>
        <w:t>Indocyanine green; Fluorescence; Laparoscopic; Hepatectomy</w:t>
      </w:r>
      <w:r w:rsidR="001876F7" w:rsidRPr="00B52F73">
        <w:rPr>
          <w:rFonts w:ascii="Book Antiqua" w:eastAsia="Book Antiqua" w:hAnsi="Book Antiqua" w:cs="Book Antiqua"/>
        </w:rPr>
        <w:t>; Predictive biomarkers</w:t>
      </w:r>
      <w:r w:rsidR="008C2B24">
        <w:rPr>
          <w:rFonts w:ascii="Book Antiqua" w:eastAsia="Book Antiqua" w:hAnsi="Book Antiqua" w:cs="Book Antiqua"/>
        </w:rPr>
        <w:t>; Blood index</w:t>
      </w:r>
    </w:p>
    <w:p w14:paraId="4B77E9E4" w14:textId="77777777" w:rsidR="00A77B3E" w:rsidRPr="00B52F73" w:rsidRDefault="00A77B3E" w:rsidP="00566FBC">
      <w:pPr>
        <w:spacing w:line="360" w:lineRule="auto"/>
        <w:jc w:val="both"/>
        <w:rPr>
          <w:rFonts w:ascii="Book Antiqua" w:hAnsi="Book Antiqua"/>
        </w:rPr>
      </w:pPr>
    </w:p>
    <w:p w14:paraId="52549D27"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rPr>
        <w:t xml:space="preserve">Chen ZR, Zeng QT, Shi N, Han HW, Chen ZH, Zou YP, Zhang YP, Wu F, Xu LQ, Jin HS. Laboratory scoring system to predict hepatic indocyanine green clearance ability during fluorescence imaging-guided laparoscopic hepatectomy. </w:t>
      </w:r>
      <w:r w:rsidRPr="00B52F73">
        <w:rPr>
          <w:rFonts w:ascii="Book Antiqua" w:eastAsia="Book Antiqua" w:hAnsi="Book Antiqua" w:cs="Book Antiqua"/>
          <w:i/>
          <w:iCs/>
        </w:rPr>
        <w:t>World J Gastrointest Surg</w:t>
      </w:r>
      <w:r w:rsidRPr="00B52F73">
        <w:rPr>
          <w:rFonts w:ascii="Book Antiqua" w:eastAsia="Book Antiqua" w:hAnsi="Book Antiqua" w:cs="Book Antiqua"/>
        </w:rPr>
        <w:t xml:space="preserve"> 2023; In press</w:t>
      </w:r>
    </w:p>
    <w:p w14:paraId="131DCC65" w14:textId="77777777" w:rsidR="00A77B3E" w:rsidRPr="00B52F73" w:rsidRDefault="00A77B3E" w:rsidP="00566FBC">
      <w:pPr>
        <w:spacing w:line="360" w:lineRule="auto"/>
        <w:jc w:val="both"/>
        <w:rPr>
          <w:rFonts w:ascii="Book Antiqua" w:hAnsi="Book Antiqua"/>
        </w:rPr>
      </w:pPr>
    </w:p>
    <w:p w14:paraId="7936EF64" w14:textId="0E4096FC"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Core Tip: </w:t>
      </w:r>
      <w:r w:rsidRPr="00B52F73">
        <w:rPr>
          <w:rFonts w:ascii="Book Antiqua" w:eastAsia="Book Antiqua" w:hAnsi="Book Antiqua" w:cs="Book Antiqua"/>
        </w:rPr>
        <w:t>Indocyanine green</w:t>
      </w:r>
      <w:r w:rsidR="00354A63" w:rsidRPr="00B52F73">
        <w:rPr>
          <w:rFonts w:ascii="Book Antiqua" w:eastAsia="Book Antiqua" w:hAnsi="Book Antiqua" w:cs="Book Antiqua"/>
        </w:rPr>
        <w:t xml:space="preserve"> (ICG)</w:t>
      </w:r>
      <w:r w:rsidRPr="00B52F73">
        <w:rPr>
          <w:rFonts w:ascii="Book Antiqua" w:eastAsia="Book Antiqua" w:hAnsi="Book Antiqua" w:cs="Book Antiqua"/>
        </w:rPr>
        <w:t xml:space="preserve"> fluorescence plays an important role in tumor localization and edge delineation in hepatobiliary surgery. However, the preoperative medication scheme of ICG is still controversial. </w:t>
      </w:r>
      <w:r w:rsidR="00121802" w:rsidRPr="00B52F73">
        <w:rPr>
          <w:rFonts w:ascii="Book Antiqua" w:eastAsia="Book Antiqua" w:hAnsi="Book Antiqua" w:cs="Book Antiqua"/>
        </w:rPr>
        <w:t>F</w:t>
      </w:r>
      <w:r w:rsidRPr="00B52F73">
        <w:rPr>
          <w:rFonts w:ascii="Book Antiqua" w:eastAsia="Book Antiqua" w:hAnsi="Book Antiqua" w:cs="Book Antiqua"/>
        </w:rPr>
        <w:t>actors related to the effect of tumor fluorescence staining are still unclear. The purpose of this study is to investigate the preoperative laboratory indicators related to the effect of ICG fluorescence staining, and establish a new risk scoring system to screen specific patients who need to adjust the ICG dose. This scoring system will provide a new method and idea, making it possible to individualize the usage and dosage of ICG staining.</w:t>
      </w:r>
    </w:p>
    <w:p w14:paraId="4B8AD214" w14:textId="77777777" w:rsidR="00A77B3E" w:rsidRPr="00B52F73" w:rsidRDefault="00A77B3E" w:rsidP="00566FBC">
      <w:pPr>
        <w:spacing w:line="360" w:lineRule="auto"/>
        <w:jc w:val="both"/>
        <w:rPr>
          <w:rFonts w:ascii="Book Antiqua" w:hAnsi="Book Antiqua"/>
        </w:rPr>
      </w:pPr>
    </w:p>
    <w:p w14:paraId="27AA21C2"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aps/>
          <w:color w:val="000000"/>
          <w:u w:val="single"/>
        </w:rPr>
        <w:t>INTRODUCTION</w:t>
      </w:r>
    </w:p>
    <w:p w14:paraId="44DDD6CF" w14:textId="35332383"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Indocyanine green (ICG) was a water-soluble, non-toxic sodium cyanide compound, approved for clinical use by the U</w:t>
      </w:r>
      <w:r w:rsidR="00354A63" w:rsidRPr="00B52F73">
        <w:rPr>
          <w:rFonts w:ascii="Book Antiqua" w:eastAsia="Book Antiqua" w:hAnsi="Book Antiqua" w:cs="Book Antiqua"/>
          <w:color w:val="000000"/>
        </w:rPr>
        <w:t xml:space="preserve">nited </w:t>
      </w:r>
      <w:r w:rsidRPr="00B52F73">
        <w:rPr>
          <w:rFonts w:ascii="Book Antiqua" w:eastAsia="Book Antiqua" w:hAnsi="Book Antiqua" w:cs="Book Antiqua"/>
          <w:color w:val="000000"/>
        </w:rPr>
        <w:t>S</w:t>
      </w:r>
      <w:r w:rsidR="00354A63" w:rsidRPr="00B52F73">
        <w:rPr>
          <w:rFonts w:ascii="Book Antiqua" w:eastAsia="Book Antiqua" w:hAnsi="Book Antiqua" w:cs="Book Antiqua"/>
          <w:color w:val="000000"/>
        </w:rPr>
        <w:t>tates</w:t>
      </w:r>
      <w:r w:rsidRPr="00B52F73">
        <w:rPr>
          <w:rFonts w:ascii="Book Antiqua" w:eastAsia="Book Antiqua" w:hAnsi="Book Antiqua" w:cs="Book Antiqua"/>
          <w:color w:val="000000"/>
        </w:rPr>
        <w:t xml:space="preserve"> Food and Drug Administration since </w:t>
      </w:r>
      <w:r w:rsidRPr="00B52F73">
        <w:rPr>
          <w:rFonts w:ascii="Book Antiqua" w:eastAsia="Book Antiqua" w:hAnsi="Book Antiqua" w:cs="Book Antiqua"/>
          <w:color w:val="000000"/>
        </w:rPr>
        <w:lastRenderedPageBreak/>
        <w:t>1954</w:t>
      </w:r>
      <w:r w:rsidRPr="00B52F73">
        <w:rPr>
          <w:rFonts w:ascii="Book Antiqua" w:eastAsia="Book Antiqua" w:hAnsi="Book Antiqua" w:cs="Book Antiqua"/>
          <w:color w:val="000000"/>
          <w:vertAlign w:val="superscript"/>
        </w:rPr>
        <w:t>[1]</w:t>
      </w:r>
      <w:r w:rsidRPr="00B52F73">
        <w:rPr>
          <w:rFonts w:ascii="Book Antiqua" w:eastAsia="Book Antiqua" w:hAnsi="Book Antiqua" w:cs="Book Antiqua"/>
          <w:color w:val="000000"/>
        </w:rPr>
        <w:t>. It was not until the 1970s that researchers discovered that ICG could bind to proteins in blood vessels and be excited by light in the 750-810 nm wavelength band, which then emits near-infrared light with a wavelength close to 840 nm</w:t>
      </w:r>
      <w:r w:rsidRPr="00B52F73">
        <w:rPr>
          <w:rFonts w:ascii="Book Antiqua" w:eastAsia="Book Antiqua" w:hAnsi="Book Antiqua" w:cs="Book Antiqua"/>
          <w:color w:val="000000"/>
          <w:vertAlign w:val="superscript"/>
        </w:rPr>
        <w:t>[2]</w:t>
      </w:r>
      <w:r w:rsidRPr="00B52F73">
        <w:rPr>
          <w:rFonts w:ascii="Book Antiqua" w:eastAsia="Book Antiqua" w:hAnsi="Book Antiqua" w:cs="Book Antiqua"/>
          <w:color w:val="000000"/>
        </w:rPr>
        <w:t>. This particular optical signal could be displayed as a green fluorescent image by an acquisition system during laparoscopic surgery. ICG injected into the body can be highly selectively absorbed by hepatocytes, excreted from the bile duct into the intestine and finally excreted into the feces</w:t>
      </w:r>
      <w:r w:rsidRPr="00B52F73">
        <w:rPr>
          <w:rFonts w:ascii="Book Antiqua" w:eastAsia="Book Antiqua" w:hAnsi="Book Antiqua" w:cs="Book Antiqua"/>
          <w:color w:val="000000"/>
          <w:vertAlign w:val="superscript"/>
        </w:rPr>
        <w:t>[3]</w:t>
      </w:r>
      <w:r w:rsidRPr="00B52F73">
        <w:rPr>
          <w:rFonts w:ascii="Book Antiqua" w:eastAsia="Book Antiqua" w:hAnsi="Book Antiqua" w:cs="Book Antiqua"/>
          <w:color w:val="000000"/>
        </w:rPr>
        <w:t>. Different from the rapid excretion of ICG in normal liver tissue, the excretion of ICG in tumor or adjacent compressed tissue was relatively slow, which made ICG an effective navigation and localization tool for hepatobiliary surgery</w:t>
      </w:r>
      <w:r w:rsidRPr="00B52F73">
        <w:rPr>
          <w:rFonts w:ascii="Book Antiqua" w:eastAsia="Book Antiqua" w:hAnsi="Book Antiqua" w:cs="Book Antiqua"/>
          <w:color w:val="000000"/>
          <w:vertAlign w:val="superscript"/>
        </w:rPr>
        <w:t>[4]</w:t>
      </w:r>
      <w:r w:rsidRPr="00B52F73">
        <w:rPr>
          <w:rFonts w:ascii="Book Antiqua" w:eastAsia="Book Antiqua" w:hAnsi="Book Antiqua" w:cs="Book Antiqua"/>
          <w:color w:val="000000"/>
        </w:rPr>
        <w:t>.</w:t>
      </w:r>
    </w:p>
    <w:p w14:paraId="0D869A0B" w14:textId="2A8B7E84" w:rsidR="00A77B3E" w:rsidRPr="00B52F73" w:rsidRDefault="00C177DF" w:rsidP="00AF7EFE">
      <w:pPr>
        <w:spacing w:line="360" w:lineRule="auto"/>
        <w:jc w:val="both"/>
        <w:rPr>
          <w:rFonts w:ascii="Book Antiqua" w:hAnsi="Book Antiqua"/>
        </w:rPr>
      </w:pPr>
      <w:r w:rsidRPr="00B52F73">
        <w:rPr>
          <w:rFonts w:ascii="Book Antiqua" w:eastAsia="Book Antiqua" w:hAnsi="Book Antiqua" w:cs="Book Antiqua"/>
          <w:color w:val="000000"/>
        </w:rPr>
        <w:t>A previous study has found that the fluorescent signal can appear in the common bile duct a few minutes after ICG injection</w:t>
      </w:r>
      <w:r w:rsidRPr="00B52F73">
        <w:rPr>
          <w:rFonts w:ascii="Book Antiqua" w:eastAsia="Book Antiqua" w:hAnsi="Book Antiqua" w:cs="Book Antiqua"/>
          <w:color w:val="000000"/>
          <w:vertAlign w:val="superscript"/>
        </w:rPr>
        <w:t>[5]</w:t>
      </w:r>
      <w:r w:rsidRPr="00B52F73">
        <w:rPr>
          <w:rFonts w:ascii="Book Antiqua" w:eastAsia="Book Antiqua" w:hAnsi="Book Antiqua" w:cs="Book Antiqua"/>
          <w:color w:val="000000"/>
        </w:rPr>
        <w:t>. The residual ICG in blood vessels could be excreted out in about 20 min in patients with normal liver function, but it took 30 min or longer for patients with abnormal liver function or biliary obstruction</w:t>
      </w:r>
      <w:r w:rsidRPr="00B52F73">
        <w:rPr>
          <w:rFonts w:ascii="Book Antiqua" w:eastAsia="Book Antiqua" w:hAnsi="Book Antiqua" w:cs="Book Antiqua"/>
          <w:color w:val="000000"/>
          <w:vertAlign w:val="superscript"/>
        </w:rPr>
        <w:t>[6]</w:t>
      </w:r>
      <w:r w:rsidRPr="00B52F73">
        <w:rPr>
          <w:rFonts w:ascii="Book Antiqua" w:eastAsia="Book Antiqua" w:hAnsi="Book Antiqua" w:cs="Book Antiqua"/>
          <w:color w:val="000000"/>
        </w:rPr>
        <w:t>. In 2017, researchers in Japan indicated that the expression of Na</w:t>
      </w:r>
      <w:r w:rsidRPr="00B52F73">
        <w:rPr>
          <w:rFonts w:ascii="Book Antiqua" w:eastAsia="Book Antiqua" w:hAnsi="Book Antiqua" w:cs="Book Antiqua"/>
          <w:color w:val="000000"/>
          <w:vertAlign w:val="superscript"/>
        </w:rPr>
        <w:t>+</w:t>
      </w:r>
      <w:r w:rsidRPr="00B52F73">
        <w:rPr>
          <w:rFonts w:ascii="Book Antiqua" w:eastAsia="Book Antiqua" w:hAnsi="Book Antiqua" w:cs="Book Antiqua"/>
          <w:color w:val="000000"/>
        </w:rPr>
        <w:t>/taurocholate co-transport polypeptide (NTCP) and organic anti-transport peptide 8 (OATP8) genes and proteins in cancerous cells affected the retention time of ICG in liver compared with adjacent tissues</w:t>
      </w:r>
      <w:r w:rsidRPr="00B52F73">
        <w:rPr>
          <w:rFonts w:ascii="Book Antiqua" w:eastAsia="Book Antiqua" w:hAnsi="Book Antiqua" w:cs="Book Antiqua"/>
          <w:color w:val="000000"/>
          <w:vertAlign w:val="superscript"/>
        </w:rPr>
        <w:t>[7]</w:t>
      </w:r>
      <w:r w:rsidRPr="00B52F73">
        <w:rPr>
          <w:rFonts w:ascii="Book Antiqua" w:eastAsia="Book Antiqua" w:hAnsi="Book Antiqua" w:cs="Book Antiqua"/>
          <w:color w:val="000000"/>
        </w:rPr>
        <w:t>. Therefore, ICG retention time will be longer in hepatocellular carcinoma</w:t>
      </w:r>
      <w:r w:rsidR="00354A63" w:rsidRPr="00B52F73">
        <w:rPr>
          <w:rFonts w:ascii="Book Antiqua" w:eastAsia="Book Antiqua" w:hAnsi="Book Antiqua" w:cs="Book Antiqua"/>
          <w:color w:val="000000"/>
        </w:rPr>
        <w:t xml:space="preserve"> (HCC)</w:t>
      </w:r>
      <w:r w:rsidRPr="00B52F73">
        <w:rPr>
          <w:rFonts w:ascii="Book Antiqua" w:eastAsia="Book Antiqua" w:hAnsi="Book Antiqua" w:cs="Book Antiqua"/>
          <w:color w:val="000000"/>
        </w:rPr>
        <w:t xml:space="preserve"> or non-cancerous cells with higher levels of NTCP and OATP8 expression, resulting in a different type of fluorescent signal.</w:t>
      </w:r>
    </w:p>
    <w:p w14:paraId="7FD05F79" w14:textId="44814C98"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 xml:space="preserve">The applications of ICG real-time fluorescence in hepatobiliary surgery included: (1) </w:t>
      </w:r>
      <w:r w:rsidR="00354A63" w:rsidRPr="00B52F73">
        <w:rPr>
          <w:rFonts w:ascii="Book Antiqua" w:eastAsia="Book Antiqua" w:hAnsi="Book Antiqua" w:cs="Book Antiqua"/>
          <w:color w:val="000000"/>
        </w:rPr>
        <w:t>P</w:t>
      </w:r>
      <w:r w:rsidRPr="00B52F73">
        <w:rPr>
          <w:rFonts w:ascii="Book Antiqua" w:eastAsia="Book Antiqua" w:hAnsi="Book Antiqua" w:cs="Book Antiqua"/>
          <w:color w:val="000000"/>
        </w:rPr>
        <w:t xml:space="preserve">reliminary liver tumor location discovery; (2) </w:t>
      </w:r>
      <w:r w:rsidR="00354A63" w:rsidRPr="00B52F73">
        <w:rPr>
          <w:rFonts w:ascii="Book Antiqua" w:eastAsia="Book Antiqua" w:hAnsi="Book Antiqua" w:cs="Book Antiqua"/>
          <w:color w:val="000000"/>
        </w:rPr>
        <w:t>T</w:t>
      </w:r>
      <w:r w:rsidRPr="00B52F73">
        <w:rPr>
          <w:rFonts w:ascii="Book Antiqua" w:eastAsia="Book Antiqua" w:hAnsi="Book Antiqua" w:cs="Book Antiqua"/>
          <w:color w:val="000000"/>
        </w:rPr>
        <w:t xml:space="preserve">umor border display; (3) </w:t>
      </w:r>
      <w:r w:rsidR="00354A63" w:rsidRPr="00B52F73">
        <w:rPr>
          <w:rFonts w:ascii="Book Antiqua" w:eastAsia="Book Antiqua" w:hAnsi="Book Antiqua" w:cs="Book Antiqua"/>
          <w:color w:val="000000"/>
        </w:rPr>
        <w:t>P</w:t>
      </w:r>
      <w:r w:rsidRPr="00B52F73">
        <w:rPr>
          <w:rFonts w:ascii="Book Antiqua" w:eastAsia="Book Antiqua" w:hAnsi="Book Antiqua" w:cs="Book Antiqua"/>
          <w:color w:val="000000"/>
        </w:rPr>
        <w:t xml:space="preserve">ositive or negative liver segment staining; (4) </w:t>
      </w:r>
      <w:r w:rsidR="00354A63" w:rsidRPr="00B52F73">
        <w:rPr>
          <w:rFonts w:ascii="Book Antiqua" w:eastAsia="Book Antiqua" w:hAnsi="Book Antiqua" w:cs="Book Antiqua"/>
          <w:color w:val="000000"/>
        </w:rPr>
        <w:t>B</w:t>
      </w:r>
      <w:r w:rsidRPr="00B52F73">
        <w:rPr>
          <w:rFonts w:ascii="Book Antiqua" w:eastAsia="Book Antiqua" w:hAnsi="Book Antiqua" w:cs="Book Antiqua"/>
          <w:color w:val="000000"/>
        </w:rPr>
        <w:t xml:space="preserve">iliary tract imaging; </w:t>
      </w:r>
      <w:r w:rsidR="00354A63" w:rsidRPr="00B52F73">
        <w:rPr>
          <w:rFonts w:ascii="Book Antiqua" w:eastAsia="Book Antiqua" w:hAnsi="Book Antiqua" w:cs="Book Antiqua"/>
          <w:color w:val="000000"/>
        </w:rPr>
        <w:t xml:space="preserve">and </w:t>
      </w:r>
      <w:r w:rsidRPr="00B52F73">
        <w:rPr>
          <w:rFonts w:ascii="Book Antiqua" w:eastAsia="Book Antiqua" w:hAnsi="Book Antiqua" w:cs="Book Antiqua"/>
          <w:color w:val="000000"/>
        </w:rPr>
        <w:t xml:space="preserve">(5) </w:t>
      </w:r>
      <w:r w:rsidR="00354A63" w:rsidRPr="00B52F73">
        <w:rPr>
          <w:rFonts w:ascii="Book Antiqua" w:eastAsia="Book Antiqua" w:hAnsi="Book Antiqua" w:cs="Book Antiqua"/>
          <w:color w:val="000000"/>
        </w:rPr>
        <w:t>B</w:t>
      </w:r>
      <w:r w:rsidRPr="00B52F73">
        <w:rPr>
          <w:rFonts w:ascii="Book Antiqua" w:eastAsia="Book Antiqua" w:hAnsi="Book Antiqua" w:cs="Book Antiqua"/>
          <w:color w:val="000000"/>
        </w:rPr>
        <w:t xml:space="preserve">ile leakage detection, </w:t>
      </w:r>
      <w:r w:rsidRPr="00B52F73">
        <w:rPr>
          <w:rFonts w:ascii="Book Antiqua" w:eastAsia="Book Antiqua" w:hAnsi="Book Antiqua" w:cs="Book Antiqua"/>
          <w:i/>
          <w:iCs/>
          <w:color w:val="000000"/>
        </w:rPr>
        <w:t>etc</w:t>
      </w:r>
      <w:r w:rsidRPr="00B52F73">
        <w:rPr>
          <w:rFonts w:ascii="Book Antiqua" w:eastAsia="Book Antiqua" w:hAnsi="Book Antiqua" w:cs="Book Antiqua"/>
          <w:color w:val="000000"/>
          <w:vertAlign w:val="superscript"/>
        </w:rPr>
        <w:t>[8]</w:t>
      </w:r>
      <w:r w:rsidRPr="00B52F73">
        <w:rPr>
          <w:rFonts w:ascii="Book Antiqua" w:eastAsia="Book Antiqua" w:hAnsi="Book Antiqua" w:cs="Book Antiqua"/>
          <w:color w:val="000000"/>
        </w:rPr>
        <w:t>. Recently, experts and scholars around the world published a consensus on the ICG in hepatobiliary surgery, and put forward preliminary recommendations on the dosage, timing, and injection route of ICG for different surgical purposes</w:t>
      </w:r>
      <w:r w:rsidRPr="00B52F73">
        <w:rPr>
          <w:rFonts w:ascii="Book Antiqua" w:eastAsia="Book Antiqua" w:hAnsi="Book Antiqua" w:cs="Book Antiqua"/>
          <w:color w:val="000000"/>
          <w:vertAlign w:val="superscript"/>
        </w:rPr>
        <w:t>[9]</w:t>
      </w:r>
      <w:r w:rsidRPr="00B52F73">
        <w:rPr>
          <w:rFonts w:ascii="Book Antiqua" w:eastAsia="Book Antiqua" w:hAnsi="Book Antiqua" w:cs="Book Antiqua"/>
          <w:color w:val="000000"/>
        </w:rPr>
        <w:t>. However, according to previous studies, the overall ICG fluorescence staining of liver was not ideal, mainly due to various influencing factors such as liver cirrhosis, drug-induced liver damage, tumor (lesion) type and location, and presence or absence of intrahepatic biliary obstruction</w:t>
      </w:r>
      <w:r w:rsidRPr="00B52F73">
        <w:rPr>
          <w:rFonts w:ascii="Book Antiqua" w:eastAsia="Book Antiqua" w:hAnsi="Book Antiqua" w:cs="Book Antiqua"/>
          <w:color w:val="000000"/>
          <w:vertAlign w:val="superscript"/>
        </w:rPr>
        <w:t>[10]</w:t>
      </w:r>
      <w:r w:rsidRPr="00B52F73">
        <w:rPr>
          <w:rFonts w:ascii="Book Antiqua" w:eastAsia="Book Antiqua" w:hAnsi="Book Antiqua" w:cs="Book Antiqua"/>
          <w:color w:val="000000"/>
        </w:rPr>
        <w:t xml:space="preserve">. Inaccurate assessment of preoperative ICG dose and timing will result in excessive intraoperative ICG fluorescence intensity against the background of the liver, </w:t>
      </w:r>
      <w:r w:rsidRPr="00B52F73">
        <w:rPr>
          <w:rFonts w:ascii="Book Antiqua" w:eastAsia="Book Antiqua" w:hAnsi="Book Antiqua" w:cs="Book Antiqua"/>
          <w:color w:val="000000"/>
        </w:rPr>
        <w:lastRenderedPageBreak/>
        <w:t>or poor fluorescence visualization of liver tumors, rendering the navigational function of this technique almost useless</w:t>
      </w:r>
      <w:r w:rsidRPr="00B52F73">
        <w:rPr>
          <w:rFonts w:ascii="Book Antiqua" w:eastAsia="Book Antiqua" w:hAnsi="Book Antiqua" w:cs="Book Antiqua"/>
          <w:color w:val="000000"/>
          <w:vertAlign w:val="superscript"/>
        </w:rPr>
        <w:t>[11]</w:t>
      </w:r>
      <w:r w:rsidRPr="00B52F73">
        <w:rPr>
          <w:rFonts w:ascii="Book Antiqua" w:eastAsia="Book Antiqua" w:hAnsi="Book Antiqua" w:cs="Book Antiqua"/>
          <w:color w:val="000000"/>
        </w:rPr>
        <w:t>. To date, there is no specific individualized ICG dosing regimen.</w:t>
      </w:r>
    </w:p>
    <w:p w14:paraId="77EBB019" w14:textId="4CB9865E"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 xml:space="preserve">After </w:t>
      </w:r>
      <w:r w:rsidR="00354A63" w:rsidRPr="00B52F73">
        <w:rPr>
          <w:rFonts w:ascii="Book Antiqua" w:eastAsia="Book Antiqua" w:hAnsi="Book Antiqua" w:cs="Book Antiqua"/>
          <w:color w:val="000000"/>
        </w:rPr>
        <w:t>o</w:t>
      </w:r>
      <w:r w:rsidRPr="00B52F73">
        <w:rPr>
          <w:rFonts w:ascii="Book Antiqua" w:eastAsia="Book Antiqua" w:hAnsi="Book Antiqua" w:cs="Book Antiqua"/>
          <w:color w:val="000000"/>
        </w:rPr>
        <w:t>ur center found that long-term (&gt; 7 d) injection of ICG before operation will make ICG excretion more complete, but it may be greatly affected by other subsequent drug injection and the change of operation time. And we found that a small dose of ICG (5 mg) approximately 24 h preoperatively was sufficient for tumor initial localization and boundary determination after nearly 5 years exploration. This protocol was highly feasible to implement and could be dynamically adjusted, but the specific individualized adjustment of the dose needed to be further explored. In a previous ICG fluorescence-related study, researchers found that 10 mg ICG injection 24 h before surgery provided the best biliary-liver background contrast, but most</w:t>
      </w:r>
      <w:r w:rsidR="00516204" w:rsidRPr="00B52F73">
        <w:rPr>
          <w:rFonts w:ascii="Book Antiqua" w:eastAsia="Book Antiqua" w:hAnsi="Book Antiqua" w:cs="Book Antiqua"/>
          <w:color w:val="000000"/>
        </w:rPr>
        <w:t xml:space="preserve"> of</w:t>
      </w:r>
      <w:r w:rsidRPr="00B52F73">
        <w:rPr>
          <w:rFonts w:ascii="Book Antiqua" w:eastAsia="Book Antiqua" w:hAnsi="Book Antiqua" w:cs="Book Antiqua"/>
          <w:color w:val="000000"/>
        </w:rPr>
        <w:t xml:space="preserve"> the livers were normal in this study</w:t>
      </w:r>
      <w:r w:rsidRPr="00B52F73">
        <w:rPr>
          <w:rFonts w:ascii="Book Antiqua" w:eastAsia="Book Antiqua" w:hAnsi="Book Antiqua" w:cs="Book Antiqua"/>
          <w:color w:val="000000"/>
          <w:vertAlign w:val="superscript"/>
        </w:rPr>
        <w:t>[12]</w:t>
      </w:r>
      <w:r w:rsidRPr="00B52F73">
        <w:rPr>
          <w:rFonts w:ascii="Book Antiqua" w:eastAsia="Book Antiqua" w:hAnsi="Book Antiqua" w:cs="Book Antiqua"/>
          <w:color w:val="000000"/>
        </w:rPr>
        <w:t>.</w:t>
      </w:r>
      <w:r w:rsidR="00354A63"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Interestingly, in patients undergoing laparoscopic partial hepatectomy with the same preoperative ICG regimen, there were significant differences in fluorescence intensity in the same area between patients, which may be due to different degrees of liver structure or dysfunction</w:t>
      </w:r>
      <w:r w:rsidR="00566FBC" w:rsidRPr="00B52F73">
        <w:rPr>
          <w:rFonts w:ascii="Book Antiqua" w:eastAsia="Book Antiqua" w:hAnsi="Book Antiqua" w:cs="Book Antiqua"/>
          <w:color w:val="000000"/>
        </w:rPr>
        <w:t xml:space="preserve"> (Figure 1)</w:t>
      </w:r>
      <w:r w:rsidRPr="00B52F73">
        <w:rPr>
          <w:rFonts w:ascii="Book Antiqua" w:eastAsia="Book Antiqua" w:hAnsi="Book Antiqua" w:cs="Book Antiqua"/>
          <w:color w:val="000000"/>
        </w:rPr>
        <w:t>.</w:t>
      </w:r>
    </w:p>
    <w:p w14:paraId="27CF94C3" w14:textId="77777777"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Therefore, we designed this study to explore the relationship between intraoperative fluorescence characteristics and preoperative routine common laboratory blood indexes, and to find some effective clinical indicators to adjust and intervene the use of preoperative ICG scheme, and finally achieve better staining effect.</w:t>
      </w:r>
    </w:p>
    <w:p w14:paraId="618AC30C" w14:textId="77777777" w:rsidR="00A77B3E" w:rsidRPr="00B52F73" w:rsidRDefault="00A77B3E" w:rsidP="00566FBC">
      <w:pPr>
        <w:spacing w:line="360" w:lineRule="auto"/>
        <w:jc w:val="both"/>
        <w:rPr>
          <w:rFonts w:ascii="Book Antiqua" w:hAnsi="Book Antiqua"/>
        </w:rPr>
      </w:pPr>
    </w:p>
    <w:p w14:paraId="236984C5"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aps/>
          <w:color w:val="000000"/>
          <w:u w:val="single"/>
        </w:rPr>
        <w:t>MATERIALS AND METHODS</w:t>
      </w:r>
    </w:p>
    <w:p w14:paraId="2217322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i/>
          <w:iCs/>
          <w:color w:val="000000"/>
        </w:rPr>
        <w:t>Patients</w:t>
      </w:r>
    </w:p>
    <w:p w14:paraId="6EEB47DF" w14:textId="32ACC3F3"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From January 2018 to January 2022, patients with benign and malignant liver diseases proposed for liver resection at the Guangdong Provincial People</w:t>
      </w:r>
      <w:r w:rsidR="00354A63" w:rsidRPr="00B52F73">
        <w:rPr>
          <w:rFonts w:ascii="Book Antiqua" w:eastAsia="Book Antiqua" w:hAnsi="Book Antiqua" w:cs="Book Antiqua"/>
          <w:color w:val="000000"/>
        </w:rPr>
        <w:t>’</w:t>
      </w:r>
      <w:r w:rsidRPr="00B52F73">
        <w:rPr>
          <w:rFonts w:ascii="Book Antiqua" w:eastAsia="Book Antiqua" w:hAnsi="Book Antiqua" w:cs="Book Antiqua"/>
          <w:color w:val="000000"/>
        </w:rPr>
        <w:t>s Hospital in China were recruited. Inclusion criteria</w:t>
      </w:r>
      <w:r w:rsidR="006337E5" w:rsidRPr="00B52F73">
        <w:rPr>
          <w:rFonts w:ascii="Book Antiqua" w:eastAsia="Book Antiqua" w:hAnsi="Book Antiqua" w:cs="Book Antiqua"/>
          <w:color w:val="000000"/>
        </w:rPr>
        <w:t xml:space="preserve"> were</w:t>
      </w:r>
      <w:r w:rsidRPr="00B52F73">
        <w:rPr>
          <w:rFonts w:ascii="Book Antiqua" w:eastAsia="Book Antiqua" w:hAnsi="Book Antiqua" w:cs="Book Antiqua"/>
          <w:color w:val="000000"/>
        </w:rPr>
        <w:t>: (</w:t>
      </w:r>
      <w:r w:rsidR="00354A63" w:rsidRPr="00B52F73">
        <w:rPr>
          <w:rFonts w:ascii="Book Antiqua" w:eastAsia="Book Antiqua" w:hAnsi="Book Antiqua" w:cs="Book Antiqua"/>
          <w:color w:val="000000"/>
        </w:rPr>
        <w:t>1</w:t>
      </w:r>
      <w:r w:rsidRPr="00B52F73">
        <w:rPr>
          <w:rFonts w:ascii="Book Antiqua" w:eastAsia="Book Antiqua" w:hAnsi="Book Antiqua" w:cs="Book Antiqua"/>
          <w:color w:val="000000"/>
        </w:rPr>
        <w:t xml:space="preserve">) </w:t>
      </w:r>
      <w:r w:rsidR="00354A63" w:rsidRPr="00B52F73">
        <w:rPr>
          <w:rFonts w:ascii="Book Antiqua" w:eastAsia="Book Antiqua" w:hAnsi="Book Antiqua" w:cs="Book Antiqua"/>
          <w:color w:val="000000"/>
        </w:rPr>
        <w:t>A</w:t>
      </w:r>
      <w:r w:rsidRPr="00B52F73">
        <w:rPr>
          <w:rFonts w:ascii="Book Antiqua" w:eastAsia="Book Antiqua" w:hAnsi="Book Antiqua" w:cs="Book Antiqua"/>
          <w:color w:val="000000"/>
        </w:rPr>
        <w:t>ge 18-75 years; (</w:t>
      </w:r>
      <w:r w:rsidR="00354A63" w:rsidRPr="00B52F73">
        <w:rPr>
          <w:rFonts w:ascii="Book Antiqua" w:eastAsia="Book Antiqua" w:hAnsi="Book Antiqua" w:cs="Book Antiqua"/>
          <w:color w:val="000000"/>
        </w:rPr>
        <w:t>2</w:t>
      </w:r>
      <w:r w:rsidRPr="00B52F73">
        <w:rPr>
          <w:rFonts w:ascii="Book Antiqua" w:eastAsia="Book Antiqua" w:hAnsi="Book Antiqua" w:cs="Book Antiqua"/>
          <w:color w:val="000000"/>
        </w:rPr>
        <w:t xml:space="preserve">) </w:t>
      </w:r>
      <w:r w:rsidR="00354A63" w:rsidRPr="00B52F73">
        <w:rPr>
          <w:rFonts w:ascii="Book Antiqua" w:eastAsia="Book Antiqua" w:hAnsi="Book Antiqua" w:cs="Book Antiqua"/>
          <w:color w:val="000000"/>
        </w:rPr>
        <w:t>D</w:t>
      </w:r>
      <w:r w:rsidRPr="00B52F73">
        <w:rPr>
          <w:rFonts w:ascii="Book Antiqua" w:eastAsia="Book Antiqua" w:hAnsi="Book Antiqua" w:cs="Book Antiqua"/>
          <w:color w:val="000000"/>
        </w:rPr>
        <w:t xml:space="preserve">iagnosis of benign and malignant liver diseases with proposed laparoscopic partial hepatectomy; </w:t>
      </w:r>
      <w:r w:rsidR="00354A63" w:rsidRPr="00B52F73">
        <w:rPr>
          <w:rFonts w:ascii="Book Antiqua" w:eastAsia="Book Antiqua" w:hAnsi="Book Antiqua" w:cs="Book Antiqua"/>
          <w:color w:val="000000"/>
        </w:rPr>
        <w:t xml:space="preserve">and </w:t>
      </w:r>
      <w:r w:rsidRPr="00B52F73">
        <w:rPr>
          <w:rFonts w:ascii="Book Antiqua" w:eastAsia="Book Antiqua" w:hAnsi="Book Antiqua" w:cs="Book Antiqua"/>
          <w:color w:val="000000"/>
        </w:rPr>
        <w:t>(</w:t>
      </w:r>
      <w:r w:rsidR="00354A63" w:rsidRPr="00B52F73">
        <w:rPr>
          <w:rFonts w:ascii="Book Antiqua" w:eastAsia="Book Antiqua" w:hAnsi="Book Antiqua" w:cs="Book Antiqua"/>
          <w:color w:val="000000"/>
        </w:rPr>
        <w:t>3</w:t>
      </w:r>
      <w:r w:rsidRPr="00B52F73">
        <w:rPr>
          <w:rFonts w:ascii="Book Antiqua" w:eastAsia="Book Antiqua" w:hAnsi="Book Antiqua" w:cs="Book Antiqua"/>
          <w:color w:val="000000"/>
        </w:rPr>
        <w:t xml:space="preserve">) </w:t>
      </w:r>
      <w:r w:rsidR="00354A63" w:rsidRPr="00B52F73">
        <w:rPr>
          <w:rFonts w:ascii="Book Antiqua" w:eastAsia="Book Antiqua" w:hAnsi="Book Antiqua" w:cs="Book Antiqua"/>
          <w:color w:val="000000"/>
        </w:rPr>
        <w:t>P</w:t>
      </w:r>
      <w:r w:rsidRPr="00B52F73">
        <w:rPr>
          <w:rFonts w:ascii="Book Antiqua" w:eastAsia="Book Antiqua" w:hAnsi="Book Antiqua" w:cs="Book Antiqua"/>
          <w:color w:val="000000"/>
        </w:rPr>
        <w:t>reoperative evaluation showed that only one side of the liver had major lesions</w:t>
      </w:r>
      <w:r w:rsidR="006337E5"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Exclusion criteria</w:t>
      </w:r>
      <w:r w:rsidR="006337E5" w:rsidRPr="00B52F73">
        <w:rPr>
          <w:rFonts w:ascii="Book Antiqua" w:eastAsia="Book Antiqua" w:hAnsi="Book Antiqua" w:cs="Book Antiqua"/>
          <w:color w:val="000000"/>
        </w:rPr>
        <w:t xml:space="preserve"> were</w:t>
      </w:r>
      <w:r w:rsidRPr="00B52F73">
        <w:rPr>
          <w:rFonts w:ascii="Book Antiqua" w:eastAsia="Book Antiqua" w:hAnsi="Book Antiqua" w:cs="Book Antiqua"/>
          <w:color w:val="000000"/>
        </w:rPr>
        <w:t>: (</w:t>
      </w:r>
      <w:r w:rsidR="00354A63" w:rsidRPr="00B52F73">
        <w:rPr>
          <w:rFonts w:ascii="Book Antiqua" w:eastAsia="Book Antiqua" w:hAnsi="Book Antiqua" w:cs="Book Antiqua"/>
          <w:color w:val="000000"/>
        </w:rPr>
        <w:t>1</w:t>
      </w:r>
      <w:r w:rsidRPr="00B52F73">
        <w:rPr>
          <w:rFonts w:ascii="Book Antiqua" w:eastAsia="Book Antiqua" w:hAnsi="Book Antiqua" w:cs="Book Antiqua"/>
          <w:color w:val="000000"/>
        </w:rPr>
        <w:t xml:space="preserve">) </w:t>
      </w:r>
      <w:r w:rsidR="00354A63" w:rsidRPr="00B52F73">
        <w:rPr>
          <w:rFonts w:ascii="Book Antiqua" w:eastAsia="Book Antiqua" w:hAnsi="Book Antiqua" w:cs="Book Antiqua"/>
          <w:color w:val="000000"/>
        </w:rPr>
        <w:t>R</w:t>
      </w:r>
      <w:r w:rsidRPr="00B52F73">
        <w:rPr>
          <w:rFonts w:ascii="Book Antiqua" w:eastAsia="Book Antiqua" w:hAnsi="Book Antiqua" w:cs="Book Antiqua"/>
          <w:color w:val="000000"/>
        </w:rPr>
        <w:t>epeated preoperative ICG use (interval, &lt;</w:t>
      </w:r>
      <w:r w:rsidR="00354A63"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7 d) or preoperative ICG dose &gt;</w:t>
      </w:r>
      <w:r w:rsidR="00354A63"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5 mg; (</w:t>
      </w:r>
      <w:r w:rsidR="00354A63" w:rsidRPr="00B52F73">
        <w:rPr>
          <w:rFonts w:ascii="Book Antiqua" w:eastAsia="Book Antiqua" w:hAnsi="Book Antiqua" w:cs="Book Antiqua"/>
          <w:color w:val="000000"/>
        </w:rPr>
        <w:t>2</w:t>
      </w:r>
      <w:r w:rsidRPr="00B52F73">
        <w:rPr>
          <w:rFonts w:ascii="Book Antiqua" w:eastAsia="Book Antiqua" w:hAnsi="Book Antiqua" w:cs="Book Antiqua"/>
          <w:color w:val="000000"/>
        </w:rPr>
        <w:t xml:space="preserve">) </w:t>
      </w:r>
      <w:r w:rsidR="00354A63" w:rsidRPr="00B52F73">
        <w:rPr>
          <w:rFonts w:ascii="Book Antiqua" w:eastAsia="Book Antiqua" w:hAnsi="Book Antiqua" w:cs="Book Antiqua"/>
          <w:color w:val="000000"/>
        </w:rPr>
        <w:t>I</w:t>
      </w:r>
      <w:r w:rsidRPr="00B52F73">
        <w:rPr>
          <w:rFonts w:ascii="Book Antiqua" w:eastAsia="Book Antiqua" w:hAnsi="Book Antiqua" w:cs="Book Antiqua"/>
          <w:color w:val="000000"/>
        </w:rPr>
        <w:t xml:space="preserve">nability to undergo hepatectomy due to serious </w:t>
      </w:r>
      <w:r w:rsidRPr="00B52F73">
        <w:rPr>
          <w:rFonts w:ascii="Book Antiqua" w:eastAsia="Book Antiqua" w:hAnsi="Book Antiqua" w:cs="Book Antiqua"/>
          <w:color w:val="000000"/>
        </w:rPr>
        <w:lastRenderedPageBreak/>
        <w:t>diseases (severe cardiopulmonary insufficiency, renal insufficiency, and hematologic disorders); (</w:t>
      </w:r>
      <w:r w:rsidR="00354A63" w:rsidRPr="00B52F73">
        <w:rPr>
          <w:rFonts w:ascii="Book Antiqua" w:eastAsia="Book Antiqua" w:hAnsi="Book Antiqua" w:cs="Book Antiqua"/>
          <w:color w:val="000000"/>
        </w:rPr>
        <w:t>3</w:t>
      </w:r>
      <w:r w:rsidRPr="00B52F73">
        <w:rPr>
          <w:rFonts w:ascii="Book Antiqua" w:eastAsia="Book Antiqua" w:hAnsi="Book Antiqua" w:cs="Book Antiqua"/>
          <w:color w:val="000000"/>
        </w:rPr>
        <w:t xml:space="preserve">) </w:t>
      </w:r>
      <w:r w:rsidR="00354A63" w:rsidRPr="00B52F73">
        <w:rPr>
          <w:rFonts w:ascii="Book Antiqua" w:eastAsia="Book Antiqua" w:hAnsi="Book Antiqua" w:cs="Book Antiqua"/>
          <w:color w:val="000000"/>
        </w:rPr>
        <w:t>L</w:t>
      </w:r>
      <w:r w:rsidRPr="00B52F73">
        <w:rPr>
          <w:rFonts w:ascii="Book Antiqua" w:eastAsia="Book Antiqua" w:hAnsi="Book Antiqua" w:cs="Book Antiqua"/>
          <w:color w:val="000000"/>
        </w:rPr>
        <w:t>iver lesions of similar size on both sides of the liver, which may affect the measurement of liver background;</w:t>
      </w:r>
      <w:r w:rsidR="00354A63" w:rsidRPr="00B52F73">
        <w:rPr>
          <w:rFonts w:ascii="Book Antiqua" w:eastAsia="Book Antiqua" w:hAnsi="Book Antiqua" w:cs="Book Antiqua"/>
          <w:color w:val="000000"/>
        </w:rPr>
        <w:t xml:space="preserve"> </w:t>
      </w:r>
      <w:r w:rsidR="006337E5" w:rsidRPr="00B52F73">
        <w:rPr>
          <w:rFonts w:ascii="Book Antiqua" w:eastAsia="Book Antiqua" w:hAnsi="Book Antiqua" w:cs="Book Antiqua"/>
          <w:color w:val="000000"/>
        </w:rPr>
        <w:t xml:space="preserve">or </w:t>
      </w:r>
      <w:r w:rsidRPr="00B52F73">
        <w:rPr>
          <w:rFonts w:ascii="Book Antiqua" w:eastAsia="Book Antiqua" w:hAnsi="Book Antiqua" w:cs="Book Antiqua"/>
          <w:color w:val="000000"/>
        </w:rPr>
        <w:t>(</w:t>
      </w:r>
      <w:r w:rsidR="00354A63" w:rsidRPr="00B52F73">
        <w:rPr>
          <w:rFonts w:ascii="Book Antiqua" w:eastAsia="Book Antiqua" w:hAnsi="Book Antiqua" w:cs="Book Antiqua"/>
          <w:color w:val="000000"/>
        </w:rPr>
        <w:t>4</w:t>
      </w:r>
      <w:r w:rsidRPr="00B52F73">
        <w:rPr>
          <w:rFonts w:ascii="Book Antiqua" w:eastAsia="Book Antiqua" w:hAnsi="Book Antiqua" w:cs="Book Antiqua"/>
          <w:color w:val="000000"/>
        </w:rPr>
        <w:t>) ICG allergy or metabolic disorders.</w:t>
      </w:r>
    </w:p>
    <w:p w14:paraId="53312A13" w14:textId="77777777" w:rsidR="00A77B3E" w:rsidRPr="00B52F73" w:rsidRDefault="00A77B3E" w:rsidP="00566FBC">
      <w:pPr>
        <w:spacing w:line="360" w:lineRule="auto"/>
        <w:jc w:val="both"/>
        <w:rPr>
          <w:rFonts w:ascii="Book Antiqua" w:hAnsi="Book Antiqua"/>
        </w:rPr>
      </w:pPr>
    </w:p>
    <w:p w14:paraId="202802AE"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i/>
          <w:iCs/>
          <w:color w:val="000000"/>
        </w:rPr>
        <w:t>ICG administration and surgical procedure</w:t>
      </w:r>
    </w:p>
    <w:p w14:paraId="39FB96A4" w14:textId="1F8B557C"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The ICG dosage was manufactured by Dandong Pharmaceuticals (</w:t>
      </w:r>
      <w:r w:rsidR="00D93DA2" w:rsidRPr="00B52F73">
        <w:rPr>
          <w:rFonts w:ascii="Book Antiqua" w:eastAsia="Book Antiqua" w:hAnsi="Book Antiqua" w:cs="Book Antiqua"/>
          <w:color w:val="000000"/>
        </w:rPr>
        <w:t xml:space="preserve">Dandong, </w:t>
      </w:r>
      <w:r w:rsidRPr="00B52F73">
        <w:rPr>
          <w:rFonts w:ascii="Book Antiqua" w:eastAsia="Book Antiqua" w:hAnsi="Book Antiqua" w:cs="Book Antiqua"/>
          <w:color w:val="000000"/>
        </w:rPr>
        <w:t>China) with a manufacturing approval number H20073073. Routine blood tests, liver function and coagulation indexes were completed within 1 wk preoperatively. After the surgery date was scheduled, all patients received 5 mg ICG intravenously for initial tumor staining approximately 24 h prior to the scheduled time. All operations were performed by equal</w:t>
      </w:r>
      <w:r w:rsidR="0065321F" w:rsidRPr="00B52F73">
        <w:rPr>
          <w:rFonts w:ascii="Book Antiqua" w:eastAsia="Book Antiqua" w:hAnsi="Book Antiqua" w:cs="Book Antiqua"/>
          <w:color w:val="000000"/>
        </w:rPr>
        <w:t>ly</w:t>
      </w:r>
      <w:r w:rsidRPr="00B52F73">
        <w:rPr>
          <w:rFonts w:ascii="Book Antiqua" w:eastAsia="Book Antiqua" w:hAnsi="Book Antiqua" w:cs="Book Antiqua"/>
          <w:color w:val="000000"/>
        </w:rPr>
        <w:t xml:space="preserve"> qualified surgeons. The observation hole of the laparoscopic lens is located at the lower edge of the umbilicus. After entering the abdominal cavity, the surgeons first evaluated and recorded the liver background, major target lesion areas, and gallbladder fluorescence staining effects with the naked eye. Then, the assistant switched the laparoscopic lens to the ICG spy </w:t>
      </w:r>
      <w:r w:rsidR="003A5832" w:rsidRPr="00B52F73">
        <w:rPr>
          <w:rFonts w:ascii="Book Antiqua" w:eastAsia="Book Antiqua" w:hAnsi="Book Antiqua" w:cs="Book Antiqua"/>
          <w:color w:val="000000"/>
        </w:rPr>
        <w:t>display</w:t>
      </w:r>
      <w:r w:rsidRPr="00B52F73">
        <w:rPr>
          <w:rFonts w:ascii="Book Antiqua" w:eastAsia="Book Antiqua" w:hAnsi="Book Antiqua" w:cs="Book Antiqua"/>
          <w:color w:val="000000"/>
        </w:rPr>
        <w:t xml:space="preserve"> mode and placed the liver background, gallbladder and major liver lesion areas to observe the center of the surgical field. In addition, the surgical assistant carefully approached the target area with a handheld lens until the target area surface was completely aligned. The observation camera was then retracted 10 cm and held for 5 to 10 s to ensure clear images were captured</w:t>
      </w:r>
      <w:r w:rsidR="00566FBC" w:rsidRPr="00B52F73">
        <w:rPr>
          <w:rFonts w:ascii="Book Antiqua" w:eastAsia="Book Antiqua" w:hAnsi="Book Antiqua" w:cs="Book Antiqua"/>
          <w:color w:val="000000"/>
        </w:rPr>
        <w:t xml:space="preserve"> (Figure 2)</w:t>
      </w:r>
      <w:r w:rsidRPr="00B52F73">
        <w:rPr>
          <w:rFonts w:ascii="Book Antiqua" w:eastAsia="Book Antiqua" w:hAnsi="Book Antiqua" w:cs="Book Antiqua"/>
          <w:color w:val="000000"/>
        </w:rPr>
        <w:t>.</w:t>
      </w:r>
    </w:p>
    <w:p w14:paraId="03CEEBB9" w14:textId="77777777" w:rsidR="00A77B3E" w:rsidRPr="00B52F73" w:rsidRDefault="00A77B3E" w:rsidP="00566FBC">
      <w:pPr>
        <w:spacing w:line="360" w:lineRule="auto"/>
        <w:jc w:val="both"/>
        <w:rPr>
          <w:rFonts w:ascii="Book Antiqua" w:hAnsi="Book Antiqua"/>
        </w:rPr>
      </w:pPr>
    </w:p>
    <w:p w14:paraId="3435B907"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i/>
          <w:iCs/>
          <w:color w:val="000000"/>
        </w:rPr>
        <w:t>Image fluorescence measurement</w:t>
      </w:r>
    </w:p>
    <w:p w14:paraId="0C080A74" w14:textId="3F5B40E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 xml:space="preserve">The Potplayer video player was used to display surgery videos and to capture the clearest images (PNG format) in spy display mode. The most representative images were manually selected by more than 2 investigators to delineate ROIs. Finally, average fluorescence intensity (Gray value) measurements were performed using ImageJ </w:t>
      </w:r>
      <w:r w:rsidR="0018261B" w:rsidRPr="00B52F73">
        <w:rPr>
          <w:rFonts w:ascii="Book Antiqua" w:eastAsia="Book Antiqua" w:hAnsi="Book Antiqua" w:cs="Book Antiqua"/>
          <w:color w:val="000000"/>
        </w:rPr>
        <w:t xml:space="preserve">software </w:t>
      </w:r>
      <w:r w:rsidRPr="00B52F73">
        <w:rPr>
          <w:rFonts w:ascii="Book Antiqua" w:eastAsia="Book Antiqua" w:hAnsi="Book Antiqua" w:cs="Book Antiqua"/>
          <w:color w:val="000000"/>
        </w:rPr>
        <w:t>(</w:t>
      </w:r>
      <w:hyperlink r:id="rId7" w:history="1">
        <w:r w:rsidRPr="00B52F73">
          <w:rPr>
            <w:rFonts w:ascii="Book Antiqua" w:eastAsia="Book Antiqua" w:hAnsi="Book Antiqua" w:cs="Book Antiqua"/>
            <w:color w:val="000000"/>
          </w:rPr>
          <w:t>https://imagej.nih.gov/ij/</w:t>
        </w:r>
      </w:hyperlink>
      <w:r w:rsidRPr="00B52F73">
        <w:rPr>
          <w:rFonts w:ascii="Book Antiqua" w:eastAsia="Book Antiqua" w:hAnsi="Book Antiqua" w:cs="Book Antiqua"/>
          <w:color w:val="000000"/>
        </w:rPr>
        <w:t>).</w:t>
      </w:r>
    </w:p>
    <w:p w14:paraId="2B85AD81" w14:textId="0D6F30C3"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 xml:space="preserve">Liver background is defined as the flat, largest area of the liver surface on the side without the hepatic lesion. The target area is defined as the fluorescence area of the primary lesion or tumor for this procedure (the lesion with the largest volume and diameter). </w:t>
      </w:r>
      <w:r w:rsidR="00023F6C" w:rsidRPr="00B52F73">
        <w:rPr>
          <w:rFonts w:ascii="Book Antiqua" w:eastAsia="Book Antiqua" w:hAnsi="Book Antiqua" w:cs="Book Antiqua"/>
        </w:rPr>
        <w:t>Fluorescence intensity of liver background (FI-LB)</w:t>
      </w:r>
      <w:r w:rsidRPr="00B52F73">
        <w:rPr>
          <w:rFonts w:ascii="Book Antiqua" w:eastAsia="Book Antiqua" w:hAnsi="Book Antiqua" w:cs="Book Antiqua"/>
          <w:color w:val="000000"/>
        </w:rPr>
        <w:t xml:space="preserve"> is the </w:t>
      </w:r>
      <w:r w:rsidR="00C82625" w:rsidRPr="00B52F73">
        <w:rPr>
          <w:rFonts w:ascii="Book Antiqua" w:eastAsia="Book Antiqua" w:hAnsi="Book Antiqua" w:cs="Book Antiqua"/>
        </w:rPr>
        <w:t>FI-LB</w:t>
      </w:r>
      <w:r w:rsidRPr="00B52F73">
        <w:rPr>
          <w:rFonts w:ascii="Book Antiqua" w:eastAsia="Book Antiqua" w:hAnsi="Book Antiqua" w:cs="Book Antiqua"/>
          <w:color w:val="000000"/>
        </w:rPr>
        <w:t xml:space="preserve">, </w:t>
      </w:r>
      <w:r w:rsidR="00023F6C" w:rsidRPr="00B52F73">
        <w:rPr>
          <w:rFonts w:ascii="Book Antiqua" w:eastAsia="Book Antiqua" w:hAnsi="Book Antiqua" w:cs="Book Antiqua"/>
        </w:rPr>
        <w:t xml:space="preserve">fluorescence </w:t>
      </w:r>
      <w:r w:rsidR="00023F6C" w:rsidRPr="00B52F73">
        <w:rPr>
          <w:rFonts w:ascii="Book Antiqua" w:eastAsia="Book Antiqua" w:hAnsi="Book Antiqua" w:cs="Book Antiqua"/>
        </w:rPr>
        <w:lastRenderedPageBreak/>
        <w:t>intensity of target area (FI-T)</w:t>
      </w:r>
      <w:r w:rsidRPr="00B52F73">
        <w:rPr>
          <w:rFonts w:ascii="Book Antiqua" w:eastAsia="Book Antiqua" w:hAnsi="Book Antiqua" w:cs="Book Antiqua"/>
          <w:color w:val="000000"/>
        </w:rPr>
        <w:t xml:space="preserve"> is the fluorescence intensity of the primary target lesion/tumor during the procedure, and </w:t>
      </w:r>
      <w:r w:rsidR="00023F6C" w:rsidRPr="00B52F73">
        <w:rPr>
          <w:rFonts w:ascii="Book Antiqua" w:eastAsia="Book Antiqua" w:hAnsi="Book Antiqua" w:cs="Book Antiqua"/>
        </w:rPr>
        <w:t>fluorescence intensity of gallbladder (FI-G)</w:t>
      </w:r>
      <w:r w:rsidRPr="00B52F73">
        <w:rPr>
          <w:rFonts w:ascii="Book Antiqua" w:eastAsia="Book Antiqua" w:hAnsi="Book Antiqua" w:cs="Book Antiqua"/>
          <w:color w:val="000000"/>
        </w:rPr>
        <w:t xml:space="preserve"> is the </w:t>
      </w:r>
      <w:r w:rsidR="00354A63" w:rsidRPr="00B52F73">
        <w:rPr>
          <w:rFonts w:ascii="Book Antiqua" w:eastAsia="Book Antiqua" w:hAnsi="Book Antiqua" w:cs="Book Antiqua"/>
        </w:rPr>
        <w:t>FI-G</w:t>
      </w:r>
      <w:r w:rsidRPr="00B52F73">
        <w:rPr>
          <w:rFonts w:ascii="Book Antiqua" w:eastAsia="Book Antiqua" w:hAnsi="Book Antiqua" w:cs="Book Antiqua"/>
          <w:color w:val="000000"/>
        </w:rPr>
        <w:t xml:space="preserve">. </w:t>
      </w:r>
      <w:r w:rsidR="00121802" w:rsidRPr="00B52F73">
        <w:rPr>
          <w:rFonts w:ascii="Book Antiqua" w:eastAsia="Book Antiqua" w:hAnsi="Book Antiqua" w:cs="Book Antiqua"/>
          <w:color w:val="000000"/>
        </w:rPr>
        <w:t xml:space="preserve">Target area </w:t>
      </w:r>
      <w:r w:rsidR="00566FBC" w:rsidRPr="00B52F73">
        <w:rPr>
          <w:rFonts w:ascii="Book Antiqua" w:eastAsia="Book Antiqua" w:hAnsi="Book Antiqua" w:cs="Book Antiqua"/>
          <w:color w:val="000000"/>
        </w:rPr>
        <w:t>-</w:t>
      </w:r>
      <w:r w:rsidR="00121802" w:rsidRPr="00B52F73">
        <w:rPr>
          <w:rFonts w:ascii="Book Antiqua" w:eastAsia="Book Antiqua" w:hAnsi="Book Antiqua" w:cs="Book Antiqua"/>
          <w:color w:val="000000"/>
        </w:rPr>
        <w:t xml:space="preserve"> </w:t>
      </w:r>
      <w:r w:rsidR="00566FBC" w:rsidRPr="00B52F73">
        <w:rPr>
          <w:rFonts w:ascii="Book Antiqua" w:eastAsia="Book Antiqua" w:hAnsi="Book Antiqua" w:cs="Book Antiqua"/>
          <w:color w:val="000000"/>
        </w:rPr>
        <w:t>l</w:t>
      </w:r>
      <w:r w:rsidR="00121802" w:rsidRPr="00B52F73">
        <w:rPr>
          <w:rFonts w:ascii="Book Antiqua" w:eastAsia="Book Antiqua" w:hAnsi="Book Antiqua" w:cs="Book Antiqua"/>
          <w:color w:val="000000"/>
        </w:rPr>
        <w:t>iver background fluorescence intensity ratio (</w:t>
      </w:r>
      <w:r w:rsidRPr="00B52F73">
        <w:rPr>
          <w:rFonts w:ascii="Book Antiqua" w:eastAsia="Book Antiqua" w:hAnsi="Book Antiqua" w:cs="Book Antiqua"/>
          <w:color w:val="000000"/>
        </w:rPr>
        <w:t>TLR</w:t>
      </w:r>
      <w:r w:rsidR="00121802"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is</w:t>
      </w:r>
      <w:r w:rsidR="00A423A5" w:rsidRPr="00B52F73">
        <w:rPr>
          <w:rFonts w:ascii="Book Antiqua" w:eastAsia="Book Antiqua" w:hAnsi="Book Antiqua" w:cs="Book Antiqua"/>
          <w:color w:val="000000"/>
        </w:rPr>
        <w:t xml:space="preserve"> considered to be an important parameter for the overall effect of liver fluorescence staining</w:t>
      </w:r>
      <w:r w:rsidR="00566FBC" w:rsidRPr="00B52F73">
        <w:rPr>
          <w:rFonts w:ascii="Book Antiqua" w:eastAsia="Book Antiqua" w:hAnsi="Book Antiqua" w:cs="Book Antiqua"/>
          <w:color w:val="000000"/>
        </w:rPr>
        <w:t xml:space="preserve"> </w:t>
      </w:r>
      <w:r w:rsidR="00566FBC" w:rsidRPr="00B52F73">
        <w:rPr>
          <w:rFonts w:ascii="Book Antiqua" w:eastAsia="Book Antiqua" w:hAnsi="Book Antiqua" w:cs="Book Antiqua"/>
        </w:rPr>
        <w:t>(Figure 3)</w:t>
      </w:r>
      <w:r w:rsidRPr="00B52F73">
        <w:rPr>
          <w:rFonts w:ascii="Book Antiqua" w:eastAsia="Book Antiqua" w:hAnsi="Book Antiqua" w:cs="Book Antiqua"/>
          <w:color w:val="000000"/>
        </w:rPr>
        <w:t>. A laparoscopic operating system with ICG fluoroscopic navigation function (PINPOINT, Novadaq Technologies Inc. Canada) was used for all procedures.</w:t>
      </w:r>
    </w:p>
    <w:p w14:paraId="425DEB88" w14:textId="77777777" w:rsidR="00A77B3E" w:rsidRPr="00B52F73" w:rsidRDefault="00A77B3E" w:rsidP="00566FBC">
      <w:pPr>
        <w:spacing w:line="360" w:lineRule="auto"/>
        <w:jc w:val="both"/>
        <w:rPr>
          <w:rFonts w:ascii="Book Antiqua" w:hAnsi="Book Antiqua"/>
        </w:rPr>
      </w:pPr>
    </w:p>
    <w:p w14:paraId="282186B1" w14:textId="2E8790A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i/>
          <w:iCs/>
          <w:color w:val="000000"/>
        </w:rPr>
        <w:t>Laboratory</w:t>
      </w:r>
      <w:r w:rsidR="00C82625" w:rsidRPr="00B52F73">
        <w:rPr>
          <w:rFonts w:ascii="Book Antiqua" w:eastAsia="Book Antiqua" w:hAnsi="Book Antiqua" w:cs="Book Antiqua"/>
          <w:b/>
          <w:bCs/>
          <w:i/>
          <w:iCs/>
          <w:color w:val="000000"/>
        </w:rPr>
        <w:t xml:space="preserve"> risk scoring syst</w:t>
      </w:r>
      <w:r w:rsidRPr="00B52F73">
        <w:rPr>
          <w:rFonts w:ascii="Book Antiqua" w:eastAsia="Book Antiqua" w:hAnsi="Book Antiqua" w:cs="Book Antiqua"/>
          <w:b/>
          <w:bCs/>
          <w:i/>
          <w:iCs/>
          <w:color w:val="000000"/>
        </w:rPr>
        <w:t>em</w:t>
      </w:r>
    </w:p>
    <w:p w14:paraId="2938F650" w14:textId="5BF3A60F"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 xml:space="preserve">Correlation analysis identified blood laboratory tests associated with FI-LB and assigned scores based on the magnitude of the correlation coefficient. The score values of all indicators were summed to obtain the total laboratory risk score (TLRS). Optimal laboratory risk score </w:t>
      </w:r>
      <w:r w:rsidR="00C82625" w:rsidRPr="00B52F73">
        <w:rPr>
          <w:rFonts w:ascii="Book Antiqua" w:eastAsia="Book Antiqua" w:hAnsi="Book Antiqua" w:cs="Book Antiqua"/>
          <w:color w:val="000000"/>
        </w:rPr>
        <w:t>c</w:t>
      </w:r>
      <w:r w:rsidRPr="00B52F73">
        <w:rPr>
          <w:rFonts w:ascii="Book Antiqua" w:eastAsia="Book Antiqua" w:hAnsi="Book Antiqua" w:cs="Book Antiqua"/>
          <w:color w:val="000000"/>
        </w:rPr>
        <w:t xml:space="preserve">ut-off values were obtained using </w:t>
      </w:r>
      <w:r w:rsidR="00C82625" w:rsidRPr="00B52F73">
        <w:rPr>
          <w:rFonts w:ascii="Book Antiqua" w:eastAsia="Book Antiqua" w:hAnsi="Book Antiqua" w:cs="Book Antiqua"/>
          <w:color w:val="000000"/>
        </w:rPr>
        <w:t>receiver operating characteristic (ROC)</w:t>
      </w:r>
      <w:r w:rsidRPr="00B52F73">
        <w:rPr>
          <w:rFonts w:ascii="Book Antiqua" w:eastAsia="Book Antiqua" w:hAnsi="Book Antiqua" w:cs="Book Antiqua"/>
          <w:color w:val="000000"/>
        </w:rPr>
        <w:t xml:space="preserve"> curve analysis. Grouping based on </w:t>
      </w:r>
      <w:r w:rsidR="00C82625" w:rsidRPr="00B52F73">
        <w:rPr>
          <w:rFonts w:ascii="Book Antiqua" w:eastAsia="Book Antiqua" w:hAnsi="Book Antiqua" w:cs="Book Antiqua"/>
          <w:color w:val="000000"/>
        </w:rPr>
        <w:t>c</w:t>
      </w:r>
      <w:r w:rsidRPr="00B52F73">
        <w:rPr>
          <w:rFonts w:ascii="Book Antiqua" w:eastAsia="Book Antiqua" w:hAnsi="Book Antiqua" w:cs="Book Antiqua"/>
          <w:color w:val="000000"/>
        </w:rPr>
        <w:t xml:space="preserve">ut-off values was used to identify individuals at high risk for low hepatic </w:t>
      </w:r>
      <w:r w:rsidR="00023F6C" w:rsidRPr="00B52F73">
        <w:rPr>
          <w:rFonts w:ascii="Book Antiqua" w:eastAsia="Book Antiqua" w:hAnsi="Book Antiqua" w:cs="Book Antiqua"/>
          <w:color w:val="000000"/>
        </w:rPr>
        <w:t>ICG</w:t>
      </w:r>
      <w:r w:rsidRPr="00B52F73">
        <w:rPr>
          <w:rFonts w:ascii="Book Antiqua" w:eastAsia="Book Antiqua" w:hAnsi="Book Antiqua" w:cs="Book Antiqua"/>
          <w:color w:val="000000"/>
        </w:rPr>
        <w:t xml:space="preserve"> clearance.</w:t>
      </w:r>
    </w:p>
    <w:p w14:paraId="094E35E1" w14:textId="77777777" w:rsidR="00A77B3E" w:rsidRPr="00B52F73" w:rsidRDefault="00A77B3E" w:rsidP="00566FBC">
      <w:pPr>
        <w:spacing w:line="360" w:lineRule="auto"/>
        <w:jc w:val="both"/>
        <w:rPr>
          <w:rFonts w:ascii="Book Antiqua" w:hAnsi="Book Antiqua"/>
        </w:rPr>
      </w:pPr>
    </w:p>
    <w:p w14:paraId="1875B1E9"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i/>
          <w:iCs/>
          <w:color w:val="000000"/>
        </w:rPr>
        <w:t>Statistical analysis</w:t>
      </w:r>
    </w:p>
    <w:p w14:paraId="763701D2" w14:textId="51D97A7B"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 xml:space="preserve">Software of IBM SPSS Statistics 26 (IBM </w:t>
      </w:r>
      <w:r w:rsidR="0018261B" w:rsidRPr="00B52F73">
        <w:rPr>
          <w:rFonts w:ascii="Book Antiqua" w:eastAsia="Book Antiqua" w:hAnsi="Book Antiqua" w:cs="Book Antiqua"/>
          <w:color w:val="000000"/>
        </w:rPr>
        <w:t>Corp</w:t>
      </w:r>
      <w:r w:rsidRPr="00B52F73">
        <w:rPr>
          <w:rFonts w:ascii="Book Antiqua" w:eastAsia="Book Antiqua" w:hAnsi="Book Antiqua" w:cs="Book Antiqua"/>
          <w:color w:val="000000"/>
        </w:rPr>
        <w:t>.</w:t>
      </w:r>
      <w:r w:rsidR="0018261B"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w:t>
      </w:r>
      <w:r w:rsidR="0018261B" w:rsidRPr="00B52F73">
        <w:rPr>
          <w:rFonts w:ascii="Book Antiqua" w:eastAsia="Book Antiqua" w:hAnsi="Book Antiqua" w:cs="Book Antiqua"/>
          <w:color w:val="000000"/>
        </w:rPr>
        <w:t>Armonk</w:t>
      </w:r>
      <w:r w:rsidRPr="00B52F73">
        <w:rPr>
          <w:rFonts w:ascii="Book Antiqua" w:eastAsia="Book Antiqua" w:hAnsi="Book Antiqua" w:cs="Book Antiqua"/>
          <w:color w:val="000000"/>
        </w:rPr>
        <w:t>,</w:t>
      </w:r>
      <w:r w:rsidR="0018261B" w:rsidRPr="00B52F73">
        <w:rPr>
          <w:rFonts w:ascii="Book Antiqua" w:eastAsia="Book Antiqua" w:hAnsi="Book Antiqua" w:cs="Book Antiqua"/>
          <w:color w:val="000000"/>
        </w:rPr>
        <w:t xml:space="preserve"> NY,</w:t>
      </w:r>
      <w:r w:rsidRPr="00B52F73">
        <w:rPr>
          <w:rFonts w:ascii="Book Antiqua" w:eastAsia="Book Antiqua" w:hAnsi="Book Antiqua" w:cs="Book Antiqua"/>
          <w:color w:val="000000"/>
        </w:rPr>
        <w:t xml:space="preserve"> U</w:t>
      </w:r>
      <w:r w:rsidR="00C82625" w:rsidRPr="00B52F73">
        <w:rPr>
          <w:rFonts w:ascii="Book Antiqua" w:eastAsia="Book Antiqua" w:hAnsi="Book Antiqua" w:cs="Book Antiqua"/>
          <w:color w:val="000000"/>
        </w:rPr>
        <w:t xml:space="preserve">nited </w:t>
      </w:r>
      <w:r w:rsidRPr="00B52F73">
        <w:rPr>
          <w:rFonts w:ascii="Book Antiqua" w:eastAsia="Book Antiqua" w:hAnsi="Book Antiqua" w:cs="Book Antiqua"/>
          <w:color w:val="000000"/>
        </w:rPr>
        <w:t>S</w:t>
      </w:r>
      <w:r w:rsidR="00C82625" w:rsidRPr="00B52F73">
        <w:rPr>
          <w:rFonts w:ascii="Book Antiqua" w:eastAsia="Book Antiqua" w:hAnsi="Book Antiqua" w:cs="Book Antiqua"/>
          <w:color w:val="000000"/>
        </w:rPr>
        <w:t>tates</w:t>
      </w:r>
      <w:r w:rsidRPr="00B52F73">
        <w:rPr>
          <w:rFonts w:ascii="Book Antiqua" w:eastAsia="Book Antiqua" w:hAnsi="Book Antiqua" w:cs="Book Antiqua"/>
          <w:color w:val="000000"/>
        </w:rPr>
        <w:t xml:space="preserve">) was used for statistical analysis and evaluating the findings obtained in the study. Continuous data were described as mean ± </w:t>
      </w:r>
      <w:r w:rsidR="0018261B" w:rsidRPr="00B52F73">
        <w:rPr>
          <w:rFonts w:ascii="Book Antiqua" w:eastAsia="Book Antiqua" w:hAnsi="Book Antiqua" w:cs="Book Antiqua"/>
          <w:color w:val="000000"/>
        </w:rPr>
        <w:t>standard deviation</w:t>
      </w:r>
      <w:r w:rsidRPr="00B52F73">
        <w:rPr>
          <w:rFonts w:ascii="Book Antiqua" w:eastAsia="Book Antiqua" w:hAnsi="Book Antiqua" w:cs="Book Antiqua"/>
          <w:color w:val="000000"/>
        </w:rPr>
        <w:t xml:space="preserve">. Correlation analysis was performed to explore the correlation between the </w:t>
      </w:r>
      <w:r w:rsidR="00C82625" w:rsidRPr="00B52F73">
        <w:rPr>
          <w:rFonts w:ascii="Book Antiqua" w:eastAsia="Book Antiqua" w:hAnsi="Book Antiqua" w:cs="Book Antiqua"/>
        </w:rPr>
        <w:t>FI-LB</w:t>
      </w:r>
      <w:r w:rsidRPr="00B52F73">
        <w:rPr>
          <w:rFonts w:ascii="Book Antiqua" w:eastAsia="Book Antiqua" w:hAnsi="Book Antiqua" w:cs="Book Antiqua"/>
          <w:color w:val="000000"/>
        </w:rPr>
        <w:t xml:space="preserve">, gallbladder and lesion areas and pre-operative blood indexes. Pearson correlation analysis was used for normally distributed data, and Spearman’s correlation analysis was used for non-normally distributed data. </w:t>
      </w:r>
      <w:bookmarkStart w:id="2" w:name="_Hlk133584743"/>
      <w:r w:rsidRPr="00B52F73">
        <w:rPr>
          <w:rFonts w:ascii="Book Antiqua" w:eastAsia="Book Antiqua" w:hAnsi="Book Antiqua" w:cs="Book Antiqua"/>
          <w:color w:val="000000"/>
        </w:rPr>
        <w:t>ROC curves</w:t>
      </w:r>
      <w:bookmarkEnd w:id="2"/>
      <w:r w:rsidRPr="00B52F73">
        <w:rPr>
          <w:rFonts w:ascii="Book Antiqua" w:eastAsia="Book Antiqua" w:hAnsi="Book Antiqua" w:cs="Book Antiqua"/>
          <w:color w:val="000000"/>
        </w:rPr>
        <w:t xml:space="preserve"> were used to evaluate the degree of conformity between subjective and objective evaluations.</w:t>
      </w:r>
    </w:p>
    <w:p w14:paraId="374DCEC0" w14:textId="77777777" w:rsidR="00A77B3E" w:rsidRPr="00B52F73" w:rsidRDefault="00A77B3E" w:rsidP="00566FBC">
      <w:pPr>
        <w:spacing w:line="360" w:lineRule="auto"/>
        <w:jc w:val="both"/>
        <w:rPr>
          <w:rFonts w:ascii="Book Antiqua" w:hAnsi="Book Antiqua"/>
        </w:rPr>
      </w:pPr>
    </w:p>
    <w:p w14:paraId="3F016029"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aps/>
          <w:color w:val="000000"/>
          <w:u w:val="single"/>
        </w:rPr>
        <w:t>RESULTS</w:t>
      </w:r>
    </w:p>
    <w:p w14:paraId="32D2D884" w14:textId="179CBC4A"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A total of 110 patients were included in this study. The mean values of FI-LB, FI-G, and FI-T were 18.87</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17.06, 54.84</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33.29, and 68.56</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36.11, respectively. Other basic information was shown in Table 1.</w:t>
      </w:r>
    </w:p>
    <w:p w14:paraId="5DC90EB4" w14:textId="77777777" w:rsidR="00A77B3E" w:rsidRPr="00B52F73" w:rsidRDefault="00A77B3E" w:rsidP="00566FBC">
      <w:pPr>
        <w:spacing w:line="360" w:lineRule="auto"/>
        <w:jc w:val="both"/>
        <w:rPr>
          <w:rFonts w:ascii="Book Antiqua" w:hAnsi="Book Antiqua"/>
        </w:rPr>
      </w:pPr>
    </w:p>
    <w:p w14:paraId="0545E590"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i/>
          <w:iCs/>
          <w:color w:val="000000"/>
        </w:rPr>
        <w:lastRenderedPageBreak/>
        <w:t>General analysis among FI-LB, TLR and subjective evaluations</w:t>
      </w:r>
    </w:p>
    <w:p w14:paraId="65847471" w14:textId="5D619CB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The subjective evaluation brightness and FI-LB of the liver background were included in the ROC curve analysis, and the area under the ROC curve (AUC) value was 0.986, indicating a high concordance between subjective evaluation (hepatic ICG clearance ability good or poor) and objective fluorescence intensity (</w:t>
      </w:r>
      <w:r w:rsidR="00C82625" w:rsidRPr="00B52F73">
        <w:rPr>
          <w:rFonts w:ascii="Book Antiqua" w:eastAsia="Book Antiqua" w:hAnsi="Book Antiqua" w:cs="Book Antiqua"/>
          <w:color w:val="000000"/>
        </w:rPr>
        <w:t>g</w:t>
      </w:r>
      <w:r w:rsidRPr="00B52F73">
        <w:rPr>
          <w:rFonts w:ascii="Book Antiqua" w:eastAsia="Book Antiqua" w:hAnsi="Book Antiqua" w:cs="Book Antiqua"/>
          <w:color w:val="000000"/>
        </w:rPr>
        <w:t xml:space="preserve">ray value). The cut-off FI-LB value was 24.892 (Figure </w:t>
      </w:r>
      <w:r w:rsidR="003F44BF" w:rsidRPr="00B52F73">
        <w:rPr>
          <w:rFonts w:ascii="Book Antiqua" w:eastAsia="Book Antiqua" w:hAnsi="Book Antiqua" w:cs="Book Antiqua"/>
          <w:color w:val="000000"/>
        </w:rPr>
        <w:t>4</w:t>
      </w:r>
      <w:r w:rsidRPr="00B52F73">
        <w:rPr>
          <w:rFonts w:ascii="Book Antiqua" w:eastAsia="Book Antiqua" w:hAnsi="Book Antiqua" w:cs="Book Antiqua"/>
          <w:color w:val="000000"/>
        </w:rPr>
        <w:t>).</w:t>
      </w:r>
    </w:p>
    <w:p w14:paraId="2573F68F" w14:textId="27F8828F"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Correlation analysis showed that there was a positive correlation between FI-LB and FI-T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 xml:space="preserve">(correlation coefficient = 0.518, </w:t>
      </w:r>
      <w:r w:rsidR="00C82625" w:rsidRPr="00B52F73">
        <w:rPr>
          <w:rFonts w:ascii="Book Antiqua" w:eastAsia="Book Antiqua" w:hAnsi="Book Antiqua" w:cs="Book Antiqua"/>
          <w:i/>
          <w:iCs/>
          <w:color w:val="000000"/>
        </w:rPr>
        <w:t>P</w:t>
      </w:r>
      <w:r w:rsidR="00C82625" w:rsidRPr="00B52F73">
        <w:rPr>
          <w:rFonts w:ascii="Book Antiqua" w:eastAsia="Book Antiqua" w:hAnsi="Book Antiqua" w:cs="Book Antiqua"/>
          <w:color w:val="000000"/>
        </w:rPr>
        <w:t>-</w:t>
      </w:r>
      <w:r w:rsidRPr="00B52F73">
        <w:rPr>
          <w:rFonts w:ascii="Book Antiqua" w:eastAsia="Book Antiqua" w:hAnsi="Book Antiqua" w:cs="Book Antiqua"/>
          <w:color w:val="000000"/>
        </w:rPr>
        <w:t>value</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&lt;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0.001)</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 xml:space="preserve">and between FI-LB and FI-G (correlation coefficient = 0.302, </w:t>
      </w:r>
      <w:r w:rsidRPr="00B52F73">
        <w:rPr>
          <w:rFonts w:ascii="Book Antiqua" w:eastAsia="Book Antiqua" w:hAnsi="Book Antiqua" w:cs="Book Antiqua"/>
          <w:i/>
          <w:iCs/>
          <w:color w:val="000000"/>
        </w:rPr>
        <w:t>P</w:t>
      </w:r>
      <w:r w:rsidRPr="00B52F73">
        <w:rPr>
          <w:rFonts w:ascii="Book Antiqua" w:eastAsia="Book Antiqua" w:hAnsi="Book Antiqua" w:cs="Book Antiqua"/>
          <w:color w:val="000000"/>
        </w:rPr>
        <w:t xml:space="preserve"> = 0.003). Also, TLR was not correlated with FI-G (</w:t>
      </w:r>
      <w:r w:rsidRPr="00B52F73">
        <w:rPr>
          <w:rFonts w:ascii="Book Antiqua" w:eastAsia="Book Antiqua" w:hAnsi="Book Antiqua" w:cs="Book Antiqua"/>
          <w:i/>
          <w:iCs/>
          <w:color w:val="000000"/>
        </w:rPr>
        <w:t>P</w:t>
      </w:r>
      <w:r w:rsidRPr="00B52F73">
        <w:rPr>
          <w:rFonts w:ascii="Book Antiqua" w:eastAsia="Book Antiqua" w:hAnsi="Book Antiqua" w:cs="Book Antiqua"/>
          <w:color w:val="000000"/>
        </w:rPr>
        <w:t xml:space="preserve"> = 0.745). To further explain the relationship between the average intensity of different fluorescent regions. We took the high and low values of FI-LB as the boundary to test and analyse FI-G and FI-T. The student-</w:t>
      </w:r>
      <w:r w:rsidRPr="00B52F73">
        <w:rPr>
          <w:rFonts w:ascii="Book Antiqua" w:eastAsia="Book Antiqua" w:hAnsi="Book Antiqua" w:cs="Book Antiqua"/>
          <w:i/>
          <w:iCs/>
          <w:color w:val="000000"/>
        </w:rPr>
        <w:t>t</w:t>
      </w:r>
      <w:r w:rsidRPr="00B52F73">
        <w:rPr>
          <w:rFonts w:ascii="Book Antiqua" w:eastAsia="Book Antiqua" w:hAnsi="Book Antiqua" w:cs="Book Antiqua"/>
          <w:color w:val="000000"/>
        </w:rPr>
        <w:t xml:space="preserve"> test results showed that there was a significant difference in FI-T between the high FI-LB group and the low FI-LB group (</w:t>
      </w:r>
      <w:r w:rsidR="00C82625" w:rsidRPr="00B52F73">
        <w:rPr>
          <w:rFonts w:ascii="Book Antiqua" w:eastAsia="Book Antiqua" w:hAnsi="Book Antiqua" w:cs="Book Antiqua"/>
          <w:i/>
          <w:iCs/>
          <w:color w:val="000000"/>
        </w:rPr>
        <w:t>P</w:t>
      </w:r>
      <w:r w:rsidR="00C82625" w:rsidRPr="00B52F73">
        <w:rPr>
          <w:rFonts w:ascii="Book Antiqua" w:eastAsia="Book Antiqua" w:hAnsi="Book Antiqua" w:cs="Book Antiqua"/>
          <w:color w:val="000000"/>
        </w:rPr>
        <w:t>-</w:t>
      </w:r>
      <w:r w:rsidRPr="00B52F73">
        <w:rPr>
          <w:rFonts w:ascii="Book Antiqua" w:eastAsia="Book Antiqua" w:hAnsi="Book Antiqua" w:cs="Book Antiqua"/>
          <w:color w:val="000000"/>
        </w:rPr>
        <w:t>value</w:t>
      </w:r>
      <w:r w:rsidR="00C82625" w:rsidRPr="00B52F73">
        <w:rPr>
          <w:rFonts w:ascii="Book Antiqua" w:eastAsia="Book Antiqua" w:hAnsi="Book Antiqua" w:cs="Book Antiqua"/>
          <w:color w:val="000000"/>
        </w:rPr>
        <w:t xml:space="preserve"> &lt;</w:t>
      </w:r>
      <w:r w:rsidR="00C82625" w:rsidRPr="00B52F73">
        <w:rPr>
          <w:rFonts w:ascii="Book Antiqua" w:hAnsi="Book Antiqua" w:cs="Book Antiqua"/>
          <w:color w:val="000000"/>
          <w:lang w:eastAsia="zh-CN"/>
        </w:rPr>
        <w:t xml:space="preserve"> </w:t>
      </w:r>
      <w:r w:rsidRPr="00B52F73">
        <w:rPr>
          <w:rFonts w:ascii="Book Antiqua" w:eastAsia="Book Antiqua" w:hAnsi="Book Antiqua" w:cs="Book Antiqua"/>
          <w:color w:val="000000"/>
        </w:rPr>
        <w:t>0.001), but there was no difference in FI-G between the two groups (</w:t>
      </w:r>
      <w:r w:rsidRPr="00B52F73">
        <w:rPr>
          <w:rFonts w:ascii="Book Antiqua" w:eastAsia="Book Antiqua" w:hAnsi="Book Antiqua" w:cs="Book Antiqua"/>
          <w:i/>
          <w:iCs/>
          <w:color w:val="000000"/>
        </w:rPr>
        <w:t>P</w:t>
      </w:r>
      <w:r w:rsidRPr="00B52F73">
        <w:rPr>
          <w:rFonts w:ascii="Book Antiqua" w:eastAsia="Book Antiqua" w:hAnsi="Book Antiqua" w:cs="Book Antiqua"/>
          <w:color w:val="000000"/>
        </w:rPr>
        <w:t xml:space="preserve"> = 0.193).</w:t>
      </w:r>
    </w:p>
    <w:p w14:paraId="6CC687D1" w14:textId="77777777" w:rsidR="00A77B3E" w:rsidRPr="00B52F73" w:rsidRDefault="00A77B3E" w:rsidP="00566FBC">
      <w:pPr>
        <w:spacing w:line="360" w:lineRule="auto"/>
        <w:jc w:val="both"/>
        <w:rPr>
          <w:rFonts w:ascii="Book Antiqua" w:hAnsi="Book Antiqua"/>
        </w:rPr>
      </w:pPr>
    </w:p>
    <w:p w14:paraId="17553BCA"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i/>
          <w:iCs/>
          <w:color w:val="000000"/>
        </w:rPr>
        <w:t>Univariate analysis</w:t>
      </w:r>
    </w:p>
    <w:p w14:paraId="3BE3665C" w14:textId="502DFB62"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 xml:space="preserve">Spearman’s correlation analysis revealed that pre-operative </w:t>
      </w:r>
      <w:r w:rsidR="00023F6C" w:rsidRPr="00B52F73">
        <w:rPr>
          <w:rFonts w:ascii="Book Antiqua" w:eastAsia="Book Antiqua" w:hAnsi="Book Antiqua" w:cs="Book Antiqua"/>
        </w:rPr>
        <w:t>aspartate aminotransferase</w:t>
      </w:r>
      <w:r w:rsidR="00023F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AST</w:t>
      </w:r>
      <w:r w:rsidR="00023F6C"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w:t>
      </w:r>
      <w:r w:rsidR="00023F6C" w:rsidRPr="00B52F73">
        <w:rPr>
          <w:rFonts w:ascii="Book Antiqua" w:eastAsia="Book Antiqua" w:hAnsi="Book Antiqua" w:cs="Book Antiqua"/>
        </w:rPr>
        <w:t>alanine aminotransferase</w:t>
      </w:r>
      <w:r w:rsidR="00023F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ALT</w:t>
      </w:r>
      <w:r w:rsidR="00023F6C"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w:t>
      </w:r>
      <w:r w:rsidR="00023F6C" w:rsidRPr="00B52F73">
        <w:rPr>
          <w:rFonts w:ascii="Book Antiqua" w:eastAsia="Book Antiqua" w:hAnsi="Book Antiqua" w:cs="Book Antiqua"/>
        </w:rPr>
        <w:t>gamma-glutamyl transpeptidase</w:t>
      </w:r>
      <w:r w:rsidR="00023F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GGT</w:t>
      </w:r>
      <w:r w:rsidR="00023F6C"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w:t>
      </w:r>
      <w:r w:rsidR="00023F6C" w:rsidRPr="00B52F73">
        <w:rPr>
          <w:rFonts w:ascii="Book Antiqua" w:eastAsia="Book Antiqua" w:hAnsi="Book Antiqua" w:cs="Book Antiqua"/>
        </w:rPr>
        <w:t>adenosine deaminase</w:t>
      </w:r>
      <w:r w:rsidR="00023F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ADA</w:t>
      </w:r>
      <w:r w:rsidR="00023F6C"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and </w:t>
      </w:r>
      <w:r w:rsidR="00023F6C" w:rsidRPr="00B52F73">
        <w:rPr>
          <w:rFonts w:ascii="Book Antiqua" w:eastAsia="Book Antiqua" w:hAnsi="Book Antiqua" w:cs="Book Antiqua"/>
        </w:rPr>
        <w:t>lactate dehydrogenase</w:t>
      </w:r>
      <w:r w:rsidR="00023F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LDH</w:t>
      </w:r>
      <w:r w:rsidR="00023F6C"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were positively associated with fluorescence intensity of background liver (FI-LB) and pre-operative </w:t>
      </w:r>
      <w:r w:rsidR="000F4DDF" w:rsidRPr="00B52F73">
        <w:rPr>
          <w:rFonts w:ascii="Book Antiqua" w:eastAsia="Book Antiqua" w:hAnsi="Book Antiqua" w:cs="Book Antiqua"/>
          <w:color w:val="000000"/>
        </w:rPr>
        <w:t>r</w:t>
      </w:r>
      <w:r w:rsidR="00A423A5" w:rsidRPr="00B52F73">
        <w:rPr>
          <w:rFonts w:ascii="Book Antiqua" w:eastAsia="Book Antiqua" w:hAnsi="Book Antiqua" w:cs="Book Antiqua"/>
          <w:color w:val="000000"/>
        </w:rPr>
        <w:t>ed blood cell</w:t>
      </w:r>
      <w:r w:rsidR="00566FBC" w:rsidRPr="00B52F73">
        <w:rPr>
          <w:rFonts w:ascii="Book Antiqua" w:eastAsia="Book Antiqua" w:hAnsi="Book Antiqua" w:cs="Book Antiqua"/>
          <w:color w:val="000000"/>
        </w:rPr>
        <w:t xml:space="preserve"> (RBC)</w:t>
      </w:r>
      <w:r w:rsidRPr="00B52F73">
        <w:rPr>
          <w:rFonts w:ascii="Book Antiqua" w:eastAsia="Book Antiqua" w:hAnsi="Book Antiqua" w:cs="Book Antiqua"/>
          <w:color w:val="000000"/>
        </w:rPr>
        <w:t xml:space="preserve">, </w:t>
      </w:r>
      <w:r w:rsidR="00354A63" w:rsidRPr="00B52F73">
        <w:rPr>
          <w:rFonts w:ascii="Book Antiqua" w:eastAsia="Book Antiqua" w:hAnsi="Book Antiqua" w:cs="Book Antiqua"/>
        </w:rPr>
        <w:t>cholinesterase</w:t>
      </w:r>
      <w:r w:rsidR="00354A63"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CHE</w:t>
      </w:r>
      <w:r w:rsidR="00354A63"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and were negatively associated with FI-LB. In the analysis with FI-T, GGT and LDH were positively correlated, while </w:t>
      </w:r>
      <w:r w:rsidR="000F4DDF" w:rsidRPr="00B52F73">
        <w:rPr>
          <w:rFonts w:ascii="Book Antiqua" w:eastAsia="Book Antiqua" w:hAnsi="Book Antiqua" w:cs="Book Antiqua"/>
          <w:color w:val="000000"/>
        </w:rPr>
        <w:t>total bilirubin (TBil)</w:t>
      </w:r>
      <w:r w:rsidRPr="00B52F73">
        <w:rPr>
          <w:rFonts w:ascii="Book Antiqua" w:eastAsia="Book Antiqua" w:hAnsi="Book Antiqua" w:cs="Book Antiqua"/>
          <w:color w:val="000000"/>
        </w:rPr>
        <w:t xml:space="preserve"> and </w:t>
      </w:r>
      <w:r w:rsidR="000F4DDF" w:rsidRPr="00B52F73">
        <w:rPr>
          <w:rFonts w:ascii="Book Antiqua" w:eastAsia="Book Antiqua" w:hAnsi="Book Antiqua" w:cs="Book Antiqua"/>
          <w:color w:val="000000"/>
        </w:rPr>
        <w:t>activated partial thromboplastin time (</w:t>
      </w:r>
      <w:r w:rsidRPr="00B52F73">
        <w:rPr>
          <w:rFonts w:ascii="Book Antiqua" w:eastAsia="Book Antiqua" w:hAnsi="Book Antiqua" w:cs="Book Antiqua"/>
          <w:color w:val="000000"/>
        </w:rPr>
        <w:t>APTT</w:t>
      </w:r>
      <w:r w:rsidR="000F4DDF"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were negatively correlated. Interestingly, among the blood indicators involved in our study, ADA were found to be significantly positively associated with the mean </w:t>
      </w:r>
      <w:r w:rsidR="00C82625" w:rsidRPr="00B52F73">
        <w:rPr>
          <w:rFonts w:ascii="Book Antiqua" w:eastAsia="Book Antiqua" w:hAnsi="Book Antiqua" w:cs="Book Antiqua"/>
        </w:rPr>
        <w:t>FI-G</w:t>
      </w:r>
      <w:r w:rsidRPr="00B52F73">
        <w:rPr>
          <w:rFonts w:ascii="Book Antiqua" w:eastAsia="Book Antiqua" w:hAnsi="Book Antiqua" w:cs="Book Antiqua"/>
          <w:color w:val="000000"/>
        </w:rPr>
        <w:t xml:space="preserve">, negative correlations were found for RBC, </w:t>
      </w:r>
      <w:r w:rsidR="000F4DDF" w:rsidRPr="00B52F73">
        <w:rPr>
          <w:rFonts w:ascii="Book Antiqua" w:eastAsia="Book Antiqua" w:hAnsi="Book Antiqua" w:cs="Book Antiqua"/>
          <w:color w:val="000000"/>
        </w:rPr>
        <w:t>hemoglobin</w:t>
      </w:r>
      <w:r w:rsidRPr="00B52F73">
        <w:rPr>
          <w:rFonts w:ascii="Book Antiqua" w:eastAsia="Book Antiqua" w:hAnsi="Book Antiqua" w:cs="Book Antiqua"/>
          <w:color w:val="000000"/>
        </w:rPr>
        <w:t>, and C</w:t>
      </w:r>
      <w:r w:rsidR="00C82625" w:rsidRPr="00B52F73">
        <w:rPr>
          <w:rFonts w:ascii="Book Antiqua" w:eastAsia="Book Antiqua" w:hAnsi="Book Antiqua" w:cs="Book Antiqua"/>
          <w:color w:val="000000"/>
        </w:rPr>
        <w:t>HE</w:t>
      </w:r>
      <w:r w:rsidRPr="00B52F73">
        <w:rPr>
          <w:rFonts w:ascii="Book Antiqua" w:eastAsia="Book Antiqua" w:hAnsi="Book Antiqua" w:cs="Book Antiqua"/>
          <w:color w:val="000000"/>
        </w:rPr>
        <w:t>. TLR, an important fluorescent staining composite parameter, had not been found to be significantly associated with any enrolled preoperative laboratory blood indicators in this study</w:t>
      </w:r>
      <w:r w:rsidR="00C82625" w:rsidRPr="00B52F73">
        <w:rPr>
          <w:rFonts w:ascii="Book Antiqua" w:eastAsia="Book Antiqua" w:hAnsi="Book Antiqua" w:cs="Book Antiqua"/>
          <w:color w:val="000000"/>
        </w:rPr>
        <w:t xml:space="preserve"> (Table 2)</w:t>
      </w:r>
      <w:r w:rsidRPr="00B52F73">
        <w:rPr>
          <w:rFonts w:ascii="Book Antiqua" w:eastAsia="Book Antiqua" w:hAnsi="Book Antiqua" w:cs="Book Antiqua"/>
          <w:color w:val="000000"/>
        </w:rPr>
        <w:t>.</w:t>
      </w:r>
    </w:p>
    <w:p w14:paraId="1DDAB72F" w14:textId="77777777" w:rsidR="00A77B3E" w:rsidRPr="00B52F73" w:rsidRDefault="00A77B3E" w:rsidP="00566FBC">
      <w:pPr>
        <w:spacing w:line="360" w:lineRule="auto"/>
        <w:jc w:val="both"/>
        <w:rPr>
          <w:rFonts w:ascii="Book Antiqua" w:hAnsi="Book Antiqua"/>
        </w:rPr>
      </w:pPr>
    </w:p>
    <w:p w14:paraId="6AB23ECB" w14:textId="56D46EB8"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i/>
          <w:iCs/>
          <w:color w:val="000000"/>
        </w:rPr>
        <w:t xml:space="preserve">Laboratory score of liver </w:t>
      </w:r>
      <w:r w:rsidR="00023F6C" w:rsidRPr="00B52F73">
        <w:rPr>
          <w:rFonts w:ascii="Book Antiqua" w:eastAsia="Book Antiqua" w:hAnsi="Book Antiqua" w:cs="Book Antiqua"/>
          <w:b/>
          <w:bCs/>
          <w:i/>
          <w:iCs/>
          <w:color w:val="000000"/>
        </w:rPr>
        <w:t>ICG</w:t>
      </w:r>
      <w:r w:rsidRPr="00B52F73">
        <w:rPr>
          <w:rFonts w:ascii="Book Antiqua" w:eastAsia="Book Antiqua" w:hAnsi="Book Antiqua" w:cs="Book Antiqua"/>
          <w:b/>
          <w:bCs/>
          <w:i/>
          <w:iCs/>
          <w:color w:val="000000"/>
        </w:rPr>
        <w:t xml:space="preserve"> fluorescence clearance ability</w:t>
      </w:r>
    </w:p>
    <w:p w14:paraId="531FDED7" w14:textId="077A237E"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lastRenderedPageBreak/>
        <w:t xml:space="preserve">According to the results of correlation analysis, the preoperative RBC, AST, ALT, GGT, CHE, LDH and ADA were included in the scoring system. The optimal </w:t>
      </w:r>
      <w:r w:rsidR="00C82625" w:rsidRPr="00B52F73">
        <w:rPr>
          <w:rFonts w:ascii="Book Antiqua" w:eastAsia="Book Antiqua" w:hAnsi="Book Antiqua" w:cs="Book Antiqua"/>
          <w:color w:val="000000"/>
        </w:rPr>
        <w:t>c</w:t>
      </w:r>
      <w:r w:rsidRPr="00B52F73">
        <w:rPr>
          <w:rFonts w:ascii="Book Antiqua" w:eastAsia="Book Antiqua" w:hAnsi="Book Antiqua" w:cs="Book Antiqua"/>
          <w:color w:val="000000"/>
        </w:rPr>
        <w:t>ut-</w:t>
      </w:r>
      <w:r w:rsidR="00C82625" w:rsidRPr="00B52F73">
        <w:rPr>
          <w:rFonts w:ascii="Book Antiqua" w:eastAsia="Book Antiqua" w:hAnsi="Book Antiqua" w:cs="Book Antiqua"/>
          <w:color w:val="000000"/>
        </w:rPr>
        <w:t>o</w:t>
      </w:r>
      <w:r w:rsidRPr="00B52F73">
        <w:rPr>
          <w:rFonts w:ascii="Book Antiqua" w:eastAsia="Book Antiqua" w:hAnsi="Book Antiqua" w:cs="Book Antiqua"/>
          <w:color w:val="000000"/>
        </w:rPr>
        <w:t xml:space="preserve">ff values for the above blood indicators were calculated and grouped using ROC curve analysis (Supplementary materials). A score of 0-2 was assigned according to the grouping as well as the correlation coefficient. The rules of the laboratory risk score for each blood indicator were shown in </w:t>
      </w:r>
      <w:r w:rsidR="000303CB" w:rsidRPr="00B52F73">
        <w:rPr>
          <w:rFonts w:ascii="Book Antiqua" w:eastAsia="Book Antiqua" w:hAnsi="Book Antiqua" w:cs="Book Antiqua"/>
          <w:color w:val="000000"/>
        </w:rPr>
        <w:t>T</w:t>
      </w:r>
      <w:r w:rsidRPr="00B52F73">
        <w:rPr>
          <w:rFonts w:ascii="Book Antiqua" w:eastAsia="Book Antiqua" w:hAnsi="Book Antiqua" w:cs="Book Antiqua"/>
          <w:color w:val="000000"/>
        </w:rPr>
        <w:t>able 3, and other situations not mentioned were all assigned a 0 score. The TLRS was the sum of the laboratory risk scores for all selected single blood indicators.</w:t>
      </w:r>
    </w:p>
    <w:p w14:paraId="08B4C9EE" w14:textId="4DF5FB47"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Using the FI-LB grouping (</w:t>
      </w:r>
      <w:r w:rsidR="00C82625" w:rsidRPr="00B52F73">
        <w:rPr>
          <w:rFonts w:ascii="Book Antiqua" w:eastAsia="Book Antiqua" w:hAnsi="Book Antiqua" w:cs="Book Antiqua"/>
          <w:color w:val="000000"/>
        </w:rPr>
        <w:t>c</w:t>
      </w:r>
      <w:r w:rsidRPr="00B52F73">
        <w:rPr>
          <w:rFonts w:ascii="Book Antiqua" w:eastAsia="Book Antiqua" w:hAnsi="Book Antiqua" w:cs="Book Antiqua"/>
          <w:color w:val="000000"/>
        </w:rPr>
        <w:t>ut-off</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24.892) as the state variable, the area under the curve is 0.848 (</w:t>
      </w:r>
      <w:r w:rsidR="00C82625" w:rsidRPr="00B52F73">
        <w:rPr>
          <w:rFonts w:ascii="Book Antiqua" w:eastAsia="Book Antiqua" w:hAnsi="Book Antiqua" w:cs="Book Antiqua"/>
          <w:i/>
          <w:iCs/>
          <w:color w:val="000000"/>
        </w:rPr>
        <w:t>P</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&lt;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 xml:space="preserve">0.001) for the </w:t>
      </w:r>
      <w:r w:rsidR="00C82625" w:rsidRPr="00B52F73">
        <w:rPr>
          <w:rFonts w:ascii="Book Antiqua" w:eastAsia="Book Antiqua" w:hAnsi="Book Antiqua" w:cs="Book Antiqua"/>
          <w:color w:val="000000"/>
        </w:rPr>
        <w:t>TLRS</w:t>
      </w:r>
      <w:r w:rsidRPr="00B52F73">
        <w:rPr>
          <w:rFonts w:ascii="Book Antiqua" w:eastAsia="Book Antiqua" w:hAnsi="Book Antiqua" w:cs="Book Antiqua"/>
          <w:color w:val="000000"/>
        </w:rPr>
        <w:t>. Sensitivity is 0.773, specificity is 0.885, 95%</w:t>
      </w:r>
      <w:r w:rsidR="00C82625" w:rsidRPr="00B52F73">
        <w:rPr>
          <w:rFonts w:ascii="Book Antiqua" w:eastAsia="Book Antiqua" w:hAnsi="Book Antiqua" w:cs="Book Antiqua"/>
          <w:color w:val="000000"/>
        </w:rPr>
        <w:t xml:space="preserve"> confidence interval</w:t>
      </w:r>
      <w:r w:rsidRPr="00B52F73">
        <w:rPr>
          <w:rFonts w:ascii="Book Antiqua" w:eastAsia="Book Antiqua" w:hAnsi="Book Antiqua" w:cs="Book Antiqua"/>
          <w:color w:val="000000"/>
        </w:rPr>
        <w:t>: 0.755-</w:t>
      </w:r>
      <w:r w:rsidR="00C82625" w:rsidRPr="00B52F73">
        <w:rPr>
          <w:rFonts w:ascii="Book Antiqua" w:eastAsia="Book Antiqua" w:hAnsi="Book Antiqua" w:cs="Book Antiqua"/>
          <w:color w:val="000000"/>
        </w:rPr>
        <w:t>0</w:t>
      </w:r>
      <w:r w:rsidRPr="00B52F73">
        <w:rPr>
          <w:rFonts w:ascii="Book Antiqua" w:eastAsia="Book Antiqua" w:hAnsi="Book Antiqua" w:cs="Book Antiqua"/>
          <w:color w:val="000000"/>
        </w:rPr>
        <w:t>.0941, cut-off point was 6.5. In patients with TRLS scores greater than 6.5, the timing and dose of ICG needed be adjusted (24 h) before laparoscopic hepatectomy because of low hepatic ICG clearance ability.</w:t>
      </w:r>
    </w:p>
    <w:p w14:paraId="1AB3718D" w14:textId="77777777" w:rsidR="00A77B3E" w:rsidRPr="00B52F73" w:rsidRDefault="00A77B3E" w:rsidP="00566FBC">
      <w:pPr>
        <w:spacing w:line="360" w:lineRule="auto"/>
        <w:jc w:val="both"/>
        <w:rPr>
          <w:rFonts w:ascii="Book Antiqua" w:hAnsi="Book Antiqua"/>
        </w:rPr>
      </w:pPr>
    </w:p>
    <w:p w14:paraId="7117E9A3"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aps/>
          <w:color w:val="000000"/>
          <w:u w:val="single"/>
        </w:rPr>
        <w:t>DISCUSSION</w:t>
      </w:r>
    </w:p>
    <w:p w14:paraId="3D6B13FE" w14:textId="735F9264"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With the widespread use of ICG fluorescence staining in hepatobiliary surgery, surgeons can more accurately delineate tumor margins and perform anatomic segmental resections</w:t>
      </w:r>
      <w:r w:rsidRPr="00B52F73">
        <w:rPr>
          <w:rFonts w:ascii="Book Antiqua" w:eastAsia="Book Antiqua" w:hAnsi="Book Antiqua" w:cs="Book Antiqua"/>
          <w:color w:val="000000"/>
          <w:vertAlign w:val="superscript"/>
        </w:rPr>
        <w:t>[13]</w:t>
      </w:r>
      <w:r w:rsidRPr="00B52F73">
        <w:rPr>
          <w:rFonts w:ascii="Book Antiqua" w:eastAsia="Book Antiqua" w:hAnsi="Book Antiqua" w:cs="Book Antiqua"/>
          <w:color w:val="000000"/>
        </w:rPr>
        <w:t>. Previous clinical studies have focused on analyzing the effects of ICG administration time and dose on fluorescence, while other factors associated with the overall staining effect have not been investigated</w:t>
      </w:r>
      <w:r w:rsidRPr="00B52F73">
        <w:rPr>
          <w:rFonts w:ascii="Book Antiqua" w:eastAsia="Book Antiqua" w:hAnsi="Book Antiqua" w:cs="Book Antiqua"/>
          <w:color w:val="000000"/>
          <w:vertAlign w:val="superscript"/>
        </w:rPr>
        <w:t>[14]</w:t>
      </w:r>
      <w:r w:rsidRPr="00B52F73">
        <w:rPr>
          <w:rFonts w:ascii="Book Antiqua" w:eastAsia="Book Antiqua" w:hAnsi="Book Antiqua" w:cs="Book Antiqua"/>
          <w:color w:val="000000"/>
        </w:rPr>
        <w:t xml:space="preserve">. In China, Liang </w:t>
      </w:r>
      <w:r w:rsidR="00C82625" w:rsidRPr="00B52F73">
        <w:rPr>
          <w:rFonts w:ascii="Book Antiqua" w:eastAsia="Book Antiqua" w:hAnsi="Book Antiqua" w:cs="Book Antiqua"/>
          <w:i/>
          <w:iCs/>
          <w:color w:val="000000"/>
        </w:rPr>
        <w:t>et al</w:t>
      </w:r>
      <w:r w:rsidR="00C82625" w:rsidRPr="00B52F73">
        <w:rPr>
          <w:rFonts w:ascii="Book Antiqua" w:eastAsia="Book Antiqua" w:hAnsi="Book Antiqua" w:cs="Book Antiqua"/>
          <w:color w:val="000000"/>
          <w:vertAlign w:val="superscript"/>
        </w:rPr>
        <w:t>[15]</w:t>
      </w:r>
      <w:r w:rsidRPr="00B52F73">
        <w:rPr>
          <w:rFonts w:ascii="Book Antiqua" w:eastAsia="Book Antiqua" w:hAnsi="Book Antiqua" w:cs="Book Antiqua"/>
          <w:color w:val="000000"/>
        </w:rPr>
        <w:t xml:space="preserve"> suggested that better tumor staining effects could be obtained based on the results of preoperative ICG R15 tests. Some scholars also pointed out that preoperative ICG administration for 0 to 3 or 4 to 7 d did not affect intraoperative fluorescence imaging</w:t>
      </w:r>
      <w:r w:rsidRPr="00B52F73">
        <w:rPr>
          <w:rFonts w:ascii="Book Antiqua" w:eastAsia="Book Antiqua" w:hAnsi="Book Antiqua" w:cs="Book Antiqua"/>
          <w:color w:val="000000"/>
          <w:vertAlign w:val="superscript"/>
        </w:rPr>
        <w:t>[16]</w:t>
      </w:r>
      <w:r w:rsidRPr="00B52F73">
        <w:rPr>
          <w:rFonts w:ascii="Book Antiqua" w:eastAsia="Book Antiqua" w:hAnsi="Book Antiqua" w:cs="Book Antiqua"/>
          <w:color w:val="000000"/>
        </w:rPr>
        <w:t>. In general, opinions on the specific ICG dosing regimen before laparoscopic hepatectomy were not yet standardized.</w:t>
      </w:r>
    </w:p>
    <w:p w14:paraId="4FEAC1D4" w14:textId="6780345E"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The main metabolic pathway of ICG in the body is blood-bile-feces. Studies have clarified the process of ICG uptake and metabolism in the liver. Normal hepatocytes can rapidly absorb ICG and completely excrete it from the biliary system in approximately 20 h</w:t>
      </w:r>
      <w:r w:rsidRPr="00B52F73">
        <w:rPr>
          <w:rFonts w:ascii="Book Antiqua" w:eastAsia="Book Antiqua" w:hAnsi="Book Antiqua" w:cs="Book Antiqua"/>
          <w:color w:val="000000"/>
          <w:vertAlign w:val="superscript"/>
        </w:rPr>
        <w:t>[17]</w:t>
      </w:r>
      <w:r w:rsidRPr="00B52F73">
        <w:rPr>
          <w:rFonts w:ascii="Book Antiqua" w:eastAsia="Book Antiqua" w:hAnsi="Book Antiqua" w:cs="Book Antiqua"/>
          <w:color w:val="000000"/>
        </w:rPr>
        <w:t xml:space="preserve">. Previous studies have shown that taurocholic acid cotransport polypeptide (NTCP) and organic anion transporting polypeptide 1B3 (OATP1B3), which are </w:t>
      </w:r>
      <w:r w:rsidRPr="00B52F73">
        <w:rPr>
          <w:rFonts w:ascii="Book Antiqua" w:eastAsia="Book Antiqua" w:hAnsi="Book Antiqua" w:cs="Book Antiqua"/>
          <w:color w:val="000000"/>
        </w:rPr>
        <w:lastRenderedPageBreak/>
        <w:t>expressed in adjacent normal liver cells or tumor cells, are involved in the uptake and excretion of ICG. Well-differentiated HCC cells with higher expression of the above-mentioned transporters can often show uniform cancer fluorescence, whereas poorly differentiated HCC cells and other types of non-HCC tumor cells usually have poor ICG uptake ability, so that the tumor itself shows little or no fluorescent signal in this area</w:t>
      </w:r>
      <w:r w:rsidRPr="00B52F73">
        <w:rPr>
          <w:rFonts w:ascii="Book Antiqua" w:eastAsia="Book Antiqua" w:hAnsi="Book Antiqua" w:cs="Book Antiqua"/>
          <w:color w:val="000000"/>
          <w:vertAlign w:val="superscript"/>
        </w:rPr>
        <w:t>[7]</w:t>
      </w:r>
      <w:r w:rsidRPr="00B52F73">
        <w:rPr>
          <w:rFonts w:ascii="Book Antiqua" w:eastAsia="Book Antiqua" w:hAnsi="Book Antiqua" w:cs="Book Antiqua"/>
          <w:color w:val="000000"/>
        </w:rPr>
        <w: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However, these tumors have a relatively intact capsule and swollen growth that compresses the peritumoral capillary bile ducts, resulting in impaired excretion of ICG, which is present in the liver tissue around the tumor, forming annular or sheet-like fluorescent rings or plaques. Patients undergoing liver surgery usually have cirrhosis and biliary obstruction, and the short-term use of ICG prior to surgery results in a high false positive rate of fluorescence. Although liver cirrhosis has been considered as an important factor affecting the quality of liver ICG staining, we found that many patients with severe liver cirrhosis (severe cirrhotic nodules in the surgical field) are not always accompanied by severe liver background fluorescence interference (ICG retention), there is no obvious linear relationship between the degree of macroscopic liver cirrhosis and the degree of liver background interference fluorescence, which may be related to the low dosage of our drug or the combination of other influencing factors. Therefore, the discovery and verification of other potential influencing factors affecting ICG metabolism in the liver is crucial for ICG in liver surgery, but there are no more related studies and discoveries.</w:t>
      </w:r>
    </w:p>
    <w:p w14:paraId="7C1AB196" w14:textId="72F558DE"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In addition to the main blood bile fecal pathway, ICG can also enter the lymphatic system through blood circulation</w:t>
      </w:r>
      <w:r w:rsidRPr="00B52F73">
        <w:rPr>
          <w:rFonts w:ascii="Book Antiqua" w:eastAsia="Book Antiqua" w:hAnsi="Book Antiqua" w:cs="Book Antiqua"/>
          <w:color w:val="000000"/>
          <w:vertAlign w:val="superscript"/>
        </w:rPr>
        <w:t>[18]</w:t>
      </w:r>
      <w:r w:rsidRPr="00B52F73">
        <w:rPr>
          <w:rFonts w:ascii="Book Antiqua" w:eastAsia="Book Antiqua" w:hAnsi="Book Antiqua" w:cs="Book Antiqua"/>
          <w:color w:val="000000"/>
        </w:rPr>
        <w:t>, playing a role in lymph node tracing in breast surgery</w:t>
      </w:r>
      <w:r w:rsidRPr="00B52F73">
        <w:rPr>
          <w:rFonts w:ascii="Book Antiqua" w:eastAsia="Book Antiqua" w:hAnsi="Book Antiqua" w:cs="Book Antiqua"/>
          <w:color w:val="000000"/>
          <w:vertAlign w:val="superscript"/>
        </w:rPr>
        <w:t>[19]</w:t>
      </w:r>
      <w:r w:rsidRPr="00B52F73">
        <w:rPr>
          <w:rFonts w:ascii="Book Antiqua" w:eastAsia="Book Antiqua" w:hAnsi="Book Antiqua" w:cs="Book Antiqua"/>
          <w:color w:val="000000"/>
        </w:rPr>
        <w:t>, gastrointestinal surgery</w:t>
      </w:r>
      <w:r w:rsidRPr="00B52F73">
        <w:rPr>
          <w:rFonts w:ascii="Book Antiqua" w:eastAsia="Book Antiqua" w:hAnsi="Book Antiqua" w:cs="Book Antiqua"/>
          <w:color w:val="000000"/>
          <w:vertAlign w:val="superscript"/>
        </w:rPr>
        <w:t>[20]</w:t>
      </w:r>
      <w:r w:rsidRPr="00B52F73">
        <w:rPr>
          <w:rFonts w:ascii="Book Antiqua" w:eastAsia="Book Antiqua" w:hAnsi="Book Antiqua" w:cs="Book Antiqua"/>
          <w:color w:val="000000"/>
        </w:rPr>
        <w:t>, and other procedures. However, as we all know</w:t>
      </w:r>
      <w:r w:rsidR="0034258F"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the capillary blood flow velocity in the circulatory system is much faster than that in the lymphatic system</w:t>
      </w:r>
      <w:r w:rsidRPr="00B52F73">
        <w:rPr>
          <w:rFonts w:ascii="Book Antiqua" w:eastAsia="Book Antiqua" w:hAnsi="Book Antiqua" w:cs="Book Antiqua"/>
          <w:color w:val="000000"/>
          <w:vertAlign w:val="superscript"/>
        </w:rPr>
        <w:t>[21]</w:t>
      </w:r>
      <w:r w:rsidRPr="00B52F73">
        <w:rPr>
          <w:rFonts w:ascii="Book Antiqua" w:eastAsia="Book Antiqua" w:hAnsi="Book Antiqua" w:cs="Book Antiqua"/>
          <w:color w:val="000000"/>
        </w:rPr>
        <w:t>, and the total protein content in the lymph is significantly lower than that in the blood</w:t>
      </w:r>
      <w:r w:rsidRPr="00B52F73">
        <w:rPr>
          <w:rFonts w:ascii="Book Antiqua" w:eastAsia="Book Antiqua" w:hAnsi="Book Antiqua" w:cs="Book Antiqua"/>
          <w:color w:val="000000"/>
          <w:vertAlign w:val="superscript"/>
        </w:rPr>
        <w:t>[22]</w:t>
      </w:r>
      <w:r w:rsidRPr="00B52F73">
        <w:rPr>
          <w:rFonts w:ascii="Book Antiqua" w:eastAsia="Book Antiqua" w:hAnsi="Book Antiqua" w:cs="Book Antiqua"/>
          <w:color w:val="000000"/>
        </w:rPr>
        <w:t>. This has an important influence on the binding degree and distribution of ICG and protein components in human body fluids. Therefore, when we apply small doses of ICG intravenously before surgery, there may be no obvious tracking effect on lymph nodes adjacent to the liver.</w:t>
      </w:r>
    </w:p>
    <w:p w14:paraId="271BC3F3" w14:textId="5E94EA6A"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lastRenderedPageBreak/>
        <w:t xml:space="preserve">Of note, we developed a novel TLRS scoring system that can be used to assess hepatic ICG clearance to identify cases with possible fluorescence interference prior to surgery. With an AUC of 0.848, a sensitivity of 0.773 and a specificity of 0.885 by ROC curve analysis, we believe that this scoring system has a good identification ability. It has a relatively important clinical application for f-hepatectomy patients who are prepared for initial tumor staining with ICG within 24 h or even 48 h before surgery in the clinic. Interestingly, the student </w:t>
      </w:r>
      <w:r w:rsidRPr="00B52F73">
        <w:rPr>
          <w:rFonts w:ascii="Book Antiqua" w:eastAsia="Book Antiqua" w:hAnsi="Book Antiqua" w:cs="Book Antiqua"/>
          <w:i/>
          <w:iCs/>
          <w:color w:val="000000"/>
        </w:rPr>
        <w:t>t</w:t>
      </w:r>
      <w:r w:rsidRPr="00B52F73">
        <w:rPr>
          <w:rFonts w:ascii="Book Antiqua" w:eastAsia="Book Antiqua" w:hAnsi="Book Antiqua" w:cs="Book Antiqua"/>
          <w:color w:val="000000"/>
        </w:rPr>
        <w:t>-test in this study also showed that patients with body mass index</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&gt;</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24 (overweight) and ≤</w:t>
      </w:r>
      <w:r w:rsidR="00C82625"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24 (normal weight/overweight) had no statistical difference between high and low FI-LB groups. Therefore, ICG administration based on body weight alone and ignoring other indicators may not be a wise option.</w:t>
      </w:r>
    </w:p>
    <w:p w14:paraId="6F390FE0" w14:textId="3A00B2FF"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Through this study, we found that the indicators with correlation with FI-LB and FI-T can be divided into two categories, which were liver injury and validation indicators, liver functional reserve and synthetic indicators. Among them, both LDH and GGT were shown, and they may be more closely related to the possible overall liver tumor staining. LDH is an important enzyme in the glycolytic process, and hepatocellular injury of any cause increases LDH levels</w:t>
      </w:r>
      <w:r w:rsidRPr="00B52F73">
        <w:rPr>
          <w:rFonts w:ascii="Book Antiqua" w:eastAsia="Book Antiqua" w:hAnsi="Book Antiqua" w:cs="Book Antiqua"/>
          <w:color w:val="000000"/>
          <w:vertAlign w:val="superscript"/>
        </w:rPr>
        <w:t>[23]</w:t>
      </w:r>
      <w:r w:rsidRPr="00B52F73">
        <w:rPr>
          <w:rFonts w:ascii="Book Antiqua" w:eastAsia="Book Antiqua" w:hAnsi="Book Antiqua" w:cs="Book Antiqua"/>
          <w:color w:val="000000"/>
        </w:rPr>
        <w:t>. Previous studies have shown that LDH5 is mainly expressed in the liver</w:t>
      </w:r>
      <w:r w:rsidRPr="00B52F73">
        <w:rPr>
          <w:rFonts w:ascii="Book Antiqua" w:eastAsia="Book Antiqua" w:hAnsi="Book Antiqua" w:cs="Book Antiqua"/>
          <w:color w:val="000000"/>
          <w:vertAlign w:val="superscript"/>
        </w:rPr>
        <w:t>[24]</w:t>
      </w:r>
      <w:r w:rsidRPr="00B52F73">
        <w:rPr>
          <w:rFonts w:ascii="Book Antiqua" w:eastAsia="Book Antiqua" w:hAnsi="Book Antiqua" w:cs="Book Antiqua"/>
          <w:color w:val="000000"/>
        </w:rPr>
        <w:t>. The rate of glycolysis is significantly higher in tumor tissue than in normal tissue, and serum LDH activity is significantly increased in patients with hepatocellular carcinoma</w:t>
      </w:r>
      <w:r w:rsidRPr="00B52F73">
        <w:rPr>
          <w:rFonts w:ascii="Book Antiqua" w:eastAsia="Book Antiqua" w:hAnsi="Book Antiqua" w:cs="Book Antiqua"/>
          <w:color w:val="000000"/>
          <w:vertAlign w:val="superscript"/>
        </w:rPr>
        <w:t>[25]</w:t>
      </w:r>
      <w:r w:rsidRPr="00B52F73">
        <w:rPr>
          <w:rFonts w:ascii="Book Antiqua" w:eastAsia="Book Antiqua" w:hAnsi="Book Antiqua" w:cs="Book Antiqua"/>
          <w:color w:val="000000"/>
        </w:rPr>
        <w:t>. The main source of serum GGT is the mitochondria of hepatocytes, and GGT is mainly secreted through the bile; elevated GGT levels reflect massive hepatocyte necrosis or bile duct obstruction</w:t>
      </w:r>
      <w:r w:rsidRPr="00B52F73">
        <w:rPr>
          <w:rFonts w:ascii="Book Antiqua" w:eastAsia="Book Antiqua" w:hAnsi="Book Antiqua" w:cs="Book Antiqua"/>
          <w:color w:val="000000"/>
          <w:vertAlign w:val="superscript"/>
        </w:rPr>
        <w:t>[26]</w:t>
      </w:r>
      <w:r w:rsidRPr="00B52F73">
        <w:rPr>
          <w:rFonts w:ascii="Book Antiqua" w:eastAsia="Book Antiqua" w:hAnsi="Book Antiqua" w:cs="Book Antiqua"/>
          <w:color w:val="000000"/>
        </w:rPr>
        <w:t>. AST and ALT are the most commonly used indicators for clinical assessment of liver function and are significantly elevated after hepatocellular injury; ADA is also an important enzyme responsible for purine nucleotide metabolism, catalyzing the formation of hypoxanthine from purine nucleotides, in autoimmune hepatitis. C</w:t>
      </w:r>
      <w:r w:rsidR="00C82625" w:rsidRPr="00B52F73">
        <w:rPr>
          <w:rFonts w:ascii="Book Antiqua" w:eastAsia="Book Antiqua" w:hAnsi="Book Antiqua" w:cs="Book Antiqua"/>
          <w:color w:val="000000"/>
        </w:rPr>
        <w:t xml:space="preserve">HE </w:t>
      </w:r>
      <w:r w:rsidRPr="00B52F73">
        <w:rPr>
          <w:rFonts w:ascii="Book Antiqua" w:eastAsia="Book Antiqua" w:hAnsi="Book Antiqua" w:cs="Book Antiqua"/>
          <w:color w:val="000000"/>
        </w:rPr>
        <w:t>is a hydrolase with a half-life of 10 d, is synthesised and secreted by the liver, and can be used as a direct indicator of reserve liver function and synthetic capacity</w:t>
      </w:r>
      <w:r w:rsidRPr="00B52F73">
        <w:rPr>
          <w:rFonts w:ascii="Book Antiqua" w:eastAsia="Book Antiqua" w:hAnsi="Book Antiqua" w:cs="Book Antiqua"/>
          <w:color w:val="000000"/>
          <w:vertAlign w:val="superscript"/>
        </w:rPr>
        <w:t>[27]</w:t>
      </w:r>
      <w:r w:rsidRPr="00B52F73">
        <w:rPr>
          <w:rFonts w:ascii="Book Antiqua" w:eastAsia="Book Antiqua" w:hAnsi="Book Antiqua" w:cs="Book Antiqua"/>
          <w:color w:val="000000"/>
        </w:rPr>
        <w:t xml:space="preserve">. RBC was another independent influencing factor in addition to LDH, which was negatively correlated with FI-LB. It may be related to increased ICG metabolism in the liver due to increased ICG and hemoglobin binding. Notably, APTT may be limited by sample size issues in the analysis of correlation with </w:t>
      </w:r>
      <w:r w:rsidRPr="00B52F73">
        <w:rPr>
          <w:rFonts w:ascii="Book Antiqua" w:eastAsia="Book Antiqua" w:hAnsi="Book Antiqua" w:cs="Book Antiqua"/>
          <w:color w:val="000000"/>
        </w:rPr>
        <w:lastRenderedPageBreak/>
        <w:t>FI-LB and did not show statistical significance in</w:t>
      </w:r>
      <w:r w:rsidR="00623E7B" w:rsidRPr="00B52F73">
        <w:rPr>
          <w:rFonts w:ascii="Book Antiqua" w:eastAsia="Book Antiqua" w:hAnsi="Book Antiqua" w:cs="Book Antiqua"/>
          <w:color w:val="000000"/>
        </w:rPr>
        <w:t xml:space="preserve"> the</w:t>
      </w:r>
      <w:r w:rsidRPr="00B52F73">
        <w:rPr>
          <w:rFonts w:ascii="Book Antiqua" w:eastAsia="Book Antiqua" w:hAnsi="Book Antiqua" w:cs="Book Antiqua"/>
          <w:color w:val="000000"/>
        </w:rPr>
        <w:t xml:space="preserve"> present analysis (</w:t>
      </w:r>
      <w:r w:rsidRPr="00B52F73">
        <w:rPr>
          <w:rFonts w:ascii="Book Antiqua" w:eastAsia="Book Antiqua" w:hAnsi="Book Antiqua" w:cs="Book Antiqua"/>
          <w:i/>
          <w:iCs/>
          <w:color w:val="000000"/>
        </w:rPr>
        <w:t>P</w:t>
      </w:r>
      <w:r w:rsidRPr="00B52F73">
        <w:rPr>
          <w:rFonts w:ascii="Book Antiqua" w:eastAsia="Book Antiqua" w:hAnsi="Book Antiqua" w:cs="Book Antiqua"/>
          <w:color w:val="000000"/>
        </w:rPr>
        <w:t xml:space="preserve"> = 0.063), but there was a phase relationship in the correlation analysis with FI-T (</w:t>
      </w:r>
      <w:r w:rsidRPr="00B52F73">
        <w:rPr>
          <w:rFonts w:ascii="Book Antiqua" w:eastAsia="Book Antiqua" w:hAnsi="Book Antiqua" w:cs="Book Antiqua"/>
          <w:i/>
          <w:iCs/>
          <w:color w:val="000000"/>
        </w:rPr>
        <w:t>P</w:t>
      </w:r>
      <w:r w:rsidRPr="00B52F73">
        <w:rPr>
          <w:rFonts w:ascii="Book Antiqua" w:eastAsia="Book Antiqua" w:hAnsi="Book Antiqua" w:cs="Book Antiqua"/>
          <w:color w:val="000000"/>
        </w:rPr>
        <w:t xml:space="preserve"> = 0.007), which may also be a potential indicator that can be used to predict the effect of liver staining. As for FIG, the main relevant indicators were erythrocyte count, hemoglobin, and C</w:t>
      </w:r>
      <w:r w:rsidR="00F6726C" w:rsidRPr="00B52F73">
        <w:rPr>
          <w:rFonts w:ascii="Book Antiqua" w:eastAsia="Book Antiqua" w:hAnsi="Book Antiqua" w:cs="Book Antiqua"/>
          <w:color w:val="000000"/>
        </w:rPr>
        <w:t>HE</w:t>
      </w:r>
      <w:r w:rsidRPr="00B52F73">
        <w:rPr>
          <w:rFonts w:ascii="Book Antiqua" w:eastAsia="Book Antiqua" w:hAnsi="Book Antiqua" w:cs="Book Antiqua"/>
          <w:color w:val="000000"/>
        </w:rPr>
        <w:t xml:space="preserve"> (the liver reserve indicator), suggesting that gallbladder fluorescence intensity is more closely related to the synthetic function of the liver. Tbil and </w:t>
      </w:r>
      <w:r w:rsidR="00566FBC" w:rsidRPr="00B52F73">
        <w:rPr>
          <w:rFonts w:ascii="Book Antiqua" w:eastAsia="Book Antiqua" w:hAnsi="Book Antiqua" w:cs="Book Antiqua"/>
          <w:color w:val="000000"/>
        </w:rPr>
        <w:t>direct bilirubin (</w:t>
      </w:r>
      <w:r w:rsidRPr="00B52F73">
        <w:rPr>
          <w:rFonts w:ascii="Book Antiqua" w:eastAsia="Book Antiqua" w:hAnsi="Book Antiqua" w:cs="Book Antiqua"/>
          <w:color w:val="000000"/>
        </w:rPr>
        <w:t>Dbil</w:t>
      </w:r>
      <w:r w:rsidR="00566FBC"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are blood indicators closely related to bile excretion and obstruction. However, no correlation between Tbil, Dbil and FI-T, FI-LB was observed in our study, and no correlation was found in FI-G analysis, which may be related to the insufficient sample size of ICG used in this study and the small dose of ICG used, because the main object of our current study was the underlying staining of preoperative liver tumor lesions, and the main object was not bile staining.</w:t>
      </w:r>
    </w:p>
    <w:p w14:paraId="7B22F2F7" w14:textId="2B2766E6"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Our study demonstrated the feasibility of low-dose and short-interval (24 h) ICG administration for basal staining of liver tumors/</w:t>
      </w:r>
      <w:r w:rsidR="00F6726C" w:rsidRPr="00B52F73">
        <w:rPr>
          <w:rFonts w:ascii="Book Antiqua" w:eastAsia="Book Antiqua" w:hAnsi="Book Antiqua" w:cs="Book Antiqua"/>
          <w:color w:val="000000"/>
        </w:rPr>
        <w:t>l</w:t>
      </w:r>
      <w:r w:rsidRPr="00B52F73">
        <w:rPr>
          <w:rFonts w:ascii="Book Antiqua" w:eastAsia="Book Antiqua" w:hAnsi="Book Antiqua" w:cs="Book Antiqua"/>
          <w:color w:val="000000"/>
        </w:rPr>
        <w:t xml:space="preserve">esions. Notably, the present study has the following unavoidable limitations: (1) </w:t>
      </w:r>
      <w:r w:rsidR="00F6726C" w:rsidRPr="00B52F73">
        <w:rPr>
          <w:rFonts w:ascii="Book Antiqua" w:eastAsia="Book Antiqua" w:hAnsi="Book Antiqua" w:cs="Book Antiqua"/>
          <w:color w:val="000000"/>
        </w:rPr>
        <w:t>T</w:t>
      </w:r>
      <w:r w:rsidRPr="00B52F73">
        <w:rPr>
          <w:rFonts w:ascii="Book Antiqua" w:eastAsia="Book Antiqua" w:hAnsi="Book Antiqua" w:cs="Book Antiqua"/>
          <w:color w:val="000000"/>
        </w:rPr>
        <w:t xml:space="preserve">he sample size was not large enough to allow subgroup analysis based on tumor or lesion type, and other ICG dose controls were not used for comparison, which should be improved in future studies; (2) </w:t>
      </w:r>
      <w:r w:rsidR="00F6726C" w:rsidRPr="00B52F73">
        <w:rPr>
          <w:rFonts w:ascii="Book Antiqua" w:eastAsia="Book Antiqua" w:hAnsi="Book Antiqua" w:cs="Book Antiqua"/>
          <w:color w:val="000000"/>
        </w:rPr>
        <w:t>O</w:t>
      </w:r>
      <w:r w:rsidRPr="00B52F73">
        <w:rPr>
          <w:rFonts w:ascii="Book Antiqua" w:eastAsia="Book Antiqua" w:hAnsi="Book Antiqua" w:cs="Book Antiqua"/>
          <w:color w:val="000000"/>
        </w:rPr>
        <w:t xml:space="preserve">nly a few preoperative blood indicators were included in this study, tumor indicators and other potentially relevant blood indicators were not fully included; Therefore, the predictive power of the model was insufficient; (3) </w:t>
      </w:r>
      <w:r w:rsidR="00F6726C" w:rsidRPr="00B52F73">
        <w:rPr>
          <w:rFonts w:ascii="Book Antiqua" w:eastAsia="Book Antiqua" w:hAnsi="Book Antiqua" w:cs="Book Antiqua"/>
          <w:color w:val="000000"/>
        </w:rPr>
        <w:t>A</w:t>
      </w:r>
      <w:r w:rsidRPr="00B52F73">
        <w:rPr>
          <w:rFonts w:ascii="Book Antiqua" w:eastAsia="Book Antiqua" w:hAnsi="Book Antiqua" w:cs="Book Antiqua"/>
          <w:color w:val="000000"/>
        </w:rPr>
        <w:t xml:space="preserve">ll patients enrolled in this study had Child-Pugh grade A or B liver function assessment, and those with inoperable Child-Pugh grade C were not enrolled; therefore, we were unable to obtain fluorescence images of their livers </w:t>
      </w:r>
      <w:r w:rsidRPr="00B52F73">
        <w:rPr>
          <w:rFonts w:ascii="Book Antiqua" w:eastAsia="Book Antiqua" w:hAnsi="Book Antiqua" w:cs="Book Antiqua"/>
          <w:i/>
          <w:iCs/>
          <w:color w:val="000000"/>
        </w:rPr>
        <w:t>via</w:t>
      </w:r>
      <w:r w:rsidRPr="00B52F73">
        <w:rPr>
          <w:rFonts w:ascii="Book Antiqua" w:eastAsia="Book Antiqua" w:hAnsi="Book Antiqua" w:cs="Book Antiqua"/>
          <w:color w:val="000000"/>
        </w:rPr>
        <w:t xml:space="preserve"> the surgical route</w:t>
      </w:r>
      <w:r w:rsidR="00F6726C" w:rsidRPr="00B52F73">
        <w:rPr>
          <w:rFonts w:ascii="Book Antiqua" w:eastAsia="Book Antiqua" w:hAnsi="Book Antiqua" w:cs="Book Antiqua"/>
          <w:color w:val="000000"/>
        </w:rPr>
        <w:t>; and</w:t>
      </w:r>
      <w:r w:rsidRPr="00B52F73">
        <w:rPr>
          <w:rFonts w:ascii="Book Antiqua" w:eastAsia="Book Antiqua" w:hAnsi="Book Antiqua" w:cs="Book Antiqua"/>
          <w:color w:val="000000"/>
        </w:rPr>
        <w:t xml:space="preserve"> (4) We still lack a specific and scientific staining scoring system. In the study, we only take the average fluorescence intensity as the main object of analysis and do not include other important parameters such as the area of staining. A bias was observed in the overall patient selection. In addition, with the deepening of imaging research, it has been pointed out that the degree of liver cirrhosis can be evaluated by</w:t>
      </w:r>
      <w:r w:rsidR="007D4DDE" w:rsidRPr="00B52F73">
        <w:rPr>
          <w:rFonts w:ascii="Book Antiqua" w:eastAsia="Book Antiqua" w:hAnsi="Book Antiqua" w:cs="Book Antiqua"/>
          <w:color w:val="000000"/>
        </w:rPr>
        <w:t xml:space="preserve"> the</w:t>
      </w:r>
      <w:r w:rsidRPr="00B52F73">
        <w:rPr>
          <w:rFonts w:ascii="Book Antiqua" w:eastAsia="Book Antiqua" w:hAnsi="Book Antiqua" w:cs="Book Antiqua"/>
          <w:color w:val="000000"/>
        </w:rPr>
        <w:t xml:space="preserve"> functional liver imaging score. In the follow-up study, we can combine imaging scores, laboratory blood indicators and other clinical information to </w:t>
      </w:r>
      <w:r w:rsidRPr="00B52F73">
        <w:rPr>
          <w:rFonts w:ascii="Book Antiqua" w:eastAsia="Book Antiqua" w:hAnsi="Book Antiqua" w:cs="Book Antiqua"/>
          <w:color w:val="000000"/>
        </w:rPr>
        <w:lastRenderedPageBreak/>
        <w:t>establish a more complete prediction model of fluorescence staining effect and improve the overall predictive ability of the model.</w:t>
      </w:r>
    </w:p>
    <w:p w14:paraId="06CFF1D5" w14:textId="64E6C739" w:rsidR="00A77B3E" w:rsidRPr="00B52F73" w:rsidRDefault="00423C16" w:rsidP="00566FBC">
      <w:pPr>
        <w:spacing w:line="360" w:lineRule="auto"/>
        <w:ind w:firstLine="240"/>
        <w:jc w:val="both"/>
        <w:rPr>
          <w:rFonts w:ascii="Book Antiqua" w:hAnsi="Book Antiqua"/>
        </w:rPr>
      </w:pPr>
      <w:r w:rsidRPr="00B52F73">
        <w:rPr>
          <w:rFonts w:ascii="Book Antiqua" w:eastAsia="Book Antiqua" w:hAnsi="Book Antiqua" w:cs="Book Antiqua"/>
          <w:color w:val="000000"/>
        </w:rPr>
        <w:t>Compared with the results of previous relevant studies, a preoperative 5 mg</w:t>
      </w:r>
      <w:r w:rsidR="00F6726C" w:rsidRPr="00B52F73">
        <w:rPr>
          <w:rFonts w:ascii="Book Antiqua" w:eastAsia="Book Antiqua" w:hAnsi="Book Antiqua" w:cs="Book Antiqua"/>
          <w:color w:val="000000"/>
        </w:rPr>
        <w:t>/</w:t>
      </w:r>
      <w:r w:rsidRPr="00B52F73">
        <w:rPr>
          <w:rFonts w:ascii="Book Antiqua" w:eastAsia="Book Antiqua" w:hAnsi="Book Antiqua" w:cs="Book Antiqua"/>
          <w:color w:val="000000"/>
        </w:rPr>
        <w:t>d regimen was ideal for most ICG-guided laparoscopic procedures for hepatic tumors/lesions. However, a higher dose may be required to achieve better results when used for clear fluorescence visualization of the gallbladder and biliary tract. Several factors affect the fluorescence effect of ICG-guided laparoscopic liver surgery. Preoperative blood indicators can be used as a useful tool to predict different intraoperative fluorescence characteristics and to guide the adjustment of the ICG dosing regimen for better overall staining results.</w:t>
      </w:r>
    </w:p>
    <w:p w14:paraId="727D34D8" w14:textId="77777777" w:rsidR="00A77B3E" w:rsidRPr="00B52F73" w:rsidRDefault="00A77B3E" w:rsidP="00566FBC">
      <w:pPr>
        <w:spacing w:line="360" w:lineRule="auto"/>
        <w:jc w:val="both"/>
        <w:rPr>
          <w:rFonts w:ascii="Book Antiqua" w:hAnsi="Book Antiqua"/>
        </w:rPr>
      </w:pPr>
    </w:p>
    <w:p w14:paraId="486132B6"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aps/>
          <w:color w:val="000000"/>
          <w:u w:val="single"/>
        </w:rPr>
        <w:t>CONCLUSION</w:t>
      </w:r>
    </w:p>
    <w:p w14:paraId="53E34DDA"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Preoperative blood laboratory indexes can potentially predict indicators of liver background fluorescence intensity in ICG-guided laparoscopic hepatectomy. Surgeons can adjust the preoperative drug regimen of liver ICG based on preoperative blood indexes to reduce intraoperative fluorescence interference and achieve a more satisfactory tumor fluorescence staining effect.</w:t>
      </w:r>
    </w:p>
    <w:p w14:paraId="522E86F3" w14:textId="77777777" w:rsidR="00A77B3E" w:rsidRPr="00B52F73" w:rsidRDefault="00A77B3E" w:rsidP="00566FBC">
      <w:pPr>
        <w:spacing w:line="360" w:lineRule="auto"/>
        <w:jc w:val="both"/>
        <w:rPr>
          <w:rFonts w:ascii="Book Antiqua" w:hAnsi="Book Antiqua"/>
        </w:rPr>
      </w:pPr>
    </w:p>
    <w:p w14:paraId="5DFC018D"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aps/>
          <w:color w:val="000000"/>
          <w:u w:val="single"/>
        </w:rPr>
        <w:t>ARTICLE HIGHLIGHTS</w:t>
      </w:r>
    </w:p>
    <w:p w14:paraId="27D45FEE"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i/>
          <w:color w:val="000000"/>
        </w:rPr>
        <w:t>Research background</w:t>
      </w:r>
    </w:p>
    <w:p w14:paraId="197101E8" w14:textId="44E7B888"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 xml:space="preserve">The preoperative regimen of </w:t>
      </w:r>
      <w:r w:rsidR="00023F6C" w:rsidRPr="00B52F73">
        <w:rPr>
          <w:rFonts w:ascii="Book Antiqua" w:eastAsia="Book Antiqua" w:hAnsi="Book Antiqua" w:cs="Book Antiqua"/>
          <w:color w:val="000000"/>
        </w:rPr>
        <w:t>indocyanine green (</w:t>
      </w:r>
      <w:r w:rsidRPr="00B52F73">
        <w:rPr>
          <w:rFonts w:ascii="Book Antiqua" w:eastAsia="Book Antiqua" w:hAnsi="Book Antiqua" w:cs="Book Antiqua"/>
          <w:color w:val="000000"/>
        </w:rPr>
        <w:t>ICG</w:t>
      </w:r>
      <w:r w:rsidR="00023F6C" w:rsidRPr="00B52F73">
        <w:rPr>
          <w:rFonts w:ascii="Book Antiqua" w:eastAsia="Book Antiqua" w:hAnsi="Book Antiqua" w:cs="Book Antiqua"/>
          <w:color w:val="000000"/>
        </w:rPr>
        <w:t>)</w:t>
      </w:r>
      <w:r w:rsidRPr="00B52F73">
        <w:rPr>
          <w:rFonts w:ascii="Book Antiqua" w:eastAsia="Book Antiqua" w:hAnsi="Book Antiqua" w:cs="Book Antiqua"/>
          <w:color w:val="000000"/>
        </w:rPr>
        <w:t xml:space="preserve"> administration in laparoscopic hepatectomy was still controversial. Factors associated with tumor fluorescence staining effect were unclear.</w:t>
      </w:r>
    </w:p>
    <w:p w14:paraId="1F62EFF5" w14:textId="77777777" w:rsidR="00A77B3E" w:rsidRPr="00B52F73" w:rsidRDefault="00A77B3E" w:rsidP="00566FBC">
      <w:pPr>
        <w:spacing w:line="360" w:lineRule="auto"/>
        <w:jc w:val="both"/>
        <w:rPr>
          <w:rFonts w:ascii="Book Antiqua" w:hAnsi="Book Antiqua"/>
        </w:rPr>
      </w:pPr>
    </w:p>
    <w:p w14:paraId="319C593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i/>
          <w:color w:val="000000"/>
        </w:rPr>
        <w:t>Research motivation</w:t>
      </w:r>
    </w:p>
    <w:p w14:paraId="5616F981"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Establish a novel laboratory scoring system to screen specifical patients who need ICG dose adjustment.</w:t>
      </w:r>
    </w:p>
    <w:p w14:paraId="4A6EACFE" w14:textId="77777777" w:rsidR="00A77B3E" w:rsidRPr="00B52F73" w:rsidRDefault="00A77B3E" w:rsidP="00566FBC">
      <w:pPr>
        <w:spacing w:line="360" w:lineRule="auto"/>
        <w:jc w:val="both"/>
        <w:rPr>
          <w:rFonts w:ascii="Book Antiqua" w:hAnsi="Book Antiqua"/>
        </w:rPr>
      </w:pPr>
    </w:p>
    <w:p w14:paraId="12EF7207"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i/>
          <w:color w:val="000000"/>
        </w:rPr>
        <w:t>Research objectives</w:t>
      </w:r>
    </w:p>
    <w:p w14:paraId="308DE743" w14:textId="5A1B95A3" w:rsidR="00A77B3E" w:rsidRPr="00B52F73" w:rsidRDefault="00AC60B6" w:rsidP="00566FBC">
      <w:pPr>
        <w:spacing w:line="360" w:lineRule="auto"/>
        <w:jc w:val="both"/>
        <w:rPr>
          <w:rFonts w:ascii="Book Antiqua" w:eastAsia="Book Antiqua" w:hAnsi="Book Antiqua" w:cs="Book Antiqua"/>
          <w:color w:val="000000"/>
        </w:rPr>
      </w:pPr>
      <w:r w:rsidRPr="00B52F73">
        <w:rPr>
          <w:rFonts w:ascii="Book Antiqua" w:eastAsia="Book Antiqua" w:hAnsi="Book Antiqua" w:cs="Book Antiqua"/>
          <w:color w:val="000000"/>
        </w:rPr>
        <w:lastRenderedPageBreak/>
        <w:t>Establish a risk model that can predict the effect of liver ICG preoperative staining through clinical indicators, and reduce the probability of ICG staining failure events.</w:t>
      </w:r>
    </w:p>
    <w:p w14:paraId="3C914F19" w14:textId="77777777" w:rsidR="00566FBC" w:rsidRPr="00B52F73" w:rsidRDefault="00566FBC" w:rsidP="00566FBC">
      <w:pPr>
        <w:spacing w:line="360" w:lineRule="auto"/>
        <w:jc w:val="both"/>
        <w:rPr>
          <w:rFonts w:ascii="Book Antiqua" w:hAnsi="Book Antiqua"/>
        </w:rPr>
      </w:pPr>
    </w:p>
    <w:p w14:paraId="4EEDB268"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i/>
          <w:color w:val="000000"/>
        </w:rPr>
        <w:t>Research methods</w:t>
      </w:r>
    </w:p>
    <w:p w14:paraId="0FE21B0C" w14:textId="2D29745F"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All enrolled patients received 5</w:t>
      </w:r>
      <w:r w:rsidR="00F672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mg ICG 24 h before laparoscopic hepatectomy, then investigate the predictive indicators of ICG fluorescence characteristics and established a laboratory risk model to identify individuals at high risk for high liver background fluorescence.</w:t>
      </w:r>
    </w:p>
    <w:p w14:paraId="703457F9" w14:textId="77777777" w:rsidR="00A77B3E" w:rsidRPr="00B52F73" w:rsidRDefault="00A77B3E" w:rsidP="00566FBC">
      <w:pPr>
        <w:spacing w:line="360" w:lineRule="auto"/>
        <w:jc w:val="both"/>
        <w:rPr>
          <w:rFonts w:ascii="Book Antiqua" w:hAnsi="Book Antiqua"/>
        </w:rPr>
      </w:pPr>
    </w:p>
    <w:p w14:paraId="231FE9A3"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i/>
          <w:color w:val="000000"/>
        </w:rPr>
        <w:t>Research results</w:t>
      </w:r>
    </w:p>
    <w:p w14:paraId="1A52E790" w14:textId="56FA412A"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color w:val="000000"/>
        </w:rPr>
        <w:t xml:space="preserve">Pre-operative </w:t>
      </w:r>
      <w:r w:rsidR="00023F6C" w:rsidRPr="00B52F73">
        <w:rPr>
          <w:rFonts w:ascii="Book Antiqua" w:eastAsia="Book Antiqua" w:hAnsi="Book Antiqua" w:cs="Book Antiqua"/>
        </w:rPr>
        <w:t>aspartate aminotransferase, alanine aminotransferase, gamma-glutamyl transpeptidase</w:t>
      </w:r>
      <w:r w:rsidRPr="00B52F73">
        <w:rPr>
          <w:rFonts w:ascii="Book Antiqua" w:eastAsia="Book Antiqua" w:hAnsi="Book Antiqua" w:cs="Book Antiqua"/>
          <w:color w:val="000000"/>
        </w:rPr>
        <w:t xml:space="preserve">, </w:t>
      </w:r>
      <w:r w:rsidR="00023F6C" w:rsidRPr="00B52F73">
        <w:rPr>
          <w:rFonts w:ascii="Book Antiqua" w:eastAsia="Book Antiqua" w:hAnsi="Book Antiqua" w:cs="Book Antiqua"/>
        </w:rPr>
        <w:t>adenosine deaminase</w:t>
      </w:r>
      <w:r w:rsidRPr="00B52F73">
        <w:rPr>
          <w:rFonts w:ascii="Book Antiqua" w:eastAsia="Book Antiqua" w:hAnsi="Book Antiqua" w:cs="Book Antiqua"/>
          <w:color w:val="000000"/>
        </w:rPr>
        <w:t xml:space="preserve">, and </w:t>
      </w:r>
      <w:r w:rsidR="00023F6C" w:rsidRPr="00B52F73">
        <w:rPr>
          <w:rFonts w:ascii="Book Antiqua" w:eastAsia="Book Antiqua" w:hAnsi="Book Antiqua" w:cs="Book Antiqua"/>
        </w:rPr>
        <w:t>lactate dehydrogenase</w:t>
      </w:r>
      <w:r w:rsidRPr="00B52F73">
        <w:rPr>
          <w:rFonts w:ascii="Book Antiqua" w:eastAsia="Book Antiqua" w:hAnsi="Book Antiqua" w:cs="Book Antiqua"/>
          <w:color w:val="000000"/>
        </w:rPr>
        <w:t xml:space="preserve"> were positively associated with fluorescence intensity of background liver (FI-LB) and pre-operative </w:t>
      </w:r>
      <w:r w:rsidR="00566FBC" w:rsidRPr="00B52F73">
        <w:rPr>
          <w:rFonts w:ascii="Book Antiqua" w:eastAsia="Book Antiqua" w:hAnsi="Book Antiqua" w:cs="Book Antiqua"/>
          <w:color w:val="000000"/>
        </w:rPr>
        <w:t>red blood cell</w:t>
      </w:r>
      <w:r w:rsidRPr="00B52F73">
        <w:rPr>
          <w:rFonts w:ascii="Book Antiqua" w:eastAsia="Book Antiqua" w:hAnsi="Book Antiqua" w:cs="Book Antiqua"/>
          <w:color w:val="000000"/>
        </w:rPr>
        <w:t xml:space="preserve">, </w:t>
      </w:r>
      <w:r w:rsidR="00354A63" w:rsidRPr="00B52F73">
        <w:rPr>
          <w:rFonts w:ascii="Book Antiqua" w:eastAsia="Book Antiqua" w:hAnsi="Book Antiqua" w:cs="Book Antiqua"/>
        </w:rPr>
        <w:t>cholinesterase</w:t>
      </w:r>
      <w:r w:rsidRPr="00B52F73">
        <w:rPr>
          <w:rFonts w:ascii="Book Antiqua" w:eastAsia="Book Antiqua" w:hAnsi="Book Antiqua" w:cs="Book Antiqua"/>
          <w:color w:val="000000"/>
        </w:rPr>
        <w:t xml:space="preserve">, and were negatively associated with FI-LB. Total laboratory risk score (TLRS) was calculated according to </w:t>
      </w:r>
      <w:r w:rsidR="00F6726C" w:rsidRPr="00B52F73">
        <w:rPr>
          <w:rFonts w:ascii="Book Antiqua" w:eastAsia="Book Antiqua" w:hAnsi="Book Antiqua" w:cs="Book Antiqua"/>
          <w:color w:val="000000"/>
        </w:rPr>
        <w:t>receiver operating characteristic (ROC)</w:t>
      </w:r>
      <w:r w:rsidRPr="00B52F73">
        <w:rPr>
          <w:rFonts w:ascii="Book Antiqua" w:eastAsia="Book Antiqua" w:hAnsi="Book Antiqua" w:cs="Book Antiqua"/>
          <w:color w:val="000000"/>
        </w:rPr>
        <w:t xml:space="preserve"> curve </w:t>
      </w:r>
      <w:r w:rsidR="00F6726C" w:rsidRPr="00B52F73">
        <w:rPr>
          <w:rFonts w:ascii="Book Antiqua" w:eastAsia="Book Antiqua" w:hAnsi="Book Antiqua" w:cs="Book Antiqua"/>
          <w:color w:val="000000"/>
        </w:rPr>
        <w:t xml:space="preserve">[area under the ROC curve (AUC) </w:t>
      </w:r>
      <w:r w:rsidRPr="00B52F73">
        <w:rPr>
          <w:rFonts w:ascii="Book Antiqua" w:eastAsia="Book Antiqua" w:hAnsi="Book Antiqua" w:cs="Book Antiqua"/>
          <w:color w:val="000000"/>
        </w:rPr>
        <w:t>=</w:t>
      </w:r>
      <w:r w:rsidR="00F672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 xml:space="preserve">0.848, </w:t>
      </w:r>
      <w:r w:rsidR="00F6726C" w:rsidRPr="00B52F73">
        <w:rPr>
          <w:rFonts w:ascii="Book Antiqua" w:eastAsia="Book Antiqua" w:hAnsi="Book Antiqua" w:cs="Book Antiqua"/>
          <w:color w:val="000000"/>
        </w:rPr>
        <w:t>s</w:t>
      </w:r>
      <w:r w:rsidRPr="00B52F73">
        <w:rPr>
          <w:rFonts w:ascii="Book Antiqua" w:eastAsia="Book Antiqua" w:hAnsi="Book Antiqua" w:cs="Book Antiqua"/>
          <w:color w:val="000000"/>
        </w:rPr>
        <w:t>ensitivity</w:t>
      </w:r>
      <w:r w:rsidR="00F672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w:t>
      </w:r>
      <w:r w:rsidR="00F672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0.773, specificity</w:t>
      </w:r>
      <w:r w:rsidR="00F672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w:t>
      </w:r>
      <w:r w:rsidR="00F6726C" w:rsidRPr="00B52F73">
        <w:rPr>
          <w:rFonts w:ascii="Book Antiqua" w:eastAsia="Book Antiqua" w:hAnsi="Book Antiqua" w:cs="Book Antiqua"/>
          <w:color w:val="000000"/>
        </w:rPr>
        <w:t xml:space="preserve"> </w:t>
      </w:r>
      <w:r w:rsidRPr="00B52F73">
        <w:rPr>
          <w:rFonts w:ascii="Book Antiqua" w:eastAsia="Book Antiqua" w:hAnsi="Book Antiqua" w:cs="Book Antiqua"/>
          <w:color w:val="000000"/>
        </w:rPr>
        <w:t>0.885</w:t>
      </w:r>
      <w:r w:rsidR="00F6726C" w:rsidRPr="00B52F73">
        <w:rPr>
          <w:rFonts w:ascii="Book Antiqua" w:eastAsia="Book Antiqua" w:hAnsi="Book Antiqua" w:cs="Book Antiqua"/>
          <w:color w:val="000000"/>
        </w:rPr>
        <w:t>]</w:t>
      </w:r>
      <w:r w:rsidRPr="00B52F73">
        <w:rPr>
          <w:rFonts w:ascii="Book Antiqua" w:eastAsia="Book Antiqua" w:hAnsi="Book Antiqua" w:cs="Book Antiqua"/>
          <w:color w:val="000000"/>
        </w:rPr>
        <w:t>. When TLRS was greater than 6.5, the liver clearance ability of ICG was considered as poor.</w:t>
      </w:r>
    </w:p>
    <w:p w14:paraId="798A2E84" w14:textId="77777777" w:rsidR="00A77B3E" w:rsidRPr="00B52F73" w:rsidRDefault="00A77B3E" w:rsidP="00566FBC">
      <w:pPr>
        <w:spacing w:line="360" w:lineRule="auto"/>
        <w:jc w:val="both"/>
        <w:rPr>
          <w:rFonts w:ascii="Book Antiqua" w:hAnsi="Book Antiqua"/>
        </w:rPr>
      </w:pPr>
    </w:p>
    <w:p w14:paraId="4527686D"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i/>
          <w:color w:val="000000"/>
        </w:rPr>
        <w:t>Research conclusions</w:t>
      </w:r>
    </w:p>
    <w:p w14:paraId="46110DDC" w14:textId="55593E29" w:rsidR="00A77B3E" w:rsidRPr="00B52F73" w:rsidRDefault="00A66BC0" w:rsidP="00566FBC">
      <w:pPr>
        <w:spacing w:line="360" w:lineRule="auto"/>
        <w:jc w:val="both"/>
        <w:rPr>
          <w:rFonts w:ascii="Book Antiqua" w:eastAsia="Book Antiqua" w:hAnsi="Book Antiqua" w:cs="Book Antiqua"/>
          <w:color w:val="000000"/>
        </w:rPr>
      </w:pPr>
      <w:r w:rsidRPr="00B52F73">
        <w:rPr>
          <w:rFonts w:ascii="Book Antiqua" w:eastAsia="Book Antiqua" w:hAnsi="Book Antiqua" w:cs="Book Antiqua"/>
          <w:color w:val="000000"/>
        </w:rPr>
        <w:t>Common preoperative laboratory blood parameters can be used to predict liver ICG clearance. The established risk prediction model helps to identify individuals who may be at risk of fluorescent staining failure. Surgeons can calculate the risk value of high liver background fluorescence intensity based on relevant blood indicators, so as to adjust the dose and time of ICG before operation, and finally obtain better liver fluorescence staining.</w:t>
      </w:r>
    </w:p>
    <w:p w14:paraId="0CE84944" w14:textId="77777777" w:rsidR="00566FBC" w:rsidRPr="00B52F73" w:rsidRDefault="00566FBC" w:rsidP="00566FBC">
      <w:pPr>
        <w:spacing w:line="360" w:lineRule="auto"/>
        <w:jc w:val="both"/>
        <w:rPr>
          <w:rFonts w:ascii="Book Antiqua" w:hAnsi="Book Antiqua"/>
        </w:rPr>
      </w:pPr>
    </w:p>
    <w:p w14:paraId="174D8179"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i/>
          <w:color w:val="000000"/>
        </w:rPr>
        <w:t>Research perspectives</w:t>
      </w:r>
    </w:p>
    <w:p w14:paraId="0963379F" w14:textId="495F2686" w:rsidR="00566FBC" w:rsidRPr="00B52F73" w:rsidRDefault="00AC60B6" w:rsidP="00566FBC">
      <w:pPr>
        <w:spacing w:line="360" w:lineRule="auto"/>
        <w:jc w:val="both"/>
        <w:rPr>
          <w:rFonts w:ascii="Book Antiqua" w:eastAsia="Book Antiqua" w:hAnsi="Book Antiqua" w:cs="Book Antiqua"/>
          <w:color w:val="000000"/>
        </w:rPr>
      </w:pPr>
      <w:bookmarkStart w:id="3" w:name="_Hlk134135359"/>
      <w:r w:rsidRPr="00B52F73">
        <w:rPr>
          <w:rFonts w:ascii="Book Antiqua" w:eastAsia="Book Antiqua" w:hAnsi="Book Antiqua" w:cs="Book Antiqua"/>
          <w:color w:val="000000"/>
        </w:rPr>
        <w:t xml:space="preserve">More effective clinical indicators (including preoperative ultrasound or radiographic examination characteristics, blood tumor indicators, </w:t>
      </w:r>
      <w:proofErr w:type="spellStart"/>
      <w:r w:rsidRPr="00B52F73">
        <w:rPr>
          <w:rFonts w:ascii="Book Antiqua" w:eastAsia="Book Antiqua" w:hAnsi="Book Antiqua" w:cs="Book Antiqua"/>
          <w:i/>
          <w:iCs/>
          <w:color w:val="000000"/>
        </w:rPr>
        <w:t>etc</w:t>
      </w:r>
      <w:proofErr w:type="spellEnd"/>
      <w:r w:rsidRPr="00B52F73">
        <w:rPr>
          <w:rFonts w:ascii="Book Antiqua" w:eastAsia="Book Antiqua" w:hAnsi="Book Antiqua" w:cs="Book Antiqua"/>
          <w:color w:val="000000"/>
        </w:rPr>
        <w:t xml:space="preserve">) are expected to be added to the </w:t>
      </w:r>
      <w:r w:rsidRPr="00B52F73">
        <w:rPr>
          <w:rFonts w:ascii="Book Antiqua" w:eastAsia="Book Antiqua" w:hAnsi="Book Antiqua" w:cs="Book Antiqua"/>
          <w:color w:val="000000"/>
        </w:rPr>
        <w:lastRenderedPageBreak/>
        <w:t>model for predicting liver ICG fluorescence staining, further improving the accuracy of the model, and thus obtaining greater clinical application value.</w:t>
      </w:r>
    </w:p>
    <w:bookmarkEnd w:id="3"/>
    <w:p w14:paraId="4D8A2C89" w14:textId="3971ABBC" w:rsidR="00A77B3E" w:rsidRPr="00B52F73" w:rsidRDefault="00A77B3E" w:rsidP="00566FBC">
      <w:pPr>
        <w:spacing w:line="360" w:lineRule="auto"/>
        <w:jc w:val="both"/>
        <w:rPr>
          <w:rFonts w:ascii="Book Antiqua" w:hAnsi="Book Antiqua"/>
        </w:rPr>
      </w:pPr>
    </w:p>
    <w:p w14:paraId="48DB704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t>REFERENCES</w:t>
      </w:r>
    </w:p>
    <w:p w14:paraId="479E1CB6"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 </w:t>
      </w:r>
      <w:r w:rsidRPr="00B52F73">
        <w:rPr>
          <w:rFonts w:ascii="Book Antiqua" w:hAnsi="Book Antiqua"/>
          <w:b/>
          <w:bCs/>
        </w:rPr>
        <w:t>Slakter JS</w:t>
      </w:r>
      <w:r w:rsidRPr="00B52F73">
        <w:rPr>
          <w:rFonts w:ascii="Book Antiqua" w:hAnsi="Book Antiqua"/>
        </w:rPr>
        <w:t xml:space="preserve">, Yannuzzi LA, Guyer DR, Sorenson JA, Orlock DA. Indocyanine-green angiography. </w:t>
      </w:r>
      <w:r w:rsidRPr="00B52F73">
        <w:rPr>
          <w:rFonts w:ascii="Book Antiqua" w:hAnsi="Book Antiqua"/>
          <w:i/>
          <w:iCs/>
        </w:rPr>
        <w:t>Curr Opin Ophthalmol</w:t>
      </w:r>
      <w:r w:rsidRPr="00B52F73">
        <w:rPr>
          <w:rFonts w:ascii="Book Antiqua" w:hAnsi="Book Antiqua"/>
        </w:rPr>
        <w:t xml:space="preserve"> 1995; </w:t>
      </w:r>
      <w:r w:rsidRPr="00B52F73">
        <w:rPr>
          <w:rFonts w:ascii="Book Antiqua" w:hAnsi="Book Antiqua"/>
          <w:b/>
          <w:bCs/>
        </w:rPr>
        <w:t>6</w:t>
      </w:r>
      <w:r w:rsidRPr="00B52F73">
        <w:rPr>
          <w:rFonts w:ascii="Book Antiqua" w:hAnsi="Book Antiqua"/>
        </w:rPr>
        <w:t>: 25-32 [PMID: 10151085 DOI: 10.1097/00055735-199506000-00005]</w:t>
      </w:r>
    </w:p>
    <w:p w14:paraId="17C05733"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 </w:t>
      </w:r>
      <w:r w:rsidRPr="00B52F73">
        <w:rPr>
          <w:rFonts w:ascii="Book Antiqua" w:hAnsi="Book Antiqua"/>
          <w:b/>
          <w:bCs/>
        </w:rPr>
        <w:t>Juszczyk J</w:t>
      </w:r>
      <w:r w:rsidRPr="00B52F73">
        <w:rPr>
          <w:rFonts w:ascii="Book Antiqua" w:hAnsi="Book Antiqua"/>
        </w:rPr>
        <w:t xml:space="preserve">, Dybizbańska A, Kryska A, Adamek J, Czajka B. [Binding of indocyanine green (ICG) with serum proteins in various liver diseases]. </w:t>
      </w:r>
      <w:r w:rsidRPr="00B52F73">
        <w:rPr>
          <w:rFonts w:ascii="Book Antiqua" w:hAnsi="Book Antiqua"/>
          <w:i/>
          <w:iCs/>
        </w:rPr>
        <w:t>Pol Arch Med Wewn</w:t>
      </w:r>
      <w:r w:rsidRPr="00B52F73">
        <w:rPr>
          <w:rFonts w:ascii="Book Antiqua" w:hAnsi="Book Antiqua"/>
        </w:rPr>
        <w:t xml:space="preserve"> 1979; </w:t>
      </w:r>
      <w:r w:rsidRPr="00B52F73">
        <w:rPr>
          <w:rFonts w:ascii="Book Antiqua" w:hAnsi="Book Antiqua"/>
          <w:b/>
          <w:bCs/>
        </w:rPr>
        <w:t>62</w:t>
      </w:r>
      <w:r w:rsidRPr="00B52F73">
        <w:rPr>
          <w:rFonts w:ascii="Book Antiqua" w:hAnsi="Book Antiqua"/>
        </w:rPr>
        <w:t>: 305-314 [PMID: 503901]</w:t>
      </w:r>
    </w:p>
    <w:p w14:paraId="48DDF447"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3 </w:t>
      </w:r>
      <w:r w:rsidRPr="00B52F73">
        <w:rPr>
          <w:rFonts w:ascii="Book Antiqua" w:hAnsi="Book Antiqua"/>
          <w:b/>
          <w:bCs/>
        </w:rPr>
        <w:t>Nakagawa S</w:t>
      </w:r>
      <w:r w:rsidRPr="00B52F73">
        <w:rPr>
          <w:rFonts w:ascii="Book Antiqua" w:hAnsi="Book Antiqua"/>
        </w:rPr>
        <w:t xml:space="preserve">, Nagata K, Araki K, Nagashima H. Investigation of the hepatic excretion mechanism of indocyanine green in patients with liver disease. </w:t>
      </w:r>
      <w:r w:rsidRPr="00B52F73">
        <w:rPr>
          <w:rFonts w:ascii="Book Antiqua" w:hAnsi="Book Antiqua"/>
          <w:i/>
          <w:iCs/>
        </w:rPr>
        <w:t>Gastroenterol Jpn</w:t>
      </w:r>
      <w:r w:rsidRPr="00B52F73">
        <w:rPr>
          <w:rFonts w:ascii="Book Antiqua" w:hAnsi="Book Antiqua"/>
        </w:rPr>
        <w:t xml:space="preserve"> 1976; </w:t>
      </w:r>
      <w:r w:rsidRPr="00B52F73">
        <w:rPr>
          <w:rFonts w:ascii="Book Antiqua" w:hAnsi="Book Antiqua"/>
          <w:b/>
          <w:bCs/>
        </w:rPr>
        <w:t>11</w:t>
      </w:r>
      <w:r w:rsidRPr="00B52F73">
        <w:rPr>
          <w:rFonts w:ascii="Book Antiqua" w:hAnsi="Book Antiqua"/>
        </w:rPr>
        <w:t>: 237-245 [PMID: 992259 DOI: 10.1007/BF02777709]</w:t>
      </w:r>
    </w:p>
    <w:p w14:paraId="05F11CD7"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4 </w:t>
      </w:r>
      <w:r w:rsidRPr="00B52F73">
        <w:rPr>
          <w:rFonts w:ascii="Book Antiqua" w:hAnsi="Book Antiqua"/>
          <w:b/>
          <w:bCs/>
        </w:rPr>
        <w:t>Li J</w:t>
      </w:r>
      <w:r w:rsidRPr="00B52F73">
        <w:rPr>
          <w:rFonts w:ascii="Book Antiqua" w:hAnsi="Book Antiqua"/>
        </w:rPr>
        <w:t xml:space="preserve">, Li X, Zhang X, Wang H, Li K, He Y, Liu Z, Zhang Z, Yuan Y. Indocyanine green fluorescence imaging-guided laparoscopic right posterior hepatectomy. </w:t>
      </w:r>
      <w:r w:rsidRPr="00B52F73">
        <w:rPr>
          <w:rFonts w:ascii="Book Antiqua" w:hAnsi="Book Antiqua"/>
          <w:i/>
          <w:iCs/>
        </w:rPr>
        <w:t>Surg Endosc</w:t>
      </w:r>
      <w:r w:rsidRPr="00B52F73">
        <w:rPr>
          <w:rFonts w:ascii="Book Antiqua" w:hAnsi="Book Antiqua"/>
        </w:rPr>
        <w:t xml:space="preserve"> 2022; </w:t>
      </w:r>
      <w:r w:rsidRPr="00B52F73">
        <w:rPr>
          <w:rFonts w:ascii="Book Antiqua" w:hAnsi="Book Antiqua"/>
          <w:b/>
          <w:bCs/>
        </w:rPr>
        <w:t>36</w:t>
      </w:r>
      <w:r w:rsidRPr="00B52F73">
        <w:rPr>
          <w:rFonts w:ascii="Book Antiqua" w:hAnsi="Book Antiqua"/>
        </w:rPr>
        <w:t>: 1293-1301 [PMID: 33683434 DOI: 10.1007/s00464-021-08404-2]</w:t>
      </w:r>
    </w:p>
    <w:p w14:paraId="0DEC1DCE"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5 </w:t>
      </w:r>
      <w:r w:rsidRPr="00B52F73">
        <w:rPr>
          <w:rFonts w:ascii="Book Antiqua" w:hAnsi="Book Antiqua"/>
          <w:b/>
          <w:bCs/>
        </w:rPr>
        <w:t>Vlek SL</w:t>
      </w:r>
      <w:r w:rsidRPr="00B52F73">
        <w:rPr>
          <w:rFonts w:ascii="Book Antiqua" w:hAnsi="Book Antiqua"/>
        </w:rPr>
        <w:t xml:space="preserve">, van Dam DA, Rubinstein SM, de Lange-de Klerk ESM, Schoonmade LJ, Tuynman JB, Meijerink WJHJ, Ankersmit M. Biliary tract visualization using near-infrared imaging with indocyanine green during laparoscopic cholecystectomy: results of a systematic review. </w:t>
      </w:r>
      <w:r w:rsidRPr="00B52F73">
        <w:rPr>
          <w:rFonts w:ascii="Book Antiqua" w:hAnsi="Book Antiqua"/>
          <w:i/>
          <w:iCs/>
        </w:rPr>
        <w:t>Surg Endosc</w:t>
      </w:r>
      <w:r w:rsidRPr="00B52F73">
        <w:rPr>
          <w:rFonts w:ascii="Book Antiqua" w:hAnsi="Book Antiqua"/>
        </w:rPr>
        <w:t xml:space="preserve"> 2017; </w:t>
      </w:r>
      <w:r w:rsidRPr="00B52F73">
        <w:rPr>
          <w:rFonts w:ascii="Book Antiqua" w:hAnsi="Book Antiqua"/>
          <w:b/>
          <w:bCs/>
        </w:rPr>
        <w:t>31</w:t>
      </w:r>
      <w:r w:rsidRPr="00B52F73">
        <w:rPr>
          <w:rFonts w:ascii="Book Antiqua" w:hAnsi="Book Antiqua"/>
        </w:rPr>
        <w:t>: 2731-2742 [PMID: 27844236 DOI: 10.1007/s00464-016-5318-7]</w:t>
      </w:r>
    </w:p>
    <w:p w14:paraId="36401611"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6 </w:t>
      </w:r>
      <w:r w:rsidRPr="00B52F73">
        <w:rPr>
          <w:rFonts w:ascii="Book Antiqua" w:hAnsi="Book Antiqua"/>
          <w:b/>
          <w:bCs/>
        </w:rPr>
        <w:t>Wiegand BD</w:t>
      </w:r>
      <w:r w:rsidRPr="00B52F73">
        <w:rPr>
          <w:rFonts w:ascii="Book Antiqua" w:hAnsi="Book Antiqua"/>
        </w:rPr>
        <w:t xml:space="preserve">, Ketterer SG, Rapaport E. The use of indocyanine green for the evaluation of hepatic function and blood flow in man. </w:t>
      </w:r>
      <w:r w:rsidRPr="00B52F73">
        <w:rPr>
          <w:rFonts w:ascii="Book Antiqua" w:hAnsi="Book Antiqua"/>
          <w:i/>
          <w:iCs/>
        </w:rPr>
        <w:t>Am J Dig Dis</w:t>
      </w:r>
      <w:r w:rsidRPr="00B52F73">
        <w:rPr>
          <w:rFonts w:ascii="Book Antiqua" w:hAnsi="Book Antiqua"/>
        </w:rPr>
        <w:t xml:space="preserve"> 1960; </w:t>
      </w:r>
      <w:r w:rsidRPr="00B52F73">
        <w:rPr>
          <w:rFonts w:ascii="Book Antiqua" w:hAnsi="Book Antiqua"/>
          <w:b/>
          <w:bCs/>
        </w:rPr>
        <w:t>5</w:t>
      </w:r>
      <w:r w:rsidRPr="00B52F73">
        <w:rPr>
          <w:rFonts w:ascii="Book Antiqua" w:hAnsi="Book Antiqua"/>
        </w:rPr>
        <w:t>: 427-436 [PMID: 13844597 DOI: 10.1007/BF02232628]</w:t>
      </w:r>
    </w:p>
    <w:p w14:paraId="539B66C9"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7 </w:t>
      </w:r>
      <w:r w:rsidRPr="00B52F73">
        <w:rPr>
          <w:rFonts w:ascii="Book Antiqua" w:hAnsi="Book Antiqua"/>
          <w:b/>
          <w:bCs/>
        </w:rPr>
        <w:t>Ishizawa T</w:t>
      </w:r>
      <w:r w:rsidRPr="00B52F73">
        <w:rPr>
          <w:rFonts w:ascii="Book Antiqua" w:hAnsi="Book Antiqua"/>
        </w:rPr>
        <w:t xml:space="preserve">, Masuda K, Urano Y, Kawaguchi Y, Satou S, Kaneko J, Hasegawa K, Shibahara J, Fukayama M, Tsuji S, Midorikawa Y, Aburatani H, Kokudo N. Mechanistic background and clinical applications of indocyanine green fluorescence imaging of hepatocellular carcinoma. </w:t>
      </w:r>
      <w:r w:rsidRPr="00B52F73">
        <w:rPr>
          <w:rFonts w:ascii="Book Antiqua" w:hAnsi="Book Antiqua"/>
          <w:i/>
          <w:iCs/>
        </w:rPr>
        <w:t>Ann Surg Oncol</w:t>
      </w:r>
      <w:r w:rsidRPr="00B52F73">
        <w:rPr>
          <w:rFonts w:ascii="Book Antiqua" w:hAnsi="Book Antiqua"/>
        </w:rPr>
        <w:t xml:space="preserve"> 2014; </w:t>
      </w:r>
      <w:r w:rsidRPr="00B52F73">
        <w:rPr>
          <w:rFonts w:ascii="Book Antiqua" w:hAnsi="Book Antiqua"/>
          <w:b/>
          <w:bCs/>
        </w:rPr>
        <w:t>21</w:t>
      </w:r>
      <w:r w:rsidRPr="00B52F73">
        <w:rPr>
          <w:rFonts w:ascii="Book Antiqua" w:hAnsi="Book Antiqua"/>
        </w:rPr>
        <w:t>: 440-448 [PMID: 24254203 DOI: 10.1245/s10434-013-3360-4]</w:t>
      </w:r>
    </w:p>
    <w:p w14:paraId="0BC31A58" w14:textId="77777777" w:rsidR="007C6E8E" w:rsidRPr="00B52F73" w:rsidRDefault="007C6E8E" w:rsidP="00566FBC">
      <w:pPr>
        <w:spacing w:line="360" w:lineRule="auto"/>
        <w:jc w:val="both"/>
        <w:rPr>
          <w:rFonts w:ascii="Book Antiqua" w:hAnsi="Book Antiqua"/>
        </w:rPr>
      </w:pPr>
      <w:r w:rsidRPr="00B52F73">
        <w:rPr>
          <w:rFonts w:ascii="Book Antiqua" w:hAnsi="Book Antiqua"/>
        </w:rPr>
        <w:lastRenderedPageBreak/>
        <w:t xml:space="preserve">8 </w:t>
      </w:r>
      <w:r w:rsidRPr="00B52F73">
        <w:rPr>
          <w:rFonts w:ascii="Book Antiqua" w:hAnsi="Book Antiqua"/>
          <w:b/>
          <w:bCs/>
        </w:rPr>
        <w:t>Ishizawa T</w:t>
      </w:r>
      <w:r w:rsidRPr="00B52F73">
        <w:rPr>
          <w:rFonts w:ascii="Book Antiqua" w:hAnsi="Book Antiqua"/>
        </w:rPr>
        <w:t xml:space="preserve">, Saiura A, Kokudo N. Clinical application of indocyanine green-fluorescence imaging during hepatectomy. </w:t>
      </w:r>
      <w:r w:rsidRPr="00B52F73">
        <w:rPr>
          <w:rFonts w:ascii="Book Antiqua" w:hAnsi="Book Antiqua"/>
          <w:i/>
          <w:iCs/>
        </w:rPr>
        <w:t>Hepatobiliary Surg Nutr</w:t>
      </w:r>
      <w:r w:rsidRPr="00B52F73">
        <w:rPr>
          <w:rFonts w:ascii="Book Antiqua" w:hAnsi="Book Antiqua"/>
        </w:rPr>
        <w:t xml:space="preserve"> 2016; </w:t>
      </w:r>
      <w:r w:rsidRPr="00B52F73">
        <w:rPr>
          <w:rFonts w:ascii="Book Antiqua" w:hAnsi="Book Antiqua"/>
          <w:b/>
          <w:bCs/>
        </w:rPr>
        <w:t>5</w:t>
      </w:r>
      <w:r w:rsidRPr="00B52F73">
        <w:rPr>
          <w:rFonts w:ascii="Book Antiqua" w:hAnsi="Book Antiqua"/>
        </w:rPr>
        <w:t>: 322-328 [PMID: 27500144 DOI: 10.21037/hbsn.2015.10.01]</w:t>
      </w:r>
    </w:p>
    <w:p w14:paraId="56D655F8"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9 </w:t>
      </w:r>
      <w:r w:rsidRPr="00B52F73">
        <w:rPr>
          <w:rFonts w:ascii="Book Antiqua" w:hAnsi="Book Antiqua"/>
          <w:b/>
          <w:bCs/>
        </w:rPr>
        <w:t>Wang X</w:t>
      </w:r>
      <w:r w:rsidRPr="00B52F73">
        <w:rPr>
          <w:rFonts w:ascii="Book Antiqua" w:hAnsi="Book Antiqua"/>
        </w:rPr>
        <w:t xml:space="preserve">, Teh CSC, Ishizawa T, Aoki T, Cavallucci D, Lee SY, Panganiban KM, Perini MV, Shah SR, Wang H, Xu Y, Suh KS, Kokudo N. Consensus Guidelines for the Use of Fluorescence Imaging in Hepatobiliary Surgery. </w:t>
      </w:r>
      <w:r w:rsidRPr="00B52F73">
        <w:rPr>
          <w:rFonts w:ascii="Book Antiqua" w:hAnsi="Book Antiqua"/>
          <w:i/>
          <w:iCs/>
        </w:rPr>
        <w:t>Ann Surg</w:t>
      </w:r>
      <w:r w:rsidRPr="00B52F73">
        <w:rPr>
          <w:rFonts w:ascii="Book Antiqua" w:hAnsi="Book Antiqua"/>
        </w:rPr>
        <w:t xml:space="preserve"> 2021; </w:t>
      </w:r>
      <w:r w:rsidRPr="00B52F73">
        <w:rPr>
          <w:rFonts w:ascii="Book Antiqua" w:hAnsi="Book Antiqua"/>
          <w:b/>
          <w:bCs/>
        </w:rPr>
        <w:t>274</w:t>
      </w:r>
      <w:r w:rsidRPr="00B52F73">
        <w:rPr>
          <w:rFonts w:ascii="Book Antiqua" w:hAnsi="Book Antiqua"/>
        </w:rPr>
        <w:t>: 97-106 [PMID: 33351457 DOI: 10.1097/SLA.0000000000004718]</w:t>
      </w:r>
    </w:p>
    <w:p w14:paraId="77ACE72D"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10 </w:t>
      </w:r>
      <w:r w:rsidRPr="00B52F73">
        <w:rPr>
          <w:rFonts w:ascii="Book Antiqua" w:hAnsi="Book Antiqua"/>
          <w:b/>
          <w:bCs/>
        </w:rPr>
        <w:t>Digital MAOCMA</w:t>
      </w:r>
      <w:r w:rsidRPr="00B52F73">
        <w:rPr>
          <w:rFonts w:ascii="Book Antiqua" w:hAnsi="Book Antiqua"/>
        </w:rPr>
        <w:t xml:space="preserve">, Digital ISPCOCRH, Liver CPCOCMDA, Clinical PMPC, Medical IAEPCOCGS, Molecular IPCOCBS. [Guidelines for application of computer-assisted indocyanine green molecular fluorescence imaging in diagnosis and surgical navigation of liver tumors (2019)]. </w:t>
      </w:r>
      <w:r w:rsidRPr="00B52F73">
        <w:rPr>
          <w:rFonts w:ascii="Book Antiqua" w:hAnsi="Book Antiqua"/>
          <w:i/>
          <w:iCs/>
        </w:rPr>
        <w:t>Nan Fang Yi Ke Da Xue Xue Bao</w:t>
      </w:r>
      <w:r w:rsidRPr="00B52F73">
        <w:rPr>
          <w:rFonts w:ascii="Book Antiqua" w:hAnsi="Book Antiqua"/>
        </w:rPr>
        <w:t xml:space="preserve"> 2019; </w:t>
      </w:r>
      <w:r w:rsidRPr="00B52F73">
        <w:rPr>
          <w:rFonts w:ascii="Book Antiqua" w:hAnsi="Book Antiqua"/>
          <w:b/>
          <w:bCs/>
        </w:rPr>
        <w:t>39</w:t>
      </w:r>
      <w:r w:rsidRPr="00B52F73">
        <w:rPr>
          <w:rFonts w:ascii="Book Antiqua" w:hAnsi="Book Antiqua"/>
        </w:rPr>
        <w:t>: 1127-1140 [PMID: 31801707 DOI: 10.12122/j.issn.1673-4254.2019.10.01]</w:t>
      </w:r>
    </w:p>
    <w:p w14:paraId="3F2DB29E"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11 </w:t>
      </w:r>
      <w:r w:rsidRPr="00B52F73">
        <w:rPr>
          <w:rFonts w:ascii="Book Antiqua" w:hAnsi="Book Antiqua"/>
          <w:b/>
          <w:bCs/>
        </w:rPr>
        <w:t>Wakabayashi T</w:t>
      </w:r>
      <w:r w:rsidRPr="00B52F73">
        <w:rPr>
          <w:rFonts w:ascii="Book Antiqua" w:hAnsi="Book Antiqua"/>
        </w:rPr>
        <w:t xml:space="preserve">, Cacciaguerra AB, Abe Y, Bona ED, Nicolini D, Mocchegiani F, Kabeshima Y, Vivarelli M, Wakabayashi G, Kitagawa Y. Indocyanine Green Fluorescence Navigation in Liver Surgery: A Systematic Review on Dose and Timing of Administration. </w:t>
      </w:r>
      <w:r w:rsidRPr="00B52F73">
        <w:rPr>
          <w:rFonts w:ascii="Book Antiqua" w:hAnsi="Book Antiqua"/>
          <w:i/>
          <w:iCs/>
        </w:rPr>
        <w:t>Ann Surg</w:t>
      </w:r>
      <w:r w:rsidRPr="00B52F73">
        <w:rPr>
          <w:rFonts w:ascii="Book Antiqua" w:hAnsi="Book Antiqua"/>
        </w:rPr>
        <w:t xml:space="preserve"> 2022; </w:t>
      </w:r>
      <w:r w:rsidRPr="00B52F73">
        <w:rPr>
          <w:rFonts w:ascii="Book Antiqua" w:hAnsi="Book Antiqua"/>
          <w:b/>
          <w:bCs/>
        </w:rPr>
        <w:t>275</w:t>
      </w:r>
      <w:r w:rsidRPr="00B52F73">
        <w:rPr>
          <w:rFonts w:ascii="Book Antiqua" w:hAnsi="Book Antiqua"/>
        </w:rPr>
        <w:t>: 1025-1034 [PMID: 35121701 DOI: 10.1097/SLA.0000000000005406]</w:t>
      </w:r>
    </w:p>
    <w:p w14:paraId="572A283F"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12 </w:t>
      </w:r>
      <w:r w:rsidRPr="00B52F73">
        <w:rPr>
          <w:rFonts w:ascii="Book Antiqua" w:hAnsi="Book Antiqua"/>
          <w:b/>
          <w:bCs/>
        </w:rPr>
        <w:t>Verbeek FP</w:t>
      </w:r>
      <w:r w:rsidRPr="00B52F73">
        <w:rPr>
          <w:rFonts w:ascii="Book Antiqua" w:hAnsi="Book Antiqua"/>
        </w:rPr>
        <w:t xml:space="preserve">, Schaafsma BE, Tummers QR, van der Vorst JR, van der Made WJ, Baeten CI, Bonsing BA, Frangioni JV, van de Velde CJ, Vahrmeijer AL, Swijnenburg RJ. Optimization of near-infrared fluorescence cholangiography for open and laparoscopic surgery. </w:t>
      </w:r>
      <w:r w:rsidRPr="00B52F73">
        <w:rPr>
          <w:rFonts w:ascii="Book Antiqua" w:hAnsi="Book Antiqua"/>
          <w:i/>
          <w:iCs/>
        </w:rPr>
        <w:t>Surg Endosc</w:t>
      </w:r>
      <w:r w:rsidRPr="00B52F73">
        <w:rPr>
          <w:rFonts w:ascii="Book Antiqua" w:hAnsi="Book Antiqua"/>
        </w:rPr>
        <w:t xml:space="preserve"> 2014; </w:t>
      </w:r>
      <w:r w:rsidRPr="00B52F73">
        <w:rPr>
          <w:rFonts w:ascii="Book Antiqua" w:hAnsi="Book Antiqua"/>
          <w:b/>
          <w:bCs/>
        </w:rPr>
        <w:t>28</w:t>
      </w:r>
      <w:r w:rsidRPr="00B52F73">
        <w:rPr>
          <w:rFonts w:ascii="Book Antiqua" w:hAnsi="Book Antiqua"/>
        </w:rPr>
        <w:t>: 1076-1082 [PMID: 24232054 DOI: 10.1007/s00464-013-3305-9]</w:t>
      </w:r>
    </w:p>
    <w:p w14:paraId="0756D25B"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13 </w:t>
      </w:r>
      <w:r w:rsidRPr="00B52F73">
        <w:rPr>
          <w:rFonts w:ascii="Book Antiqua" w:hAnsi="Book Antiqua"/>
          <w:b/>
          <w:bCs/>
        </w:rPr>
        <w:t>Aoki T</w:t>
      </w:r>
      <w:r w:rsidRPr="00B52F73">
        <w:rPr>
          <w:rFonts w:ascii="Book Antiqua" w:hAnsi="Book Antiqua"/>
        </w:rPr>
        <w:t xml:space="preserve">, Yasuda D, Shimizu Y, Odaira M, Niiya T, Kusano T, Mitamura K, Hayashi K, Murai N, Koizumi T, Kato H, Enami Y, Miwa M, Kusano M. Image-guided liver mapping using fluorescence navigation system with indocyanine green for anatomical hepatic resection. </w:t>
      </w:r>
      <w:r w:rsidRPr="00B52F73">
        <w:rPr>
          <w:rFonts w:ascii="Book Antiqua" w:hAnsi="Book Antiqua"/>
          <w:i/>
          <w:iCs/>
        </w:rPr>
        <w:t>World J Surg</w:t>
      </w:r>
      <w:r w:rsidRPr="00B52F73">
        <w:rPr>
          <w:rFonts w:ascii="Book Antiqua" w:hAnsi="Book Antiqua"/>
        </w:rPr>
        <w:t xml:space="preserve"> 2008; </w:t>
      </w:r>
      <w:r w:rsidRPr="00B52F73">
        <w:rPr>
          <w:rFonts w:ascii="Book Antiqua" w:hAnsi="Book Antiqua"/>
          <w:b/>
          <w:bCs/>
        </w:rPr>
        <w:t>32</w:t>
      </w:r>
      <w:r w:rsidRPr="00B52F73">
        <w:rPr>
          <w:rFonts w:ascii="Book Antiqua" w:hAnsi="Book Antiqua"/>
        </w:rPr>
        <w:t>: 1763-1767 [PMID: 18543027 DOI: 10.1007/s00268-008-9620-y]</w:t>
      </w:r>
    </w:p>
    <w:p w14:paraId="28D09BE4"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14 </w:t>
      </w:r>
      <w:r w:rsidRPr="00B52F73">
        <w:rPr>
          <w:rFonts w:ascii="Book Antiqua" w:hAnsi="Book Antiqua"/>
          <w:b/>
          <w:bCs/>
        </w:rPr>
        <w:t>Tanaka T</w:t>
      </w:r>
      <w:r w:rsidRPr="00B52F73">
        <w:rPr>
          <w:rFonts w:ascii="Book Antiqua" w:hAnsi="Book Antiqua"/>
        </w:rPr>
        <w:t xml:space="preserve">, Takatsuki M, Hidaka M, Hara T, Muraoka I, Soyama A, Adachi T, Kuroki T, Eguchi S. Is a fluorescence navigation system with indocyanine green effective enough </w:t>
      </w:r>
      <w:r w:rsidRPr="00B52F73">
        <w:rPr>
          <w:rFonts w:ascii="Book Antiqua" w:hAnsi="Book Antiqua"/>
        </w:rPr>
        <w:lastRenderedPageBreak/>
        <w:t xml:space="preserve">to detect liver malignancies? </w:t>
      </w:r>
      <w:r w:rsidRPr="00B52F73">
        <w:rPr>
          <w:rFonts w:ascii="Book Antiqua" w:hAnsi="Book Antiqua"/>
          <w:i/>
          <w:iCs/>
        </w:rPr>
        <w:t>J Hepatobiliary Pancreat Sci</w:t>
      </w:r>
      <w:r w:rsidRPr="00B52F73">
        <w:rPr>
          <w:rFonts w:ascii="Book Antiqua" w:hAnsi="Book Antiqua"/>
        </w:rPr>
        <w:t xml:space="preserve"> 2014; </w:t>
      </w:r>
      <w:r w:rsidRPr="00B52F73">
        <w:rPr>
          <w:rFonts w:ascii="Book Antiqua" w:hAnsi="Book Antiqua"/>
          <w:b/>
          <w:bCs/>
        </w:rPr>
        <w:t>21</w:t>
      </w:r>
      <w:r w:rsidRPr="00B52F73">
        <w:rPr>
          <w:rFonts w:ascii="Book Antiqua" w:hAnsi="Book Antiqua"/>
        </w:rPr>
        <w:t>: 199-204 [PMID: 23818301 DOI: 10.1002/jhbp.17]</w:t>
      </w:r>
    </w:p>
    <w:p w14:paraId="65F94175"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15 </w:t>
      </w:r>
      <w:r w:rsidRPr="00B52F73">
        <w:rPr>
          <w:rFonts w:ascii="Book Antiqua" w:hAnsi="Book Antiqua"/>
          <w:b/>
          <w:bCs/>
        </w:rPr>
        <w:t>Liang X</w:t>
      </w:r>
      <w:r w:rsidRPr="00B52F73">
        <w:rPr>
          <w:rFonts w:ascii="Book Antiqua" w:hAnsi="Book Antiqua"/>
        </w:rPr>
        <w:t xml:space="preserve">, Zhai S, Liang Y, Jiang G, Mao Q, Xie Y, Cai X. [Laparoscopic liver tumor resection under indocyanine green fluorescent navigation: A single center experience of 60 patients to study the optimal preoperative injection timing of indocyanine green]. </w:t>
      </w:r>
      <w:r w:rsidRPr="00B52F73">
        <w:rPr>
          <w:rFonts w:ascii="Book Antiqua" w:hAnsi="Book Antiqua"/>
          <w:i/>
          <w:iCs/>
        </w:rPr>
        <w:t>Chin J Hepatobil Sur</w:t>
      </w:r>
      <w:r w:rsidRPr="00B52F73">
        <w:rPr>
          <w:rFonts w:ascii="Book Antiqua" w:hAnsi="Book Antiqua"/>
        </w:rPr>
        <w:t xml:space="preserve"> 2019; </w:t>
      </w:r>
      <w:r w:rsidRPr="00B52F73">
        <w:rPr>
          <w:rFonts w:ascii="Book Antiqua" w:hAnsi="Book Antiqua"/>
          <w:b/>
          <w:bCs/>
        </w:rPr>
        <w:t>25</w:t>
      </w:r>
      <w:r w:rsidRPr="00B52F73">
        <w:rPr>
          <w:rFonts w:ascii="Book Antiqua" w:hAnsi="Book Antiqua"/>
        </w:rPr>
        <w:t>: 90-93 [DOI: 10.3760/cma.j.issn.1007-8118.2019.02.003]</w:t>
      </w:r>
    </w:p>
    <w:p w14:paraId="26511839"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16 </w:t>
      </w:r>
      <w:r w:rsidRPr="00B52F73">
        <w:rPr>
          <w:rFonts w:ascii="Book Antiqua" w:hAnsi="Book Antiqua"/>
          <w:b/>
          <w:bCs/>
        </w:rPr>
        <w:t>Lu H</w:t>
      </w:r>
      <w:r w:rsidRPr="00B52F73">
        <w:rPr>
          <w:rFonts w:ascii="Book Antiqua" w:hAnsi="Book Antiqua"/>
        </w:rPr>
        <w:t xml:space="preserve">, Gu J, Qian XF, Dai XZ. Indocyanine green fluorescence navigation in laparoscopic hepatectomy: a retrospective single-center study of 120 cases. </w:t>
      </w:r>
      <w:r w:rsidRPr="00B52F73">
        <w:rPr>
          <w:rFonts w:ascii="Book Antiqua" w:hAnsi="Book Antiqua"/>
          <w:i/>
          <w:iCs/>
        </w:rPr>
        <w:t>Surg Today</w:t>
      </w:r>
      <w:r w:rsidRPr="00B52F73">
        <w:rPr>
          <w:rFonts w:ascii="Book Antiqua" w:hAnsi="Book Antiqua"/>
        </w:rPr>
        <w:t xml:space="preserve"> 2021; </w:t>
      </w:r>
      <w:r w:rsidRPr="00B52F73">
        <w:rPr>
          <w:rFonts w:ascii="Book Antiqua" w:hAnsi="Book Antiqua"/>
          <w:b/>
          <w:bCs/>
        </w:rPr>
        <w:t>51</w:t>
      </w:r>
      <w:r w:rsidRPr="00B52F73">
        <w:rPr>
          <w:rFonts w:ascii="Book Antiqua" w:hAnsi="Book Antiqua"/>
        </w:rPr>
        <w:t>: 695-702 [PMID: 33128594 DOI: 10.1007/s00595-020-02163-8]</w:t>
      </w:r>
    </w:p>
    <w:p w14:paraId="101AF9B5"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17 </w:t>
      </w:r>
      <w:r w:rsidRPr="00B52F73">
        <w:rPr>
          <w:rFonts w:ascii="Book Antiqua" w:hAnsi="Book Antiqua"/>
          <w:b/>
          <w:bCs/>
        </w:rPr>
        <w:t>Chen Q</w:t>
      </w:r>
      <w:r w:rsidRPr="00B52F73">
        <w:rPr>
          <w:rFonts w:ascii="Book Antiqua" w:hAnsi="Book Antiqua"/>
        </w:rPr>
        <w:t xml:space="preserve">, Zhou R, Weng J, Lai Y, Liu H, Kuang J, Zhang S, Wu Z, Wang W, Gu W. Extrahepatic biliary tract visualization using near-infrared fluorescence imaging with indocyanine green: optimization of dose and dosing time. </w:t>
      </w:r>
      <w:r w:rsidRPr="00B52F73">
        <w:rPr>
          <w:rFonts w:ascii="Book Antiqua" w:hAnsi="Book Antiqua"/>
          <w:i/>
          <w:iCs/>
        </w:rPr>
        <w:t>Surg Endosc</w:t>
      </w:r>
      <w:r w:rsidRPr="00B52F73">
        <w:rPr>
          <w:rFonts w:ascii="Book Antiqua" w:hAnsi="Book Antiqua"/>
        </w:rPr>
        <w:t xml:space="preserve"> 2021; </w:t>
      </w:r>
      <w:r w:rsidRPr="00B52F73">
        <w:rPr>
          <w:rFonts w:ascii="Book Antiqua" w:hAnsi="Book Antiqua"/>
          <w:b/>
          <w:bCs/>
        </w:rPr>
        <w:t>35</w:t>
      </w:r>
      <w:r w:rsidRPr="00B52F73">
        <w:rPr>
          <w:rFonts w:ascii="Book Antiqua" w:hAnsi="Book Antiqua"/>
        </w:rPr>
        <w:t>: 5573-5582 [PMID: 33026517 DOI: 10.1007/s00464-020-08058-6]</w:t>
      </w:r>
    </w:p>
    <w:p w14:paraId="75EA54AA"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18 </w:t>
      </w:r>
      <w:r w:rsidRPr="00B52F73">
        <w:rPr>
          <w:rFonts w:ascii="Book Antiqua" w:hAnsi="Book Antiqua"/>
          <w:b/>
          <w:bCs/>
        </w:rPr>
        <w:t>Kraft JC</w:t>
      </w:r>
      <w:r w:rsidRPr="00B52F73">
        <w:rPr>
          <w:rFonts w:ascii="Book Antiqua" w:hAnsi="Book Antiqua"/>
        </w:rPr>
        <w:t xml:space="preserve">, Treuting PM, Ho RJY. Indocyanine green nanoparticles undergo selective lymphatic uptake, distribution and retention and enable detailed mapping of lymph vessels, nodes and abnormalities. </w:t>
      </w:r>
      <w:r w:rsidRPr="00B52F73">
        <w:rPr>
          <w:rFonts w:ascii="Book Antiqua" w:hAnsi="Book Antiqua"/>
          <w:i/>
          <w:iCs/>
        </w:rPr>
        <w:t>J Drug Target</w:t>
      </w:r>
      <w:r w:rsidRPr="00B52F73">
        <w:rPr>
          <w:rFonts w:ascii="Book Antiqua" w:hAnsi="Book Antiqua"/>
        </w:rPr>
        <w:t xml:space="preserve"> 2018; </w:t>
      </w:r>
      <w:r w:rsidRPr="00B52F73">
        <w:rPr>
          <w:rFonts w:ascii="Book Antiqua" w:hAnsi="Book Antiqua"/>
          <w:b/>
          <w:bCs/>
        </w:rPr>
        <w:t>26</w:t>
      </w:r>
      <w:r w:rsidRPr="00B52F73">
        <w:rPr>
          <w:rFonts w:ascii="Book Antiqua" w:hAnsi="Book Antiqua"/>
        </w:rPr>
        <w:t>: 494-504 [PMID: 29388438 DOI: 10.1080/1061186X.2018.1433681]</w:t>
      </w:r>
    </w:p>
    <w:p w14:paraId="39BEFBA3"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19 </w:t>
      </w:r>
      <w:r w:rsidRPr="00B52F73">
        <w:rPr>
          <w:rFonts w:ascii="Book Antiqua" w:hAnsi="Book Antiqua"/>
          <w:b/>
          <w:bCs/>
        </w:rPr>
        <w:t>Zhang L</w:t>
      </w:r>
      <w:r w:rsidRPr="00B52F73">
        <w:rPr>
          <w:rFonts w:ascii="Book Antiqua" w:hAnsi="Book Antiqua"/>
        </w:rPr>
        <w:t xml:space="preserve">, Cheng M, Lin Y, Zhang J, Shen B, Chen Y, Yang C, Yang M, Zhu T, Gao H, Ji F, Li J, Wang K. Ultrasound-assisted carbon nanoparticle suspension mapping versus dual tracer-guided sentinel lymph node biopsy in patients with early breast cancer (ultraCars): phase III randomized clinical trial. </w:t>
      </w:r>
      <w:r w:rsidRPr="00B52F73">
        <w:rPr>
          <w:rFonts w:ascii="Book Antiqua" w:hAnsi="Book Antiqua"/>
          <w:i/>
          <w:iCs/>
        </w:rPr>
        <w:t>Br J Surg</w:t>
      </w:r>
      <w:r w:rsidRPr="00B52F73">
        <w:rPr>
          <w:rFonts w:ascii="Book Antiqua" w:hAnsi="Book Antiqua"/>
        </w:rPr>
        <w:t xml:space="preserve"> 2022; </w:t>
      </w:r>
      <w:r w:rsidRPr="00B52F73">
        <w:rPr>
          <w:rFonts w:ascii="Book Antiqua" w:hAnsi="Book Antiqua"/>
          <w:b/>
          <w:bCs/>
        </w:rPr>
        <w:t>109</w:t>
      </w:r>
      <w:r w:rsidRPr="00B52F73">
        <w:rPr>
          <w:rFonts w:ascii="Book Antiqua" w:hAnsi="Book Antiqua"/>
        </w:rPr>
        <w:t>: 1232-1238 [PMID: 36074703 DOI: 10.1093/bjs/znac311]</w:t>
      </w:r>
    </w:p>
    <w:p w14:paraId="6EC87C0C"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20 </w:t>
      </w:r>
      <w:r w:rsidRPr="00B52F73">
        <w:rPr>
          <w:rFonts w:ascii="Book Antiqua" w:hAnsi="Book Antiqua"/>
          <w:b/>
          <w:bCs/>
        </w:rPr>
        <w:t>Müller D</w:t>
      </w:r>
      <w:r w:rsidRPr="00B52F73">
        <w:rPr>
          <w:rFonts w:ascii="Book Antiqua" w:hAnsi="Book Antiqua"/>
        </w:rPr>
        <w:t xml:space="preserve">, Stier R, Straatman J, Babic B, Schiffmann L, Eckhoff J, Schmidt T, Bruns C, Fuchs HF. ICG-Lymphknoten-Mapping in der Tumorchirurgie des oberen Gastrointestinaltrakts. </w:t>
      </w:r>
      <w:r w:rsidRPr="00B52F73">
        <w:rPr>
          <w:rFonts w:ascii="Book Antiqua" w:hAnsi="Book Antiqua"/>
          <w:i/>
          <w:iCs/>
        </w:rPr>
        <w:t>Chirurgie</w:t>
      </w:r>
      <w:r w:rsidRPr="00B52F73">
        <w:rPr>
          <w:rFonts w:ascii="Book Antiqua" w:hAnsi="Book Antiqua"/>
        </w:rPr>
        <w:t xml:space="preserve"> 2022; </w:t>
      </w:r>
      <w:r w:rsidRPr="00B52F73">
        <w:rPr>
          <w:rFonts w:ascii="Book Antiqua" w:hAnsi="Book Antiqua"/>
          <w:b/>
          <w:bCs/>
        </w:rPr>
        <w:t>93</w:t>
      </w:r>
      <w:r w:rsidRPr="00B52F73">
        <w:rPr>
          <w:rFonts w:ascii="Book Antiqua" w:hAnsi="Book Antiqua"/>
        </w:rPr>
        <w:t>: 925-933 [DOI: 10.1007/s00104-022-01659-y]</w:t>
      </w:r>
    </w:p>
    <w:p w14:paraId="1C4BBE6A"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21 </w:t>
      </w:r>
      <w:r w:rsidRPr="00B52F73">
        <w:rPr>
          <w:rFonts w:ascii="Book Antiqua" w:hAnsi="Book Antiqua"/>
          <w:b/>
          <w:bCs/>
        </w:rPr>
        <w:t>Wiig H</w:t>
      </w:r>
      <w:r w:rsidRPr="00B52F73">
        <w:rPr>
          <w:rFonts w:ascii="Book Antiqua" w:hAnsi="Book Antiqua"/>
        </w:rPr>
        <w:t xml:space="preserve">, Swartz MA. Interstitial fluid and lymph formation and transport: physiological regulation and roles in inflammation and cancer. </w:t>
      </w:r>
      <w:r w:rsidRPr="00B52F73">
        <w:rPr>
          <w:rFonts w:ascii="Book Antiqua" w:hAnsi="Book Antiqua"/>
          <w:i/>
          <w:iCs/>
        </w:rPr>
        <w:t>Physiol Rev</w:t>
      </w:r>
      <w:r w:rsidRPr="00B52F73">
        <w:rPr>
          <w:rFonts w:ascii="Book Antiqua" w:hAnsi="Book Antiqua"/>
        </w:rPr>
        <w:t xml:space="preserve"> 2012; </w:t>
      </w:r>
      <w:r w:rsidRPr="00B52F73">
        <w:rPr>
          <w:rFonts w:ascii="Book Antiqua" w:hAnsi="Book Antiqua"/>
          <w:b/>
          <w:bCs/>
        </w:rPr>
        <w:t>92</w:t>
      </w:r>
      <w:r w:rsidRPr="00B52F73">
        <w:rPr>
          <w:rFonts w:ascii="Book Antiqua" w:hAnsi="Book Antiqua"/>
        </w:rPr>
        <w:t>: 1005-1060 [PMID: 22811424 DOI: 10.1152/physrev.00037.2011]</w:t>
      </w:r>
    </w:p>
    <w:p w14:paraId="20D4AB45"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22 </w:t>
      </w:r>
      <w:r w:rsidRPr="00B52F73">
        <w:rPr>
          <w:rFonts w:ascii="Book Antiqua" w:hAnsi="Book Antiqua"/>
          <w:b/>
          <w:bCs/>
        </w:rPr>
        <w:t>Nanjee MN</w:t>
      </w:r>
      <w:r w:rsidRPr="00B52F73">
        <w:rPr>
          <w:rFonts w:ascii="Book Antiqua" w:hAnsi="Book Antiqua"/>
        </w:rPr>
        <w:t xml:space="preserve">, Cooke CJ, Olszewski WL, Miller NE. Lipid and apolipoprotein concentrations in prenodal leg lymph of fasted humans. Associations with plasma </w:t>
      </w:r>
      <w:r w:rsidRPr="00B52F73">
        <w:rPr>
          <w:rFonts w:ascii="Book Antiqua" w:hAnsi="Book Antiqua"/>
        </w:rPr>
        <w:lastRenderedPageBreak/>
        <w:t xml:space="preserve">concentrations in normal subjects, lipoprotein lipase deficiency, and LCAT deficiency. </w:t>
      </w:r>
      <w:r w:rsidRPr="00B52F73">
        <w:rPr>
          <w:rFonts w:ascii="Book Antiqua" w:hAnsi="Book Antiqua"/>
          <w:i/>
          <w:iCs/>
        </w:rPr>
        <w:t>J Lipid Res</w:t>
      </w:r>
      <w:r w:rsidRPr="00B52F73">
        <w:rPr>
          <w:rFonts w:ascii="Book Antiqua" w:hAnsi="Book Antiqua"/>
        </w:rPr>
        <w:t xml:space="preserve"> 2000; </w:t>
      </w:r>
      <w:r w:rsidRPr="00B52F73">
        <w:rPr>
          <w:rFonts w:ascii="Book Antiqua" w:hAnsi="Book Antiqua"/>
          <w:b/>
          <w:bCs/>
        </w:rPr>
        <w:t>41</w:t>
      </w:r>
      <w:r w:rsidRPr="00B52F73">
        <w:rPr>
          <w:rFonts w:ascii="Book Antiqua" w:hAnsi="Book Antiqua"/>
        </w:rPr>
        <w:t>: 1317-1327 [PMID: 10946020 DOI: 10.1016/S0022-2275(20)33440-4]</w:t>
      </w:r>
    </w:p>
    <w:p w14:paraId="19BB49D7"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23 </w:t>
      </w:r>
      <w:r w:rsidRPr="00B52F73">
        <w:rPr>
          <w:rFonts w:ascii="Book Antiqua" w:hAnsi="Book Antiqua"/>
          <w:b/>
          <w:bCs/>
        </w:rPr>
        <w:t>Kuwano A</w:t>
      </w:r>
      <w:r w:rsidRPr="00B52F73">
        <w:rPr>
          <w:rFonts w:ascii="Book Antiqua" w:hAnsi="Book Antiqua"/>
        </w:rPr>
        <w:t xml:space="preserve">, Kurokawa M, Kohjima M, Imoto K, Tashiro S, Suzuki H, Tanaka M, Okada S, Kato M, Ogawa Y. Microcirculatory disturbance in acute liver injury. </w:t>
      </w:r>
      <w:r w:rsidRPr="00B52F73">
        <w:rPr>
          <w:rFonts w:ascii="Book Antiqua" w:hAnsi="Book Antiqua"/>
          <w:i/>
          <w:iCs/>
        </w:rPr>
        <w:t>Exp Ther Med</w:t>
      </w:r>
      <w:r w:rsidRPr="00B52F73">
        <w:rPr>
          <w:rFonts w:ascii="Book Antiqua" w:hAnsi="Book Antiqua"/>
        </w:rPr>
        <w:t xml:space="preserve"> 2021; </w:t>
      </w:r>
      <w:r w:rsidRPr="00B52F73">
        <w:rPr>
          <w:rFonts w:ascii="Book Antiqua" w:hAnsi="Book Antiqua"/>
          <w:b/>
          <w:bCs/>
        </w:rPr>
        <w:t>21</w:t>
      </w:r>
      <w:r w:rsidRPr="00B52F73">
        <w:rPr>
          <w:rFonts w:ascii="Book Antiqua" w:hAnsi="Book Antiqua"/>
        </w:rPr>
        <w:t>: 596 [PMID: 33884034 DOI: 10.3892/etm.2021.10028]</w:t>
      </w:r>
    </w:p>
    <w:p w14:paraId="410C736E"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24 </w:t>
      </w:r>
      <w:r w:rsidRPr="00B52F73">
        <w:rPr>
          <w:rFonts w:ascii="Book Antiqua" w:hAnsi="Book Antiqua"/>
          <w:b/>
          <w:bCs/>
        </w:rPr>
        <w:t>Puri BK</w:t>
      </w:r>
      <w:r w:rsidRPr="00B52F73">
        <w:rPr>
          <w:rFonts w:ascii="Book Antiqua" w:hAnsi="Book Antiqua"/>
        </w:rPr>
        <w:t xml:space="preserve">, Kingston MC, Monro JA. Fructose-associated hepatotoxicity indexed by the lactate dehydrogenase isoenzyme LDH-5. </w:t>
      </w:r>
      <w:r w:rsidRPr="00B52F73">
        <w:rPr>
          <w:rFonts w:ascii="Book Antiqua" w:hAnsi="Book Antiqua"/>
          <w:i/>
          <w:iCs/>
        </w:rPr>
        <w:t>Med Hypotheses</w:t>
      </w:r>
      <w:r w:rsidRPr="00B52F73">
        <w:rPr>
          <w:rFonts w:ascii="Book Antiqua" w:hAnsi="Book Antiqua"/>
        </w:rPr>
        <w:t xml:space="preserve"> 2019; </w:t>
      </w:r>
      <w:r w:rsidRPr="00B52F73">
        <w:rPr>
          <w:rFonts w:ascii="Book Antiqua" w:hAnsi="Book Antiqua"/>
          <w:b/>
          <w:bCs/>
        </w:rPr>
        <w:t>124</w:t>
      </w:r>
      <w:r w:rsidRPr="00B52F73">
        <w:rPr>
          <w:rFonts w:ascii="Book Antiqua" w:hAnsi="Book Antiqua"/>
        </w:rPr>
        <w:t>: 40-41 [PMID: 30798914 DOI: 10.1016/j.mehy.2019.02.019]</w:t>
      </w:r>
    </w:p>
    <w:p w14:paraId="15B510E4"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25 </w:t>
      </w:r>
      <w:r w:rsidRPr="00B52F73">
        <w:rPr>
          <w:rFonts w:ascii="Book Antiqua" w:hAnsi="Book Antiqua"/>
          <w:b/>
          <w:bCs/>
        </w:rPr>
        <w:t>Yada M</w:t>
      </w:r>
      <w:r w:rsidRPr="00B52F73">
        <w:rPr>
          <w:rFonts w:ascii="Book Antiqua" w:hAnsi="Book Antiqua"/>
        </w:rPr>
        <w:t xml:space="preserve">, Miyazaki M, Motomura K, Masumoto A, Nakamuta M, Kohjima M, Sugimoto R, Aratake Y, Higashi N, Morizono S, Takao S, Yamashita N, Satoh T, Yamashita S, Kuniyoshi M, Kotoh K. The prognostic role of lactate dehydrogenase serum levels in patients with hepatocellular carcinoma who are treated with sorafenib: the influence of liver fibrosis. </w:t>
      </w:r>
      <w:r w:rsidRPr="00B52F73">
        <w:rPr>
          <w:rFonts w:ascii="Book Antiqua" w:hAnsi="Book Antiqua"/>
          <w:i/>
          <w:iCs/>
        </w:rPr>
        <w:t>J Gastrointest Oncol</w:t>
      </w:r>
      <w:r w:rsidRPr="00B52F73">
        <w:rPr>
          <w:rFonts w:ascii="Book Antiqua" w:hAnsi="Book Antiqua"/>
        </w:rPr>
        <w:t xml:space="preserve"> 2016; </w:t>
      </w:r>
      <w:r w:rsidRPr="00B52F73">
        <w:rPr>
          <w:rFonts w:ascii="Book Antiqua" w:hAnsi="Book Antiqua"/>
          <w:b/>
          <w:bCs/>
        </w:rPr>
        <w:t>7</w:t>
      </w:r>
      <w:r w:rsidRPr="00B52F73">
        <w:rPr>
          <w:rFonts w:ascii="Book Antiqua" w:hAnsi="Book Antiqua"/>
        </w:rPr>
        <w:t>: 615-623 [PMID: 27563453 DOI: 10.21037/jgo.2016.03.10]</w:t>
      </w:r>
    </w:p>
    <w:p w14:paraId="5E55AAB5"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26 </w:t>
      </w:r>
      <w:r w:rsidRPr="00B52F73">
        <w:rPr>
          <w:rFonts w:ascii="Book Antiqua" w:hAnsi="Book Antiqua"/>
          <w:b/>
          <w:bCs/>
        </w:rPr>
        <w:t>Hanigan MH</w:t>
      </w:r>
      <w:r w:rsidRPr="00B52F73">
        <w:rPr>
          <w:rFonts w:ascii="Book Antiqua" w:hAnsi="Book Antiqua"/>
        </w:rPr>
        <w:t xml:space="preserve">. Gamma-glutamyl transpeptidase: redox regulation and drug resistance. </w:t>
      </w:r>
      <w:r w:rsidRPr="00B52F73">
        <w:rPr>
          <w:rFonts w:ascii="Book Antiqua" w:hAnsi="Book Antiqua"/>
          <w:i/>
          <w:iCs/>
        </w:rPr>
        <w:t>Adv Cancer Res</w:t>
      </w:r>
      <w:r w:rsidRPr="00B52F73">
        <w:rPr>
          <w:rFonts w:ascii="Book Antiqua" w:hAnsi="Book Antiqua"/>
        </w:rPr>
        <w:t xml:space="preserve"> 2014; </w:t>
      </w:r>
      <w:r w:rsidRPr="00B52F73">
        <w:rPr>
          <w:rFonts w:ascii="Book Antiqua" w:hAnsi="Book Antiqua"/>
          <w:b/>
          <w:bCs/>
        </w:rPr>
        <w:t>122</w:t>
      </w:r>
      <w:r w:rsidRPr="00B52F73">
        <w:rPr>
          <w:rFonts w:ascii="Book Antiqua" w:hAnsi="Book Antiqua"/>
        </w:rPr>
        <w:t>: 103-141 [PMID: 24974180 DOI: 10.1016/B978-0-12-420117-0.00003-7]</w:t>
      </w:r>
    </w:p>
    <w:p w14:paraId="1782BE38" w14:textId="77777777" w:rsidR="007C6E8E" w:rsidRPr="00B52F73" w:rsidRDefault="007C6E8E" w:rsidP="00566FBC">
      <w:pPr>
        <w:spacing w:line="360" w:lineRule="auto"/>
        <w:jc w:val="both"/>
        <w:rPr>
          <w:rFonts w:ascii="Book Antiqua" w:hAnsi="Book Antiqua"/>
        </w:rPr>
      </w:pPr>
      <w:r w:rsidRPr="00B52F73">
        <w:rPr>
          <w:rFonts w:ascii="Book Antiqua" w:hAnsi="Book Antiqua"/>
        </w:rPr>
        <w:t xml:space="preserve">27 </w:t>
      </w:r>
      <w:r w:rsidRPr="00B52F73">
        <w:rPr>
          <w:rFonts w:ascii="Book Antiqua" w:hAnsi="Book Antiqua"/>
          <w:b/>
          <w:bCs/>
        </w:rPr>
        <w:t>Tan L</w:t>
      </w:r>
      <w:r w:rsidRPr="00B52F73">
        <w:rPr>
          <w:rFonts w:ascii="Book Antiqua" w:hAnsi="Book Antiqua"/>
        </w:rPr>
        <w:t xml:space="preserve">, Meng Y, Zeng T, Wang Q, Long T, Wu S, Guan X, Fu H, Zheng W, Tian Y, Chen J, Yu J, Wu Y, Li H, Cao L. Clinical diagnostic significance of prealbumin, cholinesterase and retinol binding protein in liver cirrhosis combined with encephalopathy. </w:t>
      </w:r>
      <w:r w:rsidRPr="00B52F73">
        <w:rPr>
          <w:rFonts w:ascii="Book Antiqua" w:hAnsi="Book Antiqua"/>
          <w:i/>
          <w:iCs/>
        </w:rPr>
        <w:t>Br J Biomed Sci</w:t>
      </w:r>
      <w:r w:rsidRPr="00B52F73">
        <w:rPr>
          <w:rFonts w:ascii="Book Antiqua" w:hAnsi="Book Antiqua"/>
        </w:rPr>
        <w:t xml:space="preserve"> 2019; </w:t>
      </w:r>
      <w:r w:rsidRPr="00B52F73">
        <w:rPr>
          <w:rFonts w:ascii="Book Antiqua" w:hAnsi="Book Antiqua"/>
          <w:b/>
          <w:bCs/>
        </w:rPr>
        <w:t>76</w:t>
      </w:r>
      <w:r w:rsidRPr="00B52F73">
        <w:rPr>
          <w:rFonts w:ascii="Book Antiqua" w:hAnsi="Book Antiqua"/>
        </w:rPr>
        <w:t>: 24-28 [PMID: 30392460 DOI: 10.1080/09674845.2018.1523673]</w:t>
      </w:r>
    </w:p>
    <w:p w14:paraId="3DF37003" w14:textId="77777777" w:rsidR="00A77B3E" w:rsidRPr="00B52F73" w:rsidRDefault="00A77B3E" w:rsidP="00566FBC">
      <w:pPr>
        <w:spacing w:line="360" w:lineRule="auto"/>
        <w:jc w:val="both"/>
        <w:rPr>
          <w:rFonts w:ascii="Book Antiqua" w:hAnsi="Book Antiqua"/>
        </w:rPr>
        <w:sectPr w:rsidR="00A77B3E" w:rsidRPr="00B52F73">
          <w:pgSz w:w="12240" w:h="15840"/>
          <w:pgMar w:top="1440" w:right="1440" w:bottom="1440" w:left="1440" w:header="720" w:footer="720" w:gutter="0"/>
          <w:cols w:space="720"/>
          <w:docGrid w:linePitch="360"/>
        </w:sectPr>
      </w:pPr>
    </w:p>
    <w:p w14:paraId="3F1CFFDA"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lastRenderedPageBreak/>
        <w:t>Footnotes</w:t>
      </w:r>
    </w:p>
    <w:p w14:paraId="56902317"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Institutional review board statement: </w:t>
      </w:r>
      <w:r w:rsidRPr="00B52F73">
        <w:rPr>
          <w:rFonts w:ascii="Book Antiqua" w:eastAsia="Book Antiqua" w:hAnsi="Book Antiqua" w:cs="Book Antiqua"/>
          <w:color w:val="000000"/>
        </w:rPr>
        <w:t>This study was conducted in accordance with the Declaration of Helsinki and approved by the Medical Ethics Committee of Guangdong Provincial People’s Hospital.</w:t>
      </w:r>
    </w:p>
    <w:p w14:paraId="729EFB79" w14:textId="77777777" w:rsidR="00A77B3E" w:rsidRPr="00B52F73" w:rsidRDefault="00A77B3E" w:rsidP="00566FBC">
      <w:pPr>
        <w:spacing w:line="360" w:lineRule="auto"/>
        <w:jc w:val="both"/>
        <w:rPr>
          <w:rFonts w:ascii="Book Antiqua" w:hAnsi="Book Antiqua"/>
        </w:rPr>
      </w:pPr>
    </w:p>
    <w:p w14:paraId="58225428"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Clinical trial registration statement: </w:t>
      </w:r>
      <w:r w:rsidRPr="00B52F73">
        <w:rPr>
          <w:rFonts w:ascii="Book Antiqua" w:eastAsia="Book Antiqua" w:hAnsi="Book Antiqua" w:cs="Book Antiqua"/>
          <w:color w:val="000000"/>
        </w:rPr>
        <w:t>This study was registered in the Chinese Clinical Trials Registry (https://www.chictr.org.cn/), registration number: ChiCTR2200056978.</w:t>
      </w:r>
    </w:p>
    <w:p w14:paraId="38035E78" w14:textId="77777777" w:rsidR="00A77B3E" w:rsidRPr="00B52F73" w:rsidRDefault="00A77B3E" w:rsidP="00566FBC">
      <w:pPr>
        <w:spacing w:line="360" w:lineRule="auto"/>
        <w:jc w:val="both"/>
        <w:rPr>
          <w:rFonts w:ascii="Book Antiqua" w:hAnsi="Book Antiqua"/>
        </w:rPr>
      </w:pPr>
    </w:p>
    <w:p w14:paraId="744BF68F" w14:textId="5B0C12A0"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Informed consent statement: </w:t>
      </w:r>
      <w:r w:rsidR="00566FBC" w:rsidRPr="00B52F73">
        <w:rPr>
          <w:rFonts w:ascii="Book Antiqua" w:eastAsia="Book Antiqua" w:hAnsi="Book Antiqua" w:cs="Book Antiqua"/>
        </w:rPr>
        <w:t>Informed consent was obtained from each enrolled patient before entering this study.</w:t>
      </w:r>
    </w:p>
    <w:p w14:paraId="213ECB68" w14:textId="77777777" w:rsidR="00A77B3E" w:rsidRPr="00B52F73" w:rsidRDefault="00A77B3E" w:rsidP="00566FBC">
      <w:pPr>
        <w:spacing w:line="360" w:lineRule="auto"/>
        <w:jc w:val="both"/>
        <w:rPr>
          <w:rFonts w:ascii="Book Antiqua" w:hAnsi="Book Antiqua"/>
        </w:rPr>
      </w:pPr>
    </w:p>
    <w:p w14:paraId="010E0736"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Conflict-of-interest statement: </w:t>
      </w:r>
      <w:r w:rsidRPr="00B52F73">
        <w:rPr>
          <w:rFonts w:ascii="Book Antiqua" w:eastAsia="Book Antiqua" w:hAnsi="Book Antiqua" w:cs="Book Antiqua"/>
          <w:color w:val="000000"/>
        </w:rPr>
        <w:t>All the authors report no relevant conflicts of interest for this article.</w:t>
      </w:r>
    </w:p>
    <w:p w14:paraId="12375F76" w14:textId="77777777" w:rsidR="00A77B3E" w:rsidRPr="00B52F73" w:rsidRDefault="00A77B3E" w:rsidP="00566FBC">
      <w:pPr>
        <w:spacing w:line="360" w:lineRule="auto"/>
        <w:jc w:val="both"/>
        <w:rPr>
          <w:rFonts w:ascii="Book Antiqua" w:hAnsi="Book Antiqua"/>
        </w:rPr>
      </w:pPr>
    </w:p>
    <w:p w14:paraId="7155F839"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Data sharing statement: </w:t>
      </w:r>
      <w:r w:rsidRPr="00B52F73">
        <w:rPr>
          <w:rFonts w:ascii="Book Antiqua" w:eastAsia="Book Antiqua" w:hAnsi="Book Antiqua" w:cs="Book Antiqua"/>
          <w:color w:val="333333"/>
          <w:shd w:val="clear" w:color="auto" w:fill="FFFFFF"/>
        </w:rPr>
        <w:t>No additional data are available.</w:t>
      </w:r>
    </w:p>
    <w:p w14:paraId="0A209D8E" w14:textId="77777777" w:rsidR="00A77B3E" w:rsidRPr="00B52F73" w:rsidRDefault="00A77B3E" w:rsidP="00566FBC">
      <w:pPr>
        <w:spacing w:line="360" w:lineRule="auto"/>
        <w:jc w:val="both"/>
        <w:rPr>
          <w:rFonts w:ascii="Book Antiqua" w:hAnsi="Book Antiqua"/>
        </w:rPr>
      </w:pPr>
    </w:p>
    <w:p w14:paraId="20490F9A"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CONSORT 2010 statement: </w:t>
      </w:r>
      <w:r w:rsidRPr="00B52F73">
        <w:rPr>
          <w:rFonts w:ascii="Book Antiqua" w:eastAsia="Book Antiqua" w:hAnsi="Book Antiqua" w:cs="Book Antiqua"/>
          <w:color w:val="000000"/>
        </w:rPr>
        <w:t>The authors have read the CONSORT 2010 statement, and the manuscript was prepared and revised according to the CONSORT 2010 statement.</w:t>
      </w:r>
    </w:p>
    <w:p w14:paraId="2DE85792" w14:textId="77777777" w:rsidR="00A77B3E" w:rsidRPr="00B52F73" w:rsidRDefault="00A77B3E" w:rsidP="00566FBC">
      <w:pPr>
        <w:spacing w:line="360" w:lineRule="auto"/>
        <w:jc w:val="both"/>
        <w:rPr>
          <w:rFonts w:ascii="Book Antiqua" w:hAnsi="Book Antiqua"/>
        </w:rPr>
      </w:pPr>
    </w:p>
    <w:p w14:paraId="45744099"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bCs/>
        </w:rPr>
        <w:t xml:space="preserve">Open-Access: </w:t>
      </w:r>
      <w:r w:rsidRPr="00B52F7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DF0F24" w14:textId="77777777" w:rsidR="00A77B3E" w:rsidRPr="00B52F73" w:rsidRDefault="00A77B3E" w:rsidP="00566FBC">
      <w:pPr>
        <w:spacing w:line="360" w:lineRule="auto"/>
        <w:jc w:val="both"/>
        <w:rPr>
          <w:rFonts w:ascii="Book Antiqua" w:hAnsi="Book Antiqua"/>
        </w:rPr>
      </w:pPr>
    </w:p>
    <w:p w14:paraId="63549E95"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t xml:space="preserve">Provenance and peer review: </w:t>
      </w:r>
      <w:r w:rsidRPr="00B52F73">
        <w:rPr>
          <w:rFonts w:ascii="Book Antiqua" w:eastAsia="Book Antiqua" w:hAnsi="Book Antiqua" w:cs="Book Antiqua"/>
        </w:rPr>
        <w:t>Unsolicited article; Externally peer reviewed.</w:t>
      </w:r>
    </w:p>
    <w:p w14:paraId="4054B769"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t xml:space="preserve">Peer-review model: </w:t>
      </w:r>
      <w:r w:rsidRPr="00B52F73">
        <w:rPr>
          <w:rFonts w:ascii="Book Antiqua" w:eastAsia="Book Antiqua" w:hAnsi="Book Antiqua" w:cs="Book Antiqua"/>
        </w:rPr>
        <w:t>Single blind</w:t>
      </w:r>
    </w:p>
    <w:p w14:paraId="0D0D0599" w14:textId="77777777" w:rsidR="00A77B3E" w:rsidRPr="00B52F73" w:rsidRDefault="00A77B3E" w:rsidP="00566FBC">
      <w:pPr>
        <w:spacing w:line="360" w:lineRule="auto"/>
        <w:jc w:val="both"/>
        <w:rPr>
          <w:rFonts w:ascii="Book Antiqua" w:hAnsi="Book Antiqua"/>
        </w:rPr>
      </w:pPr>
    </w:p>
    <w:p w14:paraId="479C78E0"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t xml:space="preserve">Peer-review started: </w:t>
      </w:r>
      <w:r w:rsidRPr="00B52F73">
        <w:rPr>
          <w:rFonts w:ascii="Book Antiqua" w:eastAsia="Book Antiqua" w:hAnsi="Book Antiqua" w:cs="Book Antiqua"/>
        </w:rPr>
        <w:t>February 13, 2023</w:t>
      </w:r>
    </w:p>
    <w:p w14:paraId="58D60F5A"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lastRenderedPageBreak/>
        <w:t xml:space="preserve">First decision: </w:t>
      </w:r>
      <w:r w:rsidRPr="00B52F73">
        <w:rPr>
          <w:rFonts w:ascii="Book Antiqua" w:eastAsia="Book Antiqua" w:hAnsi="Book Antiqua" w:cs="Book Antiqua"/>
        </w:rPr>
        <w:t>March 28, 2023</w:t>
      </w:r>
    </w:p>
    <w:p w14:paraId="2717D1B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t xml:space="preserve">Article in press: </w:t>
      </w:r>
    </w:p>
    <w:p w14:paraId="57D4B058" w14:textId="77777777" w:rsidR="00A77B3E" w:rsidRPr="00B52F73" w:rsidRDefault="00A77B3E" w:rsidP="00566FBC">
      <w:pPr>
        <w:spacing w:line="360" w:lineRule="auto"/>
        <w:jc w:val="both"/>
        <w:rPr>
          <w:rFonts w:ascii="Book Antiqua" w:hAnsi="Book Antiqua"/>
        </w:rPr>
      </w:pPr>
    </w:p>
    <w:p w14:paraId="157E0487" w14:textId="6AD465D2"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t xml:space="preserve">Specialty type: </w:t>
      </w:r>
      <w:r w:rsidR="007C6E8E" w:rsidRPr="00B52F73">
        <w:rPr>
          <w:rFonts w:ascii="Book Antiqua" w:eastAsia="Microsoft YaHei" w:hAnsi="Book Antiqua" w:cs="SimSun"/>
        </w:rPr>
        <w:t>Gastroenterology and hepatology</w:t>
      </w:r>
    </w:p>
    <w:p w14:paraId="1E805961"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t xml:space="preserve">Country/Territory of origin: </w:t>
      </w:r>
      <w:r w:rsidRPr="00B52F73">
        <w:rPr>
          <w:rFonts w:ascii="Book Antiqua" w:eastAsia="Book Antiqua" w:hAnsi="Book Antiqua" w:cs="Book Antiqua"/>
        </w:rPr>
        <w:t>China</w:t>
      </w:r>
    </w:p>
    <w:p w14:paraId="3CF1A9C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b/>
          <w:color w:val="000000"/>
        </w:rPr>
        <w:t>Peer-review report’s scientific quality classification</w:t>
      </w:r>
    </w:p>
    <w:p w14:paraId="1E0AA1A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rPr>
        <w:t>Grade A (Excellent): A</w:t>
      </w:r>
    </w:p>
    <w:p w14:paraId="18E7D777"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rPr>
        <w:t>Grade B (Very good): 0</w:t>
      </w:r>
    </w:p>
    <w:p w14:paraId="11419D44"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rPr>
        <w:t>Grade C (Good): C</w:t>
      </w:r>
    </w:p>
    <w:p w14:paraId="1D3AF38D"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rPr>
        <w:t>Grade D (Fair): 0</w:t>
      </w:r>
    </w:p>
    <w:p w14:paraId="799E2463" w14:textId="77777777" w:rsidR="00A77B3E" w:rsidRPr="00B52F73" w:rsidRDefault="00423C16" w:rsidP="00566FBC">
      <w:pPr>
        <w:spacing w:line="360" w:lineRule="auto"/>
        <w:jc w:val="both"/>
        <w:rPr>
          <w:rFonts w:ascii="Book Antiqua" w:hAnsi="Book Antiqua"/>
        </w:rPr>
      </w:pPr>
      <w:r w:rsidRPr="00B52F73">
        <w:rPr>
          <w:rFonts w:ascii="Book Antiqua" w:eastAsia="Book Antiqua" w:hAnsi="Book Antiqua" w:cs="Book Antiqua"/>
        </w:rPr>
        <w:t>Grade E (Poor): 0</w:t>
      </w:r>
    </w:p>
    <w:p w14:paraId="42E6E4B3" w14:textId="77777777" w:rsidR="00A77B3E" w:rsidRPr="00B52F73" w:rsidRDefault="00A77B3E" w:rsidP="00566FBC">
      <w:pPr>
        <w:spacing w:line="360" w:lineRule="auto"/>
        <w:jc w:val="both"/>
        <w:rPr>
          <w:rFonts w:ascii="Book Antiqua" w:hAnsi="Book Antiqua"/>
        </w:rPr>
      </w:pPr>
    </w:p>
    <w:p w14:paraId="62FB2B88" w14:textId="70264865" w:rsidR="00DA2B5F" w:rsidRPr="00B52F73" w:rsidRDefault="00423C16" w:rsidP="00566FBC">
      <w:pPr>
        <w:spacing w:line="360" w:lineRule="auto"/>
        <w:jc w:val="both"/>
        <w:rPr>
          <w:rFonts w:ascii="Book Antiqua" w:eastAsia="Book Antiqua" w:hAnsi="Book Antiqua" w:cs="Book Antiqua"/>
          <w:b/>
          <w:color w:val="000000"/>
        </w:rPr>
      </w:pPr>
      <w:r w:rsidRPr="00B52F73">
        <w:rPr>
          <w:rFonts w:ascii="Book Antiqua" w:eastAsia="Book Antiqua" w:hAnsi="Book Antiqua" w:cs="Book Antiqua"/>
          <w:b/>
          <w:color w:val="000000"/>
        </w:rPr>
        <w:t xml:space="preserve">P-Reviewer: </w:t>
      </w:r>
      <w:r w:rsidRPr="00B52F73">
        <w:rPr>
          <w:rFonts w:ascii="Book Antiqua" w:eastAsia="Book Antiqua" w:hAnsi="Book Antiqua" w:cs="Book Antiqua"/>
        </w:rPr>
        <w:t>Goja S, India; Hori T, Japan</w:t>
      </w:r>
      <w:r w:rsidRPr="00B52F73">
        <w:rPr>
          <w:rFonts w:ascii="Book Antiqua" w:eastAsia="Book Antiqua" w:hAnsi="Book Antiqua" w:cs="Book Antiqua"/>
          <w:b/>
          <w:color w:val="000000"/>
        </w:rPr>
        <w:t xml:space="preserve"> S-Editor: </w:t>
      </w:r>
      <w:r w:rsidR="00DA2B5F" w:rsidRPr="00B52F73">
        <w:rPr>
          <w:rFonts w:ascii="Book Antiqua" w:eastAsia="Book Antiqua" w:hAnsi="Book Antiqua" w:cs="Book Antiqua"/>
          <w:bCs/>
          <w:color w:val="000000"/>
        </w:rPr>
        <w:t>Wang JJ</w:t>
      </w:r>
      <w:r w:rsidRPr="00B52F73">
        <w:rPr>
          <w:rFonts w:ascii="Book Antiqua" w:eastAsia="Book Antiqua" w:hAnsi="Book Antiqua" w:cs="Book Antiqua"/>
          <w:b/>
          <w:color w:val="000000"/>
        </w:rPr>
        <w:t xml:space="preserve"> L-Editor: </w:t>
      </w:r>
      <w:r w:rsidR="007F7E56" w:rsidRPr="00B52F73">
        <w:rPr>
          <w:rFonts w:ascii="Book Antiqua" w:eastAsia="Book Antiqua" w:hAnsi="Book Antiqua" w:cs="Book Antiqua"/>
          <w:bCs/>
          <w:color w:val="000000"/>
        </w:rPr>
        <w:t>Filipodia</w:t>
      </w:r>
      <w:r w:rsidRPr="00B52F73">
        <w:rPr>
          <w:rFonts w:ascii="Book Antiqua" w:eastAsia="Book Antiqua" w:hAnsi="Book Antiqua" w:cs="Book Antiqua"/>
          <w:b/>
          <w:color w:val="000000"/>
        </w:rPr>
        <w:t xml:space="preserve"> P-Editor:</w:t>
      </w:r>
    </w:p>
    <w:p w14:paraId="2EE06EE3" w14:textId="5F192707" w:rsidR="00A77B3E" w:rsidRPr="00B52F73" w:rsidRDefault="00423C16" w:rsidP="00566FBC">
      <w:pPr>
        <w:spacing w:line="360" w:lineRule="auto"/>
        <w:jc w:val="both"/>
        <w:rPr>
          <w:rFonts w:ascii="Book Antiqua" w:hAnsi="Book Antiqua"/>
        </w:rPr>
        <w:sectPr w:rsidR="00A77B3E" w:rsidRPr="00B52F73">
          <w:pgSz w:w="12240" w:h="15840"/>
          <w:pgMar w:top="1440" w:right="1440" w:bottom="1440" w:left="1440" w:header="720" w:footer="720" w:gutter="0"/>
          <w:cols w:space="720"/>
          <w:docGrid w:linePitch="360"/>
        </w:sectPr>
      </w:pPr>
      <w:r w:rsidRPr="00B52F73">
        <w:rPr>
          <w:rFonts w:ascii="Book Antiqua" w:eastAsia="Book Antiqua" w:hAnsi="Book Antiqua" w:cs="Book Antiqua"/>
          <w:b/>
          <w:color w:val="000000"/>
        </w:rPr>
        <w:t xml:space="preserve"> </w:t>
      </w:r>
    </w:p>
    <w:p w14:paraId="730AB55B" w14:textId="77777777" w:rsidR="00A77B3E" w:rsidRPr="00B52F73" w:rsidRDefault="00423C16" w:rsidP="00566FBC">
      <w:pPr>
        <w:spacing w:line="360" w:lineRule="auto"/>
        <w:jc w:val="both"/>
        <w:rPr>
          <w:rFonts w:ascii="Book Antiqua" w:eastAsia="Book Antiqua" w:hAnsi="Book Antiqua" w:cs="Book Antiqua"/>
          <w:b/>
          <w:color w:val="000000"/>
        </w:rPr>
      </w:pPr>
      <w:r w:rsidRPr="00B52F73">
        <w:rPr>
          <w:rFonts w:ascii="Book Antiqua" w:eastAsia="Book Antiqua" w:hAnsi="Book Antiqua" w:cs="Book Antiqua"/>
          <w:b/>
          <w:color w:val="000000"/>
        </w:rPr>
        <w:lastRenderedPageBreak/>
        <w:t>Figure Legends</w:t>
      </w:r>
    </w:p>
    <w:p w14:paraId="6BABD015" w14:textId="77777777" w:rsidR="00566FBC" w:rsidRPr="00B52F73" w:rsidRDefault="00566FBC" w:rsidP="00566FBC">
      <w:pPr>
        <w:spacing w:line="360" w:lineRule="auto"/>
        <w:jc w:val="both"/>
        <w:rPr>
          <w:rFonts w:ascii="Book Antiqua" w:hAnsi="Book Antiqua"/>
          <w:lang w:eastAsia="zh-CN"/>
        </w:rPr>
      </w:pPr>
      <w:r w:rsidRPr="00B52F73">
        <w:rPr>
          <w:rFonts w:ascii="Book Antiqua" w:hAnsi="Book Antiqua"/>
          <w:noProof/>
        </w:rPr>
        <w:drawing>
          <wp:inline distT="0" distB="0" distL="0" distR="0" wp14:anchorId="6352B3EC" wp14:editId="76CD5F77">
            <wp:extent cx="3221326" cy="4838700"/>
            <wp:effectExtent l="0" t="0" r="0" b="0"/>
            <wp:docPr id="292983289" name="图片 29298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9074" cy="4850339"/>
                    </a:xfrm>
                    <a:prstGeom prst="rect">
                      <a:avLst/>
                    </a:prstGeom>
                  </pic:spPr>
                </pic:pic>
              </a:graphicData>
            </a:graphic>
          </wp:inline>
        </w:drawing>
      </w:r>
    </w:p>
    <w:p w14:paraId="395A96A9" w14:textId="77777777" w:rsidR="00566FBC" w:rsidRPr="00B52F73" w:rsidRDefault="00566FBC" w:rsidP="00566FBC">
      <w:pPr>
        <w:spacing w:line="360" w:lineRule="auto"/>
        <w:jc w:val="both"/>
        <w:rPr>
          <w:rFonts w:ascii="Book Antiqua" w:eastAsia="Book Antiqua" w:hAnsi="Book Antiqua" w:cs="Book Antiqua"/>
          <w:color w:val="000000"/>
        </w:rPr>
      </w:pPr>
      <w:r w:rsidRPr="00B52F73">
        <w:rPr>
          <w:rFonts w:ascii="Book Antiqua" w:eastAsia="Book Antiqua" w:hAnsi="Book Antiqua" w:cs="Book Antiqua"/>
          <w:b/>
          <w:bCs/>
          <w:color w:val="000000"/>
        </w:rPr>
        <w:t>Figure 1 Different liver background fluorescence intensity levels.</w:t>
      </w:r>
      <w:r w:rsidRPr="00B52F73">
        <w:rPr>
          <w:rFonts w:ascii="Book Antiqua" w:eastAsia="Book Antiqua" w:hAnsi="Book Antiqua" w:cs="Book Antiqua"/>
          <w:color w:val="000000"/>
        </w:rPr>
        <w:t xml:space="preserve"> A and B: Low fluorescence intensity liver background images of patient 1 in green fluorescence and spy display modes, respectively; C and D: Liver background images of patient 2 with relative low (common) fluorescence intensity in green fluorescence and spy display modes, respectively; E and F: High fluorescence intensity liver background images of patient 3 in green fluorescence and spy display modes, respectively; G and H: Liver background images with extremely high fluorescence intensity of patient 4 in green fluorescence and spy display modes, respectively.</w:t>
      </w:r>
    </w:p>
    <w:p w14:paraId="75B3E080" w14:textId="77777777" w:rsidR="00566FBC" w:rsidRPr="00B52F73" w:rsidRDefault="00566FBC" w:rsidP="00566FBC">
      <w:pPr>
        <w:spacing w:line="360" w:lineRule="auto"/>
        <w:jc w:val="both"/>
        <w:rPr>
          <w:rFonts w:ascii="Book Antiqua" w:eastAsia="Book Antiqua" w:hAnsi="Book Antiqua" w:cs="Book Antiqua"/>
          <w:b/>
          <w:color w:val="000000"/>
        </w:rPr>
      </w:pPr>
    </w:p>
    <w:p w14:paraId="6C4C9A4D" w14:textId="64C0EF7A" w:rsidR="00B5486D" w:rsidRPr="00B52F73" w:rsidRDefault="00B5486D" w:rsidP="00566FBC">
      <w:pPr>
        <w:spacing w:line="360" w:lineRule="auto"/>
        <w:jc w:val="both"/>
        <w:rPr>
          <w:rFonts w:ascii="Book Antiqua" w:eastAsia="Book Antiqua" w:hAnsi="Book Antiqua" w:cs="Book Antiqua"/>
          <w:b/>
          <w:color w:val="000000"/>
        </w:rPr>
      </w:pPr>
      <w:r w:rsidRPr="00B52F73">
        <w:rPr>
          <w:rFonts w:ascii="Book Antiqua" w:hAnsi="Book Antiqua"/>
          <w:noProof/>
        </w:rPr>
        <w:lastRenderedPageBreak/>
        <w:drawing>
          <wp:inline distT="0" distB="0" distL="0" distR="0" wp14:anchorId="58AFF888" wp14:editId="54D65540">
            <wp:extent cx="5943600" cy="4393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93565"/>
                    </a:xfrm>
                    <a:prstGeom prst="rect">
                      <a:avLst/>
                    </a:prstGeom>
                  </pic:spPr>
                </pic:pic>
              </a:graphicData>
            </a:graphic>
          </wp:inline>
        </w:drawing>
      </w:r>
    </w:p>
    <w:p w14:paraId="5ED5E0F4" w14:textId="43E04497" w:rsidR="00B5486D" w:rsidRPr="00B52F73" w:rsidRDefault="00B5486D" w:rsidP="00566FBC">
      <w:pPr>
        <w:spacing w:line="360" w:lineRule="auto"/>
        <w:jc w:val="both"/>
        <w:rPr>
          <w:rFonts w:ascii="Book Antiqua" w:eastAsia="Book Antiqua" w:hAnsi="Book Antiqua" w:cs="Book Antiqua"/>
          <w:bCs/>
          <w:color w:val="000000"/>
        </w:rPr>
      </w:pPr>
      <w:r w:rsidRPr="00B52F73">
        <w:rPr>
          <w:rFonts w:ascii="Book Antiqua" w:eastAsia="Book Antiqua" w:hAnsi="Book Antiqua" w:cs="Book Antiqua"/>
          <w:b/>
          <w:color w:val="000000"/>
        </w:rPr>
        <w:t xml:space="preserve">Figure </w:t>
      </w:r>
      <w:r w:rsidR="004B639E" w:rsidRPr="00B52F73">
        <w:rPr>
          <w:rFonts w:ascii="Book Antiqua" w:eastAsia="Book Antiqua" w:hAnsi="Book Antiqua" w:cs="Book Antiqua"/>
          <w:b/>
          <w:color w:val="000000"/>
        </w:rPr>
        <w:t xml:space="preserve">2 </w:t>
      </w:r>
      <w:r w:rsidRPr="00B52F73">
        <w:rPr>
          <w:rFonts w:ascii="Book Antiqua" w:eastAsia="Book Antiqua" w:hAnsi="Book Antiqua" w:cs="Book Antiqua"/>
          <w:b/>
          <w:color w:val="000000"/>
        </w:rPr>
        <w:t>Flow chart of this study.</w:t>
      </w:r>
      <w:r w:rsidRPr="00B52F73">
        <w:rPr>
          <w:rFonts w:ascii="Book Antiqua" w:eastAsia="Book Antiqua" w:hAnsi="Book Antiqua" w:cs="Book Antiqua"/>
          <w:bCs/>
          <w:color w:val="000000"/>
        </w:rPr>
        <w:t xml:space="preserve"> ICG:</w:t>
      </w:r>
      <w:r w:rsidRPr="00B52F73">
        <w:rPr>
          <w:rFonts w:ascii="Book Antiqua" w:hAnsi="Book Antiqua"/>
        </w:rPr>
        <w:t xml:space="preserve"> </w:t>
      </w:r>
      <w:bookmarkStart w:id="4" w:name="_Hlk133584917"/>
      <w:r w:rsidRPr="00B52F73">
        <w:rPr>
          <w:rFonts w:ascii="Book Antiqua" w:eastAsia="Book Antiqua" w:hAnsi="Book Antiqua" w:cs="Book Antiqua"/>
          <w:bCs/>
          <w:color w:val="000000"/>
        </w:rPr>
        <w:t>Indocyanine green</w:t>
      </w:r>
      <w:bookmarkEnd w:id="4"/>
      <w:r w:rsidRPr="00B52F73">
        <w:rPr>
          <w:rFonts w:ascii="Book Antiqua" w:eastAsia="Book Antiqua" w:hAnsi="Book Antiqua" w:cs="Book Antiqua"/>
          <w:bCs/>
          <w:color w:val="000000"/>
        </w:rPr>
        <w:t>.</w:t>
      </w:r>
    </w:p>
    <w:p w14:paraId="1E3F1E5D" w14:textId="77777777" w:rsidR="00B5486D" w:rsidRPr="00B52F73" w:rsidRDefault="00B5486D" w:rsidP="00566FBC">
      <w:pPr>
        <w:spacing w:line="360" w:lineRule="auto"/>
        <w:jc w:val="both"/>
        <w:rPr>
          <w:rFonts w:ascii="Book Antiqua" w:eastAsia="Book Antiqua" w:hAnsi="Book Antiqua" w:cs="Book Antiqua"/>
          <w:bCs/>
          <w:color w:val="000000"/>
        </w:rPr>
        <w:sectPr w:rsidR="00B5486D" w:rsidRPr="00B52F73">
          <w:pgSz w:w="12240" w:h="15840"/>
          <w:pgMar w:top="1440" w:right="1440" w:bottom="1440" w:left="1440" w:header="720" w:footer="720" w:gutter="0"/>
          <w:cols w:space="720"/>
          <w:docGrid w:linePitch="360"/>
        </w:sectPr>
      </w:pPr>
    </w:p>
    <w:p w14:paraId="0A4F164F" w14:textId="7FB3F718" w:rsidR="00B5486D" w:rsidRPr="00B52F73" w:rsidRDefault="00B5486D" w:rsidP="00566FBC">
      <w:pPr>
        <w:spacing w:line="360" w:lineRule="auto"/>
        <w:jc w:val="both"/>
        <w:rPr>
          <w:rFonts w:ascii="Book Antiqua" w:eastAsia="Book Antiqua" w:hAnsi="Book Antiqua" w:cs="Book Antiqua"/>
          <w:bCs/>
          <w:color w:val="000000"/>
        </w:rPr>
      </w:pPr>
      <w:r w:rsidRPr="00B52F73">
        <w:rPr>
          <w:rFonts w:ascii="Book Antiqua" w:hAnsi="Book Antiqua"/>
          <w:noProof/>
        </w:rPr>
        <w:lastRenderedPageBreak/>
        <w:drawing>
          <wp:inline distT="0" distB="0" distL="0" distR="0" wp14:anchorId="361B5439" wp14:editId="4F8B7DC9">
            <wp:extent cx="4286009" cy="4886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0268" cy="4891181"/>
                    </a:xfrm>
                    <a:prstGeom prst="rect">
                      <a:avLst/>
                    </a:prstGeom>
                  </pic:spPr>
                </pic:pic>
              </a:graphicData>
            </a:graphic>
          </wp:inline>
        </w:drawing>
      </w:r>
    </w:p>
    <w:p w14:paraId="7CDC5B6A" w14:textId="4D88538A" w:rsidR="00A77B3E" w:rsidRPr="00B52F73" w:rsidRDefault="00423C16" w:rsidP="00566FBC">
      <w:pPr>
        <w:spacing w:line="360" w:lineRule="auto"/>
        <w:jc w:val="both"/>
        <w:rPr>
          <w:rFonts w:ascii="Book Antiqua" w:eastAsia="Book Antiqua" w:hAnsi="Book Antiqua" w:cs="Book Antiqua"/>
          <w:color w:val="000000"/>
        </w:rPr>
      </w:pPr>
      <w:r w:rsidRPr="00B52F73">
        <w:rPr>
          <w:rFonts w:ascii="Book Antiqua" w:eastAsia="Book Antiqua" w:hAnsi="Book Antiqua" w:cs="Book Antiqua"/>
          <w:b/>
          <w:bCs/>
          <w:color w:val="000000"/>
        </w:rPr>
        <w:t xml:space="preserve">Figure </w:t>
      </w:r>
      <w:r w:rsidR="004B639E" w:rsidRPr="00B52F73">
        <w:rPr>
          <w:rFonts w:ascii="Book Antiqua" w:eastAsia="Book Antiqua" w:hAnsi="Book Antiqua" w:cs="Book Antiqua"/>
          <w:b/>
          <w:bCs/>
          <w:color w:val="000000"/>
        </w:rPr>
        <w:t xml:space="preserve">3 </w:t>
      </w:r>
      <w:r w:rsidR="00B5486D" w:rsidRPr="00B52F73">
        <w:rPr>
          <w:rFonts w:ascii="Book Antiqua" w:eastAsia="Book Antiqua" w:hAnsi="Book Antiqua" w:cs="Book Antiqua"/>
          <w:b/>
          <w:bCs/>
          <w:color w:val="000000"/>
        </w:rPr>
        <w:t>Liver background, gallbladder, Liver tumor in different mode.</w:t>
      </w:r>
      <w:r w:rsidR="00B5486D" w:rsidRPr="00B52F73">
        <w:rPr>
          <w:rFonts w:ascii="Book Antiqua" w:eastAsia="Book Antiqua" w:hAnsi="Book Antiqua" w:cs="Book Antiqua"/>
          <w:color w:val="000000"/>
        </w:rPr>
        <w:t xml:space="preserve"> </w:t>
      </w:r>
      <w:bookmarkStart w:id="5" w:name="_Hlk133584392"/>
      <w:r w:rsidR="00B5486D" w:rsidRPr="00B52F73">
        <w:rPr>
          <w:rFonts w:ascii="Book Antiqua" w:eastAsia="Book Antiqua" w:hAnsi="Book Antiqua" w:cs="Book Antiqua"/>
          <w:color w:val="000000"/>
        </w:rPr>
        <w:t xml:space="preserve">A: </w:t>
      </w:r>
      <w:r w:rsidRPr="00B52F73">
        <w:rPr>
          <w:rFonts w:ascii="Book Antiqua" w:eastAsia="Book Antiqua" w:hAnsi="Book Antiqua" w:cs="Book Antiqua"/>
          <w:color w:val="000000"/>
        </w:rPr>
        <w:t>Liver background</w:t>
      </w:r>
      <w:r w:rsidR="00B5486D" w:rsidRPr="00B52F73">
        <w:rPr>
          <w:rFonts w:ascii="Book Antiqua" w:eastAsia="Book Antiqua" w:hAnsi="Book Antiqua" w:cs="Book Antiqua"/>
          <w:color w:val="000000"/>
        </w:rPr>
        <w:t xml:space="preserve"> in green fluorescence mode; B:</w:t>
      </w:r>
      <w:r w:rsidRPr="00B52F73">
        <w:rPr>
          <w:rFonts w:ascii="Book Antiqua" w:eastAsia="Book Antiqua" w:hAnsi="Book Antiqua" w:cs="Book Antiqua"/>
          <w:color w:val="000000"/>
        </w:rPr>
        <w:t xml:space="preserve"> </w:t>
      </w:r>
      <w:r w:rsidR="00004B23" w:rsidRPr="00B52F73">
        <w:rPr>
          <w:rFonts w:ascii="Book Antiqua" w:eastAsia="Book Antiqua" w:hAnsi="Book Antiqua" w:cs="Book Antiqua"/>
          <w:color w:val="000000"/>
        </w:rPr>
        <w:t>C</w:t>
      </w:r>
      <w:r w:rsidR="00B5486D" w:rsidRPr="00B52F73">
        <w:rPr>
          <w:rFonts w:ascii="Book Antiqua" w:eastAsia="Book Antiqua" w:hAnsi="Book Antiqua" w:cs="Book Antiqua"/>
          <w:color w:val="000000"/>
        </w:rPr>
        <w:t>orresponding fluorescence area of liver background in spy mode were manually outlined by two individual investigators; C:</w:t>
      </w:r>
      <w:r w:rsidRPr="00B52F73">
        <w:rPr>
          <w:rFonts w:ascii="Book Antiqua" w:eastAsia="Book Antiqua" w:hAnsi="Book Antiqua" w:cs="Book Antiqua"/>
          <w:color w:val="000000"/>
        </w:rPr>
        <w:t xml:space="preserve"> </w:t>
      </w:r>
      <w:r w:rsidR="00B5486D" w:rsidRPr="00B52F73">
        <w:rPr>
          <w:rFonts w:ascii="Book Antiqua" w:eastAsia="Book Antiqua" w:hAnsi="Book Antiqua" w:cs="Book Antiqua"/>
          <w:color w:val="000000"/>
        </w:rPr>
        <w:t>G</w:t>
      </w:r>
      <w:r w:rsidRPr="00B52F73">
        <w:rPr>
          <w:rFonts w:ascii="Book Antiqua" w:eastAsia="Book Antiqua" w:hAnsi="Book Antiqua" w:cs="Book Antiqua"/>
          <w:color w:val="000000"/>
        </w:rPr>
        <w:t>allbladder</w:t>
      </w:r>
      <w:r w:rsidR="00B5486D" w:rsidRPr="00B52F73">
        <w:rPr>
          <w:rFonts w:ascii="Book Antiqua" w:eastAsia="Book Antiqua" w:hAnsi="Book Antiqua" w:cs="Book Antiqua"/>
          <w:color w:val="000000"/>
        </w:rPr>
        <w:t xml:space="preserve"> in green fluorescence mode; D: </w:t>
      </w:r>
      <w:r w:rsidR="00004B23" w:rsidRPr="00B52F73">
        <w:rPr>
          <w:rFonts w:ascii="Book Antiqua" w:eastAsia="Book Antiqua" w:hAnsi="Book Antiqua" w:cs="Book Antiqua"/>
          <w:color w:val="000000"/>
        </w:rPr>
        <w:t>C</w:t>
      </w:r>
      <w:r w:rsidR="00B5486D" w:rsidRPr="00B52F73">
        <w:rPr>
          <w:rFonts w:ascii="Book Antiqua" w:eastAsia="Book Antiqua" w:hAnsi="Book Antiqua" w:cs="Book Antiqua"/>
          <w:color w:val="000000"/>
        </w:rPr>
        <w:t>orresponding fluorescence area of gallbladder in spy mode were manually outlined by two individual investigators; E:</w:t>
      </w:r>
      <w:r w:rsidRPr="00B52F73">
        <w:rPr>
          <w:rFonts w:ascii="Book Antiqua" w:eastAsia="Book Antiqua" w:hAnsi="Book Antiqua" w:cs="Book Antiqua"/>
          <w:color w:val="000000"/>
        </w:rPr>
        <w:t xml:space="preserve"> Liver tumor </w:t>
      </w:r>
      <w:bookmarkEnd w:id="5"/>
      <w:r w:rsidRPr="00B52F73">
        <w:rPr>
          <w:rFonts w:ascii="Book Antiqua" w:eastAsia="Book Antiqua" w:hAnsi="Book Antiqua" w:cs="Book Antiqua"/>
          <w:color w:val="000000"/>
        </w:rPr>
        <w:t xml:space="preserve">in </w:t>
      </w:r>
      <w:r w:rsidR="00B5486D" w:rsidRPr="00B52F73">
        <w:rPr>
          <w:rFonts w:ascii="Book Antiqua" w:eastAsia="Book Antiqua" w:hAnsi="Book Antiqua" w:cs="Book Antiqua"/>
          <w:color w:val="000000"/>
        </w:rPr>
        <w:t>g</w:t>
      </w:r>
      <w:r w:rsidRPr="00B52F73">
        <w:rPr>
          <w:rFonts w:ascii="Book Antiqua" w:eastAsia="Book Antiqua" w:hAnsi="Book Antiqua" w:cs="Book Antiqua"/>
          <w:color w:val="000000"/>
        </w:rPr>
        <w:t>reen fluorescence mode</w:t>
      </w:r>
      <w:r w:rsidR="00B5486D" w:rsidRPr="00B52F73">
        <w:rPr>
          <w:rFonts w:ascii="Book Antiqua" w:eastAsia="Book Antiqua" w:hAnsi="Book Antiqua" w:cs="Book Antiqua"/>
          <w:color w:val="000000"/>
        </w:rPr>
        <w:t>; F:</w:t>
      </w:r>
      <w:r w:rsidRPr="00B52F73">
        <w:rPr>
          <w:rFonts w:ascii="Book Antiqua" w:eastAsia="Book Antiqua" w:hAnsi="Book Antiqua" w:cs="Book Antiqua"/>
          <w:color w:val="000000"/>
        </w:rPr>
        <w:t xml:space="preserve"> </w:t>
      </w:r>
      <w:r w:rsidR="00004B23" w:rsidRPr="00B52F73">
        <w:rPr>
          <w:rFonts w:ascii="Book Antiqua" w:eastAsia="Book Antiqua" w:hAnsi="Book Antiqua" w:cs="Book Antiqua"/>
          <w:color w:val="000000"/>
        </w:rPr>
        <w:t>C</w:t>
      </w:r>
      <w:r w:rsidRPr="00B52F73">
        <w:rPr>
          <w:rFonts w:ascii="Book Antiqua" w:eastAsia="Book Antiqua" w:hAnsi="Book Antiqua" w:cs="Book Antiqua"/>
          <w:color w:val="000000"/>
        </w:rPr>
        <w:t xml:space="preserve">orresponding fluorescence area of </w:t>
      </w:r>
      <w:r w:rsidR="00B5486D" w:rsidRPr="00B52F73">
        <w:rPr>
          <w:rFonts w:ascii="Book Antiqua" w:eastAsia="Book Antiqua" w:hAnsi="Book Antiqua" w:cs="Book Antiqua"/>
          <w:color w:val="000000"/>
        </w:rPr>
        <w:t>l</w:t>
      </w:r>
      <w:r w:rsidRPr="00B52F73">
        <w:rPr>
          <w:rFonts w:ascii="Book Antiqua" w:eastAsia="Book Antiqua" w:hAnsi="Book Antiqua" w:cs="Book Antiqua"/>
          <w:color w:val="000000"/>
        </w:rPr>
        <w:t>iver tumor in spy mode were manually outlined by two individual investigators.</w:t>
      </w:r>
    </w:p>
    <w:p w14:paraId="1F129690" w14:textId="77777777" w:rsidR="00B5486D" w:rsidRPr="00B52F73" w:rsidRDefault="00B5486D" w:rsidP="00566FBC">
      <w:pPr>
        <w:spacing w:line="360" w:lineRule="auto"/>
        <w:jc w:val="both"/>
        <w:rPr>
          <w:rFonts w:ascii="Book Antiqua" w:hAnsi="Book Antiqua"/>
        </w:rPr>
        <w:sectPr w:rsidR="00B5486D" w:rsidRPr="00B52F73">
          <w:pgSz w:w="12240" w:h="15840"/>
          <w:pgMar w:top="1440" w:right="1440" w:bottom="1440" w:left="1440" w:header="720" w:footer="720" w:gutter="0"/>
          <w:cols w:space="720"/>
          <w:docGrid w:linePitch="360"/>
        </w:sectPr>
      </w:pPr>
    </w:p>
    <w:p w14:paraId="7CCB51EB" w14:textId="72F82105" w:rsidR="00B5486D" w:rsidRPr="00B52F73" w:rsidRDefault="00B5486D" w:rsidP="00566FBC">
      <w:pPr>
        <w:spacing w:line="360" w:lineRule="auto"/>
        <w:jc w:val="both"/>
        <w:rPr>
          <w:rFonts w:ascii="Book Antiqua" w:hAnsi="Book Antiqua"/>
          <w:noProof/>
        </w:rPr>
      </w:pPr>
      <w:r w:rsidRPr="00B52F73">
        <w:rPr>
          <w:rFonts w:ascii="Book Antiqua" w:hAnsi="Book Antiqua"/>
          <w:noProof/>
        </w:rPr>
        <w:drawing>
          <wp:inline distT="0" distB="0" distL="0" distR="0" wp14:anchorId="6BDF70AD" wp14:editId="030E84FD">
            <wp:extent cx="2886075" cy="278391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5882" cy="2803020"/>
                    </a:xfrm>
                    <a:prstGeom prst="rect">
                      <a:avLst/>
                    </a:prstGeom>
                  </pic:spPr>
                </pic:pic>
              </a:graphicData>
            </a:graphic>
          </wp:inline>
        </w:drawing>
      </w:r>
      <w:r w:rsidRPr="00B52F73">
        <w:rPr>
          <w:rFonts w:ascii="Book Antiqua" w:hAnsi="Book Antiqua"/>
          <w:noProof/>
        </w:rPr>
        <w:t xml:space="preserve"> </w:t>
      </w:r>
      <w:r w:rsidRPr="00B52F73">
        <w:rPr>
          <w:rFonts w:ascii="Book Antiqua" w:hAnsi="Book Antiqua"/>
          <w:noProof/>
        </w:rPr>
        <w:drawing>
          <wp:inline distT="0" distB="0" distL="0" distR="0" wp14:anchorId="7007E5DC" wp14:editId="10412925">
            <wp:extent cx="2857500" cy="27628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1871" cy="2796075"/>
                    </a:xfrm>
                    <a:prstGeom prst="rect">
                      <a:avLst/>
                    </a:prstGeom>
                  </pic:spPr>
                </pic:pic>
              </a:graphicData>
            </a:graphic>
          </wp:inline>
        </w:drawing>
      </w:r>
    </w:p>
    <w:p w14:paraId="1CAEF1D2" w14:textId="01F9C66E" w:rsidR="00B5486D" w:rsidRPr="00B52F73" w:rsidRDefault="00B5486D" w:rsidP="00566FBC">
      <w:pPr>
        <w:spacing w:line="360" w:lineRule="auto"/>
        <w:jc w:val="both"/>
        <w:rPr>
          <w:rFonts w:ascii="Book Antiqua" w:eastAsia="Book Antiqua" w:hAnsi="Book Antiqua" w:cs="Book Antiqua"/>
          <w:color w:val="000000"/>
        </w:rPr>
      </w:pPr>
      <w:r w:rsidRPr="00B52F73">
        <w:rPr>
          <w:rFonts w:ascii="Book Antiqua" w:eastAsia="Book Antiqua" w:hAnsi="Book Antiqua" w:cs="Book Antiqua"/>
          <w:b/>
          <w:bCs/>
          <w:color w:val="000000"/>
        </w:rPr>
        <w:t xml:space="preserve">Figure </w:t>
      </w:r>
      <w:r w:rsidR="003F44BF" w:rsidRPr="00B52F73">
        <w:rPr>
          <w:rFonts w:ascii="Book Antiqua" w:eastAsia="Book Antiqua" w:hAnsi="Book Antiqua" w:cs="Book Antiqua"/>
          <w:b/>
          <w:bCs/>
          <w:color w:val="000000"/>
        </w:rPr>
        <w:t xml:space="preserve">4 </w:t>
      </w:r>
      <w:r w:rsidRPr="00B52F73">
        <w:rPr>
          <w:rFonts w:ascii="Book Antiqua" w:eastAsia="Book Antiqua" w:hAnsi="Book Antiqua" w:cs="Book Antiqua"/>
          <w:b/>
          <w:bCs/>
          <w:color w:val="000000"/>
        </w:rPr>
        <w:t>Receiver operating characteristic curves</w:t>
      </w:r>
      <w:r w:rsidR="00C20C5A" w:rsidRPr="00B52F73">
        <w:rPr>
          <w:rFonts w:ascii="Book Antiqua" w:eastAsia="Book Antiqua" w:hAnsi="Book Antiqua" w:cs="Book Antiqua"/>
          <w:b/>
          <w:bCs/>
          <w:color w:val="000000"/>
        </w:rPr>
        <w:t>.</w:t>
      </w:r>
      <w:r w:rsidR="00C20C5A" w:rsidRPr="00B52F73">
        <w:rPr>
          <w:rFonts w:ascii="Book Antiqua" w:eastAsia="Book Antiqua" w:hAnsi="Book Antiqua" w:cs="Book Antiqua"/>
          <w:color w:val="000000"/>
        </w:rPr>
        <w:t xml:space="preserve"> A: Receiver operating characteristic (ROC) curve of fluorescence intensity of liver background (FI-LB) and liver indocyanine green clearance ability (subjective evaluation); B: ROC curve of </w:t>
      </w:r>
      <w:r w:rsidR="00C20C5A" w:rsidRPr="00B52F73">
        <w:rPr>
          <w:rFonts w:ascii="Book Antiqua" w:eastAsia="Book Antiqua" w:hAnsi="Book Antiqua" w:cs="Book Antiqua"/>
          <w:i/>
          <w:iCs/>
          <w:color w:val="000000"/>
        </w:rPr>
        <w:t>H</w:t>
      </w:r>
      <w:r w:rsidR="00C20C5A" w:rsidRPr="00B52F73">
        <w:rPr>
          <w:rFonts w:ascii="Book Antiqua" w:eastAsia="Book Antiqua" w:hAnsi="Book Antiqua" w:cs="Book Antiqua"/>
          <w:color w:val="000000"/>
        </w:rPr>
        <w:t xml:space="preserve"> value and </w:t>
      </w:r>
      <w:r w:rsidR="00CF77FC" w:rsidRPr="00B52F73">
        <w:rPr>
          <w:rFonts w:ascii="Book Antiqua" w:eastAsia="Book Antiqua" w:hAnsi="Book Antiqua" w:cs="Book Antiqua"/>
          <w:color w:val="000000"/>
        </w:rPr>
        <w:t>FI-LB</w:t>
      </w:r>
      <w:r w:rsidR="00C20C5A" w:rsidRPr="00B52F73">
        <w:rPr>
          <w:rFonts w:ascii="Book Antiqua" w:eastAsia="Book Antiqua" w:hAnsi="Book Antiqua" w:cs="Book Antiqua"/>
          <w:color w:val="000000"/>
        </w:rPr>
        <w:t xml:space="preserve"> group.</w:t>
      </w:r>
    </w:p>
    <w:p w14:paraId="581939F2" w14:textId="77777777" w:rsidR="00C20C5A" w:rsidRPr="00B52F73" w:rsidRDefault="00C20C5A" w:rsidP="00566FBC">
      <w:pPr>
        <w:spacing w:line="360" w:lineRule="auto"/>
        <w:jc w:val="both"/>
        <w:rPr>
          <w:rFonts w:ascii="Book Antiqua" w:hAnsi="Book Antiqua"/>
          <w:lang w:eastAsia="zh-CN"/>
        </w:rPr>
        <w:sectPr w:rsidR="00C20C5A" w:rsidRPr="00B52F73">
          <w:pgSz w:w="12240" w:h="15840"/>
          <w:pgMar w:top="1440" w:right="1440" w:bottom="1440" w:left="1440" w:header="720" w:footer="720" w:gutter="0"/>
          <w:cols w:space="720"/>
          <w:docGrid w:linePitch="360"/>
        </w:sectPr>
      </w:pPr>
    </w:p>
    <w:p w14:paraId="78F3432B" w14:textId="77777777" w:rsidR="005D7C1D" w:rsidRPr="00B52F73" w:rsidRDefault="005D7C1D" w:rsidP="00566FBC">
      <w:pPr>
        <w:spacing w:line="360" w:lineRule="auto"/>
        <w:jc w:val="both"/>
        <w:rPr>
          <w:rFonts w:ascii="Book Antiqua" w:hAnsi="Book Antiqua"/>
        </w:rPr>
      </w:pPr>
      <w:r w:rsidRPr="00B52F73">
        <w:rPr>
          <w:rFonts w:ascii="Book Antiqua" w:hAnsi="Book Antiqua"/>
          <w:b/>
          <w:bCs/>
        </w:rPr>
        <w:t>Table 1 Patient basic characteristics</w:t>
      </w:r>
    </w:p>
    <w:tbl>
      <w:tblPr>
        <w:tblW w:w="8406" w:type="dxa"/>
        <w:tblLook w:val="04A0" w:firstRow="1" w:lastRow="0" w:firstColumn="1" w:lastColumn="0" w:noHBand="0" w:noVBand="1"/>
      </w:tblPr>
      <w:tblGrid>
        <w:gridCol w:w="6237"/>
        <w:gridCol w:w="2169"/>
      </w:tblGrid>
      <w:tr w:rsidR="005D7C1D" w:rsidRPr="00B52F73" w14:paraId="38F1EF76" w14:textId="77777777" w:rsidTr="006717B2">
        <w:trPr>
          <w:trHeight w:val="325"/>
        </w:trPr>
        <w:tc>
          <w:tcPr>
            <w:tcW w:w="6237" w:type="dxa"/>
            <w:tcBorders>
              <w:top w:val="single" w:sz="4" w:space="0" w:color="auto"/>
              <w:bottom w:val="single" w:sz="4" w:space="0" w:color="auto"/>
            </w:tcBorders>
            <w:noWrap/>
            <w:hideMark/>
          </w:tcPr>
          <w:p w14:paraId="2764AEC0" w14:textId="77777777" w:rsidR="005D7C1D" w:rsidRPr="00B52F73" w:rsidRDefault="005D7C1D" w:rsidP="00566FBC">
            <w:pPr>
              <w:spacing w:line="360" w:lineRule="auto"/>
              <w:jc w:val="both"/>
              <w:rPr>
                <w:rFonts w:ascii="Book Antiqua" w:hAnsi="Book Antiqua"/>
                <w:b/>
                <w:bCs/>
              </w:rPr>
            </w:pPr>
            <w:r w:rsidRPr="00B52F73">
              <w:rPr>
                <w:rFonts w:ascii="Book Antiqua" w:hAnsi="Book Antiqua"/>
                <w:b/>
                <w:bCs/>
              </w:rPr>
              <w:t>Characteristics</w:t>
            </w:r>
          </w:p>
        </w:tc>
        <w:tc>
          <w:tcPr>
            <w:tcW w:w="2169" w:type="dxa"/>
            <w:tcBorders>
              <w:top w:val="single" w:sz="4" w:space="0" w:color="auto"/>
              <w:bottom w:val="single" w:sz="4" w:space="0" w:color="auto"/>
            </w:tcBorders>
            <w:noWrap/>
            <w:hideMark/>
          </w:tcPr>
          <w:p w14:paraId="5C90C567" w14:textId="75EB3B28" w:rsidR="005D7C1D" w:rsidRPr="00B52F73" w:rsidRDefault="005D7C1D" w:rsidP="00566FBC">
            <w:pPr>
              <w:spacing w:line="360" w:lineRule="auto"/>
              <w:jc w:val="both"/>
              <w:rPr>
                <w:rFonts w:ascii="Book Antiqua" w:hAnsi="Book Antiqua"/>
                <w:b/>
                <w:bCs/>
              </w:rPr>
            </w:pPr>
            <w:r w:rsidRPr="00B52F73">
              <w:rPr>
                <w:rFonts w:ascii="Book Antiqua" w:hAnsi="Book Antiqua"/>
                <w:b/>
                <w:bCs/>
              </w:rPr>
              <w:t>Patients</w:t>
            </w:r>
            <w:r w:rsidR="00565154" w:rsidRPr="00B52F73">
              <w:rPr>
                <w:rFonts w:ascii="Book Antiqua" w:hAnsi="Book Antiqua"/>
                <w:b/>
                <w:bCs/>
              </w:rPr>
              <w:t>,</w:t>
            </w:r>
            <w:r w:rsidRPr="00B52F73">
              <w:rPr>
                <w:rFonts w:ascii="Book Antiqua" w:hAnsi="Book Antiqua"/>
                <w:b/>
                <w:bCs/>
              </w:rPr>
              <w:t xml:space="preserve"> </w:t>
            </w:r>
            <w:r w:rsidRPr="00B52F73">
              <w:rPr>
                <w:rFonts w:ascii="Book Antiqua" w:hAnsi="Book Antiqua"/>
                <w:b/>
                <w:bCs/>
                <w:i/>
                <w:iCs/>
              </w:rPr>
              <w:t>n</w:t>
            </w:r>
            <w:r w:rsidRPr="00B52F73">
              <w:rPr>
                <w:rFonts w:ascii="Book Antiqua" w:hAnsi="Book Antiqua"/>
                <w:b/>
                <w:bCs/>
              </w:rPr>
              <w:t xml:space="preserve"> = 110</w:t>
            </w:r>
          </w:p>
        </w:tc>
      </w:tr>
      <w:tr w:rsidR="005D7C1D" w:rsidRPr="00B52F73" w14:paraId="072CB847" w14:textId="77777777" w:rsidTr="006717B2">
        <w:trPr>
          <w:trHeight w:val="325"/>
        </w:trPr>
        <w:tc>
          <w:tcPr>
            <w:tcW w:w="6237" w:type="dxa"/>
            <w:tcBorders>
              <w:top w:val="single" w:sz="4" w:space="0" w:color="auto"/>
            </w:tcBorders>
            <w:noWrap/>
            <w:hideMark/>
          </w:tcPr>
          <w:p w14:paraId="347C630D" w14:textId="77777777" w:rsidR="005D7C1D" w:rsidRPr="00B52F73" w:rsidRDefault="005D7C1D" w:rsidP="00566FBC">
            <w:pPr>
              <w:spacing w:line="360" w:lineRule="auto"/>
              <w:jc w:val="both"/>
              <w:rPr>
                <w:rFonts w:ascii="Book Antiqua" w:hAnsi="Book Antiqua"/>
              </w:rPr>
            </w:pPr>
            <w:r w:rsidRPr="00B52F73">
              <w:rPr>
                <w:rFonts w:ascii="Book Antiqua" w:hAnsi="Book Antiqua"/>
              </w:rPr>
              <w:t xml:space="preserve">Sex, male, </w:t>
            </w:r>
            <w:r w:rsidRPr="00B52F73">
              <w:rPr>
                <w:rFonts w:ascii="Book Antiqua" w:hAnsi="Book Antiqua"/>
                <w:i/>
                <w:iCs/>
              </w:rPr>
              <w:t>n</w:t>
            </w:r>
            <w:r w:rsidRPr="00B52F73">
              <w:rPr>
                <w:rFonts w:ascii="Book Antiqua" w:hAnsi="Book Antiqua"/>
              </w:rPr>
              <w:t xml:space="preserve"> (%)</w:t>
            </w:r>
          </w:p>
        </w:tc>
        <w:tc>
          <w:tcPr>
            <w:tcW w:w="2169" w:type="dxa"/>
            <w:tcBorders>
              <w:top w:val="single" w:sz="4" w:space="0" w:color="auto"/>
            </w:tcBorders>
            <w:noWrap/>
            <w:hideMark/>
          </w:tcPr>
          <w:p w14:paraId="22F0B3C1" w14:textId="77777777" w:rsidR="005D7C1D" w:rsidRPr="00B52F73" w:rsidRDefault="005D7C1D" w:rsidP="00566FBC">
            <w:pPr>
              <w:spacing w:line="360" w:lineRule="auto"/>
              <w:jc w:val="both"/>
              <w:rPr>
                <w:rFonts w:ascii="Book Antiqua" w:hAnsi="Book Antiqua"/>
              </w:rPr>
            </w:pPr>
            <w:r w:rsidRPr="00B52F73">
              <w:rPr>
                <w:rFonts w:ascii="Book Antiqua" w:hAnsi="Book Antiqua"/>
              </w:rPr>
              <w:t>79 (71.80%)</w:t>
            </w:r>
          </w:p>
        </w:tc>
      </w:tr>
      <w:tr w:rsidR="005D7C1D" w:rsidRPr="00B52F73" w14:paraId="49016467" w14:textId="77777777" w:rsidTr="006717B2">
        <w:trPr>
          <w:trHeight w:val="325"/>
        </w:trPr>
        <w:tc>
          <w:tcPr>
            <w:tcW w:w="6237" w:type="dxa"/>
            <w:noWrap/>
            <w:hideMark/>
          </w:tcPr>
          <w:p w14:paraId="59A62201" w14:textId="044C21C8" w:rsidR="005D7C1D" w:rsidRPr="00B52F73" w:rsidRDefault="005D7C1D" w:rsidP="00566FBC">
            <w:pPr>
              <w:spacing w:line="360" w:lineRule="auto"/>
              <w:jc w:val="both"/>
              <w:rPr>
                <w:rFonts w:ascii="Book Antiqua" w:hAnsi="Book Antiqua"/>
              </w:rPr>
            </w:pPr>
            <w:r w:rsidRPr="00B52F73">
              <w:rPr>
                <w:rFonts w:ascii="Book Antiqua" w:hAnsi="Book Antiqua"/>
              </w:rPr>
              <w:t xml:space="preserve">Age </w:t>
            </w:r>
            <w:r w:rsidR="00565154" w:rsidRPr="00B52F73">
              <w:rPr>
                <w:rFonts w:ascii="Book Antiqua" w:hAnsi="Book Antiqua"/>
              </w:rPr>
              <w:t xml:space="preserve">in </w:t>
            </w:r>
            <w:r w:rsidRPr="00B52F73">
              <w:rPr>
                <w:rFonts w:ascii="Book Antiqua" w:hAnsi="Book Antiqua"/>
              </w:rPr>
              <w:t>yr</w:t>
            </w:r>
          </w:p>
        </w:tc>
        <w:tc>
          <w:tcPr>
            <w:tcW w:w="2169" w:type="dxa"/>
            <w:noWrap/>
            <w:hideMark/>
          </w:tcPr>
          <w:p w14:paraId="557372A1" w14:textId="77777777" w:rsidR="005D7C1D" w:rsidRPr="00B52F73" w:rsidRDefault="005D7C1D" w:rsidP="00566FBC">
            <w:pPr>
              <w:spacing w:line="360" w:lineRule="auto"/>
              <w:jc w:val="both"/>
              <w:rPr>
                <w:rFonts w:ascii="Book Antiqua" w:hAnsi="Book Antiqua"/>
              </w:rPr>
            </w:pPr>
            <w:r w:rsidRPr="00B52F73">
              <w:rPr>
                <w:rFonts w:ascii="Book Antiqua" w:hAnsi="Book Antiqua"/>
              </w:rPr>
              <w:t>54.09 ± 11.80</w:t>
            </w:r>
          </w:p>
        </w:tc>
      </w:tr>
      <w:tr w:rsidR="005D7C1D" w:rsidRPr="00B52F73" w14:paraId="7E1E2171" w14:textId="77777777" w:rsidTr="006717B2">
        <w:trPr>
          <w:trHeight w:val="325"/>
        </w:trPr>
        <w:tc>
          <w:tcPr>
            <w:tcW w:w="6237" w:type="dxa"/>
            <w:noWrap/>
            <w:hideMark/>
          </w:tcPr>
          <w:p w14:paraId="55759C0F" w14:textId="7F9F8D27" w:rsidR="005D7C1D" w:rsidRPr="00B52F73" w:rsidRDefault="005D7C1D" w:rsidP="00566FBC">
            <w:pPr>
              <w:spacing w:line="360" w:lineRule="auto"/>
              <w:jc w:val="both"/>
              <w:rPr>
                <w:rFonts w:ascii="Book Antiqua" w:hAnsi="Book Antiqua"/>
              </w:rPr>
            </w:pPr>
            <w:r w:rsidRPr="00B52F73">
              <w:rPr>
                <w:rFonts w:ascii="Book Antiqua" w:hAnsi="Book Antiqua"/>
              </w:rPr>
              <w:t xml:space="preserve">Height </w:t>
            </w:r>
            <w:r w:rsidR="00565154" w:rsidRPr="00B52F73">
              <w:rPr>
                <w:rFonts w:ascii="Book Antiqua" w:hAnsi="Book Antiqua"/>
              </w:rPr>
              <w:t xml:space="preserve">in </w:t>
            </w:r>
            <w:r w:rsidRPr="00B52F73">
              <w:rPr>
                <w:rFonts w:ascii="Book Antiqua" w:hAnsi="Book Antiqua"/>
              </w:rPr>
              <w:t>cm</w:t>
            </w:r>
          </w:p>
        </w:tc>
        <w:tc>
          <w:tcPr>
            <w:tcW w:w="2169" w:type="dxa"/>
            <w:noWrap/>
            <w:hideMark/>
          </w:tcPr>
          <w:p w14:paraId="1BF0C0B8" w14:textId="77777777" w:rsidR="005D7C1D" w:rsidRPr="00B52F73" w:rsidRDefault="005D7C1D" w:rsidP="00566FBC">
            <w:pPr>
              <w:spacing w:line="360" w:lineRule="auto"/>
              <w:jc w:val="both"/>
              <w:rPr>
                <w:rFonts w:ascii="Book Antiqua" w:hAnsi="Book Antiqua"/>
              </w:rPr>
            </w:pPr>
            <w:r w:rsidRPr="00B52F73">
              <w:rPr>
                <w:rFonts w:ascii="Book Antiqua" w:hAnsi="Book Antiqua"/>
              </w:rPr>
              <w:t>165.47 ± 7.349</w:t>
            </w:r>
          </w:p>
        </w:tc>
      </w:tr>
      <w:tr w:rsidR="005D7C1D" w:rsidRPr="00B52F73" w14:paraId="7932D49A" w14:textId="77777777" w:rsidTr="006717B2">
        <w:trPr>
          <w:trHeight w:val="325"/>
        </w:trPr>
        <w:tc>
          <w:tcPr>
            <w:tcW w:w="6237" w:type="dxa"/>
            <w:noWrap/>
            <w:hideMark/>
          </w:tcPr>
          <w:p w14:paraId="64F5DAA5" w14:textId="6F7EF9F6" w:rsidR="005D7C1D" w:rsidRPr="00B52F73" w:rsidRDefault="005D7C1D" w:rsidP="00566FBC">
            <w:pPr>
              <w:spacing w:line="360" w:lineRule="auto"/>
              <w:jc w:val="both"/>
              <w:rPr>
                <w:rFonts w:ascii="Book Antiqua" w:hAnsi="Book Antiqua"/>
              </w:rPr>
            </w:pPr>
            <w:r w:rsidRPr="00B52F73">
              <w:rPr>
                <w:rFonts w:ascii="Book Antiqua" w:hAnsi="Book Antiqua"/>
              </w:rPr>
              <w:t xml:space="preserve">Weight </w:t>
            </w:r>
            <w:r w:rsidR="00565154" w:rsidRPr="00B52F73">
              <w:rPr>
                <w:rFonts w:ascii="Book Antiqua" w:hAnsi="Book Antiqua"/>
              </w:rPr>
              <w:t xml:space="preserve">in </w:t>
            </w:r>
            <w:r w:rsidRPr="00B52F73">
              <w:rPr>
                <w:rFonts w:ascii="Book Antiqua" w:hAnsi="Book Antiqua"/>
              </w:rPr>
              <w:t>kg</w:t>
            </w:r>
          </w:p>
        </w:tc>
        <w:tc>
          <w:tcPr>
            <w:tcW w:w="2169" w:type="dxa"/>
            <w:noWrap/>
            <w:hideMark/>
          </w:tcPr>
          <w:p w14:paraId="46D1C9AD" w14:textId="77777777" w:rsidR="005D7C1D" w:rsidRPr="00B52F73" w:rsidRDefault="005D7C1D" w:rsidP="00566FBC">
            <w:pPr>
              <w:spacing w:line="360" w:lineRule="auto"/>
              <w:jc w:val="both"/>
              <w:rPr>
                <w:rFonts w:ascii="Book Antiqua" w:hAnsi="Book Antiqua"/>
              </w:rPr>
            </w:pPr>
            <w:r w:rsidRPr="00B52F73">
              <w:rPr>
                <w:rFonts w:ascii="Book Antiqua" w:hAnsi="Book Antiqua"/>
              </w:rPr>
              <w:t>64.21 ± 11.64</w:t>
            </w:r>
          </w:p>
        </w:tc>
      </w:tr>
      <w:tr w:rsidR="005D7C1D" w:rsidRPr="00B52F73" w14:paraId="0DD8DE0A" w14:textId="77777777" w:rsidTr="006717B2">
        <w:trPr>
          <w:trHeight w:val="325"/>
        </w:trPr>
        <w:tc>
          <w:tcPr>
            <w:tcW w:w="6237" w:type="dxa"/>
            <w:noWrap/>
            <w:hideMark/>
          </w:tcPr>
          <w:p w14:paraId="2E130139" w14:textId="7321565F" w:rsidR="005D7C1D" w:rsidRPr="00B52F73" w:rsidRDefault="005D7C1D" w:rsidP="00566FBC">
            <w:pPr>
              <w:spacing w:line="360" w:lineRule="auto"/>
              <w:jc w:val="both"/>
              <w:rPr>
                <w:rFonts w:ascii="Book Antiqua" w:hAnsi="Book Antiqua"/>
              </w:rPr>
            </w:pPr>
            <w:r w:rsidRPr="00B52F73">
              <w:rPr>
                <w:rFonts w:ascii="Book Antiqua" w:hAnsi="Book Antiqua"/>
              </w:rPr>
              <w:t>Poor liver ICG clearance ability</w:t>
            </w:r>
            <w:r w:rsidR="00565154" w:rsidRPr="00B52F73">
              <w:rPr>
                <w:rFonts w:ascii="Book Antiqua" w:hAnsi="Book Antiqua"/>
              </w:rPr>
              <w:t>,</w:t>
            </w:r>
            <w:r w:rsidRPr="00B52F73">
              <w:rPr>
                <w:rFonts w:ascii="Book Antiqua" w:hAnsi="Book Antiqua"/>
              </w:rPr>
              <w:t xml:space="preserve"> subjective evaluation</w:t>
            </w:r>
          </w:p>
        </w:tc>
        <w:tc>
          <w:tcPr>
            <w:tcW w:w="2169" w:type="dxa"/>
            <w:noWrap/>
            <w:hideMark/>
          </w:tcPr>
          <w:p w14:paraId="2A22A320" w14:textId="77777777" w:rsidR="005D7C1D" w:rsidRPr="00B52F73" w:rsidRDefault="005D7C1D" w:rsidP="00566FBC">
            <w:pPr>
              <w:spacing w:line="360" w:lineRule="auto"/>
              <w:jc w:val="both"/>
              <w:rPr>
                <w:rFonts w:ascii="Book Antiqua" w:hAnsi="Book Antiqua"/>
              </w:rPr>
            </w:pPr>
            <w:r w:rsidRPr="00B52F73">
              <w:rPr>
                <w:rFonts w:ascii="Book Antiqua" w:hAnsi="Book Antiqua"/>
              </w:rPr>
              <w:t>23 (20.90%)</w:t>
            </w:r>
          </w:p>
        </w:tc>
      </w:tr>
      <w:tr w:rsidR="005D7C1D" w:rsidRPr="00B52F73" w14:paraId="16FE162F" w14:textId="77777777" w:rsidTr="006717B2">
        <w:trPr>
          <w:trHeight w:val="325"/>
        </w:trPr>
        <w:tc>
          <w:tcPr>
            <w:tcW w:w="6237" w:type="dxa"/>
            <w:noWrap/>
          </w:tcPr>
          <w:p w14:paraId="53CAF030" w14:textId="77777777" w:rsidR="005D7C1D" w:rsidRPr="00B52F73" w:rsidRDefault="005D7C1D" w:rsidP="00566FBC">
            <w:pPr>
              <w:spacing w:line="360" w:lineRule="auto"/>
              <w:jc w:val="both"/>
              <w:rPr>
                <w:rFonts w:ascii="Book Antiqua" w:hAnsi="Book Antiqua"/>
              </w:rPr>
            </w:pPr>
            <w:r w:rsidRPr="00B52F73">
              <w:rPr>
                <w:rFonts w:ascii="Book Antiqua" w:hAnsi="Book Antiqua"/>
              </w:rPr>
              <w:t>FI-LB</w:t>
            </w:r>
          </w:p>
        </w:tc>
        <w:tc>
          <w:tcPr>
            <w:tcW w:w="2169" w:type="dxa"/>
            <w:noWrap/>
          </w:tcPr>
          <w:p w14:paraId="2B6D3103" w14:textId="77777777" w:rsidR="005D7C1D" w:rsidRPr="00B52F73" w:rsidRDefault="005D7C1D" w:rsidP="00566FBC">
            <w:pPr>
              <w:spacing w:line="360" w:lineRule="auto"/>
              <w:jc w:val="both"/>
              <w:rPr>
                <w:rFonts w:ascii="Book Antiqua" w:hAnsi="Book Antiqua"/>
              </w:rPr>
            </w:pPr>
            <w:r w:rsidRPr="00B52F73">
              <w:rPr>
                <w:rFonts w:ascii="Book Antiqua" w:hAnsi="Book Antiqua"/>
              </w:rPr>
              <w:t>18.87 ± 17.06</w:t>
            </w:r>
          </w:p>
        </w:tc>
      </w:tr>
      <w:tr w:rsidR="005D7C1D" w:rsidRPr="00B52F73" w14:paraId="2FA8031D" w14:textId="77777777" w:rsidTr="006717B2">
        <w:trPr>
          <w:trHeight w:val="325"/>
        </w:trPr>
        <w:tc>
          <w:tcPr>
            <w:tcW w:w="6237" w:type="dxa"/>
            <w:noWrap/>
            <w:hideMark/>
          </w:tcPr>
          <w:p w14:paraId="2CA5D79A" w14:textId="77777777" w:rsidR="005D7C1D" w:rsidRPr="00B52F73" w:rsidRDefault="005D7C1D" w:rsidP="00566FBC">
            <w:pPr>
              <w:spacing w:line="360" w:lineRule="auto"/>
              <w:jc w:val="both"/>
              <w:rPr>
                <w:rFonts w:ascii="Book Antiqua" w:hAnsi="Book Antiqua"/>
              </w:rPr>
            </w:pPr>
            <w:r w:rsidRPr="00B52F73">
              <w:rPr>
                <w:rFonts w:ascii="Book Antiqua" w:hAnsi="Book Antiqua"/>
              </w:rPr>
              <w:t>FI-G</w:t>
            </w:r>
          </w:p>
        </w:tc>
        <w:tc>
          <w:tcPr>
            <w:tcW w:w="2169" w:type="dxa"/>
            <w:noWrap/>
            <w:hideMark/>
          </w:tcPr>
          <w:p w14:paraId="714CF035" w14:textId="77777777" w:rsidR="005D7C1D" w:rsidRPr="00B52F73" w:rsidRDefault="005D7C1D" w:rsidP="00566FBC">
            <w:pPr>
              <w:spacing w:line="360" w:lineRule="auto"/>
              <w:jc w:val="both"/>
              <w:rPr>
                <w:rFonts w:ascii="Book Antiqua" w:hAnsi="Book Antiqua"/>
              </w:rPr>
            </w:pPr>
            <w:r w:rsidRPr="00B52F73">
              <w:rPr>
                <w:rFonts w:ascii="Book Antiqua" w:hAnsi="Book Antiqua"/>
              </w:rPr>
              <w:t>54.84 ± 33.29</w:t>
            </w:r>
          </w:p>
        </w:tc>
      </w:tr>
      <w:tr w:rsidR="005D7C1D" w:rsidRPr="00B52F73" w14:paraId="52DA3C8C" w14:textId="77777777" w:rsidTr="006717B2">
        <w:trPr>
          <w:trHeight w:val="325"/>
        </w:trPr>
        <w:tc>
          <w:tcPr>
            <w:tcW w:w="6237" w:type="dxa"/>
            <w:noWrap/>
            <w:hideMark/>
          </w:tcPr>
          <w:p w14:paraId="5B8C2BB4" w14:textId="77777777" w:rsidR="005D7C1D" w:rsidRPr="00B52F73" w:rsidRDefault="005D7C1D" w:rsidP="00566FBC">
            <w:pPr>
              <w:spacing w:line="360" w:lineRule="auto"/>
              <w:jc w:val="both"/>
              <w:rPr>
                <w:rFonts w:ascii="Book Antiqua" w:hAnsi="Book Antiqua"/>
              </w:rPr>
            </w:pPr>
            <w:r w:rsidRPr="00B52F73">
              <w:rPr>
                <w:rFonts w:ascii="Book Antiqua" w:hAnsi="Book Antiqua"/>
              </w:rPr>
              <w:t>FI-T</w:t>
            </w:r>
          </w:p>
        </w:tc>
        <w:tc>
          <w:tcPr>
            <w:tcW w:w="2169" w:type="dxa"/>
            <w:noWrap/>
            <w:hideMark/>
          </w:tcPr>
          <w:p w14:paraId="2B756CC3" w14:textId="77777777" w:rsidR="005D7C1D" w:rsidRPr="00B52F73" w:rsidRDefault="005D7C1D" w:rsidP="00566FBC">
            <w:pPr>
              <w:spacing w:line="360" w:lineRule="auto"/>
              <w:jc w:val="both"/>
              <w:rPr>
                <w:rFonts w:ascii="Book Antiqua" w:hAnsi="Book Antiqua"/>
              </w:rPr>
            </w:pPr>
            <w:r w:rsidRPr="00B52F73">
              <w:rPr>
                <w:rFonts w:ascii="Book Antiqua" w:hAnsi="Book Antiqua"/>
              </w:rPr>
              <w:t>68.56 ± 36.11</w:t>
            </w:r>
          </w:p>
        </w:tc>
      </w:tr>
      <w:tr w:rsidR="005D7C1D" w:rsidRPr="00B52F73" w14:paraId="652EE3ED" w14:textId="77777777" w:rsidTr="006717B2">
        <w:trPr>
          <w:trHeight w:val="325"/>
        </w:trPr>
        <w:tc>
          <w:tcPr>
            <w:tcW w:w="6237" w:type="dxa"/>
            <w:noWrap/>
            <w:hideMark/>
          </w:tcPr>
          <w:p w14:paraId="19519A2F" w14:textId="77777777" w:rsidR="005D7C1D" w:rsidRPr="00B52F73" w:rsidRDefault="005D7C1D" w:rsidP="00566FBC">
            <w:pPr>
              <w:spacing w:line="360" w:lineRule="auto"/>
              <w:jc w:val="both"/>
              <w:rPr>
                <w:rFonts w:ascii="Book Antiqua" w:hAnsi="Book Antiqua"/>
              </w:rPr>
            </w:pPr>
            <w:r w:rsidRPr="00B52F73">
              <w:rPr>
                <w:rFonts w:ascii="Book Antiqua" w:hAnsi="Book Antiqua"/>
              </w:rPr>
              <w:t>TLR</w:t>
            </w:r>
          </w:p>
        </w:tc>
        <w:tc>
          <w:tcPr>
            <w:tcW w:w="2169" w:type="dxa"/>
            <w:noWrap/>
            <w:hideMark/>
          </w:tcPr>
          <w:p w14:paraId="6A94AFF3" w14:textId="77777777" w:rsidR="005D7C1D" w:rsidRPr="00B52F73" w:rsidRDefault="005D7C1D" w:rsidP="00566FBC">
            <w:pPr>
              <w:spacing w:line="360" w:lineRule="auto"/>
              <w:jc w:val="both"/>
              <w:rPr>
                <w:rFonts w:ascii="Book Antiqua" w:hAnsi="Book Antiqua"/>
              </w:rPr>
            </w:pPr>
            <w:r w:rsidRPr="00B52F73">
              <w:rPr>
                <w:rFonts w:ascii="Book Antiqua" w:hAnsi="Book Antiqua"/>
              </w:rPr>
              <w:t>14.05 ± 62.72</w:t>
            </w:r>
          </w:p>
        </w:tc>
      </w:tr>
      <w:tr w:rsidR="005D7C1D" w:rsidRPr="00B52F73" w14:paraId="51DA71DC" w14:textId="77777777" w:rsidTr="006717B2">
        <w:trPr>
          <w:trHeight w:val="325"/>
        </w:trPr>
        <w:tc>
          <w:tcPr>
            <w:tcW w:w="6237" w:type="dxa"/>
            <w:noWrap/>
            <w:hideMark/>
          </w:tcPr>
          <w:p w14:paraId="52EAF574" w14:textId="77777777" w:rsidR="005D7C1D" w:rsidRPr="00B52F73" w:rsidRDefault="005D7C1D" w:rsidP="00566FBC">
            <w:pPr>
              <w:spacing w:line="360" w:lineRule="auto"/>
              <w:jc w:val="both"/>
              <w:rPr>
                <w:rFonts w:ascii="Book Antiqua" w:hAnsi="Book Antiqua"/>
              </w:rPr>
            </w:pPr>
            <w:r w:rsidRPr="00B52F73">
              <w:rPr>
                <w:rFonts w:ascii="Book Antiqua" w:hAnsi="Book Antiqua"/>
              </w:rPr>
              <w:t>Cirrhosis</w:t>
            </w:r>
          </w:p>
        </w:tc>
        <w:tc>
          <w:tcPr>
            <w:tcW w:w="2169" w:type="dxa"/>
            <w:noWrap/>
            <w:hideMark/>
          </w:tcPr>
          <w:p w14:paraId="1AD754BC" w14:textId="77777777" w:rsidR="005D7C1D" w:rsidRPr="00B52F73" w:rsidRDefault="005D7C1D" w:rsidP="00566FBC">
            <w:pPr>
              <w:spacing w:line="360" w:lineRule="auto"/>
              <w:jc w:val="both"/>
              <w:rPr>
                <w:rFonts w:ascii="Book Antiqua" w:hAnsi="Book Antiqua"/>
              </w:rPr>
            </w:pPr>
            <w:r w:rsidRPr="00B52F73">
              <w:rPr>
                <w:rFonts w:ascii="Book Antiqua" w:hAnsi="Book Antiqua"/>
              </w:rPr>
              <w:t>43 (39.10%)</w:t>
            </w:r>
          </w:p>
        </w:tc>
      </w:tr>
      <w:tr w:rsidR="005D7C1D" w:rsidRPr="00B52F73" w14:paraId="7DA0C495" w14:textId="77777777" w:rsidTr="006717B2">
        <w:trPr>
          <w:trHeight w:val="325"/>
        </w:trPr>
        <w:tc>
          <w:tcPr>
            <w:tcW w:w="6237" w:type="dxa"/>
            <w:noWrap/>
          </w:tcPr>
          <w:p w14:paraId="444EDC4A" w14:textId="77777777" w:rsidR="005D7C1D" w:rsidRPr="00B52F73" w:rsidRDefault="005D7C1D" w:rsidP="00566FBC">
            <w:pPr>
              <w:spacing w:line="360" w:lineRule="auto"/>
              <w:jc w:val="both"/>
              <w:rPr>
                <w:rFonts w:ascii="Book Antiqua" w:hAnsi="Book Antiqua"/>
              </w:rPr>
            </w:pPr>
            <w:r w:rsidRPr="00B52F73">
              <w:rPr>
                <w:rFonts w:ascii="Book Antiqua" w:hAnsi="Book Antiqua"/>
              </w:rPr>
              <w:t>Diabetes</w:t>
            </w:r>
          </w:p>
        </w:tc>
        <w:tc>
          <w:tcPr>
            <w:tcW w:w="2169" w:type="dxa"/>
            <w:noWrap/>
          </w:tcPr>
          <w:p w14:paraId="2065D4C8" w14:textId="77777777" w:rsidR="005D7C1D" w:rsidRPr="00B52F73" w:rsidRDefault="005D7C1D" w:rsidP="00566FBC">
            <w:pPr>
              <w:spacing w:line="360" w:lineRule="auto"/>
              <w:jc w:val="both"/>
              <w:rPr>
                <w:rFonts w:ascii="Book Antiqua" w:hAnsi="Book Antiqua"/>
              </w:rPr>
            </w:pPr>
            <w:r w:rsidRPr="00B52F73">
              <w:rPr>
                <w:rFonts w:ascii="Book Antiqua" w:hAnsi="Book Antiqua"/>
              </w:rPr>
              <w:t>11 (10.20%)</w:t>
            </w:r>
          </w:p>
        </w:tc>
      </w:tr>
      <w:tr w:rsidR="005D7C1D" w:rsidRPr="00B52F73" w14:paraId="1C55A37E" w14:textId="77777777" w:rsidTr="006717B2">
        <w:trPr>
          <w:trHeight w:val="325"/>
        </w:trPr>
        <w:tc>
          <w:tcPr>
            <w:tcW w:w="6237" w:type="dxa"/>
            <w:noWrap/>
            <w:hideMark/>
          </w:tcPr>
          <w:p w14:paraId="1BA296B8" w14:textId="77777777" w:rsidR="005D7C1D" w:rsidRPr="00B52F73" w:rsidRDefault="005D7C1D" w:rsidP="00566FBC">
            <w:pPr>
              <w:spacing w:line="360" w:lineRule="auto"/>
              <w:jc w:val="both"/>
              <w:rPr>
                <w:rFonts w:ascii="Book Antiqua" w:hAnsi="Book Antiqua"/>
              </w:rPr>
            </w:pPr>
            <w:r w:rsidRPr="00B52F73">
              <w:rPr>
                <w:rFonts w:ascii="Book Antiqua" w:hAnsi="Book Antiqua"/>
              </w:rPr>
              <w:t>Liver cirrhosis</w:t>
            </w:r>
          </w:p>
        </w:tc>
        <w:tc>
          <w:tcPr>
            <w:tcW w:w="2169" w:type="dxa"/>
            <w:noWrap/>
            <w:hideMark/>
          </w:tcPr>
          <w:p w14:paraId="477CDDCC" w14:textId="77777777" w:rsidR="005D7C1D" w:rsidRPr="00B52F73" w:rsidRDefault="005D7C1D" w:rsidP="00566FBC">
            <w:pPr>
              <w:spacing w:line="360" w:lineRule="auto"/>
              <w:jc w:val="both"/>
              <w:rPr>
                <w:rFonts w:ascii="Book Antiqua" w:hAnsi="Book Antiqua"/>
              </w:rPr>
            </w:pPr>
            <w:r w:rsidRPr="00B52F73">
              <w:rPr>
                <w:rFonts w:ascii="Book Antiqua" w:hAnsi="Book Antiqua"/>
              </w:rPr>
              <w:t>43 (39.80%)</w:t>
            </w:r>
          </w:p>
        </w:tc>
      </w:tr>
      <w:tr w:rsidR="005D7C1D" w:rsidRPr="00B52F73" w14:paraId="610B9D1A" w14:textId="77777777" w:rsidTr="006717B2">
        <w:trPr>
          <w:trHeight w:val="325"/>
        </w:trPr>
        <w:tc>
          <w:tcPr>
            <w:tcW w:w="6237" w:type="dxa"/>
            <w:noWrap/>
            <w:hideMark/>
          </w:tcPr>
          <w:p w14:paraId="1C6DDE16" w14:textId="77777777" w:rsidR="005D7C1D" w:rsidRPr="00B52F73" w:rsidRDefault="005D7C1D" w:rsidP="00566FBC">
            <w:pPr>
              <w:spacing w:line="360" w:lineRule="auto"/>
              <w:jc w:val="both"/>
              <w:rPr>
                <w:rFonts w:ascii="Book Antiqua" w:hAnsi="Book Antiqua"/>
              </w:rPr>
            </w:pPr>
            <w:r w:rsidRPr="00B52F73">
              <w:rPr>
                <w:rFonts w:ascii="Book Antiqua" w:hAnsi="Book Antiqua"/>
              </w:rPr>
              <w:t>First abdominal surgery</w:t>
            </w:r>
          </w:p>
        </w:tc>
        <w:tc>
          <w:tcPr>
            <w:tcW w:w="2169" w:type="dxa"/>
            <w:noWrap/>
            <w:hideMark/>
          </w:tcPr>
          <w:p w14:paraId="3DEDA625" w14:textId="77777777" w:rsidR="005D7C1D" w:rsidRPr="00B52F73" w:rsidRDefault="005D7C1D" w:rsidP="00566FBC">
            <w:pPr>
              <w:spacing w:line="360" w:lineRule="auto"/>
              <w:jc w:val="both"/>
              <w:rPr>
                <w:rFonts w:ascii="Book Antiqua" w:hAnsi="Book Antiqua"/>
              </w:rPr>
            </w:pPr>
            <w:r w:rsidRPr="00B52F73">
              <w:rPr>
                <w:rFonts w:ascii="Book Antiqua" w:hAnsi="Book Antiqua"/>
              </w:rPr>
              <w:t>66 (61.10%)</w:t>
            </w:r>
          </w:p>
        </w:tc>
      </w:tr>
      <w:tr w:rsidR="005D7C1D" w:rsidRPr="00B52F73" w14:paraId="33933FFD" w14:textId="77777777" w:rsidTr="006717B2">
        <w:trPr>
          <w:trHeight w:val="317"/>
        </w:trPr>
        <w:tc>
          <w:tcPr>
            <w:tcW w:w="6237" w:type="dxa"/>
            <w:noWrap/>
            <w:hideMark/>
          </w:tcPr>
          <w:p w14:paraId="1596C91D" w14:textId="77777777" w:rsidR="005D7C1D" w:rsidRPr="00B52F73" w:rsidRDefault="005D7C1D" w:rsidP="00566FBC">
            <w:pPr>
              <w:spacing w:line="360" w:lineRule="auto"/>
              <w:jc w:val="both"/>
              <w:rPr>
                <w:rFonts w:ascii="Book Antiqua" w:hAnsi="Book Antiqua"/>
              </w:rPr>
            </w:pPr>
            <w:r w:rsidRPr="00B52F73">
              <w:rPr>
                <w:rFonts w:ascii="Book Antiqua" w:hAnsi="Book Antiqua"/>
              </w:rPr>
              <w:t>Postoperative pathology diagnosis</w:t>
            </w:r>
          </w:p>
        </w:tc>
        <w:tc>
          <w:tcPr>
            <w:tcW w:w="2169" w:type="dxa"/>
            <w:noWrap/>
            <w:hideMark/>
          </w:tcPr>
          <w:p w14:paraId="54AE08C5" w14:textId="77777777" w:rsidR="005D7C1D" w:rsidRPr="00B52F73" w:rsidRDefault="005D7C1D" w:rsidP="00566FBC">
            <w:pPr>
              <w:spacing w:line="360" w:lineRule="auto"/>
              <w:jc w:val="both"/>
              <w:rPr>
                <w:rFonts w:ascii="Book Antiqua" w:hAnsi="Book Antiqua"/>
                <w:b/>
                <w:bCs/>
              </w:rPr>
            </w:pPr>
          </w:p>
        </w:tc>
      </w:tr>
      <w:tr w:rsidR="005D7C1D" w:rsidRPr="00B52F73" w14:paraId="5C0BDC8E" w14:textId="77777777" w:rsidTr="006717B2">
        <w:trPr>
          <w:trHeight w:val="325"/>
        </w:trPr>
        <w:tc>
          <w:tcPr>
            <w:tcW w:w="6237" w:type="dxa"/>
            <w:noWrap/>
            <w:hideMark/>
          </w:tcPr>
          <w:p w14:paraId="330A9F42" w14:textId="77777777" w:rsidR="005D7C1D" w:rsidRPr="00B52F73" w:rsidRDefault="005D7C1D" w:rsidP="00566FBC">
            <w:pPr>
              <w:spacing w:line="360" w:lineRule="auto"/>
              <w:jc w:val="both"/>
              <w:rPr>
                <w:rFonts w:ascii="Book Antiqua" w:hAnsi="Book Antiqua"/>
              </w:rPr>
            </w:pPr>
            <w:r w:rsidRPr="00B52F73">
              <w:rPr>
                <w:rFonts w:ascii="Book Antiqua" w:hAnsi="Book Antiqua"/>
              </w:rPr>
              <w:t>HCC</w:t>
            </w:r>
          </w:p>
        </w:tc>
        <w:tc>
          <w:tcPr>
            <w:tcW w:w="2169" w:type="dxa"/>
            <w:noWrap/>
            <w:hideMark/>
          </w:tcPr>
          <w:p w14:paraId="398C725B" w14:textId="77777777" w:rsidR="005D7C1D" w:rsidRPr="00B52F73" w:rsidRDefault="005D7C1D" w:rsidP="00566FBC">
            <w:pPr>
              <w:spacing w:line="360" w:lineRule="auto"/>
              <w:jc w:val="both"/>
              <w:rPr>
                <w:rFonts w:ascii="Book Antiqua" w:hAnsi="Book Antiqua"/>
              </w:rPr>
            </w:pPr>
            <w:r w:rsidRPr="00B52F73">
              <w:rPr>
                <w:rFonts w:ascii="Book Antiqua" w:hAnsi="Book Antiqua"/>
              </w:rPr>
              <w:t>67 (60.90%)</w:t>
            </w:r>
          </w:p>
        </w:tc>
      </w:tr>
      <w:tr w:rsidR="005D7C1D" w:rsidRPr="00B52F73" w14:paraId="3F3B321C" w14:textId="77777777" w:rsidTr="006717B2">
        <w:trPr>
          <w:trHeight w:val="325"/>
        </w:trPr>
        <w:tc>
          <w:tcPr>
            <w:tcW w:w="6237" w:type="dxa"/>
            <w:noWrap/>
            <w:hideMark/>
          </w:tcPr>
          <w:p w14:paraId="4E192913" w14:textId="58F1B5AA" w:rsidR="005D7C1D" w:rsidRPr="00B52F73" w:rsidRDefault="005D7C1D" w:rsidP="00566FBC">
            <w:pPr>
              <w:spacing w:line="360" w:lineRule="auto"/>
              <w:jc w:val="both"/>
              <w:rPr>
                <w:rFonts w:ascii="Book Antiqua" w:hAnsi="Book Antiqua"/>
              </w:rPr>
            </w:pPr>
            <w:r w:rsidRPr="00B52F73">
              <w:rPr>
                <w:rFonts w:ascii="Book Antiqua" w:hAnsi="Book Antiqua"/>
              </w:rPr>
              <w:t>I</w:t>
            </w:r>
            <w:r w:rsidR="00A513A4">
              <w:rPr>
                <w:rFonts w:ascii="Book Antiqua" w:hAnsi="Book Antiqua"/>
              </w:rPr>
              <w:t>CC</w:t>
            </w:r>
          </w:p>
        </w:tc>
        <w:tc>
          <w:tcPr>
            <w:tcW w:w="2169" w:type="dxa"/>
            <w:noWrap/>
            <w:hideMark/>
          </w:tcPr>
          <w:p w14:paraId="3649908D" w14:textId="77777777" w:rsidR="005D7C1D" w:rsidRPr="00B52F73" w:rsidRDefault="005D7C1D" w:rsidP="00566FBC">
            <w:pPr>
              <w:spacing w:line="360" w:lineRule="auto"/>
              <w:jc w:val="both"/>
              <w:rPr>
                <w:rFonts w:ascii="Book Antiqua" w:hAnsi="Book Antiqua"/>
              </w:rPr>
            </w:pPr>
            <w:r w:rsidRPr="00B52F73">
              <w:rPr>
                <w:rFonts w:ascii="Book Antiqua" w:hAnsi="Book Antiqua"/>
              </w:rPr>
              <w:t>7 (6.40%)</w:t>
            </w:r>
          </w:p>
        </w:tc>
      </w:tr>
      <w:tr w:rsidR="005D7C1D" w:rsidRPr="00B52F73" w14:paraId="38E5DF64" w14:textId="77777777" w:rsidTr="006717B2">
        <w:trPr>
          <w:trHeight w:val="333"/>
        </w:trPr>
        <w:tc>
          <w:tcPr>
            <w:tcW w:w="6237" w:type="dxa"/>
            <w:noWrap/>
            <w:hideMark/>
          </w:tcPr>
          <w:p w14:paraId="5CFE418C" w14:textId="77777777" w:rsidR="005D7C1D" w:rsidRPr="00B52F73" w:rsidRDefault="005D7C1D" w:rsidP="00566FBC">
            <w:pPr>
              <w:spacing w:line="360" w:lineRule="auto"/>
              <w:jc w:val="both"/>
              <w:rPr>
                <w:rFonts w:ascii="Book Antiqua" w:hAnsi="Book Antiqua"/>
              </w:rPr>
            </w:pPr>
            <w:r w:rsidRPr="00B52F73">
              <w:rPr>
                <w:rFonts w:ascii="Book Antiqua" w:hAnsi="Book Antiqua"/>
              </w:rPr>
              <w:t>Hepatic metastases</w:t>
            </w:r>
          </w:p>
        </w:tc>
        <w:tc>
          <w:tcPr>
            <w:tcW w:w="2169" w:type="dxa"/>
            <w:noWrap/>
            <w:hideMark/>
          </w:tcPr>
          <w:p w14:paraId="21258ED9" w14:textId="77777777" w:rsidR="005D7C1D" w:rsidRPr="00B52F73" w:rsidRDefault="005D7C1D" w:rsidP="00566FBC">
            <w:pPr>
              <w:spacing w:line="360" w:lineRule="auto"/>
              <w:jc w:val="both"/>
              <w:rPr>
                <w:rFonts w:ascii="Book Antiqua" w:hAnsi="Book Antiqua"/>
              </w:rPr>
            </w:pPr>
            <w:r w:rsidRPr="00B52F73">
              <w:rPr>
                <w:rFonts w:ascii="Book Antiqua" w:hAnsi="Book Antiqua"/>
              </w:rPr>
              <w:t>15 (13.60%)</w:t>
            </w:r>
          </w:p>
        </w:tc>
      </w:tr>
      <w:tr w:rsidR="005D7C1D" w:rsidRPr="00B52F73" w14:paraId="2AEC6960" w14:textId="77777777" w:rsidTr="006717B2">
        <w:trPr>
          <w:trHeight w:val="325"/>
        </w:trPr>
        <w:tc>
          <w:tcPr>
            <w:tcW w:w="6237" w:type="dxa"/>
            <w:noWrap/>
            <w:hideMark/>
          </w:tcPr>
          <w:p w14:paraId="65B7E0E2" w14:textId="77777777" w:rsidR="005D7C1D" w:rsidRPr="00B52F73" w:rsidRDefault="005D7C1D" w:rsidP="00566FBC">
            <w:pPr>
              <w:spacing w:line="360" w:lineRule="auto"/>
              <w:jc w:val="both"/>
              <w:rPr>
                <w:rFonts w:ascii="Book Antiqua" w:hAnsi="Book Antiqua"/>
              </w:rPr>
            </w:pPr>
            <w:r w:rsidRPr="00B52F73">
              <w:rPr>
                <w:rFonts w:ascii="Book Antiqua" w:hAnsi="Book Antiqua"/>
              </w:rPr>
              <w:t>Hepatic hemangioma</w:t>
            </w:r>
          </w:p>
        </w:tc>
        <w:tc>
          <w:tcPr>
            <w:tcW w:w="2169" w:type="dxa"/>
            <w:noWrap/>
            <w:hideMark/>
          </w:tcPr>
          <w:p w14:paraId="5A3B2AF9" w14:textId="77777777" w:rsidR="005D7C1D" w:rsidRPr="00B52F73" w:rsidRDefault="005D7C1D" w:rsidP="00566FBC">
            <w:pPr>
              <w:spacing w:line="360" w:lineRule="auto"/>
              <w:jc w:val="both"/>
              <w:rPr>
                <w:rFonts w:ascii="Book Antiqua" w:hAnsi="Book Antiqua"/>
              </w:rPr>
            </w:pPr>
            <w:r w:rsidRPr="00B52F73">
              <w:rPr>
                <w:rFonts w:ascii="Book Antiqua" w:hAnsi="Book Antiqua"/>
              </w:rPr>
              <w:t>7 (6.40%)</w:t>
            </w:r>
          </w:p>
        </w:tc>
      </w:tr>
      <w:tr w:rsidR="005D7C1D" w:rsidRPr="00B52F73" w14:paraId="336A812D" w14:textId="77777777" w:rsidTr="006717B2">
        <w:trPr>
          <w:trHeight w:val="325"/>
        </w:trPr>
        <w:tc>
          <w:tcPr>
            <w:tcW w:w="6237" w:type="dxa"/>
            <w:noWrap/>
            <w:hideMark/>
          </w:tcPr>
          <w:p w14:paraId="4A935653" w14:textId="77777777" w:rsidR="005D7C1D" w:rsidRPr="00B52F73" w:rsidRDefault="005D7C1D" w:rsidP="00566FBC">
            <w:pPr>
              <w:spacing w:line="360" w:lineRule="auto"/>
              <w:jc w:val="both"/>
              <w:rPr>
                <w:rFonts w:ascii="Book Antiqua" w:hAnsi="Book Antiqua"/>
              </w:rPr>
            </w:pPr>
            <w:r w:rsidRPr="00B52F73">
              <w:rPr>
                <w:rFonts w:ascii="Book Antiqua" w:hAnsi="Book Antiqua"/>
              </w:rPr>
              <w:t>FNH</w:t>
            </w:r>
          </w:p>
        </w:tc>
        <w:tc>
          <w:tcPr>
            <w:tcW w:w="2169" w:type="dxa"/>
            <w:noWrap/>
            <w:hideMark/>
          </w:tcPr>
          <w:p w14:paraId="11638ED0" w14:textId="77777777" w:rsidR="005D7C1D" w:rsidRPr="00B52F73" w:rsidRDefault="005D7C1D" w:rsidP="00566FBC">
            <w:pPr>
              <w:spacing w:line="360" w:lineRule="auto"/>
              <w:jc w:val="both"/>
              <w:rPr>
                <w:rFonts w:ascii="Book Antiqua" w:hAnsi="Book Antiqua"/>
              </w:rPr>
            </w:pPr>
            <w:r w:rsidRPr="00B52F73">
              <w:rPr>
                <w:rFonts w:ascii="Book Antiqua" w:hAnsi="Book Antiqua"/>
              </w:rPr>
              <w:t>3 (2.70%)</w:t>
            </w:r>
          </w:p>
        </w:tc>
      </w:tr>
      <w:tr w:rsidR="005D7C1D" w:rsidRPr="00B52F73" w14:paraId="083A15A6" w14:textId="77777777" w:rsidTr="006717B2">
        <w:trPr>
          <w:trHeight w:val="333"/>
        </w:trPr>
        <w:tc>
          <w:tcPr>
            <w:tcW w:w="6237" w:type="dxa"/>
            <w:tcBorders>
              <w:bottom w:val="single" w:sz="4" w:space="0" w:color="auto"/>
            </w:tcBorders>
            <w:noWrap/>
            <w:hideMark/>
          </w:tcPr>
          <w:p w14:paraId="17EA7D5B" w14:textId="77777777" w:rsidR="005D7C1D" w:rsidRPr="00B52F73" w:rsidRDefault="005D7C1D" w:rsidP="00566FBC">
            <w:pPr>
              <w:spacing w:line="360" w:lineRule="auto"/>
              <w:jc w:val="both"/>
              <w:rPr>
                <w:rFonts w:ascii="Book Antiqua" w:hAnsi="Book Antiqua"/>
              </w:rPr>
            </w:pPr>
            <w:r w:rsidRPr="00B52F73">
              <w:rPr>
                <w:rFonts w:ascii="Book Antiqua" w:hAnsi="Book Antiqua"/>
              </w:rPr>
              <w:t xml:space="preserve">Tuberculosis lesions, </w:t>
            </w:r>
            <w:r w:rsidRPr="00B52F73">
              <w:rPr>
                <w:rFonts w:ascii="Book Antiqua" w:hAnsi="Book Antiqua"/>
                <w:i/>
                <w:iCs/>
              </w:rPr>
              <w:t>etc</w:t>
            </w:r>
          </w:p>
        </w:tc>
        <w:tc>
          <w:tcPr>
            <w:tcW w:w="2169" w:type="dxa"/>
            <w:tcBorders>
              <w:bottom w:val="single" w:sz="4" w:space="0" w:color="auto"/>
            </w:tcBorders>
            <w:noWrap/>
            <w:hideMark/>
          </w:tcPr>
          <w:p w14:paraId="19D7D604" w14:textId="77777777" w:rsidR="005D7C1D" w:rsidRPr="00B52F73" w:rsidRDefault="005D7C1D" w:rsidP="00566FBC">
            <w:pPr>
              <w:spacing w:line="360" w:lineRule="auto"/>
              <w:jc w:val="both"/>
              <w:rPr>
                <w:rFonts w:ascii="Book Antiqua" w:hAnsi="Book Antiqua"/>
              </w:rPr>
            </w:pPr>
            <w:r w:rsidRPr="00B52F73">
              <w:rPr>
                <w:rFonts w:ascii="Book Antiqua" w:hAnsi="Book Antiqua"/>
              </w:rPr>
              <w:t>11 (10.00%)</w:t>
            </w:r>
          </w:p>
        </w:tc>
      </w:tr>
    </w:tbl>
    <w:p w14:paraId="2943462A" w14:textId="2DA4C34E" w:rsidR="00C20C5A" w:rsidRPr="00B52F73" w:rsidRDefault="00565154" w:rsidP="00566FBC">
      <w:pPr>
        <w:spacing w:line="360" w:lineRule="auto"/>
        <w:jc w:val="both"/>
        <w:rPr>
          <w:rFonts w:ascii="Book Antiqua" w:eastAsia="Book Antiqua" w:hAnsi="Book Antiqua" w:cs="Book Antiqua"/>
          <w:bCs/>
          <w:color w:val="000000"/>
        </w:rPr>
      </w:pPr>
      <w:r w:rsidRPr="00B52F73">
        <w:rPr>
          <w:rFonts w:ascii="Book Antiqua" w:eastAsia="Book Antiqua" w:hAnsi="Book Antiqua" w:cs="Book Antiqua"/>
          <w:bCs/>
          <w:color w:val="000000"/>
        </w:rPr>
        <w:t xml:space="preserve">FI-G: </w:t>
      </w:r>
      <w:r w:rsidRPr="00B52F73">
        <w:rPr>
          <w:rFonts w:ascii="Book Antiqua" w:eastAsia="Book Antiqua" w:hAnsi="Book Antiqua" w:cs="Book Antiqua"/>
        </w:rPr>
        <w:t>Fluorescence intensity of gallbladder</w:t>
      </w:r>
      <w:r w:rsidRPr="00B52F73">
        <w:rPr>
          <w:rFonts w:ascii="Book Antiqua" w:eastAsia="Book Antiqua" w:hAnsi="Book Antiqua" w:cs="Book Antiqua"/>
          <w:bCs/>
          <w:color w:val="000000"/>
        </w:rPr>
        <w:t xml:space="preserve">; </w:t>
      </w:r>
      <w:r w:rsidR="005D7C1D" w:rsidRPr="00B52F73">
        <w:rPr>
          <w:rFonts w:ascii="Book Antiqua" w:eastAsia="Book Antiqua" w:hAnsi="Book Antiqua" w:cs="Book Antiqua"/>
          <w:bCs/>
          <w:color w:val="000000"/>
        </w:rPr>
        <w:t xml:space="preserve">FI-LB: </w:t>
      </w:r>
      <w:r w:rsidR="005D7C1D" w:rsidRPr="00B52F73">
        <w:rPr>
          <w:rFonts w:ascii="Book Antiqua" w:eastAsia="Book Antiqua" w:hAnsi="Book Antiqua" w:cs="Book Antiqua"/>
        </w:rPr>
        <w:t>Fluorescence intensity of liver background</w:t>
      </w:r>
      <w:r w:rsidR="005D7C1D" w:rsidRPr="00B52F73">
        <w:rPr>
          <w:rFonts w:ascii="Book Antiqua" w:eastAsia="Book Antiqua" w:hAnsi="Book Antiqua" w:cs="Book Antiqua"/>
          <w:bCs/>
          <w:color w:val="000000"/>
        </w:rPr>
        <w:t xml:space="preserve">; FI-T: </w:t>
      </w:r>
      <w:r w:rsidR="005D7C1D" w:rsidRPr="00B52F73">
        <w:rPr>
          <w:rFonts w:ascii="Book Antiqua" w:eastAsia="Book Antiqua" w:hAnsi="Book Antiqua" w:cs="Book Antiqua"/>
        </w:rPr>
        <w:t>Fluorescence intensity of target area</w:t>
      </w:r>
      <w:r w:rsidR="005D7C1D" w:rsidRPr="00B52F73">
        <w:rPr>
          <w:rFonts w:ascii="Book Antiqua" w:eastAsia="Book Antiqua" w:hAnsi="Book Antiqua" w:cs="Book Antiqua"/>
          <w:bCs/>
          <w:color w:val="000000"/>
        </w:rPr>
        <w:t xml:space="preserve">; </w:t>
      </w:r>
      <w:r w:rsidRPr="00B52F73">
        <w:rPr>
          <w:rFonts w:ascii="Book Antiqua" w:eastAsia="Book Antiqua" w:hAnsi="Book Antiqua" w:cs="Book Antiqua"/>
          <w:bCs/>
          <w:color w:val="000000"/>
        </w:rPr>
        <w:t>FNH: Focal nodular hyperplasia; HCC: Hepatocellular carcinoma; ICG:</w:t>
      </w:r>
      <w:r w:rsidRPr="00B52F73">
        <w:rPr>
          <w:rFonts w:ascii="Book Antiqua" w:hAnsi="Book Antiqua"/>
        </w:rPr>
        <w:t xml:space="preserve"> </w:t>
      </w:r>
      <w:r w:rsidRPr="00B52F73">
        <w:rPr>
          <w:rFonts w:ascii="Book Antiqua" w:eastAsia="Book Antiqua" w:hAnsi="Book Antiqua" w:cs="Book Antiqua"/>
          <w:bCs/>
          <w:color w:val="000000"/>
        </w:rPr>
        <w:t xml:space="preserve">Indocyanine green; </w:t>
      </w:r>
      <w:r w:rsidR="00A513A4" w:rsidRPr="00A513A4">
        <w:rPr>
          <w:rFonts w:ascii="Book Antiqua" w:hAnsi="Book Antiqua"/>
          <w:lang w:eastAsia="zh-CN"/>
        </w:rPr>
        <w:t>ICC:</w:t>
      </w:r>
      <w:r w:rsidR="00A513A4" w:rsidRPr="00A513A4">
        <w:rPr>
          <w:rFonts w:ascii="Book Antiqua" w:hAnsi="Book Antiqua" w:cs="Arial"/>
          <w:color w:val="333333"/>
          <w:shd w:val="clear" w:color="auto" w:fill="FFFFFF"/>
        </w:rPr>
        <w:t xml:space="preserve"> Intrahepatic cholangiocarcinoma</w:t>
      </w:r>
      <w:r w:rsidRPr="00A513A4">
        <w:rPr>
          <w:rFonts w:ascii="Book Antiqua" w:eastAsia="Book Antiqua" w:hAnsi="Book Antiqua" w:cs="Book Antiqua"/>
          <w:bCs/>
          <w:color w:val="000000"/>
        </w:rPr>
        <w:t xml:space="preserve">; </w:t>
      </w:r>
      <w:r w:rsidR="005D7C1D" w:rsidRPr="00A513A4">
        <w:rPr>
          <w:rFonts w:ascii="Book Antiqua" w:eastAsia="Book Antiqua" w:hAnsi="Book Antiqua" w:cs="Book Antiqua"/>
          <w:bCs/>
          <w:color w:val="000000"/>
        </w:rPr>
        <w:t xml:space="preserve">TLR: </w:t>
      </w:r>
      <w:r w:rsidR="005D7C1D" w:rsidRPr="00A513A4">
        <w:rPr>
          <w:rFonts w:ascii="Book Antiqua" w:eastAsia="Book Antiqua" w:hAnsi="Book Antiqua" w:cs="Book Antiqua"/>
        </w:rPr>
        <w:t>Total laborator</w:t>
      </w:r>
      <w:r w:rsidR="005D7C1D" w:rsidRPr="00B52F73">
        <w:rPr>
          <w:rFonts w:ascii="Book Antiqua" w:eastAsia="Book Antiqua" w:hAnsi="Book Antiqua" w:cs="Book Antiqua"/>
        </w:rPr>
        <w:t>y risk</w:t>
      </w:r>
      <w:r w:rsidR="005D7C1D" w:rsidRPr="00B52F73">
        <w:rPr>
          <w:rFonts w:ascii="Book Antiqua" w:eastAsia="Book Antiqua" w:hAnsi="Book Antiqua" w:cs="Book Antiqua"/>
          <w:bCs/>
          <w:color w:val="000000"/>
        </w:rPr>
        <w:t>.</w:t>
      </w:r>
    </w:p>
    <w:p w14:paraId="6D8CD717" w14:textId="77777777" w:rsidR="005D7C1D" w:rsidRPr="00B52F73" w:rsidRDefault="005D7C1D" w:rsidP="00566FBC">
      <w:pPr>
        <w:spacing w:line="360" w:lineRule="auto"/>
        <w:jc w:val="both"/>
        <w:rPr>
          <w:rFonts w:ascii="Book Antiqua" w:hAnsi="Book Antiqua"/>
        </w:rPr>
        <w:sectPr w:rsidR="005D7C1D" w:rsidRPr="00B52F73">
          <w:pgSz w:w="12240" w:h="15840"/>
          <w:pgMar w:top="1440" w:right="1440" w:bottom="1440" w:left="1440" w:header="720" w:footer="720" w:gutter="0"/>
          <w:cols w:space="720"/>
          <w:docGrid w:linePitch="360"/>
        </w:sectPr>
      </w:pPr>
    </w:p>
    <w:p w14:paraId="4F24726F" w14:textId="44E3BDA3" w:rsidR="005D7C1D" w:rsidRPr="00B52F73" w:rsidRDefault="005D7C1D" w:rsidP="00566FBC">
      <w:pPr>
        <w:spacing w:line="360" w:lineRule="auto"/>
        <w:ind w:right="50"/>
        <w:jc w:val="both"/>
        <w:rPr>
          <w:rFonts w:ascii="Book Antiqua" w:hAnsi="Book Antiqua"/>
          <w:b/>
          <w:bCs/>
          <w:color w:val="000000" w:themeColor="text1"/>
        </w:rPr>
      </w:pPr>
      <w:r w:rsidRPr="00B52F73">
        <w:rPr>
          <w:rFonts w:ascii="Book Antiqua" w:hAnsi="Book Antiqua"/>
          <w:b/>
          <w:bCs/>
          <w:color w:val="000000" w:themeColor="text1"/>
        </w:rPr>
        <w:t xml:space="preserve">Table 2 Univariate analysis of </w:t>
      </w:r>
      <w:r w:rsidRPr="00B52F73">
        <w:rPr>
          <w:rFonts w:ascii="Book Antiqua" w:eastAsia="Book Antiqua" w:hAnsi="Book Antiqua" w:cs="Book Antiqua"/>
          <w:b/>
          <w:bCs/>
        </w:rPr>
        <w:t>fluorescence intensity of liver background</w:t>
      </w:r>
      <w:r w:rsidRPr="00B52F73">
        <w:rPr>
          <w:rFonts w:ascii="Book Antiqua" w:hAnsi="Book Antiqua"/>
          <w:b/>
          <w:bCs/>
          <w:color w:val="000000" w:themeColor="text1"/>
        </w:rPr>
        <w:t xml:space="preserve">, </w:t>
      </w:r>
      <w:r w:rsidRPr="00B52F73">
        <w:rPr>
          <w:rFonts w:ascii="Book Antiqua" w:eastAsia="Book Antiqua" w:hAnsi="Book Antiqua" w:cs="Book Antiqua"/>
          <w:b/>
          <w:bCs/>
        </w:rPr>
        <w:t>fluorescence intensity of target area</w:t>
      </w:r>
      <w:r w:rsidRPr="00B52F73">
        <w:rPr>
          <w:rFonts w:ascii="Book Antiqua" w:hAnsi="Book Antiqua"/>
          <w:b/>
          <w:bCs/>
          <w:color w:val="000000" w:themeColor="text1"/>
        </w:rPr>
        <w:t xml:space="preserve">, </w:t>
      </w:r>
      <w:r w:rsidRPr="00B52F73">
        <w:rPr>
          <w:rFonts w:ascii="Book Antiqua" w:eastAsia="Book Antiqua" w:hAnsi="Book Antiqua" w:cs="Book Antiqua"/>
          <w:b/>
          <w:bCs/>
        </w:rPr>
        <w:t>fluorescence intensity of gallbladder</w:t>
      </w:r>
      <w:r w:rsidRPr="00B52F73">
        <w:rPr>
          <w:rFonts w:ascii="Book Antiqua" w:hAnsi="Book Antiqua"/>
          <w:b/>
          <w:bCs/>
          <w:color w:val="000000" w:themeColor="text1"/>
        </w:rPr>
        <w:t xml:space="preserve">, </w:t>
      </w:r>
      <w:r w:rsidRPr="00B52F73">
        <w:rPr>
          <w:rFonts w:ascii="Book Antiqua" w:eastAsia="Book Antiqua" w:hAnsi="Book Antiqua" w:cs="Book Antiqua"/>
          <w:b/>
          <w:bCs/>
        </w:rPr>
        <w:t>total laboratory risk</w:t>
      </w:r>
      <w:r w:rsidRPr="00B52F73">
        <w:rPr>
          <w:rFonts w:ascii="Book Antiqua" w:hAnsi="Book Antiqua"/>
          <w:b/>
          <w:bCs/>
          <w:color w:val="000000" w:themeColor="text1"/>
        </w:rPr>
        <w:t xml:space="preserve"> and preoperative blood indicators (Spearman </w:t>
      </w:r>
      <w:r w:rsidRPr="00B52F73">
        <w:rPr>
          <w:rFonts w:ascii="Book Antiqua" w:eastAsia="DengXian" w:hAnsi="Book Antiqua"/>
          <w:b/>
          <w:bCs/>
          <w:color w:val="000000"/>
        </w:rPr>
        <w:t>correlation</w:t>
      </w:r>
      <w:r w:rsidRPr="00B52F73">
        <w:rPr>
          <w:rFonts w:ascii="Book Antiqua" w:hAnsi="Book Antiqua"/>
          <w:b/>
          <w:bCs/>
          <w:color w:val="000000" w:themeColor="text1"/>
        </w:rPr>
        <w:t xml:space="preserve"> analysis)</w:t>
      </w:r>
    </w:p>
    <w:tbl>
      <w:tblPr>
        <w:tblW w:w="10881" w:type="dxa"/>
        <w:jc w:val="center"/>
        <w:tblLook w:val="04A0" w:firstRow="1" w:lastRow="0" w:firstColumn="1" w:lastColumn="0" w:noHBand="0" w:noVBand="1"/>
      </w:tblPr>
      <w:tblGrid>
        <w:gridCol w:w="1276"/>
        <w:gridCol w:w="1526"/>
        <w:gridCol w:w="992"/>
        <w:gridCol w:w="1470"/>
        <w:gridCol w:w="820"/>
        <w:gridCol w:w="1470"/>
        <w:gridCol w:w="816"/>
        <w:gridCol w:w="1519"/>
        <w:gridCol w:w="992"/>
      </w:tblGrid>
      <w:tr w:rsidR="005D7C1D" w:rsidRPr="00B52F73" w14:paraId="4409003E" w14:textId="77777777" w:rsidTr="000303CB">
        <w:trPr>
          <w:trHeight w:val="262"/>
          <w:jc w:val="center"/>
        </w:trPr>
        <w:tc>
          <w:tcPr>
            <w:tcW w:w="1276" w:type="dxa"/>
            <w:vMerge w:val="restart"/>
            <w:tcBorders>
              <w:top w:val="single" w:sz="4" w:space="0" w:color="auto"/>
            </w:tcBorders>
            <w:noWrap/>
            <w:hideMark/>
          </w:tcPr>
          <w:p w14:paraId="4446E783" w14:textId="78B6C7D5" w:rsidR="005D7C1D" w:rsidRPr="00B52F73" w:rsidRDefault="00565154"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Factor</w:t>
            </w:r>
          </w:p>
        </w:tc>
        <w:tc>
          <w:tcPr>
            <w:tcW w:w="2518" w:type="dxa"/>
            <w:gridSpan w:val="2"/>
            <w:tcBorders>
              <w:top w:val="single" w:sz="4" w:space="0" w:color="auto"/>
              <w:bottom w:val="single" w:sz="4" w:space="0" w:color="auto"/>
            </w:tcBorders>
            <w:hideMark/>
          </w:tcPr>
          <w:p w14:paraId="6F2C6899"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FI-LB</w:t>
            </w:r>
          </w:p>
        </w:tc>
        <w:tc>
          <w:tcPr>
            <w:tcW w:w="2290" w:type="dxa"/>
            <w:gridSpan w:val="2"/>
            <w:tcBorders>
              <w:top w:val="single" w:sz="4" w:space="0" w:color="auto"/>
              <w:bottom w:val="single" w:sz="4" w:space="0" w:color="auto"/>
            </w:tcBorders>
            <w:hideMark/>
          </w:tcPr>
          <w:p w14:paraId="15B5B7E3"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FI-T</w:t>
            </w:r>
          </w:p>
        </w:tc>
        <w:tc>
          <w:tcPr>
            <w:tcW w:w="2286" w:type="dxa"/>
            <w:gridSpan w:val="2"/>
            <w:tcBorders>
              <w:top w:val="single" w:sz="4" w:space="0" w:color="auto"/>
              <w:bottom w:val="single" w:sz="4" w:space="0" w:color="auto"/>
            </w:tcBorders>
            <w:hideMark/>
          </w:tcPr>
          <w:p w14:paraId="775C2E24"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FI-G</w:t>
            </w:r>
          </w:p>
        </w:tc>
        <w:tc>
          <w:tcPr>
            <w:tcW w:w="2511" w:type="dxa"/>
            <w:gridSpan w:val="2"/>
            <w:tcBorders>
              <w:top w:val="single" w:sz="4" w:space="0" w:color="auto"/>
              <w:bottom w:val="single" w:sz="4" w:space="0" w:color="auto"/>
            </w:tcBorders>
            <w:noWrap/>
            <w:hideMark/>
          </w:tcPr>
          <w:p w14:paraId="26632180"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TLR</w:t>
            </w:r>
          </w:p>
        </w:tc>
      </w:tr>
      <w:tr w:rsidR="000303CB" w:rsidRPr="00B52F73" w14:paraId="4AB8BC4E" w14:textId="77777777" w:rsidTr="000303CB">
        <w:trPr>
          <w:trHeight w:val="262"/>
          <w:jc w:val="center"/>
        </w:trPr>
        <w:tc>
          <w:tcPr>
            <w:tcW w:w="1276" w:type="dxa"/>
            <w:vMerge/>
            <w:tcBorders>
              <w:bottom w:val="single" w:sz="4" w:space="0" w:color="auto"/>
            </w:tcBorders>
            <w:hideMark/>
          </w:tcPr>
          <w:p w14:paraId="285B3513" w14:textId="77777777" w:rsidR="005D7C1D" w:rsidRPr="00B52F73" w:rsidRDefault="005D7C1D" w:rsidP="00566FBC">
            <w:pPr>
              <w:spacing w:line="360" w:lineRule="auto"/>
              <w:jc w:val="both"/>
              <w:rPr>
                <w:rFonts w:ascii="Book Antiqua" w:eastAsia="DengXian" w:hAnsi="Book Antiqua"/>
                <w:b/>
                <w:bCs/>
                <w:color w:val="000000"/>
              </w:rPr>
            </w:pPr>
          </w:p>
        </w:tc>
        <w:tc>
          <w:tcPr>
            <w:tcW w:w="1526" w:type="dxa"/>
            <w:tcBorders>
              <w:top w:val="single" w:sz="4" w:space="0" w:color="auto"/>
              <w:bottom w:val="single" w:sz="4" w:space="0" w:color="auto"/>
            </w:tcBorders>
            <w:hideMark/>
          </w:tcPr>
          <w:p w14:paraId="4E0FD89E"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Correlation coefficient</w:t>
            </w:r>
          </w:p>
        </w:tc>
        <w:tc>
          <w:tcPr>
            <w:tcW w:w="992" w:type="dxa"/>
            <w:tcBorders>
              <w:top w:val="single" w:sz="4" w:space="0" w:color="auto"/>
              <w:bottom w:val="single" w:sz="4" w:space="0" w:color="auto"/>
            </w:tcBorders>
            <w:hideMark/>
          </w:tcPr>
          <w:p w14:paraId="50F60083"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i/>
                <w:iCs/>
                <w:color w:val="000000"/>
              </w:rPr>
              <w:t>P</w:t>
            </w:r>
            <w:r w:rsidRPr="00B52F73">
              <w:rPr>
                <w:rFonts w:ascii="Book Antiqua" w:eastAsia="DengXian" w:hAnsi="Book Antiqua"/>
                <w:b/>
                <w:bCs/>
                <w:color w:val="000000"/>
              </w:rPr>
              <w:t xml:space="preserve"> value</w:t>
            </w:r>
          </w:p>
        </w:tc>
        <w:tc>
          <w:tcPr>
            <w:tcW w:w="1470" w:type="dxa"/>
            <w:tcBorders>
              <w:top w:val="single" w:sz="4" w:space="0" w:color="auto"/>
              <w:bottom w:val="single" w:sz="4" w:space="0" w:color="auto"/>
            </w:tcBorders>
            <w:hideMark/>
          </w:tcPr>
          <w:p w14:paraId="087E76A3"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Correlation coefficient</w:t>
            </w:r>
          </w:p>
        </w:tc>
        <w:tc>
          <w:tcPr>
            <w:tcW w:w="820" w:type="dxa"/>
            <w:tcBorders>
              <w:top w:val="single" w:sz="4" w:space="0" w:color="auto"/>
              <w:bottom w:val="single" w:sz="4" w:space="0" w:color="auto"/>
            </w:tcBorders>
            <w:hideMark/>
          </w:tcPr>
          <w:p w14:paraId="769A04E8"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i/>
                <w:iCs/>
                <w:color w:val="000000"/>
              </w:rPr>
              <w:t>P</w:t>
            </w:r>
            <w:r w:rsidRPr="00B52F73">
              <w:rPr>
                <w:rFonts w:ascii="Book Antiqua" w:eastAsia="DengXian" w:hAnsi="Book Antiqua"/>
                <w:b/>
                <w:bCs/>
                <w:color w:val="000000"/>
              </w:rPr>
              <w:t xml:space="preserve"> value</w:t>
            </w:r>
          </w:p>
        </w:tc>
        <w:tc>
          <w:tcPr>
            <w:tcW w:w="1470" w:type="dxa"/>
            <w:tcBorders>
              <w:top w:val="single" w:sz="4" w:space="0" w:color="auto"/>
              <w:bottom w:val="single" w:sz="4" w:space="0" w:color="auto"/>
            </w:tcBorders>
            <w:hideMark/>
          </w:tcPr>
          <w:p w14:paraId="0DBB333E"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Correlation coefficient</w:t>
            </w:r>
          </w:p>
        </w:tc>
        <w:tc>
          <w:tcPr>
            <w:tcW w:w="816" w:type="dxa"/>
            <w:tcBorders>
              <w:top w:val="single" w:sz="4" w:space="0" w:color="auto"/>
              <w:bottom w:val="single" w:sz="4" w:space="0" w:color="auto"/>
            </w:tcBorders>
            <w:hideMark/>
          </w:tcPr>
          <w:p w14:paraId="61A987D8"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i/>
                <w:iCs/>
                <w:color w:val="000000"/>
              </w:rPr>
              <w:t>P</w:t>
            </w:r>
            <w:r w:rsidRPr="00B52F73">
              <w:rPr>
                <w:rFonts w:ascii="Book Antiqua" w:eastAsia="DengXian" w:hAnsi="Book Antiqua"/>
                <w:b/>
                <w:bCs/>
                <w:color w:val="000000"/>
              </w:rPr>
              <w:t xml:space="preserve"> value</w:t>
            </w:r>
          </w:p>
        </w:tc>
        <w:tc>
          <w:tcPr>
            <w:tcW w:w="1519" w:type="dxa"/>
            <w:tcBorders>
              <w:top w:val="single" w:sz="4" w:space="0" w:color="auto"/>
              <w:bottom w:val="single" w:sz="4" w:space="0" w:color="auto"/>
            </w:tcBorders>
            <w:hideMark/>
          </w:tcPr>
          <w:p w14:paraId="3FCD5DC2"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color w:val="000000"/>
              </w:rPr>
              <w:t>Correlation coefficient</w:t>
            </w:r>
          </w:p>
        </w:tc>
        <w:tc>
          <w:tcPr>
            <w:tcW w:w="992" w:type="dxa"/>
            <w:tcBorders>
              <w:top w:val="single" w:sz="4" w:space="0" w:color="auto"/>
              <w:bottom w:val="single" w:sz="4" w:space="0" w:color="auto"/>
            </w:tcBorders>
            <w:hideMark/>
          </w:tcPr>
          <w:p w14:paraId="4492B1B8" w14:textId="77777777" w:rsidR="005D7C1D" w:rsidRPr="00B52F73" w:rsidRDefault="005D7C1D" w:rsidP="00566FBC">
            <w:pPr>
              <w:spacing w:line="360" w:lineRule="auto"/>
              <w:jc w:val="both"/>
              <w:rPr>
                <w:rFonts w:ascii="Book Antiqua" w:eastAsia="DengXian" w:hAnsi="Book Antiqua"/>
                <w:b/>
                <w:bCs/>
                <w:color w:val="000000"/>
              </w:rPr>
            </w:pPr>
            <w:r w:rsidRPr="00B52F73">
              <w:rPr>
                <w:rFonts w:ascii="Book Antiqua" w:eastAsia="DengXian" w:hAnsi="Book Antiqua"/>
                <w:b/>
                <w:bCs/>
                <w:i/>
                <w:iCs/>
                <w:color w:val="000000"/>
              </w:rPr>
              <w:t>P</w:t>
            </w:r>
            <w:r w:rsidRPr="00B52F73">
              <w:rPr>
                <w:rFonts w:ascii="Book Antiqua" w:eastAsia="DengXian" w:hAnsi="Book Antiqua"/>
                <w:b/>
                <w:bCs/>
                <w:color w:val="000000"/>
              </w:rPr>
              <w:t xml:space="preserve"> value</w:t>
            </w:r>
          </w:p>
        </w:tc>
      </w:tr>
      <w:tr w:rsidR="000303CB" w:rsidRPr="00B52F73" w14:paraId="0F95BBD5" w14:textId="77777777" w:rsidTr="000303CB">
        <w:trPr>
          <w:trHeight w:val="255"/>
          <w:jc w:val="center"/>
        </w:trPr>
        <w:tc>
          <w:tcPr>
            <w:tcW w:w="1276" w:type="dxa"/>
            <w:tcBorders>
              <w:top w:val="single" w:sz="4" w:space="0" w:color="auto"/>
            </w:tcBorders>
            <w:hideMark/>
          </w:tcPr>
          <w:p w14:paraId="2C1CDBB9"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APRI-Score</w:t>
            </w:r>
          </w:p>
        </w:tc>
        <w:tc>
          <w:tcPr>
            <w:tcW w:w="1526" w:type="dxa"/>
            <w:tcBorders>
              <w:top w:val="single" w:sz="4" w:space="0" w:color="auto"/>
            </w:tcBorders>
            <w:noWrap/>
            <w:hideMark/>
          </w:tcPr>
          <w:p w14:paraId="6A26047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0.136</w:t>
            </w:r>
          </w:p>
        </w:tc>
        <w:tc>
          <w:tcPr>
            <w:tcW w:w="992" w:type="dxa"/>
            <w:tcBorders>
              <w:top w:val="single" w:sz="4" w:space="0" w:color="auto"/>
            </w:tcBorders>
            <w:noWrap/>
            <w:hideMark/>
          </w:tcPr>
          <w:p w14:paraId="4F858B1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0.160</w:t>
            </w:r>
          </w:p>
        </w:tc>
        <w:tc>
          <w:tcPr>
            <w:tcW w:w="1470" w:type="dxa"/>
            <w:tcBorders>
              <w:top w:val="single" w:sz="4" w:space="0" w:color="auto"/>
            </w:tcBorders>
            <w:noWrap/>
            <w:hideMark/>
          </w:tcPr>
          <w:p w14:paraId="5136C17C"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0.005</w:t>
            </w:r>
          </w:p>
        </w:tc>
        <w:tc>
          <w:tcPr>
            <w:tcW w:w="820" w:type="dxa"/>
            <w:tcBorders>
              <w:top w:val="single" w:sz="4" w:space="0" w:color="auto"/>
            </w:tcBorders>
            <w:noWrap/>
            <w:hideMark/>
          </w:tcPr>
          <w:p w14:paraId="3CA985B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0.957</w:t>
            </w:r>
          </w:p>
        </w:tc>
        <w:tc>
          <w:tcPr>
            <w:tcW w:w="1470" w:type="dxa"/>
            <w:tcBorders>
              <w:top w:val="single" w:sz="4" w:space="0" w:color="auto"/>
            </w:tcBorders>
            <w:noWrap/>
            <w:hideMark/>
          </w:tcPr>
          <w:p w14:paraId="4E7C9FB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0.016</w:t>
            </w:r>
          </w:p>
        </w:tc>
        <w:tc>
          <w:tcPr>
            <w:tcW w:w="816" w:type="dxa"/>
            <w:tcBorders>
              <w:top w:val="single" w:sz="4" w:space="0" w:color="auto"/>
            </w:tcBorders>
            <w:noWrap/>
            <w:hideMark/>
          </w:tcPr>
          <w:p w14:paraId="1E090E1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0.878</w:t>
            </w:r>
          </w:p>
        </w:tc>
        <w:tc>
          <w:tcPr>
            <w:tcW w:w="1519" w:type="dxa"/>
            <w:tcBorders>
              <w:top w:val="single" w:sz="4" w:space="0" w:color="auto"/>
            </w:tcBorders>
            <w:noWrap/>
            <w:hideMark/>
          </w:tcPr>
          <w:p w14:paraId="5C6D9E6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-0.148</w:t>
            </w:r>
          </w:p>
        </w:tc>
        <w:tc>
          <w:tcPr>
            <w:tcW w:w="992" w:type="dxa"/>
            <w:tcBorders>
              <w:top w:val="single" w:sz="4" w:space="0" w:color="auto"/>
            </w:tcBorders>
            <w:noWrap/>
            <w:hideMark/>
          </w:tcPr>
          <w:p w14:paraId="7462DBC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0.135</w:t>
            </w:r>
          </w:p>
        </w:tc>
      </w:tr>
      <w:tr w:rsidR="000303CB" w:rsidRPr="00B52F73" w14:paraId="4957D360" w14:textId="77777777" w:rsidTr="000303CB">
        <w:trPr>
          <w:trHeight w:val="248"/>
          <w:jc w:val="center"/>
        </w:trPr>
        <w:tc>
          <w:tcPr>
            <w:tcW w:w="1276" w:type="dxa"/>
            <w:hideMark/>
          </w:tcPr>
          <w:p w14:paraId="7E5394B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RBC</w:t>
            </w:r>
          </w:p>
        </w:tc>
        <w:tc>
          <w:tcPr>
            <w:tcW w:w="1526" w:type="dxa"/>
            <w:noWrap/>
            <w:hideMark/>
          </w:tcPr>
          <w:p w14:paraId="677E5055" w14:textId="7D797D8B"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-0.234</w:t>
            </w:r>
            <w:r w:rsidR="000303CB" w:rsidRPr="00B52F73">
              <w:rPr>
                <w:rFonts w:ascii="Book Antiqua" w:eastAsia="DengXian" w:hAnsi="Book Antiqua"/>
                <w:color w:val="000000"/>
                <w:vertAlign w:val="superscript"/>
              </w:rPr>
              <w:t>a</w:t>
            </w:r>
          </w:p>
        </w:tc>
        <w:tc>
          <w:tcPr>
            <w:tcW w:w="992" w:type="dxa"/>
            <w:noWrap/>
            <w:hideMark/>
          </w:tcPr>
          <w:p w14:paraId="73DCAAE9"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0.014</w:t>
            </w:r>
          </w:p>
        </w:tc>
        <w:tc>
          <w:tcPr>
            <w:tcW w:w="1470" w:type="dxa"/>
            <w:noWrap/>
            <w:hideMark/>
          </w:tcPr>
          <w:p w14:paraId="7395AB4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-0.099</w:t>
            </w:r>
          </w:p>
        </w:tc>
        <w:tc>
          <w:tcPr>
            <w:tcW w:w="820" w:type="dxa"/>
            <w:noWrap/>
            <w:hideMark/>
          </w:tcPr>
          <w:p w14:paraId="4FD8755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0.313</w:t>
            </w:r>
          </w:p>
        </w:tc>
        <w:tc>
          <w:tcPr>
            <w:tcW w:w="1470" w:type="dxa"/>
            <w:noWrap/>
            <w:hideMark/>
          </w:tcPr>
          <w:p w14:paraId="3E1B885E" w14:textId="74900E08"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-0.273</w:t>
            </w:r>
            <w:r w:rsidR="000303CB" w:rsidRPr="00B52F73">
              <w:rPr>
                <w:rFonts w:ascii="Book Antiqua" w:eastAsia="DengXian" w:hAnsi="Book Antiqua"/>
                <w:color w:val="000000"/>
                <w:vertAlign w:val="superscript"/>
              </w:rPr>
              <w:t>b</w:t>
            </w:r>
          </w:p>
        </w:tc>
        <w:tc>
          <w:tcPr>
            <w:tcW w:w="816" w:type="dxa"/>
            <w:noWrap/>
            <w:hideMark/>
          </w:tcPr>
          <w:p w14:paraId="414B433C"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0.008</w:t>
            </w:r>
          </w:p>
        </w:tc>
        <w:tc>
          <w:tcPr>
            <w:tcW w:w="1519" w:type="dxa"/>
            <w:noWrap/>
            <w:hideMark/>
          </w:tcPr>
          <w:p w14:paraId="7F5F1A6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0.113</w:t>
            </w:r>
          </w:p>
        </w:tc>
        <w:tc>
          <w:tcPr>
            <w:tcW w:w="992" w:type="dxa"/>
            <w:noWrap/>
            <w:hideMark/>
          </w:tcPr>
          <w:p w14:paraId="7E84D7C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0.250</w:t>
            </w:r>
          </w:p>
        </w:tc>
      </w:tr>
      <w:tr w:rsidR="000303CB" w:rsidRPr="00B52F73" w14:paraId="36F55CA7" w14:textId="77777777" w:rsidTr="000303CB">
        <w:trPr>
          <w:trHeight w:val="248"/>
          <w:jc w:val="center"/>
        </w:trPr>
        <w:tc>
          <w:tcPr>
            <w:tcW w:w="1276" w:type="dxa"/>
            <w:hideMark/>
          </w:tcPr>
          <w:p w14:paraId="4954E61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Hb</w:t>
            </w:r>
          </w:p>
        </w:tc>
        <w:tc>
          <w:tcPr>
            <w:tcW w:w="1526" w:type="dxa"/>
            <w:noWrap/>
            <w:hideMark/>
          </w:tcPr>
          <w:p w14:paraId="590CB10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-0.154</w:t>
            </w:r>
          </w:p>
        </w:tc>
        <w:tc>
          <w:tcPr>
            <w:tcW w:w="992" w:type="dxa"/>
            <w:noWrap/>
            <w:hideMark/>
          </w:tcPr>
          <w:p w14:paraId="56EFAF0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0.109</w:t>
            </w:r>
          </w:p>
        </w:tc>
        <w:tc>
          <w:tcPr>
            <w:tcW w:w="1470" w:type="dxa"/>
            <w:noWrap/>
            <w:hideMark/>
          </w:tcPr>
          <w:p w14:paraId="441BACA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-0.093</w:t>
            </w:r>
          </w:p>
        </w:tc>
        <w:tc>
          <w:tcPr>
            <w:tcW w:w="820" w:type="dxa"/>
            <w:noWrap/>
            <w:hideMark/>
          </w:tcPr>
          <w:p w14:paraId="74BBC3E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0.344</w:t>
            </w:r>
          </w:p>
        </w:tc>
        <w:tc>
          <w:tcPr>
            <w:tcW w:w="1470" w:type="dxa"/>
            <w:noWrap/>
            <w:hideMark/>
          </w:tcPr>
          <w:p w14:paraId="6257866D" w14:textId="58B31195"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-0.247</w:t>
            </w:r>
            <w:r w:rsidR="000303CB" w:rsidRPr="00B52F73">
              <w:rPr>
                <w:rFonts w:ascii="Book Antiqua" w:eastAsia="DengXian" w:hAnsi="Book Antiqua"/>
                <w:color w:val="000000"/>
                <w:vertAlign w:val="superscript"/>
              </w:rPr>
              <w:t>a</w:t>
            </w:r>
          </w:p>
        </w:tc>
        <w:tc>
          <w:tcPr>
            <w:tcW w:w="816" w:type="dxa"/>
            <w:noWrap/>
            <w:hideMark/>
          </w:tcPr>
          <w:p w14:paraId="52CCFA3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0.016</w:t>
            </w:r>
          </w:p>
        </w:tc>
        <w:tc>
          <w:tcPr>
            <w:tcW w:w="1519" w:type="dxa"/>
            <w:noWrap/>
            <w:hideMark/>
          </w:tcPr>
          <w:p w14:paraId="1CA7B1B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0.035</w:t>
            </w:r>
          </w:p>
        </w:tc>
        <w:tc>
          <w:tcPr>
            <w:tcW w:w="992" w:type="dxa"/>
            <w:noWrap/>
            <w:hideMark/>
          </w:tcPr>
          <w:p w14:paraId="6858EFD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0.721</w:t>
            </w:r>
          </w:p>
        </w:tc>
      </w:tr>
      <w:tr w:rsidR="000303CB" w:rsidRPr="00B52F73" w14:paraId="1C6AEFEB" w14:textId="77777777" w:rsidTr="000303CB">
        <w:trPr>
          <w:trHeight w:val="248"/>
          <w:jc w:val="center"/>
        </w:trPr>
        <w:tc>
          <w:tcPr>
            <w:tcW w:w="1276" w:type="dxa"/>
            <w:hideMark/>
          </w:tcPr>
          <w:p w14:paraId="7DF034D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Plt</w:t>
            </w:r>
          </w:p>
        </w:tc>
        <w:tc>
          <w:tcPr>
            <w:tcW w:w="1526" w:type="dxa"/>
            <w:noWrap/>
            <w:hideMark/>
          </w:tcPr>
          <w:p w14:paraId="032791C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-0.038</w:t>
            </w:r>
          </w:p>
        </w:tc>
        <w:tc>
          <w:tcPr>
            <w:tcW w:w="992" w:type="dxa"/>
            <w:noWrap/>
            <w:hideMark/>
          </w:tcPr>
          <w:p w14:paraId="200FE3A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0.695</w:t>
            </w:r>
          </w:p>
        </w:tc>
        <w:tc>
          <w:tcPr>
            <w:tcW w:w="1470" w:type="dxa"/>
            <w:noWrap/>
            <w:hideMark/>
          </w:tcPr>
          <w:p w14:paraId="1C9D09D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0.063</w:t>
            </w:r>
          </w:p>
        </w:tc>
        <w:tc>
          <w:tcPr>
            <w:tcW w:w="820" w:type="dxa"/>
            <w:noWrap/>
            <w:hideMark/>
          </w:tcPr>
          <w:p w14:paraId="4F8E250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0.521</w:t>
            </w:r>
          </w:p>
        </w:tc>
        <w:tc>
          <w:tcPr>
            <w:tcW w:w="1470" w:type="dxa"/>
            <w:noWrap/>
            <w:hideMark/>
          </w:tcPr>
          <w:p w14:paraId="1B2EC3A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-0.139</w:t>
            </w:r>
          </w:p>
        </w:tc>
        <w:tc>
          <w:tcPr>
            <w:tcW w:w="816" w:type="dxa"/>
            <w:noWrap/>
            <w:hideMark/>
          </w:tcPr>
          <w:p w14:paraId="6C139B4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0.182</w:t>
            </w:r>
          </w:p>
        </w:tc>
        <w:tc>
          <w:tcPr>
            <w:tcW w:w="1519" w:type="dxa"/>
            <w:noWrap/>
            <w:hideMark/>
          </w:tcPr>
          <w:p w14:paraId="4739D26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0.054</w:t>
            </w:r>
          </w:p>
        </w:tc>
        <w:tc>
          <w:tcPr>
            <w:tcW w:w="992" w:type="dxa"/>
            <w:noWrap/>
            <w:hideMark/>
          </w:tcPr>
          <w:p w14:paraId="104AB0B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0.583</w:t>
            </w:r>
          </w:p>
        </w:tc>
      </w:tr>
      <w:tr w:rsidR="000303CB" w:rsidRPr="00B52F73" w14:paraId="06E03D2B" w14:textId="77777777" w:rsidTr="000303CB">
        <w:trPr>
          <w:trHeight w:val="248"/>
          <w:jc w:val="center"/>
        </w:trPr>
        <w:tc>
          <w:tcPr>
            <w:tcW w:w="1276" w:type="dxa"/>
            <w:hideMark/>
          </w:tcPr>
          <w:p w14:paraId="4D82D91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lang w:val="en-PH"/>
              </w:rPr>
              <w:t>TP</w:t>
            </w:r>
          </w:p>
        </w:tc>
        <w:tc>
          <w:tcPr>
            <w:tcW w:w="1526" w:type="dxa"/>
            <w:noWrap/>
            <w:hideMark/>
          </w:tcPr>
          <w:p w14:paraId="2FD0506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-0.050</w:t>
            </w:r>
          </w:p>
        </w:tc>
        <w:tc>
          <w:tcPr>
            <w:tcW w:w="992" w:type="dxa"/>
            <w:noWrap/>
            <w:hideMark/>
          </w:tcPr>
          <w:p w14:paraId="65AA617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0.605</w:t>
            </w:r>
          </w:p>
        </w:tc>
        <w:tc>
          <w:tcPr>
            <w:tcW w:w="1470" w:type="dxa"/>
            <w:noWrap/>
            <w:hideMark/>
          </w:tcPr>
          <w:p w14:paraId="546982A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0.049</w:t>
            </w:r>
          </w:p>
        </w:tc>
        <w:tc>
          <w:tcPr>
            <w:tcW w:w="820" w:type="dxa"/>
            <w:noWrap/>
            <w:hideMark/>
          </w:tcPr>
          <w:p w14:paraId="6EC5D62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0.620</w:t>
            </w:r>
          </w:p>
        </w:tc>
        <w:tc>
          <w:tcPr>
            <w:tcW w:w="1470" w:type="dxa"/>
            <w:noWrap/>
            <w:hideMark/>
          </w:tcPr>
          <w:p w14:paraId="36B634D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-0.001</w:t>
            </w:r>
          </w:p>
        </w:tc>
        <w:tc>
          <w:tcPr>
            <w:tcW w:w="816" w:type="dxa"/>
            <w:noWrap/>
            <w:hideMark/>
          </w:tcPr>
          <w:p w14:paraId="07161AD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0.992</w:t>
            </w:r>
          </w:p>
        </w:tc>
        <w:tc>
          <w:tcPr>
            <w:tcW w:w="1519" w:type="dxa"/>
            <w:noWrap/>
            <w:hideMark/>
          </w:tcPr>
          <w:p w14:paraId="760F56F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0.019</w:t>
            </w:r>
          </w:p>
        </w:tc>
        <w:tc>
          <w:tcPr>
            <w:tcW w:w="992" w:type="dxa"/>
            <w:noWrap/>
            <w:hideMark/>
          </w:tcPr>
          <w:p w14:paraId="4587D41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0.843</w:t>
            </w:r>
          </w:p>
        </w:tc>
      </w:tr>
      <w:tr w:rsidR="000303CB" w:rsidRPr="00B52F73" w14:paraId="6E0E2990" w14:textId="77777777" w:rsidTr="000303CB">
        <w:trPr>
          <w:trHeight w:val="248"/>
          <w:jc w:val="center"/>
        </w:trPr>
        <w:tc>
          <w:tcPr>
            <w:tcW w:w="1276" w:type="dxa"/>
            <w:hideMark/>
          </w:tcPr>
          <w:p w14:paraId="639740A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lang w:val="en-PH"/>
              </w:rPr>
              <w:t>ALB</w:t>
            </w:r>
          </w:p>
        </w:tc>
        <w:tc>
          <w:tcPr>
            <w:tcW w:w="1526" w:type="dxa"/>
            <w:noWrap/>
            <w:hideMark/>
          </w:tcPr>
          <w:p w14:paraId="3C995DE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-0.084</w:t>
            </w:r>
          </w:p>
        </w:tc>
        <w:tc>
          <w:tcPr>
            <w:tcW w:w="992" w:type="dxa"/>
            <w:noWrap/>
            <w:hideMark/>
          </w:tcPr>
          <w:p w14:paraId="62B4491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0.384</w:t>
            </w:r>
          </w:p>
        </w:tc>
        <w:tc>
          <w:tcPr>
            <w:tcW w:w="1470" w:type="dxa"/>
            <w:noWrap/>
            <w:hideMark/>
          </w:tcPr>
          <w:p w14:paraId="396435C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0.016</w:t>
            </w:r>
          </w:p>
        </w:tc>
        <w:tc>
          <w:tcPr>
            <w:tcW w:w="820" w:type="dxa"/>
            <w:noWrap/>
            <w:hideMark/>
          </w:tcPr>
          <w:p w14:paraId="5470890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0.870</w:t>
            </w:r>
          </w:p>
        </w:tc>
        <w:tc>
          <w:tcPr>
            <w:tcW w:w="1470" w:type="dxa"/>
            <w:noWrap/>
            <w:hideMark/>
          </w:tcPr>
          <w:p w14:paraId="7C46D5E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-0.158</w:t>
            </w:r>
          </w:p>
        </w:tc>
        <w:tc>
          <w:tcPr>
            <w:tcW w:w="816" w:type="dxa"/>
            <w:noWrap/>
            <w:hideMark/>
          </w:tcPr>
          <w:p w14:paraId="44889D0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0.129</w:t>
            </w:r>
          </w:p>
        </w:tc>
        <w:tc>
          <w:tcPr>
            <w:tcW w:w="1519" w:type="dxa"/>
            <w:noWrap/>
            <w:hideMark/>
          </w:tcPr>
          <w:p w14:paraId="47FD635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0.001</w:t>
            </w:r>
          </w:p>
        </w:tc>
        <w:tc>
          <w:tcPr>
            <w:tcW w:w="992" w:type="dxa"/>
            <w:noWrap/>
            <w:hideMark/>
          </w:tcPr>
          <w:p w14:paraId="5EDA0C1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0.989</w:t>
            </w:r>
          </w:p>
        </w:tc>
      </w:tr>
      <w:tr w:rsidR="000303CB" w:rsidRPr="00B52F73" w14:paraId="3D0708D6" w14:textId="77777777" w:rsidTr="000303CB">
        <w:trPr>
          <w:trHeight w:val="248"/>
          <w:jc w:val="center"/>
        </w:trPr>
        <w:tc>
          <w:tcPr>
            <w:tcW w:w="1276" w:type="dxa"/>
            <w:hideMark/>
          </w:tcPr>
          <w:p w14:paraId="305D7266" w14:textId="7192CE04" w:rsidR="005D7C1D" w:rsidRPr="00B52F73" w:rsidRDefault="007B2216" w:rsidP="00566FBC">
            <w:pPr>
              <w:spacing w:line="360" w:lineRule="auto"/>
              <w:jc w:val="both"/>
              <w:rPr>
                <w:rFonts w:ascii="Book Antiqua" w:eastAsia="DengXian" w:hAnsi="Book Antiqua"/>
                <w:color w:val="000000"/>
              </w:rPr>
            </w:pPr>
            <w:r w:rsidRPr="00B52F73">
              <w:rPr>
                <w:rFonts w:ascii="Book Antiqua" w:eastAsia="DengXian" w:hAnsi="Book Antiqua"/>
                <w:color w:val="000000"/>
                <w:lang w:val="en-PH"/>
              </w:rPr>
              <w:t>TBil</w:t>
            </w:r>
          </w:p>
        </w:tc>
        <w:tc>
          <w:tcPr>
            <w:tcW w:w="1526" w:type="dxa"/>
            <w:noWrap/>
            <w:hideMark/>
          </w:tcPr>
          <w:p w14:paraId="0BFA7AE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-0.026</w:t>
            </w:r>
          </w:p>
        </w:tc>
        <w:tc>
          <w:tcPr>
            <w:tcW w:w="992" w:type="dxa"/>
            <w:noWrap/>
            <w:hideMark/>
          </w:tcPr>
          <w:p w14:paraId="234A1DE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0.791</w:t>
            </w:r>
          </w:p>
        </w:tc>
        <w:tc>
          <w:tcPr>
            <w:tcW w:w="1470" w:type="dxa"/>
            <w:noWrap/>
            <w:hideMark/>
          </w:tcPr>
          <w:p w14:paraId="6D69F7EA" w14:textId="35CCD94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-0.192</w:t>
            </w:r>
            <w:r w:rsidR="000303CB" w:rsidRPr="00B52F73">
              <w:rPr>
                <w:rFonts w:ascii="Book Antiqua" w:eastAsia="DengXian" w:hAnsi="Book Antiqua"/>
                <w:color w:val="000000"/>
                <w:vertAlign w:val="superscript"/>
              </w:rPr>
              <w:t>a</w:t>
            </w:r>
          </w:p>
        </w:tc>
        <w:tc>
          <w:tcPr>
            <w:tcW w:w="820" w:type="dxa"/>
            <w:noWrap/>
            <w:hideMark/>
          </w:tcPr>
          <w:p w14:paraId="1558B369"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0.048</w:t>
            </w:r>
          </w:p>
        </w:tc>
        <w:tc>
          <w:tcPr>
            <w:tcW w:w="1470" w:type="dxa"/>
            <w:noWrap/>
            <w:hideMark/>
          </w:tcPr>
          <w:p w14:paraId="06E7901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0.052</w:t>
            </w:r>
          </w:p>
        </w:tc>
        <w:tc>
          <w:tcPr>
            <w:tcW w:w="816" w:type="dxa"/>
            <w:noWrap/>
            <w:hideMark/>
          </w:tcPr>
          <w:p w14:paraId="7C8FD77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0.621</w:t>
            </w:r>
          </w:p>
        </w:tc>
        <w:tc>
          <w:tcPr>
            <w:tcW w:w="1519" w:type="dxa"/>
            <w:noWrap/>
            <w:hideMark/>
          </w:tcPr>
          <w:p w14:paraId="3549B58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-0.037</w:t>
            </w:r>
          </w:p>
        </w:tc>
        <w:tc>
          <w:tcPr>
            <w:tcW w:w="992" w:type="dxa"/>
            <w:noWrap/>
            <w:hideMark/>
          </w:tcPr>
          <w:p w14:paraId="67C649B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0.705</w:t>
            </w:r>
          </w:p>
        </w:tc>
      </w:tr>
      <w:tr w:rsidR="000303CB" w:rsidRPr="00B52F73" w14:paraId="65C7F782" w14:textId="77777777" w:rsidTr="000303CB">
        <w:trPr>
          <w:trHeight w:val="248"/>
          <w:jc w:val="center"/>
        </w:trPr>
        <w:tc>
          <w:tcPr>
            <w:tcW w:w="1276" w:type="dxa"/>
            <w:hideMark/>
          </w:tcPr>
          <w:p w14:paraId="51EAD049"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lang w:val="en-PH"/>
              </w:rPr>
              <w:t>DBil</w:t>
            </w:r>
          </w:p>
        </w:tc>
        <w:tc>
          <w:tcPr>
            <w:tcW w:w="1526" w:type="dxa"/>
            <w:noWrap/>
            <w:hideMark/>
          </w:tcPr>
          <w:p w14:paraId="3845527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0.078</w:t>
            </w:r>
          </w:p>
        </w:tc>
        <w:tc>
          <w:tcPr>
            <w:tcW w:w="992" w:type="dxa"/>
            <w:noWrap/>
            <w:hideMark/>
          </w:tcPr>
          <w:p w14:paraId="567A7AAC"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0.438</w:t>
            </w:r>
          </w:p>
        </w:tc>
        <w:tc>
          <w:tcPr>
            <w:tcW w:w="1470" w:type="dxa"/>
            <w:noWrap/>
            <w:hideMark/>
          </w:tcPr>
          <w:p w14:paraId="33C0FC9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-0.105</w:t>
            </w:r>
          </w:p>
        </w:tc>
        <w:tc>
          <w:tcPr>
            <w:tcW w:w="820" w:type="dxa"/>
            <w:noWrap/>
            <w:hideMark/>
          </w:tcPr>
          <w:p w14:paraId="0DA6FA1C"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0.302</w:t>
            </w:r>
          </w:p>
        </w:tc>
        <w:tc>
          <w:tcPr>
            <w:tcW w:w="1470" w:type="dxa"/>
            <w:noWrap/>
            <w:hideMark/>
          </w:tcPr>
          <w:p w14:paraId="59D5C21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0.052</w:t>
            </w:r>
          </w:p>
        </w:tc>
        <w:tc>
          <w:tcPr>
            <w:tcW w:w="816" w:type="dxa"/>
            <w:noWrap/>
            <w:hideMark/>
          </w:tcPr>
          <w:p w14:paraId="7882BAF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0.635</w:t>
            </w:r>
          </w:p>
        </w:tc>
        <w:tc>
          <w:tcPr>
            <w:tcW w:w="1519" w:type="dxa"/>
            <w:noWrap/>
            <w:hideMark/>
          </w:tcPr>
          <w:p w14:paraId="4A4CCB0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-0.071</w:t>
            </w:r>
          </w:p>
        </w:tc>
        <w:tc>
          <w:tcPr>
            <w:tcW w:w="992" w:type="dxa"/>
            <w:noWrap/>
            <w:hideMark/>
          </w:tcPr>
          <w:p w14:paraId="7F150E0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0.489</w:t>
            </w:r>
          </w:p>
        </w:tc>
      </w:tr>
      <w:tr w:rsidR="000303CB" w:rsidRPr="00B52F73" w14:paraId="32B9ABF4" w14:textId="77777777" w:rsidTr="000303CB">
        <w:trPr>
          <w:trHeight w:val="248"/>
          <w:jc w:val="center"/>
        </w:trPr>
        <w:tc>
          <w:tcPr>
            <w:tcW w:w="1276" w:type="dxa"/>
            <w:hideMark/>
          </w:tcPr>
          <w:p w14:paraId="436F35D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lang w:val="en-PH"/>
              </w:rPr>
              <w:t>TA</w:t>
            </w:r>
          </w:p>
        </w:tc>
        <w:tc>
          <w:tcPr>
            <w:tcW w:w="1526" w:type="dxa"/>
            <w:noWrap/>
            <w:hideMark/>
          </w:tcPr>
          <w:p w14:paraId="1C70ECA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-0.058</w:t>
            </w:r>
          </w:p>
        </w:tc>
        <w:tc>
          <w:tcPr>
            <w:tcW w:w="992" w:type="dxa"/>
            <w:noWrap/>
            <w:hideMark/>
          </w:tcPr>
          <w:p w14:paraId="3334301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0.558</w:t>
            </w:r>
          </w:p>
        </w:tc>
        <w:tc>
          <w:tcPr>
            <w:tcW w:w="1470" w:type="dxa"/>
            <w:noWrap/>
            <w:hideMark/>
          </w:tcPr>
          <w:p w14:paraId="7426BA2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-0.049</w:t>
            </w:r>
          </w:p>
        </w:tc>
        <w:tc>
          <w:tcPr>
            <w:tcW w:w="820" w:type="dxa"/>
            <w:noWrap/>
            <w:hideMark/>
          </w:tcPr>
          <w:p w14:paraId="0CBF458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0.629</w:t>
            </w:r>
          </w:p>
        </w:tc>
        <w:tc>
          <w:tcPr>
            <w:tcW w:w="1470" w:type="dxa"/>
            <w:noWrap/>
            <w:hideMark/>
          </w:tcPr>
          <w:p w14:paraId="20DC09A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0.045</w:t>
            </w:r>
          </w:p>
        </w:tc>
        <w:tc>
          <w:tcPr>
            <w:tcW w:w="816" w:type="dxa"/>
            <w:noWrap/>
            <w:hideMark/>
          </w:tcPr>
          <w:p w14:paraId="346B97A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0.677</w:t>
            </w:r>
          </w:p>
        </w:tc>
        <w:tc>
          <w:tcPr>
            <w:tcW w:w="1519" w:type="dxa"/>
            <w:noWrap/>
            <w:hideMark/>
          </w:tcPr>
          <w:p w14:paraId="1EA498F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0.045</w:t>
            </w:r>
          </w:p>
        </w:tc>
        <w:tc>
          <w:tcPr>
            <w:tcW w:w="992" w:type="dxa"/>
            <w:noWrap/>
            <w:hideMark/>
          </w:tcPr>
          <w:p w14:paraId="2B8BF16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0.657</w:t>
            </w:r>
          </w:p>
        </w:tc>
      </w:tr>
      <w:tr w:rsidR="000303CB" w:rsidRPr="00B52F73" w14:paraId="3B12474B" w14:textId="77777777" w:rsidTr="000303CB">
        <w:trPr>
          <w:trHeight w:val="283"/>
          <w:jc w:val="center"/>
        </w:trPr>
        <w:tc>
          <w:tcPr>
            <w:tcW w:w="1276" w:type="dxa"/>
            <w:hideMark/>
          </w:tcPr>
          <w:p w14:paraId="180682D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AST</w:t>
            </w:r>
          </w:p>
        </w:tc>
        <w:tc>
          <w:tcPr>
            <w:tcW w:w="1526" w:type="dxa"/>
            <w:noWrap/>
            <w:hideMark/>
          </w:tcPr>
          <w:p w14:paraId="4CD530DD" w14:textId="4DAEE066"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0.191</w:t>
            </w:r>
            <w:r w:rsidR="000303CB" w:rsidRPr="00B52F73">
              <w:rPr>
                <w:rFonts w:ascii="Book Antiqua" w:eastAsia="DengXian" w:hAnsi="Book Antiqua"/>
                <w:color w:val="000000"/>
                <w:vertAlign w:val="superscript"/>
              </w:rPr>
              <w:t>a</w:t>
            </w:r>
          </w:p>
        </w:tc>
        <w:tc>
          <w:tcPr>
            <w:tcW w:w="992" w:type="dxa"/>
            <w:noWrap/>
            <w:hideMark/>
          </w:tcPr>
          <w:p w14:paraId="29C07D2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0.048</w:t>
            </w:r>
          </w:p>
        </w:tc>
        <w:tc>
          <w:tcPr>
            <w:tcW w:w="1470" w:type="dxa"/>
            <w:noWrap/>
            <w:hideMark/>
          </w:tcPr>
          <w:p w14:paraId="588F20F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0.074</w:t>
            </w:r>
          </w:p>
        </w:tc>
        <w:tc>
          <w:tcPr>
            <w:tcW w:w="820" w:type="dxa"/>
            <w:noWrap/>
            <w:hideMark/>
          </w:tcPr>
          <w:p w14:paraId="05F0294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0.454</w:t>
            </w:r>
          </w:p>
        </w:tc>
        <w:tc>
          <w:tcPr>
            <w:tcW w:w="1470" w:type="dxa"/>
            <w:noWrap/>
            <w:hideMark/>
          </w:tcPr>
          <w:p w14:paraId="696C4D3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-0.066</w:t>
            </w:r>
          </w:p>
        </w:tc>
        <w:tc>
          <w:tcPr>
            <w:tcW w:w="816" w:type="dxa"/>
            <w:noWrap/>
            <w:hideMark/>
          </w:tcPr>
          <w:p w14:paraId="7ADA978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0.530</w:t>
            </w:r>
          </w:p>
        </w:tc>
        <w:tc>
          <w:tcPr>
            <w:tcW w:w="1519" w:type="dxa"/>
            <w:noWrap/>
            <w:hideMark/>
          </w:tcPr>
          <w:p w14:paraId="2EF34B5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-0.168</w:t>
            </w:r>
          </w:p>
        </w:tc>
        <w:tc>
          <w:tcPr>
            <w:tcW w:w="992" w:type="dxa"/>
            <w:noWrap/>
            <w:hideMark/>
          </w:tcPr>
          <w:p w14:paraId="469E1ED9"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0.088</w:t>
            </w:r>
          </w:p>
        </w:tc>
      </w:tr>
      <w:tr w:rsidR="000303CB" w:rsidRPr="00B52F73" w14:paraId="047BA458" w14:textId="77777777" w:rsidTr="000303CB">
        <w:trPr>
          <w:trHeight w:val="283"/>
          <w:jc w:val="center"/>
        </w:trPr>
        <w:tc>
          <w:tcPr>
            <w:tcW w:w="1276" w:type="dxa"/>
            <w:hideMark/>
          </w:tcPr>
          <w:p w14:paraId="4745E7A1"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ALT</w:t>
            </w:r>
          </w:p>
        </w:tc>
        <w:tc>
          <w:tcPr>
            <w:tcW w:w="1526" w:type="dxa"/>
            <w:noWrap/>
            <w:hideMark/>
          </w:tcPr>
          <w:p w14:paraId="5FD3EE18" w14:textId="59FF09ED"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0.253</w:t>
            </w:r>
            <w:r w:rsidR="000303CB" w:rsidRPr="00B52F73">
              <w:rPr>
                <w:rFonts w:ascii="Book Antiqua" w:eastAsia="DengXian" w:hAnsi="Book Antiqua"/>
                <w:color w:val="000000"/>
                <w:vertAlign w:val="superscript"/>
              </w:rPr>
              <w:t>b</w:t>
            </w:r>
          </w:p>
        </w:tc>
        <w:tc>
          <w:tcPr>
            <w:tcW w:w="992" w:type="dxa"/>
            <w:noWrap/>
            <w:hideMark/>
          </w:tcPr>
          <w:p w14:paraId="6061EA0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0.009</w:t>
            </w:r>
          </w:p>
        </w:tc>
        <w:tc>
          <w:tcPr>
            <w:tcW w:w="1470" w:type="dxa"/>
            <w:noWrap/>
            <w:hideMark/>
          </w:tcPr>
          <w:p w14:paraId="275D0509"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0.093</w:t>
            </w:r>
          </w:p>
        </w:tc>
        <w:tc>
          <w:tcPr>
            <w:tcW w:w="820" w:type="dxa"/>
            <w:noWrap/>
            <w:hideMark/>
          </w:tcPr>
          <w:p w14:paraId="3696FDF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0.349</w:t>
            </w:r>
          </w:p>
        </w:tc>
        <w:tc>
          <w:tcPr>
            <w:tcW w:w="1470" w:type="dxa"/>
            <w:noWrap/>
            <w:hideMark/>
          </w:tcPr>
          <w:p w14:paraId="5999C27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0.114</w:t>
            </w:r>
          </w:p>
        </w:tc>
        <w:tc>
          <w:tcPr>
            <w:tcW w:w="816" w:type="dxa"/>
            <w:noWrap/>
            <w:hideMark/>
          </w:tcPr>
          <w:p w14:paraId="7AC587D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0.282</w:t>
            </w:r>
          </w:p>
        </w:tc>
        <w:tc>
          <w:tcPr>
            <w:tcW w:w="1519" w:type="dxa"/>
            <w:noWrap/>
            <w:hideMark/>
          </w:tcPr>
          <w:p w14:paraId="06F87F8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-0.191</w:t>
            </w:r>
          </w:p>
        </w:tc>
        <w:tc>
          <w:tcPr>
            <w:tcW w:w="992" w:type="dxa"/>
            <w:noWrap/>
            <w:hideMark/>
          </w:tcPr>
          <w:p w14:paraId="0640F17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0.053</w:t>
            </w:r>
          </w:p>
        </w:tc>
      </w:tr>
      <w:tr w:rsidR="000303CB" w:rsidRPr="00B52F73" w14:paraId="00C97109" w14:textId="77777777" w:rsidTr="000303CB">
        <w:trPr>
          <w:trHeight w:val="283"/>
          <w:jc w:val="center"/>
        </w:trPr>
        <w:tc>
          <w:tcPr>
            <w:tcW w:w="1276" w:type="dxa"/>
            <w:hideMark/>
          </w:tcPr>
          <w:p w14:paraId="165C7619"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GGT</w:t>
            </w:r>
          </w:p>
        </w:tc>
        <w:tc>
          <w:tcPr>
            <w:tcW w:w="1526" w:type="dxa"/>
            <w:noWrap/>
            <w:hideMark/>
          </w:tcPr>
          <w:p w14:paraId="742B6469" w14:textId="52850D98"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0.197</w:t>
            </w:r>
            <w:r w:rsidR="000303CB" w:rsidRPr="00B52F73">
              <w:rPr>
                <w:rFonts w:ascii="Book Antiqua" w:eastAsia="DengXian" w:hAnsi="Book Antiqua"/>
                <w:color w:val="000000"/>
                <w:vertAlign w:val="superscript"/>
              </w:rPr>
              <w:t>a</w:t>
            </w:r>
          </w:p>
        </w:tc>
        <w:tc>
          <w:tcPr>
            <w:tcW w:w="992" w:type="dxa"/>
            <w:noWrap/>
            <w:hideMark/>
          </w:tcPr>
          <w:p w14:paraId="3FB80D5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0.044</w:t>
            </w:r>
          </w:p>
        </w:tc>
        <w:tc>
          <w:tcPr>
            <w:tcW w:w="1470" w:type="dxa"/>
            <w:noWrap/>
            <w:hideMark/>
          </w:tcPr>
          <w:p w14:paraId="12E4FD41" w14:textId="7869E974"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0.231</w:t>
            </w:r>
            <w:r w:rsidR="000303CB" w:rsidRPr="00B52F73">
              <w:rPr>
                <w:rFonts w:ascii="Book Antiqua" w:eastAsia="DengXian" w:hAnsi="Book Antiqua"/>
                <w:color w:val="000000"/>
                <w:vertAlign w:val="superscript"/>
              </w:rPr>
              <w:t>a</w:t>
            </w:r>
          </w:p>
        </w:tc>
        <w:tc>
          <w:tcPr>
            <w:tcW w:w="820" w:type="dxa"/>
            <w:noWrap/>
            <w:hideMark/>
          </w:tcPr>
          <w:p w14:paraId="75D46BF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0.020</w:t>
            </w:r>
          </w:p>
        </w:tc>
        <w:tc>
          <w:tcPr>
            <w:tcW w:w="1470" w:type="dxa"/>
            <w:noWrap/>
            <w:hideMark/>
          </w:tcPr>
          <w:p w14:paraId="713FF71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0.133</w:t>
            </w:r>
          </w:p>
        </w:tc>
        <w:tc>
          <w:tcPr>
            <w:tcW w:w="816" w:type="dxa"/>
            <w:noWrap/>
            <w:hideMark/>
          </w:tcPr>
          <w:p w14:paraId="3DF81FE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0.211</w:t>
            </w:r>
          </w:p>
        </w:tc>
        <w:tc>
          <w:tcPr>
            <w:tcW w:w="1519" w:type="dxa"/>
            <w:noWrap/>
            <w:hideMark/>
          </w:tcPr>
          <w:p w14:paraId="72EBB67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-0.003</w:t>
            </w:r>
          </w:p>
        </w:tc>
        <w:tc>
          <w:tcPr>
            <w:tcW w:w="992" w:type="dxa"/>
            <w:noWrap/>
            <w:hideMark/>
          </w:tcPr>
          <w:p w14:paraId="57C3776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0.978</w:t>
            </w:r>
          </w:p>
        </w:tc>
      </w:tr>
      <w:tr w:rsidR="000303CB" w:rsidRPr="00B52F73" w14:paraId="77CD348C" w14:textId="77777777" w:rsidTr="000303CB">
        <w:trPr>
          <w:trHeight w:val="248"/>
          <w:jc w:val="center"/>
        </w:trPr>
        <w:tc>
          <w:tcPr>
            <w:tcW w:w="1276" w:type="dxa"/>
            <w:hideMark/>
          </w:tcPr>
          <w:p w14:paraId="4B0210F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ALP</w:t>
            </w:r>
          </w:p>
        </w:tc>
        <w:tc>
          <w:tcPr>
            <w:tcW w:w="1526" w:type="dxa"/>
            <w:noWrap/>
            <w:hideMark/>
          </w:tcPr>
          <w:p w14:paraId="29523531"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0.050</w:t>
            </w:r>
          </w:p>
        </w:tc>
        <w:tc>
          <w:tcPr>
            <w:tcW w:w="992" w:type="dxa"/>
            <w:noWrap/>
            <w:hideMark/>
          </w:tcPr>
          <w:p w14:paraId="51CF6D1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0.612</w:t>
            </w:r>
          </w:p>
        </w:tc>
        <w:tc>
          <w:tcPr>
            <w:tcW w:w="1470" w:type="dxa"/>
            <w:noWrap/>
            <w:hideMark/>
          </w:tcPr>
          <w:p w14:paraId="1D9918D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0.057</w:t>
            </w:r>
          </w:p>
        </w:tc>
        <w:tc>
          <w:tcPr>
            <w:tcW w:w="820" w:type="dxa"/>
            <w:noWrap/>
            <w:hideMark/>
          </w:tcPr>
          <w:p w14:paraId="155A07BC"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0.574</w:t>
            </w:r>
          </w:p>
        </w:tc>
        <w:tc>
          <w:tcPr>
            <w:tcW w:w="1470" w:type="dxa"/>
            <w:noWrap/>
            <w:hideMark/>
          </w:tcPr>
          <w:p w14:paraId="39E769C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-0.106</w:t>
            </w:r>
          </w:p>
        </w:tc>
        <w:tc>
          <w:tcPr>
            <w:tcW w:w="816" w:type="dxa"/>
            <w:noWrap/>
            <w:hideMark/>
          </w:tcPr>
          <w:p w14:paraId="7DD2A14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0.321</w:t>
            </w:r>
          </w:p>
        </w:tc>
        <w:tc>
          <w:tcPr>
            <w:tcW w:w="1519" w:type="dxa"/>
            <w:noWrap/>
            <w:hideMark/>
          </w:tcPr>
          <w:p w14:paraId="14822FC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-0.031</w:t>
            </w:r>
          </w:p>
        </w:tc>
        <w:tc>
          <w:tcPr>
            <w:tcW w:w="992" w:type="dxa"/>
            <w:noWrap/>
            <w:hideMark/>
          </w:tcPr>
          <w:p w14:paraId="616EEED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0.758</w:t>
            </w:r>
          </w:p>
        </w:tc>
      </w:tr>
      <w:tr w:rsidR="000303CB" w:rsidRPr="00B52F73" w14:paraId="77C9B10E" w14:textId="77777777" w:rsidTr="000303CB">
        <w:trPr>
          <w:trHeight w:val="248"/>
          <w:jc w:val="center"/>
        </w:trPr>
        <w:tc>
          <w:tcPr>
            <w:tcW w:w="1276" w:type="dxa"/>
            <w:hideMark/>
          </w:tcPr>
          <w:p w14:paraId="1665D087" w14:textId="4D4EAA33"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C</w:t>
            </w:r>
            <w:r w:rsidR="00354A63" w:rsidRPr="00B52F73">
              <w:rPr>
                <w:rFonts w:ascii="Book Antiqua" w:eastAsia="DengXian" w:hAnsi="Book Antiqua"/>
                <w:color w:val="000000"/>
              </w:rPr>
              <w:t>HE</w:t>
            </w:r>
          </w:p>
        </w:tc>
        <w:tc>
          <w:tcPr>
            <w:tcW w:w="1526" w:type="dxa"/>
            <w:noWrap/>
            <w:hideMark/>
          </w:tcPr>
          <w:p w14:paraId="5AFD93A6" w14:textId="0C4F5BF6"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-0.224</w:t>
            </w:r>
            <w:r w:rsidR="000303CB" w:rsidRPr="00B52F73">
              <w:rPr>
                <w:rFonts w:ascii="Book Antiqua" w:eastAsia="DengXian" w:hAnsi="Book Antiqua"/>
                <w:color w:val="000000"/>
                <w:vertAlign w:val="superscript"/>
              </w:rPr>
              <w:t>a</w:t>
            </w:r>
          </w:p>
        </w:tc>
        <w:tc>
          <w:tcPr>
            <w:tcW w:w="992" w:type="dxa"/>
            <w:noWrap/>
            <w:hideMark/>
          </w:tcPr>
          <w:p w14:paraId="4D16218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0.020</w:t>
            </w:r>
          </w:p>
        </w:tc>
        <w:tc>
          <w:tcPr>
            <w:tcW w:w="1470" w:type="dxa"/>
            <w:noWrap/>
            <w:hideMark/>
          </w:tcPr>
          <w:p w14:paraId="6510B97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-0.144</w:t>
            </w:r>
          </w:p>
        </w:tc>
        <w:tc>
          <w:tcPr>
            <w:tcW w:w="820" w:type="dxa"/>
            <w:noWrap/>
            <w:hideMark/>
          </w:tcPr>
          <w:p w14:paraId="4DA7F561"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0.144</w:t>
            </w:r>
          </w:p>
        </w:tc>
        <w:tc>
          <w:tcPr>
            <w:tcW w:w="1470" w:type="dxa"/>
            <w:noWrap/>
            <w:hideMark/>
          </w:tcPr>
          <w:p w14:paraId="3F7D5A56" w14:textId="7DCC8A79"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-0.225</w:t>
            </w:r>
            <w:r w:rsidR="000303CB" w:rsidRPr="00B52F73">
              <w:rPr>
                <w:rFonts w:ascii="Book Antiqua" w:eastAsia="DengXian" w:hAnsi="Book Antiqua"/>
                <w:color w:val="000000"/>
                <w:vertAlign w:val="superscript"/>
              </w:rPr>
              <w:t>a</w:t>
            </w:r>
          </w:p>
        </w:tc>
        <w:tc>
          <w:tcPr>
            <w:tcW w:w="816" w:type="dxa"/>
            <w:noWrap/>
            <w:hideMark/>
          </w:tcPr>
          <w:p w14:paraId="46FF75C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0.031</w:t>
            </w:r>
          </w:p>
        </w:tc>
        <w:tc>
          <w:tcPr>
            <w:tcW w:w="1519" w:type="dxa"/>
            <w:noWrap/>
            <w:hideMark/>
          </w:tcPr>
          <w:p w14:paraId="51551EC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0.053</w:t>
            </w:r>
          </w:p>
        </w:tc>
        <w:tc>
          <w:tcPr>
            <w:tcW w:w="992" w:type="dxa"/>
            <w:noWrap/>
            <w:hideMark/>
          </w:tcPr>
          <w:p w14:paraId="498B15A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0.591</w:t>
            </w:r>
          </w:p>
        </w:tc>
      </w:tr>
      <w:tr w:rsidR="000303CB" w:rsidRPr="00B52F73" w14:paraId="040BB702" w14:textId="77777777" w:rsidTr="000303CB">
        <w:trPr>
          <w:trHeight w:val="283"/>
          <w:jc w:val="center"/>
        </w:trPr>
        <w:tc>
          <w:tcPr>
            <w:tcW w:w="1276" w:type="dxa"/>
            <w:hideMark/>
          </w:tcPr>
          <w:p w14:paraId="0F9A51B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LDH</w:t>
            </w:r>
          </w:p>
        </w:tc>
        <w:tc>
          <w:tcPr>
            <w:tcW w:w="1526" w:type="dxa"/>
            <w:noWrap/>
            <w:hideMark/>
          </w:tcPr>
          <w:p w14:paraId="2E3C7A1F" w14:textId="50B5186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0.233</w:t>
            </w:r>
            <w:r w:rsidR="000303CB" w:rsidRPr="00B52F73">
              <w:rPr>
                <w:rFonts w:ascii="Book Antiqua" w:eastAsia="DengXian" w:hAnsi="Book Antiqua"/>
                <w:color w:val="000000"/>
                <w:vertAlign w:val="superscript"/>
              </w:rPr>
              <w:t>a</w:t>
            </w:r>
          </w:p>
        </w:tc>
        <w:tc>
          <w:tcPr>
            <w:tcW w:w="992" w:type="dxa"/>
            <w:noWrap/>
            <w:hideMark/>
          </w:tcPr>
          <w:p w14:paraId="6125BF0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0.017</w:t>
            </w:r>
          </w:p>
        </w:tc>
        <w:tc>
          <w:tcPr>
            <w:tcW w:w="1470" w:type="dxa"/>
            <w:noWrap/>
            <w:hideMark/>
          </w:tcPr>
          <w:p w14:paraId="001EE34A" w14:textId="5F7E33F9"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0.269</w:t>
            </w:r>
            <w:r w:rsidR="000303CB" w:rsidRPr="00B52F73">
              <w:rPr>
                <w:rFonts w:ascii="Book Antiqua" w:eastAsia="DengXian" w:hAnsi="Book Antiqua"/>
                <w:color w:val="000000"/>
                <w:vertAlign w:val="superscript"/>
              </w:rPr>
              <w:t>b</w:t>
            </w:r>
          </w:p>
        </w:tc>
        <w:tc>
          <w:tcPr>
            <w:tcW w:w="820" w:type="dxa"/>
            <w:noWrap/>
            <w:hideMark/>
          </w:tcPr>
          <w:p w14:paraId="3C023CA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0.007</w:t>
            </w:r>
          </w:p>
        </w:tc>
        <w:tc>
          <w:tcPr>
            <w:tcW w:w="1470" w:type="dxa"/>
            <w:noWrap/>
            <w:hideMark/>
          </w:tcPr>
          <w:p w14:paraId="3CDD203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0.105</w:t>
            </w:r>
          </w:p>
        </w:tc>
        <w:tc>
          <w:tcPr>
            <w:tcW w:w="816" w:type="dxa"/>
            <w:noWrap/>
            <w:hideMark/>
          </w:tcPr>
          <w:p w14:paraId="0A2AC96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0.331</w:t>
            </w:r>
          </w:p>
        </w:tc>
        <w:tc>
          <w:tcPr>
            <w:tcW w:w="1519" w:type="dxa"/>
            <w:noWrap/>
            <w:hideMark/>
          </w:tcPr>
          <w:p w14:paraId="267C8CC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-0.045</w:t>
            </w:r>
          </w:p>
        </w:tc>
        <w:tc>
          <w:tcPr>
            <w:tcW w:w="992" w:type="dxa"/>
            <w:noWrap/>
            <w:hideMark/>
          </w:tcPr>
          <w:p w14:paraId="1332199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0.656</w:t>
            </w:r>
          </w:p>
        </w:tc>
      </w:tr>
      <w:tr w:rsidR="000303CB" w:rsidRPr="00B52F73" w14:paraId="29D192F4" w14:textId="77777777" w:rsidTr="000303CB">
        <w:trPr>
          <w:trHeight w:val="283"/>
          <w:jc w:val="center"/>
        </w:trPr>
        <w:tc>
          <w:tcPr>
            <w:tcW w:w="1276" w:type="dxa"/>
            <w:hideMark/>
          </w:tcPr>
          <w:p w14:paraId="5078675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ADA</w:t>
            </w:r>
          </w:p>
        </w:tc>
        <w:tc>
          <w:tcPr>
            <w:tcW w:w="1526" w:type="dxa"/>
            <w:noWrap/>
            <w:hideMark/>
          </w:tcPr>
          <w:p w14:paraId="36218DD6" w14:textId="22E112B5"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0.200</w:t>
            </w:r>
            <w:r w:rsidR="000303CB" w:rsidRPr="00B52F73">
              <w:rPr>
                <w:rFonts w:ascii="Book Antiqua" w:eastAsia="DengXian" w:hAnsi="Book Antiqua"/>
                <w:color w:val="000000"/>
                <w:vertAlign w:val="superscript"/>
              </w:rPr>
              <w:t>a</w:t>
            </w:r>
          </w:p>
        </w:tc>
        <w:tc>
          <w:tcPr>
            <w:tcW w:w="992" w:type="dxa"/>
            <w:noWrap/>
            <w:hideMark/>
          </w:tcPr>
          <w:p w14:paraId="404B0FA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0.045</w:t>
            </w:r>
          </w:p>
        </w:tc>
        <w:tc>
          <w:tcPr>
            <w:tcW w:w="1470" w:type="dxa"/>
            <w:noWrap/>
            <w:hideMark/>
          </w:tcPr>
          <w:p w14:paraId="1AA53DE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0.053</w:t>
            </w:r>
          </w:p>
        </w:tc>
        <w:tc>
          <w:tcPr>
            <w:tcW w:w="820" w:type="dxa"/>
            <w:noWrap/>
            <w:hideMark/>
          </w:tcPr>
          <w:p w14:paraId="5043DF5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0.604</w:t>
            </w:r>
          </w:p>
        </w:tc>
        <w:tc>
          <w:tcPr>
            <w:tcW w:w="1470" w:type="dxa"/>
            <w:noWrap/>
            <w:hideMark/>
          </w:tcPr>
          <w:p w14:paraId="56DCF1F0" w14:textId="53217DD3"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0.216</w:t>
            </w:r>
            <w:r w:rsidR="000303CB" w:rsidRPr="00B52F73">
              <w:rPr>
                <w:rFonts w:ascii="Book Antiqua" w:eastAsia="DengXian" w:hAnsi="Book Antiqua"/>
                <w:color w:val="000000"/>
                <w:vertAlign w:val="superscript"/>
              </w:rPr>
              <w:t>a</w:t>
            </w:r>
          </w:p>
        </w:tc>
        <w:tc>
          <w:tcPr>
            <w:tcW w:w="816" w:type="dxa"/>
            <w:noWrap/>
            <w:hideMark/>
          </w:tcPr>
          <w:p w14:paraId="753A676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0.046</w:t>
            </w:r>
          </w:p>
        </w:tc>
        <w:tc>
          <w:tcPr>
            <w:tcW w:w="1519" w:type="dxa"/>
            <w:noWrap/>
            <w:hideMark/>
          </w:tcPr>
          <w:p w14:paraId="5C9D540C"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-0.112</w:t>
            </w:r>
          </w:p>
        </w:tc>
        <w:tc>
          <w:tcPr>
            <w:tcW w:w="992" w:type="dxa"/>
            <w:noWrap/>
            <w:hideMark/>
          </w:tcPr>
          <w:p w14:paraId="1AAE3FC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0.275</w:t>
            </w:r>
          </w:p>
        </w:tc>
      </w:tr>
      <w:tr w:rsidR="000303CB" w:rsidRPr="00B52F73" w14:paraId="76256AFC" w14:textId="77777777" w:rsidTr="000303CB">
        <w:trPr>
          <w:trHeight w:val="283"/>
          <w:jc w:val="center"/>
        </w:trPr>
        <w:tc>
          <w:tcPr>
            <w:tcW w:w="1276" w:type="dxa"/>
            <w:hideMark/>
          </w:tcPr>
          <w:p w14:paraId="67FF766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INR</w:t>
            </w:r>
          </w:p>
        </w:tc>
        <w:tc>
          <w:tcPr>
            <w:tcW w:w="1526" w:type="dxa"/>
            <w:noWrap/>
            <w:hideMark/>
          </w:tcPr>
          <w:p w14:paraId="4E6F20F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-0.072</w:t>
            </w:r>
          </w:p>
        </w:tc>
        <w:tc>
          <w:tcPr>
            <w:tcW w:w="992" w:type="dxa"/>
            <w:noWrap/>
            <w:hideMark/>
          </w:tcPr>
          <w:p w14:paraId="1851919C"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0.457</w:t>
            </w:r>
          </w:p>
        </w:tc>
        <w:tc>
          <w:tcPr>
            <w:tcW w:w="1470" w:type="dxa"/>
            <w:noWrap/>
            <w:hideMark/>
          </w:tcPr>
          <w:p w14:paraId="0C4BBF4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-0.106</w:t>
            </w:r>
          </w:p>
        </w:tc>
        <w:tc>
          <w:tcPr>
            <w:tcW w:w="820" w:type="dxa"/>
            <w:noWrap/>
            <w:hideMark/>
          </w:tcPr>
          <w:p w14:paraId="50F5C3B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0.280</w:t>
            </w:r>
          </w:p>
        </w:tc>
        <w:tc>
          <w:tcPr>
            <w:tcW w:w="1470" w:type="dxa"/>
            <w:noWrap/>
            <w:hideMark/>
          </w:tcPr>
          <w:p w14:paraId="7F61EA71"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-0.043</w:t>
            </w:r>
          </w:p>
        </w:tc>
        <w:tc>
          <w:tcPr>
            <w:tcW w:w="816" w:type="dxa"/>
            <w:noWrap/>
            <w:hideMark/>
          </w:tcPr>
          <w:p w14:paraId="6A6BDC4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0.684</w:t>
            </w:r>
          </w:p>
        </w:tc>
        <w:tc>
          <w:tcPr>
            <w:tcW w:w="1519" w:type="dxa"/>
            <w:noWrap/>
            <w:hideMark/>
          </w:tcPr>
          <w:p w14:paraId="46EE409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0.074</w:t>
            </w:r>
          </w:p>
        </w:tc>
        <w:tc>
          <w:tcPr>
            <w:tcW w:w="992" w:type="dxa"/>
            <w:noWrap/>
            <w:hideMark/>
          </w:tcPr>
          <w:p w14:paraId="3D30046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0.448</w:t>
            </w:r>
          </w:p>
        </w:tc>
      </w:tr>
      <w:tr w:rsidR="000303CB" w:rsidRPr="00B52F73" w14:paraId="05E4306C" w14:textId="77777777" w:rsidTr="000303CB">
        <w:trPr>
          <w:trHeight w:val="248"/>
          <w:jc w:val="center"/>
        </w:trPr>
        <w:tc>
          <w:tcPr>
            <w:tcW w:w="1276" w:type="dxa"/>
            <w:hideMark/>
          </w:tcPr>
          <w:p w14:paraId="14862CA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PTA</w:t>
            </w:r>
          </w:p>
        </w:tc>
        <w:tc>
          <w:tcPr>
            <w:tcW w:w="1526" w:type="dxa"/>
            <w:noWrap/>
            <w:hideMark/>
          </w:tcPr>
          <w:p w14:paraId="7A6BB3B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0.073</w:t>
            </w:r>
          </w:p>
        </w:tc>
        <w:tc>
          <w:tcPr>
            <w:tcW w:w="992" w:type="dxa"/>
            <w:noWrap/>
            <w:hideMark/>
          </w:tcPr>
          <w:p w14:paraId="10DB7F41"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0.448</w:t>
            </w:r>
          </w:p>
        </w:tc>
        <w:tc>
          <w:tcPr>
            <w:tcW w:w="1470" w:type="dxa"/>
            <w:noWrap/>
            <w:hideMark/>
          </w:tcPr>
          <w:p w14:paraId="4FADA49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0.108</w:t>
            </w:r>
          </w:p>
        </w:tc>
        <w:tc>
          <w:tcPr>
            <w:tcW w:w="820" w:type="dxa"/>
            <w:noWrap/>
            <w:hideMark/>
          </w:tcPr>
          <w:p w14:paraId="538F6B9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0.271</w:t>
            </w:r>
          </w:p>
        </w:tc>
        <w:tc>
          <w:tcPr>
            <w:tcW w:w="1470" w:type="dxa"/>
            <w:noWrap/>
            <w:hideMark/>
          </w:tcPr>
          <w:p w14:paraId="401ECDE1"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0.044</w:t>
            </w:r>
          </w:p>
        </w:tc>
        <w:tc>
          <w:tcPr>
            <w:tcW w:w="816" w:type="dxa"/>
            <w:noWrap/>
            <w:hideMark/>
          </w:tcPr>
          <w:p w14:paraId="78CD04A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0.675</w:t>
            </w:r>
          </w:p>
        </w:tc>
        <w:tc>
          <w:tcPr>
            <w:tcW w:w="1519" w:type="dxa"/>
            <w:noWrap/>
            <w:hideMark/>
          </w:tcPr>
          <w:p w14:paraId="6C388BA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-0.072</w:t>
            </w:r>
          </w:p>
        </w:tc>
        <w:tc>
          <w:tcPr>
            <w:tcW w:w="992" w:type="dxa"/>
            <w:noWrap/>
            <w:hideMark/>
          </w:tcPr>
          <w:p w14:paraId="505271C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0.465</w:t>
            </w:r>
          </w:p>
        </w:tc>
      </w:tr>
      <w:tr w:rsidR="000303CB" w:rsidRPr="00B52F73" w14:paraId="7147018F" w14:textId="77777777" w:rsidTr="000303CB">
        <w:trPr>
          <w:trHeight w:val="248"/>
          <w:jc w:val="center"/>
        </w:trPr>
        <w:tc>
          <w:tcPr>
            <w:tcW w:w="1276" w:type="dxa"/>
            <w:hideMark/>
          </w:tcPr>
          <w:p w14:paraId="1E22512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PT</w:t>
            </w:r>
          </w:p>
        </w:tc>
        <w:tc>
          <w:tcPr>
            <w:tcW w:w="1526" w:type="dxa"/>
            <w:noWrap/>
            <w:hideMark/>
          </w:tcPr>
          <w:p w14:paraId="258F848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-0.030</w:t>
            </w:r>
          </w:p>
        </w:tc>
        <w:tc>
          <w:tcPr>
            <w:tcW w:w="992" w:type="dxa"/>
            <w:noWrap/>
            <w:hideMark/>
          </w:tcPr>
          <w:p w14:paraId="0DDB2C1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0.756</w:t>
            </w:r>
          </w:p>
        </w:tc>
        <w:tc>
          <w:tcPr>
            <w:tcW w:w="1470" w:type="dxa"/>
            <w:noWrap/>
            <w:hideMark/>
          </w:tcPr>
          <w:p w14:paraId="2C3674E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-0.066</w:t>
            </w:r>
          </w:p>
        </w:tc>
        <w:tc>
          <w:tcPr>
            <w:tcW w:w="820" w:type="dxa"/>
            <w:noWrap/>
            <w:hideMark/>
          </w:tcPr>
          <w:p w14:paraId="402F6489"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0.499</w:t>
            </w:r>
          </w:p>
        </w:tc>
        <w:tc>
          <w:tcPr>
            <w:tcW w:w="1470" w:type="dxa"/>
            <w:noWrap/>
            <w:hideMark/>
          </w:tcPr>
          <w:p w14:paraId="7530B27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0.017</w:t>
            </w:r>
          </w:p>
        </w:tc>
        <w:tc>
          <w:tcPr>
            <w:tcW w:w="816" w:type="dxa"/>
            <w:noWrap/>
            <w:hideMark/>
          </w:tcPr>
          <w:p w14:paraId="683B38C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0.874</w:t>
            </w:r>
          </w:p>
        </w:tc>
        <w:tc>
          <w:tcPr>
            <w:tcW w:w="1519" w:type="dxa"/>
            <w:noWrap/>
            <w:hideMark/>
          </w:tcPr>
          <w:p w14:paraId="42FDF0F3"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0.028</w:t>
            </w:r>
          </w:p>
        </w:tc>
        <w:tc>
          <w:tcPr>
            <w:tcW w:w="992" w:type="dxa"/>
            <w:noWrap/>
            <w:hideMark/>
          </w:tcPr>
          <w:p w14:paraId="23117F22"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0.775</w:t>
            </w:r>
          </w:p>
        </w:tc>
      </w:tr>
      <w:tr w:rsidR="000303CB" w:rsidRPr="00B52F73" w14:paraId="11D9AA3C" w14:textId="77777777" w:rsidTr="000303CB">
        <w:trPr>
          <w:trHeight w:val="248"/>
          <w:jc w:val="center"/>
        </w:trPr>
        <w:tc>
          <w:tcPr>
            <w:tcW w:w="1276" w:type="dxa"/>
            <w:hideMark/>
          </w:tcPr>
          <w:p w14:paraId="4C13AC5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APTT</w:t>
            </w:r>
          </w:p>
        </w:tc>
        <w:tc>
          <w:tcPr>
            <w:tcW w:w="1526" w:type="dxa"/>
            <w:noWrap/>
            <w:hideMark/>
          </w:tcPr>
          <w:p w14:paraId="29C7FDF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-0.168</w:t>
            </w:r>
          </w:p>
        </w:tc>
        <w:tc>
          <w:tcPr>
            <w:tcW w:w="992" w:type="dxa"/>
            <w:noWrap/>
            <w:hideMark/>
          </w:tcPr>
          <w:p w14:paraId="7867D86E"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0.080</w:t>
            </w:r>
          </w:p>
        </w:tc>
        <w:tc>
          <w:tcPr>
            <w:tcW w:w="1470" w:type="dxa"/>
            <w:noWrap/>
            <w:hideMark/>
          </w:tcPr>
          <w:p w14:paraId="42E6E806" w14:textId="210E2500"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-0.248</w:t>
            </w:r>
            <w:r w:rsidR="000303CB" w:rsidRPr="00B52F73">
              <w:rPr>
                <w:rFonts w:ascii="Book Antiqua" w:eastAsia="DengXian" w:hAnsi="Book Antiqua"/>
                <w:color w:val="000000"/>
                <w:vertAlign w:val="superscript"/>
              </w:rPr>
              <w:t>a</w:t>
            </w:r>
          </w:p>
        </w:tc>
        <w:tc>
          <w:tcPr>
            <w:tcW w:w="820" w:type="dxa"/>
            <w:noWrap/>
            <w:hideMark/>
          </w:tcPr>
          <w:p w14:paraId="2F6015F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0.010</w:t>
            </w:r>
          </w:p>
        </w:tc>
        <w:tc>
          <w:tcPr>
            <w:tcW w:w="1470" w:type="dxa"/>
            <w:noWrap/>
            <w:hideMark/>
          </w:tcPr>
          <w:p w14:paraId="1437217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0.030</w:t>
            </w:r>
          </w:p>
        </w:tc>
        <w:tc>
          <w:tcPr>
            <w:tcW w:w="816" w:type="dxa"/>
            <w:noWrap/>
            <w:hideMark/>
          </w:tcPr>
          <w:p w14:paraId="220A797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0.773</w:t>
            </w:r>
          </w:p>
        </w:tc>
        <w:tc>
          <w:tcPr>
            <w:tcW w:w="1519" w:type="dxa"/>
            <w:noWrap/>
            <w:hideMark/>
          </w:tcPr>
          <w:p w14:paraId="06E2916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-0.095</w:t>
            </w:r>
          </w:p>
        </w:tc>
        <w:tc>
          <w:tcPr>
            <w:tcW w:w="992" w:type="dxa"/>
            <w:noWrap/>
            <w:hideMark/>
          </w:tcPr>
          <w:p w14:paraId="3CF1586A"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0.330</w:t>
            </w:r>
          </w:p>
        </w:tc>
      </w:tr>
      <w:tr w:rsidR="000303CB" w:rsidRPr="00B52F73" w14:paraId="605546F5" w14:textId="77777777" w:rsidTr="00AF7EFE">
        <w:trPr>
          <w:trHeight w:val="248"/>
          <w:jc w:val="center"/>
        </w:trPr>
        <w:tc>
          <w:tcPr>
            <w:tcW w:w="1276" w:type="dxa"/>
            <w:hideMark/>
          </w:tcPr>
          <w:p w14:paraId="66647D7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Fib</w:t>
            </w:r>
          </w:p>
        </w:tc>
        <w:tc>
          <w:tcPr>
            <w:tcW w:w="1526" w:type="dxa"/>
            <w:noWrap/>
            <w:hideMark/>
          </w:tcPr>
          <w:p w14:paraId="382E0484"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0.086</w:t>
            </w:r>
          </w:p>
        </w:tc>
        <w:tc>
          <w:tcPr>
            <w:tcW w:w="992" w:type="dxa"/>
            <w:noWrap/>
            <w:hideMark/>
          </w:tcPr>
          <w:p w14:paraId="586FFDF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0.373</w:t>
            </w:r>
          </w:p>
        </w:tc>
        <w:tc>
          <w:tcPr>
            <w:tcW w:w="1470" w:type="dxa"/>
            <w:noWrap/>
            <w:hideMark/>
          </w:tcPr>
          <w:p w14:paraId="5B6EC78B"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0.118</w:t>
            </w:r>
          </w:p>
        </w:tc>
        <w:tc>
          <w:tcPr>
            <w:tcW w:w="820" w:type="dxa"/>
            <w:noWrap/>
            <w:hideMark/>
          </w:tcPr>
          <w:p w14:paraId="43E9FF0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0.227</w:t>
            </w:r>
          </w:p>
        </w:tc>
        <w:tc>
          <w:tcPr>
            <w:tcW w:w="1470" w:type="dxa"/>
            <w:noWrap/>
            <w:hideMark/>
          </w:tcPr>
          <w:p w14:paraId="02E9A017"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0.038</w:t>
            </w:r>
          </w:p>
        </w:tc>
        <w:tc>
          <w:tcPr>
            <w:tcW w:w="816" w:type="dxa"/>
            <w:noWrap/>
            <w:hideMark/>
          </w:tcPr>
          <w:p w14:paraId="57AF3F1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0.713</w:t>
            </w:r>
          </w:p>
        </w:tc>
        <w:tc>
          <w:tcPr>
            <w:tcW w:w="1519" w:type="dxa"/>
            <w:noWrap/>
            <w:hideMark/>
          </w:tcPr>
          <w:p w14:paraId="791419B0"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-0.064</w:t>
            </w:r>
          </w:p>
        </w:tc>
        <w:tc>
          <w:tcPr>
            <w:tcW w:w="992" w:type="dxa"/>
            <w:noWrap/>
            <w:hideMark/>
          </w:tcPr>
          <w:p w14:paraId="132A7EF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0.516</w:t>
            </w:r>
          </w:p>
        </w:tc>
      </w:tr>
      <w:tr w:rsidR="000303CB" w:rsidRPr="00B52F73" w14:paraId="62D01BFF" w14:textId="77777777" w:rsidTr="00AF7EFE">
        <w:trPr>
          <w:trHeight w:val="291"/>
          <w:jc w:val="center"/>
        </w:trPr>
        <w:tc>
          <w:tcPr>
            <w:tcW w:w="1276" w:type="dxa"/>
            <w:tcBorders>
              <w:bottom w:val="single" w:sz="4" w:space="0" w:color="auto"/>
            </w:tcBorders>
            <w:hideMark/>
          </w:tcPr>
          <w:p w14:paraId="4290098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TT</w:t>
            </w:r>
          </w:p>
        </w:tc>
        <w:tc>
          <w:tcPr>
            <w:tcW w:w="1526" w:type="dxa"/>
            <w:tcBorders>
              <w:bottom w:val="single" w:sz="4" w:space="0" w:color="auto"/>
            </w:tcBorders>
            <w:noWrap/>
            <w:hideMark/>
          </w:tcPr>
          <w:p w14:paraId="2ACB83A6"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0.109</w:t>
            </w:r>
          </w:p>
        </w:tc>
        <w:tc>
          <w:tcPr>
            <w:tcW w:w="992" w:type="dxa"/>
            <w:tcBorders>
              <w:bottom w:val="single" w:sz="4" w:space="0" w:color="auto"/>
            </w:tcBorders>
            <w:noWrap/>
            <w:hideMark/>
          </w:tcPr>
          <w:p w14:paraId="5C8642D5"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0.256</w:t>
            </w:r>
          </w:p>
        </w:tc>
        <w:tc>
          <w:tcPr>
            <w:tcW w:w="1470" w:type="dxa"/>
            <w:tcBorders>
              <w:bottom w:val="single" w:sz="4" w:space="0" w:color="auto"/>
            </w:tcBorders>
            <w:noWrap/>
            <w:hideMark/>
          </w:tcPr>
          <w:p w14:paraId="25BEC2D1"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0.008</w:t>
            </w:r>
          </w:p>
        </w:tc>
        <w:tc>
          <w:tcPr>
            <w:tcW w:w="820" w:type="dxa"/>
            <w:tcBorders>
              <w:bottom w:val="single" w:sz="4" w:space="0" w:color="auto"/>
            </w:tcBorders>
            <w:noWrap/>
            <w:hideMark/>
          </w:tcPr>
          <w:p w14:paraId="224492C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0.936</w:t>
            </w:r>
          </w:p>
        </w:tc>
        <w:tc>
          <w:tcPr>
            <w:tcW w:w="1470" w:type="dxa"/>
            <w:tcBorders>
              <w:bottom w:val="single" w:sz="4" w:space="0" w:color="auto"/>
            </w:tcBorders>
            <w:noWrap/>
            <w:hideMark/>
          </w:tcPr>
          <w:p w14:paraId="3BC0E298"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0.014</w:t>
            </w:r>
          </w:p>
        </w:tc>
        <w:tc>
          <w:tcPr>
            <w:tcW w:w="816" w:type="dxa"/>
            <w:tcBorders>
              <w:bottom w:val="single" w:sz="4" w:space="0" w:color="auto"/>
            </w:tcBorders>
            <w:noWrap/>
            <w:hideMark/>
          </w:tcPr>
          <w:p w14:paraId="71C1C16D"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0.892</w:t>
            </w:r>
          </w:p>
        </w:tc>
        <w:tc>
          <w:tcPr>
            <w:tcW w:w="1519" w:type="dxa"/>
            <w:tcBorders>
              <w:bottom w:val="single" w:sz="4" w:space="0" w:color="auto"/>
            </w:tcBorders>
            <w:noWrap/>
            <w:hideMark/>
          </w:tcPr>
          <w:p w14:paraId="31265521"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-0.055</w:t>
            </w:r>
          </w:p>
        </w:tc>
        <w:tc>
          <w:tcPr>
            <w:tcW w:w="992" w:type="dxa"/>
            <w:tcBorders>
              <w:bottom w:val="single" w:sz="4" w:space="0" w:color="auto"/>
            </w:tcBorders>
            <w:noWrap/>
            <w:hideMark/>
          </w:tcPr>
          <w:p w14:paraId="269CA76F" w14:textId="77777777" w:rsidR="005D7C1D" w:rsidRPr="00B52F73" w:rsidRDefault="005D7C1D" w:rsidP="00566FBC">
            <w:pPr>
              <w:spacing w:line="360" w:lineRule="auto"/>
              <w:jc w:val="both"/>
              <w:rPr>
                <w:rFonts w:ascii="Book Antiqua" w:eastAsia="DengXian" w:hAnsi="Book Antiqua"/>
                <w:color w:val="000000"/>
              </w:rPr>
            </w:pPr>
            <w:r w:rsidRPr="00B52F73">
              <w:rPr>
                <w:rFonts w:ascii="Book Antiqua" w:eastAsia="DengXian" w:hAnsi="Book Antiqua"/>
                <w:color w:val="000000"/>
              </w:rPr>
              <w:t>0.574</w:t>
            </w:r>
          </w:p>
        </w:tc>
      </w:tr>
    </w:tbl>
    <w:p w14:paraId="49255C25" w14:textId="696F9683" w:rsidR="00432765" w:rsidRPr="00AF7EFE" w:rsidRDefault="005D7C1D" w:rsidP="00AF7EFE">
      <w:pPr>
        <w:spacing w:line="360" w:lineRule="auto"/>
        <w:jc w:val="both"/>
        <w:rPr>
          <w:rFonts w:ascii="Book Antiqua" w:hAnsi="Book Antiqua"/>
        </w:rPr>
      </w:pPr>
      <w:r w:rsidRPr="00B52F73">
        <w:rPr>
          <w:rFonts w:ascii="Book Antiqua" w:hAnsi="Book Antiqua"/>
          <w:color w:val="000000" w:themeColor="text1"/>
          <w:vertAlign w:val="superscript"/>
        </w:rPr>
        <w:t>a</w:t>
      </w:r>
      <w:r w:rsidRPr="00B52F73">
        <w:rPr>
          <w:rFonts w:ascii="Book Antiqua" w:hAnsi="Book Antiqua"/>
          <w:i/>
          <w:iCs/>
          <w:color w:val="000000" w:themeColor="text1"/>
        </w:rPr>
        <w:t>P</w:t>
      </w:r>
      <w:r w:rsidRPr="00B52F73">
        <w:rPr>
          <w:rFonts w:ascii="Book Antiqua" w:hAnsi="Book Antiqua"/>
          <w:color w:val="000000" w:themeColor="text1"/>
        </w:rPr>
        <w:t xml:space="preserve"> &lt;</w:t>
      </w:r>
      <w:r w:rsidRPr="00B52F73">
        <w:rPr>
          <w:rFonts w:ascii="Book Antiqua" w:hAnsi="Book Antiqua"/>
          <w:color w:val="000000" w:themeColor="text1"/>
          <w:lang w:eastAsia="zh-CN"/>
        </w:rPr>
        <w:t xml:space="preserve"> </w:t>
      </w:r>
      <w:r w:rsidRPr="00B52F73">
        <w:rPr>
          <w:rFonts w:ascii="Book Antiqua" w:hAnsi="Book Antiqua"/>
          <w:color w:val="000000" w:themeColor="text1"/>
        </w:rPr>
        <w:t>0.05</w:t>
      </w:r>
      <w:r w:rsidR="00565154" w:rsidRPr="00B52F73">
        <w:rPr>
          <w:rFonts w:ascii="Book Antiqua" w:hAnsi="Book Antiqua"/>
          <w:color w:val="000000" w:themeColor="text1"/>
        </w:rPr>
        <w:t>;</w:t>
      </w:r>
      <w:r w:rsidR="00565154" w:rsidRPr="00B52F73">
        <w:rPr>
          <w:rFonts w:ascii="Book Antiqua" w:hAnsi="Book Antiqua"/>
          <w:color w:val="000000" w:themeColor="text1"/>
          <w:vertAlign w:val="superscript"/>
        </w:rPr>
        <w:t xml:space="preserve"> </w:t>
      </w:r>
      <w:r w:rsidRPr="00B52F73">
        <w:rPr>
          <w:rFonts w:ascii="Book Antiqua" w:hAnsi="Book Antiqua"/>
          <w:color w:val="000000" w:themeColor="text1"/>
          <w:vertAlign w:val="superscript"/>
        </w:rPr>
        <w:t>b</w:t>
      </w:r>
      <w:r w:rsidRPr="00B52F73">
        <w:rPr>
          <w:rFonts w:ascii="Book Antiqua" w:hAnsi="Book Antiqua"/>
          <w:i/>
          <w:iCs/>
          <w:color w:val="000000" w:themeColor="text1"/>
        </w:rPr>
        <w:t>P</w:t>
      </w:r>
      <w:r w:rsidRPr="00B52F73">
        <w:rPr>
          <w:rFonts w:ascii="Book Antiqua" w:hAnsi="Book Antiqua"/>
          <w:color w:val="000000" w:themeColor="text1"/>
        </w:rPr>
        <w:t xml:space="preserve"> &lt;</w:t>
      </w:r>
      <w:r w:rsidRPr="00B52F73">
        <w:rPr>
          <w:rFonts w:ascii="Book Antiqua" w:hAnsi="Book Antiqua"/>
          <w:color w:val="000000" w:themeColor="text1"/>
          <w:lang w:eastAsia="zh-CN"/>
        </w:rPr>
        <w:t xml:space="preserve"> </w:t>
      </w:r>
      <w:r w:rsidRPr="00B52F73">
        <w:rPr>
          <w:rFonts w:ascii="Book Antiqua" w:hAnsi="Book Antiqua"/>
          <w:color w:val="000000" w:themeColor="text1"/>
        </w:rPr>
        <w:t>0.005.</w:t>
      </w:r>
      <w:r w:rsidR="00B52F73" w:rsidRPr="00B52F73">
        <w:rPr>
          <w:rFonts w:ascii="Book Antiqua" w:hAnsi="Book Antiqua"/>
          <w:color w:val="000000" w:themeColor="text1"/>
        </w:rPr>
        <w:t xml:space="preserve"> </w:t>
      </w:r>
      <w:r w:rsidR="003510C9" w:rsidRPr="00AF7EFE">
        <w:rPr>
          <w:rFonts w:ascii="Book Antiqua" w:hAnsi="Book Antiqua"/>
        </w:rPr>
        <w:t xml:space="preserve">ADA: Adenosine deaminase; </w:t>
      </w:r>
      <w:r w:rsidR="00565154" w:rsidRPr="00AF7EFE">
        <w:rPr>
          <w:rFonts w:ascii="Book Antiqua" w:hAnsi="Book Antiqua"/>
        </w:rPr>
        <w:t xml:space="preserve">ALB: Albumin; </w:t>
      </w:r>
      <w:r w:rsidR="003510C9" w:rsidRPr="00AF7EFE">
        <w:rPr>
          <w:rFonts w:ascii="Book Antiqua" w:hAnsi="Book Antiqua"/>
        </w:rPr>
        <w:t xml:space="preserve">ALT: Alanine aminotransferase; </w:t>
      </w:r>
      <w:r w:rsidR="00565154" w:rsidRPr="00AF7EFE">
        <w:rPr>
          <w:rFonts w:ascii="Book Antiqua" w:hAnsi="Book Antiqua"/>
        </w:rPr>
        <w:t xml:space="preserve">APRI: Aspartate aminotransferase-to-platelet ratio index; </w:t>
      </w:r>
      <w:r w:rsidR="003510C9" w:rsidRPr="00AF7EFE">
        <w:rPr>
          <w:rFonts w:ascii="Book Antiqua" w:hAnsi="Book Antiqua"/>
        </w:rPr>
        <w:t xml:space="preserve">APTT: Partially activated thromboplastin time; AST: Aspartate aminotransferase; </w:t>
      </w:r>
      <w:r w:rsidR="00565154" w:rsidRPr="00AF7EFE">
        <w:rPr>
          <w:rFonts w:ascii="Book Antiqua" w:hAnsi="Book Antiqua"/>
        </w:rPr>
        <w:t xml:space="preserve">CHE: Cholinesterase; </w:t>
      </w:r>
      <w:r w:rsidR="003510C9" w:rsidRPr="00AF7EFE">
        <w:rPr>
          <w:rFonts w:ascii="Book Antiqua" w:hAnsi="Book Antiqua"/>
        </w:rPr>
        <w:t xml:space="preserve">DBil: Direct bilirubin; Fib: Fibrinogen; </w:t>
      </w:r>
      <w:r w:rsidR="00432765" w:rsidRPr="00AF7EFE">
        <w:rPr>
          <w:rFonts w:ascii="Book Antiqua" w:hAnsi="Book Antiqua"/>
        </w:rPr>
        <w:t xml:space="preserve">FI-G: Fluorescence intensity of gallbladder; </w:t>
      </w:r>
      <w:r w:rsidR="00565154" w:rsidRPr="00AF7EFE">
        <w:rPr>
          <w:rFonts w:ascii="Book Antiqua" w:hAnsi="Book Antiqua"/>
        </w:rPr>
        <w:t xml:space="preserve">FI-LB: Fluorescence intensity of liver background; </w:t>
      </w:r>
      <w:r w:rsidR="00432765" w:rsidRPr="00AF7EFE">
        <w:rPr>
          <w:rFonts w:ascii="Book Antiqua" w:hAnsi="Book Antiqua"/>
        </w:rPr>
        <w:t xml:space="preserve">FI-T: Fluorescence intensity of target area; </w:t>
      </w:r>
      <w:r w:rsidR="003510C9" w:rsidRPr="00AF7EFE">
        <w:rPr>
          <w:rFonts w:ascii="Book Antiqua" w:hAnsi="Book Antiqua"/>
        </w:rPr>
        <w:t xml:space="preserve">GGT: Gamma-glutamyl transpeptidase; </w:t>
      </w:r>
      <w:r w:rsidR="00565154" w:rsidRPr="00AF7EFE">
        <w:rPr>
          <w:rFonts w:ascii="Book Antiqua" w:hAnsi="Book Antiqua"/>
        </w:rPr>
        <w:t xml:space="preserve">Hb: Hemoglobin; </w:t>
      </w:r>
      <w:r w:rsidR="003510C9" w:rsidRPr="00AF7EFE">
        <w:rPr>
          <w:rFonts w:ascii="Book Antiqua" w:hAnsi="Book Antiqua"/>
        </w:rPr>
        <w:t xml:space="preserve">INR: International normalized ratio; LDH: Lactate dehydrogenase; </w:t>
      </w:r>
      <w:r w:rsidR="000303CB" w:rsidRPr="00AF7EFE">
        <w:rPr>
          <w:rFonts w:ascii="Book Antiqua" w:hAnsi="Book Antiqua"/>
        </w:rPr>
        <w:t xml:space="preserve">Plt: </w:t>
      </w:r>
      <w:r w:rsidR="007B2216" w:rsidRPr="00AF7EFE">
        <w:rPr>
          <w:rFonts w:ascii="Book Antiqua" w:hAnsi="Book Antiqua"/>
        </w:rPr>
        <w:t>Platelet count</w:t>
      </w:r>
      <w:r w:rsidR="000303CB" w:rsidRPr="00AF7EFE">
        <w:rPr>
          <w:rFonts w:ascii="Book Antiqua" w:hAnsi="Book Antiqua"/>
        </w:rPr>
        <w:t xml:space="preserve">; </w:t>
      </w:r>
      <w:r w:rsidR="003510C9" w:rsidRPr="00AF7EFE">
        <w:rPr>
          <w:rFonts w:ascii="Book Antiqua" w:hAnsi="Book Antiqua"/>
        </w:rPr>
        <w:t xml:space="preserve">PT: Prothrombin time; PTA: Prothrombin activity; </w:t>
      </w:r>
      <w:r w:rsidR="00565154" w:rsidRPr="00AF7EFE">
        <w:rPr>
          <w:rFonts w:ascii="Book Antiqua" w:hAnsi="Book Antiqua"/>
        </w:rPr>
        <w:t xml:space="preserve">RBC: Red blood cell; </w:t>
      </w:r>
      <w:r w:rsidR="003510C9" w:rsidRPr="00AF7EFE">
        <w:rPr>
          <w:rFonts w:ascii="Book Antiqua" w:hAnsi="Book Antiqua"/>
        </w:rPr>
        <w:t xml:space="preserve">TA: Total bile acid; </w:t>
      </w:r>
      <w:r w:rsidR="007B2216" w:rsidRPr="00AF7EFE">
        <w:rPr>
          <w:rFonts w:ascii="Book Antiqua" w:hAnsi="Book Antiqua"/>
        </w:rPr>
        <w:t>TBil</w:t>
      </w:r>
      <w:r w:rsidR="000303CB" w:rsidRPr="00AF7EFE">
        <w:rPr>
          <w:rFonts w:ascii="Book Antiqua" w:hAnsi="Book Antiqua"/>
        </w:rPr>
        <w:t xml:space="preserve">: </w:t>
      </w:r>
      <w:r w:rsidR="007B2216" w:rsidRPr="00AF7EFE">
        <w:rPr>
          <w:rFonts w:ascii="Book Antiqua" w:hAnsi="Book Antiqua"/>
        </w:rPr>
        <w:t>Total bilirubin</w:t>
      </w:r>
      <w:r w:rsidR="000303CB" w:rsidRPr="00AF7EFE">
        <w:rPr>
          <w:rFonts w:ascii="Book Antiqua" w:hAnsi="Book Antiqua"/>
        </w:rPr>
        <w:t xml:space="preserve">; </w:t>
      </w:r>
      <w:r w:rsidR="003510C9" w:rsidRPr="00AF7EFE">
        <w:rPr>
          <w:rFonts w:ascii="Book Antiqua" w:hAnsi="Book Antiqua"/>
        </w:rPr>
        <w:t xml:space="preserve">TP: Total protein; </w:t>
      </w:r>
      <w:r w:rsidR="000303CB" w:rsidRPr="00AF7EFE">
        <w:rPr>
          <w:rFonts w:ascii="Book Antiqua" w:hAnsi="Book Antiqua"/>
        </w:rPr>
        <w:t xml:space="preserve">TT: </w:t>
      </w:r>
      <w:r w:rsidR="000F4DDF" w:rsidRPr="00AF7EFE">
        <w:rPr>
          <w:rFonts w:ascii="Book Antiqua" w:hAnsi="Book Antiqua"/>
        </w:rPr>
        <w:t>Thrombin time</w:t>
      </w:r>
      <w:r w:rsidR="000303CB" w:rsidRPr="00AF7EFE">
        <w:rPr>
          <w:rFonts w:ascii="Book Antiqua" w:hAnsi="Book Antiqua"/>
        </w:rPr>
        <w:t>.</w:t>
      </w:r>
    </w:p>
    <w:p w14:paraId="24482938" w14:textId="77777777" w:rsidR="000303CB" w:rsidRPr="00B52F73" w:rsidRDefault="000303CB" w:rsidP="00566FBC">
      <w:pPr>
        <w:spacing w:line="360" w:lineRule="auto"/>
        <w:jc w:val="both"/>
        <w:rPr>
          <w:rFonts w:ascii="Book Antiqua" w:hAnsi="Book Antiqua"/>
        </w:rPr>
        <w:sectPr w:rsidR="000303CB" w:rsidRPr="00B52F73" w:rsidSect="000303CB">
          <w:pgSz w:w="12240" w:h="15840"/>
          <w:pgMar w:top="1440" w:right="1440" w:bottom="1440" w:left="1440" w:header="720" w:footer="720" w:gutter="0"/>
          <w:cols w:space="720"/>
          <w:docGrid w:linePitch="360"/>
        </w:sectPr>
      </w:pPr>
    </w:p>
    <w:p w14:paraId="485F6E94" w14:textId="77777777" w:rsidR="000303CB" w:rsidRPr="00B52F73" w:rsidRDefault="000303CB" w:rsidP="00566FBC">
      <w:pPr>
        <w:spacing w:line="360" w:lineRule="auto"/>
        <w:jc w:val="both"/>
        <w:rPr>
          <w:rFonts w:ascii="Book Antiqua" w:hAnsi="Book Antiqua"/>
          <w:color w:val="000000" w:themeColor="text1"/>
          <w:lang w:val="en-GB"/>
        </w:rPr>
      </w:pPr>
      <w:r w:rsidRPr="00B52F73">
        <w:rPr>
          <w:rFonts w:ascii="Book Antiqua" w:eastAsia="DengXian" w:hAnsi="Book Antiqua"/>
          <w:b/>
          <w:bCs/>
          <w:color w:val="000000"/>
        </w:rPr>
        <w:t>Table 3 Laboratory blood indicators risk scores calculating rules</w:t>
      </w:r>
    </w:p>
    <w:tbl>
      <w:tblPr>
        <w:tblW w:w="8472" w:type="dxa"/>
        <w:tblLayout w:type="fixed"/>
        <w:tblLook w:val="04A0" w:firstRow="1" w:lastRow="0" w:firstColumn="1" w:lastColumn="0" w:noHBand="0" w:noVBand="1"/>
      </w:tblPr>
      <w:tblGrid>
        <w:gridCol w:w="2802"/>
        <w:gridCol w:w="2835"/>
        <w:gridCol w:w="1842"/>
        <w:gridCol w:w="993"/>
      </w:tblGrid>
      <w:tr w:rsidR="000303CB" w:rsidRPr="00B52F73" w14:paraId="43887F26" w14:textId="77777777" w:rsidTr="000303CB">
        <w:trPr>
          <w:trHeight w:val="270"/>
        </w:trPr>
        <w:tc>
          <w:tcPr>
            <w:tcW w:w="2802" w:type="dxa"/>
            <w:tcBorders>
              <w:top w:val="single" w:sz="4" w:space="0" w:color="auto"/>
              <w:bottom w:val="single" w:sz="4" w:space="0" w:color="auto"/>
            </w:tcBorders>
          </w:tcPr>
          <w:p w14:paraId="10220CD1" w14:textId="6CAC9B32" w:rsidR="000303CB" w:rsidRPr="00B52F73" w:rsidRDefault="000303CB" w:rsidP="00566FBC">
            <w:pPr>
              <w:autoSpaceDE w:val="0"/>
              <w:autoSpaceDN w:val="0"/>
              <w:adjustRightInd w:val="0"/>
              <w:spacing w:line="360" w:lineRule="auto"/>
              <w:jc w:val="both"/>
              <w:rPr>
                <w:rFonts w:ascii="Book Antiqua" w:eastAsia="DengXian" w:hAnsi="Book Antiqua"/>
                <w:b/>
                <w:bCs/>
                <w:color w:val="000000"/>
              </w:rPr>
            </w:pPr>
            <w:r w:rsidRPr="00B52F73">
              <w:rPr>
                <w:rFonts w:ascii="Book Antiqua" w:eastAsia="DengXian" w:hAnsi="Book Antiqua"/>
                <w:b/>
                <w:bCs/>
                <w:color w:val="000000"/>
              </w:rPr>
              <w:t>Variables</w:t>
            </w:r>
            <w:r w:rsidR="00AA5BEC" w:rsidRPr="00B52F73">
              <w:rPr>
                <w:rFonts w:ascii="Book Antiqua" w:eastAsia="DengXian" w:hAnsi="Book Antiqua"/>
                <w:b/>
                <w:bCs/>
                <w:color w:val="000000"/>
              </w:rPr>
              <w:t>’</w:t>
            </w:r>
            <w:r w:rsidRPr="00B52F73">
              <w:rPr>
                <w:rFonts w:ascii="Book Antiqua" w:eastAsia="DengXian" w:hAnsi="Book Antiqua"/>
                <w:b/>
                <w:bCs/>
                <w:color w:val="000000"/>
              </w:rPr>
              <w:t xml:space="preserve"> relationship</w:t>
            </w:r>
          </w:p>
        </w:tc>
        <w:tc>
          <w:tcPr>
            <w:tcW w:w="2835" w:type="dxa"/>
            <w:tcBorders>
              <w:top w:val="single" w:sz="4" w:space="0" w:color="auto"/>
              <w:bottom w:val="single" w:sz="4" w:space="0" w:color="auto"/>
            </w:tcBorders>
          </w:tcPr>
          <w:p w14:paraId="05527ABB" w14:textId="77777777" w:rsidR="000303CB" w:rsidRPr="00B52F73" w:rsidRDefault="000303CB" w:rsidP="00566FBC">
            <w:pPr>
              <w:autoSpaceDE w:val="0"/>
              <w:autoSpaceDN w:val="0"/>
              <w:adjustRightInd w:val="0"/>
              <w:spacing w:line="360" w:lineRule="auto"/>
              <w:jc w:val="both"/>
              <w:rPr>
                <w:rFonts w:ascii="Book Antiqua" w:eastAsia="DengXian" w:hAnsi="Book Antiqua"/>
                <w:b/>
                <w:bCs/>
                <w:color w:val="000000"/>
              </w:rPr>
            </w:pPr>
            <w:r w:rsidRPr="00B52F73">
              <w:rPr>
                <w:rFonts w:ascii="Book Antiqua" w:eastAsia="DengXian" w:hAnsi="Book Antiqua"/>
                <w:b/>
                <w:bCs/>
                <w:color w:val="000000"/>
              </w:rPr>
              <w:t>Correlation coefficient</w:t>
            </w:r>
          </w:p>
        </w:tc>
        <w:tc>
          <w:tcPr>
            <w:tcW w:w="1842" w:type="dxa"/>
            <w:tcBorders>
              <w:top w:val="single" w:sz="4" w:space="0" w:color="auto"/>
              <w:bottom w:val="single" w:sz="4" w:space="0" w:color="auto"/>
            </w:tcBorders>
          </w:tcPr>
          <w:p w14:paraId="483B1261" w14:textId="77777777" w:rsidR="000303CB" w:rsidRPr="00B52F73" w:rsidRDefault="000303CB" w:rsidP="00566FBC">
            <w:pPr>
              <w:autoSpaceDE w:val="0"/>
              <w:autoSpaceDN w:val="0"/>
              <w:adjustRightInd w:val="0"/>
              <w:spacing w:line="360" w:lineRule="auto"/>
              <w:jc w:val="both"/>
              <w:rPr>
                <w:rFonts w:ascii="Book Antiqua" w:eastAsia="DengXian" w:hAnsi="Book Antiqua"/>
                <w:b/>
                <w:bCs/>
                <w:color w:val="000000"/>
              </w:rPr>
            </w:pPr>
            <w:r w:rsidRPr="00B52F73">
              <w:rPr>
                <w:rFonts w:ascii="Book Antiqua" w:eastAsia="DengXian" w:hAnsi="Book Antiqua"/>
                <w:b/>
                <w:bCs/>
                <w:color w:val="000000"/>
              </w:rPr>
              <w:t>Cut-off group</w:t>
            </w:r>
          </w:p>
        </w:tc>
        <w:tc>
          <w:tcPr>
            <w:tcW w:w="993" w:type="dxa"/>
            <w:tcBorders>
              <w:top w:val="single" w:sz="4" w:space="0" w:color="auto"/>
              <w:bottom w:val="single" w:sz="4" w:space="0" w:color="auto"/>
            </w:tcBorders>
          </w:tcPr>
          <w:p w14:paraId="1D3CE0CB" w14:textId="77777777" w:rsidR="000303CB" w:rsidRPr="00B52F73" w:rsidRDefault="000303CB" w:rsidP="00566FBC">
            <w:pPr>
              <w:autoSpaceDE w:val="0"/>
              <w:autoSpaceDN w:val="0"/>
              <w:adjustRightInd w:val="0"/>
              <w:spacing w:line="360" w:lineRule="auto"/>
              <w:jc w:val="both"/>
              <w:rPr>
                <w:rFonts w:ascii="Book Antiqua" w:eastAsia="DengXian" w:hAnsi="Book Antiqua"/>
                <w:b/>
                <w:bCs/>
                <w:color w:val="000000"/>
              </w:rPr>
            </w:pPr>
            <w:r w:rsidRPr="00B52F73">
              <w:rPr>
                <w:rFonts w:ascii="Book Antiqua" w:eastAsia="DengXian" w:hAnsi="Book Antiqua"/>
                <w:b/>
                <w:bCs/>
                <w:color w:val="000000"/>
              </w:rPr>
              <w:t>Score</w:t>
            </w:r>
          </w:p>
        </w:tc>
      </w:tr>
      <w:tr w:rsidR="000303CB" w:rsidRPr="00B52F73" w14:paraId="497F55DE" w14:textId="77777777" w:rsidTr="000303CB">
        <w:trPr>
          <w:trHeight w:val="270"/>
        </w:trPr>
        <w:tc>
          <w:tcPr>
            <w:tcW w:w="2802" w:type="dxa"/>
            <w:tcBorders>
              <w:top w:val="single" w:sz="4" w:space="0" w:color="auto"/>
            </w:tcBorders>
          </w:tcPr>
          <w:p w14:paraId="66829F82"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Positive correlation</w:t>
            </w:r>
          </w:p>
        </w:tc>
        <w:tc>
          <w:tcPr>
            <w:tcW w:w="2835" w:type="dxa"/>
            <w:tcBorders>
              <w:top w:val="single" w:sz="4" w:space="0" w:color="auto"/>
            </w:tcBorders>
          </w:tcPr>
          <w:p w14:paraId="3C2E1BBD"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0.1-0.2</w:t>
            </w:r>
          </w:p>
        </w:tc>
        <w:tc>
          <w:tcPr>
            <w:tcW w:w="1842" w:type="dxa"/>
            <w:tcBorders>
              <w:top w:val="single" w:sz="4" w:space="0" w:color="auto"/>
            </w:tcBorders>
          </w:tcPr>
          <w:p w14:paraId="4FEAEF83"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High</w:t>
            </w:r>
          </w:p>
        </w:tc>
        <w:tc>
          <w:tcPr>
            <w:tcW w:w="993" w:type="dxa"/>
            <w:tcBorders>
              <w:top w:val="single" w:sz="4" w:space="0" w:color="auto"/>
            </w:tcBorders>
          </w:tcPr>
          <w:p w14:paraId="02F343DE"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1</w:t>
            </w:r>
          </w:p>
        </w:tc>
      </w:tr>
      <w:tr w:rsidR="000303CB" w:rsidRPr="00B52F73" w14:paraId="368E4955" w14:textId="77777777" w:rsidTr="000303CB">
        <w:trPr>
          <w:trHeight w:val="270"/>
        </w:trPr>
        <w:tc>
          <w:tcPr>
            <w:tcW w:w="2802" w:type="dxa"/>
          </w:tcPr>
          <w:p w14:paraId="350E04A9"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Positive correlation</w:t>
            </w:r>
          </w:p>
        </w:tc>
        <w:tc>
          <w:tcPr>
            <w:tcW w:w="2835" w:type="dxa"/>
          </w:tcPr>
          <w:p w14:paraId="75D59E29"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&gt; 0.2</w:t>
            </w:r>
          </w:p>
        </w:tc>
        <w:tc>
          <w:tcPr>
            <w:tcW w:w="1842" w:type="dxa"/>
          </w:tcPr>
          <w:p w14:paraId="1F2171C6"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High</w:t>
            </w:r>
          </w:p>
        </w:tc>
        <w:tc>
          <w:tcPr>
            <w:tcW w:w="993" w:type="dxa"/>
          </w:tcPr>
          <w:p w14:paraId="61167B8A"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2</w:t>
            </w:r>
          </w:p>
        </w:tc>
      </w:tr>
      <w:tr w:rsidR="000303CB" w:rsidRPr="00B52F73" w14:paraId="2F7FBD9A" w14:textId="77777777" w:rsidTr="000303CB">
        <w:trPr>
          <w:trHeight w:val="270"/>
        </w:trPr>
        <w:tc>
          <w:tcPr>
            <w:tcW w:w="2802" w:type="dxa"/>
          </w:tcPr>
          <w:p w14:paraId="0BA00073"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Negative correlation</w:t>
            </w:r>
          </w:p>
        </w:tc>
        <w:tc>
          <w:tcPr>
            <w:tcW w:w="2835" w:type="dxa"/>
          </w:tcPr>
          <w:p w14:paraId="143DE298"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0.1-0.2</w:t>
            </w:r>
          </w:p>
        </w:tc>
        <w:tc>
          <w:tcPr>
            <w:tcW w:w="1842" w:type="dxa"/>
          </w:tcPr>
          <w:p w14:paraId="252A9825"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Low</w:t>
            </w:r>
          </w:p>
        </w:tc>
        <w:tc>
          <w:tcPr>
            <w:tcW w:w="993" w:type="dxa"/>
          </w:tcPr>
          <w:p w14:paraId="6E1B7C62"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1</w:t>
            </w:r>
          </w:p>
        </w:tc>
      </w:tr>
      <w:tr w:rsidR="000303CB" w:rsidRPr="00B52F73" w14:paraId="68C337D6" w14:textId="77777777" w:rsidTr="000303CB">
        <w:trPr>
          <w:trHeight w:val="270"/>
        </w:trPr>
        <w:tc>
          <w:tcPr>
            <w:tcW w:w="2802" w:type="dxa"/>
            <w:tcBorders>
              <w:bottom w:val="single" w:sz="4" w:space="0" w:color="auto"/>
            </w:tcBorders>
          </w:tcPr>
          <w:p w14:paraId="52999C7A"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Negative correlation</w:t>
            </w:r>
          </w:p>
        </w:tc>
        <w:tc>
          <w:tcPr>
            <w:tcW w:w="2835" w:type="dxa"/>
            <w:tcBorders>
              <w:bottom w:val="single" w:sz="4" w:space="0" w:color="auto"/>
            </w:tcBorders>
          </w:tcPr>
          <w:p w14:paraId="6A14E4DC"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&gt; 0.2</w:t>
            </w:r>
          </w:p>
        </w:tc>
        <w:tc>
          <w:tcPr>
            <w:tcW w:w="1842" w:type="dxa"/>
            <w:tcBorders>
              <w:bottom w:val="single" w:sz="4" w:space="0" w:color="auto"/>
            </w:tcBorders>
          </w:tcPr>
          <w:p w14:paraId="3E9CC562"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Low</w:t>
            </w:r>
          </w:p>
        </w:tc>
        <w:tc>
          <w:tcPr>
            <w:tcW w:w="993" w:type="dxa"/>
            <w:tcBorders>
              <w:bottom w:val="single" w:sz="4" w:space="0" w:color="auto"/>
            </w:tcBorders>
          </w:tcPr>
          <w:p w14:paraId="1F4D04F0" w14:textId="77777777" w:rsidR="000303CB" w:rsidRPr="00B52F73" w:rsidRDefault="000303CB" w:rsidP="00566FBC">
            <w:pPr>
              <w:autoSpaceDE w:val="0"/>
              <w:autoSpaceDN w:val="0"/>
              <w:adjustRightInd w:val="0"/>
              <w:spacing w:line="360" w:lineRule="auto"/>
              <w:jc w:val="both"/>
              <w:rPr>
                <w:rFonts w:ascii="Book Antiqua" w:eastAsia="DengXian" w:hAnsi="Book Antiqua"/>
                <w:color w:val="000000"/>
              </w:rPr>
            </w:pPr>
            <w:r w:rsidRPr="00B52F73">
              <w:rPr>
                <w:rFonts w:ascii="Book Antiqua" w:eastAsia="DengXian" w:hAnsi="Book Antiqua"/>
                <w:color w:val="000000"/>
              </w:rPr>
              <w:t>2</w:t>
            </w:r>
          </w:p>
        </w:tc>
      </w:tr>
    </w:tbl>
    <w:p w14:paraId="27502843" w14:textId="77777777" w:rsidR="00432765" w:rsidRPr="00B52F73" w:rsidRDefault="00432765" w:rsidP="00566FBC">
      <w:pPr>
        <w:spacing w:line="360" w:lineRule="auto"/>
        <w:jc w:val="both"/>
        <w:rPr>
          <w:rFonts w:ascii="Book Antiqua" w:hAnsi="Book Antiqua"/>
        </w:rPr>
      </w:pPr>
    </w:p>
    <w:sectPr w:rsidR="00432765" w:rsidRPr="00B52F73" w:rsidSect="000303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8125D" w14:textId="77777777" w:rsidR="00A3044F" w:rsidRDefault="00A3044F" w:rsidP="007C6E8E">
      <w:r>
        <w:separator/>
      </w:r>
    </w:p>
  </w:endnote>
  <w:endnote w:type="continuationSeparator" w:id="0">
    <w:p w14:paraId="27499584" w14:textId="77777777" w:rsidR="00A3044F" w:rsidRDefault="00A3044F" w:rsidP="007C6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A00C" w14:textId="77777777" w:rsidR="007C6E8E" w:rsidRPr="007C6E8E" w:rsidRDefault="007C6E8E" w:rsidP="007C6E8E">
    <w:pPr>
      <w:pStyle w:val="Footer"/>
      <w:jc w:val="right"/>
      <w:rPr>
        <w:rFonts w:ascii="Book Antiqua" w:hAnsi="Book Antiqua"/>
        <w:color w:val="000000" w:themeColor="text1"/>
        <w:sz w:val="24"/>
        <w:szCs w:val="24"/>
      </w:rPr>
    </w:pPr>
    <w:r w:rsidRPr="007C6E8E">
      <w:rPr>
        <w:rFonts w:ascii="Book Antiqua" w:hAnsi="Book Antiqua"/>
        <w:color w:val="000000" w:themeColor="text1"/>
        <w:sz w:val="24"/>
        <w:szCs w:val="24"/>
        <w:lang w:val="zh-CN" w:eastAsia="zh-CN"/>
      </w:rPr>
      <w:t xml:space="preserve"> </w:t>
    </w:r>
    <w:r w:rsidRPr="007C6E8E">
      <w:rPr>
        <w:rFonts w:ascii="Book Antiqua" w:hAnsi="Book Antiqua"/>
        <w:color w:val="000000" w:themeColor="text1"/>
        <w:sz w:val="24"/>
        <w:szCs w:val="24"/>
      </w:rPr>
      <w:fldChar w:fldCharType="begin"/>
    </w:r>
    <w:r w:rsidRPr="007C6E8E">
      <w:rPr>
        <w:rFonts w:ascii="Book Antiqua" w:hAnsi="Book Antiqua"/>
        <w:color w:val="000000" w:themeColor="text1"/>
        <w:sz w:val="24"/>
        <w:szCs w:val="24"/>
      </w:rPr>
      <w:instrText>PAGE  \* Arabic  \* MERGEFORMAT</w:instrText>
    </w:r>
    <w:r w:rsidRPr="007C6E8E">
      <w:rPr>
        <w:rFonts w:ascii="Book Antiqua" w:hAnsi="Book Antiqua"/>
        <w:color w:val="000000" w:themeColor="text1"/>
        <w:sz w:val="24"/>
        <w:szCs w:val="24"/>
      </w:rPr>
      <w:fldChar w:fldCharType="separate"/>
    </w:r>
    <w:r w:rsidRPr="007C6E8E">
      <w:rPr>
        <w:rFonts w:ascii="Book Antiqua" w:hAnsi="Book Antiqua"/>
        <w:color w:val="000000" w:themeColor="text1"/>
        <w:sz w:val="24"/>
        <w:szCs w:val="24"/>
        <w:lang w:val="zh-CN" w:eastAsia="zh-CN"/>
      </w:rPr>
      <w:t>2</w:t>
    </w:r>
    <w:r w:rsidRPr="007C6E8E">
      <w:rPr>
        <w:rFonts w:ascii="Book Antiqua" w:hAnsi="Book Antiqua"/>
        <w:color w:val="000000" w:themeColor="text1"/>
        <w:sz w:val="24"/>
        <w:szCs w:val="24"/>
      </w:rPr>
      <w:fldChar w:fldCharType="end"/>
    </w:r>
    <w:r w:rsidRPr="007C6E8E">
      <w:rPr>
        <w:rFonts w:ascii="Book Antiqua" w:hAnsi="Book Antiqua"/>
        <w:color w:val="000000" w:themeColor="text1"/>
        <w:sz w:val="24"/>
        <w:szCs w:val="24"/>
        <w:lang w:val="zh-CN" w:eastAsia="zh-CN"/>
      </w:rPr>
      <w:t xml:space="preserve"> / </w:t>
    </w:r>
    <w:r w:rsidRPr="007C6E8E">
      <w:rPr>
        <w:rFonts w:ascii="Book Antiqua" w:hAnsi="Book Antiqua"/>
        <w:color w:val="000000" w:themeColor="text1"/>
        <w:sz w:val="24"/>
        <w:szCs w:val="24"/>
      </w:rPr>
      <w:fldChar w:fldCharType="begin"/>
    </w:r>
    <w:r w:rsidRPr="007C6E8E">
      <w:rPr>
        <w:rFonts w:ascii="Book Antiqua" w:hAnsi="Book Antiqua"/>
        <w:color w:val="000000" w:themeColor="text1"/>
        <w:sz w:val="24"/>
        <w:szCs w:val="24"/>
      </w:rPr>
      <w:instrText>NUMPAGES  \* Arabic  \* MERGEFORMAT</w:instrText>
    </w:r>
    <w:r w:rsidRPr="007C6E8E">
      <w:rPr>
        <w:rFonts w:ascii="Book Antiqua" w:hAnsi="Book Antiqua"/>
        <w:color w:val="000000" w:themeColor="text1"/>
        <w:sz w:val="24"/>
        <w:szCs w:val="24"/>
      </w:rPr>
      <w:fldChar w:fldCharType="separate"/>
    </w:r>
    <w:r w:rsidRPr="007C6E8E">
      <w:rPr>
        <w:rFonts w:ascii="Book Antiqua" w:hAnsi="Book Antiqua"/>
        <w:color w:val="000000" w:themeColor="text1"/>
        <w:sz w:val="24"/>
        <w:szCs w:val="24"/>
        <w:lang w:val="zh-CN" w:eastAsia="zh-CN"/>
      </w:rPr>
      <w:t>2</w:t>
    </w:r>
    <w:r w:rsidRPr="007C6E8E">
      <w:rPr>
        <w:rFonts w:ascii="Book Antiqua" w:hAnsi="Book Antiqua"/>
        <w:color w:val="000000" w:themeColor="text1"/>
        <w:sz w:val="24"/>
        <w:szCs w:val="24"/>
      </w:rPr>
      <w:fldChar w:fldCharType="end"/>
    </w:r>
  </w:p>
  <w:p w14:paraId="76A96B77" w14:textId="77777777" w:rsidR="007C6E8E" w:rsidRDefault="007C6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FA8C2" w14:textId="77777777" w:rsidR="00A3044F" w:rsidRDefault="00A3044F" w:rsidP="007C6E8E">
      <w:r>
        <w:separator/>
      </w:r>
    </w:p>
  </w:footnote>
  <w:footnote w:type="continuationSeparator" w:id="0">
    <w:p w14:paraId="78675FF8" w14:textId="77777777" w:rsidR="00A3044F" w:rsidRDefault="00A3044F" w:rsidP="007C6E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B23"/>
    <w:rsid w:val="00023F6C"/>
    <w:rsid w:val="000303CB"/>
    <w:rsid w:val="0006141D"/>
    <w:rsid w:val="00091446"/>
    <w:rsid w:val="000D5D82"/>
    <w:rsid w:val="000F4DDF"/>
    <w:rsid w:val="00121802"/>
    <w:rsid w:val="0018261B"/>
    <w:rsid w:val="001876F7"/>
    <w:rsid w:val="00271936"/>
    <w:rsid w:val="002C5847"/>
    <w:rsid w:val="0034258F"/>
    <w:rsid w:val="003510C9"/>
    <w:rsid w:val="00354A63"/>
    <w:rsid w:val="003A5832"/>
    <w:rsid w:val="003B5319"/>
    <w:rsid w:val="003F44BF"/>
    <w:rsid w:val="00423C16"/>
    <w:rsid w:val="00432765"/>
    <w:rsid w:val="00475BFF"/>
    <w:rsid w:val="00495340"/>
    <w:rsid w:val="004970A1"/>
    <w:rsid w:val="004B639E"/>
    <w:rsid w:val="004D7FAC"/>
    <w:rsid w:val="004E6D26"/>
    <w:rsid w:val="00516204"/>
    <w:rsid w:val="00565154"/>
    <w:rsid w:val="00566FBC"/>
    <w:rsid w:val="005C410C"/>
    <w:rsid w:val="005D7C1D"/>
    <w:rsid w:val="00607605"/>
    <w:rsid w:val="00623E7B"/>
    <w:rsid w:val="006337E5"/>
    <w:rsid w:val="0065321F"/>
    <w:rsid w:val="006607C4"/>
    <w:rsid w:val="007274CB"/>
    <w:rsid w:val="007B2216"/>
    <w:rsid w:val="007C6E8E"/>
    <w:rsid w:val="007D4DDE"/>
    <w:rsid w:val="007F3530"/>
    <w:rsid w:val="007F7E56"/>
    <w:rsid w:val="00871A1B"/>
    <w:rsid w:val="008C2B24"/>
    <w:rsid w:val="009808C6"/>
    <w:rsid w:val="009A613E"/>
    <w:rsid w:val="00A3044F"/>
    <w:rsid w:val="00A30CD3"/>
    <w:rsid w:val="00A423A5"/>
    <w:rsid w:val="00A513A4"/>
    <w:rsid w:val="00A60B60"/>
    <w:rsid w:val="00A66BC0"/>
    <w:rsid w:val="00A77B3E"/>
    <w:rsid w:val="00AA5BEC"/>
    <w:rsid w:val="00AC5910"/>
    <w:rsid w:val="00AC60B6"/>
    <w:rsid w:val="00AF7EFE"/>
    <w:rsid w:val="00B52F73"/>
    <w:rsid w:val="00B5486D"/>
    <w:rsid w:val="00B71237"/>
    <w:rsid w:val="00B90526"/>
    <w:rsid w:val="00C177DF"/>
    <w:rsid w:val="00C20C5A"/>
    <w:rsid w:val="00C82625"/>
    <w:rsid w:val="00CA2A55"/>
    <w:rsid w:val="00CD0A2F"/>
    <w:rsid w:val="00CF77FC"/>
    <w:rsid w:val="00D56DA3"/>
    <w:rsid w:val="00D93DA2"/>
    <w:rsid w:val="00DA2B5F"/>
    <w:rsid w:val="00DB2168"/>
    <w:rsid w:val="00E248C3"/>
    <w:rsid w:val="00EE6912"/>
    <w:rsid w:val="00EE7D89"/>
    <w:rsid w:val="00F054FB"/>
    <w:rsid w:val="00F338B9"/>
    <w:rsid w:val="00F52690"/>
    <w:rsid w:val="00F67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4DABF"/>
  <w15:docId w15:val="{D318E941-E23C-4509-985A-A0B5A6E3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C6E8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C6E8E"/>
    <w:rPr>
      <w:sz w:val="18"/>
      <w:szCs w:val="18"/>
    </w:rPr>
  </w:style>
  <w:style w:type="paragraph" w:styleId="Footer">
    <w:name w:val="footer"/>
    <w:basedOn w:val="Normal"/>
    <w:link w:val="FooterChar"/>
    <w:uiPriority w:val="99"/>
    <w:unhideWhenUsed/>
    <w:rsid w:val="007C6E8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C6E8E"/>
    <w:rPr>
      <w:sz w:val="18"/>
      <w:szCs w:val="18"/>
    </w:rPr>
  </w:style>
  <w:style w:type="character" w:styleId="CommentReference">
    <w:name w:val="annotation reference"/>
    <w:basedOn w:val="DefaultParagraphFont"/>
    <w:semiHidden/>
    <w:unhideWhenUsed/>
    <w:rsid w:val="007C6E8E"/>
    <w:rPr>
      <w:sz w:val="21"/>
      <w:szCs w:val="21"/>
    </w:rPr>
  </w:style>
  <w:style w:type="paragraph" w:styleId="CommentText">
    <w:name w:val="annotation text"/>
    <w:basedOn w:val="Normal"/>
    <w:link w:val="CommentTextChar"/>
    <w:semiHidden/>
    <w:unhideWhenUsed/>
    <w:rsid w:val="007C6E8E"/>
  </w:style>
  <w:style w:type="character" w:customStyle="1" w:styleId="CommentTextChar">
    <w:name w:val="Comment Text Char"/>
    <w:basedOn w:val="DefaultParagraphFont"/>
    <w:link w:val="CommentText"/>
    <w:semiHidden/>
    <w:rsid w:val="007C6E8E"/>
    <w:rPr>
      <w:sz w:val="24"/>
      <w:szCs w:val="24"/>
    </w:rPr>
  </w:style>
  <w:style w:type="paragraph" w:styleId="CommentSubject">
    <w:name w:val="annotation subject"/>
    <w:basedOn w:val="CommentText"/>
    <w:next w:val="CommentText"/>
    <w:link w:val="CommentSubjectChar"/>
    <w:semiHidden/>
    <w:unhideWhenUsed/>
    <w:rsid w:val="007C6E8E"/>
    <w:rPr>
      <w:b/>
      <w:bCs/>
    </w:rPr>
  </w:style>
  <w:style w:type="character" w:customStyle="1" w:styleId="CommentSubjectChar">
    <w:name w:val="Comment Subject Char"/>
    <w:basedOn w:val="CommentTextChar"/>
    <w:link w:val="CommentSubject"/>
    <w:semiHidden/>
    <w:rsid w:val="007C6E8E"/>
    <w:rPr>
      <w:b/>
      <w:bCs/>
      <w:sz w:val="24"/>
      <w:szCs w:val="24"/>
    </w:rPr>
  </w:style>
  <w:style w:type="paragraph" w:styleId="Revision">
    <w:name w:val="Revision"/>
    <w:hidden/>
    <w:uiPriority w:val="99"/>
    <w:semiHidden/>
    <w:rsid w:val="00F6726C"/>
    <w:rPr>
      <w:sz w:val="24"/>
      <w:szCs w:val="24"/>
    </w:rPr>
  </w:style>
  <w:style w:type="character" w:styleId="Emphasis">
    <w:name w:val="Emphasis"/>
    <w:basedOn w:val="DefaultParagraphFont"/>
    <w:uiPriority w:val="20"/>
    <w:qFormat/>
    <w:rsid w:val="007B2216"/>
    <w:rPr>
      <w:i/>
      <w:iCs/>
    </w:rPr>
  </w:style>
  <w:style w:type="paragraph" w:styleId="NormalWeb">
    <w:name w:val="Normal (Web)"/>
    <w:basedOn w:val="Normal"/>
    <w:uiPriority w:val="99"/>
    <w:unhideWhenUsed/>
    <w:rsid w:val="000F4DDF"/>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8035">
      <w:bodyDiv w:val="1"/>
      <w:marLeft w:val="0"/>
      <w:marRight w:val="0"/>
      <w:marTop w:val="0"/>
      <w:marBottom w:val="0"/>
      <w:divBdr>
        <w:top w:val="none" w:sz="0" w:space="0" w:color="auto"/>
        <w:left w:val="none" w:sz="0" w:space="0" w:color="auto"/>
        <w:bottom w:val="none" w:sz="0" w:space="0" w:color="auto"/>
        <w:right w:val="none" w:sz="0" w:space="0" w:color="auto"/>
      </w:divBdr>
      <w:divsChild>
        <w:div w:id="490410773">
          <w:marLeft w:val="0"/>
          <w:marRight w:val="45"/>
          <w:marTop w:val="0"/>
          <w:marBottom w:val="0"/>
          <w:divBdr>
            <w:top w:val="none" w:sz="0" w:space="0" w:color="auto"/>
            <w:left w:val="none" w:sz="0" w:space="0" w:color="auto"/>
            <w:bottom w:val="none" w:sz="0" w:space="0" w:color="auto"/>
            <w:right w:val="none" w:sz="0" w:space="0" w:color="auto"/>
          </w:divBdr>
        </w:div>
      </w:divsChild>
    </w:div>
    <w:div w:id="1253007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magej.nih.gov/ij/"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6664</Words>
  <Characters>37986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Jonving_Chen</dc:creator>
  <cp:lastModifiedBy>Jennifer van Velkinburgh</cp:lastModifiedBy>
  <cp:revision>2</cp:revision>
  <dcterms:created xsi:type="dcterms:W3CDTF">2023-05-13T19:00:00Z</dcterms:created>
  <dcterms:modified xsi:type="dcterms:W3CDTF">2023-05-13T19:00:00Z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1023224679</vt:i4>
  </property>
</Properties>
</file>